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BBA3E" w14:textId="7A235863" w:rsidR="00344140" w:rsidRPr="00EC4FA9" w:rsidRDefault="008D052C" w:rsidP="00590432">
      <w:pPr>
        <w:pStyle w:val="Heading1"/>
      </w:pPr>
      <w:bookmarkStart w:id="0" w:name="_Hlk132489988"/>
      <w:r w:rsidRPr="005258C0">
        <w:rPr>
          <w:i/>
          <w:iCs/>
        </w:rPr>
        <w:t>Do</w:t>
      </w:r>
      <w:r w:rsidR="000137C9" w:rsidRPr="005258C0">
        <w:rPr>
          <w:i/>
          <w:iCs/>
        </w:rPr>
        <w:t xml:space="preserve"> </w:t>
      </w:r>
      <w:r w:rsidR="00DB1CE5" w:rsidRPr="005258C0">
        <w:rPr>
          <w:i/>
          <w:iCs/>
        </w:rPr>
        <w:t>Nothing</w:t>
      </w:r>
      <w:r w:rsidR="00DB1CE5" w:rsidRPr="005258C0">
        <w:t xml:space="preserve">, </w:t>
      </w:r>
      <w:r w:rsidR="00DB1CE5" w:rsidRPr="005258C0">
        <w:rPr>
          <w:i/>
          <w:iCs/>
        </w:rPr>
        <w:t>Do</w:t>
      </w:r>
      <w:r w:rsidR="000137C9" w:rsidRPr="005258C0">
        <w:rPr>
          <w:i/>
          <w:iCs/>
        </w:rPr>
        <w:t xml:space="preserve"> </w:t>
      </w:r>
      <w:r w:rsidR="00DB1CE5" w:rsidRPr="005258C0">
        <w:rPr>
          <w:i/>
          <w:iCs/>
        </w:rPr>
        <w:t>Minimum</w:t>
      </w:r>
      <w:r w:rsidR="001803D4" w:rsidRPr="005258C0">
        <w:t>,</w:t>
      </w:r>
      <w:r w:rsidR="00DB1CE5" w:rsidRPr="005258C0">
        <w:t xml:space="preserve"> or </w:t>
      </w:r>
      <w:r w:rsidR="00DB1CE5" w:rsidRPr="005258C0">
        <w:rPr>
          <w:i/>
          <w:iCs/>
        </w:rPr>
        <w:t>Do</w:t>
      </w:r>
      <w:r w:rsidR="000137C9" w:rsidRPr="005258C0">
        <w:rPr>
          <w:i/>
          <w:iCs/>
        </w:rPr>
        <w:t xml:space="preserve"> </w:t>
      </w:r>
      <w:r w:rsidR="00DB1CE5" w:rsidRPr="005258C0">
        <w:rPr>
          <w:i/>
          <w:iCs/>
        </w:rPr>
        <w:t>Something</w:t>
      </w:r>
      <w:r w:rsidR="00DB1CE5" w:rsidRPr="005258C0">
        <w:t xml:space="preserve">? </w:t>
      </w:r>
      <w:r w:rsidR="00590432" w:rsidRPr="00EC4FA9">
        <w:t xml:space="preserve">Why public project appraisals </w:t>
      </w:r>
      <w:r w:rsidR="00442DB5" w:rsidRPr="00EC4FA9">
        <w:rPr>
          <w:rFonts w:cstheme="majorHAnsi"/>
        </w:rPr>
        <w:t>‘</w:t>
      </w:r>
      <w:r w:rsidR="002142C9" w:rsidRPr="00EC4FA9">
        <w:t>always</w:t>
      </w:r>
      <w:r w:rsidR="00442DB5" w:rsidRPr="00EC4FA9">
        <w:t>’</w:t>
      </w:r>
      <w:r w:rsidR="002142C9" w:rsidRPr="00EC4FA9">
        <w:t xml:space="preserve"> </w:t>
      </w:r>
      <w:r w:rsidR="00590432" w:rsidRPr="00EC4FA9">
        <w:t xml:space="preserve">recommend </w:t>
      </w:r>
      <w:r w:rsidR="004237C5">
        <w:t>large projects</w:t>
      </w:r>
    </w:p>
    <w:p w14:paraId="3AF7F2A6" w14:textId="77777777" w:rsidR="00EF5FB0" w:rsidRPr="00EC4FA9" w:rsidRDefault="00EF5FB0" w:rsidP="00FA551D">
      <w:bookmarkStart w:id="1" w:name="OLE_LINK2"/>
      <w:bookmarkEnd w:id="0"/>
    </w:p>
    <w:p w14:paraId="10CF91EB" w14:textId="15781630" w:rsidR="00EF5FB0" w:rsidRPr="00EC4FA9" w:rsidRDefault="009B720C" w:rsidP="00917B65">
      <w:pPr>
        <w:pStyle w:val="Heading2"/>
        <w:numPr>
          <w:ilvl w:val="0"/>
          <w:numId w:val="0"/>
        </w:numPr>
        <w:ind w:left="360" w:hanging="360"/>
      </w:pPr>
      <w:r w:rsidRPr="00EC4FA9">
        <w:t>Abstract</w:t>
      </w:r>
    </w:p>
    <w:p w14:paraId="2C6E243A" w14:textId="06400D42" w:rsidR="00C933F4" w:rsidRPr="00917B65" w:rsidRDefault="00C933F4" w:rsidP="000D5899">
      <w:pPr>
        <w:rPr>
          <w:b/>
          <w:bCs/>
        </w:rPr>
      </w:pPr>
      <w:bookmarkStart w:id="2" w:name="_Hlk132490511"/>
      <w:r w:rsidRPr="00917B65">
        <w:rPr>
          <w:b/>
          <w:bCs/>
        </w:rPr>
        <w:t>Purpose</w:t>
      </w:r>
      <w:r w:rsidR="00A4443B" w:rsidRPr="00917B65">
        <w:rPr>
          <w:b/>
          <w:bCs/>
        </w:rPr>
        <w:t xml:space="preserve"> </w:t>
      </w:r>
    </w:p>
    <w:p w14:paraId="62C386E8" w14:textId="7ED2E1AE" w:rsidR="00523371" w:rsidRPr="00EC4FA9" w:rsidRDefault="005279F5" w:rsidP="00523371">
      <w:r w:rsidRPr="00EC4FA9">
        <w:t xml:space="preserve">In the project initiation phase, an appraisal </w:t>
      </w:r>
      <w:r w:rsidR="001D7F68" w:rsidRPr="00EC4FA9">
        <w:t>is needed</w:t>
      </w:r>
      <w:r w:rsidRPr="00EC4FA9">
        <w:t xml:space="preserve"> to clarify the strategic problem and </w:t>
      </w:r>
      <w:r w:rsidR="002262E0" w:rsidRPr="00EC4FA9">
        <w:t xml:space="preserve">alternative </w:t>
      </w:r>
      <w:r w:rsidRPr="00EC4FA9">
        <w:t>solutions</w:t>
      </w:r>
      <w:r w:rsidR="001D7F68" w:rsidRPr="00EC4FA9">
        <w:t xml:space="preserve">. </w:t>
      </w:r>
      <w:r w:rsidR="00A83A9A" w:rsidRPr="00EC4FA9">
        <w:t>Full-scale</w:t>
      </w:r>
      <w:r w:rsidR="00266631" w:rsidRPr="00EC4FA9">
        <w:t xml:space="preserve"> construction projects and</w:t>
      </w:r>
      <w:r w:rsidRPr="00EC4FA9">
        <w:t xml:space="preserve"> simple solution</w:t>
      </w:r>
      <w:r w:rsidR="001D7F68" w:rsidRPr="00EC4FA9">
        <w:t>s</w:t>
      </w:r>
      <w:r w:rsidRPr="00EC4FA9">
        <w:t xml:space="preserve"> (</w:t>
      </w:r>
      <w:r w:rsidRPr="00EC4FA9">
        <w:rPr>
          <w:i/>
          <w:iCs/>
        </w:rPr>
        <w:t>do-minimum</w:t>
      </w:r>
      <w:r w:rsidRPr="00EC4FA9">
        <w:t xml:space="preserve"> alternative</w:t>
      </w:r>
      <w:r w:rsidR="001D7F68" w:rsidRPr="00EC4FA9">
        <w:t>s</w:t>
      </w:r>
      <w:r w:rsidR="00882502" w:rsidRPr="00EC4FA9">
        <w:t>) should be assessed</w:t>
      </w:r>
      <w:r w:rsidRPr="00EC4FA9">
        <w:t xml:space="preserve">. The </w:t>
      </w:r>
      <w:r w:rsidRPr="00EC4FA9">
        <w:rPr>
          <w:i/>
          <w:iCs/>
        </w:rPr>
        <w:t>do-nothing</w:t>
      </w:r>
      <w:r w:rsidRPr="00EC4FA9">
        <w:t xml:space="preserve"> </w:t>
      </w:r>
      <w:r w:rsidR="00523371" w:rsidRPr="00EC4FA9">
        <w:t>alternative</w:t>
      </w:r>
      <w:r w:rsidRPr="00EC4FA9">
        <w:t xml:space="preserve"> is the baseline for the appraisal </w:t>
      </w:r>
      <w:r w:rsidR="001D7F68" w:rsidRPr="00EC4FA9">
        <w:t>and</w:t>
      </w:r>
      <w:r w:rsidR="00727EEE" w:rsidRPr="00EC4FA9">
        <w:t xml:space="preserve"> </w:t>
      </w:r>
      <w:r w:rsidR="001D7F68" w:rsidRPr="00EC4FA9">
        <w:t xml:space="preserve">an </w:t>
      </w:r>
      <w:r w:rsidR="00DD636B">
        <w:t>option</w:t>
      </w:r>
      <w:r w:rsidR="00DD636B" w:rsidRPr="00EC4FA9">
        <w:t xml:space="preserve"> </w:t>
      </w:r>
      <w:r w:rsidR="001D7F68" w:rsidRPr="00EC4FA9">
        <w:t>in itself</w:t>
      </w:r>
      <w:r w:rsidRPr="00EC4FA9">
        <w:t xml:space="preserve">. </w:t>
      </w:r>
      <w:r w:rsidR="00FC192D" w:rsidRPr="00EC4FA9">
        <w:t>Th</w:t>
      </w:r>
      <w:r w:rsidR="00950EA4" w:rsidRPr="00EC4FA9">
        <w:t>e</w:t>
      </w:r>
      <w:r w:rsidR="00FC192D" w:rsidRPr="00EC4FA9">
        <w:t xml:space="preserve"> paper </w:t>
      </w:r>
      <w:r w:rsidRPr="00EC4FA9">
        <w:t>explore</w:t>
      </w:r>
      <w:r w:rsidR="00727EEE" w:rsidRPr="00EC4FA9">
        <w:t>s</w:t>
      </w:r>
      <w:bookmarkStart w:id="3" w:name="_Hlk132560203"/>
      <w:r w:rsidR="000670AB" w:rsidRPr="00EC4FA9">
        <w:t xml:space="preserve"> the role of</w:t>
      </w:r>
      <w:r w:rsidR="00FC192D" w:rsidRPr="00EC4FA9">
        <w:t xml:space="preserve"> </w:t>
      </w:r>
      <w:r w:rsidR="00DE39F2" w:rsidRPr="00EC4FA9">
        <w:rPr>
          <w:i/>
          <w:iCs/>
        </w:rPr>
        <w:t>do</w:t>
      </w:r>
      <w:r w:rsidR="009B2711" w:rsidRPr="00EC4FA9">
        <w:rPr>
          <w:i/>
          <w:iCs/>
        </w:rPr>
        <w:t>-</w:t>
      </w:r>
      <w:r w:rsidR="000670AB" w:rsidRPr="00EC4FA9">
        <w:rPr>
          <w:i/>
          <w:iCs/>
        </w:rPr>
        <w:t>nothing</w:t>
      </w:r>
      <w:r w:rsidR="000670AB" w:rsidRPr="00EC4FA9">
        <w:t xml:space="preserve"> </w:t>
      </w:r>
      <w:r w:rsidR="006D66A1" w:rsidRPr="00EC4FA9">
        <w:t xml:space="preserve">and </w:t>
      </w:r>
      <w:r w:rsidR="00B31535" w:rsidRPr="00EC4FA9">
        <w:rPr>
          <w:i/>
          <w:iCs/>
        </w:rPr>
        <w:t>do-</w:t>
      </w:r>
      <w:r w:rsidR="006D66A1" w:rsidRPr="00EC4FA9">
        <w:rPr>
          <w:i/>
          <w:iCs/>
        </w:rPr>
        <w:t>minimum</w:t>
      </w:r>
      <w:r w:rsidR="006D66A1" w:rsidRPr="00EC4FA9">
        <w:t xml:space="preserve"> </w:t>
      </w:r>
      <w:r w:rsidR="004C4C87" w:rsidRPr="00EC4FA9">
        <w:t>alternatives</w:t>
      </w:r>
      <w:r w:rsidR="000670AB" w:rsidRPr="00EC4FA9">
        <w:t xml:space="preserve"> in </w:t>
      </w:r>
      <w:r w:rsidR="00DB29A0" w:rsidRPr="00EC4FA9">
        <w:t xml:space="preserve">public </w:t>
      </w:r>
      <w:r w:rsidR="000670AB" w:rsidRPr="00EC4FA9">
        <w:t>project appraisal</w:t>
      </w:r>
      <w:bookmarkEnd w:id="3"/>
      <w:r w:rsidR="00A83A9A" w:rsidRPr="00EC4FA9">
        <w:t>, which</w:t>
      </w:r>
      <w:r w:rsidR="002262E0" w:rsidRPr="00EC4FA9">
        <w:t xml:space="preserve"> may </w:t>
      </w:r>
      <w:r w:rsidR="0048168D" w:rsidRPr="00EC4FA9">
        <w:t>significantly impact</w:t>
      </w:r>
      <w:r w:rsidR="00E435B9" w:rsidRPr="00EC4FA9">
        <w:t xml:space="preserve"> the </w:t>
      </w:r>
      <w:r w:rsidR="00A83A9A" w:rsidRPr="00EC4FA9">
        <w:t>attractiveness of a construction project</w:t>
      </w:r>
      <w:r w:rsidR="00727EEE" w:rsidRPr="00EC4FA9">
        <w:t xml:space="preserve">. </w:t>
      </w:r>
    </w:p>
    <w:p w14:paraId="3C6A1AB9" w14:textId="0F716FC5" w:rsidR="00523371" w:rsidRPr="00917B65" w:rsidRDefault="00523371" w:rsidP="00523371">
      <w:pPr>
        <w:rPr>
          <w:b/>
          <w:bCs/>
        </w:rPr>
      </w:pPr>
      <w:r w:rsidRPr="00917B65">
        <w:rPr>
          <w:b/>
          <w:bCs/>
        </w:rPr>
        <w:t>Methodology</w:t>
      </w:r>
    </w:p>
    <w:p w14:paraId="6905CA1F" w14:textId="684BDE9E" w:rsidR="002853A8" w:rsidRPr="00EC4FA9" w:rsidRDefault="00727EEE" w:rsidP="002853A8">
      <w:r w:rsidRPr="00EC4FA9">
        <w:t xml:space="preserve">The </w:t>
      </w:r>
      <w:r w:rsidR="002262E0" w:rsidRPr="00EC4FA9">
        <w:t xml:space="preserve">paper </w:t>
      </w:r>
      <w:r w:rsidR="002F2261" w:rsidRPr="00EC4FA9">
        <w:t xml:space="preserve">presents an empirical study from Norway, </w:t>
      </w:r>
      <w:r w:rsidR="00512643">
        <w:t>which</w:t>
      </w:r>
      <w:r w:rsidR="002F2261" w:rsidRPr="00EC4FA9">
        <w:t xml:space="preserve"> requires external quality assurance (QA) of early project appraisals</w:t>
      </w:r>
      <w:r w:rsidR="002853A8" w:rsidRPr="00EC4FA9">
        <w:t xml:space="preserve">. </w:t>
      </w:r>
      <w:r w:rsidR="002F2261" w:rsidRPr="00EC4FA9">
        <w:t>The data include a</w:t>
      </w:r>
      <w:r w:rsidRPr="00EC4FA9">
        <w:t>n</w:t>
      </w:r>
      <w:r w:rsidR="002853A8" w:rsidRPr="00EC4FA9">
        <w:t xml:space="preserve"> extensive document review </w:t>
      </w:r>
      <w:r w:rsidR="00BF2D3B" w:rsidRPr="00EC4FA9">
        <w:t xml:space="preserve">of 112 projects </w:t>
      </w:r>
      <w:r w:rsidR="00266631" w:rsidRPr="00EC4FA9">
        <w:t>and</w:t>
      </w:r>
      <w:r w:rsidR="002853A8" w:rsidRPr="00EC4FA9">
        <w:t xml:space="preserve"> interviews with </w:t>
      </w:r>
      <w:r w:rsidR="00BF2D3B" w:rsidRPr="00EC4FA9">
        <w:t xml:space="preserve">41 </w:t>
      </w:r>
      <w:r w:rsidR="008A2871">
        <w:t>experts</w:t>
      </w:r>
      <w:r w:rsidR="008A2871" w:rsidRPr="00EC4FA9">
        <w:t xml:space="preserve"> </w:t>
      </w:r>
      <w:r w:rsidR="002853A8" w:rsidRPr="00EC4FA9">
        <w:t xml:space="preserve">involved in </w:t>
      </w:r>
      <w:r w:rsidRPr="00EC4FA9">
        <w:t>the appraisal processes.</w:t>
      </w:r>
      <w:r w:rsidR="002853A8" w:rsidRPr="00EC4FA9">
        <w:t xml:space="preserve"> </w:t>
      </w:r>
    </w:p>
    <w:p w14:paraId="55CF3D26" w14:textId="77777777" w:rsidR="00BF2D3B" w:rsidRPr="00917B65" w:rsidRDefault="00BF2D3B" w:rsidP="00BF2D3B">
      <w:pPr>
        <w:rPr>
          <w:b/>
          <w:bCs/>
        </w:rPr>
      </w:pPr>
      <w:r w:rsidRPr="00917B65">
        <w:rPr>
          <w:b/>
          <w:bCs/>
        </w:rPr>
        <w:t>Findings</w:t>
      </w:r>
    </w:p>
    <w:p w14:paraId="3CC69B81" w14:textId="0DE8B498" w:rsidR="00BF2D3B" w:rsidRPr="00EC4FA9" w:rsidRDefault="00B6689F" w:rsidP="00523371">
      <w:r>
        <w:t xml:space="preserve">Of </w:t>
      </w:r>
      <w:r w:rsidR="00A83A9A" w:rsidRPr="00EC4FA9">
        <w:t>112 appraisals</w:t>
      </w:r>
      <w:r>
        <w:t>, 110</w:t>
      </w:r>
      <w:r w:rsidR="00A83A9A" w:rsidRPr="00EC4FA9">
        <w:t xml:space="preserve"> recommended a major construction project, including cases where the benefits and value were low or uncertain. </w:t>
      </w:r>
      <w:r w:rsidR="008164FC" w:rsidRPr="00EC4FA9">
        <w:t>T</w:t>
      </w:r>
      <w:r w:rsidR="005E6CB7" w:rsidRPr="00EC4FA9">
        <w:t>he</w:t>
      </w:r>
      <w:r w:rsidR="00556A9F" w:rsidRPr="00EC4FA9">
        <w:t xml:space="preserve"> </w:t>
      </w:r>
      <w:r w:rsidR="004457F7" w:rsidRPr="00EC4FA9">
        <w:rPr>
          <w:i/>
          <w:iCs/>
        </w:rPr>
        <w:t>do</w:t>
      </w:r>
      <w:r w:rsidR="00FD2F63" w:rsidRPr="00EC4FA9">
        <w:rPr>
          <w:i/>
          <w:iCs/>
        </w:rPr>
        <w:t>-</w:t>
      </w:r>
      <w:r w:rsidR="004457F7" w:rsidRPr="00EC4FA9">
        <w:rPr>
          <w:i/>
          <w:iCs/>
        </w:rPr>
        <w:t>nothing</w:t>
      </w:r>
      <w:r w:rsidR="004457F7" w:rsidRPr="00EC4FA9">
        <w:t xml:space="preserve"> alternative </w:t>
      </w:r>
      <w:r w:rsidR="008164FC" w:rsidRPr="00EC4FA9">
        <w:t>wa</w:t>
      </w:r>
      <w:r w:rsidR="004457F7" w:rsidRPr="00EC4FA9">
        <w:t>s</w:t>
      </w:r>
      <w:r w:rsidR="00761A3F" w:rsidRPr="00EC4FA9">
        <w:t xml:space="preserve"> </w:t>
      </w:r>
      <w:r w:rsidR="00BE283C" w:rsidRPr="00EC4FA9">
        <w:t xml:space="preserve">generally </w:t>
      </w:r>
      <w:r w:rsidR="002F2261" w:rsidRPr="00EC4FA9">
        <w:t>included</w:t>
      </w:r>
      <w:r w:rsidR="00B95341" w:rsidRPr="00EC4FA9">
        <w:t xml:space="preserve"> as </w:t>
      </w:r>
      <w:r w:rsidR="00266631" w:rsidRPr="00EC4FA9">
        <w:t xml:space="preserve">a </w:t>
      </w:r>
      <w:r w:rsidR="002F2261" w:rsidRPr="00EC4FA9">
        <w:t>reference</w:t>
      </w:r>
      <w:r w:rsidR="00B95341" w:rsidRPr="00EC4FA9">
        <w:t xml:space="preserve"> but </w:t>
      </w:r>
      <w:r w:rsidR="00883C73" w:rsidRPr="00EC4FA9">
        <w:t xml:space="preserve">not treated as a viable </w:t>
      </w:r>
      <w:r w:rsidR="00BE283C" w:rsidRPr="00EC4FA9">
        <w:t>option</w:t>
      </w:r>
      <w:r w:rsidR="00266F09" w:rsidRPr="00EC4FA9">
        <w:t>.</w:t>
      </w:r>
      <w:r w:rsidR="00053033" w:rsidRPr="00EC4FA9">
        <w:t xml:space="preserve"> </w:t>
      </w:r>
      <w:r w:rsidR="007200F0" w:rsidRPr="00EC4FA9">
        <w:rPr>
          <w:i/>
          <w:iCs/>
        </w:rPr>
        <w:t>D</w:t>
      </w:r>
      <w:r w:rsidR="005E6CB7" w:rsidRPr="00EC4FA9">
        <w:rPr>
          <w:i/>
          <w:iCs/>
        </w:rPr>
        <w:t>o-minimum</w:t>
      </w:r>
      <w:r w:rsidR="005E6CB7" w:rsidRPr="00EC4FA9">
        <w:t xml:space="preserve"> alternatives</w:t>
      </w:r>
      <w:r w:rsidR="00882502" w:rsidRPr="00EC4FA9">
        <w:t xml:space="preserve"> were </w:t>
      </w:r>
      <w:r w:rsidR="00A83A9A" w:rsidRPr="00EC4FA9">
        <w:t xml:space="preserve">often not </w:t>
      </w:r>
      <w:r w:rsidR="00BE283C" w:rsidRPr="00EC4FA9">
        <w:t>explored</w:t>
      </w:r>
      <w:r w:rsidR="00266F09" w:rsidRPr="00EC4FA9">
        <w:t>.</w:t>
      </w:r>
      <w:r w:rsidR="00A75185" w:rsidRPr="00EC4FA9">
        <w:t xml:space="preserve"> </w:t>
      </w:r>
      <w:r w:rsidR="00BE283C" w:rsidRPr="00EC4FA9">
        <w:t>By contrast, t</w:t>
      </w:r>
      <w:r w:rsidR="00727EEE" w:rsidRPr="00EC4FA9">
        <w:t>he e</w:t>
      </w:r>
      <w:r w:rsidR="00BF2D3B" w:rsidRPr="00EC4FA9">
        <w:t>xternal QA</w:t>
      </w:r>
      <w:r w:rsidR="00BE283C" w:rsidRPr="00EC4FA9">
        <w:t xml:space="preserve"> reports recommended </w:t>
      </w:r>
      <w:r w:rsidR="005258C0">
        <w:rPr>
          <w:i/>
          <w:iCs/>
        </w:rPr>
        <w:t xml:space="preserve">do-nothing </w:t>
      </w:r>
      <w:r w:rsidR="005258C0">
        <w:t xml:space="preserve">or </w:t>
      </w:r>
      <w:r w:rsidR="005258C0">
        <w:rPr>
          <w:i/>
          <w:iCs/>
        </w:rPr>
        <w:t>do-minimum</w:t>
      </w:r>
      <w:r w:rsidR="00BE283C" w:rsidRPr="00EC4FA9">
        <w:t xml:space="preserve"> in 28 cases</w:t>
      </w:r>
      <w:r w:rsidR="00BF2D3B" w:rsidRPr="00EC4FA9">
        <w:t xml:space="preserve">. </w:t>
      </w:r>
      <w:r w:rsidR="00BE283C" w:rsidRPr="00EC4FA9">
        <w:t xml:space="preserve">Interestingly, although </w:t>
      </w:r>
      <w:r w:rsidR="00512643">
        <w:t xml:space="preserve">political decision-makers </w:t>
      </w:r>
      <w:r w:rsidR="00357836">
        <w:t xml:space="preserve">rarely </w:t>
      </w:r>
      <w:r w:rsidR="00512643">
        <w:t>reject projects</w:t>
      </w:r>
      <w:r w:rsidR="00BE283C" w:rsidRPr="00EC4FA9">
        <w:t xml:space="preserve">, </w:t>
      </w:r>
      <w:r w:rsidR="000B3D21">
        <w:t>they may</w:t>
      </w:r>
      <w:r w:rsidR="00BE283C" w:rsidRPr="00EC4FA9">
        <w:t xml:space="preserve"> put</w:t>
      </w:r>
      <w:r w:rsidR="000B3D21">
        <w:t xml:space="preserve"> them</w:t>
      </w:r>
      <w:r w:rsidR="00BE283C" w:rsidRPr="00EC4FA9">
        <w:t xml:space="preserve"> on hold indefinitely, implying that</w:t>
      </w:r>
      <w:r w:rsidR="002F2261" w:rsidRPr="00EC4FA9">
        <w:t xml:space="preserve"> the actual outcome in many cases is still </w:t>
      </w:r>
      <w:r w:rsidR="002F2261" w:rsidRPr="00EC4FA9">
        <w:rPr>
          <w:i/>
          <w:iCs/>
        </w:rPr>
        <w:t>do</w:t>
      </w:r>
      <w:r w:rsidR="002810E6">
        <w:rPr>
          <w:i/>
          <w:iCs/>
        </w:rPr>
        <w:t>-</w:t>
      </w:r>
      <w:r w:rsidR="002F2261" w:rsidRPr="00EC4FA9">
        <w:rPr>
          <w:i/>
          <w:iCs/>
        </w:rPr>
        <w:t>nothing</w:t>
      </w:r>
      <w:r w:rsidR="002F2261" w:rsidRPr="00EC4FA9">
        <w:t>.</w:t>
      </w:r>
    </w:p>
    <w:p w14:paraId="394750C0" w14:textId="76267CA2" w:rsidR="00BF2D3B" w:rsidRPr="00917B65" w:rsidRDefault="00BF2D3B" w:rsidP="00523371">
      <w:pPr>
        <w:rPr>
          <w:b/>
          <w:bCs/>
        </w:rPr>
      </w:pPr>
      <w:r w:rsidRPr="00917B65">
        <w:rPr>
          <w:b/>
          <w:bCs/>
        </w:rPr>
        <w:t>Originality</w:t>
      </w:r>
    </w:p>
    <w:p w14:paraId="7A166882" w14:textId="3364F0C1" w:rsidR="00E37B96" w:rsidRPr="00EC4FA9" w:rsidRDefault="00C04B20" w:rsidP="00523371">
      <w:r w:rsidRPr="00EC4FA9">
        <w:t>The paper addresses a topic which has been understudied</w:t>
      </w:r>
      <w:r w:rsidR="002262E0" w:rsidRPr="00EC4FA9">
        <w:t xml:space="preserve"> in the literature</w:t>
      </w:r>
      <w:r w:rsidRPr="00EC4FA9">
        <w:t xml:space="preserve">. </w:t>
      </w:r>
      <w:r w:rsidR="00882502" w:rsidRPr="00EC4FA9">
        <w:t>T</w:t>
      </w:r>
      <w:r w:rsidRPr="00EC4FA9">
        <w:t xml:space="preserve">he findings contribute to the </w:t>
      </w:r>
      <w:r w:rsidR="00266631" w:rsidRPr="00EC4FA9">
        <w:t xml:space="preserve">broader </w:t>
      </w:r>
      <w:r w:rsidRPr="00EC4FA9">
        <w:t>literature on project initiation processes</w:t>
      </w:r>
      <w:r w:rsidR="00251A46" w:rsidRPr="00EC4FA9">
        <w:t xml:space="preserve"> and project appraisal</w:t>
      </w:r>
      <w:r w:rsidRPr="00EC4FA9">
        <w:t xml:space="preserve"> </w:t>
      </w:r>
      <w:r w:rsidR="00882502" w:rsidRPr="00EC4FA9">
        <w:t>and how to reduce</w:t>
      </w:r>
      <w:r w:rsidRPr="00EC4FA9">
        <w:t xml:space="preserve"> the risk of</w:t>
      </w:r>
      <w:r w:rsidR="001D7F68" w:rsidRPr="00EC4FA9">
        <w:t xml:space="preserve"> </w:t>
      </w:r>
      <w:r w:rsidR="00727EEE" w:rsidRPr="00EC4FA9">
        <w:t xml:space="preserve">bias and manipulation </w:t>
      </w:r>
      <w:r w:rsidR="00251A46" w:rsidRPr="00EC4FA9">
        <w:t>in</w:t>
      </w:r>
      <w:r w:rsidR="00727EEE" w:rsidRPr="00EC4FA9">
        <w:t xml:space="preserve"> appraisals.</w:t>
      </w:r>
      <w:r w:rsidR="00F95BE6" w:rsidRPr="00EC4FA9">
        <w:t xml:space="preserve"> </w:t>
      </w:r>
    </w:p>
    <w:bookmarkEnd w:id="1"/>
    <w:bookmarkEnd w:id="2"/>
    <w:p w14:paraId="3B1D3863" w14:textId="77777777" w:rsidR="00EF5FB0" w:rsidRPr="00EC4FA9" w:rsidRDefault="00BA7414" w:rsidP="00EA226A">
      <w:pPr>
        <w:rPr>
          <w:b/>
          <w:bCs/>
        </w:rPr>
      </w:pPr>
      <w:r w:rsidRPr="00EC4FA9">
        <w:rPr>
          <w:b/>
          <w:bCs/>
        </w:rPr>
        <w:t>Keywords</w:t>
      </w:r>
    </w:p>
    <w:p w14:paraId="24B82335" w14:textId="0EA04CDB" w:rsidR="00FA551D" w:rsidRPr="00EC4FA9" w:rsidRDefault="005A2C0A" w:rsidP="00EA226A">
      <w:r w:rsidRPr="00EC4FA9">
        <w:t xml:space="preserve">initiation phase, </w:t>
      </w:r>
      <w:r w:rsidR="00950EA4" w:rsidRPr="00EC4FA9">
        <w:t>p</w:t>
      </w:r>
      <w:r w:rsidR="00160614" w:rsidRPr="00EC4FA9">
        <w:t>ublic p</w:t>
      </w:r>
      <w:r w:rsidR="00BA7414" w:rsidRPr="00EC4FA9">
        <w:t>roject appraisal</w:t>
      </w:r>
      <w:r w:rsidR="00950EA4" w:rsidRPr="00EC4FA9">
        <w:t>,</w:t>
      </w:r>
      <w:r w:rsidR="00BA7414" w:rsidRPr="00EC4FA9">
        <w:t xml:space="preserve"> </w:t>
      </w:r>
      <w:r w:rsidR="00950EA4" w:rsidRPr="00EC4FA9">
        <w:t>c</w:t>
      </w:r>
      <w:r w:rsidR="00BA7414" w:rsidRPr="00EC4FA9">
        <w:t>ost-benefit analysis</w:t>
      </w:r>
      <w:r w:rsidR="00950EA4" w:rsidRPr="00EC4FA9">
        <w:t>,</w:t>
      </w:r>
      <w:r w:rsidR="00BA7414" w:rsidRPr="00EC4FA9">
        <w:t xml:space="preserve"> </w:t>
      </w:r>
      <w:r w:rsidR="00950EA4" w:rsidRPr="00EC4FA9">
        <w:t>d</w:t>
      </w:r>
      <w:r w:rsidR="00BA7414" w:rsidRPr="00EC4FA9">
        <w:t>o</w:t>
      </w:r>
      <w:r w:rsidR="002810E6">
        <w:t>-</w:t>
      </w:r>
      <w:r w:rsidR="00BA7414" w:rsidRPr="00EC4FA9">
        <w:t>nothing</w:t>
      </w:r>
      <w:r w:rsidR="00950EA4" w:rsidRPr="00EC4FA9">
        <w:t>,</w:t>
      </w:r>
      <w:r w:rsidR="004D147B" w:rsidRPr="00EC4FA9">
        <w:t xml:space="preserve"> </w:t>
      </w:r>
      <w:r w:rsidR="00950EA4" w:rsidRPr="00EC4FA9">
        <w:t>d</w:t>
      </w:r>
      <w:r w:rsidR="004D147B" w:rsidRPr="00EC4FA9">
        <w:t>o</w:t>
      </w:r>
      <w:r w:rsidR="002810E6">
        <w:t>-</w:t>
      </w:r>
      <w:r w:rsidR="00BA7414" w:rsidRPr="00EC4FA9">
        <w:t>minimum</w:t>
      </w:r>
      <w:r w:rsidR="00950EA4" w:rsidRPr="00EC4FA9">
        <w:t>,</w:t>
      </w:r>
      <w:r w:rsidR="00BA7414" w:rsidRPr="00EC4FA9">
        <w:t xml:space="preserve"> </w:t>
      </w:r>
      <w:r w:rsidR="00950EA4" w:rsidRPr="00EC4FA9">
        <w:t>d</w:t>
      </w:r>
      <w:r w:rsidR="00BA7414" w:rsidRPr="00EC4FA9">
        <w:t>o</w:t>
      </w:r>
      <w:r w:rsidR="002810E6">
        <w:t>-</w:t>
      </w:r>
      <w:r w:rsidR="004D147B" w:rsidRPr="00EC4FA9">
        <w:t>something</w:t>
      </w:r>
      <w:r w:rsidR="00950EA4" w:rsidRPr="00EC4FA9">
        <w:t>,</w:t>
      </w:r>
      <w:r w:rsidR="004D147B" w:rsidRPr="00EC4FA9">
        <w:t xml:space="preserve"> </w:t>
      </w:r>
      <w:r w:rsidR="00950EA4" w:rsidRPr="00EC4FA9">
        <w:t>b</w:t>
      </w:r>
      <w:r w:rsidR="004D147B" w:rsidRPr="00EC4FA9">
        <w:t>ase</w:t>
      </w:r>
      <w:r w:rsidR="00F95BE6" w:rsidRPr="00EC4FA9">
        <w:t>line</w:t>
      </w:r>
      <w:r w:rsidR="00950EA4" w:rsidRPr="00EC4FA9">
        <w:t>,</w:t>
      </w:r>
      <w:r w:rsidR="00BA7414" w:rsidRPr="00EC4FA9">
        <w:t xml:space="preserve"> </w:t>
      </w:r>
      <w:r w:rsidR="00950EA4" w:rsidRPr="00EC4FA9">
        <w:t>r</w:t>
      </w:r>
      <w:r w:rsidR="00BA7414" w:rsidRPr="00EC4FA9">
        <w:t xml:space="preserve">eference </w:t>
      </w:r>
      <w:r w:rsidR="00EA226A" w:rsidRPr="00EC4FA9">
        <w:t>alternative</w:t>
      </w:r>
      <w:r w:rsidR="00F95BE6" w:rsidRPr="00EC4FA9">
        <w:t xml:space="preserve">, </w:t>
      </w:r>
      <w:r w:rsidR="00EC6428" w:rsidRPr="00EC4FA9">
        <w:t xml:space="preserve">government </w:t>
      </w:r>
      <w:r w:rsidR="00EC6428">
        <w:t xml:space="preserve">investment </w:t>
      </w:r>
      <w:r w:rsidR="00EC6428" w:rsidRPr="00EC4FA9">
        <w:t>projects</w:t>
      </w:r>
      <w:r w:rsidR="00EC6428">
        <w:t>,</w:t>
      </w:r>
      <w:r w:rsidR="00EC6428" w:rsidRPr="00EC4FA9">
        <w:t xml:space="preserve"> </w:t>
      </w:r>
      <w:r w:rsidR="00F95BE6" w:rsidRPr="00EC4FA9">
        <w:t>optimism bias</w:t>
      </w:r>
    </w:p>
    <w:p w14:paraId="371969D2" w14:textId="3D87865A" w:rsidR="009E422A" w:rsidRPr="00EC4FA9" w:rsidRDefault="009E422A" w:rsidP="000D5899">
      <w:pPr>
        <w:pStyle w:val="Heading2"/>
      </w:pPr>
      <w:bookmarkStart w:id="4" w:name="_Hlk142670801"/>
      <w:bookmarkStart w:id="5" w:name="_Hlk142827651"/>
      <w:r w:rsidRPr="00EC4FA9">
        <w:t>Introduction</w:t>
      </w:r>
    </w:p>
    <w:p w14:paraId="3C82BD85" w14:textId="72760D9F" w:rsidR="00450FD1" w:rsidRPr="00EC4FA9" w:rsidRDefault="005F1F79" w:rsidP="005F1F79">
      <w:r w:rsidRPr="00EC4FA9">
        <w:t xml:space="preserve">The </w:t>
      </w:r>
      <w:r w:rsidRPr="00EC4FA9">
        <w:rPr>
          <w:i/>
          <w:iCs/>
        </w:rPr>
        <w:t xml:space="preserve">do-nothing </w:t>
      </w:r>
      <w:r w:rsidR="00F51237">
        <w:t xml:space="preserve">alternative is essential for the outcome of </w:t>
      </w:r>
      <w:r w:rsidR="000B0F9D">
        <w:t>economic appraisal o</w:t>
      </w:r>
      <w:r w:rsidR="00DC54BB">
        <w:t>f</w:t>
      </w:r>
      <w:r w:rsidR="000B0F9D">
        <w:t xml:space="preserve"> projects</w:t>
      </w:r>
      <w:r w:rsidR="00446785">
        <w:t xml:space="preserve"> (Tveter, 2013)</w:t>
      </w:r>
      <w:r w:rsidR="000B0F9D" w:rsidRPr="003F1D65">
        <w:t>.</w:t>
      </w:r>
      <w:r w:rsidR="00FE78FA">
        <w:t xml:space="preserve"> It acts as a baseline that potential </w:t>
      </w:r>
      <w:r w:rsidR="00297200">
        <w:t xml:space="preserve">construction </w:t>
      </w:r>
      <w:r w:rsidR="00FE78FA">
        <w:t>project</w:t>
      </w:r>
      <w:r w:rsidR="00297200">
        <w:t>s</w:t>
      </w:r>
      <w:r w:rsidR="00FE78FA">
        <w:t xml:space="preserve"> are </w:t>
      </w:r>
      <w:r w:rsidR="00332841">
        <w:t xml:space="preserve">compared </w:t>
      </w:r>
      <w:r w:rsidR="00BA409B">
        <w:t>against,</w:t>
      </w:r>
      <w:r w:rsidR="00332841">
        <w:t xml:space="preserve"> and it should ideally be a viable option in itself. </w:t>
      </w:r>
      <w:r w:rsidR="00C366E4">
        <w:t xml:space="preserve">Simple and low-cost solutions to the problem at hand, so-called </w:t>
      </w:r>
      <w:r w:rsidR="00C366E4">
        <w:rPr>
          <w:i/>
          <w:iCs/>
        </w:rPr>
        <w:t xml:space="preserve">do-minimum </w:t>
      </w:r>
      <w:r w:rsidR="00C366E4">
        <w:t xml:space="preserve">alternatives, should also be assessed. </w:t>
      </w:r>
      <w:r w:rsidR="00332841">
        <w:t xml:space="preserve">The design of </w:t>
      </w:r>
      <w:r w:rsidR="00BA409B" w:rsidRPr="00314D32">
        <w:rPr>
          <w:i/>
          <w:iCs/>
        </w:rPr>
        <w:t>do-nothing</w:t>
      </w:r>
      <w:r w:rsidR="00332841">
        <w:t xml:space="preserve"> </w:t>
      </w:r>
      <w:r w:rsidR="00C366E4">
        <w:t>an</w:t>
      </w:r>
      <w:r w:rsidR="002843D4">
        <w:t>d</w:t>
      </w:r>
      <w:r w:rsidR="00C366E4">
        <w:t xml:space="preserve"> </w:t>
      </w:r>
      <w:r w:rsidR="002810E6">
        <w:rPr>
          <w:i/>
          <w:iCs/>
        </w:rPr>
        <w:t>d</w:t>
      </w:r>
      <w:r w:rsidR="00C366E4">
        <w:rPr>
          <w:i/>
          <w:iCs/>
        </w:rPr>
        <w:t xml:space="preserve">o-minimum </w:t>
      </w:r>
      <w:r w:rsidR="00332841">
        <w:t>alternative</w:t>
      </w:r>
      <w:r w:rsidR="00C366E4">
        <w:t>s</w:t>
      </w:r>
      <w:r w:rsidR="00332841">
        <w:t xml:space="preserve"> is thus</w:t>
      </w:r>
      <w:r w:rsidR="00BA409B">
        <w:t xml:space="preserve"> crucial.  </w:t>
      </w:r>
      <w:r w:rsidR="000B0F9D">
        <w:t>Despite this</w:t>
      </w:r>
      <w:r w:rsidR="00266631" w:rsidRPr="00EC4FA9">
        <w:t>,</w:t>
      </w:r>
      <w:r w:rsidRPr="00EC4FA9">
        <w:t xml:space="preserve"> little research on this topic</w:t>
      </w:r>
      <w:r w:rsidR="00EF2003">
        <w:t xml:space="preserve"> has been published</w:t>
      </w:r>
      <w:r w:rsidR="000B0F9D">
        <w:t>.</w:t>
      </w:r>
      <w:r w:rsidR="00450FD1" w:rsidRPr="00EC4FA9">
        <w:t xml:space="preserve"> </w:t>
      </w:r>
    </w:p>
    <w:p w14:paraId="7DDBAEC1" w14:textId="7D8535BF" w:rsidR="004A0C71" w:rsidRPr="00EC4FA9" w:rsidRDefault="00F4549A" w:rsidP="0072693C">
      <w:r w:rsidRPr="00EC4FA9">
        <w:t>More knowledge about th</w:t>
      </w:r>
      <w:r w:rsidR="00EF2003">
        <w:t>e</w:t>
      </w:r>
      <w:r w:rsidRPr="00EC4FA9">
        <w:t xml:space="preserve"> </w:t>
      </w:r>
      <w:r w:rsidR="00522EB8">
        <w:rPr>
          <w:i/>
          <w:iCs/>
        </w:rPr>
        <w:t xml:space="preserve">do-nothing </w:t>
      </w:r>
      <w:r w:rsidR="00522EB8">
        <w:t xml:space="preserve">and </w:t>
      </w:r>
      <w:r w:rsidR="00522EB8">
        <w:rPr>
          <w:i/>
          <w:iCs/>
        </w:rPr>
        <w:t xml:space="preserve">do-minimum </w:t>
      </w:r>
      <w:r w:rsidR="00522EB8">
        <w:t>alternatives</w:t>
      </w:r>
      <w:r w:rsidR="00522EB8" w:rsidRPr="00EC4FA9">
        <w:t xml:space="preserve"> </w:t>
      </w:r>
      <w:r w:rsidRPr="00EC4FA9">
        <w:t xml:space="preserve">will contribute to the literature on the project initiation phase and early project appraisal. </w:t>
      </w:r>
      <w:r w:rsidR="005F1F79" w:rsidRPr="00EC4FA9">
        <w:t>The appropriate treatment of the</w:t>
      </w:r>
      <w:r w:rsidR="00EF2003">
        <w:t xml:space="preserve"> two </w:t>
      </w:r>
      <w:r w:rsidR="005F1F79" w:rsidRPr="00EC4FA9">
        <w:lastRenderedPageBreak/>
        <w:t xml:space="preserve">alternatives in </w:t>
      </w:r>
      <w:r w:rsidR="000C5754">
        <w:t xml:space="preserve">the </w:t>
      </w:r>
      <w:r w:rsidR="005F1F79" w:rsidRPr="00EC4FA9">
        <w:t>project appraisal has many technical aspects</w:t>
      </w:r>
      <w:r w:rsidR="005E289E">
        <w:t xml:space="preserve"> </w:t>
      </w:r>
      <w:r w:rsidR="004A0C71" w:rsidRPr="00EC4FA9">
        <w:t>– t</w:t>
      </w:r>
      <w:r w:rsidR="00BD0C6B" w:rsidRPr="00EC4FA9">
        <w:t xml:space="preserve">he baseline scenario may be complex, where </w:t>
      </w:r>
      <w:r w:rsidR="00804E04">
        <w:t>forecasts</w:t>
      </w:r>
      <w:r w:rsidR="00804E04" w:rsidRPr="00EC4FA9">
        <w:t xml:space="preserve"> </w:t>
      </w:r>
      <w:r w:rsidR="00BD0C6B" w:rsidRPr="00EC4FA9">
        <w:t xml:space="preserve">are needed for </w:t>
      </w:r>
      <w:r w:rsidRPr="00EC4FA9">
        <w:t>numerous</w:t>
      </w:r>
      <w:r w:rsidR="00BD0C6B" w:rsidRPr="00EC4FA9">
        <w:t xml:space="preserve"> variables, often with </w:t>
      </w:r>
      <w:r w:rsidRPr="00EC4FA9">
        <w:t>little</w:t>
      </w:r>
      <w:r w:rsidR="00BD0C6B" w:rsidRPr="00EC4FA9">
        <w:t xml:space="preserve"> data. </w:t>
      </w:r>
      <w:r w:rsidR="005F1F79" w:rsidRPr="00EC4FA9">
        <w:t xml:space="preserve">However, </w:t>
      </w:r>
      <w:r w:rsidR="00450FD1" w:rsidRPr="00EC4FA9">
        <w:t xml:space="preserve">the risk of bias may also be </w:t>
      </w:r>
      <w:r w:rsidR="00450FD1" w:rsidRPr="003F1D65">
        <w:t>a</w:t>
      </w:r>
      <w:r w:rsidR="00CB50CD">
        <w:t>n</w:t>
      </w:r>
      <w:r w:rsidR="00266631" w:rsidRPr="00EC4FA9">
        <w:t xml:space="preserve"> </w:t>
      </w:r>
      <w:r w:rsidR="005F1F79" w:rsidRPr="00EC4FA9">
        <w:t xml:space="preserve">issue. The appraisal is </w:t>
      </w:r>
      <w:r w:rsidR="00266631" w:rsidRPr="00EC4FA9">
        <w:t xml:space="preserve">usually </w:t>
      </w:r>
      <w:r w:rsidR="005F1F79" w:rsidRPr="00EC4FA9">
        <w:t xml:space="preserve">carried out by a public agency, often in close cooperation with </w:t>
      </w:r>
      <w:r w:rsidR="00DE1731" w:rsidRPr="00EC4FA9">
        <w:t>stakeholders</w:t>
      </w:r>
      <w:r w:rsidR="00450FD1" w:rsidRPr="00EC4FA9">
        <w:t xml:space="preserve"> </w:t>
      </w:r>
      <w:r w:rsidR="003326B2">
        <w:t>with</w:t>
      </w:r>
      <w:r w:rsidR="00450FD1" w:rsidRPr="00EC4FA9">
        <w:t xml:space="preserve"> strong preferences </w:t>
      </w:r>
      <w:r w:rsidR="00BD0C6B" w:rsidRPr="00EC4FA9">
        <w:t>f</w:t>
      </w:r>
      <w:r w:rsidR="00450FD1" w:rsidRPr="00EC4FA9">
        <w:t>or</w:t>
      </w:r>
      <w:r w:rsidR="00BD0C6B" w:rsidRPr="00EC4FA9">
        <w:t xml:space="preserve"> a specific project</w:t>
      </w:r>
      <w:r w:rsidR="005F1F79" w:rsidRPr="00EC4FA9">
        <w:t xml:space="preserve">. </w:t>
      </w:r>
      <w:r w:rsidR="00C74A9C">
        <w:t>P</w:t>
      </w:r>
      <w:r w:rsidR="005F1F79" w:rsidRPr="003F1D65">
        <w:t>roject</w:t>
      </w:r>
      <w:r w:rsidR="005F1F79" w:rsidRPr="00EC4FA9">
        <w:t xml:space="preserve"> promoter</w:t>
      </w:r>
      <w:r w:rsidR="00BD0C6B" w:rsidRPr="00EC4FA9">
        <w:t>s</w:t>
      </w:r>
      <w:r w:rsidR="005F1F79" w:rsidRPr="00EC4FA9">
        <w:t xml:space="preserve"> may </w:t>
      </w:r>
      <w:r w:rsidR="003326B2">
        <w:t>be incentivised</w:t>
      </w:r>
      <w:r w:rsidR="005F1F79" w:rsidRPr="00EC4FA9">
        <w:t xml:space="preserve"> to hide or diminish relevant </w:t>
      </w:r>
      <w:r w:rsidR="005F1F79" w:rsidRPr="00EC4FA9">
        <w:rPr>
          <w:i/>
          <w:iCs/>
        </w:rPr>
        <w:t>do-nothing</w:t>
      </w:r>
      <w:r w:rsidR="005F1F79" w:rsidRPr="00EC4FA9">
        <w:t xml:space="preserve"> and </w:t>
      </w:r>
      <w:r w:rsidR="005F1F79" w:rsidRPr="00EC4FA9">
        <w:rPr>
          <w:i/>
          <w:iCs/>
        </w:rPr>
        <w:t>do-minimum</w:t>
      </w:r>
      <w:r w:rsidR="005F1F79" w:rsidRPr="00EC4FA9">
        <w:t xml:space="preserve"> alternatives that would otherwise score better than the</w:t>
      </w:r>
      <w:r w:rsidR="00BD0C6B" w:rsidRPr="00EC4FA9">
        <w:t>ir preferred</w:t>
      </w:r>
      <w:r w:rsidR="005F1F79" w:rsidRPr="00EC4FA9">
        <w:t xml:space="preserve"> alternative in the appraisal. </w:t>
      </w:r>
      <w:r w:rsidR="00074066">
        <w:t xml:space="preserve">Principal agent problems may be particularly prominent when </w:t>
      </w:r>
      <w:r w:rsidR="00E610F4">
        <w:t xml:space="preserve">there is </w:t>
      </w:r>
      <w:r w:rsidR="00591755">
        <w:t>an asymmetry between who pays for a project and who receives the benefits</w:t>
      </w:r>
      <w:r w:rsidR="00814B3C">
        <w:t>. This may result in conflicting goals</w:t>
      </w:r>
      <w:r w:rsidR="00202507">
        <w:t xml:space="preserve"> and is further exasperated by</w:t>
      </w:r>
      <w:r w:rsidR="00474DD2">
        <w:t xml:space="preserve"> information asymmetries </w:t>
      </w:r>
      <w:r w:rsidR="00BB1500">
        <w:t>(Miller, 2005; Volden</w:t>
      </w:r>
      <w:r w:rsidR="00D41406">
        <w:t>, 2018).</w:t>
      </w:r>
    </w:p>
    <w:p w14:paraId="0EA81359" w14:textId="24526F53" w:rsidR="003624F4" w:rsidRPr="000B3534" w:rsidRDefault="00266631" w:rsidP="0072693C">
      <w:r w:rsidRPr="00EC4FA9">
        <w:t xml:space="preserve">This paper </w:t>
      </w:r>
      <w:r w:rsidR="0072693C" w:rsidRPr="00EC4FA9">
        <w:t>look</w:t>
      </w:r>
      <w:r w:rsidR="00C568BB">
        <w:t>s</w:t>
      </w:r>
      <w:r w:rsidR="0072693C" w:rsidRPr="00EC4FA9">
        <w:t xml:space="preserve"> empirically at the </w:t>
      </w:r>
      <w:r w:rsidR="0072693C" w:rsidRPr="00EC4FA9">
        <w:rPr>
          <w:i/>
          <w:iCs/>
        </w:rPr>
        <w:t>do-nothing</w:t>
      </w:r>
      <w:r w:rsidR="0072693C" w:rsidRPr="00EC4FA9">
        <w:t xml:space="preserve"> and </w:t>
      </w:r>
      <w:r w:rsidR="0072693C" w:rsidRPr="00EC4FA9">
        <w:rPr>
          <w:i/>
          <w:iCs/>
        </w:rPr>
        <w:t>do-minimum</w:t>
      </w:r>
      <w:r w:rsidR="0072693C" w:rsidRPr="00EC4FA9">
        <w:t xml:space="preserve"> alternatives, taking an open and explorative approach.</w:t>
      </w:r>
      <w:r w:rsidR="003624F4" w:rsidRPr="00EC4FA9">
        <w:t xml:space="preserve"> We </w:t>
      </w:r>
      <w:r w:rsidR="00814392">
        <w:t>examin</w:t>
      </w:r>
      <w:r w:rsidR="00EB642C">
        <w:t>e</w:t>
      </w:r>
      <w:r w:rsidR="003624F4" w:rsidRPr="00EC4FA9">
        <w:t xml:space="preserve"> the role of these alternatives</w:t>
      </w:r>
      <w:r w:rsidR="004A0C71" w:rsidRPr="00EC4FA9">
        <w:t xml:space="preserve"> in the appraisal</w:t>
      </w:r>
      <w:r w:rsidR="003624F4" w:rsidRPr="00EC4FA9">
        <w:t>,</w:t>
      </w:r>
      <w:r w:rsidR="001B7AC7">
        <w:t xml:space="preserve"> and</w:t>
      </w:r>
      <w:r w:rsidR="003624F4" w:rsidRPr="00EC4FA9">
        <w:t xml:space="preserve"> how they are designed</w:t>
      </w:r>
      <w:r w:rsidR="00125117">
        <w:t xml:space="preserve">, </w:t>
      </w:r>
      <w:r w:rsidR="003624F4" w:rsidRPr="00EC4FA9">
        <w:t>presented</w:t>
      </w:r>
      <w:r w:rsidR="00125117">
        <w:t xml:space="preserve"> and if they are</w:t>
      </w:r>
      <w:r w:rsidR="000C5754">
        <w:t xml:space="preserve"> ever</w:t>
      </w:r>
      <w:r w:rsidR="00125117">
        <w:t xml:space="preserve"> recommended</w:t>
      </w:r>
      <w:r w:rsidR="00482B2B">
        <w:t>.</w:t>
      </w:r>
      <w:r w:rsidR="003624F4" w:rsidRPr="00EC4FA9">
        <w:t xml:space="preserve"> </w:t>
      </w:r>
      <w:r w:rsidR="00482B2B">
        <w:t xml:space="preserve">We also look briefly at </w:t>
      </w:r>
      <w:r w:rsidR="003624F4" w:rsidRPr="00EC4FA9">
        <w:t xml:space="preserve">the extent to which </w:t>
      </w:r>
      <w:r w:rsidR="003624F4" w:rsidRPr="00EC4FA9">
        <w:rPr>
          <w:i/>
          <w:iCs/>
        </w:rPr>
        <w:t>do-nothing</w:t>
      </w:r>
      <w:r w:rsidR="003624F4" w:rsidRPr="00EC4FA9">
        <w:t xml:space="preserve"> and </w:t>
      </w:r>
      <w:r w:rsidR="003624F4" w:rsidRPr="00EC4FA9">
        <w:rPr>
          <w:i/>
          <w:iCs/>
        </w:rPr>
        <w:t>do-minimum</w:t>
      </w:r>
      <w:r w:rsidR="003624F4" w:rsidRPr="00EC4FA9">
        <w:t xml:space="preserve"> alternatives are selected by decision-makers.</w:t>
      </w:r>
      <w:r w:rsidR="00DA2E38">
        <w:t xml:space="preserve"> </w:t>
      </w:r>
      <w:r w:rsidR="00326D55">
        <w:t>We use</w:t>
      </w:r>
      <w:r w:rsidR="00C568BB">
        <w:t xml:space="preserve"> the terms</w:t>
      </w:r>
      <w:r w:rsidR="00326D55">
        <w:t xml:space="preserve"> </w:t>
      </w:r>
      <w:r w:rsidR="00EA1CCF">
        <w:rPr>
          <w:i/>
          <w:iCs/>
        </w:rPr>
        <w:t>do</w:t>
      </w:r>
      <w:r w:rsidR="00C568BB">
        <w:rPr>
          <w:i/>
          <w:iCs/>
        </w:rPr>
        <w:t>-</w:t>
      </w:r>
      <w:r w:rsidR="00EA1CCF">
        <w:rPr>
          <w:i/>
          <w:iCs/>
        </w:rPr>
        <w:t xml:space="preserve">nothing </w:t>
      </w:r>
      <w:r w:rsidR="00EA1CCF">
        <w:t xml:space="preserve">and </w:t>
      </w:r>
      <w:r w:rsidR="00EA1CCF">
        <w:rPr>
          <w:i/>
          <w:iCs/>
        </w:rPr>
        <w:t>do</w:t>
      </w:r>
      <w:r w:rsidR="00C568BB">
        <w:rPr>
          <w:i/>
          <w:iCs/>
        </w:rPr>
        <w:t>-</w:t>
      </w:r>
      <w:r w:rsidR="00EA1CCF">
        <w:rPr>
          <w:i/>
          <w:iCs/>
        </w:rPr>
        <w:t xml:space="preserve">minimum </w:t>
      </w:r>
      <w:r w:rsidR="00326D55">
        <w:t xml:space="preserve">as </w:t>
      </w:r>
      <w:r w:rsidR="00C568BB">
        <w:t>they</w:t>
      </w:r>
      <w:r w:rsidR="00D83FA0">
        <w:t xml:space="preserve"> </w:t>
      </w:r>
      <w:r w:rsidR="00EA1CCF">
        <w:t xml:space="preserve">are </w:t>
      </w:r>
      <w:r w:rsidR="000F5384">
        <w:t>common</w:t>
      </w:r>
      <w:r w:rsidR="003C7A31">
        <w:t xml:space="preserve">ly </w:t>
      </w:r>
      <w:r w:rsidR="00384C67">
        <w:t>applied</w:t>
      </w:r>
      <w:r w:rsidR="000F5384">
        <w:t xml:space="preserve"> </w:t>
      </w:r>
      <w:r w:rsidR="005B6C42">
        <w:t xml:space="preserve">in </w:t>
      </w:r>
      <w:r w:rsidR="003C7A31">
        <w:t>project appraisal guides</w:t>
      </w:r>
      <w:r w:rsidR="00C71D1B" w:rsidRPr="00C71D1B">
        <w:t xml:space="preserve"> </w:t>
      </w:r>
      <w:r w:rsidR="00C71D1B">
        <w:t xml:space="preserve">and in </w:t>
      </w:r>
      <w:r w:rsidR="003F2B9E">
        <w:t xml:space="preserve">the </w:t>
      </w:r>
      <w:r w:rsidR="00C71D1B">
        <w:t>literature</w:t>
      </w:r>
      <w:r w:rsidR="00CC3A6B">
        <w:t xml:space="preserve"> (e.g., Mackie and Preston, 1998)</w:t>
      </w:r>
      <w:r w:rsidR="003C7A31">
        <w:t xml:space="preserve">. However, </w:t>
      </w:r>
      <w:r w:rsidR="009A5EC8">
        <w:t xml:space="preserve">the terminology </w:t>
      </w:r>
      <w:r w:rsidR="00E63A9B">
        <w:t xml:space="preserve">in this area </w:t>
      </w:r>
      <w:r w:rsidR="009A5EC8">
        <w:t>is not consistent</w:t>
      </w:r>
      <w:r w:rsidR="00522435">
        <w:t xml:space="preserve">, </w:t>
      </w:r>
      <w:r w:rsidR="00E63A9B">
        <w:t xml:space="preserve">and other terms are also in use </w:t>
      </w:r>
      <w:r w:rsidR="000B3534">
        <w:t>such as</w:t>
      </w:r>
      <w:r w:rsidR="00F436E3">
        <w:t xml:space="preserve"> </w:t>
      </w:r>
      <w:r w:rsidR="0031406F">
        <w:t>‘</w:t>
      </w:r>
      <w:r w:rsidR="00BB2B07">
        <w:t xml:space="preserve">the </w:t>
      </w:r>
      <w:r w:rsidR="00F436E3">
        <w:t>counterfactual</w:t>
      </w:r>
      <w:r w:rsidR="0031406F">
        <w:t>’</w:t>
      </w:r>
      <w:r w:rsidR="0024457C">
        <w:t xml:space="preserve"> (</w:t>
      </w:r>
      <w:r w:rsidR="0024457C" w:rsidRPr="00EC4FA9">
        <w:t>Burress and Oslund</w:t>
      </w:r>
      <w:r w:rsidR="0024457C">
        <w:t xml:space="preserve">, </w:t>
      </w:r>
      <w:r w:rsidR="0024457C" w:rsidRPr="00EC4FA9">
        <w:t>2004</w:t>
      </w:r>
      <w:r w:rsidR="0024457C">
        <w:t>)</w:t>
      </w:r>
      <w:r w:rsidR="00245357">
        <w:t xml:space="preserve"> and</w:t>
      </w:r>
      <w:r w:rsidR="00564A44">
        <w:t xml:space="preserve"> </w:t>
      </w:r>
      <w:r w:rsidR="0031406F">
        <w:t>‘</w:t>
      </w:r>
      <w:r w:rsidR="00BB2B07">
        <w:t xml:space="preserve">the </w:t>
      </w:r>
      <w:r w:rsidR="00564A44">
        <w:t>base case</w:t>
      </w:r>
      <w:r w:rsidR="0031406F">
        <w:t>’</w:t>
      </w:r>
      <w:r w:rsidR="00564A44">
        <w:t xml:space="preserve"> (</w:t>
      </w:r>
      <w:r w:rsidR="00934429">
        <w:t>Tveter, 2013</w:t>
      </w:r>
      <w:r w:rsidR="00564A44">
        <w:t>)</w:t>
      </w:r>
      <w:r w:rsidR="00BB2B07">
        <w:t xml:space="preserve"> </w:t>
      </w:r>
      <w:r w:rsidR="00BA205C">
        <w:t>as</w:t>
      </w:r>
      <w:r w:rsidR="00F871A7">
        <w:t xml:space="preserve"> synonyms for </w:t>
      </w:r>
      <w:r w:rsidR="00F871A7">
        <w:rPr>
          <w:i/>
          <w:iCs/>
        </w:rPr>
        <w:t>do</w:t>
      </w:r>
      <w:r w:rsidR="008E2D67">
        <w:rPr>
          <w:i/>
          <w:iCs/>
        </w:rPr>
        <w:t>-</w:t>
      </w:r>
      <w:r w:rsidR="00F871A7">
        <w:rPr>
          <w:i/>
          <w:iCs/>
        </w:rPr>
        <w:t>nothing</w:t>
      </w:r>
      <w:r w:rsidR="00F871A7">
        <w:t xml:space="preserve">, and </w:t>
      </w:r>
      <w:r w:rsidR="0031406F">
        <w:t>‘zero plus’ (</w:t>
      </w:r>
      <w:r w:rsidR="00E649ED">
        <w:t xml:space="preserve">Cantarelli </w:t>
      </w:r>
      <w:r w:rsidR="00E649ED" w:rsidRPr="00352D5E">
        <w:rPr>
          <w:i/>
          <w:iCs/>
        </w:rPr>
        <w:t>et al</w:t>
      </w:r>
      <w:r w:rsidR="00BA205C">
        <w:t>.</w:t>
      </w:r>
      <w:r w:rsidR="00E649ED">
        <w:t>, 2010</w:t>
      </w:r>
      <w:r w:rsidR="0031406F">
        <w:t>)</w:t>
      </w:r>
      <w:r w:rsidR="00E649ED">
        <w:t xml:space="preserve"> </w:t>
      </w:r>
      <w:r w:rsidR="00B57D18">
        <w:t>and ‘viable</w:t>
      </w:r>
      <w:r w:rsidR="00CB533F">
        <w:t xml:space="preserve"> do-minimum</w:t>
      </w:r>
      <w:r w:rsidR="00DC278D">
        <w:t xml:space="preserve"> option</w:t>
      </w:r>
      <w:r w:rsidR="00CB533F">
        <w:t>’ (HM Treasury</w:t>
      </w:r>
      <w:r w:rsidR="008E2D67">
        <w:t>, 2022</w:t>
      </w:r>
      <w:r w:rsidR="00CB533F">
        <w:t xml:space="preserve">) </w:t>
      </w:r>
      <w:r w:rsidR="00DC278D">
        <w:t>as variants</w:t>
      </w:r>
      <w:r w:rsidR="00F871A7">
        <w:t xml:space="preserve"> of</w:t>
      </w:r>
      <w:r w:rsidR="0024457C">
        <w:t xml:space="preserve"> </w:t>
      </w:r>
      <w:r w:rsidR="0024457C">
        <w:rPr>
          <w:i/>
          <w:iCs/>
        </w:rPr>
        <w:t>do</w:t>
      </w:r>
      <w:r w:rsidR="008E2D67">
        <w:rPr>
          <w:i/>
          <w:iCs/>
        </w:rPr>
        <w:t>-</w:t>
      </w:r>
      <w:r w:rsidR="0024457C">
        <w:rPr>
          <w:i/>
          <w:iCs/>
        </w:rPr>
        <w:t>minimum</w:t>
      </w:r>
      <w:r w:rsidR="00F871A7">
        <w:rPr>
          <w:i/>
          <w:iCs/>
        </w:rPr>
        <w:t>.</w:t>
      </w:r>
      <w:r w:rsidR="0024457C">
        <w:t xml:space="preserve"> </w:t>
      </w:r>
    </w:p>
    <w:p w14:paraId="346D3CC3" w14:textId="4794FD38" w:rsidR="003624F4" w:rsidRPr="00EC4FA9" w:rsidRDefault="0072693C" w:rsidP="003624F4">
      <w:bookmarkStart w:id="6" w:name="_Hlk142675727"/>
      <w:r w:rsidRPr="00EC4FA9">
        <w:t xml:space="preserve">We use </w:t>
      </w:r>
      <w:r w:rsidR="00A90DD3" w:rsidRPr="00EC4FA9">
        <w:t xml:space="preserve">empirical </w:t>
      </w:r>
      <w:r w:rsidRPr="00EC4FA9">
        <w:t>data from the planning phase of major government projects in Norway. S</w:t>
      </w:r>
      <w:r w:rsidRPr="00EC4FA9" w:rsidDel="00DA1EEB">
        <w:t xml:space="preserve">ince 2005, </w:t>
      </w:r>
      <w:r w:rsidRPr="00EC4FA9">
        <w:t xml:space="preserve">early project appraisal has been </w:t>
      </w:r>
      <w:r w:rsidRPr="00EC4FA9" w:rsidDel="00DA1EEB">
        <w:t xml:space="preserve">compulsory </w:t>
      </w:r>
      <w:r w:rsidRPr="00EC4FA9">
        <w:t xml:space="preserve">for </w:t>
      </w:r>
      <w:r w:rsidRPr="00EC4FA9" w:rsidDel="00DA1EEB">
        <w:t xml:space="preserve">the country’s largest projects under the Ministry of Finance’s </w:t>
      </w:r>
      <w:r w:rsidR="007D3FAF">
        <w:t>state project model</w:t>
      </w:r>
      <w:r w:rsidRPr="00EC4FA9" w:rsidDel="00DA1EEB">
        <w:t>.</w:t>
      </w:r>
      <w:r w:rsidRPr="00EC4FA9">
        <w:t xml:space="preserve"> This</w:t>
      </w:r>
      <w:r w:rsidR="00A965E5">
        <w:t xml:space="preserve"> ensures </w:t>
      </w:r>
      <w:r w:rsidR="003F2B9E">
        <w:t xml:space="preserve">the </w:t>
      </w:r>
      <w:r w:rsidR="00A965E5">
        <w:t xml:space="preserve">consistency of project appraisals and that data from the </w:t>
      </w:r>
      <w:r w:rsidR="004C54B8">
        <w:t>appraisals</w:t>
      </w:r>
      <w:r w:rsidR="00A965E5">
        <w:t xml:space="preserve"> are openly available for research.</w:t>
      </w:r>
      <w:r w:rsidRPr="00EC4FA9">
        <w:t xml:space="preserve"> </w:t>
      </w:r>
    </w:p>
    <w:bookmarkEnd w:id="6"/>
    <w:p w14:paraId="1486E520" w14:textId="07CA7761" w:rsidR="00F4549A" w:rsidRPr="00EC4FA9" w:rsidRDefault="00392C2E" w:rsidP="00646751">
      <w:r>
        <w:t>Norway tends</w:t>
      </w:r>
      <w:r w:rsidR="00646751" w:rsidRPr="00EC4FA9">
        <w:t xml:space="preserve"> </w:t>
      </w:r>
      <w:r w:rsidR="00266631" w:rsidRPr="00EC4FA9">
        <w:t>not to</w:t>
      </w:r>
      <w:r w:rsidR="00646751" w:rsidRPr="00EC4FA9">
        <w:t xml:space="preserve"> select projects according to the </w:t>
      </w:r>
      <w:r w:rsidR="00823AEF">
        <w:t>cost-benefit analysis (</w:t>
      </w:r>
      <w:r w:rsidR="00646751" w:rsidRPr="00EC4FA9">
        <w:t>CBA</w:t>
      </w:r>
      <w:r w:rsidR="00823AEF">
        <w:t>)</w:t>
      </w:r>
      <w:r w:rsidR="00646751" w:rsidRPr="00EC4FA9">
        <w:t xml:space="preserve">, particularly in the transport sector. Eliasson </w:t>
      </w:r>
      <w:r w:rsidR="00646751" w:rsidRPr="00EC4FA9">
        <w:rPr>
          <w:i/>
          <w:iCs/>
        </w:rPr>
        <w:t>et al</w:t>
      </w:r>
      <w:r w:rsidR="00646751" w:rsidRPr="00EC4FA9">
        <w:t>. (2015) found</w:t>
      </w:r>
      <w:r w:rsidR="00F4549A" w:rsidRPr="00EC4FA9">
        <w:t xml:space="preserve"> no relationship between project selection and </w:t>
      </w:r>
      <w:r w:rsidR="00646751" w:rsidRPr="00EC4FA9">
        <w:t xml:space="preserve">a </w:t>
      </w:r>
      <w:r w:rsidR="00F4549A" w:rsidRPr="00EC4FA9">
        <w:t xml:space="preserve">positive net present value. Volden (2019) </w:t>
      </w:r>
      <w:r w:rsidR="00A90DD3" w:rsidRPr="00EC4FA9">
        <w:t>demonstrated</w:t>
      </w:r>
      <w:r w:rsidR="00F4549A" w:rsidRPr="00EC4FA9">
        <w:t xml:space="preserve"> that 75% of </w:t>
      </w:r>
      <w:r w:rsidR="00646751" w:rsidRPr="00EC4FA9">
        <w:t xml:space="preserve">early project </w:t>
      </w:r>
      <w:r w:rsidR="00F4549A" w:rsidRPr="00EC4FA9">
        <w:t>appraisals</w:t>
      </w:r>
      <w:r w:rsidR="00646751" w:rsidRPr="00EC4FA9">
        <w:t xml:space="preserve"> </w:t>
      </w:r>
      <w:r w:rsidR="00A90DD3" w:rsidRPr="00EC4FA9">
        <w:t>recommended</w:t>
      </w:r>
      <w:r w:rsidR="00F4549A" w:rsidRPr="00EC4FA9">
        <w:t xml:space="preserve"> alternatives with a negative net present value. From an economic perspective, society would</w:t>
      </w:r>
      <w:r w:rsidR="003C590B">
        <w:t xml:space="preserve"> often</w:t>
      </w:r>
      <w:r w:rsidR="00F4549A" w:rsidRPr="00EC4FA9">
        <w:t xml:space="preserve"> have been better off with the </w:t>
      </w:r>
      <w:r w:rsidR="00F4549A" w:rsidRPr="00EC4FA9">
        <w:rPr>
          <w:i/>
          <w:iCs/>
        </w:rPr>
        <w:t xml:space="preserve">do-nothing </w:t>
      </w:r>
      <w:r w:rsidR="00F4549A" w:rsidRPr="00EC4FA9">
        <w:t>alternative</w:t>
      </w:r>
      <w:r w:rsidR="003C590B">
        <w:t>.</w:t>
      </w:r>
      <w:r w:rsidR="00717BA6">
        <w:t xml:space="preserve"> Poor selection efficiency may potentially be </w:t>
      </w:r>
      <w:r w:rsidR="00EB0FA3">
        <w:t>explained by the design of the do</w:t>
      </w:r>
      <w:r w:rsidR="008A5425">
        <w:t>-</w:t>
      </w:r>
      <w:r w:rsidR="00EB0FA3">
        <w:t>nothing or do</w:t>
      </w:r>
      <w:r w:rsidR="008A5425">
        <w:t>-</w:t>
      </w:r>
      <w:r w:rsidR="00EB0FA3">
        <w:t xml:space="preserve">minimum alternatives, </w:t>
      </w:r>
      <w:r w:rsidR="008D13B4">
        <w:t xml:space="preserve">thereby </w:t>
      </w:r>
      <w:r w:rsidR="002F5777">
        <w:t xml:space="preserve">promoting extensive investment options as the only viable </w:t>
      </w:r>
      <w:r w:rsidR="006F3EFA">
        <w:t>choice.</w:t>
      </w:r>
      <w:r w:rsidR="00646751" w:rsidRPr="00EC4FA9">
        <w:t xml:space="preserve"> </w:t>
      </w:r>
    </w:p>
    <w:p w14:paraId="78EC322E" w14:textId="7D526D12" w:rsidR="0078069B" w:rsidRPr="00EC4FA9" w:rsidRDefault="00DA1DC1" w:rsidP="00F70D71">
      <w:r w:rsidRPr="00EC4FA9">
        <w:t xml:space="preserve">The paper proceeds as follows. Section 2 </w:t>
      </w:r>
      <w:r w:rsidR="0078069B" w:rsidRPr="00EC4FA9">
        <w:t>presents existing literature about the issue investigated</w:t>
      </w:r>
      <w:r w:rsidR="00C83338">
        <w:t>.</w:t>
      </w:r>
      <w:r w:rsidR="0078069B" w:rsidRPr="00EC4FA9">
        <w:t xml:space="preserve"> Section 3 </w:t>
      </w:r>
      <w:r w:rsidRPr="00EC4FA9">
        <w:t xml:space="preserve">describes the data and methodology used in the study. In Section </w:t>
      </w:r>
      <w:r w:rsidR="0078069B" w:rsidRPr="00EC4FA9">
        <w:t>4</w:t>
      </w:r>
      <w:r w:rsidRPr="00EC4FA9">
        <w:t xml:space="preserve">, we present </w:t>
      </w:r>
      <w:r w:rsidR="00753A97" w:rsidRPr="00EC4FA9">
        <w:t xml:space="preserve">and discuss </w:t>
      </w:r>
      <w:r w:rsidRPr="00EC4FA9">
        <w:t>the results</w:t>
      </w:r>
      <w:r w:rsidR="00266631" w:rsidRPr="00EC4FA9">
        <w:t>. Finally</w:t>
      </w:r>
      <w:r w:rsidRPr="00EC4FA9">
        <w:t xml:space="preserve">, in Section </w:t>
      </w:r>
      <w:r w:rsidR="0078069B" w:rsidRPr="00EC4FA9">
        <w:t>5</w:t>
      </w:r>
      <w:r w:rsidRPr="00EC4FA9">
        <w:t xml:space="preserve">, we conclude by offering ten recommendations for how </w:t>
      </w:r>
      <w:r w:rsidRPr="00EC4FA9">
        <w:rPr>
          <w:i/>
          <w:iCs/>
        </w:rPr>
        <w:t xml:space="preserve">do-nothing </w:t>
      </w:r>
      <w:r w:rsidRPr="00EC4FA9">
        <w:t xml:space="preserve">and </w:t>
      </w:r>
      <w:r w:rsidRPr="00EC4FA9">
        <w:rPr>
          <w:i/>
          <w:iCs/>
        </w:rPr>
        <w:t xml:space="preserve">do-minimum </w:t>
      </w:r>
      <w:r w:rsidRPr="00EC4FA9">
        <w:t>alternatives should be dealt with in project appraisal.</w:t>
      </w:r>
      <w:bookmarkEnd w:id="4"/>
    </w:p>
    <w:p w14:paraId="49BA7381" w14:textId="5E2F4B84" w:rsidR="0078069B" w:rsidRPr="00EC4FA9" w:rsidRDefault="00AD5A81" w:rsidP="0078069B">
      <w:pPr>
        <w:keepNext/>
        <w:keepLines/>
        <w:numPr>
          <w:ilvl w:val="0"/>
          <w:numId w:val="1"/>
        </w:numPr>
        <w:spacing w:before="240" w:after="240"/>
        <w:outlineLvl w:val="1"/>
        <w:rPr>
          <w:rFonts w:asciiTheme="majorHAnsi" w:eastAsiaTheme="majorEastAsia" w:hAnsiTheme="majorHAnsi" w:cstheme="majorBidi"/>
          <w:b/>
          <w:bCs/>
          <w:color w:val="2F5496" w:themeColor="accent1" w:themeShade="BF"/>
          <w:sz w:val="28"/>
          <w:szCs w:val="28"/>
        </w:rPr>
      </w:pPr>
      <w:r>
        <w:rPr>
          <w:rFonts w:asciiTheme="majorHAnsi" w:eastAsiaTheme="majorEastAsia" w:hAnsiTheme="majorHAnsi" w:cstheme="majorBidi"/>
          <w:b/>
          <w:bCs/>
          <w:color w:val="2F5496" w:themeColor="accent1" w:themeShade="BF"/>
          <w:sz w:val="28"/>
          <w:szCs w:val="28"/>
        </w:rPr>
        <w:t>What the literature</w:t>
      </w:r>
      <w:r w:rsidR="00AC3F4E">
        <w:rPr>
          <w:rFonts w:asciiTheme="majorHAnsi" w:eastAsiaTheme="majorEastAsia" w:hAnsiTheme="majorHAnsi" w:cstheme="majorBidi"/>
          <w:b/>
          <w:bCs/>
          <w:color w:val="2F5496" w:themeColor="accent1" w:themeShade="BF"/>
          <w:sz w:val="28"/>
          <w:szCs w:val="28"/>
        </w:rPr>
        <w:t xml:space="preserve"> says about</w:t>
      </w:r>
      <w:r w:rsidR="00616043">
        <w:rPr>
          <w:rFonts w:asciiTheme="majorHAnsi" w:eastAsiaTheme="majorEastAsia" w:hAnsiTheme="majorHAnsi" w:cstheme="majorBidi"/>
          <w:b/>
          <w:bCs/>
          <w:color w:val="2F5496" w:themeColor="accent1" w:themeShade="BF"/>
          <w:sz w:val="28"/>
          <w:szCs w:val="28"/>
        </w:rPr>
        <w:t xml:space="preserve"> </w:t>
      </w:r>
      <w:r w:rsidR="00CE62B6">
        <w:rPr>
          <w:rFonts w:asciiTheme="majorHAnsi" w:eastAsiaTheme="majorEastAsia" w:hAnsiTheme="majorHAnsi" w:cstheme="majorBidi"/>
          <w:b/>
          <w:bCs/>
          <w:color w:val="2F5496" w:themeColor="accent1" w:themeShade="BF"/>
          <w:sz w:val="28"/>
          <w:szCs w:val="28"/>
        </w:rPr>
        <w:t>early</w:t>
      </w:r>
      <w:r w:rsidR="009D4E89">
        <w:rPr>
          <w:rFonts w:asciiTheme="majorHAnsi" w:eastAsiaTheme="majorEastAsia" w:hAnsiTheme="majorHAnsi" w:cstheme="majorBidi"/>
          <w:b/>
          <w:bCs/>
          <w:color w:val="2F5496" w:themeColor="accent1" w:themeShade="BF"/>
          <w:sz w:val="28"/>
          <w:szCs w:val="28"/>
        </w:rPr>
        <w:t xml:space="preserve"> </w:t>
      </w:r>
      <w:r w:rsidR="00616043">
        <w:rPr>
          <w:rFonts w:asciiTheme="majorHAnsi" w:eastAsiaTheme="majorEastAsia" w:hAnsiTheme="majorHAnsi" w:cstheme="majorBidi"/>
          <w:b/>
          <w:bCs/>
          <w:color w:val="2F5496" w:themeColor="accent1" w:themeShade="BF"/>
          <w:sz w:val="28"/>
          <w:szCs w:val="28"/>
        </w:rPr>
        <w:t>project appraisal and the do-nothing and do-minimum alternatives</w:t>
      </w:r>
    </w:p>
    <w:p w14:paraId="10EDF7CE" w14:textId="49B990EE" w:rsidR="0078069B" w:rsidRPr="003F1D65" w:rsidRDefault="00DF2E87" w:rsidP="0078069B">
      <w:r w:rsidRPr="003F1D65">
        <w:t xml:space="preserve">This section sets the context for the study and provides an overview of the central topics. The first part explains the front-end phase of projects and the process of project appraisal, while the second part delves deeper into the concept of the </w:t>
      </w:r>
      <w:r w:rsidR="001F3149" w:rsidRPr="003F1D65">
        <w:rPr>
          <w:i/>
        </w:rPr>
        <w:t>do-nothing</w:t>
      </w:r>
      <w:r w:rsidR="001F3149" w:rsidRPr="003F1D65">
        <w:t xml:space="preserve"> and </w:t>
      </w:r>
      <w:r w:rsidR="001F3149" w:rsidRPr="003F1D65">
        <w:rPr>
          <w:i/>
        </w:rPr>
        <w:t>do-minimum</w:t>
      </w:r>
      <w:r w:rsidR="001F3149" w:rsidRPr="003F1D65">
        <w:t xml:space="preserve"> </w:t>
      </w:r>
      <w:r w:rsidR="00884A6C">
        <w:t xml:space="preserve">alternatives </w:t>
      </w:r>
      <w:r w:rsidRPr="003F1D65">
        <w:t xml:space="preserve">and </w:t>
      </w:r>
      <w:r w:rsidR="00036BAA">
        <w:t>their</w:t>
      </w:r>
      <w:r w:rsidRPr="003F1D65">
        <w:t xml:space="preserve"> understanding in the literature.</w:t>
      </w:r>
    </w:p>
    <w:p w14:paraId="14484872" w14:textId="6EF9DD70" w:rsidR="0078069B" w:rsidRDefault="0078069B" w:rsidP="0078069B">
      <w:pPr>
        <w:keepNext/>
        <w:keepLines/>
        <w:numPr>
          <w:ilvl w:val="1"/>
          <w:numId w:val="1"/>
        </w:numPr>
        <w:spacing w:before="120" w:after="120"/>
        <w:outlineLvl w:val="2"/>
        <w:rPr>
          <w:rFonts w:asciiTheme="majorHAnsi" w:eastAsiaTheme="majorEastAsia" w:hAnsiTheme="majorHAnsi" w:cstheme="majorBidi"/>
          <w:color w:val="1F3763" w:themeColor="accent1" w:themeShade="7F"/>
        </w:rPr>
      </w:pPr>
      <w:r w:rsidRPr="00EC4FA9">
        <w:rPr>
          <w:rFonts w:asciiTheme="majorHAnsi" w:eastAsiaTheme="majorEastAsia" w:hAnsiTheme="majorHAnsi" w:cstheme="majorBidi"/>
          <w:color w:val="1F3763" w:themeColor="accent1" w:themeShade="7F"/>
        </w:rPr>
        <w:t xml:space="preserve">The project </w:t>
      </w:r>
      <w:r w:rsidR="0061221B" w:rsidRPr="0061221B">
        <w:rPr>
          <w:rFonts w:asciiTheme="majorHAnsi" w:eastAsiaTheme="majorEastAsia" w:hAnsiTheme="majorHAnsi" w:cstheme="majorBidi"/>
          <w:color w:val="1F3763" w:themeColor="accent1" w:themeShade="7F"/>
        </w:rPr>
        <w:t>front-end</w:t>
      </w:r>
      <w:r w:rsidR="0061221B" w:rsidRPr="0061221B" w:rsidDel="0061221B">
        <w:rPr>
          <w:rFonts w:asciiTheme="majorHAnsi" w:eastAsiaTheme="majorEastAsia" w:hAnsiTheme="majorHAnsi" w:cstheme="majorBidi"/>
          <w:color w:val="1F3763" w:themeColor="accent1" w:themeShade="7F"/>
        </w:rPr>
        <w:t xml:space="preserve"> </w:t>
      </w:r>
      <w:r w:rsidRPr="00EC4FA9">
        <w:rPr>
          <w:rFonts w:asciiTheme="majorHAnsi" w:eastAsiaTheme="majorEastAsia" w:hAnsiTheme="majorHAnsi" w:cstheme="majorBidi"/>
          <w:color w:val="1F3763" w:themeColor="accent1" w:themeShade="7F"/>
        </w:rPr>
        <w:t>phase and the decision to fund a project</w:t>
      </w:r>
    </w:p>
    <w:p w14:paraId="480DDFE0" w14:textId="4F522A9B" w:rsidR="002B6A21" w:rsidRDefault="002B6A21" w:rsidP="00D45A75">
      <w:pPr>
        <w:rPr>
          <w:rFonts w:asciiTheme="majorHAnsi" w:eastAsiaTheme="majorEastAsia" w:hAnsiTheme="majorHAnsi" w:cstheme="majorBidi"/>
          <w:color w:val="1F3763" w:themeColor="accent1" w:themeShade="7F"/>
        </w:rPr>
      </w:pPr>
      <w:r w:rsidRPr="00EC4FA9">
        <w:t xml:space="preserve">The front-end phase of a project, also referred to as the conceptual phase or the initiation phase, is critical to the strategic success of a project (Williams </w:t>
      </w:r>
      <w:r w:rsidRPr="00EC4FA9">
        <w:rPr>
          <w:i/>
          <w:iCs/>
        </w:rPr>
        <w:t>et al</w:t>
      </w:r>
      <w:r w:rsidRPr="00EC4FA9">
        <w:t xml:space="preserve">., 2019). </w:t>
      </w:r>
      <w:r>
        <w:t xml:space="preserve">Even if the understanding of </w:t>
      </w:r>
      <w:r w:rsidRPr="00EC4FA9">
        <w:lastRenderedPageBreak/>
        <w:t xml:space="preserve">this initial phase </w:t>
      </w:r>
      <w:r>
        <w:t>is increasing</w:t>
      </w:r>
      <w:r w:rsidRPr="00EC4FA9">
        <w:t>, it is still poorly understood (ibid.)</w:t>
      </w:r>
      <w:r>
        <w:t>.</w:t>
      </w:r>
      <w:r w:rsidRPr="00EC4FA9">
        <w:t xml:space="preserve"> In particular, the role of the </w:t>
      </w:r>
      <w:r w:rsidRPr="00EC4FA9">
        <w:rPr>
          <w:i/>
          <w:iCs/>
        </w:rPr>
        <w:t>do-nothing</w:t>
      </w:r>
      <w:r w:rsidRPr="00EC4FA9">
        <w:t xml:space="preserve"> and </w:t>
      </w:r>
      <w:r w:rsidRPr="00EC4FA9">
        <w:rPr>
          <w:i/>
          <w:iCs/>
        </w:rPr>
        <w:t>do-minimum</w:t>
      </w:r>
      <w:r w:rsidRPr="00EC4FA9">
        <w:t xml:space="preserve"> alternatives in the appraisal and decision</w:t>
      </w:r>
      <w:r>
        <w:t>-making</w:t>
      </w:r>
      <w:r w:rsidRPr="00EC4FA9">
        <w:t xml:space="preserve"> process has</w:t>
      </w:r>
      <w:r>
        <w:t xml:space="preserve"> received limited attention</w:t>
      </w:r>
      <w:r w:rsidRPr="00EC4FA9">
        <w:t xml:space="preserve"> in the literature.</w:t>
      </w:r>
    </w:p>
    <w:p w14:paraId="488EA83E" w14:textId="21B779EA" w:rsidR="00A50676" w:rsidRPr="00917B65" w:rsidRDefault="00A50676" w:rsidP="001D1AA7">
      <w:pPr>
        <w:spacing w:before="120" w:after="120"/>
        <w:rPr>
          <w:b/>
          <w:bCs/>
        </w:rPr>
      </w:pPr>
      <w:r w:rsidRPr="00917B65">
        <w:rPr>
          <w:b/>
          <w:bCs/>
        </w:rPr>
        <w:t>The need for governance</w:t>
      </w:r>
      <w:r w:rsidR="00DC2A77">
        <w:rPr>
          <w:b/>
          <w:bCs/>
        </w:rPr>
        <w:t xml:space="preserve"> in t</w:t>
      </w:r>
      <w:r w:rsidR="00DC2A77" w:rsidRPr="00DC2A77">
        <w:rPr>
          <w:b/>
          <w:bCs/>
        </w:rPr>
        <w:t>he project initiation phase</w:t>
      </w:r>
    </w:p>
    <w:p w14:paraId="23D91D28" w14:textId="7A624E53" w:rsidR="00A50676" w:rsidRPr="00EC4FA9" w:rsidRDefault="00A50676" w:rsidP="00A50676">
      <w:r w:rsidRPr="00EC4FA9">
        <w:t xml:space="preserve">Project governance involves the processes and systems </w:t>
      </w:r>
      <w:r w:rsidR="003D3987">
        <w:t xml:space="preserve">that </w:t>
      </w:r>
      <w:r w:rsidRPr="00EC4FA9">
        <w:t xml:space="preserve">the financing party must implement to ensure a successful investment (Volden and Samset, 2017a). The literature on project governance has grown over the last two decades (Winch, 2001; Müller, 2009; Ahola </w:t>
      </w:r>
      <w:r w:rsidRPr="00EC4FA9">
        <w:rPr>
          <w:i/>
          <w:iCs/>
        </w:rPr>
        <w:t>et al.,</w:t>
      </w:r>
      <w:r w:rsidRPr="00EC4FA9">
        <w:t xml:space="preserve"> 2013; Too and Weaver, 2014). Narayanan and DeFillippi (2012) suggested that project governance </w:t>
      </w:r>
      <w:r>
        <w:t xml:space="preserve">should </w:t>
      </w:r>
      <w:r w:rsidRPr="00EC4FA9">
        <w:t xml:space="preserve">incorporate five elements: </w:t>
      </w:r>
      <w:r>
        <w:t>(1</w:t>
      </w:r>
      <w:r w:rsidRPr="00EC4FA9">
        <w:t xml:space="preserve">) </w:t>
      </w:r>
      <w:r>
        <w:t>s</w:t>
      </w:r>
      <w:r w:rsidRPr="00EC4FA9">
        <w:t xml:space="preserve">tage-gate approval processes, </w:t>
      </w:r>
      <w:r>
        <w:t>(2</w:t>
      </w:r>
      <w:r w:rsidRPr="00EC4FA9">
        <w:t xml:space="preserve">) </w:t>
      </w:r>
      <w:r>
        <w:t>f</w:t>
      </w:r>
      <w:r w:rsidRPr="00EC4FA9">
        <w:t xml:space="preserve">ormal roles and responsibilities, </w:t>
      </w:r>
      <w:r>
        <w:t>(3</w:t>
      </w:r>
      <w:r w:rsidRPr="00EC4FA9">
        <w:t xml:space="preserve">) </w:t>
      </w:r>
      <w:r>
        <w:t>s</w:t>
      </w:r>
      <w:r w:rsidRPr="00EC4FA9">
        <w:t xml:space="preserve">takeholder representation, </w:t>
      </w:r>
      <w:r>
        <w:t>(4</w:t>
      </w:r>
      <w:r w:rsidRPr="00EC4FA9">
        <w:t xml:space="preserve">) </w:t>
      </w:r>
      <w:r>
        <w:t>q</w:t>
      </w:r>
      <w:r w:rsidRPr="00EC4FA9">
        <w:t xml:space="preserve">uality assurance, and </w:t>
      </w:r>
      <w:r>
        <w:t>(5</w:t>
      </w:r>
      <w:r w:rsidRPr="00EC4FA9">
        <w:t xml:space="preserve">) </w:t>
      </w:r>
      <w:r>
        <w:t>c</w:t>
      </w:r>
      <w:r w:rsidRPr="00EC4FA9">
        <w:t xml:space="preserve">ontracts and sign-offs. These </w:t>
      </w:r>
      <w:r>
        <w:t>elements</w:t>
      </w:r>
      <w:r w:rsidRPr="00EC4FA9">
        <w:t xml:space="preserve"> </w:t>
      </w:r>
      <w:r>
        <w:t xml:space="preserve">are </w:t>
      </w:r>
      <w:r w:rsidRPr="00EC4FA9">
        <w:t>intend</w:t>
      </w:r>
      <w:r>
        <w:t>ed</w:t>
      </w:r>
      <w:r w:rsidRPr="00EC4FA9">
        <w:t xml:space="preserve"> to bring </w:t>
      </w:r>
      <w:r>
        <w:t>relatively</w:t>
      </w:r>
      <w:r w:rsidRPr="00EC4FA9">
        <w:t xml:space="preserve"> more rationality into the process and to ensure the quality of processes and products.</w:t>
      </w:r>
    </w:p>
    <w:p w14:paraId="66416C00" w14:textId="0F933200" w:rsidR="00D507CD" w:rsidRPr="00150DE7" w:rsidRDefault="00A50676" w:rsidP="00D507CD">
      <w:r w:rsidRPr="00EC4FA9">
        <w:t xml:space="preserve">Certain project phases are more critical and </w:t>
      </w:r>
      <w:r>
        <w:t>need</w:t>
      </w:r>
      <w:r w:rsidRPr="00EC4FA9">
        <w:t xml:space="preserve"> governance arrangements </w:t>
      </w:r>
      <w:r w:rsidR="006A3B42">
        <w:t xml:space="preserve">more </w:t>
      </w:r>
      <w:r w:rsidRPr="00EC4FA9">
        <w:t>than others.</w:t>
      </w:r>
      <w:r w:rsidRPr="00EC4FA9" w:rsidDel="00E239DF">
        <w:t xml:space="preserve"> </w:t>
      </w:r>
      <w:r w:rsidRPr="00EC4FA9">
        <w:t>Müller (2009) emphasi</w:t>
      </w:r>
      <w:r>
        <w:t>s</w:t>
      </w:r>
      <w:r w:rsidRPr="00EC4FA9">
        <w:t>ed that the selection and prioriti</w:t>
      </w:r>
      <w:r>
        <w:t>s</w:t>
      </w:r>
      <w:r w:rsidRPr="00EC4FA9">
        <w:t xml:space="preserve">ation of projects is a </w:t>
      </w:r>
      <w:r>
        <w:t>critical</w:t>
      </w:r>
      <w:r w:rsidRPr="00EC4FA9">
        <w:t xml:space="preserve"> issue in a project governance model, which is closely related to the organi</w:t>
      </w:r>
      <w:r>
        <w:t>s</w:t>
      </w:r>
      <w:r w:rsidRPr="00EC4FA9">
        <w:t>ation’s portfolio management. Volden and Samset (2017b) discussed project governance frameworks in six countries</w:t>
      </w:r>
      <w:r>
        <w:t xml:space="preserve"> that</w:t>
      </w:r>
      <w:r w:rsidRPr="00EC4FA9">
        <w:t xml:space="preserve"> had introduced requirements to ensure the quality of decision documents and the early go/no-go decision.</w:t>
      </w:r>
      <w:r w:rsidR="346F876F">
        <w:t xml:space="preserve"> The governance schemes exhibited common characteristics, such as employing a stage-gate model with defined roles and responsibilities. They included independent quality assurance reviews at specific decision points and incorporated strategies to mitigate optimism bias in cost estimations, a common challenge in project planning. Furthermore, they placed key decisions and responsibility for managing the scheme at a high level within the system</w:t>
      </w:r>
      <w:r w:rsidR="732822E9">
        <w:t xml:space="preserve"> (Volden and Samset, 2017b)</w:t>
      </w:r>
      <w:r w:rsidR="346F876F">
        <w:t>.</w:t>
      </w:r>
      <w:r w:rsidR="00143097">
        <w:t xml:space="preserve"> </w:t>
      </w:r>
      <w:r w:rsidR="00D507CD" w:rsidRPr="00EC4FA9">
        <w:rPr>
          <w:rFonts w:cstheme="minorHAnsi"/>
        </w:rPr>
        <w:t>Several countries</w:t>
      </w:r>
      <w:r w:rsidR="003067F3">
        <w:rPr>
          <w:rFonts w:cstheme="minorHAnsi"/>
        </w:rPr>
        <w:t xml:space="preserve"> such as</w:t>
      </w:r>
      <w:r w:rsidR="003E1B55">
        <w:rPr>
          <w:rFonts w:cstheme="minorHAnsi"/>
        </w:rPr>
        <w:t xml:space="preserve"> the UK, Netherlands, Canada and the Scandinavian countries,</w:t>
      </w:r>
      <w:r w:rsidR="00D507CD" w:rsidRPr="00EC4FA9">
        <w:rPr>
          <w:rFonts w:cstheme="minorHAnsi"/>
        </w:rPr>
        <w:t xml:space="preserve"> have introduced stage-gate models, including requirements for documents to be produced at specific points in the process (Williams </w:t>
      </w:r>
      <w:r w:rsidR="00D507CD" w:rsidRPr="00EC4FA9">
        <w:rPr>
          <w:rFonts w:cstheme="minorHAnsi"/>
          <w:i/>
          <w:iCs/>
        </w:rPr>
        <w:t>et al.</w:t>
      </w:r>
      <w:r w:rsidR="00D507CD" w:rsidRPr="00EC4FA9">
        <w:rPr>
          <w:rFonts w:cstheme="minorHAnsi"/>
        </w:rPr>
        <w:t xml:space="preserve">, 2010; Klakegg </w:t>
      </w:r>
      <w:r w:rsidR="00D507CD" w:rsidRPr="00EC4FA9">
        <w:rPr>
          <w:rFonts w:cstheme="minorHAnsi"/>
          <w:i/>
          <w:iCs/>
        </w:rPr>
        <w:t>et al.</w:t>
      </w:r>
      <w:r w:rsidR="00D507CD" w:rsidRPr="00EC4FA9">
        <w:rPr>
          <w:rFonts w:cstheme="minorHAnsi"/>
        </w:rPr>
        <w:t xml:space="preserve">, 2016; Volden and Samset, 2017b). </w:t>
      </w:r>
    </w:p>
    <w:p w14:paraId="76D93C80" w14:textId="1533D227" w:rsidR="00D507CD" w:rsidRPr="00EC4FA9" w:rsidRDefault="00D507CD" w:rsidP="00D507CD">
      <w:pPr>
        <w:rPr>
          <w:rFonts w:cstheme="minorHAnsi"/>
        </w:rPr>
      </w:pPr>
      <w:r w:rsidRPr="00EC4FA9">
        <w:rPr>
          <w:rFonts w:cstheme="minorHAnsi"/>
        </w:rPr>
        <w:t xml:space="preserve">It has been noted that although the formal decision to fund a project is made at a later stage, it is important that the initial choice of </w:t>
      </w:r>
      <w:r w:rsidR="006A3B42">
        <w:rPr>
          <w:rFonts w:cstheme="minorHAnsi"/>
        </w:rPr>
        <w:t xml:space="preserve">a </w:t>
      </w:r>
      <w:r w:rsidRPr="00EC4FA9">
        <w:rPr>
          <w:rFonts w:cstheme="minorHAnsi"/>
        </w:rPr>
        <w:t>conceptual solution is well</w:t>
      </w:r>
      <w:r>
        <w:rPr>
          <w:rFonts w:cstheme="minorHAnsi"/>
        </w:rPr>
        <w:t>-</w:t>
      </w:r>
      <w:r w:rsidRPr="00EC4FA9">
        <w:rPr>
          <w:rFonts w:cstheme="minorHAnsi"/>
        </w:rPr>
        <w:t xml:space="preserve">founded. If it turns out later that the solution was inefficient, it </w:t>
      </w:r>
      <w:r>
        <w:rPr>
          <w:rFonts w:cstheme="minorHAnsi"/>
        </w:rPr>
        <w:t>might</w:t>
      </w:r>
      <w:r w:rsidRPr="00EC4FA9">
        <w:rPr>
          <w:rFonts w:cstheme="minorHAnsi"/>
        </w:rPr>
        <w:t xml:space="preserve"> be difficult to stop the process due to expectations created among stakeholders</w:t>
      </w:r>
      <w:r>
        <w:rPr>
          <w:rFonts w:cstheme="minorHAnsi"/>
        </w:rPr>
        <w:t xml:space="preserve"> (Cantarelli </w:t>
      </w:r>
      <w:r w:rsidRPr="00352D5E">
        <w:rPr>
          <w:rFonts w:cstheme="minorHAnsi"/>
          <w:i/>
          <w:iCs/>
        </w:rPr>
        <w:t>et al</w:t>
      </w:r>
      <w:r>
        <w:rPr>
          <w:rFonts w:cstheme="minorHAnsi"/>
        </w:rPr>
        <w:t>., 2010; Drummond, 2014)</w:t>
      </w:r>
      <w:r w:rsidRPr="00EC4FA9">
        <w:rPr>
          <w:rFonts w:cstheme="minorHAnsi"/>
        </w:rPr>
        <w:t xml:space="preserve">. </w:t>
      </w:r>
    </w:p>
    <w:p w14:paraId="224AB9F4" w14:textId="74278866" w:rsidR="006D59FC" w:rsidRPr="00917B65" w:rsidRDefault="006D59FC" w:rsidP="001D1AA7">
      <w:pPr>
        <w:spacing w:before="120" w:after="120"/>
        <w:rPr>
          <w:rFonts w:cstheme="minorHAnsi"/>
          <w:b/>
          <w:bCs/>
        </w:rPr>
      </w:pPr>
      <w:r w:rsidRPr="00917B65">
        <w:rPr>
          <w:rFonts w:cstheme="minorHAnsi"/>
          <w:b/>
          <w:bCs/>
        </w:rPr>
        <w:t>Strategic justification</w:t>
      </w:r>
      <w:r w:rsidR="009C6033">
        <w:rPr>
          <w:rFonts w:cstheme="minorHAnsi"/>
          <w:b/>
          <w:bCs/>
        </w:rPr>
        <w:t xml:space="preserve"> for a project</w:t>
      </w:r>
    </w:p>
    <w:p w14:paraId="76E9C54A" w14:textId="4C0AACDB" w:rsidR="006D59FC" w:rsidRDefault="006D59FC" w:rsidP="006D59FC">
      <w:pPr>
        <w:rPr>
          <w:rFonts w:cstheme="minorHAnsi"/>
        </w:rPr>
      </w:pPr>
      <w:r>
        <w:rPr>
          <w:rFonts w:cstheme="minorHAnsi"/>
        </w:rPr>
        <w:t>M</w:t>
      </w:r>
      <w:r w:rsidRPr="00EC4FA9">
        <w:rPr>
          <w:rFonts w:cstheme="minorHAnsi"/>
        </w:rPr>
        <w:t>ajor projects are measures to reali</w:t>
      </w:r>
      <w:r>
        <w:rPr>
          <w:rFonts w:cstheme="minorHAnsi"/>
        </w:rPr>
        <w:t>s</w:t>
      </w:r>
      <w:r w:rsidRPr="00EC4FA9">
        <w:rPr>
          <w:rFonts w:cstheme="minorHAnsi"/>
        </w:rPr>
        <w:t xml:space="preserve">e higher-order goals and strategies at </w:t>
      </w:r>
      <w:r w:rsidR="006A3B42">
        <w:rPr>
          <w:rFonts w:cstheme="minorHAnsi"/>
        </w:rPr>
        <w:t>the</w:t>
      </w:r>
      <w:r w:rsidR="000F5B2A">
        <w:rPr>
          <w:rFonts w:cstheme="minorHAnsi"/>
        </w:rPr>
        <w:t xml:space="preserve"> </w:t>
      </w:r>
      <w:r w:rsidRPr="00EC4FA9">
        <w:rPr>
          <w:rFonts w:cstheme="minorHAnsi"/>
        </w:rPr>
        <w:t>organi</w:t>
      </w:r>
      <w:r>
        <w:rPr>
          <w:rFonts w:cstheme="minorHAnsi"/>
        </w:rPr>
        <w:t>s</w:t>
      </w:r>
      <w:r w:rsidRPr="00EC4FA9">
        <w:rPr>
          <w:rFonts w:cstheme="minorHAnsi"/>
        </w:rPr>
        <w:t>ational level</w:t>
      </w:r>
      <w:r w:rsidRPr="00EC4FA9">
        <w:rPr>
          <w:rFonts w:cstheme="minorHAnsi"/>
          <w:color w:val="7F7F7F" w:themeColor="text1" w:themeTint="80"/>
        </w:rPr>
        <w:t xml:space="preserve"> </w:t>
      </w:r>
      <w:r w:rsidRPr="00EC4FA9">
        <w:rPr>
          <w:rFonts w:cstheme="minorHAnsi"/>
        </w:rPr>
        <w:t>(Zwikael and Smyrk, 2012; Morris, 2013</w:t>
      </w:r>
      <w:r w:rsidR="0094337F">
        <w:rPr>
          <w:rFonts w:cstheme="minorHAnsi"/>
        </w:rPr>
        <w:t>; L</w:t>
      </w:r>
      <w:r w:rsidR="00080681">
        <w:rPr>
          <w:rFonts w:cstheme="minorHAnsi"/>
        </w:rPr>
        <w:t xml:space="preserve">ehtonen </w:t>
      </w:r>
      <w:r w:rsidR="00080681" w:rsidRPr="006C4B65">
        <w:rPr>
          <w:rFonts w:cstheme="minorHAnsi"/>
          <w:i/>
          <w:iCs/>
        </w:rPr>
        <w:t>et al.</w:t>
      </w:r>
      <w:r w:rsidR="00080681">
        <w:rPr>
          <w:rFonts w:cstheme="minorHAnsi"/>
        </w:rPr>
        <w:t>, 2017</w:t>
      </w:r>
      <w:r w:rsidRPr="00EC4FA9">
        <w:rPr>
          <w:rFonts w:cstheme="minorHAnsi"/>
        </w:rPr>
        <w:t>). In the public sector, government projects are means to reali</w:t>
      </w:r>
      <w:r>
        <w:rPr>
          <w:rFonts w:cstheme="minorHAnsi"/>
        </w:rPr>
        <w:t>s</w:t>
      </w:r>
      <w:r w:rsidRPr="00EC4FA9">
        <w:rPr>
          <w:rFonts w:cstheme="minorHAnsi"/>
        </w:rPr>
        <w:t xml:space="preserve">e political goals and solve critical public tasks, such as security, housing and other merit goods, economic development, and even national pride and prestige (Volden, 2019). </w:t>
      </w:r>
      <w:r>
        <w:rPr>
          <w:rFonts w:cstheme="minorHAnsi"/>
        </w:rPr>
        <w:t>I</w:t>
      </w:r>
      <w:r w:rsidRPr="00EC4FA9">
        <w:rPr>
          <w:rFonts w:cstheme="minorHAnsi"/>
        </w:rPr>
        <w:t>n some cases, projects are means to obtain transformative change</w:t>
      </w:r>
      <w:r w:rsidR="000959E1">
        <w:rPr>
          <w:rFonts w:cstheme="minorHAnsi"/>
        </w:rPr>
        <w:t>;</w:t>
      </w:r>
      <w:r w:rsidRPr="00EC4FA9">
        <w:rPr>
          <w:rFonts w:cstheme="minorHAnsi"/>
        </w:rPr>
        <w:t xml:space="preserve"> </w:t>
      </w:r>
      <w:r>
        <w:rPr>
          <w:rFonts w:cstheme="minorHAnsi"/>
        </w:rPr>
        <w:t xml:space="preserve">in </w:t>
      </w:r>
      <w:r w:rsidRPr="00EC4FA9">
        <w:rPr>
          <w:rFonts w:cstheme="minorHAnsi"/>
        </w:rPr>
        <w:t>others</w:t>
      </w:r>
      <w:r>
        <w:rPr>
          <w:rFonts w:cstheme="minorHAnsi"/>
        </w:rPr>
        <w:t>,</w:t>
      </w:r>
      <w:r w:rsidRPr="00EC4FA9">
        <w:rPr>
          <w:rFonts w:cstheme="minorHAnsi"/>
        </w:rPr>
        <w:t xml:space="preserve"> </w:t>
      </w:r>
      <w:r>
        <w:rPr>
          <w:rFonts w:cstheme="minorHAnsi"/>
        </w:rPr>
        <w:t xml:space="preserve">they </w:t>
      </w:r>
      <w:r w:rsidRPr="00EC4FA9">
        <w:rPr>
          <w:rFonts w:cstheme="minorHAnsi"/>
        </w:rPr>
        <w:t xml:space="preserve">are needed to upgrade the facilities of an existing activity. </w:t>
      </w:r>
      <w:r>
        <w:rPr>
          <w:rFonts w:cstheme="minorHAnsi"/>
        </w:rPr>
        <w:t xml:space="preserve">Ideally, </w:t>
      </w:r>
      <w:r w:rsidRPr="00EC4FA9">
        <w:rPr>
          <w:rFonts w:cstheme="minorHAnsi"/>
        </w:rPr>
        <w:t xml:space="preserve">the benefits, whether they can be assessed in monetary terms or not, should outweigh the </w:t>
      </w:r>
      <w:r>
        <w:rPr>
          <w:rFonts w:cstheme="minorHAnsi"/>
        </w:rPr>
        <w:t>investment cost</w:t>
      </w:r>
      <w:r w:rsidRPr="00EC4FA9">
        <w:rPr>
          <w:rFonts w:cstheme="minorHAnsi"/>
        </w:rPr>
        <w:t>.</w:t>
      </w:r>
    </w:p>
    <w:p w14:paraId="49CAA4A5" w14:textId="77777777" w:rsidR="00BF25AE" w:rsidRDefault="00BF25AE" w:rsidP="00BF25AE">
      <w:pPr>
        <w:rPr>
          <w:rFonts w:cstheme="minorHAnsi"/>
        </w:rPr>
      </w:pPr>
      <w:r w:rsidRPr="00EC4FA9">
        <w:t xml:space="preserve">There is no consensus within the literature regarding which activities should be accomplished during the front end and how they should be ordered (Williams </w:t>
      </w:r>
      <w:r w:rsidRPr="00EC4FA9">
        <w:rPr>
          <w:i/>
          <w:iCs/>
        </w:rPr>
        <w:t>et al.</w:t>
      </w:r>
      <w:r w:rsidRPr="00EC4FA9">
        <w:t>, 2019).</w:t>
      </w:r>
      <w:r w:rsidRPr="00EC4FA9">
        <w:rPr>
          <w:rFonts w:cstheme="minorHAnsi"/>
        </w:rPr>
        <w:t xml:space="preserve"> Mintzberg </w:t>
      </w:r>
      <w:r w:rsidRPr="00EC4FA9">
        <w:rPr>
          <w:rFonts w:cstheme="minorHAnsi"/>
          <w:i/>
          <w:iCs/>
        </w:rPr>
        <w:t>et al</w:t>
      </w:r>
      <w:r w:rsidRPr="00EC4FA9">
        <w:rPr>
          <w:rFonts w:cstheme="minorHAnsi"/>
        </w:rPr>
        <w:t xml:space="preserve">. (1976) suggested a three-phase decision-making process, including </w:t>
      </w:r>
      <w:r>
        <w:rPr>
          <w:rFonts w:cstheme="minorHAnsi"/>
        </w:rPr>
        <w:t>(1</w:t>
      </w:r>
      <w:r w:rsidRPr="00EC4FA9">
        <w:rPr>
          <w:rFonts w:cstheme="minorHAnsi"/>
        </w:rPr>
        <w:t xml:space="preserve">) identification of problem or opportunity, </w:t>
      </w:r>
      <w:r>
        <w:rPr>
          <w:rFonts w:cstheme="minorHAnsi"/>
        </w:rPr>
        <w:t>(</w:t>
      </w:r>
      <w:r w:rsidRPr="00EC4FA9">
        <w:rPr>
          <w:rFonts w:cstheme="minorHAnsi"/>
        </w:rPr>
        <w:t>2) solution development</w:t>
      </w:r>
      <w:r>
        <w:rPr>
          <w:rFonts w:cstheme="minorHAnsi"/>
        </w:rPr>
        <w:t>,</w:t>
      </w:r>
      <w:r w:rsidRPr="00EC4FA9">
        <w:rPr>
          <w:rFonts w:cstheme="minorHAnsi"/>
        </w:rPr>
        <w:t xml:space="preserve"> and </w:t>
      </w:r>
      <w:r>
        <w:rPr>
          <w:rFonts w:cstheme="minorHAnsi"/>
        </w:rPr>
        <w:t>(</w:t>
      </w:r>
      <w:r w:rsidRPr="00EC4FA9">
        <w:rPr>
          <w:rFonts w:cstheme="minorHAnsi"/>
        </w:rPr>
        <w:t>3) selection.</w:t>
      </w:r>
      <w:r>
        <w:rPr>
          <w:rFonts w:cstheme="minorHAnsi"/>
        </w:rPr>
        <w:t xml:space="preserve"> </w:t>
      </w:r>
      <w:r w:rsidRPr="00EC4FA9">
        <w:rPr>
          <w:rFonts w:cstheme="minorHAnsi"/>
        </w:rPr>
        <w:t xml:space="preserve">Smith and Jackson </w:t>
      </w:r>
      <w:r>
        <w:rPr>
          <w:rFonts w:cstheme="minorHAnsi"/>
        </w:rPr>
        <w:t>(</w:t>
      </w:r>
      <w:r w:rsidRPr="00EC4FA9">
        <w:rPr>
          <w:rFonts w:cstheme="minorHAnsi"/>
        </w:rPr>
        <w:t>2000</w:t>
      </w:r>
      <w:r>
        <w:rPr>
          <w:rFonts w:cstheme="minorHAnsi"/>
        </w:rPr>
        <w:t>) and</w:t>
      </w:r>
      <w:r w:rsidRPr="00EC4FA9">
        <w:rPr>
          <w:rFonts w:cstheme="minorHAnsi"/>
        </w:rPr>
        <w:t xml:space="preserve"> Smith </w:t>
      </w:r>
      <w:r w:rsidRPr="00EC4FA9">
        <w:rPr>
          <w:rFonts w:cstheme="minorHAnsi"/>
          <w:i/>
          <w:iCs/>
        </w:rPr>
        <w:t>et al.</w:t>
      </w:r>
      <w:r w:rsidRPr="00EC4FA9">
        <w:rPr>
          <w:rFonts w:cstheme="minorHAnsi"/>
        </w:rPr>
        <w:t xml:space="preserve"> </w:t>
      </w:r>
      <w:r>
        <w:rPr>
          <w:rFonts w:cstheme="minorHAnsi"/>
        </w:rPr>
        <w:t>(</w:t>
      </w:r>
      <w:r w:rsidRPr="00EC4FA9">
        <w:rPr>
          <w:rFonts w:cstheme="minorHAnsi"/>
        </w:rPr>
        <w:t>2006</w:t>
      </w:r>
      <w:r>
        <w:rPr>
          <w:rFonts w:cstheme="minorHAnsi"/>
        </w:rPr>
        <w:t>)</w:t>
      </w:r>
      <w:r w:rsidRPr="00EC4FA9">
        <w:rPr>
          <w:rFonts w:cstheme="minorHAnsi"/>
        </w:rPr>
        <w:t xml:space="preserve"> suggested a method referred to as Strategic Needs Analysis</w:t>
      </w:r>
      <w:r>
        <w:rPr>
          <w:rFonts w:cstheme="minorHAnsi"/>
        </w:rPr>
        <w:t>, which</w:t>
      </w:r>
      <w:r w:rsidRPr="00EC4FA9">
        <w:rPr>
          <w:rFonts w:cstheme="minorHAnsi"/>
        </w:rPr>
        <w:t xml:space="preserve"> </w:t>
      </w:r>
      <w:r>
        <w:rPr>
          <w:rFonts w:cstheme="minorHAnsi"/>
        </w:rPr>
        <w:t xml:space="preserve">can be used to </w:t>
      </w:r>
      <w:r w:rsidRPr="00EC4FA9">
        <w:rPr>
          <w:rFonts w:cstheme="minorHAnsi"/>
        </w:rPr>
        <w:lastRenderedPageBreak/>
        <w:t>analyse and review client</w:t>
      </w:r>
      <w:r>
        <w:rPr>
          <w:rFonts w:cstheme="minorHAnsi"/>
        </w:rPr>
        <w:t>s’</w:t>
      </w:r>
      <w:r w:rsidRPr="00EC4FA9">
        <w:rPr>
          <w:rFonts w:cstheme="minorHAnsi"/>
        </w:rPr>
        <w:t xml:space="preserve"> objectives, </w:t>
      </w:r>
      <w:r>
        <w:rPr>
          <w:rFonts w:cstheme="minorHAnsi"/>
        </w:rPr>
        <w:t>propose alternatives, and confront</w:t>
      </w:r>
      <w:r w:rsidRPr="00EC4FA9">
        <w:rPr>
          <w:rFonts w:cstheme="minorHAnsi"/>
        </w:rPr>
        <w:t xml:space="preserve"> participants with making choices</w:t>
      </w:r>
      <w:r>
        <w:rPr>
          <w:rFonts w:cstheme="minorHAnsi"/>
        </w:rPr>
        <w:t>.</w:t>
      </w:r>
      <w:r w:rsidRPr="00EC4FA9">
        <w:rPr>
          <w:rFonts w:cstheme="minorHAnsi"/>
        </w:rPr>
        <w:t xml:space="preserve"> </w:t>
      </w:r>
    </w:p>
    <w:p w14:paraId="757942D6" w14:textId="3D4BEA88" w:rsidR="006D59FC" w:rsidRDefault="006D59FC" w:rsidP="006D59FC">
      <w:pPr>
        <w:rPr>
          <w:rFonts w:cstheme="minorHAnsi"/>
        </w:rPr>
      </w:pPr>
      <w:r w:rsidRPr="00EC4FA9">
        <w:t xml:space="preserve">Value for money, as measured by cost-benefit analysis (CBA) is often a crucial part of the business case and a key selection criterion in government projects (Volden, 2019). </w:t>
      </w:r>
      <w:r w:rsidRPr="00EC4FA9" w:rsidDel="00B25D24">
        <w:t xml:space="preserve">Various techniques have been developed to elicit the </w:t>
      </w:r>
      <w:r w:rsidRPr="00EC4FA9">
        <w:t xml:space="preserve">willingness to pay </w:t>
      </w:r>
      <w:r w:rsidRPr="00EC4FA9" w:rsidDel="00B25D24">
        <w:t>for non-market goods</w:t>
      </w:r>
      <w:r w:rsidRPr="00EC4FA9">
        <w:t xml:space="preserve"> to make the CBA as comprehensive as possible</w:t>
      </w:r>
      <w:r w:rsidRPr="00EC4FA9" w:rsidDel="00B25D24">
        <w:t>.</w:t>
      </w:r>
      <w:r w:rsidRPr="00EC4FA9">
        <w:rPr>
          <w:rFonts w:cstheme="minorHAnsi"/>
        </w:rPr>
        <w:t xml:space="preserve"> Impacts that cannot be moneti</w:t>
      </w:r>
      <w:r>
        <w:rPr>
          <w:rFonts w:cstheme="minorHAnsi"/>
        </w:rPr>
        <w:t>s</w:t>
      </w:r>
      <w:r w:rsidRPr="00EC4FA9">
        <w:rPr>
          <w:rFonts w:cstheme="minorHAnsi"/>
        </w:rPr>
        <w:t xml:space="preserve">ed must be described and presented in other ways to complete the picture (Boardman </w:t>
      </w:r>
      <w:r w:rsidRPr="00EC4FA9">
        <w:rPr>
          <w:rFonts w:cstheme="minorHAnsi"/>
          <w:i/>
          <w:iCs/>
        </w:rPr>
        <w:t>et al.</w:t>
      </w:r>
      <w:r w:rsidRPr="00EC4FA9">
        <w:rPr>
          <w:rFonts w:cstheme="minorHAnsi"/>
        </w:rPr>
        <w:t>, 201</w:t>
      </w:r>
      <w:r>
        <w:rPr>
          <w:rFonts w:cstheme="minorHAnsi"/>
        </w:rPr>
        <w:t>8</w:t>
      </w:r>
      <w:r w:rsidRPr="00EC4FA9">
        <w:rPr>
          <w:rFonts w:cstheme="minorHAnsi"/>
        </w:rPr>
        <w:t>).</w:t>
      </w:r>
      <w:r>
        <w:rPr>
          <w:rFonts w:cstheme="minorHAnsi"/>
        </w:rPr>
        <w:t xml:space="preserve"> </w:t>
      </w:r>
    </w:p>
    <w:p w14:paraId="41F27D84" w14:textId="452B74B3" w:rsidR="005B0761" w:rsidRPr="00C25912" w:rsidRDefault="00F86C9D" w:rsidP="00AE553C">
      <w:r w:rsidRPr="00AE553C">
        <w:rPr>
          <w:b/>
          <w:bCs/>
        </w:rPr>
        <w:t>Decision-making</w:t>
      </w:r>
      <w:r w:rsidR="00C601CD">
        <w:rPr>
          <w:b/>
          <w:bCs/>
        </w:rPr>
        <w:t xml:space="preserve"> in the </w:t>
      </w:r>
      <w:r w:rsidR="00D85F17" w:rsidRPr="00917B65">
        <w:rPr>
          <w:rFonts w:cstheme="minorHAnsi"/>
          <w:b/>
          <w:bCs/>
        </w:rPr>
        <w:t xml:space="preserve">front-end </w:t>
      </w:r>
      <w:r w:rsidR="00C601CD">
        <w:rPr>
          <w:b/>
          <w:bCs/>
        </w:rPr>
        <w:t>of</w:t>
      </w:r>
      <w:r w:rsidR="00B114F4">
        <w:rPr>
          <w:b/>
          <w:bCs/>
        </w:rPr>
        <w:t xml:space="preserve"> projects </w:t>
      </w:r>
      <w:r w:rsidR="00472F2E">
        <w:rPr>
          <w:b/>
          <w:bCs/>
        </w:rPr>
        <w:t>is</w:t>
      </w:r>
      <w:r w:rsidR="00B114F4">
        <w:rPr>
          <w:b/>
          <w:bCs/>
        </w:rPr>
        <w:t xml:space="preserve"> complex</w:t>
      </w:r>
    </w:p>
    <w:p w14:paraId="0DF3391E" w14:textId="5F8AFD47" w:rsidR="000F311D" w:rsidRPr="00C23AAD" w:rsidRDefault="000F311D" w:rsidP="000F311D">
      <w:r w:rsidRPr="00EC4FA9">
        <w:rPr>
          <w:rFonts w:cstheme="minorHAnsi"/>
        </w:rPr>
        <w:t>A neat decision-process that starts with a problem, explores solutions</w:t>
      </w:r>
      <w:r>
        <w:rPr>
          <w:rFonts w:cstheme="minorHAnsi"/>
        </w:rPr>
        <w:t>,</w:t>
      </w:r>
      <w:r w:rsidRPr="00EC4FA9">
        <w:rPr>
          <w:rFonts w:cstheme="minorHAnsi"/>
        </w:rPr>
        <w:t xml:space="preserve"> and selects the best one should be considered an ideal rather than a description of reality. </w:t>
      </w:r>
      <w:r w:rsidRPr="00EC4FA9">
        <w:t>Samset and Volden (2016, p.</w:t>
      </w:r>
      <w:r>
        <w:t xml:space="preserve"> </w:t>
      </w:r>
      <w:r w:rsidRPr="00EC4FA9">
        <w:t xml:space="preserve">7) stated that ‘decisions are made at the intersection between the professional and political’. </w:t>
      </w:r>
      <w:r>
        <w:t>For example, t</w:t>
      </w:r>
      <w:r w:rsidRPr="00EC4FA9">
        <w:t>he stakeholders involved may have their preferences for a specific project solution. In many cases, the solution seems to be</w:t>
      </w:r>
      <w:r w:rsidRPr="00EC4FA9">
        <w:rPr>
          <w:rFonts w:cstheme="minorHAnsi"/>
        </w:rPr>
        <w:t xml:space="preserve"> </w:t>
      </w:r>
      <w:r>
        <w:rPr>
          <w:rFonts w:cstheme="minorHAnsi"/>
        </w:rPr>
        <w:t>‘</w:t>
      </w:r>
      <w:r w:rsidRPr="00EC4FA9">
        <w:rPr>
          <w:rFonts w:cstheme="minorHAnsi"/>
        </w:rPr>
        <w:t>selected</w:t>
      </w:r>
      <w:r>
        <w:rPr>
          <w:rFonts w:cstheme="minorHAnsi"/>
        </w:rPr>
        <w:t>’</w:t>
      </w:r>
      <w:r w:rsidRPr="00EC4FA9">
        <w:rPr>
          <w:rFonts w:cstheme="minorHAnsi"/>
        </w:rPr>
        <w:t xml:space="preserve"> without systematic</w:t>
      </w:r>
      <w:r>
        <w:rPr>
          <w:rFonts w:cstheme="minorHAnsi"/>
        </w:rPr>
        <w:t>ally</w:t>
      </w:r>
      <w:r w:rsidRPr="00EC4FA9">
        <w:rPr>
          <w:rFonts w:cstheme="minorHAnsi"/>
        </w:rPr>
        <w:t xml:space="preserve"> scrutin</w:t>
      </w:r>
      <w:r>
        <w:rPr>
          <w:rFonts w:cstheme="minorHAnsi"/>
        </w:rPr>
        <w:t>ising</w:t>
      </w:r>
      <w:r w:rsidRPr="00EC4FA9">
        <w:rPr>
          <w:rFonts w:cstheme="minorHAnsi"/>
        </w:rPr>
        <w:t xml:space="preserve"> the opportunity space. This is evidenced </w:t>
      </w:r>
      <w:r w:rsidR="000959E1">
        <w:rPr>
          <w:rFonts w:cstheme="minorHAnsi"/>
        </w:rPr>
        <w:t>in</w:t>
      </w:r>
      <w:r w:rsidRPr="00EC4FA9">
        <w:rPr>
          <w:rFonts w:cstheme="minorHAnsi"/>
        </w:rPr>
        <w:t xml:space="preserve"> a case study by Samset </w:t>
      </w:r>
      <w:r w:rsidRPr="00EC4FA9">
        <w:rPr>
          <w:rFonts w:cstheme="minorHAnsi"/>
          <w:i/>
          <w:iCs/>
        </w:rPr>
        <w:t>et al.</w:t>
      </w:r>
      <w:r w:rsidRPr="00EC4FA9">
        <w:rPr>
          <w:rFonts w:cstheme="minorHAnsi"/>
        </w:rPr>
        <w:t xml:space="preserve"> (2014)</w:t>
      </w:r>
      <w:r>
        <w:rPr>
          <w:rFonts w:cstheme="minorHAnsi"/>
        </w:rPr>
        <w:t>,</w:t>
      </w:r>
      <w:r w:rsidRPr="00EC4FA9">
        <w:rPr>
          <w:rFonts w:cstheme="minorHAnsi"/>
        </w:rPr>
        <w:t xml:space="preserve"> </w:t>
      </w:r>
      <w:r>
        <w:rPr>
          <w:rFonts w:cstheme="minorHAnsi"/>
        </w:rPr>
        <w:t>who</w:t>
      </w:r>
      <w:r w:rsidRPr="00EC4FA9">
        <w:rPr>
          <w:rFonts w:cstheme="minorHAnsi"/>
        </w:rPr>
        <w:t xml:space="preserve"> found that 11 out of 17 projects had already decided on the solution before the appraisal started.</w:t>
      </w:r>
      <w:r>
        <w:rPr>
          <w:rFonts w:cstheme="minorHAnsi"/>
        </w:rPr>
        <w:t xml:space="preserve"> This will be </w:t>
      </w:r>
      <w:r w:rsidR="000959E1">
        <w:rPr>
          <w:rFonts w:cstheme="minorHAnsi"/>
        </w:rPr>
        <w:t xml:space="preserve">an </w:t>
      </w:r>
      <w:r>
        <w:rPr>
          <w:rFonts w:cstheme="minorHAnsi"/>
        </w:rPr>
        <w:t>example of s</w:t>
      </w:r>
      <w:r w:rsidRPr="00400C23">
        <w:rPr>
          <w:rFonts w:cstheme="minorHAnsi"/>
        </w:rPr>
        <w:t>trategic</w:t>
      </w:r>
      <w:r>
        <w:rPr>
          <w:rFonts w:cstheme="minorHAnsi"/>
        </w:rPr>
        <w:t xml:space="preserve"> </w:t>
      </w:r>
      <w:r w:rsidRPr="00400C23">
        <w:rPr>
          <w:rFonts w:cstheme="minorHAnsi"/>
        </w:rPr>
        <w:t>misrepresentation</w:t>
      </w:r>
      <w:r>
        <w:rPr>
          <w:rFonts w:cstheme="minorHAnsi"/>
        </w:rPr>
        <w:t xml:space="preserve"> where </w:t>
      </w:r>
      <w:r w:rsidRPr="00400C23">
        <w:rPr>
          <w:rFonts w:cstheme="minorHAnsi"/>
        </w:rPr>
        <w:t>political bias, strategic bias, or power bias</w:t>
      </w:r>
      <w:r>
        <w:rPr>
          <w:rFonts w:cstheme="minorHAnsi"/>
        </w:rPr>
        <w:t xml:space="preserve"> comes into play and affect</w:t>
      </w:r>
      <w:r w:rsidR="000959E1">
        <w:rPr>
          <w:rFonts w:cstheme="minorHAnsi"/>
        </w:rPr>
        <w:t>s</w:t>
      </w:r>
      <w:r>
        <w:rPr>
          <w:rFonts w:cstheme="minorHAnsi"/>
        </w:rPr>
        <w:t xml:space="preserve"> the decision-process (</w:t>
      </w:r>
      <w:r w:rsidRPr="003B1ACC">
        <w:t>Flyvbjerg</w:t>
      </w:r>
      <w:r>
        <w:t xml:space="preserve">, </w:t>
      </w:r>
      <w:r w:rsidRPr="003B1ACC">
        <w:t>2021)</w:t>
      </w:r>
      <w:r w:rsidRPr="00400C23">
        <w:rPr>
          <w:rFonts w:cstheme="minorHAnsi"/>
        </w:rPr>
        <w:t>.</w:t>
      </w:r>
    </w:p>
    <w:p w14:paraId="51569E96" w14:textId="72236654" w:rsidR="00B114F4" w:rsidRDefault="00B114F4" w:rsidP="00BF1263">
      <w:r w:rsidRPr="003F1D65">
        <w:t xml:space="preserve">Several studies have highlighted the complexity of decision-making in the early stages of major public projects, revealing that such decisions are influenced by the complex dynamics of group politics and social contexts. Additionally, these studies highlight how political biases and pressures can negatively impact the accuracy of cost and benefit estimates in project planning (Williams and Samset, 2010; Samset and Volden, 2016; Williams, </w:t>
      </w:r>
      <w:r w:rsidRPr="00E2323A">
        <w:rPr>
          <w:i/>
          <w:iCs/>
        </w:rPr>
        <w:t>et</w:t>
      </w:r>
      <w:r w:rsidR="00E2323A" w:rsidRPr="00E2323A">
        <w:rPr>
          <w:i/>
          <w:iCs/>
        </w:rPr>
        <w:t xml:space="preserve"> </w:t>
      </w:r>
      <w:r w:rsidRPr="00E2323A">
        <w:rPr>
          <w:i/>
          <w:iCs/>
        </w:rPr>
        <w:t>al</w:t>
      </w:r>
      <w:r w:rsidRPr="003F1D65">
        <w:t>.,</w:t>
      </w:r>
      <w:r w:rsidR="00E2323A">
        <w:t xml:space="preserve"> </w:t>
      </w:r>
      <w:r w:rsidRPr="003F1D65">
        <w:t>2019).</w:t>
      </w:r>
    </w:p>
    <w:p w14:paraId="63E7D129" w14:textId="5319A70A" w:rsidR="00BF1263" w:rsidRDefault="00EB2908" w:rsidP="00BF1263">
      <w:r w:rsidRPr="00AE553C">
        <w:t>Decision making refers to the act of evaluating (i.e., forming opinions of) several alternatives and choosing the one most likely to achieve one or more goals (</w:t>
      </w:r>
      <w:r w:rsidR="00F761B9" w:rsidRPr="00AE553C">
        <w:t>Baumeister and Vohs, 2007)</w:t>
      </w:r>
      <w:r w:rsidR="00BF1263" w:rsidRPr="00AE553C">
        <w:t>. Selecting the right project in the front-end phase is crucial and these decisions often require consideration of multiple, sometimes subjective, criteria. Furthermore, the relative importance of specific criteria varies depending on the decision-maker’s perception of the situation and the organi</w:t>
      </w:r>
      <w:r w:rsidR="000959E1">
        <w:t>s</w:t>
      </w:r>
      <w:r w:rsidR="00BF1263" w:rsidRPr="00AE553C">
        <w:t>ational boundaries (Mian and Dai</w:t>
      </w:r>
      <w:r w:rsidR="00326D7A">
        <w:t>,</w:t>
      </w:r>
      <w:r w:rsidR="00BF1263" w:rsidRPr="00AE553C">
        <w:t xml:space="preserve"> 1999)</w:t>
      </w:r>
      <w:r w:rsidR="00A17404">
        <w:t>.</w:t>
      </w:r>
    </w:p>
    <w:p w14:paraId="24C7438A" w14:textId="1A059719" w:rsidR="001C2684" w:rsidRPr="001C2684" w:rsidRDefault="001C2684" w:rsidP="00BF1263">
      <w:pPr>
        <w:rPr>
          <w:b/>
          <w:bCs/>
        </w:rPr>
      </w:pPr>
      <w:r w:rsidRPr="001C2684">
        <w:rPr>
          <w:b/>
          <w:bCs/>
        </w:rPr>
        <w:t>Adverse incentives and bias</w:t>
      </w:r>
    </w:p>
    <w:p w14:paraId="4F4FEEA8" w14:textId="1A2A1482" w:rsidR="00BF1263" w:rsidRPr="003F1D65" w:rsidRDefault="00BF1263" w:rsidP="00BF1263">
      <w:r w:rsidRPr="00AE553C">
        <w:t xml:space="preserve">Agency theory has a central play within project governance and decision-making. The theory identifies an agency relationship of two parties (the principal and the agent) where both are perceived as rational economic actors that act in a self-interested manner (Ross, 1973). As principals need to provide agents with some level of decision-making authority, issues related to conflict of interest and moral hazard, due to asymmetric information, may arise (Williamson, 1988). </w:t>
      </w:r>
    </w:p>
    <w:p w14:paraId="73200861" w14:textId="765BE7C0" w:rsidR="005B1B17" w:rsidRPr="005B1B17" w:rsidRDefault="005B1B17" w:rsidP="005B1B17">
      <w:r w:rsidRPr="00EC4FA9">
        <w:rPr>
          <w:rFonts w:cstheme="minorHAnsi"/>
        </w:rPr>
        <w:t xml:space="preserve">Bias and even manipulation can be a problem in appraisal and decision-making (Flyvbjerg </w:t>
      </w:r>
      <w:r w:rsidRPr="00EC4FA9">
        <w:rPr>
          <w:rFonts w:cstheme="minorHAnsi"/>
          <w:i/>
          <w:iCs/>
        </w:rPr>
        <w:t>et al.</w:t>
      </w:r>
      <w:r w:rsidRPr="00EC4FA9">
        <w:rPr>
          <w:rFonts w:cstheme="minorHAnsi"/>
        </w:rPr>
        <w:t xml:space="preserve">, 2003; van Wee, 2022). </w:t>
      </w:r>
      <w:r w:rsidRPr="003B1ACC">
        <w:t>Flyvbjerg (2021) outline</w:t>
      </w:r>
      <w:r w:rsidR="005D7908">
        <w:t>d</w:t>
      </w:r>
      <w:r w:rsidRPr="003B1ACC">
        <w:t xml:space="preserve"> ten </w:t>
      </w:r>
      <w:r w:rsidRPr="00907538">
        <w:t>behavioural</w:t>
      </w:r>
      <w:r w:rsidRPr="003B1ACC">
        <w:t xml:space="preserve"> biases in project management: (1) strategic misrepresentation, (2) optimism bias, (3) uniqueness bias, (4) the planning fallacy, (5) overconfidence bias, (6) hindsight bias, (7) availability bias, (8) the base rate fallacy, (9) anchoring, and (10) escalation of commitment. Of particular importance to the do-nothing alternative in public project appraisal is strategic misrepresentation. This tendency to distort information for strategic purposes (Jones and Euske, 1991; Flyvbjerg, 2021) is relevant as the </w:t>
      </w:r>
      <w:r w:rsidRPr="003B1ACC">
        <w:lastRenderedPageBreak/>
        <w:t xml:space="preserve">agents responsible for the appraisal might </w:t>
      </w:r>
      <w:r w:rsidRPr="00907538">
        <w:t>favour</w:t>
      </w:r>
      <w:r w:rsidRPr="003B1ACC">
        <w:t xml:space="preserve"> alternatives other than the </w:t>
      </w:r>
      <w:r w:rsidRPr="00252638">
        <w:rPr>
          <w:i/>
          <w:iCs/>
        </w:rPr>
        <w:t>do-nothing</w:t>
      </w:r>
      <w:r w:rsidRPr="003B1ACC">
        <w:t xml:space="preserve"> option, potentially conflicting with the principals’ interests (the government).</w:t>
      </w:r>
    </w:p>
    <w:p w14:paraId="40CEA142" w14:textId="4842E97B" w:rsidR="005B1B17" w:rsidRPr="00EC4FA9" w:rsidRDefault="005B1B17" w:rsidP="005B1B17">
      <w:pPr>
        <w:rPr>
          <w:rFonts w:cstheme="minorHAnsi"/>
        </w:rPr>
      </w:pPr>
      <w:r w:rsidRPr="00EC4FA9">
        <w:rPr>
          <w:rFonts w:cstheme="minorHAnsi"/>
        </w:rPr>
        <w:t>Flyvbjerg (2009) argued that the cost and risk of the preferred alternative are often deliberately underestimated, while benefits are overestimated in project appraisals. Volden (2018) referred to this problem as perverse incentives and claimed that the risk is greatest when projects are fully funded by the government, with concentrated benefits and no liabilities for the recipients. Others have argued that over-optimism in appraisal</w:t>
      </w:r>
      <w:r>
        <w:rPr>
          <w:rFonts w:cstheme="minorHAnsi"/>
        </w:rPr>
        <w:t>s</w:t>
      </w:r>
      <w:r w:rsidRPr="00EC4FA9">
        <w:rPr>
          <w:rFonts w:cstheme="minorHAnsi"/>
        </w:rPr>
        <w:t xml:space="preserve"> can best be explained by a combination of deliberate bias and unintentional error, where the latter </w:t>
      </w:r>
      <w:r w:rsidR="000C07C6">
        <w:rPr>
          <w:rFonts w:cstheme="minorHAnsi"/>
        </w:rPr>
        <w:t xml:space="preserve">also </w:t>
      </w:r>
      <w:r w:rsidRPr="00EC4FA9">
        <w:rPr>
          <w:rFonts w:cstheme="minorHAnsi"/>
        </w:rPr>
        <w:t xml:space="preserve">has a crucial role (Ika </w:t>
      </w:r>
      <w:r w:rsidRPr="00EC4FA9">
        <w:rPr>
          <w:rFonts w:cstheme="minorHAnsi"/>
          <w:i/>
          <w:iCs/>
        </w:rPr>
        <w:t>et al.</w:t>
      </w:r>
      <w:r w:rsidRPr="00EC4FA9">
        <w:rPr>
          <w:rFonts w:cstheme="minorHAnsi"/>
        </w:rPr>
        <w:t>, 2023).</w:t>
      </w:r>
    </w:p>
    <w:p w14:paraId="5618A760" w14:textId="138449FA" w:rsidR="0078069B" w:rsidRPr="00EC4FA9" w:rsidRDefault="0078069B" w:rsidP="0078069B">
      <w:r w:rsidRPr="00EC4FA9">
        <w:t xml:space="preserve">Different conceptual models have been suggested in </w:t>
      </w:r>
      <w:r w:rsidR="007D0840" w:rsidRPr="00EC4FA9">
        <w:t xml:space="preserve">the </w:t>
      </w:r>
      <w:r w:rsidRPr="00EC4FA9">
        <w:t xml:space="preserve">literature to explain decision-making in public administration, including </w:t>
      </w:r>
      <w:r w:rsidR="007D0840" w:rsidRPr="00EC4FA9">
        <w:t>value</w:t>
      </w:r>
      <w:r w:rsidR="009945E3">
        <w:t xml:space="preserve"> </w:t>
      </w:r>
      <w:r w:rsidR="007D0840" w:rsidRPr="00EC4FA9">
        <w:t>maximi</w:t>
      </w:r>
      <w:r w:rsidR="008378BC">
        <w:t>s</w:t>
      </w:r>
      <w:r w:rsidR="009945E3">
        <w:t>ation</w:t>
      </w:r>
      <w:r w:rsidR="007D0840" w:rsidRPr="00EC4FA9">
        <w:t xml:space="preserve"> models,</w:t>
      </w:r>
      <w:r w:rsidRPr="00EC4FA9">
        <w:t xml:space="preserve"> organi</w:t>
      </w:r>
      <w:r w:rsidR="008378BC">
        <w:t>s</w:t>
      </w:r>
      <w:r w:rsidRPr="00EC4FA9">
        <w:t>ational process models, political bargaining models</w:t>
      </w:r>
      <w:r w:rsidR="009945E3">
        <w:t>,</w:t>
      </w:r>
      <w:r w:rsidRPr="00EC4FA9">
        <w:t xml:space="preserve"> and symbolic frameworks (Woodhead and Smith, 2002). Thus, decision-making is not only a result of rational analysis, but is also affected by politics</w:t>
      </w:r>
      <w:r w:rsidR="00BB7766" w:rsidRPr="00EC4FA9">
        <w:t>, power, and</w:t>
      </w:r>
      <w:r w:rsidRPr="00EC4FA9">
        <w:t xml:space="preserve"> bounded rationality. Studies of decision</w:t>
      </w:r>
      <w:r w:rsidR="00BB7766" w:rsidRPr="00EC4FA9">
        <w:t xml:space="preserve"> </w:t>
      </w:r>
      <w:r w:rsidRPr="00EC4FA9">
        <w:t xml:space="preserve">logic in public projects </w:t>
      </w:r>
      <w:r w:rsidR="009945E3">
        <w:t xml:space="preserve">have </w:t>
      </w:r>
      <w:r w:rsidRPr="00EC4FA9">
        <w:t>tend</w:t>
      </w:r>
      <w:r w:rsidR="009945E3">
        <w:t>ed</w:t>
      </w:r>
      <w:r w:rsidRPr="00EC4FA9">
        <w:t xml:space="preserve"> to conclude that the front-end phase is often long and </w:t>
      </w:r>
      <w:r w:rsidR="009945E3">
        <w:t>‘</w:t>
      </w:r>
      <w:r w:rsidRPr="00EC4FA9">
        <w:t>messy</w:t>
      </w:r>
      <w:r w:rsidR="009945E3">
        <w:t>’</w:t>
      </w:r>
      <w:r w:rsidRPr="00EC4FA9">
        <w:t xml:space="preserve"> and that the justification for the project may change over time (Whist and Christensen, 2011; Woodhead and Smith, 2002).</w:t>
      </w:r>
    </w:p>
    <w:p w14:paraId="35E0B50E" w14:textId="7869BCE8" w:rsidR="00312718" w:rsidRDefault="00312718" w:rsidP="0078069B">
      <w:r w:rsidRPr="009D5ADF">
        <w:t xml:space="preserve">While the insights from decision-making science and agency theory, particularly as they relate to project governance, provide a valuable context for our study, these are not the central topics of this article. Instead, our focus is more specifically on exploring the role of </w:t>
      </w:r>
      <w:r w:rsidRPr="00CC0E05">
        <w:rPr>
          <w:i/>
          <w:iCs/>
        </w:rPr>
        <w:t>do-nothing</w:t>
      </w:r>
      <w:r w:rsidRPr="009D5ADF">
        <w:t xml:space="preserve"> and </w:t>
      </w:r>
      <w:r w:rsidRPr="00CC0E05">
        <w:rPr>
          <w:i/>
          <w:iCs/>
        </w:rPr>
        <w:t>do-minimum</w:t>
      </w:r>
      <w:r w:rsidRPr="009D5ADF">
        <w:t xml:space="preserve"> alternatives in public project appraisal.</w:t>
      </w:r>
    </w:p>
    <w:p w14:paraId="19D555C1" w14:textId="6FB02A3F" w:rsidR="0078069B" w:rsidRDefault="0078069B" w:rsidP="0078069B">
      <w:pPr>
        <w:keepNext/>
        <w:keepLines/>
        <w:numPr>
          <w:ilvl w:val="1"/>
          <w:numId w:val="1"/>
        </w:numPr>
        <w:spacing w:before="120" w:after="120"/>
        <w:outlineLvl w:val="2"/>
        <w:rPr>
          <w:rFonts w:asciiTheme="majorHAnsi" w:eastAsiaTheme="majorEastAsia" w:hAnsiTheme="majorHAnsi" w:cstheme="majorBidi"/>
          <w:color w:val="1F3763" w:themeColor="accent1" w:themeShade="7F"/>
        </w:rPr>
      </w:pPr>
      <w:r w:rsidRPr="00EC4FA9">
        <w:rPr>
          <w:rFonts w:asciiTheme="majorHAnsi" w:eastAsiaTheme="majorEastAsia" w:hAnsiTheme="majorHAnsi" w:cstheme="majorBidi"/>
          <w:color w:val="1F3763" w:themeColor="accent1" w:themeShade="7F"/>
        </w:rPr>
        <w:t>Do</w:t>
      </w:r>
      <w:r w:rsidR="002810E6">
        <w:rPr>
          <w:rFonts w:asciiTheme="majorHAnsi" w:eastAsiaTheme="majorEastAsia" w:hAnsiTheme="majorHAnsi" w:cstheme="majorBidi"/>
          <w:color w:val="1F3763" w:themeColor="accent1" w:themeShade="7F"/>
        </w:rPr>
        <w:t>-</w:t>
      </w:r>
      <w:r w:rsidRPr="00EC4FA9">
        <w:rPr>
          <w:rFonts w:asciiTheme="majorHAnsi" w:eastAsiaTheme="majorEastAsia" w:hAnsiTheme="majorHAnsi" w:cstheme="majorBidi"/>
          <w:color w:val="1F3763" w:themeColor="accent1" w:themeShade="7F"/>
        </w:rPr>
        <w:t>nothing and do</w:t>
      </w:r>
      <w:r w:rsidR="002810E6">
        <w:rPr>
          <w:rFonts w:asciiTheme="majorHAnsi" w:eastAsiaTheme="majorEastAsia" w:hAnsiTheme="majorHAnsi" w:cstheme="majorBidi"/>
          <w:color w:val="1F3763" w:themeColor="accent1" w:themeShade="7F"/>
        </w:rPr>
        <w:t>-</w:t>
      </w:r>
      <w:r w:rsidRPr="00EC4FA9">
        <w:rPr>
          <w:rFonts w:asciiTheme="majorHAnsi" w:eastAsiaTheme="majorEastAsia" w:hAnsiTheme="majorHAnsi" w:cstheme="majorBidi"/>
          <w:color w:val="1F3763" w:themeColor="accent1" w:themeShade="7F"/>
        </w:rPr>
        <w:t>minimum</w:t>
      </w:r>
    </w:p>
    <w:p w14:paraId="50B07070" w14:textId="70010D1B" w:rsidR="00CC0E05" w:rsidRPr="00EC4FA9" w:rsidRDefault="00C55005" w:rsidP="0076431B">
      <w:pPr>
        <w:rPr>
          <w:rFonts w:cstheme="minorHAnsi"/>
        </w:rPr>
      </w:pPr>
      <w:r w:rsidRPr="0076431B">
        <w:t>Most countries and funding institutions have guidelines for their appraisal of publicly</w:t>
      </w:r>
      <w:r w:rsidR="0011227C">
        <w:t>-</w:t>
      </w:r>
      <w:r w:rsidRPr="0076431B">
        <w:t>funded projects (see, e.g., European Commission, 2014; Transport Infrastructure Ireland, 2016; Finansministeriet, 2017; HM Treasury, 2022; Trafikverket, 2023).</w:t>
      </w:r>
      <w:r w:rsidR="00820EFE" w:rsidRPr="0076431B">
        <w:t xml:space="preserve"> In many of these </w:t>
      </w:r>
      <w:r w:rsidR="0076431B" w:rsidRPr="0076431B">
        <w:t>guidelines</w:t>
      </w:r>
      <w:r w:rsidR="004D4C7C">
        <w:t>,</w:t>
      </w:r>
      <w:r w:rsidR="0076431B" w:rsidRPr="00CC0E05">
        <w:rPr>
          <w:rFonts w:cstheme="minorHAnsi"/>
        </w:rPr>
        <w:t xml:space="preserve"> value for money and alignment with strategic goals are </w:t>
      </w:r>
      <w:r w:rsidR="0076431B" w:rsidRPr="0076431B">
        <w:rPr>
          <w:rFonts w:cstheme="minorHAnsi"/>
        </w:rPr>
        <w:t>given a central place.</w:t>
      </w:r>
      <w:r w:rsidR="00384905" w:rsidRPr="006C4B65">
        <w:rPr>
          <w:rFonts w:cstheme="minorHAnsi"/>
        </w:rPr>
        <w:t xml:space="preserve"> For example, in the UK, the Five Case Model is applied in public projects, which aim </w:t>
      </w:r>
      <w:r w:rsidR="001F4DD6">
        <w:rPr>
          <w:rFonts w:cstheme="minorHAnsi"/>
        </w:rPr>
        <w:t xml:space="preserve">is </w:t>
      </w:r>
      <w:r w:rsidR="00384905" w:rsidRPr="006C4B65">
        <w:rPr>
          <w:rFonts w:cstheme="minorHAnsi"/>
        </w:rPr>
        <w:t>to establish a case for investment by preparing five key cases: strategic, economic, commercial, financial, and management (HM Treasury, 2022).</w:t>
      </w:r>
    </w:p>
    <w:p w14:paraId="2C9D0AEE" w14:textId="77777777" w:rsidR="00D24CD3" w:rsidRPr="00917B65" w:rsidRDefault="00D24CD3" w:rsidP="001D1AA7">
      <w:pPr>
        <w:spacing w:before="120" w:after="120"/>
        <w:rPr>
          <w:b/>
          <w:bCs/>
        </w:rPr>
      </w:pPr>
      <w:r w:rsidRPr="00917B65">
        <w:rPr>
          <w:b/>
          <w:bCs/>
        </w:rPr>
        <w:t xml:space="preserve">Project appraisal needs a baseline </w:t>
      </w:r>
    </w:p>
    <w:p w14:paraId="2C234EB2" w14:textId="3B8D796B" w:rsidR="00C55005" w:rsidRPr="00EC4FA9" w:rsidRDefault="003F1A2D" w:rsidP="00C55005">
      <w:r>
        <w:t>A potential investment</w:t>
      </w:r>
      <w:r w:rsidRPr="00EC4FA9">
        <w:t xml:space="preserve"> project must be compared with a baseline or reference alternative, typically defined as the </w:t>
      </w:r>
      <w:r w:rsidRPr="00EC4FA9">
        <w:rPr>
          <w:i/>
          <w:iCs/>
        </w:rPr>
        <w:t>do-nothing</w:t>
      </w:r>
      <w:r w:rsidRPr="00EC4FA9">
        <w:t xml:space="preserve"> alternative. This would normally be the continuation of the existing situation, where </w:t>
      </w:r>
      <w:r>
        <w:t xml:space="preserve">either </w:t>
      </w:r>
      <w:r w:rsidRPr="00EC4FA9">
        <w:t>a problem is not solved or an opportunity is no</w:t>
      </w:r>
      <w:r>
        <w:t>t</w:t>
      </w:r>
      <w:r w:rsidRPr="00EC4FA9">
        <w:t xml:space="preserve"> taken. </w:t>
      </w:r>
      <w:r w:rsidR="00C55005">
        <w:t xml:space="preserve">Most guidelines are, however, </w:t>
      </w:r>
      <w:r w:rsidR="00C55005" w:rsidRPr="00EC4FA9">
        <w:t>vague regarding the design of the baseline</w:t>
      </w:r>
      <w:r w:rsidR="00C55005">
        <w:t xml:space="preserve"> for appraisal</w:t>
      </w:r>
      <w:r w:rsidR="00C55005" w:rsidRPr="00EC4FA9">
        <w:t>. Typically, the</w:t>
      </w:r>
      <w:r w:rsidR="00C55005">
        <w:t xml:space="preserve"> guidelines</w:t>
      </w:r>
      <w:r w:rsidR="00C55005" w:rsidRPr="00EC4FA9">
        <w:t xml:space="preserve"> state that the baseline should represent a ‘continuation of the current situation with necessary maintenance at a minimum level’, but </w:t>
      </w:r>
      <w:r w:rsidR="00C55005">
        <w:t>what this means is unclear</w:t>
      </w:r>
      <w:r w:rsidR="00C55005" w:rsidRPr="00EC4FA9">
        <w:t xml:space="preserve">. Most countries specify that only committed </w:t>
      </w:r>
      <w:r w:rsidR="00026DB0">
        <w:t xml:space="preserve">policy </w:t>
      </w:r>
      <w:r w:rsidR="00C55005" w:rsidRPr="00EC4FA9">
        <w:t xml:space="preserve">should be included in the baseline. Some guidelines distinguish between </w:t>
      </w:r>
      <w:r w:rsidR="00C55005" w:rsidRPr="00EC4FA9">
        <w:rPr>
          <w:i/>
          <w:iCs/>
        </w:rPr>
        <w:t>do</w:t>
      </w:r>
      <w:r w:rsidR="00DB0E28">
        <w:rPr>
          <w:i/>
          <w:iCs/>
        </w:rPr>
        <w:t>-</w:t>
      </w:r>
      <w:r w:rsidR="00C55005" w:rsidRPr="00EC4FA9">
        <w:rPr>
          <w:i/>
          <w:iCs/>
        </w:rPr>
        <w:t>nothing</w:t>
      </w:r>
      <w:r w:rsidR="00C55005" w:rsidRPr="00EC4FA9">
        <w:t xml:space="preserve"> and </w:t>
      </w:r>
      <w:r w:rsidR="00C55005" w:rsidRPr="00EC4FA9">
        <w:rPr>
          <w:i/>
          <w:iCs/>
        </w:rPr>
        <w:t>do</w:t>
      </w:r>
      <w:r w:rsidR="00DB0E28">
        <w:rPr>
          <w:i/>
          <w:iCs/>
        </w:rPr>
        <w:t>-</w:t>
      </w:r>
      <w:r w:rsidR="00C55005" w:rsidRPr="00EC4FA9">
        <w:rPr>
          <w:i/>
          <w:iCs/>
        </w:rPr>
        <w:t>minimum</w:t>
      </w:r>
      <w:r w:rsidR="00C55005" w:rsidRPr="00EC4FA9">
        <w:t xml:space="preserve">, with a general recommendation to use </w:t>
      </w:r>
      <w:r w:rsidR="00C55005" w:rsidRPr="00EC4FA9">
        <w:rPr>
          <w:i/>
          <w:iCs/>
        </w:rPr>
        <w:t>do</w:t>
      </w:r>
      <w:r w:rsidR="00DB0E28">
        <w:rPr>
          <w:i/>
          <w:iCs/>
        </w:rPr>
        <w:t>-</w:t>
      </w:r>
      <w:r w:rsidR="00C55005" w:rsidRPr="00EC4FA9">
        <w:rPr>
          <w:i/>
          <w:iCs/>
        </w:rPr>
        <w:t>nothing</w:t>
      </w:r>
      <w:r w:rsidR="00C55005" w:rsidRPr="00EC4FA9">
        <w:t xml:space="preserve"> as the baseline and to include </w:t>
      </w:r>
      <w:r w:rsidR="00C55005" w:rsidRPr="00EC4FA9">
        <w:rPr>
          <w:i/>
          <w:iCs/>
        </w:rPr>
        <w:t>do</w:t>
      </w:r>
      <w:r w:rsidR="00DB0E28">
        <w:rPr>
          <w:i/>
          <w:iCs/>
        </w:rPr>
        <w:t>-</w:t>
      </w:r>
      <w:r w:rsidR="00C55005" w:rsidRPr="00EC4FA9">
        <w:rPr>
          <w:i/>
          <w:iCs/>
        </w:rPr>
        <w:t>minimum</w:t>
      </w:r>
      <w:r w:rsidR="00C55005" w:rsidRPr="00EC4FA9">
        <w:t xml:space="preserve"> among the alternatives. However, numerous decisions and considerations are left to those performing the appraisal.</w:t>
      </w:r>
    </w:p>
    <w:p w14:paraId="2F4010CF" w14:textId="5588AF06" w:rsidR="00C55005" w:rsidRPr="00EC4FA9" w:rsidRDefault="00C55005" w:rsidP="006C4B65">
      <w:r w:rsidRPr="00EC4FA9">
        <w:t>The Dutch transport CBA guidelines stand out</w:t>
      </w:r>
      <w:r>
        <w:t>,</w:t>
      </w:r>
      <w:r w:rsidRPr="00EC4FA9">
        <w:t xml:space="preserve"> as they </w:t>
      </w:r>
      <w:r w:rsidRPr="00EC4FA9">
        <w:rPr>
          <w:i/>
          <w:iCs/>
        </w:rPr>
        <w:t xml:space="preserve">require </w:t>
      </w:r>
      <w:r w:rsidRPr="00EC4FA9">
        <w:t>investigating the possibility of partially solving or mitigating the identified problems with minor interventions</w:t>
      </w:r>
      <w:r>
        <w:t xml:space="preserve"> (Wangsness </w:t>
      </w:r>
      <w:r w:rsidRPr="00352D5E">
        <w:rPr>
          <w:i/>
          <w:iCs/>
        </w:rPr>
        <w:t>et al</w:t>
      </w:r>
      <w:r>
        <w:t>., 2022)</w:t>
      </w:r>
      <w:r w:rsidRPr="00EC4FA9">
        <w:t xml:space="preserve">. The guidelines mention that examples could be road pricing, spatial planning, improved information to travellers, and incentives for bicycle use. Other guidelines, such as those used by </w:t>
      </w:r>
      <w:r w:rsidRPr="00EC4FA9">
        <w:lastRenderedPageBreak/>
        <w:t xml:space="preserve">the Swedish transport authorities, do not have requirements but generally </w:t>
      </w:r>
      <w:r w:rsidRPr="00EC4FA9">
        <w:rPr>
          <w:i/>
          <w:iCs/>
        </w:rPr>
        <w:t>encourage</w:t>
      </w:r>
      <w:r w:rsidRPr="00EC4FA9">
        <w:t xml:space="preserve"> the inclusion of small-scale alternatives.</w:t>
      </w:r>
    </w:p>
    <w:p w14:paraId="5AF768B2" w14:textId="71DE1EE0" w:rsidR="0078069B" w:rsidRPr="00EC4FA9" w:rsidRDefault="009F38B3" w:rsidP="0078069B">
      <w:r>
        <w:t>T</w:t>
      </w:r>
      <w:r w:rsidR="009A076F">
        <w:t>he baseline</w:t>
      </w:r>
      <w:r w:rsidR="0078069B" w:rsidRPr="00EC4FA9">
        <w:t xml:space="preserve"> has not received much attention in the </w:t>
      </w:r>
      <w:r w:rsidR="005743D5">
        <w:t xml:space="preserve">academic </w:t>
      </w:r>
      <w:r w:rsidR="0078069B" w:rsidRPr="00EC4FA9">
        <w:t>literature</w:t>
      </w:r>
      <w:r w:rsidR="005743D5">
        <w:t xml:space="preserve"> either</w:t>
      </w:r>
      <w:r w:rsidR="0078069B" w:rsidRPr="00EC4FA9">
        <w:t>.</w:t>
      </w:r>
      <w:r w:rsidR="00DC1345">
        <w:t xml:space="preserve"> </w:t>
      </w:r>
      <w:r w:rsidR="006D3054">
        <w:t xml:space="preserve">We searched the literature for </w:t>
      </w:r>
      <w:r w:rsidR="00FE3631">
        <w:t>different</w:t>
      </w:r>
      <w:r w:rsidR="006D3054">
        <w:t xml:space="preserve"> terms, like</w:t>
      </w:r>
      <w:r w:rsidR="00DC1345">
        <w:t xml:space="preserve"> ‘</w:t>
      </w:r>
      <w:r w:rsidR="00CD2E46">
        <w:t>d</w:t>
      </w:r>
      <w:r w:rsidR="00DC1345">
        <w:t>o</w:t>
      </w:r>
      <w:r w:rsidR="002D6F61">
        <w:t>-</w:t>
      </w:r>
      <w:r w:rsidR="00DC1345">
        <w:t>nothing’</w:t>
      </w:r>
      <w:r w:rsidR="003E2E20">
        <w:t xml:space="preserve">, ‘baseline’, </w:t>
      </w:r>
      <w:r w:rsidR="00EA4986">
        <w:t xml:space="preserve">‘base case’, ‘counterfactual’, </w:t>
      </w:r>
      <w:r w:rsidR="00BC6D55">
        <w:t>‘</w:t>
      </w:r>
      <w:r w:rsidR="003E2E20">
        <w:t>reference</w:t>
      </w:r>
      <w:r w:rsidR="006D3054">
        <w:t xml:space="preserve"> scenario</w:t>
      </w:r>
      <w:r w:rsidR="003E2E20">
        <w:t>’, ‘business as usual’ and ‘status quo’</w:t>
      </w:r>
      <w:r w:rsidR="00BA512B">
        <w:t xml:space="preserve"> and hardly found any studies</w:t>
      </w:r>
      <w:r w:rsidR="00EC004F">
        <w:t xml:space="preserve"> </w:t>
      </w:r>
      <w:r w:rsidR="003D0A8A">
        <w:t>relating to project management or economic appraisal</w:t>
      </w:r>
      <w:r w:rsidR="00FE3631">
        <w:t>.</w:t>
      </w:r>
      <w:r w:rsidR="00B060A3">
        <w:t xml:space="preserve"> </w:t>
      </w:r>
      <w:r w:rsidR="0042106C">
        <w:t xml:space="preserve"> </w:t>
      </w:r>
    </w:p>
    <w:p w14:paraId="072585F7" w14:textId="697BCA91" w:rsidR="0078069B" w:rsidRPr="00EC4FA9" w:rsidRDefault="0078069B" w:rsidP="008F06CE">
      <w:pPr>
        <w:spacing w:before="120" w:after="120"/>
      </w:pPr>
      <w:r w:rsidRPr="00EC4FA9">
        <w:t xml:space="preserve">From a rational economic perspective, project alternatives should be ranked according to their value for money, and the alternative with the highest benefit-cost ratio should be recommended. If </w:t>
      </w:r>
      <w:r w:rsidR="00BB7766" w:rsidRPr="00EC4FA9">
        <w:t xml:space="preserve">the </w:t>
      </w:r>
      <w:r w:rsidRPr="00EC4FA9">
        <w:t xml:space="preserve">benefits do not outweigh </w:t>
      </w:r>
      <w:r w:rsidR="00BB7766" w:rsidRPr="00EC4FA9">
        <w:t xml:space="preserve">the </w:t>
      </w:r>
      <w:r w:rsidRPr="00EC4FA9">
        <w:t xml:space="preserve">cost </w:t>
      </w:r>
      <w:r w:rsidR="00B42F3C">
        <w:t>of</w:t>
      </w:r>
      <w:r w:rsidRPr="00EC4FA9">
        <w:t xml:space="preserve"> any alternatives, the </w:t>
      </w:r>
      <w:r w:rsidRPr="00EC4FA9">
        <w:rPr>
          <w:i/>
          <w:iCs/>
        </w:rPr>
        <w:t>do-nothing</w:t>
      </w:r>
      <w:r w:rsidRPr="00EC4FA9">
        <w:t xml:space="preserve"> alternative should be selected, implying that the appraisal process should be terminated. In cases when benefits either cannot or should not be measured in monetary terms, the appraisal process and ranking will have to be qualitative, but the principle should be the same. </w:t>
      </w:r>
    </w:p>
    <w:p w14:paraId="1608F98B" w14:textId="0152C15E" w:rsidR="0078069B" w:rsidRPr="00EC4FA9" w:rsidRDefault="0078069B" w:rsidP="008F06CE">
      <w:pPr>
        <w:spacing w:before="120" w:after="120"/>
      </w:pPr>
      <w:r w:rsidRPr="00EC4FA9" w:rsidDel="00B2371D">
        <w:t xml:space="preserve">The importance of the </w:t>
      </w:r>
      <w:r w:rsidRPr="00EC4FA9">
        <w:rPr>
          <w:i/>
          <w:iCs/>
        </w:rPr>
        <w:t>do-nothing</w:t>
      </w:r>
      <w:r w:rsidRPr="00EC4FA9">
        <w:t xml:space="preserve"> alternative</w:t>
      </w:r>
      <w:r w:rsidRPr="00EC4FA9" w:rsidDel="00B2371D">
        <w:t xml:space="preserve"> to the </w:t>
      </w:r>
      <w:r w:rsidR="00BB7766" w:rsidRPr="00EC4FA9">
        <w:t>appraisal results</w:t>
      </w:r>
      <w:r w:rsidRPr="00EC4FA9" w:rsidDel="00B2371D">
        <w:t xml:space="preserve"> should not be underestimated. </w:t>
      </w:r>
      <w:r w:rsidR="001973CC" w:rsidRPr="00EC4FA9">
        <w:t xml:space="preserve">For example, </w:t>
      </w:r>
      <w:r w:rsidR="00FA570E" w:rsidRPr="00EC4FA9">
        <w:t>assume that the problem is</w:t>
      </w:r>
      <w:r w:rsidR="007F3FED">
        <w:t xml:space="preserve"> congestion</w:t>
      </w:r>
      <w:r w:rsidR="00FA570E" w:rsidRPr="00EC4FA9">
        <w:t xml:space="preserve">, and the benefits of building a </w:t>
      </w:r>
      <w:r w:rsidR="006E0707" w:rsidRPr="00EC4FA9">
        <w:t xml:space="preserve">new </w:t>
      </w:r>
      <w:r w:rsidR="00BA7464">
        <w:t>motorway</w:t>
      </w:r>
      <w:r w:rsidR="00BA7464" w:rsidRPr="00EC4FA9">
        <w:t xml:space="preserve"> </w:t>
      </w:r>
      <w:r w:rsidR="00FA570E" w:rsidRPr="00EC4FA9">
        <w:t xml:space="preserve">can be measured by the time savings </w:t>
      </w:r>
      <w:r w:rsidR="008F06CE" w:rsidRPr="00EC4FA9">
        <w:t>obtained</w:t>
      </w:r>
      <w:r w:rsidR="00FA570E" w:rsidRPr="00EC4FA9">
        <w:t xml:space="preserve"> over </w:t>
      </w:r>
      <w:r w:rsidR="006E0707" w:rsidRPr="00EC4FA9">
        <w:t>its</w:t>
      </w:r>
      <w:r w:rsidR="008F06CE" w:rsidRPr="00EC4FA9">
        <w:t xml:space="preserve"> life</w:t>
      </w:r>
      <w:r w:rsidR="00B42F3C">
        <w:t xml:space="preserve"> </w:t>
      </w:r>
      <w:r w:rsidR="008F06CE" w:rsidRPr="00EC4FA9">
        <w:t>cycle</w:t>
      </w:r>
      <w:r w:rsidR="00AE447D">
        <w:t>, which in turn</w:t>
      </w:r>
      <w:r w:rsidR="00FA570E" w:rsidRPr="00EC4FA9">
        <w:t xml:space="preserve"> will depend heavily on </w:t>
      </w:r>
      <w:r w:rsidR="00312162">
        <w:t>current and future traffic situation</w:t>
      </w:r>
      <w:r w:rsidR="008F06CE" w:rsidRPr="00EC4FA9">
        <w:t>,</w:t>
      </w:r>
      <w:r w:rsidR="00FA570E" w:rsidRPr="00EC4FA9">
        <w:t xml:space="preserve"> in the </w:t>
      </w:r>
      <w:r w:rsidR="008F06CE" w:rsidRPr="00EC4FA9">
        <w:t>absence of a new road</w:t>
      </w:r>
      <w:r w:rsidR="00FA570E" w:rsidRPr="00EC4FA9">
        <w:t>. If we assume that</w:t>
      </w:r>
      <w:r w:rsidRPr="00EC4FA9" w:rsidDel="00F67023">
        <w:t xml:space="preserve"> the current situation will gradually worsen</w:t>
      </w:r>
      <w:r w:rsidR="00FA570E" w:rsidRPr="00EC4FA9">
        <w:t>, the benefits of a n</w:t>
      </w:r>
      <w:r w:rsidR="00B42F3C">
        <w:t>e</w:t>
      </w:r>
      <w:r w:rsidR="00FA570E" w:rsidRPr="00EC4FA9">
        <w:t xml:space="preserve">w road will increase. If, on the other hand, </w:t>
      </w:r>
      <w:r w:rsidRPr="00EC4FA9" w:rsidDel="00F67023">
        <w:t xml:space="preserve">we </w:t>
      </w:r>
      <w:r w:rsidR="004A5E72">
        <w:t>believe</w:t>
      </w:r>
      <w:r w:rsidR="004A5E72" w:rsidRPr="00EC4FA9" w:rsidDel="00F67023">
        <w:t xml:space="preserve"> </w:t>
      </w:r>
      <w:r w:rsidRPr="00EC4FA9">
        <w:t xml:space="preserve">that the situation will improve </w:t>
      </w:r>
      <w:r w:rsidR="00B42F3C">
        <w:t>‘</w:t>
      </w:r>
      <w:r w:rsidRPr="00EC4FA9">
        <w:t>by itself</w:t>
      </w:r>
      <w:r w:rsidR="00B42F3C">
        <w:t>’</w:t>
      </w:r>
      <w:r w:rsidRPr="00EC4FA9">
        <w:t xml:space="preserve"> (</w:t>
      </w:r>
      <w:r w:rsidR="00B42F3C">
        <w:t>e.g.</w:t>
      </w:r>
      <w:r w:rsidR="00EC388B">
        <w:t>,</w:t>
      </w:r>
      <w:r w:rsidR="00B42F3C">
        <w:t xml:space="preserve"> </w:t>
      </w:r>
      <w:r w:rsidRPr="00EC4FA9">
        <w:t xml:space="preserve">due to new technology, </w:t>
      </w:r>
      <w:r w:rsidR="00FA570E" w:rsidRPr="00EC4FA9">
        <w:t>reduced travel demand</w:t>
      </w:r>
      <w:r w:rsidRPr="00EC4FA9">
        <w:t>)</w:t>
      </w:r>
      <w:r w:rsidRPr="00EC4FA9" w:rsidDel="00F67023">
        <w:t xml:space="preserve">, </w:t>
      </w:r>
      <w:r w:rsidR="00FA570E" w:rsidRPr="00EC4FA9">
        <w:t>the benefits of a new road will decrease</w:t>
      </w:r>
      <w:r w:rsidRPr="00EC4FA9">
        <w:t>. Similar</w:t>
      </w:r>
      <w:r w:rsidR="00FA570E" w:rsidRPr="00EC4FA9">
        <w:t>ly, the baseline can affect project costs</w:t>
      </w:r>
      <w:r w:rsidRPr="00EC4FA9">
        <w:t xml:space="preserve">. </w:t>
      </w:r>
    </w:p>
    <w:p w14:paraId="715A1240" w14:textId="33256E6E" w:rsidR="0078069B" w:rsidRPr="00917B65" w:rsidRDefault="0078069B" w:rsidP="008F06CE">
      <w:pPr>
        <w:spacing w:before="120" w:after="120"/>
        <w:rPr>
          <w:b/>
          <w:bCs/>
        </w:rPr>
      </w:pPr>
      <w:r w:rsidRPr="00917B65">
        <w:rPr>
          <w:b/>
          <w:bCs/>
        </w:rPr>
        <w:t xml:space="preserve">Defining the baseline is </w:t>
      </w:r>
      <w:r w:rsidR="00BB7766" w:rsidRPr="00917B65">
        <w:rPr>
          <w:b/>
          <w:bCs/>
        </w:rPr>
        <w:t>complex</w:t>
      </w:r>
      <w:r w:rsidRPr="00917B65">
        <w:rPr>
          <w:b/>
          <w:bCs/>
        </w:rPr>
        <w:t xml:space="preserve"> and </w:t>
      </w:r>
      <w:r w:rsidR="00B2622F">
        <w:rPr>
          <w:b/>
          <w:bCs/>
        </w:rPr>
        <w:t xml:space="preserve">potentially </w:t>
      </w:r>
      <w:r w:rsidRPr="00917B65">
        <w:rPr>
          <w:b/>
          <w:bCs/>
        </w:rPr>
        <w:t>prone to bias</w:t>
      </w:r>
    </w:p>
    <w:p w14:paraId="36247A54" w14:textId="71972F67" w:rsidR="0078069B" w:rsidRPr="00EC4FA9" w:rsidRDefault="0078069B" w:rsidP="0078069B">
      <w:r w:rsidRPr="00EC4FA9">
        <w:t>The design and analysis of an appropriate</w:t>
      </w:r>
      <w:r w:rsidRPr="00EC4FA9" w:rsidDel="00F67023">
        <w:t xml:space="preserve"> </w:t>
      </w:r>
      <w:r w:rsidRPr="00EC4FA9">
        <w:rPr>
          <w:i/>
          <w:iCs/>
        </w:rPr>
        <w:t>do-nothing</w:t>
      </w:r>
      <w:r w:rsidRPr="00EC4FA9">
        <w:t xml:space="preserve"> alternative</w:t>
      </w:r>
      <w:r w:rsidRPr="00EC4FA9" w:rsidDel="00F67023">
        <w:t xml:space="preserve"> may seem straightforward</w:t>
      </w:r>
      <w:r w:rsidRPr="00EC4FA9">
        <w:t xml:space="preserve">. However, </w:t>
      </w:r>
      <w:r w:rsidR="00FA570E" w:rsidRPr="00EC4FA9">
        <w:t xml:space="preserve">as indicated above, </w:t>
      </w:r>
      <w:r w:rsidRPr="00EC4FA9">
        <w:t>it</w:t>
      </w:r>
      <w:r w:rsidRPr="00EC4FA9" w:rsidDel="00F67023">
        <w:t xml:space="preserve"> </w:t>
      </w:r>
      <w:r w:rsidRPr="00EC4FA9">
        <w:t>can</w:t>
      </w:r>
      <w:r w:rsidRPr="00EC4FA9" w:rsidDel="00F67023">
        <w:t xml:space="preserve"> </w:t>
      </w:r>
      <w:r w:rsidRPr="00EC4FA9">
        <w:t>rarely be described as a</w:t>
      </w:r>
      <w:r w:rsidRPr="00EC4FA9" w:rsidDel="00F67023">
        <w:t xml:space="preserve"> simpl</w:t>
      </w:r>
      <w:r w:rsidRPr="00EC4FA9">
        <w:t>e</w:t>
      </w:r>
      <w:r w:rsidRPr="00EC4FA9" w:rsidDel="00F67023">
        <w:t xml:space="preserve"> continuation of </w:t>
      </w:r>
      <w:r w:rsidR="004A5E72">
        <w:t xml:space="preserve">the </w:t>
      </w:r>
      <w:r w:rsidRPr="00EC4FA9" w:rsidDel="00F67023">
        <w:t>status quo</w:t>
      </w:r>
      <w:r w:rsidR="00BB7766" w:rsidRPr="00EC4FA9">
        <w:t xml:space="preserve">. </w:t>
      </w:r>
      <w:r w:rsidR="004A5E72">
        <w:t>Instead</w:t>
      </w:r>
      <w:r w:rsidR="00BB7766" w:rsidRPr="00EC4FA9">
        <w:t>, it should</w:t>
      </w:r>
      <w:r w:rsidRPr="00EC4FA9" w:rsidDel="00F67023">
        <w:t xml:space="preserve"> be described as the expected path throughout the </w:t>
      </w:r>
      <w:r w:rsidR="00BB7766" w:rsidRPr="00EC4FA9">
        <w:t>analysis period</w:t>
      </w:r>
      <w:r w:rsidRPr="00EC4FA9">
        <w:t xml:space="preserve"> (i.e.</w:t>
      </w:r>
      <w:r w:rsidR="00EC388B">
        <w:t>,</w:t>
      </w:r>
      <w:r w:rsidRPr="00EC4FA9">
        <w:t xml:space="preserve"> the </w:t>
      </w:r>
      <w:r w:rsidRPr="00EC4FA9" w:rsidDel="00F67023">
        <w:t xml:space="preserve">life cycle of the </w:t>
      </w:r>
      <w:r w:rsidRPr="00EC4FA9" w:rsidDel="00F67023">
        <w:rPr>
          <w:i/>
          <w:iCs/>
        </w:rPr>
        <w:t>do-something</w:t>
      </w:r>
      <w:r w:rsidRPr="00EC4FA9" w:rsidDel="00F67023">
        <w:t xml:space="preserve"> alternatives</w:t>
      </w:r>
      <w:r w:rsidRPr="00EC4FA9">
        <w:t>)</w:t>
      </w:r>
      <w:r w:rsidR="006E0707" w:rsidRPr="00EC4FA9">
        <w:t>.</w:t>
      </w:r>
      <w:r w:rsidR="00FA570E" w:rsidRPr="00EC4FA9">
        <w:t xml:space="preserve"> Typically, this </w:t>
      </w:r>
      <w:r w:rsidRPr="00EC4FA9" w:rsidDel="00F67023">
        <w:t xml:space="preserve">includes assumptions about development in demographic and macroeconomic variables, technology, other trends and contextual factors, and </w:t>
      </w:r>
      <w:r w:rsidRPr="00EC4FA9">
        <w:t>public</w:t>
      </w:r>
      <w:r w:rsidRPr="00EC4FA9" w:rsidDel="00F67023">
        <w:t xml:space="preserve"> policy. </w:t>
      </w:r>
      <w:r w:rsidR="00FA570E" w:rsidRPr="00EC4FA9">
        <w:t>A</w:t>
      </w:r>
      <w:r w:rsidR="00FC6B0E" w:rsidRPr="00EC4FA9">
        <w:t>nother</w:t>
      </w:r>
      <w:r w:rsidRPr="00EC4FA9" w:rsidDel="00F67023">
        <w:t xml:space="preserve"> complicating factor is that the benefit</w:t>
      </w:r>
      <w:r w:rsidR="00FC6B0E" w:rsidRPr="00EC4FA9">
        <w:t>s</w:t>
      </w:r>
      <w:r w:rsidRPr="00EC4FA9" w:rsidDel="00F67023">
        <w:t xml:space="preserve"> of </w:t>
      </w:r>
      <w:r w:rsidR="00A75C56">
        <w:t>a</w:t>
      </w:r>
      <w:r w:rsidRPr="00EC4FA9" w:rsidDel="00F67023">
        <w:t xml:space="preserve"> project </w:t>
      </w:r>
      <w:r w:rsidRPr="00EC4FA9">
        <w:t>may</w:t>
      </w:r>
      <w:r w:rsidRPr="00EC4FA9" w:rsidDel="00F67023">
        <w:t xml:space="preserve"> be impacted by other projects implemented during the </w:t>
      </w:r>
      <w:r w:rsidR="00BB7766" w:rsidRPr="00EC4FA9">
        <w:t>analysis period</w:t>
      </w:r>
      <w:r w:rsidRPr="00EC4FA9" w:rsidDel="00F67023">
        <w:t xml:space="preserve">. For example, the benefits of a new </w:t>
      </w:r>
      <w:r w:rsidR="00DE41F2">
        <w:t>road</w:t>
      </w:r>
      <w:r w:rsidR="00DE41F2" w:rsidRPr="00EC4FA9">
        <w:t xml:space="preserve"> </w:t>
      </w:r>
      <w:r w:rsidRPr="00EC4FA9" w:rsidDel="00F67023">
        <w:t xml:space="preserve">will depend on whether parallel roads or train services are being built in the </w:t>
      </w:r>
      <w:r w:rsidRPr="00EC4FA9">
        <w:t>same period</w:t>
      </w:r>
      <w:r w:rsidRPr="00EC4FA9" w:rsidDel="00F67023">
        <w:t xml:space="preserve">. </w:t>
      </w:r>
    </w:p>
    <w:p w14:paraId="3075AE0D" w14:textId="50026F83" w:rsidR="0078069B" w:rsidRPr="00EC4FA9" w:rsidRDefault="0078069B" w:rsidP="0078069B">
      <w:r w:rsidRPr="00EC4FA9" w:rsidDel="00F67023">
        <w:t>Most guidelines on project appraisal state that the base</w:t>
      </w:r>
      <w:r w:rsidRPr="00EC4FA9">
        <w:t>line</w:t>
      </w:r>
      <w:r w:rsidRPr="00EC4FA9" w:rsidDel="00F67023">
        <w:t xml:space="preserve"> should only include ‘committed policy’, </w:t>
      </w:r>
      <w:r w:rsidR="00B42F3C">
        <w:t>such as</w:t>
      </w:r>
      <w:r w:rsidRPr="00EC4FA9" w:rsidDel="00F67023">
        <w:t xml:space="preserve"> projects that are approved and have received funding and taxes that are already implemented. However, policy evolves, especially concerning climate change, which can significantly impact the accuracy of forecasts. Therefore, analysts must assess how society will adapt to these measures and their consequences throughout the </w:t>
      </w:r>
      <w:r w:rsidR="00BB7766" w:rsidRPr="00EC4FA9">
        <w:t>analysis period</w:t>
      </w:r>
      <w:r w:rsidRPr="00EC4FA9" w:rsidDel="00F67023">
        <w:t xml:space="preserve">. </w:t>
      </w:r>
    </w:p>
    <w:p w14:paraId="2DA2F1C7" w14:textId="304F1D00" w:rsidR="0078069B" w:rsidRPr="00EC4FA9" w:rsidRDefault="0078069B" w:rsidP="0078069B">
      <w:r w:rsidRPr="00EC4FA9" w:rsidDel="00F67023">
        <w:t xml:space="preserve">In addition to the external factors, which should be the same with and without </w:t>
      </w:r>
      <w:r w:rsidR="00AD1295">
        <w:t>a new construction</w:t>
      </w:r>
      <w:r w:rsidR="00AD1295" w:rsidRPr="00EC4FA9" w:rsidDel="00F67023">
        <w:t xml:space="preserve"> </w:t>
      </w:r>
      <w:r w:rsidRPr="00EC4FA9" w:rsidDel="00F67023">
        <w:t xml:space="preserve">project, certain </w:t>
      </w:r>
      <w:r w:rsidR="006E0707" w:rsidRPr="00EC4FA9">
        <w:t>fundamental</w:t>
      </w:r>
      <w:r w:rsidRPr="00EC4FA9" w:rsidDel="00F67023">
        <w:t xml:space="preserve"> choices must be made for the </w:t>
      </w:r>
      <w:r w:rsidR="00FC6B0E" w:rsidRPr="00EC4FA9">
        <w:t>baseline</w:t>
      </w:r>
      <w:r w:rsidRPr="00EC4FA9" w:rsidDel="00F67023">
        <w:t xml:space="preserve"> concerning, for example, how much upgrading of the existing infrastructure should be included.</w:t>
      </w:r>
      <w:r w:rsidRPr="00EC4FA9" w:rsidDel="00F67023">
        <w:rPr>
          <w:i/>
          <w:iCs/>
        </w:rPr>
        <w:t xml:space="preserve"> </w:t>
      </w:r>
      <w:r w:rsidRPr="00EC4FA9">
        <w:t xml:space="preserve">Although we use the term </w:t>
      </w:r>
      <w:r w:rsidRPr="00EC4FA9">
        <w:rPr>
          <w:i/>
          <w:iCs/>
        </w:rPr>
        <w:t>do</w:t>
      </w:r>
      <w:r w:rsidR="002810E6">
        <w:rPr>
          <w:i/>
          <w:iCs/>
        </w:rPr>
        <w:t>-</w:t>
      </w:r>
      <w:r w:rsidRPr="00EC4FA9">
        <w:rPr>
          <w:i/>
          <w:iCs/>
        </w:rPr>
        <w:t>nothing</w:t>
      </w:r>
      <w:r w:rsidRPr="00EC4FA9">
        <w:t>,</w:t>
      </w:r>
      <w:r w:rsidRPr="00EC4FA9">
        <w:rPr>
          <w:i/>
          <w:iCs/>
        </w:rPr>
        <w:t xml:space="preserve"> </w:t>
      </w:r>
      <w:r w:rsidRPr="00EC4FA9">
        <w:t xml:space="preserve">the baseline </w:t>
      </w:r>
      <w:r w:rsidR="00C6393D">
        <w:t>may</w:t>
      </w:r>
      <w:r w:rsidRPr="00EC4FA9">
        <w:t xml:space="preserve"> involve some ordinary maintenance of the existing infrastructure</w:t>
      </w:r>
      <w:r w:rsidR="00BD6024" w:rsidRPr="00EC4FA9">
        <w:t>. It could</w:t>
      </w:r>
      <w:r w:rsidRPr="00EC4FA9">
        <w:t xml:space="preserve"> even involve some minor reinvestment activities to maintain the service</w:t>
      </w:r>
      <w:r w:rsidR="006E0707" w:rsidRPr="00EC4FA9">
        <w:t xml:space="preserve"> in the longer term</w:t>
      </w:r>
      <w:r w:rsidRPr="00EC4FA9">
        <w:t xml:space="preserve">. </w:t>
      </w:r>
    </w:p>
    <w:p w14:paraId="5F223CF4" w14:textId="50D10110" w:rsidR="0078069B" w:rsidRPr="00EC4FA9" w:rsidDel="00F67023" w:rsidRDefault="0078069B" w:rsidP="0078069B">
      <w:r w:rsidRPr="00346A3A" w:rsidDel="00F67023">
        <w:t xml:space="preserve">According to Tveter (2013), an ideal reference alternative </w:t>
      </w:r>
      <w:r w:rsidRPr="00346A3A">
        <w:t xml:space="preserve">for a CBA </w:t>
      </w:r>
      <w:r w:rsidRPr="00346A3A" w:rsidDel="00F67023">
        <w:t>should satisfy two criteria:</w:t>
      </w:r>
      <w:r w:rsidRPr="00EC4FA9" w:rsidDel="00F67023">
        <w:t xml:space="preserve"> (1) it should provide a continuation of the current </w:t>
      </w:r>
      <w:r w:rsidR="006E0707" w:rsidRPr="00EC4FA9">
        <w:t>service</w:t>
      </w:r>
      <w:r w:rsidRPr="00EC4FA9" w:rsidDel="00F67023">
        <w:t xml:space="preserve"> level, </w:t>
      </w:r>
      <w:r w:rsidRPr="00EC4FA9">
        <w:t xml:space="preserve">implying that users should not be worse off, </w:t>
      </w:r>
      <w:r w:rsidRPr="00EC4FA9" w:rsidDel="00F67023">
        <w:t xml:space="preserve">and (2) should not involve new investments apart from committed projects. Although </w:t>
      </w:r>
      <w:r w:rsidRPr="00EC4FA9" w:rsidDel="00F67023">
        <w:lastRenderedPageBreak/>
        <w:t xml:space="preserve">these two criteria may appear reasonable, they may </w:t>
      </w:r>
      <w:r w:rsidR="00336711">
        <w:t>conflict</w:t>
      </w:r>
      <w:r w:rsidRPr="00EC4FA9" w:rsidDel="00F67023">
        <w:t xml:space="preserve"> in practice. The first criterion may indicate a need for </w:t>
      </w:r>
      <w:r w:rsidRPr="00EC4FA9">
        <w:t xml:space="preserve">considerable </w:t>
      </w:r>
      <w:r w:rsidRPr="00EC4FA9" w:rsidDel="00F67023">
        <w:t>upgrading</w:t>
      </w:r>
      <w:r w:rsidRPr="00EC4FA9">
        <w:t xml:space="preserve"> in the </w:t>
      </w:r>
      <w:r w:rsidR="00BD6024" w:rsidRPr="00EC4FA9">
        <w:t>coming years</w:t>
      </w:r>
      <w:r w:rsidRPr="00EC4FA9" w:rsidDel="00F67023">
        <w:t xml:space="preserve">, while the second suggests accepting declining needs satisfaction. </w:t>
      </w:r>
    </w:p>
    <w:p w14:paraId="3F89386E" w14:textId="29308C61" w:rsidR="0078069B" w:rsidRPr="00EC4FA9" w:rsidRDefault="0078069B" w:rsidP="0078069B">
      <w:r w:rsidRPr="00EC4FA9">
        <w:t xml:space="preserve">Burress and Oslund (2004) argued that describing a realistic baseline is one of the most demanding parts of a CBA. Similarly, Nash (1992) considered that much of the uncertainty in </w:t>
      </w:r>
      <w:r w:rsidR="006E0707" w:rsidRPr="00EC4FA9">
        <w:t>project appraisals</w:t>
      </w:r>
      <w:r w:rsidRPr="00EC4FA9">
        <w:t xml:space="preserve"> is related to difficulties defining the correct base case. Also, he argue</w:t>
      </w:r>
      <w:r w:rsidR="006E0707" w:rsidRPr="00EC4FA9">
        <w:t>d</w:t>
      </w:r>
      <w:r w:rsidRPr="00EC4FA9">
        <w:t xml:space="preserve"> that the </w:t>
      </w:r>
      <w:r w:rsidR="006E0707" w:rsidRPr="00EC4FA9">
        <w:t>baseline</w:t>
      </w:r>
      <w:r w:rsidRPr="00EC4FA9">
        <w:t xml:space="preserve"> could take many forms, and in many cases</w:t>
      </w:r>
      <w:r w:rsidR="00684694">
        <w:t>,</w:t>
      </w:r>
      <w:r w:rsidRPr="00EC4FA9">
        <w:t xml:space="preserve"> there will not be just one </w:t>
      </w:r>
      <w:r w:rsidR="00346A3A">
        <w:t xml:space="preserve">baseline </w:t>
      </w:r>
      <w:r w:rsidRPr="00EC4FA9">
        <w:t>but many</w:t>
      </w:r>
      <w:r w:rsidR="00EE6C7D">
        <w:t>.</w:t>
      </w:r>
      <w:r w:rsidRPr="00EC4FA9">
        <w:t xml:space="preserve"> For </w:t>
      </w:r>
      <w:r w:rsidR="006E0707" w:rsidRPr="00EC4FA9">
        <w:t>a</w:t>
      </w:r>
      <w:r w:rsidRPr="00EC4FA9">
        <w:t xml:space="preserve"> railway </w:t>
      </w:r>
      <w:r w:rsidR="006E0707" w:rsidRPr="00EC4FA9">
        <w:t>project, one alternative</w:t>
      </w:r>
      <w:r w:rsidRPr="00EC4FA9">
        <w:t xml:space="preserve"> could be to close down the service, another could be to increase prices, and a third could be business as usual.</w:t>
      </w:r>
    </w:p>
    <w:p w14:paraId="0E469AFF" w14:textId="64CE50D4" w:rsidR="0078069B" w:rsidRPr="00EC4FA9" w:rsidRDefault="0078069B" w:rsidP="0078069B">
      <w:r w:rsidRPr="00EC4FA9">
        <w:t xml:space="preserve">Given that </w:t>
      </w:r>
      <w:r w:rsidR="00B97F4D">
        <w:t>the</w:t>
      </w:r>
      <w:r w:rsidR="00346A3A">
        <w:t xml:space="preserve"> baseline</w:t>
      </w:r>
      <w:r w:rsidRPr="00EC4FA9">
        <w:t xml:space="preserve"> often </w:t>
      </w:r>
      <w:r w:rsidR="00346A3A">
        <w:t>receives</w:t>
      </w:r>
      <w:r w:rsidRPr="00EC4FA9">
        <w:t xml:space="preserve"> little attention, we reali</w:t>
      </w:r>
      <w:r w:rsidR="00EE6C7D">
        <w:t>s</w:t>
      </w:r>
      <w:r w:rsidRPr="00EC4FA9">
        <w:t xml:space="preserve">e that it may be particularly prone to bias. </w:t>
      </w:r>
      <w:r w:rsidR="00EE6C7D">
        <w:t>Theoretically</w:t>
      </w:r>
      <w:r w:rsidRPr="00EC4FA9" w:rsidDel="00F67023">
        <w:t>, the base</w:t>
      </w:r>
      <w:r w:rsidRPr="00EC4FA9">
        <w:t>line</w:t>
      </w:r>
      <w:r w:rsidRPr="00EC4FA9" w:rsidDel="00F67023">
        <w:rPr>
          <w:i/>
          <w:iCs/>
        </w:rPr>
        <w:t xml:space="preserve"> </w:t>
      </w:r>
      <w:r w:rsidRPr="00EC4FA9" w:rsidDel="00F67023">
        <w:t xml:space="preserve">could be </w:t>
      </w:r>
      <w:r w:rsidR="006E0707" w:rsidRPr="00EC4FA9">
        <w:t xml:space="preserve">deliberately </w:t>
      </w:r>
      <w:r w:rsidRPr="00EC4FA9" w:rsidDel="00F67023">
        <w:t xml:space="preserve">designed to be so unattractive that an otherwise poor </w:t>
      </w:r>
      <w:r w:rsidRPr="00EC4FA9" w:rsidDel="00F67023">
        <w:rPr>
          <w:i/>
          <w:iCs/>
        </w:rPr>
        <w:t>do-something</w:t>
      </w:r>
      <w:r w:rsidRPr="00EC4FA9" w:rsidDel="00F67023">
        <w:t xml:space="preserve"> alternative would appear to be good value for money. Hultkrantz and Svensson (2012) warn</w:t>
      </w:r>
      <w:r w:rsidR="00346A3A">
        <w:t>ed</w:t>
      </w:r>
      <w:r w:rsidRPr="00EC4FA9" w:rsidDel="00F67023">
        <w:t xml:space="preserve"> that the discretionary element in this part of the appraisal might leave room for manipulation in that the analyst or their client may wish to promote a particular project alternative. </w:t>
      </w:r>
    </w:p>
    <w:p w14:paraId="45B4E39B" w14:textId="42F7A14E" w:rsidR="0078069B" w:rsidRPr="00EC4FA9" w:rsidRDefault="0078069B" w:rsidP="0078069B">
      <w:r w:rsidRPr="00EC4FA9">
        <w:t>Næss (2011) claimed that incorrect (pessimistic) traffic forecasts in the no-investment scenario could be an important source of bias. He observed that traffic growth was often assumed to be at the level of the national average, even on congested roads. This</w:t>
      </w:r>
      <w:r w:rsidR="006E0707" w:rsidRPr="00EC4FA9">
        <w:t xml:space="preserve"> assumption</w:t>
      </w:r>
      <w:r w:rsidRPr="00EC4FA9">
        <w:t xml:space="preserve">, he argued, </w:t>
      </w:r>
      <w:r w:rsidR="00346A3A">
        <w:t>would</w:t>
      </w:r>
      <w:r w:rsidRPr="00EC4FA9">
        <w:t xml:space="preserve"> </w:t>
      </w:r>
      <w:r w:rsidR="006E0707" w:rsidRPr="00EC4FA9">
        <w:t xml:space="preserve">lead to an </w:t>
      </w:r>
      <w:r w:rsidRPr="00EC4FA9">
        <w:t>exaggerat</w:t>
      </w:r>
      <w:r w:rsidR="006E0707" w:rsidRPr="00EC4FA9">
        <w:t xml:space="preserve">ion of </w:t>
      </w:r>
      <w:r w:rsidRPr="00EC4FA9">
        <w:t>travel time</w:t>
      </w:r>
      <w:r w:rsidR="006E0707" w:rsidRPr="00EC4FA9">
        <w:t xml:space="preserve"> in the no-investment case</w:t>
      </w:r>
      <w:r w:rsidRPr="00EC4FA9">
        <w:t xml:space="preserve">. In reality, road users will adapt to increased congestion by travelling less or choosing other means of transport. Næss argued that this form of pessimism bias often serves to influence decision-makers to sanction new road projects. </w:t>
      </w:r>
    </w:p>
    <w:p w14:paraId="478C8946" w14:textId="4C3A8CD4" w:rsidR="0078069B" w:rsidRPr="00EC4FA9" w:rsidRDefault="0078069B" w:rsidP="0078069B">
      <w:r w:rsidRPr="00EC4FA9">
        <w:t xml:space="preserve">Nicolaisen and Næss (2015) empirically studied pessimism bias for the counterfactual scenario. They found that when a </w:t>
      </w:r>
      <w:r w:rsidR="00D92FB2">
        <w:t xml:space="preserve">planned </w:t>
      </w:r>
      <w:r w:rsidRPr="00EC4FA9">
        <w:t xml:space="preserve">road was </w:t>
      </w:r>
      <w:r w:rsidRPr="00D92FB2">
        <w:rPr>
          <w:i/>
          <w:iCs/>
        </w:rPr>
        <w:t>not</w:t>
      </w:r>
      <w:r w:rsidRPr="00EC4FA9">
        <w:t xml:space="preserve"> built, the results showed that travel demand had been systematically overestimated for Danish and British road projects. </w:t>
      </w:r>
      <w:r w:rsidR="00346A3A">
        <w:t>However, t</w:t>
      </w:r>
      <w:r w:rsidRPr="00EC4FA9">
        <w:t>hey did not prove that this was done deliberately.</w:t>
      </w:r>
    </w:p>
    <w:p w14:paraId="757B25B5" w14:textId="30F40B99" w:rsidR="0078069B" w:rsidRPr="00917B65" w:rsidRDefault="00486776" w:rsidP="001D1AA7">
      <w:pPr>
        <w:spacing w:before="120" w:after="120"/>
        <w:rPr>
          <w:b/>
          <w:bCs/>
        </w:rPr>
      </w:pPr>
      <w:r w:rsidRPr="00486776">
        <w:rPr>
          <w:b/>
          <w:bCs/>
        </w:rPr>
        <w:t>The landscape between do-nothing and full investment</w:t>
      </w:r>
    </w:p>
    <w:p w14:paraId="10628472" w14:textId="1487CFC2" w:rsidR="0078069B" w:rsidRPr="00EC4FA9" w:rsidRDefault="00BD6024" w:rsidP="0078069B">
      <w:r w:rsidRPr="00EC4FA9">
        <w:t xml:space="preserve">The </w:t>
      </w:r>
      <w:r w:rsidRPr="00EC4FA9">
        <w:rPr>
          <w:i/>
          <w:iCs/>
        </w:rPr>
        <w:t>do-minimum</w:t>
      </w:r>
      <w:r w:rsidRPr="00EC4FA9">
        <w:t xml:space="preserve"> alternative is a related element in the appraisal </w:t>
      </w:r>
      <w:r w:rsidR="00346A3A">
        <w:t xml:space="preserve">and </w:t>
      </w:r>
      <w:r w:rsidRPr="00EC4FA9">
        <w:t>has received even less attention in the literature</w:t>
      </w:r>
      <w:r w:rsidR="00D92FB2">
        <w:t xml:space="preserve"> than </w:t>
      </w:r>
      <w:r w:rsidR="00D92FB2">
        <w:rPr>
          <w:i/>
          <w:iCs/>
        </w:rPr>
        <w:t>do-nothing</w:t>
      </w:r>
      <w:r w:rsidR="0078069B" w:rsidRPr="00EC4FA9">
        <w:t xml:space="preserve">. By </w:t>
      </w:r>
      <w:r w:rsidR="00D92FB2">
        <w:rPr>
          <w:i/>
          <w:iCs/>
        </w:rPr>
        <w:t>do-minimum</w:t>
      </w:r>
      <w:r w:rsidRPr="00EC4FA9">
        <w:t>,</w:t>
      </w:r>
      <w:r w:rsidR="0078069B" w:rsidRPr="00EC4FA9">
        <w:t xml:space="preserve"> we mean a solution that is less ambitious and cheaper than a full-scale investment </w:t>
      </w:r>
      <w:r w:rsidR="008543DD" w:rsidRPr="00EC4FA9">
        <w:t>project</w:t>
      </w:r>
      <w:r w:rsidR="0078069B" w:rsidRPr="00EC4FA9">
        <w:t xml:space="preserve"> but </w:t>
      </w:r>
      <w:r w:rsidR="00D92FB2">
        <w:t xml:space="preserve">includes </w:t>
      </w:r>
      <w:r w:rsidR="0078069B" w:rsidRPr="00EC4FA9">
        <w:t xml:space="preserve">more than </w:t>
      </w:r>
      <w:r w:rsidR="0078069B" w:rsidRPr="00EC4FA9">
        <w:rPr>
          <w:i/>
          <w:iCs/>
        </w:rPr>
        <w:t>do</w:t>
      </w:r>
      <w:r w:rsidR="00810D3C">
        <w:rPr>
          <w:i/>
          <w:iCs/>
        </w:rPr>
        <w:t>-</w:t>
      </w:r>
      <w:r w:rsidR="0078069B" w:rsidRPr="00EC4FA9">
        <w:rPr>
          <w:i/>
          <w:iCs/>
        </w:rPr>
        <w:t>nothing</w:t>
      </w:r>
      <w:r w:rsidR="0078069B" w:rsidRPr="00EC4FA9">
        <w:t xml:space="preserve">. It contributes to solving the problem, </w:t>
      </w:r>
      <w:r w:rsidR="008543DD" w:rsidRPr="00EC4FA9">
        <w:t>but only</w:t>
      </w:r>
      <w:r w:rsidR="0078069B" w:rsidRPr="00EC4FA9">
        <w:t xml:space="preserve"> to some extent. </w:t>
      </w:r>
    </w:p>
    <w:p w14:paraId="2E7FCE46" w14:textId="44488D06" w:rsidR="0078069B" w:rsidRPr="00EC4FA9" w:rsidRDefault="0078069B" w:rsidP="0078069B">
      <w:r w:rsidRPr="00EC4FA9">
        <w:t xml:space="preserve">A </w:t>
      </w:r>
      <w:r w:rsidRPr="00EC4FA9">
        <w:rPr>
          <w:i/>
          <w:iCs/>
        </w:rPr>
        <w:t>do-minimum</w:t>
      </w:r>
      <w:r w:rsidRPr="00EC4FA9">
        <w:t xml:space="preserve"> alternative may have two roles in project appraisal. First, as indicated above, it may </w:t>
      </w:r>
      <w:r w:rsidR="00AD387D">
        <w:t>sometimes be used as a baseline instead of doing</w:t>
      </w:r>
      <w:r w:rsidRPr="00EC4FA9">
        <w:rPr>
          <w:i/>
          <w:iCs/>
        </w:rPr>
        <w:t xml:space="preserve"> nothing</w:t>
      </w:r>
      <w:r w:rsidRPr="00EC4FA9">
        <w:t xml:space="preserve">. As </w:t>
      </w:r>
      <w:r w:rsidRPr="00EC4FA9">
        <w:rPr>
          <w:i/>
          <w:iCs/>
        </w:rPr>
        <w:t>d</w:t>
      </w:r>
      <w:r w:rsidRPr="00EC4FA9" w:rsidDel="00F67023">
        <w:rPr>
          <w:i/>
          <w:iCs/>
        </w:rPr>
        <w:t>o</w:t>
      </w:r>
      <w:r w:rsidR="009F6090">
        <w:rPr>
          <w:i/>
          <w:iCs/>
        </w:rPr>
        <w:t>-</w:t>
      </w:r>
      <w:r w:rsidRPr="00EC4FA9" w:rsidDel="00F67023">
        <w:rPr>
          <w:i/>
          <w:iCs/>
        </w:rPr>
        <w:t>nothing</w:t>
      </w:r>
      <w:r w:rsidRPr="00EC4FA9" w:rsidDel="00F67023">
        <w:t xml:space="preserve"> implies </w:t>
      </w:r>
      <w:r w:rsidR="00FC6B0E" w:rsidRPr="00EC4FA9">
        <w:t xml:space="preserve">very </w:t>
      </w:r>
      <w:r w:rsidR="00BD6024" w:rsidRPr="00EC4FA9">
        <w:t>little (if any) upgrading, the implication is</w:t>
      </w:r>
      <w:r w:rsidRPr="00EC4FA9" w:rsidDel="00F67023">
        <w:t xml:space="preserve"> that the existing infrastructure would </w:t>
      </w:r>
      <w:r w:rsidR="008543DD" w:rsidRPr="00EC4FA9">
        <w:t>stop working</w:t>
      </w:r>
      <w:r w:rsidRPr="00EC4FA9" w:rsidDel="00F67023">
        <w:t xml:space="preserve"> properly</w:t>
      </w:r>
      <w:r w:rsidRPr="00EC4FA9">
        <w:t>. In such a case</w:t>
      </w:r>
      <w:r w:rsidR="00BD6024" w:rsidRPr="00EC4FA9">
        <w:t>,</w:t>
      </w:r>
      <w:r w:rsidRPr="00EC4FA9" w:rsidDel="00F67023">
        <w:t xml:space="preserve"> a </w:t>
      </w:r>
      <w:r w:rsidRPr="00EC4FA9" w:rsidDel="00F67023">
        <w:rPr>
          <w:i/>
          <w:iCs/>
        </w:rPr>
        <w:t>do-minimum</w:t>
      </w:r>
      <w:r w:rsidRPr="00EC4FA9" w:rsidDel="00F67023">
        <w:t xml:space="preserve"> alternative would be more appropriate</w:t>
      </w:r>
      <w:r w:rsidRPr="00EC4FA9">
        <w:t xml:space="preserve"> as </w:t>
      </w:r>
      <w:r w:rsidR="00BD6024" w:rsidRPr="00EC4FA9">
        <w:t xml:space="preserve">a </w:t>
      </w:r>
      <w:r w:rsidRPr="00EC4FA9">
        <w:t>baseline (Mackie and Preston, 1998)</w:t>
      </w:r>
      <w:r w:rsidRPr="00EC4FA9" w:rsidDel="00F67023">
        <w:t>.</w:t>
      </w:r>
      <w:r w:rsidRPr="00EC4FA9">
        <w:t xml:space="preserve"> </w:t>
      </w:r>
    </w:p>
    <w:p w14:paraId="78192A7E" w14:textId="2E570203" w:rsidR="0078069B" w:rsidRPr="00EC4FA9" w:rsidRDefault="0078069B" w:rsidP="0078069B">
      <w:r w:rsidRPr="00EC4FA9">
        <w:t xml:space="preserve">Second, when exploring the opportunity space and defining relevant solutions, analysts should always search broadly for alternatives, not only in the form of large construction projects but also </w:t>
      </w:r>
      <w:r w:rsidR="00CD5229">
        <w:t xml:space="preserve">as </w:t>
      </w:r>
      <w:r w:rsidRPr="00EC4FA9">
        <w:t xml:space="preserve">low-cost solutions. For example, if the problem is </w:t>
      </w:r>
      <w:r w:rsidR="00CD5229">
        <w:t xml:space="preserve">a </w:t>
      </w:r>
      <w:r w:rsidR="008543DD" w:rsidRPr="00EC4FA9">
        <w:t>traffic jam</w:t>
      </w:r>
      <w:r w:rsidRPr="00EC4FA9">
        <w:t xml:space="preserve">, </w:t>
      </w:r>
      <w:r w:rsidRPr="00EC4FA9">
        <w:rPr>
          <w:i/>
          <w:iCs/>
        </w:rPr>
        <w:t>do</w:t>
      </w:r>
      <w:r w:rsidR="00A21A4E">
        <w:rPr>
          <w:i/>
          <w:iCs/>
        </w:rPr>
        <w:t>-</w:t>
      </w:r>
      <w:r w:rsidRPr="00EC4FA9">
        <w:rPr>
          <w:i/>
          <w:iCs/>
        </w:rPr>
        <w:t>minimum</w:t>
      </w:r>
      <w:r w:rsidRPr="00EC4FA9">
        <w:t xml:space="preserve"> could involve </w:t>
      </w:r>
      <w:r w:rsidR="00CD5229">
        <w:t xml:space="preserve">either </w:t>
      </w:r>
      <w:r w:rsidRPr="00EC4FA9">
        <w:t>improvements in the bus services</w:t>
      </w:r>
      <w:r w:rsidR="008543DD" w:rsidRPr="00EC4FA9">
        <w:t xml:space="preserve"> or road pricing at peak hours</w:t>
      </w:r>
      <w:r w:rsidRPr="00EC4FA9">
        <w:t>. In many cases, a construction project is only one of many ways to solve a problem. All relevant alternatives should be identified and assessed against the baseline.</w:t>
      </w:r>
    </w:p>
    <w:p w14:paraId="6752BB2B" w14:textId="5F5478D3" w:rsidR="0078069B" w:rsidRPr="008E0440" w:rsidRDefault="0078069B" w:rsidP="0078069B">
      <w:r w:rsidRPr="0005542C">
        <w:lastRenderedPageBreak/>
        <w:t xml:space="preserve">Mackie and Preston (1998) noted that a </w:t>
      </w:r>
      <w:r w:rsidR="00BD6024" w:rsidRPr="0005542C">
        <w:t xml:space="preserve">critical </w:t>
      </w:r>
      <w:r w:rsidRPr="0005542C">
        <w:t xml:space="preserve">pitfall in project appraisal would be </w:t>
      </w:r>
      <w:r w:rsidR="00BD6024" w:rsidRPr="0005542C">
        <w:t>omitting</w:t>
      </w:r>
      <w:r w:rsidRPr="0005542C">
        <w:t xml:space="preserve"> </w:t>
      </w:r>
      <w:r w:rsidRPr="0005542C">
        <w:rPr>
          <w:i/>
          <w:iCs/>
        </w:rPr>
        <w:t>do-minimum</w:t>
      </w:r>
      <w:r w:rsidRPr="0005542C">
        <w:t xml:space="preserve"> options </w:t>
      </w:r>
      <w:r w:rsidR="0005542C">
        <w:t>when</w:t>
      </w:r>
      <w:r w:rsidRPr="0005542C">
        <w:t xml:space="preserve"> analysing alternatives. </w:t>
      </w:r>
      <w:r w:rsidRPr="0005542C" w:rsidDel="002C1FF9">
        <w:t xml:space="preserve">Cantarelli </w:t>
      </w:r>
      <w:r w:rsidRPr="0005542C" w:rsidDel="002C1FF9">
        <w:rPr>
          <w:i/>
          <w:iCs/>
        </w:rPr>
        <w:t>et al</w:t>
      </w:r>
      <w:r w:rsidRPr="0005542C" w:rsidDel="002C1FF9">
        <w:t>. (2010) discuss</w:t>
      </w:r>
      <w:r w:rsidRPr="0005542C">
        <w:t>ed</w:t>
      </w:r>
      <w:r w:rsidRPr="0005542C" w:rsidDel="002C1FF9">
        <w:t xml:space="preserve"> the lock-in</w:t>
      </w:r>
      <w:r w:rsidRPr="00EC4FA9" w:rsidDel="002C1FF9">
        <w:t xml:space="preserve"> phenomenon (i.e.</w:t>
      </w:r>
      <w:r w:rsidR="007A6FF8">
        <w:t>,</w:t>
      </w:r>
      <w:r w:rsidRPr="00EC4FA9" w:rsidDel="002C1FF9">
        <w:t xml:space="preserve"> decision-makers’ escalating commitment to a less favourable </w:t>
      </w:r>
      <w:r w:rsidR="00880796">
        <w:t>project</w:t>
      </w:r>
      <w:r w:rsidR="00880796" w:rsidRPr="00EC4FA9" w:rsidDel="002C1FF9">
        <w:t xml:space="preserve"> </w:t>
      </w:r>
      <w:r w:rsidRPr="00EC4FA9" w:rsidDel="002C1FF9">
        <w:t>proposal)</w:t>
      </w:r>
      <w:r w:rsidR="00F411D1">
        <w:t>. They argued</w:t>
      </w:r>
      <w:r w:rsidRPr="00EC4FA9">
        <w:t xml:space="preserve"> that the lack of good </w:t>
      </w:r>
      <w:r w:rsidRPr="00EC4FA9">
        <w:rPr>
          <w:i/>
          <w:iCs/>
        </w:rPr>
        <w:t>do-minimum</w:t>
      </w:r>
      <w:r w:rsidRPr="00EC4FA9">
        <w:t xml:space="preserve"> alternatives might be one of the reasons why lock-in occurs. They also stated that decision-makers might deliberately exclude low-cost options </w:t>
      </w:r>
      <w:r w:rsidR="00BD6024" w:rsidRPr="00EC4FA9">
        <w:t>to</w:t>
      </w:r>
      <w:r w:rsidRPr="00EC4FA9">
        <w:t xml:space="preserve"> create lock-in for their preferred projects or decisions.</w:t>
      </w:r>
    </w:p>
    <w:p w14:paraId="2A5F85F6" w14:textId="39C16928" w:rsidR="000A482B" w:rsidRPr="00EC4FA9" w:rsidRDefault="00DB1CE5" w:rsidP="000D5899">
      <w:pPr>
        <w:pStyle w:val="Heading2"/>
        <w:rPr>
          <w:rStyle w:val="Heading2Char"/>
        </w:rPr>
      </w:pPr>
      <w:bookmarkStart w:id="7" w:name="_Ref125705845"/>
      <w:bookmarkStart w:id="8" w:name="_Hlk142768740"/>
      <w:r w:rsidRPr="00EC4FA9">
        <w:rPr>
          <w:rStyle w:val="Heading2Char"/>
        </w:rPr>
        <w:t xml:space="preserve">Data and </w:t>
      </w:r>
      <w:r w:rsidR="00E7538D" w:rsidRPr="00EC4FA9">
        <w:rPr>
          <w:rStyle w:val="Heading2Char"/>
        </w:rPr>
        <w:t>m</w:t>
      </w:r>
      <w:r w:rsidRPr="00EC4FA9">
        <w:rPr>
          <w:rStyle w:val="Heading2Char"/>
        </w:rPr>
        <w:t>ethodology</w:t>
      </w:r>
      <w:bookmarkEnd w:id="7"/>
    </w:p>
    <w:p w14:paraId="576D9159" w14:textId="71F6619D" w:rsidR="00265323" w:rsidRDefault="00F54412" w:rsidP="00F54412">
      <w:pPr>
        <w:pStyle w:val="Heading3"/>
      </w:pPr>
      <w:r>
        <w:t>Research design</w:t>
      </w:r>
    </w:p>
    <w:p w14:paraId="0BC7316B" w14:textId="24EDC8CD" w:rsidR="00B07F04" w:rsidRDefault="00CD4E95" w:rsidP="00DF4942">
      <w:r>
        <w:t xml:space="preserve">The overall research design </w:t>
      </w:r>
      <w:r w:rsidR="0087608F">
        <w:t xml:space="preserve">of this study </w:t>
      </w:r>
      <w:r w:rsidR="00C22438">
        <w:t xml:space="preserve">(building on Bryman, </w:t>
      </w:r>
      <w:r w:rsidR="00ED2990">
        <w:t>2016</w:t>
      </w:r>
      <w:r w:rsidR="00C22438">
        <w:t xml:space="preserve">) </w:t>
      </w:r>
      <w:r>
        <w:t xml:space="preserve">is </w:t>
      </w:r>
      <w:r w:rsidR="00974856">
        <w:t>a mixed</w:t>
      </w:r>
      <w:r w:rsidR="0087608F">
        <w:t>-</w:t>
      </w:r>
      <w:r w:rsidR="00974856">
        <w:t xml:space="preserve">method approach, combining </w:t>
      </w:r>
      <w:r w:rsidR="00974856" w:rsidRPr="00974856">
        <w:t>qualitative</w:t>
      </w:r>
      <w:r w:rsidR="00974856">
        <w:t xml:space="preserve"> and </w:t>
      </w:r>
      <w:r w:rsidR="00974856" w:rsidRPr="00974856">
        <w:t>quantitative</w:t>
      </w:r>
      <w:r w:rsidR="00974856">
        <w:t xml:space="preserve"> methods and data</w:t>
      </w:r>
      <w:r w:rsidR="00741D0E">
        <w:t xml:space="preserve">, and inductive in that the study motivation and research problem </w:t>
      </w:r>
      <w:r w:rsidR="001750A5">
        <w:t xml:space="preserve">was empirically driven. In addition, as for any empirical research investigation, </w:t>
      </w:r>
      <w:r w:rsidR="00DA0543">
        <w:t>a review of existing literature was undertaken</w:t>
      </w:r>
      <w:r w:rsidR="00EF41B4">
        <w:t xml:space="preserve">. The purpose of this was </w:t>
      </w:r>
      <w:r w:rsidR="00DA0543">
        <w:t xml:space="preserve">partly to understand theories underlying the </w:t>
      </w:r>
      <w:r w:rsidR="00EF41B4">
        <w:t xml:space="preserve">area of study and partly to </w:t>
      </w:r>
      <w:r w:rsidR="00582B81">
        <w:t xml:space="preserve">obtain an updated insight into current </w:t>
      </w:r>
      <w:r w:rsidR="007A4DCE">
        <w:t xml:space="preserve">issues and best practices within the topic. </w:t>
      </w:r>
    </w:p>
    <w:p w14:paraId="0F80391C" w14:textId="513D20C3" w:rsidR="00D742FC" w:rsidRDefault="004070FF" w:rsidP="00DF4942">
      <w:r>
        <w:t xml:space="preserve">Public investment projects </w:t>
      </w:r>
      <w:r w:rsidR="0051725E">
        <w:t>are subject to more or less formali</w:t>
      </w:r>
      <w:r w:rsidR="007A6FF8">
        <w:t>s</w:t>
      </w:r>
      <w:r w:rsidR="0051725E">
        <w:t xml:space="preserve">ed appraisal processes in </w:t>
      </w:r>
      <w:r w:rsidR="008273D7">
        <w:t>man</w:t>
      </w:r>
      <w:r w:rsidR="00F579B8">
        <w:t>y</w:t>
      </w:r>
      <w:r w:rsidR="008273D7">
        <w:t xml:space="preserve"> countries around the worl</w:t>
      </w:r>
      <w:r w:rsidR="00D5743C">
        <w:t>d</w:t>
      </w:r>
      <w:r w:rsidR="008273D7">
        <w:t xml:space="preserve">. </w:t>
      </w:r>
      <w:r w:rsidR="00356A1D">
        <w:t xml:space="preserve">To study </w:t>
      </w:r>
      <w:r w:rsidR="00FB6CBB">
        <w:t>such appraisal processes</w:t>
      </w:r>
      <w:r w:rsidR="006B4D48">
        <w:t xml:space="preserve"> </w:t>
      </w:r>
      <w:r w:rsidR="00C77D78">
        <w:t>and the</w:t>
      </w:r>
      <w:r w:rsidR="00FA2E7C">
        <w:t>ir</w:t>
      </w:r>
      <w:r w:rsidR="00C77D78">
        <w:t xml:space="preserve"> outcomes </w:t>
      </w:r>
      <w:r w:rsidR="0027227D">
        <w:t>in terms of recommendations</w:t>
      </w:r>
      <w:r w:rsidR="00F722AD">
        <w:t xml:space="preserve">, </w:t>
      </w:r>
      <w:r w:rsidR="009C4681">
        <w:t>an empirical context was required</w:t>
      </w:r>
      <w:r w:rsidR="002D0FB0">
        <w:t xml:space="preserve"> that would allow gathering </w:t>
      </w:r>
      <w:r w:rsidR="00601D5B">
        <w:t xml:space="preserve">data from a large number of such processes. </w:t>
      </w:r>
      <w:r w:rsidR="00DF13BB">
        <w:t xml:space="preserve">Using definitions by </w:t>
      </w:r>
      <w:r w:rsidR="009740FA">
        <w:t xml:space="preserve">authors such as Yin </w:t>
      </w:r>
      <w:r w:rsidR="00347663">
        <w:t>(</w:t>
      </w:r>
      <w:r w:rsidR="00E84B89">
        <w:t xml:space="preserve">2017) </w:t>
      </w:r>
      <w:r w:rsidR="009740FA">
        <w:t xml:space="preserve">and </w:t>
      </w:r>
      <w:r w:rsidR="00837CF8">
        <w:t>Stake</w:t>
      </w:r>
      <w:r w:rsidR="009740FA">
        <w:t xml:space="preserve"> (</w:t>
      </w:r>
      <w:r w:rsidR="00F5115D">
        <w:t>1995)</w:t>
      </w:r>
      <w:r w:rsidR="009740FA">
        <w:t>,</w:t>
      </w:r>
      <w:r w:rsidR="005B0393">
        <w:t xml:space="preserve"> we </w:t>
      </w:r>
      <w:r w:rsidR="004B2463">
        <w:t xml:space="preserve">use the term </w:t>
      </w:r>
      <w:r w:rsidR="00C156BE">
        <w:t>‘</w:t>
      </w:r>
      <w:r w:rsidR="004B2463">
        <w:t>case</w:t>
      </w:r>
      <w:r w:rsidR="00C156BE">
        <w:t>’</w:t>
      </w:r>
      <w:r w:rsidR="004B2463">
        <w:t xml:space="preserve"> </w:t>
      </w:r>
      <w:r w:rsidR="000A05F5">
        <w:t xml:space="preserve">to describe </w:t>
      </w:r>
      <w:r w:rsidR="001B5E30">
        <w:t xml:space="preserve">one country’s </w:t>
      </w:r>
      <w:r w:rsidR="00333751">
        <w:t>appraisal scheme</w:t>
      </w:r>
      <w:r w:rsidR="00DD5D66">
        <w:t xml:space="preserve">. </w:t>
      </w:r>
    </w:p>
    <w:p w14:paraId="67E2DB44" w14:textId="20D2E1A8" w:rsidR="003955C9" w:rsidRDefault="00DE13BD" w:rsidP="00DF4942">
      <w:r>
        <w:t>There are different strategies for selecting case study(ies) for</w:t>
      </w:r>
      <w:r w:rsidR="00593189">
        <w:t xml:space="preserve"> research projects</w:t>
      </w:r>
      <w:r w:rsidR="00037871">
        <w:t xml:space="preserve">, </w:t>
      </w:r>
      <w:r w:rsidR="0009101B">
        <w:t xml:space="preserve">and </w:t>
      </w:r>
      <w:r w:rsidR="00F17A95">
        <w:t>Flyvbjerg (2006) has outlined</w:t>
      </w:r>
      <w:r w:rsidR="007C3866">
        <w:t xml:space="preserve"> some of these</w:t>
      </w:r>
      <w:r w:rsidR="00944391">
        <w:t>. He distinguished first between random selection and information-oriented selection</w:t>
      </w:r>
      <w:r w:rsidR="00A04BD5">
        <w:t xml:space="preserve">, where the former </w:t>
      </w:r>
      <w:r w:rsidR="00C17C5D">
        <w:t xml:space="preserve">normally involves </w:t>
      </w:r>
      <w:r w:rsidR="003C5084">
        <w:t xml:space="preserve">selecting a sample of some size. This would be infeasible in our case, </w:t>
      </w:r>
      <w:r w:rsidR="00A45A7E">
        <w:t xml:space="preserve">so </w:t>
      </w:r>
      <w:r w:rsidR="004D3A05">
        <w:t xml:space="preserve">we had to pursue a selection which </w:t>
      </w:r>
      <w:r w:rsidR="002113BF">
        <w:t xml:space="preserve">could produce </w:t>
      </w:r>
      <w:r w:rsidR="005C4A61">
        <w:t xml:space="preserve">real insights from </w:t>
      </w:r>
      <w:r w:rsidR="00CF7205">
        <w:t>a small sample or a single case</w:t>
      </w:r>
      <w:r w:rsidR="00F7201E">
        <w:t xml:space="preserve">. </w:t>
      </w:r>
      <w:r w:rsidR="00BF5499">
        <w:t xml:space="preserve">Flyvbjerg </w:t>
      </w:r>
      <w:r w:rsidR="004B4284">
        <w:t xml:space="preserve">divided this </w:t>
      </w:r>
      <w:r w:rsidR="000336A0">
        <w:t xml:space="preserve">type of selection into </w:t>
      </w:r>
      <w:r w:rsidR="00F54E5B">
        <w:t xml:space="preserve">choosing </w:t>
      </w:r>
      <w:r w:rsidR="00E57F14" w:rsidRPr="00E57F14">
        <w:t>extreme</w:t>
      </w:r>
      <w:r w:rsidR="0055340F">
        <w:t>/deviant</w:t>
      </w:r>
      <w:r w:rsidR="00E57F14" w:rsidRPr="00E57F14">
        <w:t xml:space="preserve"> cases</w:t>
      </w:r>
      <w:r w:rsidR="00163158">
        <w:t xml:space="preserve">, </w:t>
      </w:r>
      <w:r w:rsidR="003B4DDE">
        <w:t>maximum variation</w:t>
      </w:r>
      <w:r w:rsidR="00163158">
        <w:t xml:space="preserve"> cases, critical cases, or paradigmatic cases</w:t>
      </w:r>
      <w:r w:rsidR="00F720F9">
        <w:t>.</w:t>
      </w:r>
      <w:r w:rsidR="008271B9">
        <w:t xml:space="preserve"> </w:t>
      </w:r>
      <w:r w:rsidR="00A9136A">
        <w:t xml:space="preserve">Being </w:t>
      </w:r>
      <w:r w:rsidR="00B72FDD">
        <w:t>researchers</w:t>
      </w:r>
      <w:r w:rsidR="00B810A7">
        <w:t xml:space="preserve"> </w:t>
      </w:r>
      <w:r w:rsidR="00F36FEC">
        <w:t>within the Concept research program</w:t>
      </w:r>
      <w:r w:rsidR="007A6FF8">
        <w:t>me</w:t>
      </w:r>
      <w:r w:rsidR="00F36FEC">
        <w:t xml:space="preserve"> in Norway, we had ready access to</w:t>
      </w:r>
      <w:r w:rsidR="00216727">
        <w:t xml:space="preserve"> the </w:t>
      </w:r>
      <w:r w:rsidR="0097098F" w:rsidRPr="00EC4FA9">
        <w:t>Norwegian Q</w:t>
      </w:r>
      <w:r w:rsidR="00B8330E">
        <w:t xml:space="preserve">uality </w:t>
      </w:r>
      <w:r w:rsidR="0097098F" w:rsidRPr="00EC4FA9">
        <w:t>A</w:t>
      </w:r>
      <w:r w:rsidR="008044C3">
        <w:t>ssurance</w:t>
      </w:r>
      <w:r w:rsidR="0097098F" w:rsidRPr="00EC4FA9">
        <w:t xml:space="preserve"> scheme</w:t>
      </w:r>
      <w:r w:rsidR="008044C3">
        <w:t xml:space="preserve"> for large</w:t>
      </w:r>
      <w:r w:rsidR="00D13E99">
        <w:t xml:space="preserve"> governmental investment projects</w:t>
      </w:r>
      <w:r w:rsidR="0097098F" w:rsidRPr="00EC4FA9">
        <w:t>.</w:t>
      </w:r>
      <w:r w:rsidR="00DC125D" w:rsidRPr="00EC4FA9">
        <w:t xml:space="preserve"> </w:t>
      </w:r>
      <w:r w:rsidR="001E1177" w:rsidRPr="001E1177">
        <w:t>There is some overlap between these</w:t>
      </w:r>
      <w:r w:rsidR="005822D3">
        <w:t>, and a</w:t>
      </w:r>
      <w:r w:rsidR="00DC125D" w:rsidRPr="00EC4FA9">
        <w:t>ccording to Flyvbjerg’s categori</w:t>
      </w:r>
      <w:r w:rsidR="00A62279">
        <w:t>s</w:t>
      </w:r>
      <w:r w:rsidR="00DC125D" w:rsidRPr="00EC4FA9">
        <w:t xml:space="preserve">ation, </w:t>
      </w:r>
      <w:r w:rsidR="00E76199">
        <w:t xml:space="preserve">we believe the </w:t>
      </w:r>
      <w:r w:rsidR="00DC125D" w:rsidRPr="00EC4FA9">
        <w:t>Norw</w:t>
      </w:r>
      <w:r w:rsidR="00E76199">
        <w:t>egian scheme</w:t>
      </w:r>
      <w:r w:rsidR="00DC125D" w:rsidRPr="00EC4FA9">
        <w:t xml:space="preserve"> can be defined as</w:t>
      </w:r>
      <w:r w:rsidR="00FF3C40">
        <w:t xml:space="preserve"> either</w:t>
      </w:r>
      <w:r w:rsidR="00DC125D" w:rsidRPr="00EC4FA9">
        <w:t xml:space="preserve"> a</w:t>
      </w:r>
      <w:r w:rsidR="004A5FBF">
        <w:t xml:space="preserve">n extreme case </w:t>
      </w:r>
      <w:r w:rsidR="000123C6">
        <w:t>(</w:t>
      </w:r>
      <w:r w:rsidR="00B65F43">
        <w:t>since this scheme is arguably the oldest in existence</w:t>
      </w:r>
      <w:r w:rsidR="006F590C">
        <w:t>)</w:t>
      </w:r>
      <w:r w:rsidR="00190778">
        <w:t xml:space="preserve">, a </w:t>
      </w:r>
      <w:r w:rsidR="00DC125D" w:rsidRPr="00EC4FA9">
        <w:t>critical case</w:t>
      </w:r>
      <w:r w:rsidR="00190778">
        <w:t xml:space="preserve"> (</w:t>
      </w:r>
      <w:r w:rsidR="007F5A39">
        <w:t xml:space="preserve">allowing </w:t>
      </w:r>
      <w:r w:rsidR="00313159">
        <w:t xml:space="preserve">deductions </w:t>
      </w:r>
      <w:r w:rsidR="003C74C5">
        <w:t>that the mechanisms in play in this scheme are likely also in play in other countries</w:t>
      </w:r>
      <w:r w:rsidR="00FD1D07">
        <w:t>), or</w:t>
      </w:r>
      <w:r w:rsidR="00D040AC">
        <w:t xml:space="preserve"> even a paradigmatic case (</w:t>
      </w:r>
      <w:r w:rsidR="00B477F3">
        <w:t xml:space="preserve">since this original scheme </w:t>
      </w:r>
      <w:r w:rsidR="00064F0F">
        <w:t xml:space="preserve">has served as a model for many other schemes and thus would allow findings and recommendations developed from it to be </w:t>
      </w:r>
      <w:r w:rsidR="00664BC8">
        <w:t xml:space="preserve">applied elsewhere). </w:t>
      </w:r>
      <w:r w:rsidR="002D73CA">
        <w:t>In any case, we feel confident that the Norwegian scheme represents a very suitable case to study</w:t>
      </w:r>
      <w:r w:rsidR="00951793">
        <w:t xml:space="preserve"> appraisal processes</w:t>
      </w:r>
      <w:r w:rsidR="008757AF">
        <w:t xml:space="preserve"> and their outcomes</w:t>
      </w:r>
      <w:r w:rsidR="00452F9F">
        <w:t xml:space="preserve">. </w:t>
      </w:r>
      <w:r w:rsidR="008665A6">
        <w:t>We must also clarify that</w:t>
      </w:r>
      <w:r w:rsidR="00ED5EC1">
        <w:t xml:space="preserve"> the individual appraisal processes</w:t>
      </w:r>
      <w:r w:rsidR="00D27C0A">
        <w:t xml:space="preserve"> that we studied</w:t>
      </w:r>
      <w:r w:rsidR="00AF654E">
        <w:t xml:space="preserve"> were not considered case projects, but rather </w:t>
      </w:r>
      <w:r w:rsidR="004E6596">
        <w:t>data points within the one case represented by the Norwegian scheme.</w:t>
      </w:r>
    </w:p>
    <w:p w14:paraId="2E80CA64" w14:textId="0C306BDD" w:rsidR="00A465EA" w:rsidRPr="00EC4FA9" w:rsidRDefault="009E1A29" w:rsidP="005D7471">
      <w:pPr>
        <w:pStyle w:val="Heading3"/>
      </w:pPr>
      <w:bookmarkStart w:id="9" w:name="_Ref125726323"/>
      <w:bookmarkStart w:id="10" w:name="_Hlk142683108"/>
      <w:r w:rsidRPr="00EC4FA9">
        <w:t>The Norwegian case – p</w:t>
      </w:r>
      <w:r w:rsidR="00A465EA" w:rsidRPr="00EC4FA9">
        <w:t>roject appraisal in the front-end of government projects</w:t>
      </w:r>
      <w:bookmarkEnd w:id="9"/>
      <w:r w:rsidRPr="00EC4FA9">
        <w:t xml:space="preserve"> </w:t>
      </w:r>
    </w:p>
    <w:p w14:paraId="1DE13B9E" w14:textId="084E05A6" w:rsidR="00A465EA" w:rsidRPr="00EC4FA9" w:rsidRDefault="00A465EA" w:rsidP="00A465EA">
      <w:r w:rsidRPr="00F02AC1">
        <w:t xml:space="preserve">In Norway, large government projects (&gt; EUR </w:t>
      </w:r>
      <w:r w:rsidR="008543DD" w:rsidRPr="00F02AC1">
        <w:t>85</w:t>
      </w:r>
      <w:r w:rsidRPr="00F02AC1">
        <w:t xml:space="preserve"> million) are subjected to mandatory review</w:t>
      </w:r>
      <w:r w:rsidRPr="00EC4FA9">
        <w:t xml:space="preserve"> through the application of a stage-gate model for project</w:t>
      </w:r>
      <w:r w:rsidR="00BD6024" w:rsidRPr="00EC4FA9">
        <w:t xml:space="preserve"> </w:t>
      </w:r>
      <w:r w:rsidRPr="00EC4FA9">
        <w:t>governance (</w:t>
      </w:r>
      <w:r w:rsidR="00980389" w:rsidRPr="00EC4FA9">
        <w:t>Finansdepartementet</w:t>
      </w:r>
      <w:r w:rsidRPr="00EC4FA9">
        <w:t>, 20</w:t>
      </w:r>
      <w:r w:rsidR="00980389" w:rsidRPr="00EC4FA9">
        <w:t>23</w:t>
      </w:r>
      <w:r w:rsidRPr="00EC4FA9">
        <w:t xml:space="preserve">). The model was introduced in 2000 after </w:t>
      </w:r>
      <w:r w:rsidR="00DD4920" w:rsidRPr="00EC4FA9">
        <w:t>a government report</w:t>
      </w:r>
      <w:r w:rsidRPr="00EC4FA9">
        <w:t xml:space="preserve"> concluded that most projects were presented to </w:t>
      </w:r>
      <w:r w:rsidR="00D16144">
        <w:t>p</w:t>
      </w:r>
      <w:r w:rsidRPr="00EC4FA9">
        <w:t xml:space="preserve">arliament based on immature and often over-optimistic plans and estimates. </w:t>
      </w:r>
      <w:r w:rsidR="00DD4920" w:rsidRPr="00EC4FA9">
        <w:t>It was</w:t>
      </w:r>
      <w:r w:rsidRPr="00EC4FA9">
        <w:t xml:space="preserve"> recommended that plans should be subjected to external quality assurance. This </w:t>
      </w:r>
      <w:r w:rsidRPr="00EC4FA9">
        <w:lastRenderedPageBreak/>
        <w:t xml:space="preserve">first applied to cost estimates and detailed project plans (QA2) and was later expanded in 2005 to include the project appraisal or business case (QA1). </w:t>
      </w:r>
    </w:p>
    <w:p w14:paraId="64B8D558" w14:textId="4561A9B7" w:rsidR="00A465EA" w:rsidRPr="00EC4FA9" w:rsidRDefault="00A465EA" w:rsidP="00A465EA">
      <w:r w:rsidRPr="00EC4FA9">
        <w:t xml:space="preserve">The model and its main stages that all large government projects must follow to receive funding </w:t>
      </w:r>
      <w:r w:rsidR="00BD6024" w:rsidRPr="00EC4FA9">
        <w:t xml:space="preserve">are </w:t>
      </w:r>
      <w:r w:rsidRPr="00EC4FA9">
        <w:t xml:space="preserve">shown in </w:t>
      </w:r>
      <w:r w:rsidR="00390ADF" w:rsidRPr="00EC4FA9">
        <w:fldChar w:fldCharType="begin"/>
      </w:r>
      <w:r w:rsidR="00390ADF" w:rsidRPr="00EC4FA9">
        <w:instrText xml:space="preserve"> REF _Ref125471849 \h </w:instrText>
      </w:r>
      <w:r w:rsidR="00390ADF" w:rsidRPr="00EC4FA9">
        <w:fldChar w:fldCharType="separate"/>
      </w:r>
      <w:r w:rsidR="00C2038D" w:rsidRPr="00EC4FA9">
        <w:t xml:space="preserve">Figure </w:t>
      </w:r>
      <w:r w:rsidR="00390ADF" w:rsidRPr="00EC4FA9">
        <w:fldChar w:fldCharType="end"/>
      </w:r>
      <w:r w:rsidR="00125DA6">
        <w:t>1</w:t>
      </w:r>
      <w:r w:rsidRPr="00EC4FA9">
        <w:t xml:space="preserve">. </w:t>
      </w:r>
      <w:r w:rsidR="009F7686" w:rsidRPr="00EC4FA9">
        <w:t>It applies to government projects in all sectors, the largest categories being transport projects, buildings, defence acquisitions, and ICT projects.</w:t>
      </w:r>
      <w:r w:rsidR="00DD4920" w:rsidRPr="00EC4FA9">
        <w:t xml:space="preserve"> </w:t>
      </w:r>
      <w:r w:rsidRPr="00EC4FA9">
        <w:t>The Ministry of Finance</w:t>
      </w:r>
      <w:r w:rsidR="00D06CA2" w:rsidRPr="00EC4FA9">
        <w:t xml:space="preserve"> is </w:t>
      </w:r>
      <w:r w:rsidRPr="00EC4FA9">
        <w:t>responsible for the model</w:t>
      </w:r>
      <w:r w:rsidR="00125DA6">
        <w:t xml:space="preserve"> and </w:t>
      </w:r>
      <w:r w:rsidRPr="00EC4FA9">
        <w:t xml:space="preserve">has issued guidelines and instructions that all ministries and </w:t>
      </w:r>
      <w:r w:rsidR="00D06CA2" w:rsidRPr="00EC4FA9">
        <w:t>government</w:t>
      </w:r>
      <w:r w:rsidRPr="00EC4FA9">
        <w:t xml:space="preserve"> agencies must follow.</w:t>
      </w:r>
      <w:r w:rsidR="00DD4920" w:rsidRPr="00EC4FA9">
        <w:t xml:space="preserve"> </w:t>
      </w:r>
    </w:p>
    <w:p w14:paraId="21DD6C9C" w14:textId="77777777" w:rsidR="00A465EA" w:rsidRPr="00EC4FA9" w:rsidRDefault="00A465EA" w:rsidP="00A465EA">
      <w:r w:rsidRPr="00EC4FA9">
        <w:rPr>
          <w:noProof/>
        </w:rPr>
        <w:drawing>
          <wp:inline distT="0" distB="0" distL="0" distR="0" wp14:anchorId="1F90321F" wp14:editId="79DF923F">
            <wp:extent cx="5079485" cy="153352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83928" cy="1534866"/>
                    </a:xfrm>
                    <a:prstGeom prst="rect">
                      <a:avLst/>
                    </a:prstGeom>
                    <a:noFill/>
                    <a:ln>
                      <a:noFill/>
                    </a:ln>
                  </pic:spPr>
                </pic:pic>
              </a:graphicData>
            </a:graphic>
          </wp:inline>
        </w:drawing>
      </w:r>
    </w:p>
    <w:p w14:paraId="469C55C4" w14:textId="58D57C40" w:rsidR="00A465EA" w:rsidRPr="00EC4FA9" w:rsidRDefault="00A465EA" w:rsidP="00A465EA">
      <w:pPr>
        <w:pStyle w:val="Caption"/>
      </w:pPr>
      <w:bookmarkStart w:id="11" w:name="_Ref125471849"/>
      <w:r w:rsidRPr="00EC4FA9">
        <w:t xml:space="preserve">Figure </w:t>
      </w:r>
      <w:bookmarkEnd w:id="11"/>
      <w:r w:rsidR="00390ADF" w:rsidRPr="00EC4FA9">
        <w:t>1</w:t>
      </w:r>
      <w:r w:rsidRPr="00EC4FA9">
        <w:t>. The main stages in the development of government projects in Norway</w:t>
      </w:r>
    </w:p>
    <w:p w14:paraId="769329C6" w14:textId="0844505F" w:rsidR="00A465EA" w:rsidRPr="00EC4FA9" w:rsidRDefault="00A465EA" w:rsidP="00A465EA">
      <w:r w:rsidRPr="00EC4FA9">
        <w:t xml:space="preserve">The process starts with a ministerial decision to instruct </w:t>
      </w:r>
      <w:r w:rsidR="00D06CA2" w:rsidRPr="00EC4FA9">
        <w:t>a subordinate</w:t>
      </w:r>
      <w:r w:rsidRPr="00EC4FA9">
        <w:t xml:space="preserve"> agency to conduct a conceptual appraisal</w:t>
      </w:r>
      <w:r w:rsidR="009F7686" w:rsidRPr="00EC4FA9">
        <w:t xml:space="preserve"> (business case)</w:t>
      </w:r>
      <w:r w:rsidRPr="00EC4FA9">
        <w:t xml:space="preserve">. This is often </w:t>
      </w:r>
      <w:r w:rsidR="00E92462">
        <w:t>in</w:t>
      </w:r>
      <w:r w:rsidRPr="00EC4FA9">
        <w:t xml:space="preserve"> response to lobbying and pressure from interest groups, </w:t>
      </w:r>
      <w:r w:rsidR="00E92462">
        <w:t xml:space="preserve">in cases </w:t>
      </w:r>
      <w:r w:rsidRPr="00EC4FA9">
        <w:t xml:space="preserve">where </w:t>
      </w:r>
      <w:r w:rsidR="00BD6024" w:rsidRPr="00EC4FA9">
        <w:t>initiating</w:t>
      </w:r>
      <w:r w:rsidRPr="00EC4FA9">
        <w:t xml:space="preserve"> a conceptual appraisal might be seen as a way of ‘doing something’. </w:t>
      </w:r>
    </w:p>
    <w:p w14:paraId="06B68E83" w14:textId="1B1A4B17" w:rsidR="00A465EA" w:rsidRPr="00EC4FA9" w:rsidRDefault="00A465EA" w:rsidP="00A465EA">
      <w:r w:rsidRPr="00EC4FA9">
        <w:t>The appraisal includes the following three main steps</w:t>
      </w:r>
      <w:r w:rsidR="009F7686" w:rsidRPr="00EC4FA9">
        <w:t xml:space="preserve">, in line with </w:t>
      </w:r>
      <w:r w:rsidR="00E92462">
        <w:t xml:space="preserve">the </w:t>
      </w:r>
      <w:r w:rsidR="00E92462" w:rsidRPr="00EC4FA9">
        <w:rPr>
          <w:rFonts w:cstheme="minorHAnsi"/>
        </w:rPr>
        <w:t>three-phase decision-making process</w:t>
      </w:r>
      <w:r w:rsidR="0064755A">
        <w:rPr>
          <w:rFonts w:cstheme="minorHAnsi"/>
        </w:rPr>
        <w:t xml:space="preserve"> suggested by</w:t>
      </w:r>
      <w:r w:rsidR="00E92462" w:rsidRPr="00EC4FA9">
        <w:t xml:space="preserve"> </w:t>
      </w:r>
      <w:r w:rsidR="009F7686" w:rsidRPr="00EC4FA9">
        <w:t xml:space="preserve">Mintzberg </w:t>
      </w:r>
      <w:r w:rsidR="009F7686" w:rsidRPr="00EC4FA9">
        <w:rPr>
          <w:i/>
          <w:iCs/>
        </w:rPr>
        <w:t xml:space="preserve">et al. </w:t>
      </w:r>
      <w:r w:rsidR="009F7686" w:rsidRPr="00EC4FA9">
        <w:t>(1976)</w:t>
      </w:r>
      <w:r w:rsidRPr="00EC4FA9">
        <w:t>:</w:t>
      </w:r>
    </w:p>
    <w:p w14:paraId="2485FB8D" w14:textId="112172B7" w:rsidR="00A465EA" w:rsidRPr="00EC4FA9" w:rsidRDefault="00A465EA" w:rsidP="000715D2">
      <w:pPr>
        <w:pStyle w:val="ListParagraph"/>
        <w:numPr>
          <w:ilvl w:val="0"/>
          <w:numId w:val="6"/>
        </w:numPr>
        <w:spacing w:before="120" w:after="120"/>
        <w:ind w:left="714" w:hanging="357"/>
        <w:contextualSpacing w:val="0"/>
      </w:pPr>
      <w:r w:rsidRPr="00EC4FA9">
        <w:t>Assessment of the triggering problem or need</w:t>
      </w:r>
      <w:r w:rsidR="00D06CA2" w:rsidRPr="00EC4FA9">
        <w:t>.</w:t>
      </w:r>
    </w:p>
    <w:p w14:paraId="43102065" w14:textId="284D3758" w:rsidR="00A465EA" w:rsidRPr="00EC4FA9" w:rsidRDefault="00A465EA" w:rsidP="000715D2">
      <w:pPr>
        <w:pStyle w:val="ListParagraph"/>
        <w:numPr>
          <w:ilvl w:val="0"/>
          <w:numId w:val="6"/>
        </w:numPr>
        <w:spacing w:before="120" w:after="120"/>
        <w:ind w:left="714" w:hanging="357"/>
        <w:contextualSpacing w:val="0"/>
      </w:pPr>
      <w:r w:rsidRPr="00EC4FA9">
        <w:t>Exploration of the opportunity space for solutions to the problem</w:t>
      </w:r>
      <w:r w:rsidR="00DD4920" w:rsidRPr="00EC4FA9">
        <w:t xml:space="preserve">. </w:t>
      </w:r>
      <w:r w:rsidR="004B1A12" w:rsidRPr="00EC4FA9">
        <w:t xml:space="preserve">A broad initial search </w:t>
      </w:r>
      <w:r w:rsidR="00F555A4" w:rsidRPr="00EC4FA9">
        <w:t xml:space="preserve">should </w:t>
      </w:r>
      <w:r w:rsidR="00DD4920" w:rsidRPr="00EC4FA9">
        <w:t>provide the basis for coarse screening</w:t>
      </w:r>
      <w:r w:rsidR="004B1A12" w:rsidRPr="00EC4FA9">
        <w:t xml:space="preserve"> of alternatives, </w:t>
      </w:r>
      <w:r w:rsidR="00BD6024" w:rsidRPr="00EC4FA9">
        <w:t>resulting</w:t>
      </w:r>
      <w:r w:rsidR="00DD4920" w:rsidRPr="00EC4FA9">
        <w:t xml:space="preserve"> in at least three conceptually different alternatives</w:t>
      </w:r>
      <w:r w:rsidR="004B1A12" w:rsidRPr="00EC4FA9">
        <w:t xml:space="preserve">. The </w:t>
      </w:r>
      <w:r w:rsidR="004B1A12" w:rsidRPr="00EC4FA9">
        <w:rPr>
          <w:i/>
          <w:iCs/>
        </w:rPr>
        <w:t>d</w:t>
      </w:r>
      <w:r w:rsidR="00DD4920" w:rsidRPr="00EC4FA9">
        <w:rPr>
          <w:i/>
          <w:iCs/>
        </w:rPr>
        <w:t>o-nothing</w:t>
      </w:r>
      <w:r w:rsidR="00DD4920" w:rsidRPr="00EC4FA9">
        <w:t xml:space="preserve"> alternative </w:t>
      </w:r>
      <w:r w:rsidR="00D06CA2" w:rsidRPr="00EC4FA9">
        <w:t>should</w:t>
      </w:r>
      <w:r w:rsidR="004B1A12" w:rsidRPr="00EC4FA9">
        <w:t xml:space="preserve"> be included among the three</w:t>
      </w:r>
      <w:r w:rsidR="0064755A">
        <w:t xml:space="preserve"> alternatives</w:t>
      </w:r>
      <w:r w:rsidR="00DD4920" w:rsidRPr="00EC4FA9">
        <w:t xml:space="preserve">. </w:t>
      </w:r>
    </w:p>
    <w:p w14:paraId="5CB7AA2A" w14:textId="658A6C4E" w:rsidR="00A465EA" w:rsidRPr="00EC4FA9" w:rsidRDefault="00DD4920" w:rsidP="000715D2">
      <w:pPr>
        <w:pStyle w:val="ListParagraph"/>
        <w:numPr>
          <w:ilvl w:val="0"/>
          <w:numId w:val="6"/>
        </w:numPr>
        <w:spacing w:before="120" w:after="120"/>
        <w:ind w:left="714" w:hanging="357"/>
        <w:contextualSpacing w:val="0"/>
      </w:pPr>
      <w:r w:rsidRPr="00EC4FA9">
        <w:t xml:space="preserve">Ranking </w:t>
      </w:r>
      <w:r w:rsidR="00F555A4" w:rsidRPr="00EC4FA9">
        <w:t xml:space="preserve">of the shortlisted alternatives </w:t>
      </w:r>
      <w:r w:rsidRPr="00EC4FA9">
        <w:t>based on a</w:t>
      </w:r>
      <w:r w:rsidR="00A465EA" w:rsidRPr="00EC4FA9">
        <w:t>ssessment of costs, benefits, and risk</w:t>
      </w:r>
      <w:r w:rsidR="00BD6024" w:rsidRPr="00EC4FA9">
        <w:t>s</w:t>
      </w:r>
      <w:r w:rsidR="00A465EA" w:rsidRPr="00EC4FA9">
        <w:t>.</w:t>
      </w:r>
    </w:p>
    <w:p w14:paraId="3D6F4C8C" w14:textId="4EB89D9B" w:rsidR="00F555A4" w:rsidRPr="00EC4FA9" w:rsidRDefault="00D06CA2" w:rsidP="005D7471">
      <w:r w:rsidRPr="00EC4FA9">
        <w:t>T</w:t>
      </w:r>
      <w:r w:rsidR="00F555A4" w:rsidRPr="00EC4FA9">
        <w:t>he conceptual appraisal must be scrutini</w:t>
      </w:r>
      <w:r w:rsidR="007D67A9">
        <w:t>s</w:t>
      </w:r>
      <w:r w:rsidR="00F555A4" w:rsidRPr="00EC4FA9">
        <w:t xml:space="preserve">ed by external consultants through the QA1 procedure. The QA1 report should include a recommendation that may or may not align with the agency’s recommendation. </w:t>
      </w:r>
    </w:p>
    <w:p w14:paraId="4D184B7F" w14:textId="5EC4F40A" w:rsidR="00A465EA" w:rsidRPr="00EC4FA9" w:rsidRDefault="00A465EA" w:rsidP="00A465EA">
      <w:r w:rsidRPr="00EC4FA9">
        <w:t xml:space="preserve">If the </w:t>
      </w:r>
      <w:r w:rsidR="00D06CA2" w:rsidRPr="00EC4FA9">
        <w:t xml:space="preserve">Cabinet </w:t>
      </w:r>
      <w:r w:rsidRPr="00EC4FA9">
        <w:t xml:space="preserve">decides to proceed with planning, the selected project alternative will move on to the pre-project stage. Still, the cost estimate </w:t>
      </w:r>
      <w:r w:rsidR="007064BF">
        <w:t>must</w:t>
      </w:r>
      <w:r w:rsidR="004B1A12" w:rsidRPr="00EC4FA9">
        <w:t xml:space="preserve"> </w:t>
      </w:r>
      <w:r w:rsidRPr="00EC4FA9">
        <w:t>be scrutini</w:t>
      </w:r>
      <w:r w:rsidR="007D67A9">
        <w:t>s</w:t>
      </w:r>
      <w:r w:rsidRPr="00EC4FA9">
        <w:t>ed through a new round of external quality assurance (QA2)</w:t>
      </w:r>
      <w:r w:rsidR="00F555A4" w:rsidRPr="00EC4FA9">
        <w:t xml:space="preserve"> before </w:t>
      </w:r>
      <w:r w:rsidRPr="00EC4FA9">
        <w:t>Parliament may take a formal investment decision and allocate a budget for project implementation.</w:t>
      </w:r>
    </w:p>
    <w:p w14:paraId="38152DF0" w14:textId="41FBC558" w:rsidR="00A465EA" w:rsidRPr="00EC4FA9" w:rsidRDefault="00A465EA" w:rsidP="00A465EA">
      <w:r w:rsidRPr="00EC4FA9">
        <w:t xml:space="preserve">Thus far, research has shown that QA2 has </w:t>
      </w:r>
      <w:r w:rsidR="00BD6024" w:rsidRPr="00EC4FA9">
        <w:t>successfully ensured</w:t>
      </w:r>
      <w:r w:rsidRPr="00EC4FA9">
        <w:t xml:space="preserve"> that the final budgets are realistic and </w:t>
      </w:r>
      <w:r w:rsidR="00D06CA2" w:rsidRPr="00EC4FA9">
        <w:t xml:space="preserve">that </w:t>
      </w:r>
      <w:r w:rsidRPr="00EC4FA9">
        <w:t>the Government has obtained good cost control on a portfolio basis (Welde and Klakegg, 2022). There are also indications that QA1 has contributed to a more systematic approach to early project appraisal and potentially more efficient conceptual solutions</w:t>
      </w:r>
      <w:r w:rsidR="00F555A4" w:rsidRPr="00EC4FA9">
        <w:t xml:space="preserve"> (Volden and Samset, 2017a)</w:t>
      </w:r>
      <w:r w:rsidRPr="00EC4FA9">
        <w:t xml:space="preserve">. However, </w:t>
      </w:r>
      <w:r w:rsidR="008D0E98">
        <w:t>only 11</w:t>
      </w:r>
      <w:r w:rsidR="008D0E98" w:rsidRPr="00EC4FA9">
        <w:t xml:space="preserve"> </w:t>
      </w:r>
      <w:r w:rsidRPr="00EC4FA9">
        <w:t>projects that have undergone QA1 have been completed yet, and their actual success remains to be seen (Volden, 2019).</w:t>
      </w:r>
    </w:p>
    <w:bookmarkEnd w:id="10"/>
    <w:p w14:paraId="78D1D546" w14:textId="29A457A3" w:rsidR="00DB1CE5" w:rsidRPr="00EC4FA9" w:rsidRDefault="004B1A12" w:rsidP="00DB1CE5">
      <w:pPr>
        <w:pStyle w:val="Heading3"/>
      </w:pPr>
      <w:r w:rsidRPr="00EC4FA9">
        <w:lastRenderedPageBreak/>
        <w:t>Data collection</w:t>
      </w:r>
      <w:r w:rsidR="0046643E" w:rsidRPr="00EC4FA9">
        <w:t xml:space="preserve"> and analysis</w:t>
      </w:r>
    </w:p>
    <w:p w14:paraId="5B8E2FEF" w14:textId="0BBD8E34" w:rsidR="00652BF7" w:rsidRPr="00EC4FA9" w:rsidDel="0046643E" w:rsidRDefault="00E33E5B" w:rsidP="000F1F9C">
      <w:r>
        <w:t>O</w:t>
      </w:r>
      <w:r w:rsidR="00272B92" w:rsidRPr="003E18AD" w:rsidDel="0046643E">
        <w:t>ur research</w:t>
      </w:r>
      <w:r>
        <w:t xml:space="preserve"> design</w:t>
      </w:r>
      <w:r w:rsidR="00272B92" w:rsidRPr="003E18AD" w:rsidDel="0046643E">
        <w:t xml:space="preserve"> </w:t>
      </w:r>
      <w:r w:rsidR="005350DE" w:rsidRPr="003E18AD" w:rsidDel="0046643E">
        <w:t>was</w:t>
      </w:r>
      <w:r w:rsidR="00123A19" w:rsidRPr="003E18AD" w:rsidDel="0046643E">
        <w:t xml:space="preserve"> </w:t>
      </w:r>
      <w:r w:rsidR="00762F6B" w:rsidRPr="003E18AD" w:rsidDel="0046643E">
        <w:t>primarily</w:t>
      </w:r>
      <w:r w:rsidR="00123A19" w:rsidRPr="003E18AD" w:rsidDel="0046643E">
        <w:t xml:space="preserve"> </w:t>
      </w:r>
      <w:r w:rsidR="00D85F29">
        <w:t>descriptive</w:t>
      </w:r>
      <w:r w:rsidR="00CF0568">
        <w:t xml:space="preserve">, aiming to understand </w:t>
      </w:r>
      <w:r w:rsidR="008A26D9">
        <w:t>investment appraisal processes and their outcomes better</w:t>
      </w:r>
      <w:r w:rsidR="00086F6E" w:rsidRPr="003E18AD" w:rsidDel="0046643E">
        <w:t>.</w:t>
      </w:r>
      <w:r w:rsidR="006A0FE8" w:rsidRPr="003E18AD" w:rsidDel="0046643E">
        <w:t xml:space="preserve"> </w:t>
      </w:r>
      <w:r w:rsidR="005A489D" w:rsidRPr="003E18AD" w:rsidDel="0046643E">
        <w:t>W</w:t>
      </w:r>
      <w:r w:rsidR="00A1289E" w:rsidRPr="003E18AD" w:rsidDel="0046643E">
        <w:t xml:space="preserve">e </w:t>
      </w:r>
      <w:r w:rsidR="00745D97" w:rsidRPr="003E18AD" w:rsidDel="0046643E">
        <w:t>used</w:t>
      </w:r>
      <w:r w:rsidR="00A1289E" w:rsidRPr="003E18AD" w:rsidDel="0046643E">
        <w:t xml:space="preserve"> </w:t>
      </w:r>
      <w:r w:rsidR="00A1289E" w:rsidRPr="00EC4FA9" w:rsidDel="0046643E">
        <w:t>quantitative and qualitative data</w:t>
      </w:r>
      <w:r w:rsidR="000715D2" w:rsidRPr="00EC4FA9">
        <w:t xml:space="preserve"> from early appraisal</w:t>
      </w:r>
      <w:r w:rsidR="003E18AD">
        <w:t>s</w:t>
      </w:r>
      <w:r w:rsidR="000715D2" w:rsidRPr="00EC4FA9">
        <w:t xml:space="preserve"> of Norwegian </w:t>
      </w:r>
      <w:r w:rsidR="00BA35BA">
        <w:t>g</w:t>
      </w:r>
      <w:r w:rsidR="00F338E5" w:rsidRPr="00EC4FA9">
        <w:t xml:space="preserve">overnment </w:t>
      </w:r>
      <w:r w:rsidR="000715D2" w:rsidRPr="00EC4FA9">
        <w:t>projects</w:t>
      </w:r>
      <w:r w:rsidR="00A1289E" w:rsidRPr="00EC4FA9" w:rsidDel="0046643E">
        <w:t>. Such a research design</w:t>
      </w:r>
      <w:r w:rsidR="00341FA1" w:rsidRPr="00EC4FA9" w:rsidDel="0046643E">
        <w:t xml:space="preserve">, </w:t>
      </w:r>
      <w:r w:rsidR="00A1289E" w:rsidRPr="00EC4FA9" w:rsidDel="0046643E">
        <w:t xml:space="preserve">often called </w:t>
      </w:r>
      <w:r w:rsidR="003E18AD">
        <w:t xml:space="preserve">a </w:t>
      </w:r>
      <w:r w:rsidR="001803D4" w:rsidRPr="00EC4FA9" w:rsidDel="0046643E">
        <w:t>‘</w:t>
      </w:r>
      <w:r w:rsidR="00A1289E" w:rsidRPr="00EC4FA9" w:rsidDel="0046643E">
        <w:t>mixed method</w:t>
      </w:r>
      <w:r w:rsidR="00272B92" w:rsidRPr="00EC4FA9" w:rsidDel="0046643E">
        <w:t>s</w:t>
      </w:r>
      <w:r w:rsidR="001803D4" w:rsidRPr="00EC4FA9" w:rsidDel="0046643E">
        <w:t>’</w:t>
      </w:r>
      <w:r w:rsidR="003E18AD">
        <w:t xml:space="preserve"> design</w:t>
      </w:r>
      <w:r w:rsidR="00341FA1" w:rsidRPr="00EC4FA9" w:rsidDel="0046643E">
        <w:t>,</w:t>
      </w:r>
      <w:r w:rsidR="00CA1C12" w:rsidRPr="00EC4FA9" w:rsidDel="0046643E">
        <w:t xml:space="preserve"> provides</w:t>
      </w:r>
      <w:r w:rsidR="00341FA1" w:rsidRPr="00EC4FA9" w:rsidDel="0046643E">
        <w:t xml:space="preserve"> a rich data set and the opportunity to triangulate findings</w:t>
      </w:r>
      <w:r w:rsidR="0040440F" w:rsidRPr="00EC4FA9" w:rsidDel="0046643E">
        <w:t>.</w:t>
      </w:r>
      <w:r w:rsidR="00A1289E" w:rsidRPr="00EC4FA9" w:rsidDel="0046643E">
        <w:t xml:space="preserve"> The data collection </w:t>
      </w:r>
      <w:r w:rsidR="00534914" w:rsidRPr="00EC4FA9">
        <w:t xml:space="preserve">and analysis </w:t>
      </w:r>
      <w:r w:rsidR="00A1289E" w:rsidRPr="00EC4FA9" w:rsidDel="0046643E">
        <w:t>took place in t</w:t>
      </w:r>
      <w:r w:rsidR="00534914" w:rsidRPr="00EC4FA9">
        <w:t>hree</w:t>
      </w:r>
      <w:r w:rsidR="00A1289E" w:rsidRPr="00EC4FA9" w:rsidDel="0046643E">
        <w:t xml:space="preserve"> st</w:t>
      </w:r>
      <w:r w:rsidR="00534914" w:rsidRPr="00EC4FA9">
        <w:t>eps</w:t>
      </w:r>
      <w:r w:rsidR="00A1289E" w:rsidRPr="00EC4FA9" w:rsidDel="0046643E">
        <w:t xml:space="preserve">. The first step was a review of project documents </w:t>
      </w:r>
      <w:r w:rsidR="00534914" w:rsidRPr="00EC4FA9">
        <w:t>(secondary data)</w:t>
      </w:r>
      <w:r w:rsidR="00A1289E" w:rsidRPr="00EC4FA9" w:rsidDel="0046643E">
        <w:t xml:space="preserve">. </w:t>
      </w:r>
      <w:r w:rsidR="00272B92" w:rsidRPr="00EC4FA9" w:rsidDel="0046643E">
        <w:t>The s</w:t>
      </w:r>
      <w:r w:rsidR="00A1289E" w:rsidRPr="00EC4FA9" w:rsidDel="0046643E">
        <w:t>econd</w:t>
      </w:r>
      <w:r w:rsidR="00272B92" w:rsidRPr="00EC4FA9" w:rsidDel="0046643E">
        <w:t xml:space="preserve"> step </w:t>
      </w:r>
      <w:r w:rsidR="00B87B26">
        <w:t>consisted of</w:t>
      </w:r>
      <w:r w:rsidR="00B87B26" w:rsidRPr="00EC4FA9" w:rsidDel="0046643E">
        <w:t xml:space="preserve"> </w:t>
      </w:r>
      <w:r w:rsidR="00A1289E" w:rsidRPr="00EC4FA9" w:rsidDel="0046643E">
        <w:t>interview</w:t>
      </w:r>
      <w:r w:rsidR="00272B92" w:rsidRPr="00EC4FA9" w:rsidDel="0046643E">
        <w:t>s with</w:t>
      </w:r>
      <w:r w:rsidR="00A1289E" w:rsidRPr="00EC4FA9" w:rsidDel="0046643E">
        <w:t xml:space="preserve"> </w:t>
      </w:r>
      <w:r w:rsidR="00D320EC">
        <w:t>experts</w:t>
      </w:r>
      <w:r w:rsidR="00A1289E" w:rsidRPr="00EC4FA9" w:rsidDel="0046643E">
        <w:t xml:space="preserve"> </w:t>
      </w:r>
      <w:r w:rsidR="003E18AD">
        <w:t xml:space="preserve">who </w:t>
      </w:r>
      <w:r w:rsidR="009320C0">
        <w:t>represented</w:t>
      </w:r>
      <w:r w:rsidR="009320C0" w:rsidRPr="00EC4FA9">
        <w:t xml:space="preserve"> </w:t>
      </w:r>
      <w:r w:rsidR="00534914" w:rsidRPr="00EC4FA9">
        <w:t>ministries, agencies and QA consultants (primary data)</w:t>
      </w:r>
      <w:r w:rsidR="00A1289E" w:rsidRPr="00EC4FA9" w:rsidDel="0046643E">
        <w:t>.</w:t>
      </w:r>
      <w:r w:rsidR="00534914" w:rsidRPr="00EC4FA9">
        <w:t xml:space="preserve"> The third step was a combined analysis of the </w:t>
      </w:r>
      <w:r w:rsidR="00BD6024" w:rsidRPr="00EC4FA9">
        <w:t>primary and secondary data findings</w:t>
      </w:r>
      <w:r w:rsidR="00534914" w:rsidRPr="00EC4FA9">
        <w:t xml:space="preserve">. </w:t>
      </w:r>
      <w:r w:rsidR="000715D2" w:rsidRPr="00EC4FA9">
        <w:t xml:space="preserve">What we did in each step is explained </w:t>
      </w:r>
      <w:r w:rsidR="003E18AD">
        <w:t>as follows</w:t>
      </w:r>
      <w:r w:rsidR="000715D2" w:rsidRPr="00EC4FA9">
        <w:t>.</w:t>
      </w:r>
      <w:r w:rsidR="00A1289E" w:rsidRPr="00EC4FA9" w:rsidDel="0046643E">
        <w:t xml:space="preserve"> </w:t>
      </w:r>
    </w:p>
    <w:p w14:paraId="4AA0A3E5" w14:textId="1BF23013" w:rsidR="0046643E" w:rsidRPr="00917B65" w:rsidRDefault="007E1587" w:rsidP="001D1AA7">
      <w:pPr>
        <w:spacing w:before="120" w:after="120"/>
        <w:rPr>
          <w:b/>
          <w:bCs/>
        </w:rPr>
      </w:pPr>
      <w:bookmarkStart w:id="12" w:name="OLE_LINK12"/>
      <w:r w:rsidRPr="00917B65">
        <w:rPr>
          <w:b/>
          <w:bCs/>
        </w:rPr>
        <w:t xml:space="preserve">Step 1. </w:t>
      </w:r>
      <w:r w:rsidR="0046643E" w:rsidRPr="00917B65">
        <w:rPr>
          <w:b/>
          <w:bCs/>
        </w:rPr>
        <w:t>Document</w:t>
      </w:r>
      <w:r w:rsidR="00534914" w:rsidRPr="00917B65">
        <w:rPr>
          <w:b/>
          <w:bCs/>
        </w:rPr>
        <w:t xml:space="preserve"> review</w:t>
      </w:r>
    </w:p>
    <w:p w14:paraId="5A20C5FE" w14:textId="02051FFC" w:rsidR="00534914" w:rsidRPr="00EC4FA9" w:rsidRDefault="00534914" w:rsidP="00553B55">
      <w:r w:rsidRPr="00EC4FA9">
        <w:t>The document review</w:t>
      </w:r>
      <w:r w:rsidR="00137FF3" w:rsidRPr="00EC4FA9">
        <w:t xml:space="preserve"> included 112 projects</w:t>
      </w:r>
      <w:r w:rsidR="003E18AD">
        <w:t>,</w:t>
      </w:r>
      <w:r w:rsidR="00137FF3" w:rsidRPr="00EC4FA9">
        <w:t xml:space="preserve"> which</w:t>
      </w:r>
      <w:r w:rsidR="0099334D">
        <w:t>,</w:t>
      </w:r>
      <w:r w:rsidR="00137FF3" w:rsidRPr="00EC4FA9">
        <w:t xml:space="preserve"> in their early phases</w:t>
      </w:r>
      <w:r w:rsidR="0099334D">
        <w:t>,</w:t>
      </w:r>
      <w:r w:rsidR="00137FF3" w:rsidRPr="00EC4FA9">
        <w:t xml:space="preserve"> </w:t>
      </w:r>
      <w:r w:rsidR="003E18AD">
        <w:t xml:space="preserve">had </w:t>
      </w:r>
      <w:r w:rsidR="00137FF3" w:rsidRPr="00EC4FA9">
        <w:t xml:space="preserve">undergone the structured front-end process </w:t>
      </w:r>
      <w:r w:rsidR="003E18AD">
        <w:t>shown</w:t>
      </w:r>
      <w:r w:rsidR="00137FF3" w:rsidRPr="00EC4FA9">
        <w:t xml:space="preserve"> in Figure </w:t>
      </w:r>
      <w:r w:rsidR="00390ADF" w:rsidRPr="00EC4FA9">
        <w:t>1</w:t>
      </w:r>
      <w:r w:rsidR="000715D2" w:rsidRPr="00EC4FA9">
        <w:t>.</w:t>
      </w:r>
    </w:p>
    <w:p w14:paraId="2B8FB744" w14:textId="28173616" w:rsidR="00137FF3" w:rsidRPr="00EC4FA9" w:rsidRDefault="003144A1" w:rsidP="00553B55">
      <w:r w:rsidRPr="00EC4FA9">
        <w:t>The select</w:t>
      </w:r>
      <w:r w:rsidR="00E7538D" w:rsidRPr="00EC4FA9">
        <w:t>ed 112 projects</w:t>
      </w:r>
      <w:r w:rsidRPr="00EC4FA9">
        <w:t xml:space="preserve"> constitute</w:t>
      </w:r>
      <w:r w:rsidR="00E33F64" w:rsidRPr="00EC4FA9">
        <w:t>d</w:t>
      </w:r>
      <w:r w:rsidR="00F55E3A" w:rsidRPr="00EC4FA9">
        <w:t xml:space="preserve"> </w:t>
      </w:r>
      <w:r w:rsidR="001F3619">
        <w:t>almost</w:t>
      </w:r>
      <w:r w:rsidRPr="00EC4FA9">
        <w:t xml:space="preserve"> the entire population of projects that </w:t>
      </w:r>
      <w:r w:rsidR="00BD6024" w:rsidRPr="00EC4FA9">
        <w:t xml:space="preserve">had </w:t>
      </w:r>
      <w:r w:rsidRPr="00EC4FA9">
        <w:t xml:space="preserve">undergone conceptual appraisal </w:t>
      </w:r>
      <w:r w:rsidR="00137FF3" w:rsidRPr="00EC4FA9">
        <w:t xml:space="preserve">and QA1 </w:t>
      </w:r>
      <w:r w:rsidRPr="00EC4FA9">
        <w:t xml:space="preserve">from </w:t>
      </w:r>
      <w:r w:rsidR="00E33F64" w:rsidRPr="00EC4FA9">
        <w:t xml:space="preserve">when </w:t>
      </w:r>
      <w:r w:rsidRPr="00EC4FA9">
        <w:t xml:space="preserve">it was introduced (2005) until 2022. </w:t>
      </w:r>
      <w:r w:rsidR="00697D4E">
        <w:t>Eight</w:t>
      </w:r>
      <w:r w:rsidRPr="00EC4FA9">
        <w:t xml:space="preserve"> projects</w:t>
      </w:r>
      <w:r w:rsidR="000126CF" w:rsidRPr="00EC4FA9">
        <w:t>, primarily from the defence sector,</w:t>
      </w:r>
      <w:r w:rsidRPr="00EC4FA9">
        <w:t xml:space="preserve"> </w:t>
      </w:r>
      <w:r w:rsidR="00137FF3" w:rsidRPr="00EC4FA9">
        <w:t xml:space="preserve">had to be </w:t>
      </w:r>
      <w:r w:rsidRPr="00EC4FA9">
        <w:t xml:space="preserve">omitted due to missing data. </w:t>
      </w:r>
      <w:r w:rsidR="00137FF3" w:rsidRPr="00EC4FA9">
        <w:t>About one-third (33%) of the projects were from the road sector, followed by buildings in the civil government sector (27%) and railway projects (13%). The remaining proje</w:t>
      </w:r>
      <w:r w:rsidR="000715D2" w:rsidRPr="00EC4FA9">
        <w:t>c</w:t>
      </w:r>
      <w:r w:rsidR="00137FF3" w:rsidRPr="00EC4FA9">
        <w:t xml:space="preserve">ts concerned ICT projects, military acquisitions, and facilities in the defence sector. </w:t>
      </w:r>
    </w:p>
    <w:p w14:paraId="416A1553" w14:textId="4B31DDDD" w:rsidR="003144A1" w:rsidRPr="00EC4FA9" w:rsidRDefault="00553B55" w:rsidP="00553B55">
      <w:r w:rsidRPr="00EC4FA9">
        <w:t xml:space="preserve">The data consisted </w:t>
      </w:r>
      <w:r w:rsidR="00137FF3" w:rsidRPr="00EC4FA9">
        <w:t xml:space="preserve">primarily </w:t>
      </w:r>
      <w:r w:rsidRPr="00EC4FA9">
        <w:t>of conceptual appraisals and quality assurance reports (QA1)</w:t>
      </w:r>
      <w:r w:rsidR="00917B65">
        <w:t xml:space="preserve"> for all the studied projects</w:t>
      </w:r>
      <w:r w:rsidRPr="00EC4FA9">
        <w:t xml:space="preserve">. </w:t>
      </w:r>
      <w:r w:rsidR="00917B65">
        <w:t>Each</w:t>
      </w:r>
      <w:r w:rsidR="00AC5A4F">
        <w:t xml:space="preserve"> report</w:t>
      </w:r>
      <w:r w:rsidRPr="00EC4FA9">
        <w:t xml:space="preserve"> typically ha</w:t>
      </w:r>
      <w:r w:rsidR="0099334D">
        <w:t>s</w:t>
      </w:r>
      <w:r w:rsidRPr="00EC4FA9">
        <w:t xml:space="preserve"> a length of 90</w:t>
      </w:r>
      <w:r w:rsidR="006149F7" w:rsidRPr="00EC4FA9">
        <w:t>–</w:t>
      </w:r>
      <w:r w:rsidRPr="00EC4FA9">
        <w:t>120 pages. We also had access to the mandate</w:t>
      </w:r>
      <w:r w:rsidR="003128A4">
        <w:t>s</w:t>
      </w:r>
      <w:r w:rsidRPr="00EC4FA9">
        <w:t xml:space="preserve"> for the appraisals for </w:t>
      </w:r>
      <w:r w:rsidR="00721EF7" w:rsidRPr="00EC4FA9">
        <w:t>46</w:t>
      </w:r>
      <w:r w:rsidRPr="00EC4FA9">
        <w:t xml:space="preserve"> projects</w:t>
      </w:r>
      <w:r w:rsidR="00137FF3" w:rsidRPr="00EC4FA9">
        <w:t xml:space="preserve"> and various supplementary analyses (</w:t>
      </w:r>
      <w:r w:rsidR="003128A4">
        <w:t>e.g.</w:t>
      </w:r>
      <w:r w:rsidR="007E1BF9">
        <w:t>,</w:t>
      </w:r>
      <w:r w:rsidR="00137FF3" w:rsidRPr="00EC4FA9">
        <w:t xml:space="preserve"> updated and extended appraisals due to a critical QA1 report)</w:t>
      </w:r>
      <w:r w:rsidR="004913BE" w:rsidRPr="00EC4FA9">
        <w:t>.</w:t>
      </w:r>
      <w:r w:rsidR="00850D66" w:rsidRPr="00EC4FA9">
        <w:t xml:space="preserve"> To determine the </w:t>
      </w:r>
      <w:r w:rsidR="00BD6024" w:rsidRPr="00EC4FA9">
        <w:t>projects</w:t>
      </w:r>
      <w:r w:rsidR="00BA35BA">
        <w:t>’</w:t>
      </w:r>
      <w:r w:rsidR="00BD6024" w:rsidRPr="00EC4FA9">
        <w:t xml:space="preserve"> </w:t>
      </w:r>
      <w:r w:rsidR="003128A4">
        <w:t xml:space="preserve">current </w:t>
      </w:r>
      <w:r w:rsidR="00BD6024" w:rsidRPr="00EC4FA9">
        <w:t>status</w:t>
      </w:r>
      <w:r w:rsidR="00850D66" w:rsidRPr="00EC4FA9">
        <w:t xml:space="preserve">, we </w:t>
      </w:r>
      <w:r w:rsidR="00783D29" w:rsidRPr="00EC4FA9">
        <w:t xml:space="preserve">also </w:t>
      </w:r>
      <w:r w:rsidR="00850D66" w:rsidRPr="00EC4FA9">
        <w:t>used</w:t>
      </w:r>
      <w:r w:rsidR="00FF6152" w:rsidRPr="00EC4FA9">
        <w:t xml:space="preserve"> government websites and the media.</w:t>
      </w:r>
    </w:p>
    <w:p w14:paraId="1CD7E477" w14:textId="04E00BC1" w:rsidR="00FF6152" w:rsidRPr="00EC4FA9" w:rsidRDefault="00FF6152" w:rsidP="00850D66">
      <w:r w:rsidRPr="00EC4FA9">
        <w:t xml:space="preserve">The studied projects were in different phases, although it was not always straightforward to determine which phase in each case. </w:t>
      </w:r>
      <w:r w:rsidR="00833E86">
        <w:t>Only 11</w:t>
      </w:r>
      <w:r w:rsidRPr="00EC4FA9">
        <w:t xml:space="preserve"> </w:t>
      </w:r>
      <w:r w:rsidR="00FC3D4D" w:rsidRPr="00EC4FA9">
        <w:t xml:space="preserve">projects </w:t>
      </w:r>
      <w:r w:rsidRPr="00EC4FA9">
        <w:t>were completed</w:t>
      </w:r>
      <w:r w:rsidR="00833E86">
        <w:t>, but</w:t>
      </w:r>
      <w:r w:rsidRPr="00EC4FA9">
        <w:t xml:space="preserve"> most were somewhere in the planning or implementation process or had most likely been terminated, though not formally</w:t>
      </w:r>
      <w:r w:rsidR="007E1BF9">
        <w:t>;</w:t>
      </w:r>
      <w:r w:rsidRPr="00EC4FA9">
        <w:t xml:space="preserve"> but </w:t>
      </w:r>
      <w:r w:rsidR="003128A4">
        <w:t xml:space="preserve">rather </w:t>
      </w:r>
      <w:r w:rsidRPr="00EC4FA9">
        <w:t xml:space="preserve">‘put on hold’. </w:t>
      </w:r>
    </w:p>
    <w:p w14:paraId="4313BFEE" w14:textId="1887B129" w:rsidR="00850D66" w:rsidRPr="00EC4FA9" w:rsidRDefault="003128A4" w:rsidP="00850D66">
      <w:r>
        <w:t>When g</w:t>
      </w:r>
      <w:r w:rsidR="007E1587" w:rsidRPr="00EC4FA9">
        <w:t>oing through the documents, we applied a comprehensive checklist</w:t>
      </w:r>
      <w:r w:rsidR="008E77C5">
        <w:t xml:space="preserve">, consisting of about </w:t>
      </w:r>
      <w:r w:rsidR="00063AD6">
        <w:t>40</w:t>
      </w:r>
      <w:r w:rsidR="004457C4">
        <w:t xml:space="preserve"> </w:t>
      </w:r>
      <w:r w:rsidR="002F4974">
        <w:t>data fields,</w:t>
      </w:r>
      <w:r w:rsidR="007E1587" w:rsidRPr="00EC4FA9">
        <w:t xml:space="preserve"> to ensure the same </w:t>
      </w:r>
      <w:r w:rsidR="00850D66" w:rsidRPr="00EC4FA9">
        <w:t>information was registered</w:t>
      </w:r>
      <w:r w:rsidR="007E1587" w:rsidRPr="00EC4FA9">
        <w:t xml:space="preserve"> for all projects</w:t>
      </w:r>
      <w:r w:rsidR="00E93AD2">
        <w:t xml:space="preserve">. </w:t>
      </w:r>
      <w:r w:rsidR="00CB3FBB">
        <w:t xml:space="preserve">The checklist items were based on issues identified in the literature review. </w:t>
      </w:r>
      <w:r w:rsidR="007E1587" w:rsidRPr="00EC4FA9">
        <w:t xml:space="preserve">A first version of the checklist was tested on a few projects per sector, with </w:t>
      </w:r>
      <w:r w:rsidR="00850D66" w:rsidRPr="00EC4FA9">
        <w:t>four</w:t>
      </w:r>
      <w:r w:rsidR="007E1587" w:rsidRPr="00EC4FA9">
        <w:t xml:space="preserve"> researchers </w:t>
      </w:r>
      <w:r w:rsidR="00C122DE" w:rsidRPr="00EC4FA9">
        <w:t>reviewing each project</w:t>
      </w:r>
      <w:r w:rsidR="006F234E">
        <w:t>’</w:t>
      </w:r>
      <w:r w:rsidR="00C122DE" w:rsidRPr="00EC4FA9">
        <w:t>s data</w:t>
      </w:r>
      <w:r w:rsidR="007E1587" w:rsidRPr="00EC4FA9">
        <w:t xml:space="preserve">. Then, the checklist was updated and used </w:t>
      </w:r>
      <w:r w:rsidR="0099334D">
        <w:t>to review</w:t>
      </w:r>
      <w:r w:rsidR="007E1587" w:rsidRPr="00EC4FA9">
        <w:t xml:space="preserve"> the remaining projects. </w:t>
      </w:r>
      <w:r w:rsidR="00850D66" w:rsidRPr="00EC4FA9">
        <w:t xml:space="preserve">Four researchers divided the projects between them and </w:t>
      </w:r>
      <w:r w:rsidR="00C122DE" w:rsidRPr="00EC4FA9">
        <w:t>regularly discussed</w:t>
      </w:r>
      <w:r w:rsidR="00850D66" w:rsidRPr="00EC4FA9">
        <w:t xml:space="preserve"> challenges and interpretations.</w:t>
      </w:r>
    </w:p>
    <w:p w14:paraId="3500BA3A" w14:textId="6E97934A" w:rsidR="008B612B" w:rsidRPr="00EC4FA9" w:rsidRDefault="00C122DE" w:rsidP="00F45DDE">
      <w:bookmarkStart w:id="13" w:name="_Hlk142769757"/>
      <w:r w:rsidRPr="00EC4FA9">
        <w:t xml:space="preserve">The main </w:t>
      </w:r>
      <w:r w:rsidR="004913BE" w:rsidRPr="00EC4FA9">
        <w:t>categories of information included in the checklist were</w:t>
      </w:r>
      <w:r w:rsidR="00934321">
        <w:t xml:space="preserve"> the following</w:t>
      </w:r>
      <w:r w:rsidR="004913BE" w:rsidRPr="00EC4FA9">
        <w:t>:</w:t>
      </w:r>
    </w:p>
    <w:p w14:paraId="6C453822" w14:textId="725FB073" w:rsidR="008B612B" w:rsidRPr="00EC4FA9" w:rsidRDefault="008B612B" w:rsidP="008B612B">
      <w:pPr>
        <w:pStyle w:val="ListParagraph"/>
        <w:numPr>
          <w:ilvl w:val="0"/>
          <w:numId w:val="9"/>
        </w:numPr>
      </w:pPr>
      <w:r w:rsidRPr="00EC4FA9">
        <w:t xml:space="preserve">background data </w:t>
      </w:r>
    </w:p>
    <w:p w14:paraId="6B1B85B6" w14:textId="28A42034" w:rsidR="008B612B" w:rsidRPr="00EC4FA9" w:rsidRDefault="004913BE" w:rsidP="008B612B">
      <w:pPr>
        <w:pStyle w:val="ListParagraph"/>
        <w:numPr>
          <w:ilvl w:val="0"/>
          <w:numId w:val="9"/>
        </w:numPr>
      </w:pPr>
      <w:r w:rsidRPr="00EC4FA9">
        <w:t>mention of</w:t>
      </w:r>
      <w:r w:rsidR="008B612B" w:rsidRPr="00EC4FA9">
        <w:t xml:space="preserve"> </w:t>
      </w:r>
      <w:r w:rsidR="008B612B" w:rsidRPr="00EC4FA9">
        <w:rPr>
          <w:i/>
          <w:iCs/>
        </w:rPr>
        <w:t>do-nothing</w:t>
      </w:r>
      <w:r w:rsidR="008B612B" w:rsidRPr="00EC4FA9">
        <w:t xml:space="preserve"> and </w:t>
      </w:r>
      <w:r w:rsidR="008B612B" w:rsidRPr="00EC4FA9">
        <w:rPr>
          <w:i/>
          <w:iCs/>
        </w:rPr>
        <w:t>do-minimum</w:t>
      </w:r>
      <w:r w:rsidR="008B612B" w:rsidRPr="00EC4FA9">
        <w:t xml:space="preserve"> alternatives in the mandate</w:t>
      </w:r>
    </w:p>
    <w:p w14:paraId="16461D05" w14:textId="3B74281C" w:rsidR="007E1587" w:rsidRPr="00EC4FA9" w:rsidRDefault="008B612B">
      <w:pPr>
        <w:pStyle w:val="ListParagraph"/>
        <w:numPr>
          <w:ilvl w:val="0"/>
          <w:numId w:val="9"/>
        </w:numPr>
      </w:pPr>
      <w:r w:rsidRPr="00EC4FA9">
        <w:t xml:space="preserve">conceptual appraisal: inclusion/non-inclusion of </w:t>
      </w:r>
      <w:r w:rsidRPr="00EC4FA9">
        <w:rPr>
          <w:i/>
          <w:iCs/>
        </w:rPr>
        <w:t>do-nothing</w:t>
      </w:r>
      <w:r w:rsidRPr="00EC4FA9">
        <w:t xml:space="preserve"> and/or </w:t>
      </w:r>
      <w:r w:rsidRPr="00EC4FA9">
        <w:rPr>
          <w:i/>
          <w:iCs/>
        </w:rPr>
        <w:t>do-minimum</w:t>
      </w:r>
      <w:r w:rsidRPr="00EC4FA9">
        <w:t xml:space="preserve"> alternatives</w:t>
      </w:r>
      <w:r w:rsidR="00850D66" w:rsidRPr="00EC4FA9">
        <w:t xml:space="preserve">, their content and scope, duration/sustainability, realism, key assumptions, transparency, how they </w:t>
      </w:r>
      <w:r w:rsidR="003128A4">
        <w:t>we</w:t>
      </w:r>
      <w:r w:rsidR="00850D66" w:rsidRPr="00EC4FA9">
        <w:t>re presented, uncertainties, and recommendation</w:t>
      </w:r>
      <w:r w:rsidR="00C122DE" w:rsidRPr="00EC4FA9">
        <w:t>s</w:t>
      </w:r>
    </w:p>
    <w:p w14:paraId="716F5006" w14:textId="6867945D" w:rsidR="00850D66" w:rsidRPr="00EC4FA9" w:rsidRDefault="00850D66">
      <w:pPr>
        <w:pStyle w:val="ListParagraph"/>
        <w:numPr>
          <w:ilvl w:val="0"/>
          <w:numId w:val="9"/>
        </w:numPr>
      </w:pPr>
      <w:r w:rsidRPr="00EC4FA9">
        <w:t xml:space="preserve">QA1: </w:t>
      </w:r>
      <w:r w:rsidR="004913BE" w:rsidRPr="00EC4FA9">
        <w:t xml:space="preserve">same as for </w:t>
      </w:r>
      <w:r w:rsidR="003128A4">
        <w:t xml:space="preserve">a </w:t>
      </w:r>
      <w:r w:rsidR="004913BE" w:rsidRPr="00EC4FA9">
        <w:t xml:space="preserve">conceptual appraisal, </w:t>
      </w:r>
      <w:r w:rsidR="003128A4">
        <w:t xml:space="preserve">with a </w:t>
      </w:r>
      <w:r w:rsidR="004913BE" w:rsidRPr="00EC4FA9">
        <w:t xml:space="preserve">focus on </w:t>
      </w:r>
      <w:r w:rsidR="00C122DE" w:rsidRPr="00EC4FA9">
        <w:t xml:space="preserve">the </w:t>
      </w:r>
      <w:r w:rsidR="004913BE" w:rsidRPr="00EC4FA9">
        <w:t>discrepancy between the two types of reports</w:t>
      </w:r>
    </w:p>
    <w:p w14:paraId="2A42DFC8" w14:textId="1A928020" w:rsidR="00F45DDE" w:rsidRPr="00EC4FA9" w:rsidRDefault="00850D66" w:rsidP="00F45DDE">
      <w:pPr>
        <w:pStyle w:val="ListParagraph"/>
        <w:numPr>
          <w:ilvl w:val="0"/>
          <w:numId w:val="9"/>
        </w:numPr>
      </w:pPr>
      <w:r w:rsidRPr="00EC4FA9">
        <w:lastRenderedPageBreak/>
        <w:t xml:space="preserve">Cabinet’s decision and </w:t>
      </w:r>
      <w:r w:rsidR="003128A4">
        <w:t xml:space="preserve">current </w:t>
      </w:r>
      <w:r w:rsidRPr="00EC4FA9">
        <w:t>status of the project</w:t>
      </w:r>
      <w:bookmarkEnd w:id="13"/>
      <w:r w:rsidR="003128A4">
        <w:t>.</w:t>
      </w:r>
      <w:r w:rsidR="00947BBE">
        <w:t xml:space="preserve"> For </w:t>
      </w:r>
      <w:r w:rsidR="004869C3">
        <w:t xml:space="preserve">the 11 </w:t>
      </w:r>
      <w:r w:rsidR="00694E3F">
        <w:t>projects that had been completed</w:t>
      </w:r>
      <w:r w:rsidR="000C232D">
        <w:t xml:space="preserve">, i.e., implemented and put into operation, </w:t>
      </w:r>
      <w:r w:rsidR="007F2406">
        <w:t xml:space="preserve">we did not </w:t>
      </w:r>
      <w:r w:rsidR="00E24C4A">
        <w:t xml:space="preserve">collect data about the </w:t>
      </w:r>
      <w:r w:rsidR="00E24C4A" w:rsidRPr="00E24C4A">
        <w:t>performance</w:t>
      </w:r>
      <w:r w:rsidR="00E24C4A">
        <w:t xml:space="preserve"> of these projects</w:t>
      </w:r>
      <w:r w:rsidR="00ED7595">
        <w:t>, as this was not available for all the projects.</w:t>
      </w:r>
    </w:p>
    <w:p w14:paraId="11D0761E" w14:textId="3C4F9077" w:rsidR="00781F61" w:rsidRDefault="00781F61" w:rsidP="001D1AA7">
      <w:pPr>
        <w:spacing w:before="120" w:after="120"/>
      </w:pPr>
      <w:r>
        <w:t>Due to space constraints, this paper does not allow including the checklist, but it will be made available upon request</w:t>
      </w:r>
      <w:r w:rsidRPr="00EC4FA9">
        <w:t xml:space="preserve">. </w:t>
      </w:r>
    </w:p>
    <w:p w14:paraId="5EBCEB55" w14:textId="47F80B25" w:rsidR="00534914" w:rsidRPr="00917B65" w:rsidRDefault="007E1587" w:rsidP="001D1AA7">
      <w:pPr>
        <w:spacing w:before="120" w:after="120"/>
        <w:rPr>
          <w:b/>
          <w:bCs/>
        </w:rPr>
      </w:pPr>
      <w:r w:rsidRPr="00917B65">
        <w:rPr>
          <w:b/>
          <w:bCs/>
        </w:rPr>
        <w:t xml:space="preserve">Step 2. </w:t>
      </w:r>
      <w:r w:rsidR="00534914" w:rsidRPr="00917B65">
        <w:rPr>
          <w:b/>
          <w:bCs/>
        </w:rPr>
        <w:t>Interviews</w:t>
      </w:r>
    </w:p>
    <w:p w14:paraId="74583C42" w14:textId="77777777" w:rsidR="00BC46EC" w:rsidRPr="009C3EFD" w:rsidRDefault="00C27155" w:rsidP="00666FE2">
      <w:r w:rsidRPr="000F0F10">
        <w:t xml:space="preserve">The interviews were </w:t>
      </w:r>
      <w:r w:rsidR="00D800FD" w:rsidRPr="000F0F10">
        <w:t>mainly</w:t>
      </w:r>
      <w:r w:rsidRPr="000F0F10">
        <w:t xml:space="preserve"> used to understand what </w:t>
      </w:r>
      <w:r w:rsidR="00AA1B85" w:rsidRPr="000F0F10">
        <w:t>lay</w:t>
      </w:r>
      <w:r w:rsidRPr="000F0F10">
        <w:t xml:space="preserve"> behind</w:t>
      </w:r>
      <w:r w:rsidR="000473FD" w:rsidRPr="000F0F10">
        <w:t xml:space="preserve"> our </w:t>
      </w:r>
      <w:r w:rsidR="00E015E1" w:rsidRPr="000F0F10">
        <w:t>findings</w:t>
      </w:r>
      <w:r w:rsidR="00D800FD" w:rsidRPr="000F0F10">
        <w:t xml:space="preserve"> </w:t>
      </w:r>
      <w:r w:rsidR="00F80EE2" w:rsidRPr="000F0F10">
        <w:t>from</w:t>
      </w:r>
      <w:r w:rsidR="000473FD" w:rsidRPr="000F0F10">
        <w:t xml:space="preserve"> the review of the documents</w:t>
      </w:r>
      <w:r w:rsidRPr="000F0F10">
        <w:t xml:space="preserve"> and to capture the views and experiences of the practitioners.</w:t>
      </w:r>
      <w:r w:rsidR="00461E0A" w:rsidRPr="00EC4FA9">
        <w:t xml:space="preserve"> </w:t>
      </w:r>
      <w:r w:rsidR="00E36635" w:rsidRPr="00EC4FA9">
        <w:t xml:space="preserve">The interviews were semi-structured. </w:t>
      </w:r>
      <w:r w:rsidR="00016EEE" w:rsidRPr="00016EEE">
        <w:t xml:space="preserve">Semi-structured interviews </w:t>
      </w:r>
      <w:r w:rsidR="00810FCE">
        <w:t>have a strength in their</w:t>
      </w:r>
      <w:r w:rsidR="00016EEE" w:rsidRPr="00016EEE">
        <w:t xml:space="preserve"> reciprocal exchange </w:t>
      </w:r>
      <w:r w:rsidR="00016EEE" w:rsidRPr="009C3EFD">
        <w:t xml:space="preserve">between the interviewee and interviewer (Galletta, 2013), which </w:t>
      </w:r>
      <w:r w:rsidR="00FF092D" w:rsidRPr="009C3EFD">
        <w:t>allows</w:t>
      </w:r>
      <w:r w:rsidR="00016EEE" w:rsidRPr="009C3EFD">
        <w:t xml:space="preserve"> the </w:t>
      </w:r>
      <w:r w:rsidR="00FF092D" w:rsidRPr="009C3EFD">
        <w:t>interviewer</w:t>
      </w:r>
      <w:r w:rsidR="00016EEE" w:rsidRPr="009C3EFD">
        <w:t xml:space="preserve"> to formulate questions based on the</w:t>
      </w:r>
      <w:r w:rsidR="00C14295" w:rsidRPr="009C3EFD">
        <w:t xml:space="preserve"> responses and </w:t>
      </w:r>
      <w:r w:rsidR="009160CE" w:rsidRPr="009C3EFD">
        <w:t>replies from the</w:t>
      </w:r>
      <w:r w:rsidR="00016EEE" w:rsidRPr="009C3EFD">
        <w:t xml:space="preserve"> interviewees (Rubin and Rubin, 2011). </w:t>
      </w:r>
    </w:p>
    <w:p w14:paraId="01EFC526" w14:textId="40116F1F" w:rsidR="00C662A8" w:rsidRPr="00EC4FA9" w:rsidRDefault="009160CE" w:rsidP="00666FE2">
      <w:r w:rsidRPr="00955459">
        <w:t>To develop the</w:t>
      </w:r>
      <w:r w:rsidR="00016EEE" w:rsidRPr="00955459">
        <w:t xml:space="preserve"> interview questions</w:t>
      </w:r>
      <w:r w:rsidRPr="00955459">
        <w:t xml:space="preserve">, the undertaken review of </w:t>
      </w:r>
      <w:r w:rsidR="00016EEE" w:rsidRPr="00955459">
        <w:t>previous research</w:t>
      </w:r>
      <w:r w:rsidRPr="00955459">
        <w:t xml:space="preserve"> was utili</w:t>
      </w:r>
      <w:r w:rsidR="006869C3">
        <w:t>s</w:t>
      </w:r>
      <w:r w:rsidRPr="00955459">
        <w:t>ed</w:t>
      </w:r>
      <w:r w:rsidR="00016EEE" w:rsidRPr="00955459">
        <w:t xml:space="preserve"> (Kallio </w:t>
      </w:r>
      <w:r w:rsidR="00016EEE" w:rsidRPr="00352D5E">
        <w:rPr>
          <w:i/>
          <w:iCs/>
        </w:rPr>
        <w:t>et al</w:t>
      </w:r>
      <w:r w:rsidR="00016EEE" w:rsidRPr="00955459">
        <w:t xml:space="preserve">., 2016; Kelly </w:t>
      </w:r>
      <w:r w:rsidR="00016EEE" w:rsidRPr="00352D5E">
        <w:rPr>
          <w:i/>
          <w:iCs/>
        </w:rPr>
        <w:t>et al</w:t>
      </w:r>
      <w:r w:rsidR="00016EEE" w:rsidRPr="00955459">
        <w:t>., 2010; Wengraf, 2001)</w:t>
      </w:r>
      <w:r w:rsidRPr="00955459">
        <w:t xml:space="preserve">, along with </w:t>
      </w:r>
      <w:r w:rsidR="0098573A" w:rsidRPr="00955459">
        <w:t>the researchers</w:t>
      </w:r>
      <w:r w:rsidR="002B719F">
        <w:t>’</w:t>
      </w:r>
      <w:r w:rsidR="0098573A" w:rsidRPr="00955459">
        <w:t xml:space="preserve"> </w:t>
      </w:r>
      <w:r w:rsidR="00E36635" w:rsidRPr="00955459">
        <w:t>subject matter</w:t>
      </w:r>
      <w:r w:rsidR="00E36635">
        <w:t xml:space="preserve"> knowledge and findings from the document review </w:t>
      </w:r>
      <w:r w:rsidR="00E36635" w:rsidRPr="00E36635">
        <w:t xml:space="preserve">(there is no room to include the interview guide either, but this is </w:t>
      </w:r>
      <w:r w:rsidR="006869C3" w:rsidRPr="00E36635">
        <w:t xml:space="preserve">also </w:t>
      </w:r>
      <w:r w:rsidR="00E36635" w:rsidRPr="00E36635">
        <w:t>available on request)</w:t>
      </w:r>
      <w:r w:rsidR="00016EEE" w:rsidRPr="00016EEE">
        <w:t>.</w:t>
      </w:r>
      <w:r w:rsidR="00BC46EC">
        <w:t xml:space="preserve"> </w:t>
      </w:r>
      <w:r w:rsidR="000F0F10">
        <w:t>W</w:t>
      </w:r>
      <w:r w:rsidR="00C122DE" w:rsidRPr="00EC4FA9">
        <w:t>e</w:t>
      </w:r>
      <w:r w:rsidR="005A09C8" w:rsidRPr="00EC4FA9">
        <w:t xml:space="preserve"> asked </w:t>
      </w:r>
      <w:r w:rsidR="00E36635">
        <w:t xml:space="preserve">the interviewees </w:t>
      </w:r>
      <w:r w:rsidR="005A09C8" w:rsidRPr="00EC4FA9">
        <w:t xml:space="preserve">about general practice, not individual projects. </w:t>
      </w:r>
      <w:r w:rsidR="00C122DE" w:rsidRPr="00EC4FA9">
        <w:t>Based on the document review, we focused more on topics that seemed to be challenging or surprising</w:t>
      </w:r>
      <w:r w:rsidR="00C662A8" w:rsidRPr="00EC4FA9">
        <w:t xml:space="preserve">. We also adapted the interview guide to some extent </w:t>
      </w:r>
      <w:r w:rsidR="000F0F10">
        <w:t xml:space="preserve">according </w:t>
      </w:r>
      <w:r w:rsidR="00C662A8" w:rsidRPr="00EC4FA9">
        <w:t>to sector and type of informant (ministry, agency</w:t>
      </w:r>
      <w:r w:rsidR="005A09C8" w:rsidRPr="00EC4FA9">
        <w:t>,</w:t>
      </w:r>
      <w:r w:rsidR="00C662A8" w:rsidRPr="00EC4FA9">
        <w:t xml:space="preserve"> or QA consultant).</w:t>
      </w:r>
      <w:r w:rsidR="00037665" w:rsidRPr="00EC4FA9">
        <w:t xml:space="preserve"> Finally, the interview guide included open questions about </w:t>
      </w:r>
      <w:r w:rsidR="006F234E">
        <w:t>‘</w:t>
      </w:r>
      <w:r w:rsidR="00037665" w:rsidRPr="00EC4FA9">
        <w:t>other aspects</w:t>
      </w:r>
      <w:r w:rsidR="006F234E">
        <w:t>’</w:t>
      </w:r>
      <w:r w:rsidR="00037665" w:rsidRPr="00EC4FA9">
        <w:t xml:space="preserve"> </w:t>
      </w:r>
      <w:r w:rsidR="00C122DE" w:rsidRPr="00EC4FA9">
        <w:t>and</w:t>
      </w:r>
      <w:r w:rsidR="00037665" w:rsidRPr="00EC4FA9">
        <w:t xml:space="preserve"> an invitation to </w:t>
      </w:r>
      <w:r w:rsidR="007B15C5">
        <w:t>put</w:t>
      </w:r>
      <w:r w:rsidR="00037665" w:rsidRPr="00EC4FA9">
        <w:t xml:space="preserve"> forward suggestions for improved practices.</w:t>
      </w:r>
      <w:r w:rsidR="00C662A8" w:rsidRPr="00EC4FA9">
        <w:t xml:space="preserve"> </w:t>
      </w:r>
    </w:p>
    <w:bookmarkEnd w:id="12"/>
    <w:p w14:paraId="76C4C34B" w14:textId="74D52C79" w:rsidR="00F1784D" w:rsidRDefault="00666FE2" w:rsidP="00E015E1">
      <w:r w:rsidRPr="00EC4FA9">
        <w:t xml:space="preserve">We interviewed representatives </w:t>
      </w:r>
      <w:r w:rsidR="00AA1B85" w:rsidRPr="00EC4FA9">
        <w:t>of</w:t>
      </w:r>
      <w:r w:rsidRPr="00EC4FA9">
        <w:t xml:space="preserve"> ministries, government agencies</w:t>
      </w:r>
      <w:r w:rsidR="00AA1B85" w:rsidRPr="00EC4FA9">
        <w:t>,</w:t>
      </w:r>
      <w:r w:rsidRPr="00EC4FA9">
        <w:t xml:space="preserve"> and consultancies involved in external quality assurance. These </w:t>
      </w:r>
      <w:r w:rsidR="00B844E5">
        <w:t>people</w:t>
      </w:r>
      <w:r w:rsidR="00FD6813">
        <w:t xml:space="preserve"> were selected based on their</w:t>
      </w:r>
      <w:r w:rsidRPr="00EC4FA9">
        <w:t xml:space="preserve"> in-depth knowledge of the use and understanding of the </w:t>
      </w:r>
      <w:r w:rsidR="0021773A" w:rsidRPr="00EC4FA9">
        <w:t>base</w:t>
      </w:r>
      <w:r w:rsidR="005A09C8" w:rsidRPr="00EC4FA9">
        <w:t>line</w:t>
      </w:r>
      <w:r w:rsidRPr="00EC4FA9">
        <w:t xml:space="preserve"> in project appraisal</w:t>
      </w:r>
      <w:r w:rsidR="00364C8F">
        <w:t xml:space="preserve"> from </w:t>
      </w:r>
      <w:r w:rsidR="000D1BEB">
        <w:t>being involved in various steps of these processes</w:t>
      </w:r>
      <w:r w:rsidR="00213838">
        <w:t xml:space="preserve"> throughout many years</w:t>
      </w:r>
      <w:r w:rsidRPr="00EC4FA9">
        <w:t xml:space="preserve">. </w:t>
      </w:r>
      <w:r w:rsidR="00CB3245">
        <w:t xml:space="preserve">The specific individuals were chosen based on the researchers’ </w:t>
      </w:r>
      <w:r w:rsidR="00300445">
        <w:t>overview of</w:t>
      </w:r>
      <w:r w:rsidR="009E690E">
        <w:t xml:space="preserve"> </w:t>
      </w:r>
      <w:r w:rsidR="005E3CCC">
        <w:t>people with relevant experience in the different organi</w:t>
      </w:r>
      <w:r w:rsidR="00C90676">
        <w:t>s</w:t>
      </w:r>
      <w:r w:rsidR="005E3CCC">
        <w:t>ations</w:t>
      </w:r>
      <w:r w:rsidR="00E172A4">
        <w:t xml:space="preserve">. </w:t>
      </w:r>
      <w:r w:rsidR="00D94675">
        <w:t xml:space="preserve">In addition, </w:t>
      </w:r>
      <w:r w:rsidR="00F62930">
        <w:t xml:space="preserve">the sampling strategy of snowballing </w:t>
      </w:r>
      <w:r w:rsidR="005E21F0" w:rsidRPr="005E21F0">
        <w:t>(Saunders </w:t>
      </w:r>
      <w:r w:rsidR="005E21F0" w:rsidRPr="00352D5E">
        <w:rPr>
          <w:i/>
          <w:iCs/>
        </w:rPr>
        <w:t>et al</w:t>
      </w:r>
      <w:r w:rsidR="005E21F0" w:rsidRPr="005E21F0">
        <w:t>., 2009</w:t>
      </w:r>
      <w:r w:rsidR="005E21F0">
        <w:t xml:space="preserve">) </w:t>
      </w:r>
      <w:r w:rsidR="00F62930">
        <w:t>was applied to identify individuals in organi</w:t>
      </w:r>
      <w:r w:rsidR="00C90676">
        <w:t>s</w:t>
      </w:r>
      <w:r w:rsidR="00F62930">
        <w:t xml:space="preserve">ations where we either lacked contact persons or </w:t>
      </w:r>
      <w:r w:rsidR="00CD6AF8">
        <w:t xml:space="preserve">potential interviewees declined to participate. </w:t>
      </w:r>
      <w:r w:rsidR="00D70890">
        <w:t xml:space="preserve">The selection effectively spanned all the relevant </w:t>
      </w:r>
      <w:r w:rsidR="00046119">
        <w:t>ministries and agencies</w:t>
      </w:r>
      <w:r w:rsidR="00E7291E">
        <w:t xml:space="preserve"> represented in the portfolio of 112 projects</w:t>
      </w:r>
      <w:r w:rsidR="00B16402">
        <w:t xml:space="preserve">. </w:t>
      </w:r>
    </w:p>
    <w:p w14:paraId="0AFCEC44" w14:textId="311815B2" w:rsidR="00E015E1" w:rsidRPr="00EC4FA9" w:rsidRDefault="00AA1B85" w:rsidP="00E015E1">
      <w:r w:rsidRPr="00EC4FA9">
        <w:t>A total of 15</w:t>
      </w:r>
      <w:r w:rsidR="00666FE2" w:rsidRPr="00EC4FA9">
        <w:t xml:space="preserve"> </w:t>
      </w:r>
      <w:r w:rsidR="009F6375" w:rsidRPr="00EC4FA9">
        <w:t xml:space="preserve">group </w:t>
      </w:r>
      <w:r w:rsidR="00666FE2" w:rsidRPr="00EC4FA9">
        <w:t xml:space="preserve">interviews were conducted with 41 </w:t>
      </w:r>
      <w:r w:rsidR="00C812F2">
        <w:t>informants</w:t>
      </w:r>
      <w:r w:rsidR="00666FE2" w:rsidRPr="007B15C5">
        <w:t>.</w:t>
      </w:r>
      <w:r w:rsidR="00666FE2" w:rsidRPr="00EC4FA9">
        <w:t xml:space="preserve"> </w:t>
      </w:r>
      <w:r w:rsidR="005A09C8" w:rsidRPr="00EC4FA9">
        <w:t>Each interview lasted 1</w:t>
      </w:r>
      <w:r w:rsidR="006F234E">
        <w:t>.</w:t>
      </w:r>
      <w:r w:rsidR="005A09C8" w:rsidRPr="00EC4FA9">
        <w:t>5</w:t>
      </w:r>
      <w:r w:rsidR="006F234E">
        <w:t>–</w:t>
      </w:r>
      <w:r w:rsidR="005A09C8" w:rsidRPr="00EC4FA9">
        <w:t xml:space="preserve">2 hours. </w:t>
      </w:r>
      <w:r w:rsidR="0003759D" w:rsidRPr="00EC4FA9">
        <w:t xml:space="preserve">Group interviews have their strength in facilitating discussion and debate. </w:t>
      </w:r>
      <w:r w:rsidR="006F0222" w:rsidRPr="00EC4FA9">
        <w:t>They</w:t>
      </w:r>
      <w:r w:rsidR="0003759D" w:rsidRPr="00EC4FA9">
        <w:t xml:space="preserve"> also entail an additional quality check because the </w:t>
      </w:r>
      <w:r w:rsidR="0003759D" w:rsidRPr="007B15C5">
        <w:t>informants</w:t>
      </w:r>
      <w:r w:rsidR="0003759D" w:rsidRPr="00EC4FA9">
        <w:t xml:space="preserve"> will balance and moderate each other</w:t>
      </w:r>
      <w:r w:rsidR="00C122DE" w:rsidRPr="00EC4FA9">
        <w:t>, make additions,</w:t>
      </w:r>
      <w:r w:rsidR="0003759D" w:rsidRPr="00EC4FA9">
        <w:t xml:space="preserve"> and add details</w:t>
      </w:r>
      <w:r w:rsidR="006F0222" w:rsidRPr="00EC4FA9">
        <w:t xml:space="preserve"> to what is said</w:t>
      </w:r>
      <w:r w:rsidR="0003759D" w:rsidRPr="00EC4FA9">
        <w:t xml:space="preserve">. The median number of participants in the interviews was three. </w:t>
      </w:r>
      <w:r w:rsidR="00650CCB" w:rsidRPr="00EC4FA9">
        <w:t xml:space="preserve">We used a combination of physical and digital meetings. </w:t>
      </w:r>
      <w:r w:rsidR="00037665" w:rsidRPr="00EC4FA9">
        <w:t xml:space="preserve">Between </w:t>
      </w:r>
      <w:r w:rsidR="00783D29" w:rsidRPr="00EC4FA9">
        <w:t>two</w:t>
      </w:r>
      <w:r w:rsidR="00037665" w:rsidRPr="00EC4FA9">
        <w:t xml:space="preserve"> and </w:t>
      </w:r>
      <w:r w:rsidR="00783D29" w:rsidRPr="00EC4FA9">
        <w:t>four</w:t>
      </w:r>
      <w:r w:rsidR="00037665" w:rsidRPr="00EC4FA9">
        <w:t xml:space="preserve"> researchers were present </w:t>
      </w:r>
      <w:r w:rsidR="007B15C5">
        <w:t>during</w:t>
      </w:r>
      <w:r w:rsidR="00037665" w:rsidRPr="00EC4FA9">
        <w:t xml:space="preserve"> each interview.</w:t>
      </w:r>
    </w:p>
    <w:p w14:paraId="2400AF77" w14:textId="167F84ED" w:rsidR="00E015E1" w:rsidRPr="00EC4FA9" w:rsidRDefault="00E015E1" w:rsidP="00E015E1">
      <w:pPr>
        <w:pStyle w:val="Caption"/>
      </w:pPr>
      <w:r w:rsidRPr="00EC4FA9">
        <w:t xml:space="preserve">Table </w:t>
      </w:r>
      <w:r w:rsidRPr="00EC4FA9">
        <w:fldChar w:fldCharType="begin"/>
      </w:r>
      <w:r w:rsidRPr="00EC4FA9">
        <w:instrText xml:space="preserve"> SEQ Table \* ARABIC </w:instrText>
      </w:r>
      <w:r w:rsidRPr="00EC4FA9">
        <w:fldChar w:fldCharType="separate"/>
      </w:r>
      <w:r w:rsidR="00C2038D">
        <w:rPr>
          <w:noProof/>
        </w:rPr>
        <w:t>1</w:t>
      </w:r>
      <w:r w:rsidRPr="00EC4FA9">
        <w:fldChar w:fldCharType="end"/>
      </w:r>
      <w:r w:rsidR="006F0222" w:rsidRPr="00EC4FA9">
        <w:t>.</w:t>
      </w:r>
      <w:r w:rsidRPr="00EC4FA9">
        <w:t xml:space="preserve"> Data used in the study</w:t>
      </w:r>
    </w:p>
    <w:tbl>
      <w:tblPr>
        <w:tblStyle w:val="TableGrid"/>
        <w:tblW w:w="5000" w:type="pct"/>
        <w:tblLook w:val="04A0" w:firstRow="1" w:lastRow="0" w:firstColumn="1" w:lastColumn="0" w:noHBand="0" w:noVBand="1"/>
      </w:tblPr>
      <w:tblGrid>
        <w:gridCol w:w="2777"/>
        <w:gridCol w:w="6239"/>
      </w:tblGrid>
      <w:tr w:rsidR="00E015E1" w:rsidRPr="00EC4FA9" w14:paraId="5902A8AF" w14:textId="77777777">
        <w:tc>
          <w:tcPr>
            <w:tcW w:w="5000" w:type="pct"/>
            <w:gridSpan w:val="2"/>
          </w:tcPr>
          <w:p w14:paraId="49583C00" w14:textId="77777777" w:rsidR="00E015E1" w:rsidRPr="00EC4FA9" w:rsidRDefault="00E015E1" w:rsidP="00783D29">
            <w:pPr>
              <w:spacing w:line="276" w:lineRule="auto"/>
              <w:rPr>
                <w:b/>
                <w:sz w:val="22"/>
                <w:szCs w:val="22"/>
              </w:rPr>
            </w:pPr>
            <w:r w:rsidRPr="00EC4FA9">
              <w:rPr>
                <w:b/>
                <w:sz w:val="22"/>
                <w:szCs w:val="22"/>
              </w:rPr>
              <w:t>Type of data</w:t>
            </w:r>
          </w:p>
        </w:tc>
      </w:tr>
      <w:tr w:rsidR="00E015E1" w:rsidRPr="00EC4FA9" w14:paraId="44EF0F3C" w14:textId="77777777">
        <w:tc>
          <w:tcPr>
            <w:tcW w:w="1540" w:type="pct"/>
            <w:vAlign w:val="center"/>
          </w:tcPr>
          <w:p w14:paraId="560E35DD" w14:textId="77777777" w:rsidR="00E015E1" w:rsidRPr="00EC4FA9" w:rsidRDefault="00E015E1" w:rsidP="00783D29">
            <w:pPr>
              <w:spacing w:line="276" w:lineRule="auto"/>
              <w:rPr>
                <w:sz w:val="22"/>
                <w:szCs w:val="22"/>
              </w:rPr>
            </w:pPr>
            <w:r w:rsidRPr="00EC4FA9">
              <w:rPr>
                <w:sz w:val="22"/>
                <w:szCs w:val="22"/>
              </w:rPr>
              <w:t>Documents</w:t>
            </w:r>
          </w:p>
        </w:tc>
        <w:tc>
          <w:tcPr>
            <w:tcW w:w="3460" w:type="pct"/>
            <w:vAlign w:val="center"/>
          </w:tcPr>
          <w:p w14:paraId="7A353586" w14:textId="77777777" w:rsidR="00E015E1" w:rsidRPr="00EC4FA9" w:rsidRDefault="00E015E1" w:rsidP="00783D29">
            <w:pPr>
              <w:spacing w:line="276" w:lineRule="auto"/>
              <w:ind w:left="360"/>
              <w:rPr>
                <w:sz w:val="22"/>
                <w:szCs w:val="22"/>
              </w:rPr>
            </w:pPr>
            <w:r w:rsidRPr="00EC4FA9">
              <w:rPr>
                <w:sz w:val="22"/>
                <w:szCs w:val="22"/>
              </w:rPr>
              <w:t>46 project mandates</w:t>
            </w:r>
          </w:p>
          <w:p w14:paraId="66535881" w14:textId="65F6F28C" w:rsidR="00E015E1" w:rsidRPr="00EC4FA9" w:rsidRDefault="00E015E1" w:rsidP="00783D29">
            <w:pPr>
              <w:spacing w:line="276" w:lineRule="auto"/>
              <w:ind w:left="360"/>
              <w:rPr>
                <w:sz w:val="22"/>
                <w:szCs w:val="22"/>
              </w:rPr>
            </w:pPr>
            <w:r w:rsidRPr="00EC4FA9">
              <w:rPr>
                <w:sz w:val="22"/>
                <w:szCs w:val="22"/>
              </w:rPr>
              <w:t xml:space="preserve">103 </w:t>
            </w:r>
            <w:r w:rsidR="00D02915" w:rsidRPr="00EC4FA9">
              <w:rPr>
                <w:sz w:val="22"/>
                <w:szCs w:val="22"/>
              </w:rPr>
              <w:t xml:space="preserve">conceptual </w:t>
            </w:r>
            <w:r w:rsidRPr="00EC4FA9">
              <w:rPr>
                <w:sz w:val="22"/>
                <w:szCs w:val="22"/>
              </w:rPr>
              <w:t>appraisal reports</w:t>
            </w:r>
          </w:p>
          <w:p w14:paraId="26772C66" w14:textId="77777777" w:rsidR="00E015E1" w:rsidRPr="00EC4FA9" w:rsidRDefault="00E015E1" w:rsidP="00783D29">
            <w:pPr>
              <w:spacing w:line="276" w:lineRule="auto"/>
              <w:ind w:left="360"/>
              <w:rPr>
                <w:sz w:val="22"/>
                <w:szCs w:val="22"/>
              </w:rPr>
            </w:pPr>
            <w:r w:rsidRPr="00EC4FA9">
              <w:rPr>
                <w:sz w:val="22"/>
                <w:szCs w:val="22"/>
              </w:rPr>
              <w:t>109 quality assurance reports (QA1)</w:t>
            </w:r>
          </w:p>
        </w:tc>
      </w:tr>
      <w:tr w:rsidR="00E015E1" w:rsidRPr="00EC4FA9" w14:paraId="5297FB6F" w14:textId="77777777">
        <w:tc>
          <w:tcPr>
            <w:tcW w:w="1540" w:type="pct"/>
            <w:vAlign w:val="center"/>
          </w:tcPr>
          <w:p w14:paraId="222843E5" w14:textId="77777777" w:rsidR="00E015E1" w:rsidRPr="00EC4FA9" w:rsidRDefault="00E015E1" w:rsidP="00783D29">
            <w:pPr>
              <w:spacing w:line="276" w:lineRule="auto"/>
              <w:rPr>
                <w:sz w:val="22"/>
                <w:szCs w:val="22"/>
              </w:rPr>
            </w:pPr>
            <w:r w:rsidRPr="00EC4FA9">
              <w:rPr>
                <w:sz w:val="22"/>
                <w:szCs w:val="22"/>
              </w:rPr>
              <w:t>Interviews</w:t>
            </w:r>
          </w:p>
        </w:tc>
        <w:tc>
          <w:tcPr>
            <w:tcW w:w="3460" w:type="pct"/>
            <w:vAlign w:val="center"/>
          </w:tcPr>
          <w:p w14:paraId="7DC16C86" w14:textId="6876FDD7" w:rsidR="00E015E1" w:rsidRPr="00EC4FA9" w:rsidRDefault="00E015E1" w:rsidP="00783D29">
            <w:pPr>
              <w:spacing w:line="276" w:lineRule="auto"/>
              <w:ind w:left="360"/>
              <w:rPr>
                <w:sz w:val="22"/>
                <w:szCs w:val="22"/>
              </w:rPr>
            </w:pPr>
            <w:r w:rsidRPr="00EC4FA9">
              <w:rPr>
                <w:sz w:val="22"/>
                <w:szCs w:val="22"/>
              </w:rPr>
              <w:t xml:space="preserve">19 </w:t>
            </w:r>
            <w:r w:rsidR="00C812F2">
              <w:rPr>
                <w:sz w:val="22"/>
                <w:szCs w:val="22"/>
              </w:rPr>
              <w:t>informants</w:t>
            </w:r>
            <w:r w:rsidR="006F0222" w:rsidRPr="00EC4FA9">
              <w:rPr>
                <w:sz w:val="22"/>
                <w:szCs w:val="22"/>
              </w:rPr>
              <w:t xml:space="preserve"> </w:t>
            </w:r>
            <w:r w:rsidRPr="00EC4FA9">
              <w:rPr>
                <w:sz w:val="22"/>
                <w:szCs w:val="22"/>
              </w:rPr>
              <w:t>from agencies</w:t>
            </w:r>
          </w:p>
          <w:p w14:paraId="006D43B3" w14:textId="1B2E8E21" w:rsidR="00E015E1" w:rsidRPr="00EC4FA9" w:rsidRDefault="00E015E1" w:rsidP="00783D29">
            <w:pPr>
              <w:spacing w:line="276" w:lineRule="auto"/>
              <w:ind w:left="360"/>
              <w:rPr>
                <w:sz w:val="22"/>
                <w:szCs w:val="22"/>
              </w:rPr>
            </w:pPr>
            <w:r w:rsidRPr="00EC4FA9">
              <w:rPr>
                <w:sz w:val="22"/>
                <w:szCs w:val="22"/>
              </w:rPr>
              <w:t xml:space="preserve">13 </w:t>
            </w:r>
            <w:r w:rsidR="00C812F2">
              <w:rPr>
                <w:sz w:val="22"/>
                <w:szCs w:val="22"/>
              </w:rPr>
              <w:t>informants</w:t>
            </w:r>
            <w:r w:rsidR="006F0222" w:rsidRPr="00EC4FA9">
              <w:rPr>
                <w:sz w:val="22"/>
                <w:szCs w:val="22"/>
              </w:rPr>
              <w:t xml:space="preserve"> </w:t>
            </w:r>
            <w:r w:rsidRPr="00EC4FA9">
              <w:rPr>
                <w:sz w:val="22"/>
                <w:szCs w:val="22"/>
              </w:rPr>
              <w:t>from quality assurers</w:t>
            </w:r>
          </w:p>
          <w:p w14:paraId="7ACAD69B" w14:textId="69EB72C5" w:rsidR="00E015E1" w:rsidRPr="00EC4FA9" w:rsidRDefault="00E015E1" w:rsidP="00783D29">
            <w:pPr>
              <w:spacing w:line="276" w:lineRule="auto"/>
              <w:ind w:left="360"/>
              <w:rPr>
                <w:sz w:val="22"/>
                <w:szCs w:val="22"/>
              </w:rPr>
            </w:pPr>
            <w:r w:rsidRPr="00EC4FA9">
              <w:rPr>
                <w:sz w:val="22"/>
                <w:szCs w:val="22"/>
              </w:rPr>
              <w:lastRenderedPageBreak/>
              <w:t xml:space="preserve">9 </w:t>
            </w:r>
            <w:r w:rsidR="006F0222" w:rsidRPr="00EC4FA9">
              <w:rPr>
                <w:sz w:val="22"/>
                <w:szCs w:val="22"/>
              </w:rPr>
              <w:t>in</w:t>
            </w:r>
            <w:r w:rsidR="00C812F2">
              <w:rPr>
                <w:sz w:val="22"/>
                <w:szCs w:val="22"/>
              </w:rPr>
              <w:t>formants</w:t>
            </w:r>
            <w:r w:rsidR="006F0222" w:rsidRPr="00EC4FA9">
              <w:rPr>
                <w:sz w:val="22"/>
                <w:szCs w:val="22"/>
              </w:rPr>
              <w:t xml:space="preserve"> </w:t>
            </w:r>
            <w:r w:rsidRPr="00EC4FA9">
              <w:rPr>
                <w:sz w:val="22"/>
                <w:szCs w:val="22"/>
              </w:rPr>
              <w:t>from ministries</w:t>
            </w:r>
          </w:p>
        </w:tc>
      </w:tr>
    </w:tbl>
    <w:p w14:paraId="1760D237" w14:textId="0240EEA4" w:rsidR="00DB1CE5" w:rsidRDefault="00DB1CE5" w:rsidP="00DB1CE5"/>
    <w:p w14:paraId="1462FA7A" w14:textId="07607BBE" w:rsidR="00B52838" w:rsidRPr="00EC4FA9" w:rsidRDefault="00B52838" w:rsidP="00DB1CE5">
      <w:r w:rsidRPr="00B52838">
        <w:t xml:space="preserve">The interviews were recorded and </w:t>
      </w:r>
      <w:r w:rsidR="00F607D3">
        <w:t>summaries compiled</w:t>
      </w:r>
      <w:r w:rsidRPr="00B52838">
        <w:t xml:space="preserve">. </w:t>
      </w:r>
      <w:r w:rsidR="00DE2EE9">
        <w:t>D</w:t>
      </w:r>
      <w:r w:rsidR="00DE2EE9" w:rsidRPr="00DE2EE9">
        <w:t>uring the interviews</w:t>
      </w:r>
      <w:r w:rsidR="00DE2EE9">
        <w:t xml:space="preserve">, </w:t>
      </w:r>
      <w:r w:rsidRPr="00B52838">
        <w:t>notes</w:t>
      </w:r>
      <w:r w:rsidR="00DE2EE9">
        <w:t xml:space="preserve"> were taken</w:t>
      </w:r>
      <w:r w:rsidR="000E6FB9">
        <w:t xml:space="preserve"> by the participating researchers not </w:t>
      </w:r>
      <w:r w:rsidR="001042E0">
        <w:t>primar</w:t>
      </w:r>
      <w:r w:rsidR="001D41DE">
        <w:t>il</w:t>
      </w:r>
      <w:r w:rsidR="001042E0">
        <w:t xml:space="preserve">y </w:t>
      </w:r>
      <w:r w:rsidR="000E6FB9">
        <w:t xml:space="preserve">responsible for </w:t>
      </w:r>
      <w:r w:rsidR="001042E0">
        <w:t>asking questions</w:t>
      </w:r>
      <w:r w:rsidR="00795A4B">
        <w:t xml:space="preserve"> in order</w:t>
      </w:r>
      <w:r w:rsidRPr="00B52838">
        <w:t xml:space="preserve"> to increase the reliability of the study (Silverman, 2021). After </w:t>
      </w:r>
      <w:r w:rsidR="00C03690">
        <w:t xml:space="preserve">one or two </w:t>
      </w:r>
      <w:r w:rsidRPr="00B52838">
        <w:t>interview</w:t>
      </w:r>
      <w:r w:rsidR="00C03690">
        <w:t>s</w:t>
      </w:r>
      <w:r w:rsidRPr="00B52838">
        <w:t>, the researchers</w:t>
      </w:r>
      <w:r w:rsidR="00CB30DE">
        <w:t xml:space="preserve"> compared notes from these</w:t>
      </w:r>
      <w:r w:rsidR="004309C4">
        <w:t xml:space="preserve"> and discussed </w:t>
      </w:r>
      <w:r w:rsidRPr="00B52838">
        <w:t xml:space="preserve">the main findings. </w:t>
      </w:r>
      <w:r w:rsidR="009D661E">
        <w:t>This was based on the advice from</w:t>
      </w:r>
      <w:r w:rsidRPr="00B52838">
        <w:t xml:space="preserve"> Sandberg (2005) </w:t>
      </w:r>
      <w:r w:rsidR="009D661E">
        <w:t xml:space="preserve">to achieve </w:t>
      </w:r>
      <w:r w:rsidRPr="00B52838">
        <w:t>communicative, pragmatic</w:t>
      </w:r>
      <w:r w:rsidR="009D661E">
        <w:t>,</w:t>
      </w:r>
      <w:r w:rsidRPr="00B52838">
        <w:t xml:space="preserve"> and transgressive validity during data collection and analysis.</w:t>
      </w:r>
    </w:p>
    <w:p w14:paraId="2D042D76" w14:textId="137965CF" w:rsidR="00534914" w:rsidRPr="00917B65" w:rsidRDefault="007E1587" w:rsidP="001D1AA7">
      <w:pPr>
        <w:spacing w:before="120" w:after="120"/>
        <w:rPr>
          <w:b/>
          <w:bCs/>
        </w:rPr>
      </w:pPr>
      <w:r w:rsidRPr="00917B65">
        <w:rPr>
          <w:b/>
          <w:bCs/>
        </w:rPr>
        <w:t xml:space="preserve">Step 3. </w:t>
      </w:r>
      <w:r w:rsidR="00534914" w:rsidRPr="00917B65">
        <w:rPr>
          <w:b/>
          <w:bCs/>
        </w:rPr>
        <w:t>Combined analysis</w:t>
      </w:r>
    </w:p>
    <w:p w14:paraId="6F30B7DE" w14:textId="508AC26B" w:rsidR="00FC3D4D" w:rsidRPr="00EC4FA9" w:rsidRDefault="00D431CB" w:rsidP="00F2535E">
      <w:r>
        <w:t xml:space="preserve">As mentioned earlier, the research design was inductive </w:t>
      </w:r>
      <w:r w:rsidR="00E329EB" w:rsidRPr="00E329EB">
        <w:t xml:space="preserve">(Fereday </w:t>
      </w:r>
      <w:r w:rsidR="003F1D65">
        <w:t>and</w:t>
      </w:r>
      <w:r w:rsidR="00E329EB" w:rsidRPr="00E329EB">
        <w:t xml:space="preserve"> Muir-Cochrane, 2006). </w:t>
      </w:r>
      <w:r w:rsidR="00B81C13" w:rsidRPr="00EC4FA9">
        <w:t xml:space="preserve">The </w:t>
      </w:r>
      <w:r w:rsidR="00BB4FB6">
        <w:t xml:space="preserve">data </w:t>
      </w:r>
      <w:r w:rsidR="00B81C13" w:rsidRPr="00EC4FA9">
        <w:t>analysis was conducted in several iterations</w:t>
      </w:r>
      <w:r w:rsidR="00F2535E" w:rsidRPr="00EC4FA9">
        <w:t xml:space="preserve">, using </w:t>
      </w:r>
      <w:r w:rsidR="00C122DE" w:rsidRPr="00EC4FA9">
        <w:t xml:space="preserve">relatively </w:t>
      </w:r>
      <w:r w:rsidR="00F2535E" w:rsidRPr="00EC4FA9">
        <w:t>simple qualitative coding, categori</w:t>
      </w:r>
      <w:r w:rsidR="00703577">
        <w:t>s</w:t>
      </w:r>
      <w:r w:rsidR="00F2535E" w:rsidRPr="00EC4FA9">
        <w:t>ation</w:t>
      </w:r>
      <w:r w:rsidR="007B15C5">
        <w:t>,</w:t>
      </w:r>
      <w:r w:rsidR="00F2535E" w:rsidRPr="00EC4FA9">
        <w:t xml:space="preserve"> and summari</w:t>
      </w:r>
      <w:r w:rsidR="00703577">
        <w:t>s</w:t>
      </w:r>
      <w:r w:rsidR="00F2535E" w:rsidRPr="00EC4FA9">
        <w:t>ing</w:t>
      </w:r>
      <w:r w:rsidR="001C0770">
        <w:t xml:space="preserve"> </w:t>
      </w:r>
      <w:r w:rsidR="00247389">
        <w:t>(</w:t>
      </w:r>
      <w:r w:rsidR="00987457">
        <w:t>building on the recommendations by Tjora</w:t>
      </w:r>
      <w:r w:rsidR="001B2D2B">
        <w:t xml:space="preserve">, </w:t>
      </w:r>
      <w:r w:rsidR="0018488C">
        <w:t>2018)</w:t>
      </w:r>
      <w:r w:rsidR="00F2535E" w:rsidRPr="00EC4FA9">
        <w:t xml:space="preserve">. </w:t>
      </w:r>
      <w:r w:rsidR="009C5766">
        <w:t xml:space="preserve">In line with the </w:t>
      </w:r>
      <w:r w:rsidR="00B94D69" w:rsidRPr="00B94D69">
        <w:t>suggest</w:t>
      </w:r>
      <w:r w:rsidR="009C5766">
        <w:t>ion</w:t>
      </w:r>
      <w:r w:rsidR="00B94D69" w:rsidRPr="00B94D69">
        <w:t xml:space="preserve"> by Miles and Huberman (1994), the analysis and coding were</w:t>
      </w:r>
      <w:r w:rsidR="00F52058">
        <w:t xml:space="preserve"> started before the data collection was completed</w:t>
      </w:r>
      <w:r w:rsidR="005E0768">
        <w:t xml:space="preserve"> to allow some overlap and </w:t>
      </w:r>
      <w:r w:rsidR="007176DA">
        <w:t>the analysis to inform the data collection</w:t>
      </w:r>
      <w:r w:rsidR="00B94D69" w:rsidRPr="00B94D69">
        <w:t xml:space="preserve">. </w:t>
      </w:r>
      <w:r w:rsidR="00F2535E" w:rsidRPr="00EC4FA9">
        <w:t xml:space="preserve">The analysis was </w:t>
      </w:r>
      <w:r w:rsidR="00C122DE" w:rsidRPr="00EC4FA9">
        <w:t xml:space="preserve">performed </w:t>
      </w:r>
      <w:r w:rsidR="00F2535E" w:rsidRPr="00EC4FA9">
        <w:t xml:space="preserve">manually, as we did not see a need </w:t>
      </w:r>
      <w:r w:rsidR="007B15C5">
        <w:t>to</w:t>
      </w:r>
      <w:r w:rsidR="00F2535E" w:rsidRPr="00EC4FA9">
        <w:t xml:space="preserve"> apply software solutions.</w:t>
      </w:r>
      <w:r w:rsidR="00580838">
        <w:t xml:space="preserve"> </w:t>
      </w:r>
      <w:r w:rsidR="00C16395">
        <w:t xml:space="preserve">This was </w:t>
      </w:r>
      <w:r w:rsidR="00B77765">
        <w:t>done by reviewing all interview recordings and summaries</w:t>
      </w:r>
      <w:r w:rsidR="00263B3E">
        <w:t xml:space="preserve"> </w:t>
      </w:r>
      <w:r w:rsidR="004727AE">
        <w:t>and coding the data</w:t>
      </w:r>
      <w:r w:rsidR="00AE3B15">
        <w:t xml:space="preserve"> for so-called first-order themes</w:t>
      </w:r>
      <w:r w:rsidR="000A537D" w:rsidRPr="000A537D">
        <w:t xml:space="preserve"> (Gioia </w:t>
      </w:r>
      <w:r w:rsidR="000A537D" w:rsidRPr="00352D5E">
        <w:rPr>
          <w:i/>
          <w:iCs/>
        </w:rPr>
        <w:t>et al</w:t>
      </w:r>
      <w:r w:rsidR="000A537D" w:rsidRPr="000A537D">
        <w:t>., 2013)</w:t>
      </w:r>
      <w:r w:rsidR="00EA5FE6">
        <w:t>.</w:t>
      </w:r>
      <w:r w:rsidR="00442FDF">
        <w:t xml:space="preserve"> </w:t>
      </w:r>
    </w:p>
    <w:p w14:paraId="0692C0FB" w14:textId="59E7E50E" w:rsidR="00FE382A" w:rsidRPr="00EC4FA9" w:rsidRDefault="00FC3D4D" w:rsidP="007E1587">
      <w:r w:rsidRPr="00EC4FA9">
        <w:t xml:space="preserve">First, we structured the </w:t>
      </w:r>
      <w:r w:rsidR="00783D29" w:rsidRPr="00EC4FA9">
        <w:t xml:space="preserve">project-based </w:t>
      </w:r>
      <w:r w:rsidRPr="00EC4FA9">
        <w:t xml:space="preserve">data from the document review according to the checklist. For some topics, we could apply </w:t>
      </w:r>
      <w:r w:rsidR="007B15C5">
        <w:t>either</w:t>
      </w:r>
      <w:r w:rsidRPr="00EC4FA9">
        <w:t xml:space="preserve"> </w:t>
      </w:r>
      <w:r w:rsidR="006F234E">
        <w:t>‘</w:t>
      </w:r>
      <w:r w:rsidRPr="00EC4FA9">
        <w:t>yes/no</w:t>
      </w:r>
      <w:r w:rsidR="006F234E">
        <w:t>’</w:t>
      </w:r>
      <w:r w:rsidRPr="00EC4FA9">
        <w:t xml:space="preserve"> or other simple coding and aggregat</w:t>
      </w:r>
      <w:r w:rsidR="007B15C5">
        <w:t>e</w:t>
      </w:r>
      <w:r w:rsidRPr="00EC4FA9">
        <w:t xml:space="preserve"> the findings</w:t>
      </w:r>
      <w:r w:rsidR="00481375">
        <w:t xml:space="preserve">, including </w:t>
      </w:r>
      <w:r w:rsidR="009B01E4">
        <w:t>performing frequency analysis for</w:t>
      </w:r>
      <w:r w:rsidR="00C4660D">
        <w:t xml:space="preserve"> relevant practices. Fo</w:t>
      </w:r>
      <w:r w:rsidRPr="00EC4FA9">
        <w:t>r other</w:t>
      </w:r>
      <w:r w:rsidR="007B15C5">
        <w:t xml:space="preserve"> </w:t>
      </w:r>
      <w:r w:rsidR="0039679F">
        <w:t>issues</w:t>
      </w:r>
      <w:r w:rsidR="00703577">
        <w:t>,</w:t>
      </w:r>
      <w:r w:rsidRPr="00EC4FA9">
        <w:t xml:space="preserve"> the data </w:t>
      </w:r>
      <w:r w:rsidR="007B15C5">
        <w:t>were</w:t>
      </w:r>
      <w:r w:rsidRPr="00EC4FA9">
        <w:t xml:space="preserve"> purely qualitative</w:t>
      </w:r>
      <w:r w:rsidR="00553BD6">
        <w:t>,</w:t>
      </w:r>
      <w:r w:rsidR="00E31924">
        <w:t xml:space="preserve"> and</w:t>
      </w:r>
      <w:r w:rsidR="00322155">
        <w:t xml:space="preserve"> findings had to be extracted from </w:t>
      </w:r>
      <w:r w:rsidR="006F59C7">
        <w:t>comparing and contrasting statements from reports</w:t>
      </w:r>
      <w:r w:rsidRPr="00EC4FA9">
        <w:t xml:space="preserve">. </w:t>
      </w:r>
      <w:r w:rsidR="00F2535E" w:rsidRPr="00EC4FA9">
        <w:t>Then</w:t>
      </w:r>
      <w:r w:rsidR="0039679F">
        <w:t>,</w:t>
      </w:r>
      <w:r w:rsidR="00F2535E" w:rsidRPr="00EC4FA9">
        <w:t xml:space="preserve"> we added the</w:t>
      </w:r>
      <w:r w:rsidR="00FE382A" w:rsidRPr="00EC4FA9">
        <w:t xml:space="preserve"> interview data</w:t>
      </w:r>
      <w:r w:rsidR="00C122DE" w:rsidRPr="00EC4FA9">
        <w:t>, bringing</w:t>
      </w:r>
      <w:r w:rsidR="00FE382A" w:rsidRPr="00EC4FA9">
        <w:t xml:space="preserve"> more depth and explanation to the document review findings. This</w:t>
      </w:r>
      <w:r w:rsidR="00F2535E" w:rsidRPr="00EC4FA9">
        <w:t xml:space="preserve"> </w:t>
      </w:r>
      <w:r w:rsidR="00D02915" w:rsidRPr="00EC4FA9">
        <w:t>resulted in</w:t>
      </w:r>
      <w:r w:rsidR="00F2535E" w:rsidRPr="00EC4FA9">
        <w:t xml:space="preserve"> a new iteration of our qualitative analysis based on both </w:t>
      </w:r>
      <w:r w:rsidR="00C122DE" w:rsidRPr="00EC4FA9">
        <w:t>data types, where</w:t>
      </w:r>
      <w:r w:rsidR="00F2535E" w:rsidRPr="00EC4FA9">
        <w:t xml:space="preserve"> themes and codes were reviewed and refined again. </w:t>
      </w:r>
      <w:r w:rsidR="000547BB" w:rsidRPr="000547BB">
        <w:t xml:space="preserve">In the results section, we </w:t>
      </w:r>
      <w:r w:rsidR="000547BB">
        <w:t xml:space="preserve">have </w:t>
      </w:r>
      <w:r w:rsidR="00C4644F">
        <w:t xml:space="preserve">included </w:t>
      </w:r>
      <w:r w:rsidR="000547BB" w:rsidRPr="000547BB">
        <w:t>quotations from the interviews</w:t>
      </w:r>
      <w:r w:rsidR="00677F67">
        <w:t xml:space="preserve">. This has been a deliberate choice to </w:t>
      </w:r>
      <w:r w:rsidR="000547BB" w:rsidRPr="000547BB">
        <w:t xml:space="preserve">illustrate key findings in an effort to improve the transparency of our analyses (Silverman, 2021). </w:t>
      </w:r>
      <w:r w:rsidR="006B4C62">
        <w:t xml:space="preserve">With the interviews being conducted in Norwegian, </w:t>
      </w:r>
      <w:r w:rsidR="00AB6F1C">
        <w:t xml:space="preserve">the quotations were translated and </w:t>
      </w:r>
      <w:r w:rsidR="000547BB" w:rsidRPr="000547BB">
        <w:t>lightly edited</w:t>
      </w:r>
      <w:r w:rsidR="00B85365">
        <w:t xml:space="preserve"> to capture the main points</w:t>
      </w:r>
      <w:r w:rsidR="000547BB" w:rsidRPr="000547BB">
        <w:t xml:space="preserve">, </w:t>
      </w:r>
      <w:r w:rsidR="007208D1">
        <w:t xml:space="preserve">but </w:t>
      </w:r>
      <w:r w:rsidR="000547BB" w:rsidRPr="000547BB">
        <w:t>the core message of the quotations remain</w:t>
      </w:r>
      <w:r w:rsidR="005E6179">
        <w:t>s</w:t>
      </w:r>
      <w:r w:rsidR="000547BB" w:rsidRPr="000547BB">
        <w:t xml:space="preserve"> unchanged.</w:t>
      </w:r>
    </w:p>
    <w:p w14:paraId="247661D8" w14:textId="5C2D65A4" w:rsidR="00C4542D" w:rsidRPr="006C4B65" w:rsidRDefault="00C4542D" w:rsidP="007E1587">
      <w:pPr>
        <w:rPr>
          <w:b/>
          <w:bCs/>
        </w:rPr>
      </w:pPr>
      <w:r w:rsidRPr="006C4B65">
        <w:rPr>
          <w:b/>
          <w:bCs/>
        </w:rPr>
        <w:t>Reference group quality control</w:t>
      </w:r>
    </w:p>
    <w:p w14:paraId="56DB5092" w14:textId="304B24FA" w:rsidR="00D02915" w:rsidRPr="00EC4FA9" w:rsidRDefault="00373340" w:rsidP="007E1587">
      <w:r w:rsidRPr="00EC4FA9">
        <w:t>A study reference group</w:t>
      </w:r>
      <w:r w:rsidR="00F2535E" w:rsidRPr="00EC4FA9">
        <w:t xml:space="preserve">, </w:t>
      </w:r>
      <w:r w:rsidR="00C122DE" w:rsidRPr="00EC4FA9">
        <w:t>comprising</w:t>
      </w:r>
      <w:r w:rsidR="00F2535E" w:rsidRPr="00EC4FA9">
        <w:t xml:space="preserve"> </w:t>
      </w:r>
      <w:r w:rsidRPr="00EC4FA9">
        <w:t>six individuals from different sectors</w:t>
      </w:r>
      <w:r w:rsidR="00F2535E" w:rsidRPr="00EC4FA9">
        <w:t xml:space="preserve"> who</w:t>
      </w:r>
      <w:r w:rsidRPr="00EC4FA9">
        <w:t xml:space="preserve"> were particularly experienced in conceptual appraisals, was established to follow the study. </w:t>
      </w:r>
      <w:r w:rsidR="00F2535E" w:rsidRPr="00EC4FA9">
        <w:t xml:space="preserve">As part of </w:t>
      </w:r>
      <w:r w:rsidR="00462BD8" w:rsidRPr="00EC4FA9">
        <w:t>step 3</w:t>
      </w:r>
      <w:r w:rsidR="00C122DE" w:rsidRPr="00EC4FA9">
        <w:t>,</w:t>
      </w:r>
      <w:r w:rsidR="00F2535E" w:rsidRPr="00EC4FA9">
        <w:t xml:space="preserve"> </w:t>
      </w:r>
      <w:r w:rsidR="00462BD8" w:rsidRPr="00EC4FA9">
        <w:t>w</w:t>
      </w:r>
      <w:r w:rsidRPr="00EC4FA9">
        <w:t xml:space="preserve">e presented </w:t>
      </w:r>
      <w:r w:rsidR="00462BD8" w:rsidRPr="00EC4FA9">
        <w:t xml:space="preserve">our </w:t>
      </w:r>
      <w:r w:rsidR="00F2535E" w:rsidRPr="00EC4FA9">
        <w:t xml:space="preserve">combined </w:t>
      </w:r>
      <w:r w:rsidR="00462BD8" w:rsidRPr="00EC4FA9">
        <w:t>findings and preliminary conclusions to</w:t>
      </w:r>
      <w:r w:rsidRPr="00EC4FA9">
        <w:t xml:space="preserve"> th</w:t>
      </w:r>
      <w:r w:rsidR="007B15C5">
        <w:t>at</w:t>
      </w:r>
      <w:r w:rsidRPr="00EC4FA9">
        <w:t xml:space="preserve"> group</w:t>
      </w:r>
      <w:r w:rsidR="00CB1724">
        <w:t>. We had</w:t>
      </w:r>
      <w:r w:rsidRPr="00EC4FA9">
        <w:t xml:space="preserve"> a fruitful discussion </w:t>
      </w:r>
      <w:r w:rsidR="007B15C5">
        <w:t>with the group members</w:t>
      </w:r>
      <w:r w:rsidR="00CB1724">
        <w:t>,</w:t>
      </w:r>
      <w:r w:rsidR="007B15C5">
        <w:t xml:space="preserve"> during which</w:t>
      </w:r>
      <w:r w:rsidR="00462BD8" w:rsidRPr="00EC4FA9">
        <w:t xml:space="preserve"> we received their views and comments</w:t>
      </w:r>
      <w:r w:rsidRPr="00EC4FA9">
        <w:t>.</w:t>
      </w:r>
    </w:p>
    <w:p w14:paraId="01B8FE6D" w14:textId="3106856D" w:rsidR="00D02915" w:rsidRPr="00EC4FA9" w:rsidRDefault="00031E38" w:rsidP="007E1587">
      <w:bookmarkStart w:id="14" w:name="_Hlk142770287"/>
      <w:bookmarkStart w:id="15" w:name="_Hlk142770308"/>
      <w:r w:rsidRPr="003F7346">
        <w:t xml:space="preserve">We ended up with the following structure for </w:t>
      </w:r>
      <w:r w:rsidR="00D02915" w:rsidRPr="003F7346">
        <w:t>the findings</w:t>
      </w:r>
      <w:r w:rsidRPr="003F7346">
        <w:t xml:space="preserve"> </w:t>
      </w:r>
      <w:r w:rsidR="003F7346">
        <w:t>presented</w:t>
      </w:r>
      <w:r w:rsidRPr="003F7346">
        <w:t xml:space="preserve"> in </w:t>
      </w:r>
      <w:r w:rsidR="003F7346">
        <w:t>Section 4</w:t>
      </w:r>
      <w:r w:rsidR="00C122DE" w:rsidRPr="003F7346">
        <w:t>.</w:t>
      </w:r>
      <w:r w:rsidRPr="00EC4FA9" w:rsidDel="00031E38">
        <w:t xml:space="preserve"> </w:t>
      </w:r>
    </w:p>
    <w:p w14:paraId="12CFA812" w14:textId="62397A11" w:rsidR="007E1587" w:rsidRPr="00EC4FA9" w:rsidRDefault="007E1587" w:rsidP="007E1587">
      <w:pPr>
        <w:pStyle w:val="ListParagraph"/>
        <w:numPr>
          <w:ilvl w:val="0"/>
          <w:numId w:val="2"/>
        </w:numPr>
      </w:pPr>
      <w:r w:rsidRPr="00EC4FA9">
        <w:rPr>
          <w:b/>
          <w:bCs/>
        </w:rPr>
        <w:t xml:space="preserve">The role and content of </w:t>
      </w:r>
      <w:r w:rsidR="00783D29" w:rsidRPr="00EC4FA9">
        <w:rPr>
          <w:b/>
          <w:bCs/>
        </w:rPr>
        <w:t xml:space="preserve">the </w:t>
      </w:r>
      <w:r w:rsidRPr="00EC4FA9">
        <w:rPr>
          <w:b/>
          <w:bCs/>
          <w:i/>
          <w:iCs/>
        </w:rPr>
        <w:t>do</w:t>
      </w:r>
      <w:r w:rsidR="003F7346">
        <w:rPr>
          <w:b/>
          <w:bCs/>
          <w:i/>
          <w:iCs/>
        </w:rPr>
        <w:t>-</w:t>
      </w:r>
      <w:r w:rsidRPr="00EC4FA9">
        <w:rPr>
          <w:b/>
          <w:bCs/>
          <w:i/>
          <w:iCs/>
        </w:rPr>
        <w:t xml:space="preserve">nothing </w:t>
      </w:r>
      <w:r w:rsidRPr="00EC4FA9">
        <w:rPr>
          <w:b/>
          <w:bCs/>
        </w:rPr>
        <w:t xml:space="preserve">and </w:t>
      </w:r>
      <w:r w:rsidRPr="00EC4FA9">
        <w:rPr>
          <w:b/>
          <w:bCs/>
          <w:i/>
          <w:iCs/>
        </w:rPr>
        <w:t>do</w:t>
      </w:r>
      <w:r w:rsidR="003F7346">
        <w:rPr>
          <w:b/>
          <w:bCs/>
          <w:i/>
          <w:iCs/>
        </w:rPr>
        <w:t>-</w:t>
      </w:r>
      <w:r w:rsidRPr="00EC4FA9">
        <w:rPr>
          <w:b/>
          <w:bCs/>
          <w:i/>
          <w:iCs/>
        </w:rPr>
        <w:t>minimum</w:t>
      </w:r>
      <w:r w:rsidR="00783D29" w:rsidRPr="00EC4FA9">
        <w:rPr>
          <w:b/>
          <w:bCs/>
          <w:i/>
          <w:iCs/>
        </w:rPr>
        <w:t xml:space="preserve"> </w:t>
      </w:r>
      <w:r w:rsidR="00783D29" w:rsidRPr="00EC4FA9">
        <w:rPr>
          <w:b/>
          <w:bCs/>
        </w:rPr>
        <w:t>analysis in appraisal.</w:t>
      </w:r>
      <w:r w:rsidRPr="00EC4FA9">
        <w:t xml:space="preserve"> </w:t>
      </w:r>
      <w:r w:rsidR="00783D29" w:rsidRPr="00EC4FA9">
        <w:t>Including h</w:t>
      </w:r>
      <w:r w:rsidRPr="00EC4FA9">
        <w:t>ow the base</w:t>
      </w:r>
      <w:r w:rsidR="00D02915" w:rsidRPr="00EC4FA9">
        <w:t>line</w:t>
      </w:r>
      <w:r w:rsidRPr="00EC4FA9">
        <w:t xml:space="preserve"> is </w:t>
      </w:r>
      <w:r w:rsidR="00783D29" w:rsidRPr="00EC4FA9">
        <w:t xml:space="preserve">defined (scope, content), </w:t>
      </w:r>
      <w:r w:rsidRPr="00EC4FA9">
        <w:t xml:space="preserve">its role in the analysis, and whether the appraisal includes </w:t>
      </w:r>
      <w:r w:rsidR="003F7346">
        <w:t xml:space="preserve">a </w:t>
      </w:r>
      <w:r w:rsidRPr="00EC4FA9">
        <w:rPr>
          <w:i/>
          <w:iCs/>
        </w:rPr>
        <w:t>do</w:t>
      </w:r>
      <w:r w:rsidR="00F60CF3">
        <w:rPr>
          <w:i/>
          <w:iCs/>
        </w:rPr>
        <w:t>-</w:t>
      </w:r>
      <w:r w:rsidRPr="00EC4FA9">
        <w:rPr>
          <w:i/>
          <w:iCs/>
        </w:rPr>
        <w:t>minimum</w:t>
      </w:r>
      <w:r w:rsidRPr="00EC4FA9">
        <w:t xml:space="preserve"> or other low-cost alternatives.</w:t>
      </w:r>
    </w:p>
    <w:p w14:paraId="436F82B2" w14:textId="520CC55A" w:rsidR="007E1587" w:rsidRPr="00EC4FA9" w:rsidRDefault="00031E38" w:rsidP="007E1587">
      <w:pPr>
        <w:pStyle w:val="ListParagraph"/>
        <w:numPr>
          <w:ilvl w:val="0"/>
          <w:numId w:val="2"/>
        </w:numPr>
      </w:pPr>
      <w:r w:rsidRPr="00EC4FA9">
        <w:rPr>
          <w:b/>
          <w:bCs/>
        </w:rPr>
        <w:t>R</w:t>
      </w:r>
      <w:r w:rsidR="007E1587" w:rsidRPr="00EC4FA9">
        <w:rPr>
          <w:b/>
          <w:bCs/>
        </w:rPr>
        <w:t>ealis</w:t>
      </w:r>
      <w:r w:rsidRPr="00EC4FA9">
        <w:rPr>
          <w:b/>
          <w:bCs/>
        </w:rPr>
        <w:t>m</w:t>
      </w:r>
      <w:r w:rsidR="007E1587" w:rsidRPr="00EC4FA9">
        <w:rPr>
          <w:b/>
          <w:bCs/>
        </w:rPr>
        <w:t xml:space="preserve"> and sustainab</w:t>
      </w:r>
      <w:r w:rsidRPr="00EC4FA9">
        <w:rPr>
          <w:b/>
          <w:bCs/>
        </w:rPr>
        <w:t xml:space="preserve">ility </w:t>
      </w:r>
      <w:r w:rsidR="00FC3D4D" w:rsidRPr="00EC4FA9">
        <w:rPr>
          <w:b/>
          <w:bCs/>
        </w:rPr>
        <w:t xml:space="preserve">for </w:t>
      </w:r>
      <w:r w:rsidR="007E1587" w:rsidRPr="00EC4FA9">
        <w:rPr>
          <w:b/>
          <w:bCs/>
        </w:rPr>
        <w:t xml:space="preserve">the </w:t>
      </w:r>
      <w:r w:rsidR="007E1587" w:rsidRPr="00EC4FA9">
        <w:rPr>
          <w:b/>
          <w:bCs/>
          <w:i/>
          <w:iCs/>
        </w:rPr>
        <w:t xml:space="preserve">do-nothing </w:t>
      </w:r>
      <w:r w:rsidR="007E1587" w:rsidRPr="00EC4FA9">
        <w:rPr>
          <w:b/>
          <w:bCs/>
        </w:rPr>
        <w:t>alternative</w:t>
      </w:r>
      <w:r w:rsidRPr="00EC4FA9">
        <w:rPr>
          <w:b/>
          <w:bCs/>
        </w:rPr>
        <w:t>.</w:t>
      </w:r>
      <w:r w:rsidR="007E1587" w:rsidRPr="00EC4FA9">
        <w:t xml:space="preserve"> </w:t>
      </w:r>
      <w:r w:rsidR="00D02915" w:rsidRPr="00EC4FA9">
        <w:t>T</w:t>
      </w:r>
      <w:r w:rsidR="00783D29" w:rsidRPr="00EC4FA9">
        <w:t>o what extent</w:t>
      </w:r>
      <w:r w:rsidR="007E1587" w:rsidRPr="00EC4FA9">
        <w:t xml:space="preserve"> </w:t>
      </w:r>
      <w:r w:rsidR="007E1587" w:rsidRPr="00EC4FA9">
        <w:rPr>
          <w:i/>
          <w:iCs/>
        </w:rPr>
        <w:t>do</w:t>
      </w:r>
      <w:r w:rsidR="00F60CF3">
        <w:rPr>
          <w:i/>
          <w:iCs/>
        </w:rPr>
        <w:t>-</w:t>
      </w:r>
      <w:r w:rsidR="007E1587" w:rsidRPr="00EC4FA9">
        <w:rPr>
          <w:i/>
          <w:iCs/>
        </w:rPr>
        <w:t>nothing</w:t>
      </w:r>
      <w:r w:rsidR="007E1587" w:rsidRPr="00EC4FA9">
        <w:t xml:space="preserve"> is </w:t>
      </w:r>
      <w:r w:rsidR="00783D29" w:rsidRPr="00EC4FA9">
        <w:t xml:space="preserve">seen as </w:t>
      </w:r>
      <w:r w:rsidR="007E1587" w:rsidRPr="00EC4FA9">
        <w:t>acceptable (i.e.</w:t>
      </w:r>
      <w:r w:rsidR="00822581">
        <w:t>,</w:t>
      </w:r>
      <w:r w:rsidR="007E1587" w:rsidRPr="00EC4FA9">
        <w:t xml:space="preserve"> something that society could live with) and for how long.</w:t>
      </w:r>
    </w:p>
    <w:p w14:paraId="27F5BD6F" w14:textId="319D9C8E" w:rsidR="007E1587" w:rsidRPr="00EC4FA9" w:rsidRDefault="007E1587" w:rsidP="007E1587">
      <w:pPr>
        <w:pStyle w:val="ListParagraph"/>
        <w:numPr>
          <w:ilvl w:val="0"/>
          <w:numId w:val="2"/>
        </w:numPr>
      </w:pPr>
      <w:r w:rsidRPr="00EC4FA9">
        <w:rPr>
          <w:b/>
          <w:bCs/>
        </w:rPr>
        <w:t>Presentation and analysis</w:t>
      </w:r>
      <w:r w:rsidR="00783D29" w:rsidRPr="00EC4FA9">
        <w:rPr>
          <w:b/>
          <w:bCs/>
        </w:rPr>
        <w:t>.</w:t>
      </w:r>
      <w:r w:rsidRPr="00EC4FA9">
        <w:t xml:space="preserve"> </w:t>
      </w:r>
      <w:r w:rsidR="00783D29" w:rsidRPr="00EC4FA9">
        <w:t>H</w:t>
      </w:r>
      <w:r w:rsidRPr="00EC4FA9">
        <w:t xml:space="preserve">ow the </w:t>
      </w:r>
      <w:r w:rsidRPr="00EC4FA9">
        <w:rPr>
          <w:i/>
          <w:iCs/>
        </w:rPr>
        <w:t>do-nothing</w:t>
      </w:r>
      <w:r w:rsidRPr="00EC4FA9">
        <w:t xml:space="preserve"> and </w:t>
      </w:r>
      <w:r w:rsidRPr="00EC4FA9">
        <w:rPr>
          <w:i/>
          <w:iCs/>
        </w:rPr>
        <w:t xml:space="preserve">do-minimum </w:t>
      </w:r>
      <w:r w:rsidRPr="00EC4FA9">
        <w:t xml:space="preserve">alternatives </w:t>
      </w:r>
      <w:r w:rsidR="004611F4">
        <w:t>a</w:t>
      </w:r>
      <w:r w:rsidRPr="00EC4FA9">
        <w:t xml:space="preserve">re </w:t>
      </w:r>
      <w:r w:rsidR="00783D29" w:rsidRPr="00EC4FA9">
        <w:t>presented</w:t>
      </w:r>
      <w:r w:rsidR="00CB1724">
        <w:t>,</w:t>
      </w:r>
      <w:r w:rsidR="00783D29" w:rsidRPr="00EC4FA9">
        <w:t xml:space="preserve"> </w:t>
      </w:r>
      <w:r w:rsidRPr="00EC4FA9">
        <w:t xml:space="preserve">and how transparent the analyses </w:t>
      </w:r>
      <w:r w:rsidR="004611F4">
        <w:t>a</w:t>
      </w:r>
      <w:r w:rsidRPr="00EC4FA9">
        <w:t>re.</w:t>
      </w:r>
    </w:p>
    <w:p w14:paraId="303D7195" w14:textId="3915E5A5" w:rsidR="00534914" w:rsidRPr="00EC4FA9" w:rsidRDefault="007E1587" w:rsidP="008A37F8">
      <w:pPr>
        <w:pStyle w:val="ListParagraph"/>
        <w:numPr>
          <w:ilvl w:val="0"/>
          <w:numId w:val="2"/>
        </w:numPr>
      </w:pPr>
      <w:r w:rsidRPr="00EC4FA9">
        <w:rPr>
          <w:b/>
          <w:bCs/>
        </w:rPr>
        <w:lastRenderedPageBreak/>
        <w:t>Decisions</w:t>
      </w:r>
      <w:r w:rsidR="00F76D0A" w:rsidRPr="00EC4FA9">
        <w:rPr>
          <w:b/>
          <w:bCs/>
        </w:rPr>
        <w:t>.</w:t>
      </w:r>
      <w:r w:rsidRPr="00EC4FA9">
        <w:t xml:space="preserve"> The extent to which appraisals recommend the </w:t>
      </w:r>
      <w:r w:rsidRPr="00EC4FA9">
        <w:rPr>
          <w:i/>
          <w:iCs/>
        </w:rPr>
        <w:t>do-nothing</w:t>
      </w:r>
      <w:r w:rsidRPr="00EC4FA9">
        <w:t xml:space="preserve"> or </w:t>
      </w:r>
      <w:r w:rsidRPr="00EC4FA9">
        <w:rPr>
          <w:i/>
          <w:iCs/>
        </w:rPr>
        <w:t xml:space="preserve">do-minimum </w:t>
      </w:r>
      <w:r w:rsidRPr="00EC4FA9">
        <w:t>alternative and whether decision-makers ever select them.</w:t>
      </w:r>
      <w:bookmarkEnd w:id="14"/>
    </w:p>
    <w:bookmarkEnd w:id="15"/>
    <w:p w14:paraId="1F28185B" w14:textId="33CAF60C" w:rsidR="00534914" w:rsidRPr="00EC4FA9" w:rsidRDefault="00534914" w:rsidP="00DF4942">
      <w:pPr>
        <w:pStyle w:val="Heading3"/>
      </w:pPr>
      <w:r w:rsidRPr="00EC4FA9">
        <w:t>Limitations</w:t>
      </w:r>
      <w:r w:rsidR="0078069B" w:rsidRPr="00EC4FA9">
        <w:t xml:space="preserve"> and quality of the research</w:t>
      </w:r>
    </w:p>
    <w:p w14:paraId="7477EBFE" w14:textId="0996BB41" w:rsidR="00D02915" w:rsidRPr="00EC4FA9" w:rsidRDefault="008A37F8" w:rsidP="008A37F8">
      <w:r w:rsidRPr="00EC4FA9">
        <w:t>The study ha</w:t>
      </w:r>
      <w:r w:rsidR="009475EE">
        <w:t>s</w:t>
      </w:r>
      <w:r w:rsidRPr="00EC4FA9">
        <w:t xml:space="preserve"> some limitations. We used a relatively broad selection of projects</w:t>
      </w:r>
      <w:r w:rsidR="00D96CB7" w:rsidRPr="00EC4FA9">
        <w:t xml:space="preserve"> covering</w:t>
      </w:r>
      <w:r w:rsidRPr="00EC4FA9">
        <w:t xml:space="preserve"> many sectors and project types</w:t>
      </w:r>
      <w:r w:rsidR="00F76D0A" w:rsidRPr="00EC4FA9">
        <w:t>.</w:t>
      </w:r>
      <w:r w:rsidRPr="00EC4FA9">
        <w:t xml:space="preserve"> </w:t>
      </w:r>
      <w:r w:rsidR="005448CB">
        <w:t>T</w:t>
      </w:r>
      <w:r w:rsidR="00B105AC" w:rsidRPr="00EC4FA9">
        <w:t xml:space="preserve">he number of projects per sector varied considerably, </w:t>
      </w:r>
      <w:r w:rsidR="00D02915" w:rsidRPr="00EC4FA9">
        <w:t>with few projects for some sectors</w:t>
      </w:r>
      <w:r w:rsidR="00A40ECD">
        <w:t>;</w:t>
      </w:r>
      <w:r w:rsidR="003F7346">
        <w:t xml:space="preserve"> and hence</w:t>
      </w:r>
      <w:r w:rsidR="00CB1724">
        <w:t>,</w:t>
      </w:r>
      <w:r w:rsidR="00F76D0A" w:rsidRPr="00EC4FA9">
        <w:t xml:space="preserve"> </w:t>
      </w:r>
      <w:r w:rsidR="00B105AC" w:rsidRPr="00EC4FA9">
        <w:t xml:space="preserve">we </w:t>
      </w:r>
      <w:r w:rsidR="00C122DE" w:rsidRPr="00EC4FA9">
        <w:t>could not</w:t>
      </w:r>
      <w:r w:rsidR="00B105AC" w:rsidRPr="00EC4FA9">
        <w:t xml:space="preserve"> present generali</w:t>
      </w:r>
      <w:r w:rsidR="00C122DE" w:rsidRPr="00EC4FA9">
        <w:t>s</w:t>
      </w:r>
      <w:r w:rsidR="00B105AC" w:rsidRPr="00EC4FA9">
        <w:t>able results for sectoral variations</w:t>
      </w:r>
      <w:r w:rsidR="003F7346">
        <w:t>.</w:t>
      </w:r>
      <w:r w:rsidR="00B105AC" w:rsidRPr="00EC4FA9">
        <w:t xml:space="preserve"> </w:t>
      </w:r>
      <w:r w:rsidRPr="00EC4FA9">
        <w:t>The projects also span</w:t>
      </w:r>
      <w:r w:rsidR="007868A5" w:rsidRPr="00EC4FA9">
        <w:t>ned</w:t>
      </w:r>
      <w:r w:rsidRPr="00EC4FA9">
        <w:t xml:space="preserve"> a </w:t>
      </w:r>
      <w:r w:rsidR="00C122DE" w:rsidRPr="00EC4FA9">
        <w:t xml:space="preserve">relatively </w:t>
      </w:r>
      <w:r w:rsidRPr="00EC4FA9">
        <w:t>long time</w:t>
      </w:r>
      <w:r w:rsidR="006F0222" w:rsidRPr="00EC4FA9">
        <w:t xml:space="preserve"> </w:t>
      </w:r>
      <w:r w:rsidRPr="00EC4FA9">
        <w:t>(</w:t>
      </w:r>
      <w:r w:rsidR="00B105AC" w:rsidRPr="00EC4FA9">
        <w:t xml:space="preserve">conceptual appraisals conducted between </w:t>
      </w:r>
      <w:r w:rsidRPr="00EC4FA9">
        <w:t>200</w:t>
      </w:r>
      <w:r w:rsidR="00067B14" w:rsidRPr="00EC4FA9">
        <w:t>5</w:t>
      </w:r>
      <w:r w:rsidR="003F7346">
        <w:t xml:space="preserve"> and </w:t>
      </w:r>
      <w:r w:rsidRPr="00EC4FA9">
        <w:t>202</w:t>
      </w:r>
      <w:r w:rsidR="00067B14" w:rsidRPr="00EC4FA9">
        <w:t>2</w:t>
      </w:r>
      <w:r w:rsidRPr="00EC4FA9">
        <w:t>)</w:t>
      </w:r>
      <w:r w:rsidR="00D96CB7" w:rsidRPr="00EC4FA9">
        <w:t>,</w:t>
      </w:r>
      <w:r w:rsidRPr="00EC4FA9">
        <w:t xml:space="preserve"> </w:t>
      </w:r>
      <w:r w:rsidR="00F76D0A" w:rsidRPr="00EC4FA9">
        <w:t>with</w:t>
      </w:r>
      <w:r w:rsidRPr="00EC4FA9">
        <w:t xml:space="preserve"> </w:t>
      </w:r>
      <w:r w:rsidR="00F76D0A" w:rsidRPr="00EC4FA9">
        <w:t xml:space="preserve">appraisal </w:t>
      </w:r>
      <w:r w:rsidRPr="00EC4FA9">
        <w:t>practice chang</w:t>
      </w:r>
      <w:r w:rsidR="00F76D0A" w:rsidRPr="00EC4FA9">
        <w:t>ing</w:t>
      </w:r>
      <w:r w:rsidRPr="00EC4FA9">
        <w:t xml:space="preserve"> </w:t>
      </w:r>
      <w:r w:rsidR="006947B6">
        <w:t xml:space="preserve">somewhat during </w:t>
      </w:r>
      <w:r w:rsidRPr="00EC4FA9">
        <w:t>th</w:t>
      </w:r>
      <w:r w:rsidR="007868A5" w:rsidRPr="00EC4FA9">
        <w:t>at</w:t>
      </w:r>
      <w:r w:rsidRPr="00EC4FA9">
        <w:t xml:space="preserve"> period.</w:t>
      </w:r>
      <w:r w:rsidR="00D02915" w:rsidRPr="00EC4FA9">
        <w:t xml:space="preserve"> </w:t>
      </w:r>
      <w:r w:rsidR="003F7346">
        <w:t>In our presentation of</w:t>
      </w:r>
      <w:r w:rsidR="00D02915" w:rsidRPr="00EC4FA9">
        <w:t xml:space="preserve"> the results</w:t>
      </w:r>
      <w:r w:rsidR="0068673F" w:rsidRPr="00EC4FA9">
        <w:t>,</w:t>
      </w:r>
      <w:r w:rsidR="00D02915" w:rsidRPr="00EC4FA9">
        <w:t xml:space="preserve"> we </w:t>
      </w:r>
      <w:r w:rsidR="0068673F" w:rsidRPr="00EC4FA9">
        <w:t>place somewhat more emphasis on recent practice when relevant.</w:t>
      </w:r>
    </w:p>
    <w:p w14:paraId="4EE8B7C6" w14:textId="566C8A66" w:rsidR="008A37F8" w:rsidRPr="00EC4FA9" w:rsidRDefault="008A37F8" w:rsidP="008A37F8">
      <w:r w:rsidRPr="00EC4FA9">
        <w:t xml:space="preserve">At the same time, </w:t>
      </w:r>
      <w:r w:rsidR="007868A5" w:rsidRPr="00EC4FA9">
        <w:t>our study was</w:t>
      </w:r>
      <w:r w:rsidRPr="00EC4FA9">
        <w:t xml:space="preserve"> </w:t>
      </w:r>
      <w:r w:rsidR="00C122DE" w:rsidRPr="00EC4FA9">
        <w:t>exploratory</w:t>
      </w:r>
      <w:r w:rsidR="003F7346">
        <w:t>; it focused on</w:t>
      </w:r>
      <w:r w:rsidRPr="00EC4FA9">
        <w:t xml:space="preserve"> a topic not well-covered in the literature</w:t>
      </w:r>
      <w:r w:rsidR="00C35014" w:rsidRPr="00EC4FA9">
        <w:t>. Therefore</w:t>
      </w:r>
      <w:r w:rsidR="00BA55B7" w:rsidRPr="00EC4FA9">
        <w:t>,</w:t>
      </w:r>
      <w:r w:rsidRPr="00EC4FA9">
        <w:t xml:space="preserve"> we </w:t>
      </w:r>
      <w:r w:rsidR="008C634B" w:rsidRPr="00EC4FA9">
        <w:t>explored</w:t>
      </w:r>
      <w:r w:rsidRPr="00EC4FA9">
        <w:t xml:space="preserve"> the topic broadly by including all available data. </w:t>
      </w:r>
      <w:r w:rsidR="00B105AC" w:rsidRPr="00EC4FA9">
        <w:t xml:space="preserve">We were also able to exploit triangulation of methods as well as triangulation of data, which increased the validity and reliability of results. </w:t>
      </w:r>
      <w:r w:rsidRPr="00EC4FA9">
        <w:t xml:space="preserve">Thus, despite limitations, the sum of our data from the document review and the interviews constitutes </w:t>
      </w:r>
      <w:r w:rsidR="00C35014" w:rsidRPr="00EC4FA9">
        <w:t>valuable</w:t>
      </w:r>
      <w:r w:rsidRPr="00EC4FA9">
        <w:t xml:space="preserve"> insight</w:t>
      </w:r>
      <w:r w:rsidR="003F7346">
        <w:t>s</w:t>
      </w:r>
      <w:r w:rsidRPr="00EC4FA9">
        <w:t xml:space="preserve"> and an explanation of the </w:t>
      </w:r>
      <w:r w:rsidRPr="00EC4FA9">
        <w:rPr>
          <w:i/>
          <w:iCs/>
        </w:rPr>
        <w:t>do-nothing</w:t>
      </w:r>
      <w:r w:rsidRPr="00EC4FA9">
        <w:t xml:space="preserve"> </w:t>
      </w:r>
      <w:r w:rsidR="003C02FA" w:rsidRPr="00EC4FA9">
        <w:t xml:space="preserve">and </w:t>
      </w:r>
      <w:r w:rsidR="003C02FA" w:rsidRPr="00EC4FA9">
        <w:rPr>
          <w:i/>
          <w:iCs/>
        </w:rPr>
        <w:t xml:space="preserve">do-minimum </w:t>
      </w:r>
      <w:r w:rsidR="005F0AE8" w:rsidRPr="00EC4FA9">
        <w:t>alternative</w:t>
      </w:r>
      <w:r w:rsidR="001814EC" w:rsidRPr="00EC4FA9">
        <w:t>s</w:t>
      </w:r>
      <w:r w:rsidRPr="00EC4FA9">
        <w:t xml:space="preserve"> as phenomen</w:t>
      </w:r>
      <w:r w:rsidR="007868A5" w:rsidRPr="00EC4FA9">
        <w:t>a</w:t>
      </w:r>
      <w:r w:rsidRPr="00EC4FA9">
        <w:t>.</w:t>
      </w:r>
    </w:p>
    <w:p w14:paraId="2807B591" w14:textId="02C0BE6B" w:rsidR="00996A90" w:rsidRPr="00EC4FA9" w:rsidRDefault="003F7346" w:rsidP="00996A90">
      <w:r>
        <w:t>We</w:t>
      </w:r>
      <w:r w:rsidR="00996A90" w:rsidRPr="00EC4FA9">
        <w:t xml:space="preserve"> took specific steps to ensure the validity and reliability of the findings. First, following the recommendation by </w:t>
      </w:r>
      <w:r w:rsidR="00996A90" w:rsidRPr="00EC4FA9">
        <w:fldChar w:fldCharType="begin"/>
      </w:r>
      <w:r w:rsidR="00996A90" w:rsidRPr="00EC4FA9">
        <w:instrText xml:space="preserve"> ADDIN EN.CITE &lt;EndNote&gt;&lt;Cite AuthorYear="1"&gt;&lt;Author&gt;Creswell&lt;/Author&gt;&lt;Year&gt;2009&lt;/Year&gt;&lt;RecNum&gt;7871&lt;/RecNum&gt;&lt;DisplayText&gt;Creswell, J. W. (2009)&lt;/DisplayText&gt;&lt;record&gt;&lt;rec-number&gt;7871&lt;/rec-number&gt;&lt;foreign-keys&gt;&lt;key app="EN" db-id="p95awwvxnfs9waerex4xwx22trwsfsxxxxww" timestamp="1669725491"&gt;7871&lt;/key&gt;&lt;/foreign-keys&gt;&lt;ref-type name="Book"&gt;6&lt;/ref-type&gt;&lt;contributors&gt;&lt;authors&gt;&lt;author&gt;Creswell, John W&lt;/author&gt;&lt;/authors&gt;&lt;/contributors&gt;&lt;titles&gt;&lt;title&gt;Research design: Qualitative, quantitative, and mixed methods approaches&lt;/title&gt;&lt;/titles&gt;&lt;dates&gt;&lt;year&gt;2009&lt;/year&gt;&lt;/dates&gt;&lt;publisher&gt;Sage publications&lt;/publisher&gt;&lt;isbn&gt;1506386717&lt;/isbn&gt;&lt;urls&gt;&lt;/urls&gt;&lt;/record&gt;&lt;/Cite&gt;&lt;/EndNote&gt;</w:instrText>
      </w:r>
      <w:r w:rsidR="00996A90" w:rsidRPr="00EC4FA9">
        <w:fldChar w:fldCharType="separate"/>
      </w:r>
      <w:r w:rsidR="00996A90" w:rsidRPr="00EC4FA9">
        <w:t>Creswell (2009)</w:t>
      </w:r>
      <w:r w:rsidR="00996A90" w:rsidRPr="00EC4FA9">
        <w:fldChar w:fldCharType="end"/>
      </w:r>
      <w:r w:rsidR="00996A90" w:rsidRPr="00EC4FA9">
        <w:t xml:space="preserve">, </w:t>
      </w:r>
      <w:r>
        <w:t>we</w:t>
      </w:r>
      <w:r w:rsidR="00996A90" w:rsidRPr="00EC4FA9">
        <w:t xml:space="preserve"> documented the research procedures to ensure consistency and held </w:t>
      </w:r>
      <w:r>
        <w:t>regular</w:t>
      </w:r>
      <w:r w:rsidR="00996A90" w:rsidRPr="00EC4FA9">
        <w:t xml:space="preserve"> meetings to assess the process. Moreover, </w:t>
      </w:r>
      <w:r>
        <w:t>we</w:t>
      </w:r>
      <w:r w:rsidR="00996A90" w:rsidRPr="00EC4FA9">
        <w:t xml:space="preserve"> checked the transcriptions from the interviews to avoid errors. The data were collected through converging sources (different </w:t>
      </w:r>
      <w:r w:rsidR="00C812F2">
        <w:t>informants</w:t>
      </w:r>
      <w:r w:rsidR="00996A90" w:rsidRPr="00EC4FA9">
        <w:t xml:space="preserve">) and </w:t>
      </w:r>
      <w:r>
        <w:t xml:space="preserve">were </w:t>
      </w:r>
      <w:r w:rsidR="00996A90" w:rsidRPr="00EC4FA9">
        <w:t xml:space="preserve">cross-checked </w:t>
      </w:r>
      <w:r>
        <w:t>against</w:t>
      </w:r>
      <w:r w:rsidR="00996A90" w:rsidRPr="00EC4FA9">
        <w:t xml:space="preserve"> the </w:t>
      </w:r>
      <w:r w:rsidR="00F76D0A" w:rsidRPr="00EC4FA9">
        <w:t xml:space="preserve">document review and </w:t>
      </w:r>
      <w:r w:rsidR="00996A90" w:rsidRPr="00EC4FA9">
        <w:t>theory, following a triangulation approach to ensure validity. Reliability was increased by applying multiple data collection methods</w:t>
      </w:r>
      <w:r w:rsidR="00C122DE" w:rsidRPr="00EC4FA9">
        <w:t xml:space="preserve"> and</w:t>
      </w:r>
      <w:r w:rsidR="00996A90" w:rsidRPr="00EC4FA9">
        <w:t xml:space="preserve"> developing and maintaining the database for the case study </w:t>
      </w:r>
      <w:sdt>
        <w:sdtPr>
          <w:tag w:val="MENDELEY_CITATION_v3_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"/>
          <w:id w:val="1248931485"/>
          <w:placeholder>
            <w:docPart w:val="BB4180BE97C3854DBB03C753D1B88843"/>
          </w:placeholder>
        </w:sdtPr>
        <w:sdtContent>
          <w:r w:rsidR="00996A90" w:rsidRPr="00EC4FA9">
            <w:t>(</w:t>
          </w:r>
          <w:r w:rsidR="006F234E" w:rsidRPr="00EC4FA9">
            <w:t xml:space="preserve">Ellram </w:t>
          </w:r>
          <w:r w:rsidR="006F234E" w:rsidRPr="00EC4FA9">
            <w:rPr>
              <w:i/>
              <w:iCs/>
            </w:rPr>
            <w:t>et al.</w:t>
          </w:r>
          <w:r w:rsidR="006F234E" w:rsidRPr="00EC4FA9">
            <w:t>, 2020</w:t>
          </w:r>
          <w:r w:rsidR="006F234E">
            <w:t xml:space="preserve">; </w:t>
          </w:r>
          <w:r w:rsidR="00996A90" w:rsidRPr="00EC4FA9">
            <w:t xml:space="preserve">Rasmussen </w:t>
          </w:r>
          <w:r w:rsidR="00996A90" w:rsidRPr="00EC4FA9">
            <w:rPr>
              <w:i/>
              <w:iCs/>
            </w:rPr>
            <w:t>et al.</w:t>
          </w:r>
          <w:r w:rsidR="00996A90" w:rsidRPr="00EC4FA9">
            <w:t>, 2021)</w:t>
          </w:r>
        </w:sdtContent>
      </w:sdt>
      <w:r w:rsidR="00996A90" w:rsidRPr="00EC4FA9">
        <w:t xml:space="preserve">. To increase internal validity, </w:t>
      </w:r>
      <w:r>
        <w:t>we</w:t>
      </w:r>
      <w:r w:rsidR="00996A90" w:rsidRPr="00EC4FA9">
        <w:t xml:space="preserve"> performed pattern matching and explanation building throughout the concept development </w:t>
      </w:r>
      <w:sdt>
        <w:sdtPr>
          <w:tag w:val="MENDELEY_CITATION_v3_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"/>
          <w:id w:val="-1189761363"/>
          <w:placeholder>
            <w:docPart w:val="BB4180BE97C3854DBB03C753D1B88843"/>
          </w:placeholder>
        </w:sdtPr>
        <w:sdtContent>
          <w:r w:rsidR="00996A90" w:rsidRPr="00EC4FA9">
            <w:t>(Karlsson, 2016)</w:t>
          </w:r>
        </w:sdtContent>
      </w:sdt>
      <w:r w:rsidR="00996A90" w:rsidRPr="00EC4FA9">
        <w:t xml:space="preserve">. </w:t>
      </w:r>
      <w:r w:rsidR="00C122DE" w:rsidRPr="00EC4FA9">
        <w:t xml:space="preserve">Discussions with experts from multiple </w:t>
      </w:r>
      <w:r w:rsidR="00F76D0A" w:rsidRPr="00EC4FA9">
        <w:t>sectors</w:t>
      </w:r>
      <w:r w:rsidR="00C122DE" w:rsidRPr="00EC4FA9">
        <w:t xml:space="preserve"> increased </w:t>
      </w:r>
      <w:r w:rsidR="00130A86" w:rsidRPr="00EC4FA9">
        <w:t xml:space="preserve">the study’s </w:t>
      </w:r>
      <w:r w:rsidR="00C122DE" w:rsidRPr="00EC4FA9">
        <w:t>external validity</w:t>
      </w:r>
      <w:r w:rsidR="00996A90" w:rsidRPr="00EC4FA9">
        <w:t>.</w:t>
      </w:r>
    </w:p>
    <w:bookmarkEnd w:id="5"/>
    <w:bookmarkEnd w:id="8"/>
    <w:p w14:paraId="3DD2548E" w14:textId="093E7C63" w:rsidR="00DB1CE5" w:rsidRPr="00EC4FA9" w:rsidRDefault="00DB1CE5" w:rsidP="000D5899">
      <w:pPr>
        <w:pStyle w:val="Heading2"/>
      </w:pPr>
      <w:r w:rsidRPr="00EC4FA9">
        <w:t>Results</w:t>
      </w:r>
    </w:p>
    <w:p w14:paraId="20D221A1" w14:textId="3BD1716F" w:rsidR="001344AD" w:rsidRPr="00EC4FA9" w:rsidRDefault="00E52F55">
      <w:pPr>
        <w:pStyle w:val="Heading3"/>
        <w:rPr>
          <w:rFonts w:eastAsia="Times New Roman"/>
        </w:rPr>
      </w:pPr>
      <w:bookmarkStart w:id="16" w:name="_Hlk142993460"/>
      <w:r w:rsidRPr="00EC4FA9">
        <w:rPr>
          <w:rFonts w:eastAsia="Times New Roman"/>
        </w:rPr>
        <w:t>The role and c</w:t>
      </w:r>
      <w:r w:rsidR="001344AD" w:rsidRPr="00EC4FA9">
        <w:rPr>
          <w:rFonts w:eastAsia="Times New Roman"/>
        </w:rPr>
        <w:t xml:space="preserve">ontent of the </w:t>
      </w:r>
      <w:r w:rsidR="001344AD" w:rsidRPr="00EC4FA9">
        <w:rPr>
          <w:rFonts w:eastAsia="Times New Roman"/>
          <w:i/>
          <w:iCs/>
        </w:rPr>
        <w:t>do-nothing</w:t>
      </w:r>
      <w:r w:rsidR="001344AD" w:rsidRPr="00EC4FA9">
        <w:rPr>
          <w:rFonts w:eastAsia="Times New Roman"/>
        </w:rPr>
        <w:t xml:space="preserve"> </w:t>
      </w:r>
      <w:r w:rsidR="00107FBD" w:rsidRPr="00EC4FA9">
        <w:rPr>
          <w:rFonts w:eastAsia="Times New Roman"/>
        </w:rPr>
        <w:t xml:space="preserve">and </w:t>
      </w:r>
      <w:r w:rsidR="00107FBD" w:rsidRPr="00EC4FA9">
        <w:rPr>
          <w:rFonts w:eastAsia="Times New Roman"/>
          <w:i/>
          <w:iCs/>
        </w:rPr>
        <w:t>do-minimum</w:t>
      </w:r>
      <w:r w:rsidR="00107FBD" w:rsidRPr="00EC4FA9">
        <w:rPr>
          <w:rFonts w:eastAsia="Times New Roman"/>
        </w:rPr>
        <w:t xml:space="preserve"> </w:t>
      </w:r>
      <w:r w:rsidR="005F0AE8" w:rsidRPr="00EC4FA9">
        <w:rPr>
          <w:rFonts w:eastAsia="Times New Roman"/>
        </w:rPr>
        <w:t>alternatives</w:t>
      </w:r>
    </w:p>
    <w:p w14:paraId="3B86B042" w14:textId="77777777" w:rsidR="00914888" w:rsidRDefault="00914888" w:rsidP="00914888">
      <w:pPr>
        <w:spacing w:before="120" w:after="120"/>
        <w:rPr>
          <w:b/>
          <w:bCs/>
        </w:rPr>
      </w:pPr>
      <w:bookmarkStart w:id="17" w:name="OLE_LINK15"/>
      <w:bookmarkEnd w:id="16"/>
      <w:r>
        <w:rPr>
          <w:b/>
          <w:bCs/>
        </w:rPr>
        <w:t>Terminology</w:t>
      </w:r>
    </w:p>
    <w:p w14:paraId="7AA3D397" w14:textId="1B4B8DDE" w:rsidR="00A412E8" w:rsidRDefault="0051512C" w:rsidP="00914888">
      <w:pPr>
        <w:spacing w:before="120" w:after="120"/>
      </w:pPr>
      <w:r>
        <w:t xml:space="preserve">The document review showed that </w:t>
      </w:r>
      <w:r w:rsidR="008859B3">
        <w:t>the vast majority of</w:t>
      </w:r>
      <w:r w:rsidR="004C7A66">
        <w:t xml:space="preserve"> appraisals use</w:t>
      </w:r>
      <w:r w:rsidR="004C7A66" w:rsidRPr="004C7A66">
        <w:t xml:space="preserve"> </w:t>
      </w:r>
      <w:r w:rsidR="004C7A66">
        <w:t xml:space="preserve">the term </w:t>
      </w:r>
      <w:r w:rsidR="004C7A66">
        <w:rPr>
          <w:i/>
          <w:iCs/>
        </w:rPr>
        <w:t>do</w:t>
      </w:r>
      <w:r w:rsidR="001E423B">
        <w:rPr>
          <w:i/>
          <w:iCs/>
        </w:rPr>
        <w:t>-</w:t>
      </w:r>
      <w:r w:rsidR="004C7A66">
        <w:rPr>
          <w:i/>
          <w:iCs/>
        </w:rPr>
        <w:t>nothing</w:t>
      </w:r>
      <w:r w:rsidR="004C7A66">
        <w:t xml:space="preserve"> or variants of this term</w:t>
      </w:r>
      <w:r w:rsidR="007C0E8F">
        <w:t xml:space="preserve"> </w:t>
      </w:r>
      <w:r w:rsidR="004C7A66">
        <w:t>when referring to the baseline</w:t>
      </w:r>
      <w:r w:rsidR="0090487A">
        <w:t xml:space="preserve"> for appraisal. Other terms </w:t>
      </w:r>
      <w:r w:rsidR="0022711E">
        <w:t xml:space="preserve">with a similar meaning </w:t>
      </w:r>
      <w:r w:rsidR="001E423B">
        <w:t>we</w:t>
      </w:r>
      <w:r w:rsidR="00050FFB">
        <w:t>re also observed</w:t>
      </w:r>
      <w:r w:rsidR="0022711E">
        <w:t>, such as</w:t>
      </w:r>
      <w:r w:rsidR="00CE1968">
        <w:t xml:space="preserve"> ‘alternative 0’</w:t>
      </w:r>
      <w:r w:rsidR="0083004D">
        <w:t>, ‘base</w:t>
      </w:r>
      <w:r w:rsidR="0090487A">
        <w:t xml:space="preserve"> case</w:t>
      </w:r>
      <w:r w:rsidR="0083004D">
        <w:t>’ and ‘refer</w:t>
      </w:r>
      <w:r w:rsidR="00056339">
        <w:t>e</w:t>
      </w:r>
      <w:r w:rsidR="0083004D">
        <w:t>nce’</w:t>
      </w:r>
      <w:r w:rsidR="00056339">
        <w:t xml:space="preserve">. </w:t>
      </w:r>
    </w:p>
    <w:p w14:paraId="09B08BE6" w14:textId="0A0BC0E9" w:rsidR="006F45F2" w:rsidRPr="00EC61CC" w:rsidRDefault="00056339" w:rsidP="00914888">
      <w:pPr>
        <w:spacing w:before="120" w:after="120"/>
      </w:pPr>
      <w:r>
        <w:t xml:space="preserve">Similarly, </w:t>
      </w:r>
      <w:r w:rsidR="00CE1968">
        <w:rPr>
          <w:i/>
          <w:iCs/>
        </w:rPr>
        <w:t>do</w:t>
      </w:r>
      <w:r w:rsidR="001E423B">
        <w:rPr>
          <w:i/>
          <w:iCs/>
        </w:rPr>
        <w:t>-</w:t>
      </w:r>
      <w:r w:rsidR="00CE1968">
        <w:rPr>
          <w:i/>
          <w:iCs/>
        </w:rPr>
        <w:t>minimum</w:t>
      </w:r>
      <w:r w:rsidR="007C0E8F">
        <w:rPr>
          <w:i/>
          <w:iCs/>
        </w:rPr>
        <w:t xml:space="preserve"> </w:t>
      </w:r>
      <w:r w:rsidR="007C0E8F">
        <w:t xml:space="preserve">is </w:t>
      </w:r>
      <w:r w:rsidR="00964333">
        <w:t>most commonly used to describe a simple and low-cost solution, but</w:t>
      </w:r>
      <w:r w:rsidR="00D00B14">
        <w:t xml:space="preserve"> variants such as </w:t>
      </w:r>
      <w:r w:rsidR="007C0E8F">
        <w:t xml:space="preserve">‘alternative 0+’ </w:t>
      </w:r>
      <w:r w:rsidR="00D00B14">
        <w:t>are also observed.</w:t>
      </w:r>
      <w:r w:rsidR="002F1CA1">
        <w:t xml:space="preserve"> In </w:t>
      </w:r>
      <w:r w:rsidR="0082113A">
        <w:t>five</w:t>
      </w:r>
      <w:r w:rsidR="002F1CA1">
        <w:t xml:space="preserve"> </w:t>
      </w:r>
      <w:r w:rsidR="00A412E8">
        <w:t>projects</w:t>
      </w:r>
      <w:r w:rsidR="00A40ECD">
        <w:t>,</w:t>
      </w:r>
      <w:r w:rsidR="006819D7">
        <w:t xml:space="preserve"> the minimum alternative </w:t>
      </w:r>
      <w:r w:rsidR="00422AAF">
        <w:t>is named after</w:t>
      </w:r>
      <w:r w:rsidR="007604F4">
        <w:t xml:space="preserve"> the solution (such as</w:t>
      </w:r>
      <w:r w:rsidR="00A31132">
        <w:t xml:space="preserve"> ‘improvement</w:t>
      </w:r>
      <w:r w:rsidR="004C59DA">
        <w:t xml:space="preserve"> concept’ and ‘better bus connection’)</w:t>
      </w:r>
      <w:r w:rsidR="00752583">
        <w:t>, but from the content and scope of</w:t>
      </w:r>
      <w:r w:rsidR="00EC61CC">
        <w:t xml:space="preserve"> the alternative we define</w:t>
      </w:r>
      <w:r w:rsidR="0082113A">
        <w:t>d</w:t>
      </w:r>
      <w:r w:rsidR="00EC61CC">
        <w:t xml:space="preserve"> it as </w:t>
      </w:r>
      <w:r w:rsidR="00EC61CC">
        <w:rPr>
          <w:i/>
          <w:iCs/>
        </w:rPr>
        <w:t>do</w:t>
      </w:r>
      <w:r w:rsidR="0082113A">
        <w:rPr>
          <w:i/>
          <w:iCs/>
        </w:rPr>
        <w:t>-</w:t>
      </w:r>
      <w:r w:rsidR="00EC61CC">
        <w:rPr>
          <w:i/>
          <w:iCs/>
        </w:rPr>
        <w:t>minimum</w:t>
      </w:r>
      <w:r w:rsidR="00EC61CC">
        <w:t>.</w:t>
      </w:r>
    </w:p>
    <w:p w14:paraId="4FE093AB" w14:textId="65406A1B" w:rsidR="00F46DD8" w:rsidRPr="00EC4FA9" w:rsidRDefault="007F04BA" w:rsidP="001D1AA7">
      <w:pPr>
        <w:spacing w:before="120" w:after="120"/>
        <w:rPr>
          <w:b/>
          <w:bCs/>
        </w:rPr>
      </w:pPr>
      <w:r w:rsidRPr="00EC4FA9">
        <w:rPr>
          <w:b/>
          <w:bCs/>
        </w:rPr>
        <w:t>T</w:t>
      </w:r>
      <w:r w:rsidR="00B8198B" w:rsidRPr="00EC4FA9">
        <w:rPr>
          <w:b/>
          <w:bCs/>
        </w:rPr>
        <w:t xml:space="preserve">he </w:t>
      </w:r>
      <w:r w:rsidR="00F46DD8" w:rsidRPr="00EC4FA9">
        <w:rPr>
          <w:b/>
          <w:bCs/>
          <w:i/>
          <w:iCs/>
        </w:rPr>
        <w:t>do</w:t>
      </w:r>
      <w:r w:rsidR="00B8198B" w:rsidRPr="00EC4FA9">
        <w:rPr>
          <w:b/>
          <w:bCs/>
          <w:i/>
          <w:iCs/>
        </w:rPr>
        <w:t>-</w:t>
      </w:r>
      <w:r w:rsidR="00F46DD8" w:rsidRPr="00EC4FA9">
        <w:rPr>
          <w:b/>
          <w:bCs/>
          <w:i/>
          <w:iCs/>
        </w:rPr>
        <w:t>nothing</w:t>
      </w:r>
      <w:r w:rsidR="00F46DD8" w:rsidRPr="00EC4FA9">
        <w:rPr>
          <w:b/>
          <w:bCs/>
        </w:rPr>
        <w:t xml:space="preserve"> </w:t>
      </w:r>
      <w:bookmarkEnd w:id="17"/>
      <w:r w:rsidR="00B8198B" w:rsidRPr="00EC4FA9">
        <w:rPr>
          <w:b/>
          <w:bCs/>
        </w:rPr>
        <w:t xml:space="preserve">alternative </w:t>
      </w:r>
      <w:r w:rsidRPr="00EC4FA9">
        <w:rPr>
          <w:b/>
          <w:bCs/>
        </w:rPr>
        <w:t>normally</w:t>
      </w:r>
      <w:r w:rsidR="00BC3408" w:rsidRPr="00EC4FA9">
        <w:rPr>
          <w:b/>
          <w:bCs/>
        </w:rPr>
        <w:t xml:space="preserve"> </w:t>
      </w:r>
      <w:r w:rsidR="0082113A">
        <w:rPr>
          <w:b/>
          <w:bCs/>
        </w:rPr>
        <w:t>implies</w:t>
      </w:r>
      <w:r w:rsidRPr="00EC4FA9">
        <w:rPr>
          <w:b/>
          <w:bCs/>
        </w:rPr>
        <w:t xml:space="preserve"> do</w:t>
      </w:r>
      <w:r w:rsidR="00BC3408" w:rsidRPr="00EC4FA9">
        <w:rPr>
          <w:b/>
          <w:bCs/>
        </w:rPr>
        <w:t>ing</w:t>
      </w:r>
      <w:r w:rsidRPr="00EC4FA9">
        <w:rPr>
          <w:b/>
          <w:bCs/>
        </w:rPr>
        <w:t xml:space="preserve"> nothing</w:t>
      </w:r>
    </w:p>
    <w:p w14:paraId="73010D03" w14:textId="6C316E99" w:rsidR="00F14F22" w:rsidRPr="00EC4FA9" w:rsidRDefault="008A34DF" w:rsidP="00F14F22">
      <w:r>
        <w:t>Of</w:t>
      </w:r>
      <w:r w:rsidR="00395EAF" w:rsidRPr="008A34DF">
        <w:t xml:space="preserve"> </w:t>
      </w:r>
      <w:r>
        <w:t xml:space="preserve">the </w:t>
      </w:r>
      <w:r w:rsidR="00395EAF" w:rsidRPr="008A34DF">
        <w:t>112 appraisals</w:t>
      </w:r>
      <w:r>
        <w:t>, 83</w:t>
      </w:r>
      <w:r w:rsidR="00395EAF" w:rsidRPr="008A34DF">
        <w:t xml:space="preserve"> define the baseline as </w:t>
      </w:r>
      <w:r w:rsidR="00632487">
        <w:t xml:space="preserve">a </w:t>
      </w:r>
      <w:r w:rsidR="00CC6129">
        <w:t>‘</w:t>
      </w:r>
      <w:r w:rsidR="00834CB2" w:rsidRPr="00EC4FA9">
        <w:t>pure</w:t>
      </w:r>
      <w:r w:rsidR="00CC6129">
        <w:t>’</w:t>
      </w:r>
      <w:r w:rsidR="00834CB2" w:rsidRPr="00EC4FA9">
        <w:t xml:space="preserve"> do-nothing alternative</w:t>
      </w:r>
      <w:r w:rsidR="00360F60">
        <w:t xml:space="preserve"> (see Figure 2)</w:t>
      </w:r>
      <w:r w:rsidR="00C46E49" w:rsidRPr="00EC4FA9">
        <w:t xml:space="preserve">. </w:t>
      </w:r>
      <w:r w:rsidR="006A7F93" w:rsidRPr="00EC4FA9">
        <w:t>Most</w:t>
      </w:r>
      <w:r w:rsidR="00F46DD8" w:rsidRPr="00EC4FA9">
        <w:t xml:space="preserve"> </w:t>
      </w:r>
      <w:r w:rsidR="00FB35BB" w:rsidRPr="00EC4FA9">
        <w:t>appraisals</w:t>
      </w:r>
      <w:r w:rsidR="00F46DD8" w:rsidRPr="00EC4FA9">
        <w:t xml:space="preserve"> present </w:t>
      </w:r>
      <w:r w:rsidR="00834CB2" w:rsidRPr="00EC4FA9">
        <w:t>the baseline</w:t>
      </w:r>
      <w:r w:rsidR="00F46DD8" w:rsidRPr="00EC4FA9">
        <w:t xml:space="preserve"> as the current situation</w:t>
      </w:r>
      <w:r w:rsidR="00563A85">
        <w:t xml:space="preserve"> where an existing infrastructure will continue to be in operation</w:t>
      </w:r>
      <w:r w:rsidR="00F46DD8" w:rsidRPr="00EC4FA9">
        <w:t xml:space="preserve">, with </w:t>
      </w:r>
      <w:r w:rsidR="001C0118">
        <w:t xml:space="preserve">no or very little upgrading </w:t>
      </w:r>
      <w:r w:rsidR="001C3F44">
        <w:t>over the next years</w:t>
      </w:r>
      <w:r w:rsidR="001C0118">
        <w:t>, only ordinary maintenance</w:t>
      </w:r>
      <w:r w:rsidR="00F46DD8" w:rsidRPr="00EC4FA9">
        <w:t xml:space="preserve">. </w:t>
      </w:r>
      <w:r w:rsidR="008341CD">
        <w:t>Not unexpected</w:t>
      </w:r>
      <w:r w:rsidR="00066294">
        <w:t>ly</w:t>
      </w:r>
      <w:r w:rsidR="008341CD">
        <w:t xml:space="preserve">, </w:t>
      </w:r>
      <w:r w:rsidR="000F49C8">
        <w:t>this alternative</w:t>
      </w:r>
      <w:r w:rsidR="00343E28">
        <w:t xml:space="preserve"> is portrayed as rather unattractive. </w:t>
      </w:r>
      <w:r w:rsidR="000F49C8">
        <w:t xml:space="preserve"> </w:t>
      </w:r>
      <w:r w:rsidR="003E2F89" w:rsidRPr="00EC4FA9">
        <w:t xml:space="preserve"> </w:t>
      </w:r>
    </w:p>
    <w:p w14:paraId="42D569CE" w14:textId="2632DE2D" w:rsidR="00F46DD8" w:rsidRDefault="00395EAF" w:rsidP="00F46DD8">
      <w:r w:rsidRPr="00EC4FA9">
        <w:lastRenderedPageBreak/>
        <w:t xml:space="preserve">The remaining 29 </w:t>
      </w:r>
      <w:r w:rsidR="0059576E">
        <w:t xml:space="preserve">appraisals </w:t>
      </w:r>
      <w:r w:rsidRPr="00EC4FA9">
        <w:t>include reinvestment and upgrading</w:t>
      </w:r>
      <w:r w:rsidR="00834CB2" w:rsidRPr="00EC4FA9">
        <w:t xml:space="preserve"> to a greater or lesser extent</w:t>
      </w:r>
      <w:r w:rsidRPr="00EC4FA9">
        <w:t xml:space="preserve">, the most expensive </w:t>
      </w:r>
      <w:r w:rsidRPr="00EC4FA9">
        <w:rPr>
          <w:i/>
          <w:iCs/>
        </w:rPr>
        <w:t xml:space="preserve">do-nothing </w:t>
      </w:r>
      <w:r w:rsidRPr="00EC4FA9">
        <w:t xml:space="preserve">alternative </w:t>
      </w:r>
      <w:r w:rsidR="0059576E">
        <w:t>is</w:t>
      </w:r>
      <w:r w:rsidR="00F76D0A" w:rsidRPr="00EC4FA9">
        <w:t xml:space="preserve"> estimated to</w:t>
      </w:r>
      <w:r w:rsidR="008538E6" w:rsidRPr="00EC4FA9">
        <w:t xml:space="preserve"> </w:t>
      </w:r>
      <w:r w:rsidR="003B5376">
        <w:t>cost</w:t>
      </w:r>
      <w:r w:rsidR="0059576E">
        <w:t xml:space="preserve"> </w:t>
      </w:r>
      <w:r w:rsidR="00A836BB">
        <w:t>EUR 285 million</w:t>
      </w:r>
      <w:r w:rsidR="00461DD2" w:rsidRPr="00EC4FA9">
        <w:t>.</w:t>
      </w:r>
      <w:r w:rsidR="00193674" w:rsidRPr="00EC4FA9">
        <w:t xml:space="preserve"> </w:t>
      </w:r>
      <w:r w:rsidR="00837F41">
        <w:t>T</w:t>
      </w:r>
      <w:r w:rsidR="00C122DE" w:rsidRPr="00EC4FA9">
        <w:t>he explanation</w:t>
      </w:r>
      <w:r w:rsidR="00837F41">
        <w:t xml:space="preserve">s </w:t>
      </w:r>
      <w:r w:rsidR="003C7A0B">
        <w:t>for including</w:t>
      </w:r>
      <w:r w:rsidR="00833363">
        <w:t xml:space="preserve"> more</w:t>
      </w:r>
      <w:r w:rsidR="006975E6">
        <w:t xml:space="preserve"> substantial</w:t>
      </w:r>
      <w:r w:rsidR="00916430" w:rsidRPr="00EC4FA9">
        <w:t xml:space="preserve"> upgrad</w:t>
      </w:r>
      <w:r w:rsidR="009D58CF" w:rsidRPr="00EC4FA9">
        <w:t>ing</w:t>
      </w:r>
      <w:r w:rsidR="001B16DC">
        <w:t xml:space="preserve"> in these cases,</w:t>
      </w:r>
      <w:r w:rsidR="00916430" w:rsidRPr="00EC4FA9">
        <w:t xml:space="preserve"> </w:t>
      </w:r>
      <w:r w:rsidR="0059576E">
        <w:t>are</w:t>
      </w:r>
      <w:r w:rsidR="0031689A" w:rsidRPr="00EC4FA9">
        <w:t xml:space="preserve"> </w:t>
      </w:r>
      <w:r w:rsidR="00CB2B67" w:rsidRPr="00EC4FA9">
        <w:t>only sometimes</w:t>
      </w:r>
      <w:r w:rsidR="00F46DD8" w:rsidRPr="00EC4FA9">
        <w:t xml:space="preserve"> transparent. </w:t>
      </w:r>
    </w:p>
    <w:p w14:paraId="2C1879B2" w14:textId="7E2141CA" w:rsidR="00F75340" w:rsidRDefault="00F75340" w:rsidP="00F46DD8">
      <w:r>
        <w:rPr>
          <w:noProof/>
        </w:rPr>
        <w:drawing>
          <wp:inline distT="0" distB="0" distL="0" distR="0" wp14:anchorId="359CEB16" wp14:editId="7237C727">
            <wp:extent cx="3480179" cy="2090424"/>
            <wp:effectExtent l="0" t="0" r="6350" b="5080"/>
            <wp:docPr id="672444257"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87279" cy="2094689"/>
                    </a:xfrm>
                    <a:prstGeom prst="rect">
                      <a:avLst/>
                    </a:prstGeom>
                    <a:noFill/>
                  </pic:spPr>
                </pic:pic>
              </a:graphicData>
            </a:graphic>
          </wp:inline>
        </w:drawing>
      </w:r>
    </w:p>
    <w:p w14:paraId="39B5ABF1" w14:textId="4284A215" w:rsidR="00F75340" w:rsidRPr="00EC4FA9" w:rsidRDefault="00F75340" w:rsidP="006C4B65">
      <w:pPr>
        <w:pStyle w:val="Caption"/>
        <w:keepNext/>
      </w:pPr>
      <w:r w:rsidRPr="00EC4FA9">
        <w:t>Figure 2</w:t>
      </w:r>
      <w:r>
        <w:t>.</w:t>
      </w:r>
      <w:r w:rsidRPr="00EC4FA9">
        <w:t xml:space="preserve"> </w:t>
      </w:r>
      <w:r>
        <w:t>Scope of the do-nothing alternatives</w:t>
      </w:r>
      <w:r w:rsidRPr="00EC4FA9">
        <w:t xml:space="preserve"> (N</w:t>
      </w:r>
      <w:r>
        <w:t xml:space="preserve"> </w:t>
      </w:r>
      <w:r w:rsidRPr="00EC4FA9">
        <w:t>=</w:t>
      </w:r>
      <w:r>
        <w:t xml:space="preserve"> </w:t>
      </w:r>
      <w:r w:rsidRPr="00EC4FA9">
        <w:t>112)</w:t>
      </w:r>
    </w:p>
    <w:p w14:paraId="13E71CFD" w14:textId="497692F1" w:rsidR="00964C3B" w:rsidRPr="00EC4FA9" w:rsidRDefault="00964C3B" w:rsidP="001D1AA7">
      <w:pPr>
        <w:spacing w:before="120" w:after="120"/>
        <w:rPr>
          <w:b/>
          <w:bCs/>
        </w:rPr>
      </w:pPr>
      <w:bookmarkStart w:id="18" w:name="_Hlk132557575"/>
      <w:r w:rsidRPr="00EC4FA9">
        <w:rPr>
          <w:b/>
          <w:bCs/>
        </w:rPr>
        <w:t xml:space="preserve">The </w:t>
      </w:r>
      <w:r w:rsidRPr="00EC4FA9">
        <w:rPr>
          <w:b/>
          <w:bCs/>
          <w:i/>
          <w:iCs/>
        </w:rPr>
        <w:t>do-nothing</w:t>
      </w:r>
      <w:r w:rsidRPr="00EC4FA9">
        <w:rPr>
          <w:b/>
          <w:bCs/>
        </w:rPr>
        <w:t xml:space="preserve"> alternative is treated as a reference, not as a viable </w:t>
      </w:r>
      <w:r w:rsidR="00F85E25">
        <w:rPr>
          <w:b/>
          <w:bCs/>
        </w:rPr>
        <w:t xml:space="preserve">option </w:t>
      </w:r>
    </w:p>
    <w:bookmarkEnd w:id="18"/>
    <w:p w14:paraId="2332D50C" w14:textId="25A9C41D" w:rsidR="00964C3B" w:rsidRPr="00EC4FA9" w:rsidRDefault="006170DC" w:rsidP="00964C3B">
      <w:r>
        <w:t>It follows from the above that</w:t>
      </w:r>
      <w:r w:rsidR="00964C3B" w:rsidRPr="00EC4FA9">
        <w:t xml:space="preserve"> the </w:t>
      </w:r>
      <w:r w:rsidR="000D10AE" w:rsidRPr="006C4B65">
        <w:t>baseline</w:t>
      </w:r>
      <w:r w:rsidR="000D10AE">
        <w:rPr>
          <w:i/>
          <w:iCs/>
        </w:rPr>
        <w:t xml:space="preserve"> </w:t>
      </w:r>
      <w:r w:rsidR="00B05D55">
        <w:t>may</w:t>
      </w:r>
      <w:r w:rsidR="00964C3B" w:rsidRPr="00EC4FA9">
        <w:t xml:space="preserve"> serve different functions in the appraisals. </w:t>
      </w:r>
      <w:bookmarkStart w:id="19" w:name="OLE_LINK19"/>
      <w:r w:rsidR="00DC7CBA">
        <w:t>T</w:t>
      </w:r>
      <w:r w:rsidR="00C92C5D">
        <w:t>he</w:t>
      </w:r>
      <w:r w:rsidR="00964C3B" w:rsidRPr="00EC4FA9">
        <w:t xml:space="preserve"> </w:t>
      </w:r>
      <w:r w:rsidR="00DC7CBA">
        <w:t>vast majority of appraisals</w:t>
      </w:r>
      <w:r w:rsidR="001F2F4F">
        <w:t xml:space="preserve"> </w:t>
      </w:r>
      <w:r w:rsidR="003B5376">
        <w:t>that</w:t>
      </w:r>
      <w:r w:rsidR="001B05EF">
        <w:t xml:space="preserve"> apply</w:t>
      </w:r>
      <w:r w:rsidR="00006238">
        <w:t xml:space="preserve"> a ‘pure’ </w:t>
      </w:r>
      <w:r w:rsidR="00006238">
        <w:rPr>
          <w:i/>
          <w:iCs/>
        </w:rPr>
        <w:t xml:space="preserve">do-nothing </w:t>
      </w:r>
      <w:r w:rsidR="00006238">
        <w:t xml:space="preserve">alternative, </w:t>
      </w:r>
      <w:r w:rsidR="00C92C5D">
        <w:t xml:space="preserve">seem to </w:t>
      </w:r>
      <w:r w:rsidR="00964C3B" w:rsidRPr="00EC4FA9">
        <w:t>treat</w:t>
      </w:r>
      <w:r w:rsidR="00C92C5D">
        <w:t xml:space="preserve"> this alternative</w:t>
      </w:r>
      <w:r w:rsidR="00C92C5D">
        <w:rPr>
          <w:i/>
          <w:iCs/>
        </w:rPr>
        <w:t xml:space="preserve"> </w:t>
      </w:r>
      <w:r w:rsidR="00964C3B" w:rsidRPr="00EC4FA9">
        <w:t>as a reference</w:t>
      </w:r>
      <w:r w:rsidR="00905E38">
        <w:t xml:space="preserve">, i.e. </w:t>
      </w:r>
      <w:r w:rsidR="00964C3B" w:rsidRPr="00EC4FA9">
        <w:t xml:space="preserve">a baseline against which </w:t>
      </w:r>
      <w:r w:rsidR="0059576E">
        <w:t xml:space="preserve">the </w:t>
      </w:r>
      <w:r w:rsidR="00964C3B" w:rsidRPr="00EC4FA9">
        <w:t xml:space="preserve">impacts of the </w:t>
      </w:r>
      <w:r w:rsidR="004C7322" w:rsidRPr="00EC4FA9">
        <w:rPr>
          <w:i/>
          <w:iCs/>
        </w:rPr>
        <w:t>d</w:t>
      </w:r>
      <w:r w:rsidR="00964C3B" w:rsidRPr="00EC4FA9">
        <w:rPr>
          <w:i/>
          <w:iCs/>
        </w:rPr>
        <w:t xml:space="preserve">o-something </w:t>
      </w:r>
      <w:r w:rsidR="00964C3B" w:rsidRPr="00EC4FA9">
        <w:t>alternatives are measured. On</w:t>
      </w:r>
      <w:r w:rsidR="003D50D0">
        <w:t xml:space="preserve"> the other hand,</w:t>
      </w:r>
      <w:r w:rsidR="00E11C2E">
        <w:t xml:space="preserve"> the appraisals that include </w:t>
      </w:r>
      <w:r w:rsidR="002937F1">
        <w:t xml:space="preserve">some </w:t>
      </w:r>
      <w:r w:rsidR="00E11C2E">
        <w:t>reinvestment and upgrading</w:t>
      </w:r>
      <w:r w:rsidR="00C969DB">
        <w:t>;</w:t>
      </w:r>
      <w:r w:rsidR="00964C3B" w:rsidRPr="00EC4FA9">
        <w:t xml:space="preserve"> treat </w:t>
      </w:r>
      <w:r w:rsidR="00964C3B" w:rsidRPr="00EC4FA9">
        <w:rPr>
          <w:i/>
          <w:iCs/>
        </w:rPr>
        <w:t>do</w:t>
      </w:r>
      <w:r w:rsidR="00AF0668">
        <w:rPr>
          <w:i/>
          <w:iCs/>
        </w:rPr>
        <w:t>-</w:t>
      </w:r>
      <w:r w:rsidR="00964C3B" w:rsidRPr="00EC4FA9">
        <w:rPr>
          <w:i/>
          <w:iCs/>
        </w:rPr>
        <w:t>nothing</w:t>
      </w:r>
      <w:r w:rsidR="00964C3B" w:rsidRPr="00EC4FA9">
        <w:t xml:space="preserve"> as a </w:t>
      </w:r>
      <w:r w:rsidR="008235ED">
        <w:t>reference</w:t>
      </w:r>
      <w:r w:rsidR="00A5717C">
        <w:t xml:space="preserve"> </w:t>
      </w:r>
      <w:r w:rsidR="00A5717C">
        <w:rPr>
          <w:u w:val="single"/>
        </w:rPr>
        <w:t>and</w:t>
      </w:r>
      <w:r w:rsidR="00A5717C">
        <w:t xml:space="preserve"> a </w:t>
      </w:r>
      <w:r w:rsidR="00964C3B" w:rsidRPr="00EC4FA9">
        <w:t>viable option in itself.</w:t>
      </w:r>
      <w:bookmarkEnd w:id="19"/>
      <w:r w:rsidR="00964C3B" w:rsidRPr="00EC4FA9">
        <w:t xml:space="preserve"> The informants confirm</w:t>
      </w:r>
      <w:r w:rsidR="00C122DE" w:rsidRPr="00EC4FA9">
        <w:t>ed</w:t>
      </w:r>
      <w:r w:rsidR="00964C3B" w:rsidRPr="00EC4FA9">
        <w:t xml:space="preserve"> this picture, and some tried to explain why</w:t>
      </w:r>
      <w:r w:rsidR="008235ED">
        <w:t xml:space="preserve"> the </w:t>
      </w:r>
      <w:r w:rsidR="008235ED">
        <w:rPr>
          <w:i/>
          <w:iCs/>
        </w:rPr>
        <w:t>do-nothing</w:t>
      </w:r>
      <w:r w:rsidR="008235ED">
        <w:t xml:space="preserve"> alternative is rarely seen as a viable option</w:t>
      </w:r>
      <w:r w:rsidR="00964C3B" w:rsidRPr="00EC4FA9">
        <w:t>:</w:t>
      </w:r>
    </w:p>
    <w:p w14:paraId="2B4A255B" w14:textId="6FA705E8" w:rsidR="00964C3B" w:rsidRPr="00EC4FA9" w:rsidRDefault="00F76D0A" w:rsidP="00964C3B">
      <w:pPr>
        <w:ind w:left="708"/>
        <w:rPr>
          <w:sz w:val="22"/>
          <w:szCs w:val="22"/>
        </w:rPr>
      </w:pPr>
      <w:r w:rsidRPr="00EC4FA9">
        <w:rPr>
          <w:sz w:val="22"/>
          <w:szCs w:val="22"/>
        </w:rPr>
        <w:t xml:space="preserve">The </w:t>
      </w:r>
      <w:r w:rsidRPr="00EC4FA9">
        <w:rPr>
          <w:i/>
          <w:iCs/>
          <w:sz w:val="22"/>
          <w:szCs w:val="22"/>
        </w:rPr>
        <w:t>do</w:t>
      </w:r>
      <w:r w:rsidR="004F5ECD">
        <w:rPr>
          <w:i/>
          <w:iCs/>
          <w:sz w:val="22"/>
          <w:szCs w:val="22"/>
        </w:rPr>
        <w:t>-</w:t>
      </w:r>
      <w:r w:rsidRPr="00EC4FA9">
        <w:rPr>
          <w:i/>
          <w:iCs/>
          <w:sz w:val="22"/>
          <w:szCs w:val="22"/>
        </w:rPr>
        <w:t>nothing</w:t>
      </w:r>
      <w:r w:rsidR="00964C3B" w:rsidRPr="00EC4FA9">
        <w:rPr>
          <w:sz w:val="22"/>
          <w:szCs w:val="22"/>
        </w:rPr>
        <w:t xml:space="preserve"> </w:t>
      </w:r>
      <w:r w:rsidRPr="00EC4FA9">
        <w:rPr>
          <w:sz w:val="22"/>
          <w:szCs w:val="22"/>
        </w:rPr>
        <w:t xml:space="preserve">alternative </w:t>
      </w:r>
      <w:r w:rsidR="00964C3B" w:rsidRPr="00EC4FA9">
        <w:rPr>
          <w:sz w:val="22"/>
          <w:szCs w:val="22"/>
        </w:rPr>
        <w:t xml:space="preserve">should ideally be both a good </w:t>
      </w:r>
      <w:r w:rsidR="00BC3408" w:rsidRPr="00EC4FA9">
        <w:rPr>
          <w:sz w:val="22"/>
          <w:szCs w:val="22"/>
        </w:rPr>
        <w:t>baseline</w:t>
      </w:r>
      <w:r w:rsidR="00964C3B" w:rsidRPr="00EC4FA9">
        <w:rPr>
          <w:sz w:val="22"/>
          <w:szCs w:val="22"/>
        </w:rPr>
        <w:t xml:space="preserve">, cost nothing, and be </w:t>
      </w:r>
      <w:r w:rsidRPr="00EC4FA9">
        <w:rPr>
          <w:sz w:val="22"/>
          <w:szCs w:val="22"/>
        </w:rPr>
        <w:t>viable</w:t>
      </w:r>
      <w:r w:rsidR="00964C3B" w:rsidRPr="00EC4FA9">
        <w:rPr>
          <w:sz w:val="22"/>
          <w:szCs w:val="22"/>
        </w:rPr>
        <w:t xml:space="preserve">. Unfortunately, these purposes are </w:t>
      </w:r>
      <w:r w:rsidRPr="00EC4FA9">
        <w:rPr>
          <w:sz w:val="22"/>
          <w:szCs w:val="22"/>
        </w:rPr>
        <w:t>impossible</w:t>
      </w:r>
      <w:r w:rsidR="00964C3B" w:rsidRPr="00EC4FA9">
        <w:rPr>
          <w:sz w:val="22"/>
          <w:szCs w:val="22"/>
        </w:rPr>
        <w:t xml:space="preserve"> to reconcile. (Agency representative)</w:t>
      </w:r>
    </w:p>
    <w:p w14:paraId="3573FC9C" w14:textId="7767A909" w:rsidR="00964C3B" w:rsidRPr="00EC4FA9" w:rsidRDefault="00964C3B" w:rsidP="00964C3B">
      <w:pPr>
        <w:ind w:left="708"/>
        <w:rPr>
          <w:sz w:val="22"/>
          <w:szCs w:val="22"/>
        </w:rPr>
      </w:pPr>
      <w:r w:rsidRPr="00EC4FA9">
        <w:rPr>
          <w:sz w:val="22"/>
          <w:szCs w:val="22"/>
        </w:rPr>
        <w:t xml:space="preserve">I have never encountered anyone who has seen </w:t>
      </w:r>
      <w:r w:rsidRPr="00EC4FA9">
        <w:rPr>
          <w:i/>
          <w:iCs/>
          <w:sz w:val="22"/>
          <w:szCs w:val="22"/>
        </w:rPr>
        <w:t>do</w:t>
      </w:r>
      <w:r w:rsidR="004C7322" w:rsidRPr="00EC4FA9">
        <w:rPr>
          <w:i/>
          <w:iCs/>
          <w:sz w:val="22"/>
          <w:szCs w:val="22"/>
        </w:rPr>
        <w:t>-</w:t>
      </w:r>
      <w:r w:rsidRPr="00EC4FA9">
        <w:rPr>
          <w:i/>
          <w:iCs/>
          <w:sz w:val="22"/>
          <w:szCs w:val="22"/>
        </w:rPr>
        <w:t>nothing</w:t>
      </w:r>
      <w:r w:rsidRPr="00EC4FA9">
        <w:rPr>
          <w:sz w:val="22"/>
          <w:szCs w:val="22"/>
        </w:rPr>
        <w:t xml:space="preserve"> as a realistic alternative. (</w:t>
      </w:r>
      <w:bookmarkStart w:id="20" w:name="_Hlk128566984"/>
      <w:r w:rsidRPr="00EC4FA9">
        <w:rPr>
          <w:sz w:val="22"/>
          <w:szCs w:val="22"/>
        </w:rPr>
        <w:t>Agency</w:t>
      </w:r>
      <w:bookmarkEnd w:id="20"/>
      <w:r w:rsidRPr="00EC4FA9">
        <w:rPr>
          <w:sz w:val="22"/>
          <w:szCs w:val="22"/>
        </w:rPr>
        <w:t xml:space="preserve"> representative)</w:t>
      </w:r>
    </w:p>
    <w:p w14:paraId="22939C7D" w14:textId="0B862664" w:rsidR="00964C3B" w:rsidRPr="00EC4FA9" w:rsidRDefault="00A11125" w:rsidP="00F46DD8">
      <w:r>
        <w:t>S</w:t>
      </w:r>
      <w:r w:rsidR="00964C3B" w:rsidRPr="00EC4FA9">
        <w:t>everal informants highlighted an interesting point</w:t>
      </w:r>
      <w:r w:rsidR="0059576E">
        <w:t>, namely that</w:t>
      </w:r>
      <w:r w:rsidR="00964C3B" w:rsidRPr="00EC4FA9">
        <w:t xml:space="preserve"> if </w:t>
      </w:r>
      <w:r w:rsidR="000F1F3A">
        <w:t>a continuation</w:t>
      </w:r>
      <w:r w:rsidR="00986BE5">
        <w:t xml:space="preserve"> of </w:t>
      </w:r>
      <w:r w:rsidR="00964C3B" w:rsidRPr="00EC4FA9">
        <w:t>the current situation had been acceptable, there would be no need for an appraisal, and vice versa</w:t>
      </w:r>
      <w:r w:rsidR="00EA40D8">
        <w:t>; an</w:t>
      </w:r>
      <w:r w:rsidR="00964C3B" w:rsidRPr="00EC4FA9">
        <w:t xml:space="preserve"> appraisal is needed </w:t>
      </w:r>
      <w:r w:rsidR="0059576E">
        <w:t>when</w:t>
      </w:r>
      <w:r w:rsidR="00964C3B" w:rsidRPr="00EC4FA9">
        <w:t xml:space="preserve"> the current situation is unacceptable. </w:t>
      </w:r>
    </w:p>
    <w:p w14:paraId="57CBB7BE" w14:textId="7E711235" w:rsidR="00F46DD8" w:rsidRPr="00A110B1" w:rsidRDefault="007D7018" w:rsidP="001D1AA7">
      <w:pPr>
        <w:spacing w:before="120" w:after="120"/>
        <w:rPr>
          <w:b/>
          <w:bCs/>
          <w:color w:val="FF0000"/>
        </w:rPr>
      </w:pPr>
      <w:bookmarkStart w:id="21" w:name="OLE_LINK16"/>
      <w:r w:rsidRPr="00EC4FA9">
        <w:rPr>
          <w:b/>
          <w:bCs/>
          <w:i/>
          <w:iCs/>
        </w:rPr>
        <w:t>D</w:t>
      </w:r>
      <w:r w:rsidR="00E72AF0" w:rsidRPr="00EC4FA9">
        <w:rPr>
          <w:b/>
          <w:bCs/>
          <w:i/>
          <w:iCs/>
        </w:rPr>
        <w:t>o</w:t>
      </w:r>
      <w:r w:rsidR="00986BE5">
        <w:rPr>
          <w:b/>
          <w:bCs/>
          <w:i/>
          <w:iCs/>
        </w:rPr>
        <w:t>-</w:t>
      </w:r>
      <w:r w:rsidR="00E72AF0" w:rsidRPr="00EC4FA9">
        <w:rPr>
          <w:b/>
          <w:bCs/>
          <w:i/>
          <w:iCs/>
        </w:rPr>
        <w:t>minimum</w:t>
      </w:r>
      <w:r w:rsidR="00BB58A2" w:rsidRPr="00EC4FA9">
        <w:rPr>
          <w:b/>
          <w:bCs/>
        </w:rPr>
        <w:t xml:space="preserve"> </w:t>
      </w:r>
      <w:r w:rsidR="00BC37AC" w:rsidRPr="00EC4FA9">
        <w:rPr>
          <w:b/>
          <w:bCs/>
        </w:rPr>
        <w:t>is</w:t>
      </w:r>
      <w:r w:rsidR="00DB7EE8" w:rsidRPr="00EC4FA9">
        <w:rPr>
          <w:b/>
          <w:bCs/>
        </w:rPr>
        <w:t xml:space="preserve"> </w:t>
      </w:r>
      <w:r w:rsidR="00C46E49" w:rsidRPr="00EC4FA9">
        <w:rPr>
          <w:b/>
          <w:bCs/>
        </w:rPr>
        <w:t>only sometimes</w:t>
      </w:r>
      <w:r w:rsidR="004B2360" w:rsidRPr="00EC4FA9">
        <w:rPr>
          <w:b/>
          <w:bCs/>
        </w:rPr>
        <w:t xml:space="preserve"> included</w:t>
      </w:r>
      <w:r w:rsidR="00DB7EE8" w:rsidRPr="00EC4FA9">
        <w:rPr>
          <w:b/>
          <w:bCs/>
        </w:rPr>
        <w:t xml:space="preserve">, and </w:t>
      </w:r>
      <w:r w:rsidR="00561135" w:rsidRPr="00EC4FA9">
        <w:rPr>
          <w:b/>
          <w:bCs/>
        </w:rPr>
        <w:t>its</w:t>
      </w:r>
      <w:r w:rsidR="00DB7EE8" w:rsidRPr="00EC4FA9">
        <w:rPr>
          <w:b/>
          <w:bCs/>
        </w:rPr>
        <w:t xml:space="preserve"> content and scope vary </w:t>
      </w:r>
      <w:r w:rsidR="00C969DB">
        <w:rPr>
          <w:b/>
          <w:bCs/>
        </w:rPr>
        <w:t>considerably</w:t>
      </w:r>
    </w:p>
    <w:p w14:paraId="46F3B6F4" w14:textId="6FCAC995" w:rsidR="00755E4C" w:rsidRPr="009E0D01" w:rsidRDefault="00E15ED4" w:rsidP="0074339D">
      <w:bookmarkStart w:id="22" w:name="OLE_LINK17"/>
      <w:bookmarkEnd w:id="21"/>
      <w:r>
        <w:t xml:space="preserve">Whereas all </w:t>
      </w:r>
      <w:r w:rsidR="00665CB8">
        <w:t xml:space="preserve">112 </w:t>
      </w:r>
      <w:r>
        <w:t xml:space="preserve">appraisals include </w:t>
      </w:r>
      <w:r w:rsidR="00AA0882">
        <w:t>a baseline, o</w:t>
      </w:r>
      <w:r w:rsidR="000A164F" w:rsidRPr="00EC4FA9">
        <w:t>nly 34</w:t>
      </w:r>
      <w:r w:rsidR="0074339D" w:rsidRPr="00EC4FA9">
        <w:t xml:space="preserve"> include </w:t>
      </w:r>
      <w:r w:rsidR="00BC3408" w:rsidRPr="00EC4FA9">
        <w:t xml:space="preserve">a </w:t>
      </w:r>
      <w:r w:rsidR="00665CB8">
        <w:rPr>
          <w:i/>
          <w:iCs/>
        </w:rPr>
        <w:t>do-</w:t>
      </w:r>
      <w:r w:rsidR="00BC3408" w:rsidRPr="006C4B65">
        <w:rPr>
          <w:i/>
          <w:iCs/>
        </w:rPr>
        <w:t>minimum</w:t>
      </w:r>
      <w:r w:rsidR="0074339D" w:rsidRPr="00EC4FA9">
        <w:t xml:space="preserve"> </w:t>
      </w:r>
      <w:r w:rsidR="00275061" w:rsidRPr="00EC4FA9">
        <w:t>alternative</w:t>
      </w:r>
      <w:r w:rsidR="0074339D" w:rsidRPr="00EC4FA9">
        <w:t xml:space="preserve"> </w:t>
      </w:r>
      <w:r w:rsidR="004D1D0F" w:rsidRPr="00EC4FA9">
        <w:t>in addition to the base</w:t>
      </w:r>
      <w:r w:rsidR="00C46E49" w:rsidRPr="00EC4FA9">
        <w:t>line</w:t>
      </w:r>
      <w:r w:rsidR="0074339D" w:rsidRPr="00EC4FA9">
        <w:t xml:space="preserve">. </w:t>
      </w:r>
      <w:bookmarkEnd w:id="22"/>
      <w:r w:rsidR="009E0D01">
        <w:t xml:space="preserve">Of these, </w:t>
      </w:r>
      <w:r w:rsidR="00BF2E66">
        <w:t>four</w:t>
      </w:r>
      <w:r w:rsidR="009E0D01">
        <w:t xml:space="preserve"> include more than one </w:t>
      </w:r>
      <w:r w:rsidR="009E0D01">
        <w:rPr>
          <w:i/>
          <w:iCs/>
        </w:rPr>
        <w:t>do-minimum alternative</w:t>
      </w:r>
      <w:r w:rsidR="00C969DB">
        <w:t>,</w:t>
      </w:r>
      <w:r w:rsidR="00902035">
        <w:t xml:space="preserve"> </w:t>
      </w:r>
      <w:r w:rsidR="00C969DB">
        <w:t>f</w:t>
      </w:r>
      <w:r w:rsidR="00902035">
        <w:t>or example</w:t>
      </w:r>
      <w:r w:rsidR="00E62961">
        <w:t xml:space="preserve">, </w:t>
      </w:r>
      <w:r w:rsidR="00902035">
        <w:t>‘</w:t>
      </w:r>
      <w:r w:rsidR="00ED2665">
        <w:t>alternative 0+’ and ‘alternative 0++’ where the latter</w:t>
      </w:r>
      <w:r w:rsidR="00E62961">
        <w:t xml:space="preserve"> includes more upgrading and higher cost than the former.</w:t>
      </w:r>
    </w:p>
    <w:p w14:paraId="272AACBA" w14:textId="268C5782" w:rsidR="002D71B7" w:rsidRPr="00EC4FA9" w:rsidRDefault="00A60E7C" w:rsidP="0074339D">
      <w:r w:rsidRPr="00EC4FA9">
        <w:t>Sometimes</w:t>
      </w:r>
      <w:r w:rsidR="0074339D" w:rsidRPr="00EC4FA9">
        <w:t xml:space="preserve">, </w:t>
      </w:r>
      <w:r w:rsidR="0059576E">
        <w:t xml:space="preserve">the </w:t>
      </w:r>
      <w:r w:rsidR="0074339D" w:rsidRPr="00EC4FA9">
        <w:rPr>
          <w:i/>
          <w:iCs/>
        </w:rPr>
        <w:t>do</w:t>
      </w:r>
      <w:r w:rsidR="0059576E">
        <w:rPr>
          <w:i/>
          <w:iCs/>
        </w:rPr>
        <w:t>-</w:t>
      </w:r>
      <w:r w:rsidR="0074339D" w:rsidRPr="00EC4FA9">
        <w:rPr>
          <w:i/>
          <w:iCs/>
        </w:rPr>
        <w:t>minimum</w:t>
      </w:r>
      <w:r w:rsidR="0074339D" w:rsidRPr="00EC4FA9">
        <w:t xml:space="preserve"> </w:t>
      </w:r>
      <w:r w:rsidR="0059576E">
        <w:t xml:space="preserve">alternative </w:t>
      </w:r>
      <w:r w:rsidR="009D659E">
        <w:t>is hard to distinguish from</w:t>
      </w:r>
      <w:r w:rsidR="0074339D" w:rsidRPr="00EC4FA9">
        <w:t xml:space="preserve"> </w:t>
      </w:r>
      <w:r w:rsidR="001B019E" w:rsidRPr="00EC4FA9">
        <w:t xml:space="preserve">the </w:t>
      </w:r>
      <w:r w:rsidR="0074339D" w:rsidRPr="00EC4FA9">
        <w:rPr>
          <w:i/>
          <w:iCs/>
        </w:rPr>
        <w:t>do</w:t>
      </w:r>
      <w:r w:rsidR="001B019E" w:rsidRPr="00EC4FA9">
        <w:rPr>
          <w:i/>
          <w:iCs/>
        </w:rPr>
        <w:t>-</w:t>
      </w:r>
      <w:r w:rsidR="0074339D" w:rsidRPr="00EC4FA9">
        <w:rPr>
          <w:i/>
          <w:iCs/>
        </w:rPr>
        <w:t>nothing</w:t>
      </w:r>
      <w:r w:rsidR="001B019E" w:rsidRPr="00EC4FA9">
        <w:rPr>
          <w:i/>
          <w:iCs/>
        </w:rPr>
        <w:t xml:space="preserve"> </w:t>
      </w:r>
      <w:r w:rsidR="001B019E" w:rsidRPr="00EC4FA9">
        <w:t>alternative</w:t>
      </w:r>
      <w:r w:rsidR="0074339D" w:rsidRPr="00EC4FA9">
        <w:t xml:space="preserve">. At other times, </w:t>
      </w:r>
      <w:r w:rsidR="009D659E">
        <w:t>it</w:t>
      </w:r>
      <w:r w:rsidR="0074339D" w:rsidRPr="00EC4FA9">
        <w:t xml:space="preserve"> is </w:t>
      </w:r>
      <w:r w:rsidR="00896902">
        <w:t>a large</w:t>
      </w:r>
      <w:r w:rsidR="00561135" w:rsidRPr="00EC4FA9">
        <w:t xml:space="preserve"> construction project, </w:t>
      </w:r>
      <w:r w:rsidR="00896902">
        <w:t>such as</w:t>
      </w:r>
      <w:r w:rsidR="0074339D" w:rsidRPr="00EC4FA9">
        <w:t xml:space="preserve"> extensive renovations </w:t>
      </w:r>
      <w:r w:rsidR="00561135" w:rsidRPr="00EC4FA9">
        <w:t xml:space="preserve">or </w:t>
      </w:r>
      <w:r w:rsidR="0074339D" w:rsidRPr="00EC4FA9">
        <w:t xml:space="preserve">life extensions. </w:t>
      </w:r>
      <w:r w:rsidR="00D16096" w:rsidRPr="00EC4FA9">
        <w:t>It is</w:t>
      </w:r>
      <w:r w:rsidR="00526E79">
        <w:t xml:space="preserve"> </w:t>
      </w:r>
      <w:r w:rsidR="00331247">
        <w:t xml:space="preserve">often unclear what the role of the </w:t>
      </w:r>
      <w:r w:rsidR="00331247" w:rsidRPr="006C4B65">
        <w:rPr>
          <w:i/>
          <w:iCs/>
        </w:rPr>
        <w:t>do-minimum</w:t>
      </w:r>
      <w:r w:rsidR="00331247">
        <w:t xml:space="preserve"> alternatives is</w:t>
      </w:r>
      <w:r w:rsidR="00EE022F" w:rsidRPr="00EC4FA9">
        <w:t xml:space="preserve"> in the appraisal</w:t>
      </w:r>
      <w:r w:rsidR="004B2360" w:rsidRPr="00EC4FA9">
        <w:t>s</w:t>
      </w:r>
      <w:r w:rsidR="00EE022F" w:rsidRPr="00EC4FA9">
        <w:t>.</w:t>
      </w:r>
      <w:r w:rsidR="009801B7" w:rsidRPr="00EC4FA9">
        <w:t xml:space="preserve"> </w:t>
      </w:r>
    </w:p>
    <w:p w14:paraId="4D78EC36" w14:textId="7105D2FE" w:rsidR="00883AC7" w:rsidRPr="00EC4FA9" w:rsidRDefault="009801B7" w:rsidP="0074339D">
      <w:r w:rsidRPr="00EC4FA9">
        <w:t xml:space="preserve">One of our informants suggested the following </w:t>
      </w:r>
      <w:r w:rsidR="00FD7033">
        <w:t xml:space="preserve">distinction between </w:t>
      </w:r>
      <w:r w:rsidR="00FD7033">
        <w:rPr>
          <w:i/>
          <w:iCs/>
        </w:rPr>
        <w:t>do</w:t>
      </w:r>
      <w:r w:rsidR="00B356B2">
        <w:rPr>
          <w:i/>
          <w:iCs/>
        </w:rPr>
        <w:t>-</w:t>
      </w:r>
      <w:r w:rsidR="00FD7033">
        <w:rPr>
          <w:i/>
          <w:iCs/>
        </w:rPr>
        <w:t>nothing</w:t>
      </w:r>
      <w:r w:rsidR="00FD7033">
        <w:t xml:space="preserve"> and </w:t>
      </w:r>
      <w:r w:rsidR="00FD7033">
        <w:rPr>
          <w:i/>
          <w:iCs/>
        </w:rPr>
        <w:t>do</w:t>
      </w:r>
      <w:r w:rsidR="00B356B2">
        <w:rPr>
          <w:i/>
          <w:iCs/>
        </w:rPr>
        <w:t>-</w:t>
      </w:r>
      <w:r w:rsidR="00FD7033">
        <w:rPr>
          <w:i/>
          <w:iCs/>
        </w:rPr>
        <w:t>minimum</w:t>
      </w:r>
      <w:r w:rsidRPr="00EC4FA9">
        <w:t>:</w:t>
      </w:r>
    </w:p>
    <w:p w14:paraId="4166B804" w14:textId="44B119A5" w:rsidR="009801B7" w:rsidRPr="00EC4FA9" w:rsidRDefault="003C4A80" w:rsidP="009801B7">
      <w:pPr>
        <w:ind w:left="708"/>
        <w:rPr>
          <w:sz w:val="22"/>
          <w:szCs w:val="22"/>
        </w:rPr>
      </w:pPr>
      <w:r>
        <w:rPr>
          <w:sz w:val="22"/>
          <w:szCs w:val="22"/>
        </w:rPr>
        <w:t>A</w:t>
      </w:r>
      <w:r w:rsidR="009801B7" w:rsidRPr="00EC4FA9">
        <w:rPr>
          <w:sz w:val="22"/>
          <w:szCs w:val="22"/>
        </w:rPr>
        <w:t xml:space="preserve"> </w:t>
      </w:r>
      <w:r w:rsidR="009801B7" w:rsidRPr="00EC4FA9">
        <w:rPr>
          <w:i/>
          <w:iCs/>
          <w:sz w:val="22"/>
          <w:szCs w:val="22"/>
        </w:rPr>
        <w:t>do-minimum</w:t>
      </w:r>
      <w:r w:rsidR="009801B7" w:rsidRPr="00EC4FA9">
        <w:rPr>
          <w:sz w:val="22"/>
          <w:szCs w:val="22"/>
        </w:rPr>
        <w:t xml:space="preserve"> alternative should </w:t>
      </w:r>
      <w:r w:rsidR="00C122DE" w:rsidRPr="00EC4FA9">
        <w:rPr>
          <w:sz w:val="22"/>
          <w:szCs w:val="22"/>
        </w:rPr>
        <w:t>satisfy needs</w:t>
      </w:r>
      <w:r w:rsidR="009801B7" w:rsidRPr="00EC4FA9">
        <w:rPr>
          <w:sz w:val="22"/>
          <w:szCs w:val="22"/>
        </w:rPr>
        <w:t xml:space="preserve"> at approximately today</w:t>
      </w:r>
      <w:r w:rsidR="0065514B" w:rsidRPr="00EC4FA9">
        <w:rPr>
          <w:sz w:val="22"/>
          <w:szCs w:val="22"/>
        </w:rPr>
        <w:t>’</w:t>
      </w:r>
      <w:r w:rsidR="009801B7" w:rsidRPr="00EC4FA9">
        <w:rPr>
          <w:sz w:val="22"/>
          <w:szCs w:val="22"/>
        </w:rPr>
        <w:t>s level</w:t>
      </w:r>
      <w:r w:rsidR="007F04BA" w:rsidRPr="00EC4FA9">
        <w:rPr>
          <w:sz w:val="22"/>
          <w:szCs w:val="22"/>
        </w:rPr>
        <w:t xml:space="preserve"> or higher</w:t>
      </w:r>
      <w:r w:rsidR="009801B7" w:rsidRPr="00EC4FA9">
        <w:rPr>
          <w:sz w:val="22"/>
          <w:szCs w:val="22"/>
        </w:rPr>
        <w:t>. On the other hand</w:t>
      </w:r>
      <w:r w:rsidR="009801B7" w:rsidRPr="00EC4FA9">
        <w:rPr>
          <w:i/>
          <w:iCs/>
          <w:sz w:val="22"/>
          <w:szCs w:val="22"/>
        </w:rPr>
        <w:t xml:space="preserve">, </w:t>
      </w:r>
      <w:r w:rsidR="00CE2B9D" w:rsidRPr="00EC4FA9">
        <w:rPr>
          <w:i/>
          <w:iCs/>
          <w:sz w:val="22"/>
          <w:szCs w:val="22"/>
        </w:rPr>
        <w:t>d</w:t>
      </w:r>
      <w:r w:rsidR="009801B7" w:rsidRPr="00EC4FA9">
        <w:rPr>
          <w:i/>
          <w:iCs/>
          <w:sz w:val="22"/>
          <w:szCs w:val="22"/>
        </w:rPr>
        <w:t>o</w:t>
      </w:r>
      <w:r w:rsidR="002810E6">
        <w:rPr>
          <w:i/>
          <w:iCs/>
          <w:sz w:val="22"/>
          <w:szCs w:val="22"/>
        </w:rPr>
        <w:t>-</w:t>
      </w:r>
      <w:r w:rsidR="009801B7" w:rsidRPr="00EC4FA9">
        <w:rPr>
          <w:i/>
          <w:iCs/>
          <w:sz w:val="22"/>
          <w:szCs w:val="22"/>
        </w:rPr>
        <w:t>nothin</w:t>
      </w:r>
      <w:r w:rsidR="009801B7" w:rsidRPr="00EC4FA9">
        <w:rPr>
          <w:sz w:val="22"/>
          <w:szCs w:val="22"/>
        </w:rPr>
        <w:t>g can provide significantly poorer need</w:t>
      </w:r>
      <w:r w:rsidR="007645DD" w:rsidRPr="00EC4FA9">
        <w:rPr>
          <w:sz w:val="22"/>
          <w:szCs w:val="22"/>
        </w:rPr>
        <w:t>s</w:t>
      </w:r>
      <w:r w:rsidR="009801B7" w:rsidRPr="00EC4FA9">
        <w:rPr>
          <w:sz w:val="22"/>
          <w:szCs w:val="22"/>
        </w:rPr>
        <w:t xml:space="preserve"> satisfaction. (Quality assurer)</w:t>
      </w:r>
    </w:p>
    <w:p w14:paraId="4AE87C24" w14:textId="315123E4" w:rsidR="002254F3" w:rsidRPr="00EC4FA9" w:rsidRDefault="00680286" w:rsidP="007E06CC">
      <w:pPr>
        <w:rPr>
          <w:b/>
          <w:bCs/>
        </w:rPr>
      </w:pPr>
      <w:r>
        <w:t xml:space="preserve"> </w:t>
      </w:r>
      <w:r w:rsidR="00176F18">
        <w:rPr>
          <w:b/>
          <w:bCs/>
        </w:rPr>
        <w:t xml:space="preserve">Informants see </w:t>
      </w:r>
      <w:r w:rsidR="009C199E">
        <w:rPr>
          <w:b/>
          <w:bCs/>
        </w:rPr>
        <w:t>the</w:t>
      </w:r>
      <w:r w:rsidR="00176F18">
        <w:rPr>
          <w:b/>
          <w:bCs/>
        </w:rPr>
        <w:t xml:space="preserve"> need for </w:t>
      </w:r>
      <w:r w:rsidR="00132BA2">
        <w:rPr>
          <w:b/>
          <w:bCs/>
        </w:rPr>
        <w:t>better</w:t>
      </w:r>
      <w:r w:rsidR="0011640A" w:rsidRPr="00EC4FA9">
        <w:rPr>
          <w:b/>
          <w:bCs/>
        </w:rPr>
        <w:t xml:space="preserve"> </w:t>
      </w:r>
      <w:r w:rsidR="0011640A" w:rsidRPr="00EC4FA9">
        <w:rPr>
          <w:b/>
          <w:bCs/>
          <w:i/>
          <w:iCs/>
        </w:rPr>
        <w:t>d</w:t>
      </w:r>
      <w:r w:rsidR="002254F3" w:rsidRPr="00EC4FA9">
        <w:rPr>
          <w:b/>
          <w:bCs/>
          <w:i/>
          <w:iCs/>
        </w:rPr>
        <w:t>o</w:t>
      </w:r>
      <w:r w:rsidR="0011640A" w:rsidRPr="00EC4FA9">
        <w:rPr>
          <w:b/>
          <w:bCs/>
          <w:i/>
          <w:iCs/>
        </w:rPr>
        <w:t>-</w:t>
      </w:r>
      <w:r w:rsidR="002254F3" w:rsidRPr="00EC4FA9">
        <w:rPr>
          <w:b/>
          <w:bCs/>
          <w:i/>
          <w:iCs/>
        </w:rPr>
        <w:t>minimum</w:t>
      </w:r>
      <w:r w:rsidR="002254F3" w:rsidRPr="00EC4FA9">
        <w:rPr>
          <w:b/>
          <w:bCs/>
        </w:rPr>
        <w:t xml:space="preserve"> </w:t>
      </w:r>
      <w:r w:rsidR="00802E0B" w:rsidRPr="00EC4FA9">
        <w:rPr>
          <w:b/>
          <w:bCs/>
        </w:rPr>
        <w:t>alternatives</w:t>
      </w:r>
    </w:p>
    <w:p w14:paraId="175895D1" w14:textId="32C6E65D" w:rsidR="00DA1CED" w:rsidRPr="00EC4FA9" w:rsidRDefault="002D71B7" w:rsidP="0074339D">
      <w:r w:rsidRPr="00EC4FA9">
        <w:lastRenderedPageBreak/>
        <w:t>S</w:t>
      </w:r>
      <w:r w:rsidR="00C46229" w:rsidRPr="00EC4FA9">
        <w:t>everal</w:t>
      </w:r>
      <w:r w:rsidR="00336760" w:rsidRPr="00EC4FA9">
        <w:t xml:space="preserve"> informants </w:t>
      </w:r>
      <w:r w:rsidR="004A2EC4">
        <w:t>acknowledged</w:t>
      </w:r>
      <w:r w:rsidR="004A2EC4" w:rsidRPr="00EC4FA9">
        <w:t xml:space="preserve"> </w:t>
      </w:r>
      <w:r w:rsidR="00336760" w:rsidRPr="00EC4FA9">
        <w:t xml:space="preserve">the importance of good </w:t>
      </w:r>
      <w:r w:rsidR="00336760" w:rsidRPr="00EC4FA9">
        <w:rPr>
          <w:i/>
          <w:iCs/>
        </w:rPr>
        <w:t>do-minimum</w:t>
      </w:r>
      <w:r w:rsidR="00336760" w:rsidRPr="00EC4FA9">
        <w:t xml:space="preserve"> </w:t>
      </w:r>
      <w:r w:rsidR="00802E0B" w:rsidRPr="00EC4FA9">
        <w:t xml:space="preserve">investment alternatives </w:t>
      </w:r>
      <w:r w:rsidR="000A3E80" w:rsidRPr="00EC4FA9">
        <w:t>for efficient public policy</w:t>
      </w:r>
      <w:r w:rsidRPr="00EC4FA9">
        <w:t xml:space="preserve"> and argued that this is a topic that needs more work</w:t>
      </w:r>
      <w:r w:rsidR="00336760" w:rsidRPr="00EC4FA9">
        <w:t>:</w:t>
      </w:r>
    </w:p>
    <w:p w14:paraId="613EBACA" w14:textId="73ADE593" w:rsidR="00EA6D01" w:rsidRPr="00EC4FA9" w:rsidRDefault="00802E0B" w:rsidP="00C46229">
      <w:pPr>
        <w:ind w:left="708"/>
        <w:rPr>
          <w:sz w:val="22"/>
          <w:szCs w:val="22"/>
        </w:rPr>
      </w:pPr>
      <w:r w:rsidRPr="00EC4FA9">
        <w:rPr>
          <w:i/>
          <w:iCs/>
          <w:sz w:val="22"/>
          <w:szCs w:val="22"/>
        </w:rPr>
        <w:t>D</w:t>
      </w:r>
      <w:r w:rsidR="002D0EC7" w:rsidRPr="00EC4FA9">
        <w:rPr>
          <w:i/>
          <w:iCs/>
          <w:sz w:val="22"/>
          <w:szCs w:val="22"/>
        </w:rPr>
        <w:t>o</w:t>
      </w:r>
      <w:r w:rsidR="00F16C23">
        <w:rPr>
          <w:i/>
          <w:iCs/>
          <w:sz w:val="22"/>
          <w:szCs w:val="22"/>
        </w:rPr>
        <w:t>-</w:t>
      </w:r>
      <w:r w:rsidR="002D0EC7" w:rsidRPr="00EC4FA9">
        <w:rPr>
          <w:i/>
          <w:iCs/>
          <w:sz w:val="22"/>
          <w:szCs w:val="22"/>
        </w:rPr>
        <w:t>minimum</w:t>
      </w:r>
      <w:r w:rsidR="002D0EC7" w:rsidRPr="00EC4FA9">
        <w:rPr>
          <w:sz w:val="22"/>
          <w:szCs w:val="22"/>
        </w:rPr>
        <w:t xml:space="preserve"> is </w:t>
      </w:r>
      <w:r w:rsidR="00196C90">
        <w:rPr>
          <w:sz w:val="22"/>
          <w:szCs w:val="22"/>
        </w:rPr>
        <w:t>a crucial</w:t>
      </w:r>
      <w:r w:rsidR="002D0EC7" w:rsidRPr="00EC4FA9">
        <w:rPr>
          <w:sz w:val="22"/>
          <w:szCs w:val="22"/>
        </w:rPr>
        <w:t xml:space="preserve"> </w:t>
      </w:r>
      <w:r w:rsidRPr="00EC4FA9">
        <w:rPr>
          <w:sz w:val="22"/>
          <w:szCs w:val="22"/>
        </w:rPr>
        <w:t>concept</w:t>
      </w:r>
      <w:r w:rsidR="002D0EC7" w:rsidRPr="00EC4FA9">
        <w:rPr>
          <w:sz w:val="22"/>
          <w:szCs w:val="22"/>
        </w:rPr>
        <w:t xml:space="preserve">. </w:t>
      </w:r>
      <w:r w:rsidR="007F04BA" w:rsidRPr="00EC4FA9">
        <w:rPr>
          <w:sz w:val="22"/>
          <w:szCs w:val="22"/>
        </w:rPr>
        <w:t xml:space="preserve">By contrast, </w:t>
      </w:r>
      <w:r w:rsidR="007F04BA" w:rsidRPr="00EC4FA9">
        <w:rPr>
          <w:i/>
          <w:iCs/>
          <w:sz w:val="22"/>
          <w:szCs w:val="22"/>
        </w:rPr>
        <w:t>d</w:t>
      </w:r>
      <w:r w:rsidR="002D0EC7" w:rsidRPr="00EC4FA9">
        <w:rPr>
          <w:i/>
          <w:iCs/>
          <w:sz w:val="22"/>
          <w:szCs w:val="22"/>
        </w:rPr>
        <w:t>o</w:t>
      </w:r>
      <w:r w:rsidR="002810E6">
        <w:rPr>
          <w:i/>
          <w:iCs/>
          <w:sz w:val="22"/>
          <w:szCs w:val="22"/>
        </w:rPr>
        <w:t>-</w:t>
      </w:r>
      <w:r w:rsidR="002D0EC7" w:rsidRPr="00EC4FA9">
        <w:rPr>
          <w:i/>
          <w:iCs/>
          <w:sz w:val="22"/>
          <w:szCs w:val="22"/>
        </w:rPr>
        <w:t>nothing</w:t>
      </w:r>
      <w:r w:rsidR="002D0EC7" w:rsidRPr="00EC4FA9">
        <w:rPr>
          <w:sz w:val="22"/>
          <w:szCs w:val="22"/>
        </w:rPr>
        <w:t xml:space="preserve"> is </w:t>
      </w:r>
      <w:r w:rsidR="00751295" w:rsidRPr="00EC4FA9">
        <w:rPr>
          <w:sz w:val="22"/>
          <w:szCs w:val="22"/>
        </w:rPr>
        <w:t xml:space="preserve">often </w:t>
      </w:r>
      <w:r w:rsidR="002D0EC7" w:rsidRPr="00EC4FA9">
        <w:rPr>
          <w:sz w:val="22"/>
          <w:szCs w:val="22"/>
        </w:rPr>
        <w:t>not an option</w:t>
      </w:r>
      <w:r w:rsidR="004F5829" w:rsidRPr="00EC4FA9">
        <w:rPr>
          <w:sz w:val="22"/>
          <w:szCs w:val="22"/>
        </w:rPr>
        <w:t xml:space="preserve"> because the existing infrastructure is worn </w:t>
      </w:r>
      <w:r w:rsidR="00917B65">
        <w:rPr>
          <w:sz w:val="22"/>
          <w:szCs w:val="22"/>
        </w:rPr>
        <w:t>out</w:t>
      </w:r>
      <w:r w:rsidR="002D0EC7" w:rsidRPr="00EC4FA9">
        <w:rPr>
          <w:sz w:val="22"/>
          <w:szCs w:val="22"/>
        </w:rPr>
        <w:t>.</w:t>
      </w:r>
      <w:r w:rsidR="00C46229" w:rsidRPr="00EC4FA9">
        <w:rPr>
          <w:sz w:val="22"/>
          <w:szCs w:val="22"/>
        </w:rPr>
        <w:t xml:space="preserve"> </w:t>
      </w:r>
      <w:r w:rsidR="00EA6D01" w:rsidRPr="00EC4FA9">
        <w:rPr>
          <w:sz w:val="22"/>
          <w:szCs w:val="22"/>
        </w:rPr>
        <w:t>(Agency</w:t>
      </w:r>
      <w:r w:rsidR="0065514B" w:rsidRPr="00EC4FA9">
        <w:rPr>
          <w:sz w:val="22"/>
          <w:szCs w:val="22"/>
        </w:rPr>
        <w:t xml:space="preserve"> representative</w:t>
      </w:r>
      <w:r w:rsidR="00EA6D01" w:rsidRPr="00EC4FA9">
        <w:rPr>
          <w:sz w:val="22"/>
          <w:szCs w:val="22"/>
        </w:rPr>
        <w:t>)</w:t>
      </w:r>
    </w:p>
    <w:p w14:paraId="440DA3D9" w14:textId="38669A29" w:rsidR="003C121B" w:rsidRPr="00EC4FA9" w:rsidRDefault="003C121B" w:rsidP="00751295">
      <w:pPr>
        <w:ind w:left="708"/>
        <w:rPr>
          <w:sz w:val="22"/>
          <w:szCs w:val="22"/>
        </w:rPr>
      </w:pPr>
      <w:r w:rsidRPr="00EC4FA9">
        <w:rPr>
          <w:sz w:val="22"/>
          <w:szCs w:val="22"/>
        </w:rPr>
        <w:t xml:space="preserve">We need to </w:t>
      </w:r>
      <w:r w:rsidR="00751295" w:rsidRPr="00EC4FA9">
        <w:rPr>
          <w:sz w:val="22"/>
          <w:szCs w:val="22"/>
        </w:rPr>
        <w:t>do</w:t>
      </w:r>
      <w:r w:rsidRPr="00EC4FA9">
        <w:rPr>
          <w:sz w:val="22"/>
          <w:szCs w:val="22"/>
        </w:rPr>
        <w:t xml:space="preserve"> better at designing good </w:t>
      </w:r>
      <w:r w:rsidRPr="00EC4FA9">
        <w:rPr>
          <w:i/>
          <w:iCs/>
          <w:sz w:val="22"/>
          <w:szCs w:val="22"/>
        </w:rPr>
        <w:t>do-minimum</w:t>
      </w:r>
      <w:r w:rsidRPr="00EC4FA9">
        <w:rPr>
          <w:sz w:val="22"/>
          <w:szCs w:val="22"/>
        </w:rPr>
        <w:t xml:space="preserve"> options.</w:t>
      </w:r>
      <w:r w:rsidR="00751295" w:rsidRPr="00EC4FA9">
        <w:rPr>
          <w:sz w:val="22"/>
          <w:szCs w:val="22"/>
        </w:rPr>
        <w:t xml:space="preserve"> </w:t>
      </w:r>
      <w:r w:rsidRPr="00EC4FA9">
        <w:rPr>
          <w:sz w:val="22"/>
          <w:szCs w:val="22"/>
        </w:rPr>
        <w:t>(</w:t>
      </w:r>
      <w:r w:rsidR="00C46D29" w:rsidRPr="00EC4FA9">
        <w:rPr>
          <w:sz w:val="22"/>
          <w:szCs w:val="22"/>
        </w:rPr>
        <w:t>Ministry</w:t>
      </w:r>
      <w:r w:rsidR="0065514B" w:rsidRPr="00EC4FA9">
        <w:rPr>
          <w:sz w:val="22"/>
          <w:szCs w:val="22"/>
        </w:rPr>
        <w:t xml:space="preserve"> representative</w:t>
      </w:r>
      <w:r w:rsidRPr="00EC4FA9">
        <w:rPr>
          <w:sz w:val="22"/>
          <w:szCs w:val="22"/>
        </w:rPr>
        <w:t>)</w:t>
      </w:r>
    </w:p>
    <w:p w14:paraId="340FAC56" w14:textId="7C2940B6" w:rsidR="00003893" w:rsidRPr="00EC4FA9" w:rsidRDefault="00561135" w:rsidP="00003893">
      <w:bookmarkStart w:id="23" w:name="OLE_LINK18"/>
      <w:r w:rsidRPr="00EC4FA9">
        <w:t xml:space="preserve">There is no agreed upon method to identify relevant </w:t>
      </w:r>
      <w:r w:rsidRPr="00EC4FA9">
        <w:rPr>
          <w:i/>
          <w:iCs/>
        </w:rPr>
        <w:t>do-minimum</w:t>
      </w:r>
      <w:r w:rsidRPr="00EC4FA9">
        <w:t xml:space="preserve"> alternatives. </w:t>
      </w:r>
      <w:r w:rsidR="002D71B7" w:rsidRPr="00EC4FA9">
        <w:t>Many conceptual appraisals</w:t>
      </w:r>
      <w:r w:rsidR="00E96AAE" w:rsidRPr="00EC4FA9">
        <w:t xml:space="preserve"> across sectors</w:t>
      </w:r>
      <w:r w:rsidR="002D71B7" w:rsidRPr="00EC4FA9">
        <w:t xml:space="preserve"> refer to the ‘four-step principle’</w:t>
      </w:r>
      <w:r w:rsidR="00CF373A" w:rsidRPr="00EC4FA9">
        <w:t>,</w:t>
      </w:r>
      <w:r w:rsidR="002D71B7" w:rsidRPr="00EC4FA9">
        <w:t xml:space="preserve"> a method adopted from the Swedish transport sector </w:t>
      </w:r>
      <w:r w:rsidR="00CF373A" w:rsidRPr="00EC4FA9">
        <w:t>(e.g.</w:t>
      </w:r>
      <w:r w:rsidR="00D31595">
        <w:t>,</w:t>
      </w:r>
      <w:r w:rsidR="00CF373A" w:rsidRPr="00EC4FA9">
        <w:t xml:space="preserve"> Riksrevisjonen, 2018) </w:t>
      </w:r>
      <w:r w:rsidR="002D71B7" w:rsidRPr="00EC4FA9">
        <w:t>to identify alternative solutions in four steps</w:t>
      </w:r>
      <w:r w:rsidR="0059576E">
        <w:t>:</w:t>
      </w:r>
      <w:r w:rsidR="002D71B7" w:rsidRPr="00EC4FA9">
        <w:t xml:space="preserve"> </w:t>
      </w:r>
      <w:r w:rsidR="00CC6129">
        <w:t>(</w:t>
      </w:r>
      <w:r w:rsidR="002D71B7" w:rsidRPr="00EC4FA9">
        <w:t>1) measures that reduce demand</w:t>
      </w:r>
      <w:r w:rsidR="0082259A">
        <w:t xml:space="preserve"> (such as, </w:t>
      </w:r>
      <w:r w:rsidR="003F014E">
        <w:t>peak</w:t>
      </w:r>
      <w:r w:rsidR="0082259A">
        <w:t xml:space="preserve"> pricing</w:t>
      </w:r>
      <w:r w:rsidR="003F014E">
        <w:t>, information and regulation</w:t>
      </w:r>
      <w:r w:rsidR="0082259A">
        <w:t>)</w:t>
      </w:r>
      <w:r w:rsidR="002D71B7" w:rsidRPr="00EC4FA9">
        <w:t xml:space="preserve">, </w:t>
      </w:r>
      <w:r w:rsidR="00CC6129">
        <w:t>(</w:t>
      </w:r>
      <w:r w:rsidR="002D71B7" w:rsidRPr="00EC4FA9">
        <w:t xml:space="preserve">2) </w:t>
      </w:r>
      <w:r w:rsidR="001E5FD2">
        <w:t>minor upgrading of</w:t>
      </w:r>
      <w:r w:rsidR="002D71B7" w:rsidRPr="00EC4FA9">
        <w:t xml:space="preserve"> existing infrastructure, </w:t>
      </w:r>
      <w:r w:rsidR="00CC6129">
        <w:t>(</w:t>
      </w:r>
      <w:r w:rsidR="002D71B7" w:rsidRPr="00EC4FA9">
        <w:t xml:space="preserve">3) </w:t>
      </w:r>
      <w:r w:rsidR="00F61296">
        <w:t xml:space="preserve">more </w:t>
      </w:r>
      <w:r w:rsidR="00EE690B">
        <w:t>comprehensive</w:t>
      </w:r>
      <w:r w:rsidR="00F61296">
        <w:t xml:space="preserve"> </w:t>
      </w:r>
      <w:r w:rsidR="00797796">
        <w:t>upgrading</w:t>
      </w:r>
      <w:r w:rsidR="002D71B7" w:rsidRPr="00EC4FA9">
        <w:t xml:space="preserve">, and </w:t>
      </w:r>
      <w:r w:rsidR="00CC6129">
        <w:t>(</w:t>
      </w:r>
      <w:r w:rsidR="002D71B7" w:rsidRPr="00EC4FA9">
        <w:t xml:space="preserve">4) new infrastructure. </w:t>
      </w:r>
      <w:r w:rsidR="002056F7">
        <w:t>We observed that s</w:t>
      </w:r>
      <w:r w:rsidR="003F0920">
        <w:t>olutions</w:t>
      </w:r>
      <w:r w:rsidR="002056F7">
        <w:t xml:space="preserve"> </w:t>
      </w:r>
      <w:r w:rsidR="00E96AAE" w:rsidRPr="00EC4FA9">
        <w:t xml:space="preserve">on the lower steps </w:t>
      </w:r>
      <w:r w:rsidR="00074E60" w:rsidRPr="00EC4FA9">
        <w:t>are rarely worked out properly</w:t>
      </w:r>
      <w:r w:rsidR="00CF373A" w:rsidRPr="00EC4FA9">
        <w:t xml:space="preserve"> in the studied documents</w:t>
      </w:r>
      <w:r w:rsidR="0082259A">
        <w:t xml:space="preserve">. </w:t>
      </w:r>
      <w:r w:rsidR="00FC0A57">
        <w:t>If mentioned at all</w:t>
      </w:r>
      <w:r w:rsidR="00074E60" w:rsidRPr="00EC4FA9">
        <w:t xml:space="preserve">, </w:t>
      </w:r>
      <w:r w:rsidR="00241089" w:rsidRPr="00EC4FA9">
        <w:t xml:space="preserve">they are </w:t>
      </w:r>
      <w:r w:rsidR="002C5868">
        <w:t>typically</w:t>
      </w:r>
      <w:r w:rsidR="002C5868" w:rsidRPr="00EC4FA9">
        <w:t xml:space="preserve"> </w:t>
      </w:r>
      <w:r w:rsidR="00241089" w:rsidRPr="00EC4FA9">
        <w:t xml:space="preserve">given a low score in the preliminary </w:t>
      </w:r>
      <w:r w:rsidR="00DA7E5D" w:rsidRPr="00EC4FA9">
        <w:t>screening</w:t>
      </w:r>
      <w:r w:rsidR="00241089" w:rsidRPr="00EC4FA9">
        <w:t xml:space="preserve"> and therefore </w:t>
      </w:r>
      <w:r w:rsidRPr="00EC4FA9">
        <w:t>rejected early on</w:t>
      </w:r>
      <w:r w:rsidR="00CC7F07" w:rsidRPr="00EC4FA9">
        <w:t xml:space="preserve">. </w:t>
      </w:r>
      <w:r w:rsidR="00ED6C7D" w:rsidRPr="00EC4FA9">
        <w:t>Our informants</w:t>
      </w:r>
      <w:r w:rsidR="007B2AEC" w:rsidRPr="00EC4FA9">
        <w:t xml:space="preserve"> </w:t>
      </w:r>
      <w:r w:rsidR="00CF373A" w:rsidRPr="00EC4FA9">
        <w:t xml:space="preserve">confirmed </w:t>
      </w:r>
      <w:r w:rsidR="007B2AEC" w:rsidRPr="00EC4FA9">
        <w:t xml:space="preserve">that this </w:t>
      </w:r>
      <w:r w:rsidR="0065514B" w:rsidRPr="00EC4FA9">
        <w:t>was</w:t>
      </w:r>
      <w:r w:rsidR="007B2AEC" w:rsidRPr="00EC4FA9">
        <w:t xml:space="preserve"> often the case:</w:t>
      </w:r>
    </w:p>
    <w:p w14:paraId="40835262" w14:textId="756F8D71" w:rsidR="00FF4D5F" w:rsidRPr="00EC4FA9" w:rsidRDefault="00561135" w:rsidP="007B2AEC">
      <w:pPr>
        <w:ind w:left="708"/>
        <w:rPr>
          <w:sz w:val="22"/>
          <w:szCs w:val="22"/>
        </w:rPr>
      </w:pPr>
      <w:r w:rsidRPr="00EC4FA9">
        <w:rPr>
          <w:sz w:val="22"/>
          <w:szCs w:val="22"/>
        </w:rPr>
        <w:t>We never</w:t>
      </w:r>
      <w:r w:rsidR="00FF4D5F" w:rsidRPr="00EC4FA9">
        <w:rPr>
          <w:sz w:val="22"/>
          <w:szCs w:val="22"/>
        </w:rPr>
        <w:t xml:space="preserve"> get good discussions about small measures</w:t>
      </w:r>
      <w:r w:rsidRPr="00EC4FA9">
        <w:rPr>
          <w:sz w:val="22"/>
          <w:szCs w:val="22"/>
        </w:rPr>
        <w:t xml:space="preserve">, although </w:t>
      </w:r>
      <w:r w:rsidR="00FF4D5F" w:rsidRPr="00EC4FA9">
        <w:rPr>
          <w:sz w:val="22"/>
          <w:szCs w:val="22"/>
        </w:rPr>
        <w:t xml:space="preserve">we </w:t>
      </w:r>
      <w:r w:rsidRPr="00EC4FA9">
        <w:rPr>
          <w:sz w:val="22"/>
          <w:szCs w:val="22"/>
        </w:rPr>
        <w:t xml:space="preserve">try </w:t>
      </w:r>
      <w:r w:rsidR="005150CD">
        <w:rPr>
          <w:sz w:val="22"/>
          <w:szCs w:val="22"/>
        </w:rPr>
        <w:t>sometimes</w:t>
      </w:r>
      <w:r w:rsidR="00FF1FA7">
        <w:rPr>
          <w:sz w:val="22"/>
          <w:szCs w:val="22"/>
        </w:rPr>
        <w:t xml:space="preserve"> </w:t>
      </w:r>
      <w:r w:rsidR="00FF4D5F" w:rsidRPr="00EC4FA9">
        <w:rPr>
          <w:sz w:val="22"/>
          <w:szCs w:val="22"/>
        </w:rPr>
        <w:t>(Agency</w:t>
      </w:r>
      <w:r w:rsidR="0065514B" w:rsidRPr="00EC4FA9">
        <w:rPr>
          <w:sz w:val="22"/>
          <w:szCs w:val="22"/>
        </w:rPr>
        <w:t xml:space="preserve"> representative</w:t>
      </w:r>
      <w:r w:rsidR="00FF4D5F" w:rsidRPr="00EC4FA9">
        <w:rPr>
          <w:sz w:val="22"/>
          <w:szCs w:val="22"/>
        </w:rPr>
        <w:t>)</w:t>
      </w:r>
    </w:p>
    <w:p w14:paraId="7AE33E84" w14:textId="6A61C3E6" w:rsidR="00541B9B" w:rsidRDefault="007F7265" w:rsidP="007B2AEC">
      <w:pPr>
        <w:ind w:left="708"/>
        <w:rPr>
          <w:sz w:val="22"/>
          <w:szCs w:val="22"/>
        </w:rPr>
      </w:pPr>
      <w:r w:rsidRPr="00EC4FA9">
        <w:rPr>
          <w:sz w:val="22"/>
          <w:szCs w:val="22"/>
        </w:rPr>
        <w:t xml:space="preserve">The four-step principle is </w:t>
      </w:r>
      <w:r w:rsidR="00631BBE" w:rsidRPr="00EC4FA9">
        <w:rPr>
          <w:sz w:val="22"/>
          <w:szCs w:val="22"/>
        </w:rPr>
        <w:t>often</w:t>
      </w:r>
      <w:r w:rsidRPr="00EC4FA9">
        <w:rPr>
          <w:sz w:val="22"/>
          <w:szCs w:val="22"/>
        </w:rPr>
        <w:t xml:space="preserve"> used to argue</w:t>
      </w:r>
      <w:r w:rsidR="00541B9B" w:rsidRPr="00EC4FA9">
        <w:rPr>
          <w:sz w:val="22"/>
          <w:szCs w:val="22"/>
        </w:rPr>
        <w:t xml:space="preserve"> </w:t>
      </w:r>
      <w:r w:rsidR="00E513A5" w:rsidRPr="00EC4FA9">
        <w:rPr>
          <w:sz w:val="22"/>
          <w:szCs w:val="22"/>
        </w:rPr>
        <w:t xml:space="preserve">that </w:t>
      </w:r>
      <w:r w:rsidRPr="00EC4FA9">
        <w:rPr>
          <w:sz w:val="22"/>
          <w:szCs w:val="22"/>
        </w:rPr>
        <w:t>measures at the lower levels</w:t>
      </w:r>
      <w:r w:rsidR="00561135" w:rsidRPr="00EC4FA9">
        <w:rPr>
          <w:sz w:val="22"/>
          <w:szCs w:val="22"/>
        </w:rPr>
        <w:t xml:space="preserve"> should be discarded</w:t>
      </w:r>
      <w:r w:rsidR="00CF373A" w:rsidRPr="00EC4FA9">
        <w:rPr>
          <w:sz w:val="22"/>
          <w:szCs w:val="22"/>
        </w:rPr>
        <w:t>,</w:t>
      </w:r>
      <w:r w:rsidRPr="00EC4FA9">
        <w:rPr>
          <w:sz w:val="22"/>
          <w:szCs w:val="22"/>
        </w:rPr>
        <w:t xml:space="preserve"> </w:t>
      </w:r>
      <w:r w:rsidR="007B2AEC" w:rsidRPr="00EC4FA9">
        <w:rPr>
          <w:sz w:val="22"/>
          <w:szCs w:val="22"/>
        </w:rPr>
        <w:t>instead of</w:t>
      </w:r>
      <w:r w:rsidR="00631BBE" w:rsidRPr="00EC4FA9">
        <w:rPr>
          <w:sz w:val="22"/>
          <w:szCs w:val="22"/>
        </w:rPr>
        <w:t xml:space="preserve"> using it to identify and develop such alternatives</w:t>
      </w:r>
      <w:r w:rsidRPr="00EC4FA9">
        <w:rPr>
          <w:sz w:val="22"/>
          <w:szCs w:val="22"/>
        </w:rPr>
        <w:t>.</w:t>
      </w:r>
      <w:r w:rsidR="007B2AEC" w:rsidRPr="00EC4FA9">
        <w:rPr>
          <w:sz w:val="22"/>
          <w:szCs w:val="22"/>
        </w:rPr>
        <w:t xml:space="preserve"> </w:t>
      </w:r>
      <w:r w:rsidR="00541B9B" w:rsidRPr="00EC4FA9">
        <w:rPr>
          <w:sz w:val="22"/>
          <w:szCs w:val="22"/>
        </w:rPr>
        <w:t>(</w:t>
      </w:r>
      <w:r w:rsidR="00C46D29" w:rsidRPr="00EC4FA9">
        <w:rPr>
          <w:sz w:val="22"/>
          <w:szCs w:val="22"/>
        </w:rPr>
        <w:t>Ministry</w:t>
      </w:r>
      <w:r w:rsidR="0065514B" w:rsidRPr="00EC4FA9">
        <w:rPr>
          <w:sz w:val="22"/>
          <w:szCs w:val="22"/>
        </w:rPr>
        <w:t xml:space="preserve"> representative</w:t>
      </w:r>
      <w:r w:rsidR="00541B9B" w:rsidRPr="00EC4FA9">
        <w:rPr>
          <w:sz w:val="22"/>
          <w:szCs w:val="22"/>
        </w:rPr>
        <w:t>)</w:t>
      </w:r>
    </w:p>
    <w:p w14:paraId="0F26A1B6" w14:textId="480E862F" w:rsidR="006C706E" w:rsidRPr="006C706E" w:rsidRDefault="00D82545">
      <w:pPr>
        <w:rPr>
          <w:b/>
          <w:bCs/>
        </w:rPr>
      </w:pPr>
      <w:r w:rsidRPr="006C706E">
        <w:rPr>
          <w:b/>
          <w:bCs/>
        </w:rPr>
        <w:t>Our assessment</w:t>
      </w:r>
      <w:r w:rsidR="000D3282">
        <w:rPr>
          <w:b/>
          <w:bCs/>
        </w:rPr>
        <w:t>s</w:t>
      </w:r>
    </w:p>
    <w:p w14:paraId="52DB3606" w14:textId="03AFED13" w:rsidR="00B340C4" w:rsidRPr="006C706E" w:rsidRDefault="00241CFA" w:rsidP="006C706E">
      <w:r w:rsidRPr="006C706E">
        <w:t>There seems to be a misconception in the agencies that the purpose of the appraisal is to ‘select the best investment alternative’, rather than to decide whether or not to invest.</w:t>
      </w:r>
      <w:r w:rsidR="00A74565" w:rsidRPr="006C706E">
        <w:t xml:space="preserve"> </w:t>
      </w:r>
      <w:r w:rsidR="00734A68" w:rsidRPr="006C706E">
        <w:t>T</w:t>
      </w:r>
      <w:r w:rsidR="004664D1" w:rsidRPr="006C706E">
        <w:t>he do-nothing alternative, which involves continued use of existing infrastructure</w:t>
      </w:r>
      <w:r w:rsidR="003A0650" w:rsidRPr="006C706E">
        <w:t xml:space="preserve"> </w:t>
      </w:r>
      <w:r w:rsidR="00C407F3" w:rsidRPr="006C706E">
        <w:t>‘</w:t>
      </w:r>
      <w:r w:rsidR="003A0650" w:rsidRPr="006C706E">
        <w:t>as is</w:t>
      </w:r>
      <w:r w:rsidR="00C407F3" w:rsidRPr="006C706E">
        <w:t>’</w:t>
      </w:r>
      <w:r w:rsidR="004664D1" w:rsidRPr="006C706E">
        <w:t xml:space="preserve">, </w:t>
      </w:r>
      <w:r w:rsidR="00734A68" w:rsidRPr="006C706E">
        <w:t xml:space="preserve">should </w:t>
      </w:r>
      <w:r w:rsidR="00B71988" w:rsidRPr="006C706E">
        <w:t>serve as an</w:t>
      </w:r>
      <w:r w:rsidR="00AD4D42" w:rsidRPr="006C706E">
        <w:t xml:space="preserve"> option</w:t>
      </w:r>
      <w:r w:rsidR="007F05E0" w:rsidRPr="006C706E">
        <w:t xml:space="preserve"> in itself and not just</w:t>
      </w:r>
      <w:r w:rsidR="004664D1" w:rsidRPr="006C706E">
        <w:t xml:space="preserve"> as a reference</w:t>
      </w:r>
      <w:r w:rsidR="00885C10" w:rsidRPr="006C706E">
        <w:t xml:space="preserve"> </w:t>
      </w:r>
      <w:r w:rsidR="007F05E0" w:rsidRPr="006C706E">
        <w:t>for major investment</w:t>
      </w:r>
      <w:r w:rsidR="004664D1" w:rsidRPr="006C706E">
        <w:t xml:space="preserve">. </w:t>
      </w:r>
      <w:r w:rsidR="006C4781" w:rsidRPr="006C706E">
        <w:t>Also, m</w:t>
      </w:r>
      <w:r w:rsidR="002E6DE2" w:rsidRPr="006C706E">
        <w:t>ore shou</w:t>
      </w:r>
      <w:r w:rsidR="00AB5B2A" w:rsidRPr="006C706E">
        <w:t xml:space="preserve">ld be done to search for efficient </w:t>
      </w:r>
      <w:r w:rsidR="00BF66CF" w:rsidRPr="006C4B65">
        <w:rPr>
          <w:i/>
          <w:iCs/>
        </w:rPr>
        <w:t>do-minimum</w:t>
      </w:r>
      <w:r w:rsidR="00BF66CF" w:rsidRPr="006C706E">
        <w:t xml:space="preserve"> alternatives</w:t>
      </w:r>
      <w:r w:rsidR="00AB5B2A" w:rsidRPr="006C706E">
        <w:t xml:space="preserve"> using</w:t>
      </w:r>
      <w:r w:rsidR="00BF66CF" w:rsidRPr="006C706E">
        <w:t xml:space="preserve"> </w:t>
      </w:r>
      <w:r w:rsidR="00AB5B2A" w:rsidRPr="006C706E">
        <w:t>m</w:t>
      </w:r>
      <w:r w:rsidR="003E151F" w:rsidRPr="006C706E">
        <w:t>ethods like the</w:t>
      </w:r>
      <w:r w:rsidR="003F7344" w:rsidRPr="006C706E">
        <w:t xml:space="preserve"> ‘f</w:t>
      </w:r>
      <w:r w:rsidR="004664D1" w:rsidRPr="006C706E">
        <w:t xml:space="preserve">our-step </w:t>
      </w:r>
      <w:r w:rsidR="003F7344" w:rsidRPr="006C706E">
        <w:t>principl</w:t>
      </w:r>
      <w:r w:rsidR="00D82545" w:rsidRPr="006C706E">
        <w:t>e’.</w:t>
      </w:r>
    </w:p>
    <w:bookmarkEnd w:id="23"/>
    <w:p w14:paraId="34D4ACC3" w14:textId="532882E8" w:rsidR="001344AD" w:rsidRPr="00EC4FA9" w:rsidRDefault="001344AD" w:rsidP="001D1AA7">
      <w:pPr>
        <w:pStyle w:val="Heading3"/>
        <w:spacing w:after="240"/>
        <w:ind w:left="357" w:hanging="357"/>
        <w:rPr>
          <w:rFonts w:eastAsia="Times New Roman"/>
        </w:rPr>
      </w:pPr>
      <w:r w:rsidRPr="00EC4FA9">
        <w:rPr>
          <w:rFonts w:eastAsia="Times New Roman"/>
        </w:rPr>
        <w:t xml:space="preserve">Realism and sustainability of the </w:t>
      </w:r>
      <w:r w:rsidRPr="00EC4FA9">
        <w:rPr>
          <w:rFonts w:eastAsia="Times New Roman"/>
          <w:i/>
          <w:iCs/>
        </w:rPr>
        <w:t>do-nothing</w:t>
      </w:r>
      <w:r w:rsidRPr="00EC4FA9">
        <w:rPr>
          <w:rFonts w:eastAsia="Times New Roman"/>
        </w:rPr>
        <w:t xml:space="preserve"> alternative</w:t>
      </w:r>
    </w:p>
    <w:p w14:paraId="2D0C75F7" w14:textId="0314FF17" w:rsidR="00404D10" w:rsidRPr="00EC4FA9" w:rsidRDefault="00423FAC" w:rsidP="001D1AA7">
      <w:pPr>
        <w:spacing w:before="120" w:after="120" w:line="276" w:lineRule="auto"/>
        <w:rPr>
          <w:b/>
        </w:rPr>
      </w:pPr>
      <w:r w:rsidRPr="004270E5">
        <w:rPr>
          <w:b/>
        </w:rPr>
        <w:t xml:space="preserve">Agencies do not want </w:t>
      </w:r>
      <w:r w:rsidR="00561135" w:rsidRPr="004270E5">
        <w:rPr>
          <w:b/>
        </w:rPr>
        <w:t>a viable</w:t>
      </w:r>
      <w:r w:rsidR="00404D10" w:rsidRPr="004270E5">
        <w:rPr>
          <w:b/>
        </w:rPr>
        <w:t xml:space="preserve"> </w:t>
      </w:r>
      <w:r w:rsidR="00404D10" w:rsidRPr="004270E5">
        <w:rPr>
          <w:b/>
          <w:i/>
          <w:iCs/>
        </w:rPr>
        <w:t>do-nothing</w:t>
      </w:r>
      <w:r w:rsidR="00404D10" w:rsidRPr="004270E5">
        <w:rPr>
          <w:b/>
        </w:rPr>
        <w:t xml:space="preserve"> alternative</w:t>
      </w:r>
    </w:p>
    <w:p w14:paraId="12D08866" w14:textId="01FDEA4D" w:rsidR="00404D10" w:rsidRPr="00EC4FA9" w:rsidRDefault="00404D10" w:rsidP="00404D10">
      <w:pPr>
        <w:spacing w:before="240" w:after="240" w:line="276" w:lineRule="auto"/>
      </w:pPr>
      <w:r w:rsidRPr="00EC4FA9">
        <w:t xml:space="preserve">It follows from the </w:t>
      </w:r>
      <w:r w:rsidR="007E089E" w:rsidRPr="00EC4FA9">
        <w:t>preceding section (</w:t>
      </w:r>
      <w:r w:rsidR="00CF373A" w:rsidRPr="00EC4FA9">
        <w:t>4</w:t>
      </w:r>
      <w:r w:rsidR="007E089E" w:rsidRPr="00EC4FA9">
        <w:t>.1)</w:t>
      </w:r>
      <w:r w:rsidRPr="00EC4FA9">
        <w:t xml:space="preserve"> that </w:t>
      </w:r>
      <w:r w:rsidRPr="00EC4FA9">
        <w:rPr>
          <w:i/>
          <w:iCs/>
        </w:rPr>
        <w:t>do</w:t>
      </w:r>
      <w:r w:rsidR="005F3433">
        <w:rPr>
          <w:i/>
          <w:iCs/>
        </w:rPr>
        <w:t>-</w:t>
      </w:r>
      <w:r w:rsidRPr="00EC4FA9">
        <w:rPr>
          <w:i/>
          <w:iCs/>
        </w:rPr>
        <w:t>nothing</w:t>
      </w:r>
      <w:r w:rsidRPr="00EC4FA9">
        <w:t xml:space="preserve"> is rarely perceived as a realistic and viable alternative </w:t>
      </w:r>
      <w:r w:rsidR="000F3812">
        <w:t>by</w:t>
      </w:r>
      <w:r w:rsidRPr="00EC4FA9">
        <w:t xml:space="preserve"> the agencies </w:t>
      </w:r>
      <w:r w:rsidR="007E089E" w:rsidRPr="00EC4FA9">
        <w:t>conducting</w:t>
      </w:r>
      <w:r w:rsidRPr="00EC4FA9">
        <w:t xml:space="preserve"> conceptual appraisals. This </w:t>
      </w:r>
      <w:r w:rsidR="007E089E" w:rsidRPr="00EC4FA9">
        <w:t>raises</w:t>
      </w:r>
      <w:r w:rsidRPr="00EC4FA9">
        <w:t xml:space="preserve"> the question of whether more could be done to </w:t>
      </w:r>
      <w:r w:rsidR="00EF6B89" w:rsidRPr="00EC4FA9">
        <w:t xml:space="preserve">design a </w:t>
      </w:r>
      <w:r w:rsidR="00917B65">
        <w:t>viable</w:t>
      </w:r>
      <w:r w:rsidR="00CF373A" w:rsidRPr="00EC4FA9">
        <w:t xml:space="preserve"> </w:t>
      </w:r>
      <w:r w:rsidRPr="00EC4FA9">
        <w:rPr>
          <w:i/>
          <w:iCs/>
        </w:rPr>
        <w:t>do-nothing</w:t>
      </w:r>
      <w:r w:rsidRPr="00EC4FA9">
        <w:t xml:space="preserve"> alternative. For example, in many cases, it is argued that the existing infrastructure has already reached (or will soon</w:t>
      </w:r>
      <w:r w:rsidR="007E089E" w:rsidRPr="00EC4FA9">
        <w:t xml:space="preserve"> reach</w:t>
      </w:r>
      <w:r w:rsidRPr="00EC4FA9">
        <w:t xml:space="preserve">) </w:t>
      </w:r>
      <w:r w:rsidR="00CF373A" w:rsidRPr="00EC4FA9">
        <w:t>its</w:t>
      </w:r>
      <w:r w:rsidRPr="00EC4FA9">
        <w:t xml:space="preserve"> end</w:t>
      </w:r>
      <w:r w:rsidR="00CF373A" w:rsidRPr="00EC4FA9">
        <w:t>-</w:t>
      </w:r>
      <w:r w:rsidRPr="00EC4FA9">
        <w:t>of</w:t>
      </w:r>
      <w:r w:rsidR="00CF373A" w:rsidRPr="00EC4FA9">
        <w:t>-</w:t>
      </w:r>
      <w:r w:rsidRPr="00EC4FA9">
        <w:t>life</w:t>
      </w:r>
      <w:r w:rsidR="00CF373A" w:rsidRPr="00EC4FA9">
        <w:t xml:space="preserve"> stage</w:t>
      </w:r>
      <w:r w:rsidR="007D2352">
        <w:t>. Still, such</w:t>
      </w:r>
      <w:r w:rsidRPr="00EC4FA9">
        <w:t xml:space="preserve"> claims are </w:t>
      </w:r>
      <w:r w:rsidR="00561135" w:rsidRPr="00EC4FA9">
        <w:t>only sometimes</w:t>
      </w:r>
      <w:r w:rsidR="00834CB2" w:rsidRPr="00EC4FA9">
        <w:t xml:space="preserve"> supported by data and thorough assessments</w:t>
      </w:r>
      <w:r w:rsidRPr="00EC4FA9">
        <w:t xml:space="preserve">. </w:t>
      </w:r>
      <w:r w:rsidR="00F80B9C">
        <w:t>The</w:t>
      </w:r>
      <w:r w:rsidR="00F80B9C" w:rsidRPr="00EC4FA9">
        <w:t xml:space="preserve"> </w:t>
      </w:r>
      <w:r w:rsidRPr="00EC4FA9">
        <w:t xml:space="preserve">appraisals </w:t>
      </w:r>
      <w:r w:rsidR="00F80B9C">
        <w:t>rarely</w:t>
      </w:r>
      <w:r w:rsidR="00F80B9C" w:rsidRPr="00EC4FA9">
        <w:t xml:space="preserve"> </w:t>
      </w:r>
      <w:r w:rsidRPr="00EC4FA9">
        <w:t>discuss how long it is possible to live with the current situation</w:t>
      </w:r>
      <w:r w:rsidR="007073B5">
        <w:t>, nor do they</w:t>
      </w:r>
      <w:r w:rsidRPr="00EC4FA9">
        <w:t xml:space="preserve"> discuss remedial measure</w:t>
      </w:r>
      <w:r w:rsidR="007E089E" w:rsidRPr="00EC4FA9">
        <w:t>s</w:t>
      </w:r>
      <w:r w:rsidRPr="00EC4FA9">
        <w:t xml:space="preserve"> that could exten</w:t>
      </w:r>
      <w:r w:rsidR="00D15956" w:rsidRPr="00EC4FA9">
        <w:t>d</w:t>
      </w:r>
      <w:r w:rsidRPr="00EC4FA9">
        <w:t xml:space="preserve"> the service life </w:t>
      </w:r>
      <w:r w:rsidR="007073B5">
        <w:t>of the infrastructure</w:t>
      </w:r>
      <w:r w:rsidRPr="00EC4FA9">
        <w:t xml:space="preserve">. </w:t>
      </w:r>
    </w:p>
    <w:p w14:paraId="4E4F41A5" w14:textId="447FCEA1" w:rsidR="00404D10" w:rsidRPr="00EC4FA9" w:rsidRDefault="0002412A" w:rsidP="00404D10">
      <w:pPr>
        <w:spacing w:before="240" w:after="240" w:line="276" w:lineRule="auto"/>
      </w:pPr>
      <w:r w:rsidRPr="00EC4FA9">
        <w:t>M</w:t>
      </w:r>
      <w:r w:rsidR="00AF490B" w:rsidRPr="00EC4FA9">
        <w:t>any conceptual appraisals seem to</w:t>
      </w:r>
      <w:r w:rsidRPr="00EC4FA9">
        <w:t xml:space="preserve"> define the problem too </w:t>
      </w:r>
      <w:r w:rsidR="00AF490B" w:rsidRPr="00EC4FA9">
        <w:t>narrow</w:t>
      </w:r>
      <w:r w:rsidRPr="00EC4FA9">
        <w:t>ly</w:t>
      </w:r>
      <w:r w:rsidR="002A19DE">
        <w:t xml:space="preserve">, </w:t>
      </w:r>
      <w:r w:rsidR="00485060">
        <w:t xml:space="preserve">the </w:t>
      </w:r>
      <w:r w:rsidR="002A19DE">
        <w:t>result</w:t>
      </w:r>
      <w:r w:rsidR="00485060">
        <w:t xml:space="preserve"> being that a new building is the only solution</w:t>
      </w:r>
      <w:r w:rsidR="006F1383" w:rsidRPr="00EC4FA9">
        <w:t xml:space="preserve">. </w:t>
      </w:r>
      <w:r w:rsidR="00404D10" w:rsidRPr="00EC4FA9">
        <w:t xml:space="preserve">For example, </w:t>
      </w:r>
      <w:r w:rsidR="00C8188C">
        <w:t xml:space="preserve">this is the case for </w:t>
      </w:r>
      <w:r w:rsidR="00404D10" w:rsidRPr="00EC4FA9">
        <w:t xml:space="preserve">some universities, as noted by one </w:t>
      </w:r>
      <w:r w:rsidR="007E089E" w:rsidRPr="00EC4FA9">
        <w:t>informant</w:t>
      </w:r>
      <w:r w:rsidR="00404D10" w:rsidRPr="00EC4FA9">
        <w:t>:</w:t>
      </w:r>
    </w:p>
    <w:p w14:paraId="51964310" w14:textId="08BA1AD0" w:rsidR="00404D10" w:rsidRPr="00EC4FA9" w:rsidRDefault="00404D10" w:rsidP="00404D10">
      <w:pPr>
        <w:ind w:left="708"/>
        <w:rPr>
          <w:rFonts w:eastAsia="Garamond" w:cs="Garamond"/>
          <w:sz w:val="22"/>
          <w:szCs w:val="22"/>
          <w:lang w:eastAsia="nb-NO"/>
        </w:rPr>
      </w:pPr>
      <w:r w:rsidRPr="00EC4FA9">
        <w:rPr>
          <w:sz w:val="22"/>
          <w:szCs w:val="22"/>
        </w:rPr>
        <w:t xml:space="preserve">Many universities set ambitious growth numbers for students and feel they </w:t>
      </w:r>
      <w:r w:rsidR="001803D4" w:rsidRPr="00EC4FA9">
        <w:rPr>
          <w:sz w:val="22"/>
          <w:szCs w:val="22"/>
        </w:rPr>
        <w:t>‘</w:t>
      </w:r>
      <w:r w:rsidRPr="00EC4FA9">
        <w:rPr>
          <w:sz w:val="22"/>
          <w:szCs w:val="22"/>
        </w:rPr>
        <w:t>need</w:t>
      </w:r>
      <w:r w:rsidR="001803D4" w:rsidRPr="00EC4FA9">
        <w:rPr>
          <w:sz w:val="22"/>
          <w:szCs w:val="22"/>
        </w:rPr>
        <w:t>’</w:t>
      </w:r>
      <w:r w:rsidRPr="00EC4FA9">
        <w:rPr>
          <w:sz w:val="22"/>
          <w:szCs w:val="22"/>
        </w:rPr>
        <w:t xml:space="preserve"> to increase capacity, but it could be that other universities have capacity. The numbers don</w:t>
      </w:r>
      <w:r w:rsidR="007E089E" w:rsidRPr="00EC4FA9">
        <w:rPr>
          <w:sz w:val="22"/>
          <w:szCs w:val="22"/>
        </w:rPr>
        <w:t>’</w:t>
      </w:r>
      <w:r w:rsidRPr="00EC4FA9">
        <w:rPr>
          <w:sz w:val="22"/>
          <w:szCs w:val="22"/>
        </w:rPr>
        <w:t>t add up when we aggregate numbers to the national level.</w:t>
      </w:r>
      <w:r w:rsidR="002742F0" w:rsidRPr="00EC4FA9">
        <w:rPr>
          <w:sz w:val="22"/>
          <w:szCs w:val="22"/>
        </w:rPr>
        <w:t xml:space="preserve"> </w:t>
      </w:r>
      <w:r w:rsidRPr="00EC4FA9">
        <w:rPr>
          <w:sz w:val="22"/>
          <w:szCs w:val="22"/>
        </w:rPr>
        <w:t>(Quality assurer)</w:t>
      </w:r>
    </w:p>
    <w:p w14:paraId="0C979AC7" w14:textId="4C773D70" w:rsidR="00404D10" w:rsidRPr="00EC4FA9" w:rsidRDefault="00404D10" w:rsidP="00404D10">
      <w:pPr>
        <w:spacing w:before="240" w:after="240" w:line="276" w:lineRule="auto"/>
      </w:pPr>
      <w:r w:rsidRPr="00EC4FA9">
        <w:lastRenderedPageBreak/>
        <w:t xml:space="preserve">In this case, </w:t>
      </w:r>
      <w:r w:rsidR="00AF490B" w:rsidRPr="00EC4FA9">
        <w:t xml:space="preserve">an acceptable </w:t>
      </w:r>
      <w:r w:rsidRPr="00EC4FA9">
        <w:rPr>
          <w:i/>
          <w:iCs/>
        </w:rPr>
        <w:t>do-nothing</w:t>
      </w:r>
      <w:r w:rsidRPr="00EC4FA9">
        <w:t xml:space="preserve"> alternative could have been to transfer student</w:t>
      </w:r>
      <w:r w:rsidR="007E089E" w:rsidRPr="00EC4FA9">
        <w:t>s</w:t>
      </w:r>
      <w:r w:rsidRPr="00EC4FA9">
        <w:t xml:space="preserve"> to other universities</w:t>
      </w:r>
      <w:r w:rsidR="004270E5">
        <w:t>, but i</w:t>
      </w:r>
      <w:r w:rsidRPr="00EC4FA9">
        <w:t>nstead</w:t>
      </w:r>
      <w:r w:rsidR="007D2352">
        <w:t>,</w:t>
      </w:r>
      <w:r w:rsidRPr="00EC4FA9">
        <w:t xml:space="preserve"> the </w:t>
      </w:r>
      <w:r w:rsidR="007E089E" w:rsidRPr="00EC4FA9">
        <w:t xml:space="preserve">informants </w:t>
      </w:r>
      <w:r w:rsidR="00252CFC" w:rsidRPr="00EC4FA9">
        <w:t xml:space="preserve">described the </w:t>
      </w:r>
      <w:r w:rsidR="00252CFC" w:rsidRPr="00EC4FA9">
        <w:rPr>
          <w:i/>
          <w:iCs/>
        </w:rPr>
        <w:t xml:space="preserve">do-nothing </w:t>
      </w:r>
      <w:r w:rsidR="00252CFC" w:rsidRPr="00EC4FA9">
        <w:t xml:space="preserve">alternative </w:t>
      </w:r>
      <w:r w:rsidRPr="00EC4FA9">
        <w:t xml:space="preserve">as </w:t>
      </w:r>
      <w:r w:rsidR="001803D4" w:rsidRPr="00EC4FA9">
        <w:t>‘</w:t>
      </w:r>
      <w:r w:rsidRPr="00EC4FA9">
        <w:t>unacceptably crowded</w:t>
      </w:r>
      <w:r w:rsidR="001803D4" w:rsidRPr="00EC4FA9">
        <w:t>’</w:t>
      </w:r>
      <w:r w:rsidRPr="00EC4FA9">
        <w:t xml:space="preserve">, and the </w:t>
      </w:r>
      <w:r w:rsidRPr="00EC4FA9">
        <w:rPr>
          <w:i/>
          <w:iCs/>
        </w:rPr>
        <w:t>do-minimum</w:t>
      </w:r>
      <w:r w:rsidRPr="00EC4FA9">
        <w:t xml:space="preserve"> alternative involved expensive rental space in other buildings.</w:t>
      </w:r>
    </w:p>
    <w:p w14:paraId="6CFB24A5" w14:textId="7C09172C" w:rsidR="00C967EC" w:rsidRPr="00EC4FA9" w:rsidRDefault="0082259A" w:rsidP="001D1AA7">
      <w:pPr>
        <w:spacing w:before="120" w:after="120"/>
        <w:rPr>
          <w:b/>
          <w:bCs/>
        </w:rPr>
      </w:pPr>
      <w:r>
        <w:rPr>
          <w:b/>
        </w:rPr>
        <w:t>S</w:t>
      </w:r>
      <w:r w:rsidR="00AF490B" w:rsidRPr="00EC4FA9">
        <w:rPr>
          <w:b/>
        </w:rPr>
        <w:t>tatus quo as a problem</w:t>
      </w:r>
    </w:p>
    <w:p w14:paraId="79B9BE7B" w14:textId="3ED85EF9" w:rsidR="00C967EC" w:rsidRPr="00EC4FA9" w:rsidRDefault="00FA20E2" w:rsidP="00C967EC">
      <w:pPr>
        <w:spacing w:before="240" w:after="240" w:line="276" w:lineRule="auto"/>
      </w:pPr>
      <w:r>
        <w:t>A</w:t>
      </w:r>
      <w:r w:rsidR="00C967EC" w:rsidRPr="00EC4FA9">
        <w:t xml:space="preserve"> distinction should be made between cases where the conceptual appraisal starts from a </w:t>
      </w:r>
      <w:r w:rsidR="00C967EC" w:rsidRPr="005258C0">
        <w:rPr>
          <w:i/>
          <w:iCs/>
        </w:rPr>
        <w:t>problem</w:t>
      </w:r>
      <w:r w:rsidR="00C967EC" w:rsidRPr="00EC4FA9">
        <w:t xml:space="preserve">, in which case many see the </w:t>
      </w:r>
      <w:r w:rsidR="00C967EC" w:rsidRPr="00EC4FA9">
        <w:rPr>
          <w:i/>
          <w:iCs/>
        </w:rPr>
        <w:t>do-nothing</w:t>
      </w:r>
      <w:r w:rsidR="00C967EC" w:rsidRPr="00EC4FA9">
        <w:t xml:space="preserve"> alternative as </w:t>
      </w:r>
      <w:r w:rsidR="008E766A" w:rsidRPr="00EC4FA9">
        <w:t>unacceptable</w:t>
      </w:r>
      <w:r w:rsidR="00C967EC" w:rsidRPr="00EC4FA9">
        <w:t xml:space="preserve">, and cases where investment is </w:t>
      </w:r>
      <w:r w:rsidR="000A435C" w:rsidRPr="00EC4FA9">
        <w:t xml:space="preserve">seen as </w:t>
      </w:r>
      <w:r w:rsidR="00C967EC" w:rsidRPr="00EC4FA9">
        <w:t xml:space="preserve">an </w:t>
      </w:r>
      <w:r w:rsidR="00C967EC" w:rsidRPr="005258C0">
        <w:rPr>
          <w:i/>
          <w:iCs/>
        </w:rPr>
        <w:t>opportunity</w:t>
      </w:r>
      <w:r w:rsidR="00C967EC" w:rsidRPr="00EC4FA9">
        <w:t xml:space="preserve"> for growth.</w:t>
      </w:r>
    </w:p>
    <w:p w14:paraId="65CD6E4A" w14:textId="49A4DEAE" w:rsidR="00C967EC" w:rsidRPr="00EC4FA9" w:rsidRDefault="009B192D" w:rsidP="00C967EC">
      <w:pPr>
        <w:spacing w:before="240" w:after="240" w:line="276" w:lineRule="auto"/>
      </w:pPr>
      <w:r w:rsidRPr="00EC4FA9">
        <w:t xml:space="preserve">Figure </w:t>
      </w:r>
      <w:r w:rsidR="00987EA4">
        <w:t>3</w:t>
      </w:r>
      <w:r w:rsidR="000578ED" w:rsidRPr="00EC4FA9">
        <w:t xml:space="preserve"> shows the extent to which non-investment was considered a problem</w:t>
      </w:r>
      <w:r w:rsidR="009A2A4E">
        <w:t xml:space="preserve"> in the appraisals</w:t>
      </w:r>
      <w:r w:rsidR="000578ED" w:rsidRPr="00EC4FA9">
        <w:t xml:space="preserve">. </w:t>
      </w:r>
      <w:r w:rsidR="00F554A5" w:rsidRPr="00EC4FA9">
        <w:t>A</w:t>
      </w:r>
      <w:r w:rsidR="00C967EC" w:rsidRPr="00EC4FA9">
        <w:t>bout one-</w:t>
      </w:r>
      <w:r w:rsidR="000A435C" w:rsidRPr="00EC4FA9">
        <w:t>quarter</w:t>
      </w:r>
      <w:r w:rsidR="00C967EC" w:rsidRPr="00EC4FA9">
        <w:t xml:space="preserve"> of the appraisals (26%) </w:t>
      </w:r>
      <w:r w:rsidR="00F554A5" w:rsidRPr="00EC4FA9">
        <w:t>describe</w:t>
      </w:r>
      <w:r w:rsidR="008C6354">
        <w:t>d</w:t>
      </w:r>
      <w:r w:rsidR="00C967EC" w:rsidRPr="00EC4FA9">
        <w:t xml:space="preserve"> a current</w:t>
      </w:r>
      <w:r w:rsidR="000A435C" w:rsidRPr="00EC4FA9">
        <w:t>ly</w:t>
      </w:r>
      <w:r w:rsidR="00C967EC" w:rsidRPr="00EC4FA9">
        <w:t xml:space="preserve"> untenable situation. </w:t>
      </w:r>
      <w:r w:rsidR="00F554A5" w:rsidRPr="00EC4FA9">
        <w:t>E</w:t>
      </w:r>
      <w:r w:rsidR="00892A9F">
        <w:t>xtreme e</w:t>
      </w:r>
      <w:r w:rsidR="00F554A5" w:rsidRPr="00EC4FA9">
        <w:t xml:space="preserve">xamples are buildings in such poor condition that employees suffer from health problems. At the other end of the scale are appraisals (22%) </w:t>
      </w:r>
      <w:r w:rsidR="00AA10D8">
        <w:t>in which</w:t>
      </w:r>
      <w:r w:rsidR="00F554A5" w:rsidRPr="00EC4FA9">
        <w:t xml:space="preserve"> investment </w:t>
      </w:r>
      <w:r w:rsidR="00AA10D8">
        <w:t xml:space="preserve">is </w:t>
      </w:r>
      <w:r w:rsidR="00F554A5" w:rsidRPr="00EC4FA9">
        <w:t>represent</w:t>
      </w:r>
      <w:r w:rsidR="00AA10D8">
        <w:t>ed as</w:t>
      </w:r>
      <w:r w:rsidR="00F554A5" w:rsidRPr="00EC4FA9">
        <w:t xml:space="preserve"> more of an opportunity. An example is the new crossing over the Oslofjord to replace today’s ferry service, which would reduce barriers and contribute to developing a joint labour market on both sides. I</w:t>
      </w:r>
      <w:r w:rsidR="00C967EC" w:rsidRPr="00EC4FA9">
        <w:t xml:space="preserve">n </w:t>
      </w:r>
      <w:r w:rsidR="00F554A5" w:rsidRPr="00EC4FA9">
        <w:t xml:space="preserve">the remaining </w:t>
      </w:r>
      <w:r w:rsidR="00C967EC" w:rsidRPr="00EC4FA9">
        <w:t>52%</w:t>
      </w:r>
      <w:r w:rsidR="00F554A5" w:rsidRPr="00EC4FA9">
        <w:t xml:space="preserve"> of the cases</w:t>
      </w:r>
      <w:r w:rsidR="00445160" w:rsidRPr="00EC4FA9">
        <w:t>,</w:t>
      </w:r>
      <w:r w:rsidR="00C967EC" w:rsidRPr="00EC4FA9">
        <w:t xml:space="preserve"> it is </w:t>
      </w:r>
      <w:r w:rsidR="00C967EC" w:rsidRPr="00EC4FA9">
        <w:rPr>
          <w:i/>
          <w:iCs/>
        </w:rPr>
        <w:t>argued</w:t>
      </w:r>
      <w:r w:rsidR="00C967EC" w:rsidRPr="00EC4FA9">
        <w:t xml:space="preserve"> that </w:t>
      </w:r>
      <w:r w:rsidR="004270E5">
        <w:t xml:space="preserve">the </w:t>
      </w:r>
      <w:r w:rsidR="00C967EC" w:rsidRPr="00EC4FA9">
        <w:t>status quo is a problem</w:t>
      </w:r>
      <w:r w:rsidR="00F554A5" w:rsidRPr="00EC4FA9">
        <w:t xml:space="preserve">, but </w:t>
      </w:r>
      <w:r w:rsidR="00C967EC" w:rsidRPr="00EC4FA9">
        <w:t>the argumentation backing this varies in credibility</w:t>
      </w:r>
      <w:r w:rsidR="00EF0858">
        <w:t xml:space="preserve"> (researchers’ assessments)</w:t>
      </w:r>
      <w:r w:rsidR="00C967EC" w:rsidRPr="00EC4FA9">
        <w:t xml:space="preserve">. </w:t>
      </w:r>
    </w:p>
    <w:p w14:paraId="29B78311" w14:textId="453E7779" w:rsidR="00B55091" w:rsidRPr="00EC4FA9" w:rsidRDefault="00B55091" w:rsidP="00DF4942">
      <w:r w:rsidRPr="00EC4FA9">
        <w:rPr>
          <w:noProof/>
        </w:rPr>
        <w:drawing>
          <wp:inline distT="0" distB="0" distL="0" distR="0" wp14:anchorId="1ED9201E" wp14:editId="01D79A87">
            <wp:extent cx="3545134" cy="2126589"/>
            <wp:effectExtent l="0" t="0" r="0" b="7620"/>
            <wp:docPr id="156290199" name="Picture 156290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56953" cy="2133679"/>
                    </a:xfrm>
                    <a:prstGeom prst="rect">
                      <a:avLst/>
                    </a:prstGeom>
                    <a:noFill/>
                    <a:ln>
                      <a:noFill/>
                    </a:ln>
                  </pic:spPr>
                </pic:pic>
              </a:graphicData>
            </a:graphic>
          </wp:inline>
        </w:drawing>
      </w:r>
    </w:p>
    <w:p w14:paraId="104DD54A" w14:textId="15D8F8C7" w:rsidR="009C0B95" w:rsidRPr="00EC4FA9" w:rsidRDefault="009C0B95" w:rsidP="009C0B95">
      <w:pPr>
        <w:pStyle w:val="Caption"/>
        <w:keepNext/>
      </w:pPr>
      <w:r w:rsidRPr="00EC4FA9">
        <w:t xml:space="preserve">Figure </w:t>
      </w:r>
      <w:r w:rsidR="00987EA4">
        <w:t>3</w:t>
      </w:r>
      <w:r>
        <w:t>.</w:t>
      </w:r>
      <w:r w:rsidRPr="00EC4FA9">
        <w:t xml:space="preserve"> Was non-investment considered a problem in the appraisals?</w:t>
      </w:r>
      <w:r w:rsidR="00D72E85">
        <w:t xml:space="preserve"> (researchers’ assessment)</w:t>
      </w:r>
      <w:r w:rsidRPr="00EC4FA9">
        <w:t xml:space="preserve"> (N</w:t>
      </w:r>
      <w:r>
        <w:t xml:space="preserve"> </w:t>
      </w:r>
      <w:r w:rsidRPr="00EC4FA9">
        <w:t>=</w:t>
      </w:r>
      <w:r>
        <w:t xml:space="preserve"> </w:t>
      </w:r>
      <w:r w:rsidRPr="00EC4FA9">
        <w:t>112)</w:t>
      </w:r>
    </w:p>
    <w:p w14:paraId="2F9C6399" w14:textId="3C66E098" w:rsidR="00C967EC" w:rsidRPr="00EC4FA9" w:rsidRDefault="006608A2" w:rsidP="00C967EC">
      <w:pPr>
        <w:spacing w:before="240" w:after="240" w:line="276" w:lineRule="auto"/>
      </w:pPr>
      <w:r w:rsidRPr="00EC4FA9">
        <w:t>W</w:t>
      </w:r>
      <w:r w:rsidR="00F554A5" w:rsidRPr="00EC4FA9">
        <w:t xml:space="preserve">e </w:t>
      </w:r>
      <w:r w:rsidR="0080309A">
        <w:t>found</w:t>
      </w:r>
      <w:r w:rsidR="00F554A5" w:rsidRPr="00EC4FA9">
        <w:t xml:space="preserve"> that</w:t>
      </w:r>
      <w:r w:rsidR="00C967EC" w:rsidRPr="00EC4FA9">
        <w:t xml:space="preserve"> problems and opportunities are often mixed </w:t>
      </w:r>
      <w:r w:rsidR="00F554A5" w:rsidRPr="00EC4FA9">
        <w:t xml:space="preserve">in the appraisals, which </w:t>
      </w:r>
      <w:r w:rsidRPr="00EC4FA9">
        <w:t xml:space="preserve">generally </w:t>
      </w:r>
      <w:r w:rsidR="00F554A5" w:rsidRPr="00EC4FA9">
        <w:t>refer to all unfulfilled goals as ‘problems’</w:t>
      </w:r>
      <w:r w:rsidR="00AC452F" w:rsidRPr="00AC452F">
        <w:t xml:space="preserve"> </w:t>
      </w:r>
      <w:r w:rsidR="00AC452F">
        <w:t xml:space="preserve">and therefore </w:t>
      </w:r>
      <w:r w:rsidR="00AC452F" w:rsidRPr="00EC4FA9">
        <w:t>sift out all but full-scale investment alternatives</w:t>
      </w:r>
      <w:r w:rsidR="00C967EC" w:rsidRPr="00EC4FA9">
        <w:t xml:space="preserve">. While some </w:t>
      </w:r>
      <w:r w:rsidR="00641C73" w:rsidRPr="00EC4FA9">
        <w:t>of the</w:t>
      </w:r>
      <w:r w:rsidR="00C967EC" w:rsidRPr="00EC4FA9">
        <w:t xml:space="preserve"> problems</w:t>
      </w:r>
      <w:r w:rsidR="00641C73" w:rsidRPr="00EC4FA9">
        <w:t xml:space="preserve"> </w:t>
      </w:r>
      <w:r w:rsidR="00F554A5" w:rsidRPr="00EC4FA9">
        <w:t xml:space="preserve">are </w:t>
      </w:r>
      <w:r w:rsidRPr="00EC4FA9">
        <w:t>well-justified</w:t>
      </w:r>
      <w:r w:rsidR="00C967EC" w:rsidRPr="00EC4FA9">
        <w:t>, other</w:t>
      </w:r>
      <w:r w:rsidR="00641C73" w:rsidRPr="00EC4FA9">
        <w:t>s</w:t>
      </w:r>
      <w:r w:rsidR="00C967EC" w:rsidRPr="00EC4FA9">
        <w:t xml:space="preserve"> are</w:t>
      </w:r>
      <w:r w:rsidR="00445160" w:rsidRPr="00EC4FA9">
        <w:t>,</w:t>
      </w:r>
      <w:r w:rsidR="00C967EC" w:rsidRPr="00EC4FA9">
        <w:t xml:space="preserve"> </w:t>
      </w:r>
      <w:r w:rsidR="000944DF" w:rsidRPr="00EC4FA9">
        <w:t>in our view</w:t>
      </w:r>
      <w:r w:rsidR="00445160" w:rsidRPr="00EC4FA9">
        <w:t>,</w:t>
      </w:r>
      <w:r w:rsidR="00C967EC" w:rsidRPr="00EC4FA9">
        <w:t xml:space="preserve"> </w:t>
      </w:r>
      <w:r w:rsidR="007A7144">
        <w:t>dreams</w:t>
      </w:r>
      <w:r w:rsidR="007A7144" w:rsidRPr="00EC4FA9">
        <w:t xml:space="preserve"> </w:t>
      </w:r>
      <w:r w:rsidR="00C967EC" w:rsidRPr="00EC4FA9">
        <w:t>and aspirations</w:t>
      </w:r>
      <w:r w:rsidR="00641C73" w:rsidRPr="00EC4FA9">
        <w:t xml:space="preserve">. </w:t>
      </w:r>
      <w:r w:rsidR="00C967EC" w:rsidRPr="00EC4FA9">
        <w:t xml:space="preserve">In such cases, a </w:t>
      </w:r>
      <w:r w:rsidR="00C967EC" w:rsidRPr="00EC4FA9">
        <w:rPr>
          <w:i/>
          <w:iCs/>
        </w:rPr>
        <w:t>do-minimum</w:t>
      </w:r>
      <w:r w:rsidR="00C967EC" w:rsidRPr="00EC4FA9">
        <w:t xml:space="preserve"> alternative </w:t>
      </w:r>
      <w:r w:rsidR="000439DE" w:rsidRPr="00EC4FA9">
        <w:t xml:space="preserve">could have been developed </w:t>
      </w:r>
      <w:r w:rsidR="00C967EC" w:rsidRPr="00EC4FA9">
        <w:t>to solve the</w:t>
      </w:r>
      <w:r w:rsidRPr="00EC4FA9">
        <w:t xml:space="preserve"> </w:t>
      </w:r>
      <w:r w:rsidR="00C967EC" w:rsidRPr="00EC4FA9">
        <w:t xml:space="preserve">critical problems while accepting that </w:t>
      </w:r>
      <w:r w:rsidR="00F554A5" w:rsidRPr="00EC4FA9">
        <w:t>other demands</w:t>
      </w:r>
      <w:r w:rsidR="00C967EC" w:rsidRPr="00EC4FA9">
        <w:t xml:space="preserve"> </w:t>
      </w:r>
      <w:r w:rsidR="0080309A">
        <w:t>would have been</w:t>
      </w:r>
      <w:r w:rsidR="00C967EC" w:rsidRPr="00EC4FA9">
        <w:t xml:space="preserve"> left unanswered. </w:t>
      </w:r>
      <w:r w:rsidR="00AC452F">
        <w:t xml:space="preserve"> </w:t>
      </w:r>
    </w:p>
    <w:p w14:paraId="1DA5B415" w14:textId="2D6E2B8C" w:rsidR="00C967EC" w:rsidRPr="00EC4FA9" w:rsidRDefault="00C967EC" w:rsidP="00C967EC">
      <w:r w:rsidRPr="00EC4FA9">
        <w:t xml:space="preserve">Some </w:t>
      </w:r>
      <w:r w:rsidR="000439DE" w:rsidRPr="00EC4FA9">
        <w:t xml:space="preserve">informants </w:t>
      </w:r>
      <w:r w:rsidRPr="00EC4FA9">
        <w:t>argue</w:t>
      </w:r>
      <w:r w:rsidR="000439DE" w:rsidRPr="00EC4FA9">
        <w:t>d</w:t>
      </w:r>
      <w:r w:rsidRPr="00EC4FA9">
        <w:t xml:space="preserve"> that</w:t>
      </w:r>
      <w:r w:rsidR="00125384">
        <w:t>,</w:t>
      </w:r>
      <w:r w:rsidRPr="00EC4FA9">
        <w:t xml:space="preserve"> in the case of opportunities, it </w:t>
      </w:r>
      <w:r w:rsidR="00641C73" w:rsidRPr="00EC4FA9">
        <w:t xml:space="preserve">should be </w:t>
      </w:r>
      <w:r w:rsidRPr="00EC4FA9">
        <w:t xml:space="preserve">easier to define the </w:t>
      </w:r>
      <w:r w:rsidRPr="00EC4FA9">
        <w:rPr>
          <w:i/>
          <w:iCs/>
        </w:rPr>
        <w:t>do-nothing</w:t>
      </w:r>
      <w:r w:rsidRPr="00EC4FA9">
        <w:t xml:space="preserve"> alternative as </w:t>
      </w:r>
      <w:r w:rsidR="001803D4" w:rsidRPr="00EC4FA9">
        <w:t>‘</w:t>
      </w:r>
      <w:r w:rsidRPr="00EC4FA9">
        <w:t>business as usual</w:t>
      </w:r>
      <w:r w:rsidR="001803D4" w:rsidRPr="00EC4FA9">
        <w:t>’</w:t>
      </w:r>
      <w:r w:rsidR="00445160" w:rsidRPr="00EC4FA9">
        <w:t xml:space="preserve">. </w:t>
      </w:r>
      <w:r w:rsidR="00B55091" w:rsidRPr="00EC4FA9">
        <w:t>By</w:t>
      </w:r>
      <w:r w:rsidR="00445160" w:rsidRPr="00EC4FA9">
        <w:t xml:space="preserve"> contrast, in</w:t>
      </w:r>
      <w:r w:rsidRPr="00EC4FA9">
        <w:t xml:space="preserve"> the case of problems</w:t>
      </w:r>
      <w:r w:rsidR="00445160" w:rsidRPr="00EC4FA9">
        <w:t>,</w:t>
      </w:r>
      <w:r w:rsidRPr="00EC4FA9">
        <w:t xml:space="preserve"> it </w:t>
      </w:r>
      <w:r w:rsidR="000439DE" w:rsidRPr="00EC4FA9">
        <w:t>might</w:t>
      </w:r>
      <w:r w:rsidRPr="00EC4FA9">
        <w:t xml:space="preserve"> be necessary to do </w:t>
      </w:r>
      <w:r w:rsidR="001803D4" w:rsidRPr="00EC4FA9">
        <w:t>‘</w:t>
      </w:r>
      <w:r w:rsidRPr="00EC4FA9">
        <w:t>something</w:t>
      </w:r>
      <w:r w:rsidR="001803D4" w:rsidRPr="00EC4FA9">
        <w:t>’</w:t>
      </w:r>
      <w:r w:rsidRPr="00EC4FA9">
        <w:t xml:space="preserve">, </w:t>
      </w:r>
      <w:r w:rsidR="000439DE" w:rsidRPr="00EC4FA9">
        <w:t xml:space="preserve">thus </w:t>
      </w:r>
      <w:r w:rsidRPr="00EC4FA9">
        <w:t xml:space="preserve">indicating that </w:t>
      </w:r>
      <w:r w:rsidRPr="00EC4FA9">
        <w:rPr>
          <w:i/>
          <w:iCs/>
        </w:rPr>
        <w:t>do-minimum</w:t>
      </w:r>
      <w:r w:rsidRPr="00EC4FA9">
        <w:t xml:space="preserve"> may be </w:t>
      </w:r>
      <w:r w:rsidR="006608A2" w:rsidRPr="00EC4FA9">
        <w:t xml:space="preserve">a </w:t>
      </w:r>
      <w:r w:rsidRPr="00EC4FA9">
        <w:t>more relevant</w:t>
      </w:r>
      <w:r w:rsidR="006608A2" w:rsidRPr="00EC4FA9">
        <w:t xml:space="preserve"> baseline</w:t>
      </w:r>
      <w:r w:rsidRPr="00EC4FA9">
        <w:t>.</w:t>
      </w:r>
    </w:p>
    <w:p w14:paraId="7C9C8F0B" w14:textId="3FA7FE28" w:rsidR="00636F29" w:rsidRPr="00EC4FA9" w:rsidRDefault="00C74551" w:rsidP="001D1AA7">
      <w:pPr>
        <w:spacing w:before="120" w:after="120" w:line="276" w:lineRule="auto"/>
      </w:pPr>
      <w:bookmarkStart w:id="24" w:name="_Hlk143003076"/>
      <w:r w:rsidRPr="00EC4FA9">
        <w:rPr>
          <w:b/>
        </w:rPr>
        <w:t xml:space="preserve">The </w:t>
      </w:r>
      <w:r w:rsidR="000944DF" w:rsidRPr="00EC4FA9">
        <w:rPr>
          <w:b/>
        </w:rPr>
        <w:t>requirement to include</w:t>
      </w:r>
      <w:r w:rsidR="0021173F" w:rsidRPr="00EC4FA9">
        <w:rPr>
          <w:b/>
        </w:rPr>
        <w:t xml:space="preserve"> only</w:t>
      </w:r>
      <w:r w:rsidRPr="00EC4FA9">
        <w:rPr>
          <w:b/>
        </w:rPr>
        <w:t xml:space="preserve"> </w:t>
      </w:r>
      <w:r w:rsidR="002D6589">
        <w:rPr>
          <w:b/>
        </w:rPr>
        <w:t>sanctioned projects</w:t>
      </w:r>
      <w:r w:rsidRPr="00EC4FA9">
        <w:rPr>
          <w:b/>
        </w:rPr>
        <w:t xml:space="preserve"> </w:t>
      </w:r>
      <w:r w:rsidR="00917B65">
        <w:rPr>
          <w:b/>
        </w:rPr>
        <w:t>renders</w:t>
      </w:r>
      <w:r w:rsidRPr="00EC4FA9">
        <w:rPr>
          <w:b/>
        </w:rPr>
        <w:t xml:space="preserve"> the </w:t>
      </w:r>
      <w:r w:rsidRPr="00EC4FA9">
        <w:rPr>
          <w:b/>
          <w:i/>
          <w:iCs/>
        </w:rPr>
        <w:t>do-nothing</w:t>
      </w:r>
      <w:r w:rsidRPr="00EC4FA9">
        <w:rPr>
          <w:b/>
        </w:rPr>
        <w:t xml:space="preserve"> </w:t>
      </w:r>
      <w:r w:rsidR="00494132" w:rsidRPr="00EC4FA9">
        <w:rPr>
          <w:b/>
        </w:rPr>
        <w:t>alternative</w:t>
      </w:r>
      <w:r w:rsidRPr="00EC4FA9">
        <w:rPr>
          <w:b/>
        </w:rPr>
        <w:t xml:space="preserve"> less realistic</w:t>
      </w:r>
    </w:p>
    <w:p w14:paraId="066F2B9D" w14:textId="43D15715" w:rsidR="00834CB2" w:rsidRPr="00EC4FA9" w:rsidRDefault="003E355A" w:rsidP="00B12C03">
      <w:pPr>
        <w:spacing w:before="240" w:after="240" w:line="276" w:lineRule="auto"/>
      </w:pPr>
      <w:r w:rsidRPr="00EC4FA9">
        <w:lastRenderedPageBreak/>
        <w:t xml:space="preserve">CBA guidelines </w:t>
      </w:r>
      <w:r w:rsidR="006154B8">
        <w:t xml:space="preserve">require </w:t>
      </w:r>
      <w:r w:rsidR="00C74551" w:rsidRPr="00EC4FA9">
        <w:t xml:space="preserve">that only </w:t>
      </w:r>
      <w:r w:rsidR="0092720B" w:rsidRPr="00EC4FA9">
        <w:t>committed</w:t>
      </w:r>
      <w:r w:rsidR="00C74551" w:rsidRPr="00EC4FA9">
        <w:t xml:space="preserve"> </w:t>
      </w:r>
      <w:r w:rsidRPr="00EC4FA9">
        <w:t>policy</w:t>
      </w:r>
      <w:r w:rsidR="00C74551" w:rsidRPr="00EC4FA9">
        <w:t xml:space="preserve"> be included in the </w:t>
      </w:r>
      <w:r w:rsidRPr="00EC4FA9">
        <w:t>base</w:t>
      </w:r>
      <w:r w:rsidR="000944DF" w:rsidRPr="00EC4FA9">
        <w:t>line</w:t>
      </w:r>
      <w:r w:rsidR="00C74551" w:rsidRPr="00EC4FA9">
        <w:t xml:space="preserve">. </w:t>
      </w:r>
      <w:bookmarkEnd w:id="24"/>
      <w:r w:rsidR="00834CB2" w:rsidRPr="00EC4FA9">
        <w:t xml:space="preserve">This is </w:t>
      </w:r>
      <w:r w:rsidR="006608A2" w:rsidRPr="00EC4FA9">
        <w:t>particularly relevant</w:t>
      </w:r>
      <w:r w:rsidR="00C63148" w:rsidRPr="00EC4FA9">
        <w:t xml:space="preserve"> </w:t>
      </w:r>
      <w:r w:rsidR="0027305A" w:rsidRPr="00EC4FA9">
        <w:t xml:space="preserve">in the appraisal of </w:t>
      </w:r>
      <w:r w:rsidR="00C63148" w:rsidRPr="00EC4FA9">
        <w:t>transport projects</w:t>
      </w:r>
      <w:r w:rsidR="00A86231" w:rsidRPr="00EC4FA9">
        <w:t>, where</w:t>
      </w:r>
      <w:r w:rsidR="004141E5" w:rsidRPr="00EC4FA9">
        <w:t xml:space="preserve"> adjacent</w:t>
      </w:r>
      <w:r w:rsidR="00860088" w:rsidRPr="00EC4FA9">
        <w:t xml:space="preserve"> or </w:t>
      </w:r>
      <w:r w:rsidR="00917B65">
        <w:t>preceding</w:t>
      </w:r>
      <w:r w:rsidR="00860088" w:rsidRPr="00EC4FA9">
        <w:t xml:space="preserve">/subsequent projects may affect </w:t>
      </w:r>
      <w:r w:rsidR="00445160" w:rsidRPr="00EC4FA9">
        <w:t xml:space="preserve">the </w:t>
      </w:r>
      <w:r w:rsidR="000145CE">
        <w:t>new investment’s</w:t>
      </w:r>
      <w:r w:rsidR="000145CE" w:rsidRPr="00EC4FA9">
        <w:t xml:space="preserve"> </w:t>
      </w:r>
      <w:r w:rsidR="00445160" w:rsidRPr="00EC4FA9">
        <w:t>costs and benefits</w:t>
      </w:r>
      <w:r w:rsidR="00C63148" w:rsidRPr="00EC4FA9">
        <w:t xml:space="preserve">. </w:t>
      </w:r>
      <w:r w:rsidR="00017216">
        <w:t xml:space="preserve"> </w:t>
      </w:r>
    </w:p>
    <w:p w14:paraId="58A38791" w14:textId="4AC6CC1C" w:rsidR="00857EAE" w:rsidRPr="00EC4FA9" w:rsidRDefault="00A34925" w:rsidP="00B12C03">
      <w:pPr>
        <w:spacing w:before="240" w:after="240" w:line="276" w:lineRule="auto"/>
      </w:pPr>
      <w:r>
        <w:t>The i</w:t>
      </w:r>
      <w:r w:rsidR="00341AFC" w:rsidRPr="00EC4FA9">
        <w:t xml:space="preserve">nformants </w:t>
      </w:r>
      <w:r>
        <w:t>considered</w:t>
      </w:r>
      <w:r w:rsidR="00341AFC" w:rsidRPr="00EC4FA9">
        <w:t xml:space="preserve"> </w:t>
      </w:r>
      <w:r w:rsidR="00917B65">
        <w:t>that</w:t>
      </w:r>
      <w:r w:rsidR="00125384">
        <w:t>,</w:t>
      </w:r>
      <w:r w:rsidR="00917B65">
        <w:t xml:space="preserve"> in principle, it is reasonable to </w:t>
      </w:r>
      <w:r w:rsidR="006B68CA" w:rsidRPr="00EC4FA9">
        <w:t xml:space="preserve">include </w:t>
      </w:r>
      <w:r w:rsidR="00943D5C" w:rsidRPr="00EC4FA9">
        <w:t xml:space="preserve">only </w:t>
      </w:r>
      <w:r w:rsidR="006B68CA" w:rsidRPr="00EC4FA9">
        <w:t>sanctioned projects</w:t>
      </w:r>
      <w:r w:rsidR="00341AFC" w:rsidRPr="00EC4FA9">
        <w:t xml:space="preserve"> in the baseline</w:t>
      </w:r>
      <w:r w:rsidR="00445160" w:rsidRPr="00EC4FA9">
        <w:t>, and that the appraisal could more easily be manipulated without it</w:t>
      </w:r>
      <w:r w:rsidR="00917B65">
        <w:t xml:space="preserve">. </w:t>
      </w:r>
      <w:r>
        <w:t>However, the requirement</w:t>
      </w:r>
      <w:r w:rsidR="009818B4" w:rsidRPr="00EC4FA9">
        <w:t xml:space="preserve"> </w:t>
      </w:r>
      <w:r w:rsidR="00B5468C">
        <w:t>may render</w:t>
      </w:r>
      <w:r w:rsidR="009818B4" w:rsidRPr="00EC4FA9">
        <w:t xml:space="preserve"> the </w:t>
      </w:r>
      <w:r w:rsidR="009818B4" w:rsidRPr="00EC4FA9">
        <w:rPr>
          <w:i/>
          <w:iCs/>
        </w:rPr>
        <w:t>do-nothing</w:t>
      </w:r>
      <w:r w:rsidR="009818B4" w:rsidRPr="00EC4FA9">
        <w:t xml:space="preserve"> </w:t>
      </w:r>
      <w:r w:rsidR="00494132" w:rsidRPr="00EC4FA9">
        <w:t>alternative</w:t>
      </w:r>
      <w:r w:rsidR="009818B4" w:rsidRPr="00EC4FA9">
        <w:t xml:space="preserve"> </w:t>
      </w:r>
      <w:r w:rsidR="00341AFC" w:rsidRPr="00EC4FA9">
        <w:t>un</w:t>
      </w:r>
      <w:r w:rsidR="009818B4" w:rsidRPr="00EC4FA9">
        <w:t>realistic</w:t>
      </w:r>
      <w:r w:rsidR="00D000CF" w:rsidRPr="00EC4FA9">
        <w:t>.</w:t>
      </w:r>
      <w:r w:rsidR="00E7644E" w:rsidRPr="00EC4FA9">
        <w:t xml:space="preserve"> </w:t>
      </w:r>
      <w:r w:rsidR="001B7938">
        <w:t>There are often adjacent projects which are</w:t>
      </w:r>
      <w:r w:rsidR="00096F1D">
        <w:t xml:space="preserve"> likely to be reali</w:t>
      </w:r>
      <w:r w:rsidR="00125384">
        <w:t>s</w:t>
      </w:r>
      <w:r w:rsidR="00096F1D">
        <w:t xml:space="preserve">ed. </w:t>
      </w:r>
      <w:r w:rsidR="00E7644E" w:rsidRPr="00EC4FA9">
        <w:t xml:space="preserve">The </w:t>
      </w:r>
      <w:r w:rsidR="00445160" w:rsidRPr="00EC4FA9">
        <w:t>analysis period</w:t>
      </w:r>
      <w:r w:rsidR="00E7644E" w:rsidRPr="00EC4FA9">
        <w:t xml:space="preserve"> is often long (40 years or more)</w:t>
      </w:r>
      <w:r w:rsidR="00C36BAB">
        <w:t>,</w:t>
      </w:r>
      <w:r w:rsidR="00E7644E" w:rsidRPr="00EC4FA9">
        <w:t xml:space="preserve"> and it is not </w:t>
      </w:r>
      <w:r w:rsidR="00641C73" w:rsidRPr="00EC4FA9">
        <w:t>a realistic assumption</w:t>
      </w:r>
      <w:r w:rsidR="00E7644E" w:rsidRPr="00EC4FA9">
        <w:t xml:space="preserve"> that</w:t>
      </w:r>
      <w:r w:rsidR="00854793" w:rsidRPr="00EC4FA9">
        <w:t xml:space="preserve"> </w:t>
      </w:r>
      <w:r w:rsidR="00641C73" w:rsidRPr="00EC4FA9">
        <w:t xml:space="preserve">no </w:t>
      </w:r>
      <w:r w:rsidR="00854793" w:rsidRPr="00EC4FA9">
        <w:t>more infrastructure will be built during th</w:t>
      </w:r>
      <w:r w:rsidR="00943D5C" w:rsidRPr="00EC4FA9">
        <w:t>at</w:t>
      </w:r>
      <w:r w:rsidR="00854793" w:rsidRPr="00EC4FA9">
        <w:t xml:space="preserve"> time.</w:t>
      </w:r>
      <w:r w:rsidR="00857EAE" w:rsidRPr="00EC4FA9">
        <w:t xml:space="preserve"> </w:t>
      </w:r>
    </w:p>
    <w:p w14:paraId="03983D59" w14:textId="2770C47D" w:rsidR="00B12C03" w:rsidRPr="00EC4FA9" w:rsidRDefault="00857EAE" w:rsidP="00B12C03">
      <w:pPr>
        <w:spacing w:before="240" w:after="240" w:line="276" w:lineRule="auto"/>
      </w:pPr>
      <w:r w:rsidRPr="00EC4FA9">
        <w:t>The solution suggested by some informants</w:t>
      </w:r>
      <w:r w:rsidR="00943D5C" w:rsidRPr="00EC4FA9">
        <w:t xml:space="preserve"> was</w:t>
      </w:r>
      <w:r w:rsidRPr="00EC4FA9">
        <w:t xml:space="preserve"> to </w:t>
      </w:r>
      <w:r w:rsidR="00A534D3">
        <w:t>conduct sensitivity analyses to demonstrate the effect with and without non-committed projects</w:t>
      </w:r>
      <w:r w:rsidRPr="00EC4FA9">
        <w:t xml:space="preserve">. </w:t>
      </w:r>
      <w:r w:rsidR="003E202B" w:rsidRPr="00EC4FA9">
        <w:t>Hardly any</w:t>
      </w:r>
      <w:r w:rsidR="00341AFC" w:rsidRPr="00EC4FA9">
        <w:t xml:space="preserve"> of the studied appraisals do this</w:t>
      </w:r>
      <w:r w:rsidRPr="00EC4FA9">
        <w:t>.</w:t>
      </w:r>
    </w:p>
    <w:p w14:paraId="78B8132E" w14:textId="2C2EA73C" w:rsidR="00716852" w:rsidRPr="00EC4FA9" w:rsidRDefault="00C206D2" w:rsidP="001D1AA7">
      <w:pPr>
        <w:spacing w:before="120" w:after="120" w:line="276" w:lineRule="auto"/>
      </w:pPr>
      <w:r w:rsidRPr="00EC4FA9">
        <w:rPr>
          <w:b/>
        </w:rPr>
        <w:t>Political goals</w:t>
      </w:r>
      <w:r w:rsidR="00C74551" w:rsidRPr="00EC4FA9">
        <w:rPr>
          <w:b/>
        </w:rPr>
        <w:t xml:space="preserve"> conflict with demand </w:t>
      </w:r>
      <w:r w:rsidR="00E72AF0" w:rsidRPr="00EC4FA9">
        <w:rPr>
          <w:b/>
        </w:rPr>
        <w:t>forecasts</w:t>
      </w:r>
      <w:r w:rsidR="00341AFC" w:rsidRPr="00EC4FA9">
        <w:rPr>
          <w:b/>
        </w:rPr>
        <w:t xml:space="preserve"> in the baseline</w:t>
      </w:r>
    </w:p>
    <w:p w14:paraId="1F2404FC" w14:textId="3454E6A6" w:rsidR="0075164C" w:rsidRDefault="00555E3D" w:rsidP="00716852">
      <w:pPr>
        <w:spacing w:before="240" w:after="240" w:line="276" w:lineRule="auto"/>
      </w:pPr>
      <w:r w:rsidRPr="00EC4FA9">
        <w:t>Most</w:t>
      </w:r>
      <w:r w:rsidR="007B7862" w:rsidRPr="00EC4FA9">
        <w:t xml:space="preserve"> appraisals build on </w:t>
      </w:r>
      <w:r w:rsidR="00635E5C" w:rsidRPr="00EC4FA9">
        <w:t>various</w:t>
      </w:r>
      <w:r w:rsidR="007B7862" w:rsidRPr="00EC4FA9">
        <w:t xml:space="preserve"> </w:t>
      </w:r>
      <w:r w:rsidR="0078747F" w:rsidRPr="00EC4FA9">
        <w:t>demand</w:t>
      </w:r>
      <w:r w:rsidRPr="00EC4FA9">
        <w:t xml:space="preserve"> forecasts</w:t>
      </w:r>
      <w:r w:rsidR="00635E5C" w:rsidRPr="00EC4FA9">
        <w:t xml:space="preserve">, </w:t>
      </w:r>
      <w:r w:rsidR="00465C12">
        <w:t>such as</w:t>
      </w:r>
      <w:r w:rsidR="00635E5C" w:rsidRPr="00EC4FA9">
        <w:t xml:space="preserve"> forecasts for road traffic over the </w:t>
      </w:r>
      <w:r w:rsidR="00A534D3">
        <w:t>following</w:t>
      </w:r>
      <w:r w:rsidR="00A534D3" w:rsidRPr="00EC4FA9">
        <w:t xml:space="preserve"> </w:t>
      </w:r>
      <w:r w:rsidR="00EC18AB">
        <w:t>decades</w:t>
      </w:r>
      <w:r w:rsidR="00B160DC" w:rsidRPr="00EC4FA9">
        <w:t>.</w:t>
      </w:r>
      <w:r w:rsidR="004A41E4" w:rsidRPr="00EC4FA9">
        <w:t xml:space="preserve"> </w:t>
      </w:r>
      <w:r w:rsidR="00341AFC" w:rsidRPr="00EC4FA9">
        <w:t xml:space="preserve">These forecasts will apply to both baseline and </w:t>
      </w:r>
      <w:r w:rsidR="00341AFC" w:rsidRPr="00EC4FA9">
        <w:rPr>
          <w:i/>
          <w:iCs/>
        </w:rPr>
        <w:t xml:space="preserve">do-something </w:t>
      </w:r>
      <w:r w:rsidR="00341AFC" w:rsidRPr="00EC4FA9">
        <w:t xml:space="preserve">alternatives. </w:t>
      </w:r>
      <w:r w:rsidR="00943D5C" w:rsidRPr="00EC4FA9">
        <w:t>However,</w:t>
      </w:r>
      <w:r w:rsidR="00CD5787" w:rsidRPr="00EC4FA9">
        <w:t xml:space="preserve"> sometimes </w:t>
      </w:r>
      <w:r w:rsidR="00635E5C" w:rsidRPr="00EC4FA9">
        <w:t>political</w:t>
      </w:r>
      <w:r w:rsidR="00CD5787" w:rsidRPr="00EC4FA9">
        <w:t xml:space="preserve"> goals </w:t>
      </w:r>
      <w:r w:rsidR="00635E5C" w:rsidRPr="00EC4FA9">
        <w:t xml:space="preserve">and strategies </w:t>
      </w:r>
      <w:r w:rsidR="00277211" w:rsidRPr="00EC4FA9">
        <w:t xml:space="preserve">can be at odds with forecasted development </w:t>
      </w:r>
      <w:r w:rsidR="00AD6E16" w:rsidRPr="00EC4FA9">
        <w:t>without intervention.</w:t>
      </w:r>
      <w:r w:rsidR="00653CAB" w:rsidRPr="00EC4FA9">
        <w:t xml:space="preserve"> This is a </w:t>
      </w:r>
      <w:r w:rsidR="009A4532" w:rsidRPr="00EC4FA9">
        <w:t>much-debated</w:t>
      </w:r>
      <w:r w:rsidR="00653CAB" w:rsidRPr="00EC4FA9">
        <w:t xml:space="preserve"> </w:t>
      </w:r>
      <w:r w:rsidR="00AD6E16" w:rsidRPr="00EC4FA9">
        <w:t>issue</w:t>
      </w:r>
      <w:r w:rsidR="00653CAB" w:rsidRPr="00EC4FA9">
        <w:t xml:space="preserve"> in the transport </w:t>
      </w:r>
      <w:r w:rsidR="00CC69EE">
        <w:t>sec</w:t>
      </w:r>
      <w:r w:rsidR="00F96873">
        <w:t>tor</w:t>
      </w:r>
      <w:r w:rsidR="00943D5C" w:rsidRPr="00EC4FA9">
        <w:t>,</w:t>
      </w:r>
      <w:r w:rsidR="0081374B" w:rsidRPr="00EC4FA9">
        <w:t xml:space="preserve"> where </w:t>
      </w:r>
      <w:r w:rsidR="005C3CD6" w:rsidRPr="00EC4FA9">
        <w:t xml:space="preserve">goals for </w:t>
      </w:r>
      <w:r w:rsidR="009F10D0" w:rsidRPr="00EC4FA9">
        <w:t>net-zero carbon</w:t>
      </w:r>
      <w:r w:rsidR="00CC5047" w:rsidRPr="00EC4FA9">
        <w:t xml:space="preserve"> </w:t>
      </w:r>
      <w:r w:rsidR="00635E5C" w:rsidRPr="00EC4FA9">
        <w:t xml:space="preserve">may require green taxes, investments in public transport, and other </w:t>
      </w:r>
      <w:r w:rsidR="00CF5D49" w:rsidRPr="00EC4FA9">
        <w:t>intervention</w:t>
      </w:r>
      <w:r w:rsidR="00A534D3">
        <w:t>s</w:t>
      </w:r>
      <w:r w:rsidR="00635E5C" w:rsidRPr="00EC4FA9">
        <w:t xml:space="preserve"> </w:t>
      </w:r>
      <w:r w:rsidR="00CF5D49" w:rsidRPr="00EC4FA9">
        <w:t>yet to be committed.</w:t>
      </w:r>
      <w:r w:rsidR="00341AFC" w:rsidRPr="00EC4FA9">
        <w:t xml:space="preserve"> The costs and benefits of </w:t>
      </w:r>
      <w:r w:rsidR="00A444F9">
        <w:t>infrastructure</w:t>
      </w:r>
      <w:r w:rsidR="00167306" w:rsidRPr="00EC4FA9">
        <w:t xml:space="preserve"> transport project</w:t>
      </w:r>
      <w:r w:rsidR="00F96873">
        <w:t>s</w:t>
      </w:r>
      <w:r w:rsidR="00167306" w:rsidRPr="00EC4FA9">
        <w:t xml:space="preserve"> may critically depend on what is assumed </w:t>
      </w:r>
      <w:r w:rsidR="00A534D3">
        <w:t>regarding</w:t>
      </w:r>
      <w:r w:rsidR="006608A2" w:rsidRPr="00EC4FA9">
        <w:t xml:space="preserve"> climate policy</w:t>
      </w:r>
      <w:r w:rsidR="00167306" w:rsidRPr="00EC4FA9">
        <w:t>.</w:t>
      </w:r>
      <w:r w:rsidR="006608A2" w:rsidRPr="00EC4FA9">
        <w:t xml:space="preserve"> </w:t>
      </w:r>
      <w:r w:rsidR="009B2D36">
        <w:t>M</w:t>
      </w:r>
      <w:r w:rsidR="006608A2" w:rsidRPr="00EC4FA9">
        <w:t xml:space="preserve">any appraisals end up using </w:t>
      </w:r>
      <w:r w:rsidR="009B192D" w:rsidRPr="00EC4FA9">
        <w:t xml:space="preserve">traffic forecasts (and </w:t>
      </w:r>
      <w:r w:rsidR="006608A2" w:rsidRPr="00EC4FA9">
        <w:t>ignoring climate policy</w:t>
      </w:r>
      <w:r w:rsidR="009B192D" w:rsidRPr="00EC4FA9">
        <w:t xml:space="preserve">), especially in road projects. </w:t>
      </w:r>
      <w:r w:rsidR="00BF5AD2" w:rsidRPr="00EC4FA9">
        <w:t>In railway projects</w:t>
      </w:r>
      <w:r w:rsidR="00952BD1" w:rsidRPr="00EC4FA9">
        <w:t xml:space="preserve">, </w:t>
      </w:r>
      <w:r w:rsidR="00920247">
        <w:t>combined forecasts</w:t>
      </w:r>
      <w:r w:rsidR="00952BD1" w:rsidRPr="00EC4FA9">
        <w:t xml:space="preserve"> </w:t>
      </w:r>
      <w:r w:rsidR="002B1D98">
        <w:t>are</w:t>
      </w:r>
      <w:r w:rsidR="00952BD1" w:rsidRPr="00EC4FA9">
        <w:t xml:space="preserve"> sometimes used</w:t>
      </w:r>
      <w:r w:rsidR="00943D5C" w:rsidRPr="00EC4FA9">
        <w:t>,</w:t>
      </w:r>
      <w:r w:rsidR="006C7F44" w:rsidRPr="00EC4FA9">
        <w:t xml:space="preserve"> </w:t>
      </w:r>
      <w:r w:rsidR="00D0621C">
        <w:t xml:space="preserve">corresponding neither to demand forecasts nor </w:t>
      </w:r>
      <w:r w:rsidR="00635E5C" w:rsidRPr="00EC4FA9">
        <w:t>political goals.</w:t>
      </w:r>
      <w:r w:rsidR="009B192D" w:rsidRPr="00EC4FA9">
        <w:t xml:space="preserve"> </w:t>
      </w:r>
      <w:r w:rsidR="0075164C" w:rsidRPr="00EC4FA9">
        <w:t>This is an area where</w:t>
      </w:r>
      <w:r w:rsidR="00A25132" w:rsidRPr="00EC4FA9">
        <w:t xml:space="preserve"> uncertainties should be made explicit and sensitivity analysis used more often, </w:t>
      </w:r>
      <w:r w:rsidR="00457C86">
        <w:t>according to</w:t>
      </w:r>
      <w:r w:rsidR="00167306" w:rsidRPr="00EC4FA9">
        <w:t xml:space="preserve"> </w:t>
      </w:r>
      <w:r w:rsidR="00445160" w:rsidRPr="00EC4FA9">
        <w:t>our informants</w:t>
      </w:r>
      <w:r w:rsidR="00A25132" w:rsidRPr="00EC4FA9">
        <w:t>.</w:t>
      </w:r>
    </w:p>
    <w:p w14:paraId="680CBD1D" w14:textId="040BCB03" w:rsidR="003035E0" w:rsidRPr="003035E0" w:rsidRDefault="00FD4D7F" w:rsidP="00716852">
      <w:pPr>
        <w:spacing w:before="240" w:after="240" w:line="276" w:lineRule="auto"/>
        <w:rPr>
          <w:b/>
          <w:bCs/>
        </w:rPr>
      </w:pPr>
      <w:r w:rsidRPr="003035E0">
        <w:rPr>
          <w:b/>
          <w:bCs/>
        </w:rPr>
        <w:t>Our assessment</w:t>
      </w:r>
      <w:r w:rsidR="000D3282">
        <w:rPr>
          <w:b/>
          <w:bCs/>
        </w:rPr>
        <w:t>s</w:t>
      </w:r>
    </w:p>
    <w:p w14:paraId="0CD3DC5D" w14:textId="4377C6A2" w:rsidR="00F92F7E" w:rsidRPr="003035E0" w:rsidRDefault="00361EC7" w:rsidP="00716852">
      <w:pPr>
        <w:spacing w:before="240" w:after="240" w:line="276" w:lineRule="auto"/>
      </w:pPr>
      <w:r w:rsidRPr="003035E0">
        <w:t>T</w:t>
      </w:r>
      <w:r w:rsidR="00B164D6" w:rsidRPr="003035E0">
        <w:t xml:space="preserve">he </w:t>
      </w:r>
      <w:r w:rsidR="00B164D6" w:rsidRPr="00457C86">
        <w:rPr>
          <w:i/>
          <w:iCs/>
        </w:rPr>
        <w:t>do-nothing</w:t>
      </w:r>
      <w:r w:rsidR="00B164D6" w:rsidRPr="003035E0">
        <w:t xml:space="preserve"> alternative </w:t>
      </w:r>
      <w:r w:rsidRPr="003035E0">
        <w:t>should be</w:t>
      </w:r>
      <w:r w:rsidR="00B164D6" w:rsidRPr="003035E0">
        <w:t xml:space="preserve"> designed to be </w:t>
      </w:r>
      <w:r w:rsidR="000D63B0" w:rsidRPr="003035E0">
        <w:t xml:space="preserve">as </w:t>
      </w:r>
      <w:r w:rsidR="00B164D6" w:rsidRPr="003035E0">
        <w:t>realistic and viable</w:t>
      </w:r>
      <w:r w:rsidR="000D63B0" w:rsidRPr="003035E0">
        <w:t xml:space="preserve"> as possible</w:t>
      </w:r>
      <w:r w:rsidR="00AE5FB8">
        <w:t>;</w:t>
      </w:r>
      <w:r w:rsidR="00E9136E" w:rsidRPr="003035E0">
        <w:t xml:space="preserve"> and </w:t>
      </w:r>
      <w:r w:rsidR="000D63B0" w:rsidRPr="003035E0">
        <w:t xml:space="preserve">should not be </w:t>
      </w:r>
      <w:r w:rsidR="003D1C4B">
        <w:t>rejected</w:t>
      </w:r>
      <w:r w:rsidR="000D63B0" w:rsidRPr="003035E0">
        <w:t xml:space="preserve"> as unacceptable without thorough justification. Special attention should be paid to uncertainties about adjacent projects, forecasts, etc.</w:t>
      </w:r>
      <w:r w:rsidR="00B164D6" w:rsidRPr="003035E0">
        <w:t xml:space="preserve"> </w:t>
      </w:r>
      <w:r w:rsidR="00833591" w:rsidRPr="003035E0">
        <w:t xml:space="preserve"> </w:t>
      </w:r>
    </w:p>
    <w:p w14:paraId="78799CE0" w14:textId="5816E3CB" w:rsidR="001344AD" w:rsidRPr="00EC4FA9" w:rsidRDefault="001344AD" w:rsidP="001D1AA7">
      <w:pPr>
        <w:pStyle w:val="Heading3"/>
        <w:spacing w:before="240" w:after="240"/>
        <w:ind w:left="357" w:hanging="357"/>
        <w:rPr>
          <w:rFonts w:eastAsia="Times New Roman"/>
        </w:rPr>
      </w:pPr>
      <w:r w:rsidRPr="00EC4FA9">
        <w:rPr>
          <w:rFonts w:eastAsia="Times New Roman"/>
        </w:rPr>
        <w:t>Presentation and analysis</w:t>
      </w:r>
      <w:r w:rsidR="0081656D" w:rsidRPr="00EC4FA9">
        <w:rPr>
          <w:rFonts w:eastAsia="Times New Roman"/>
        </w:rPr>
        <w:t xml:space="preserve"> </w:t>
      </w:r>
    </w:p>
    <w:p w14:paraId="08987088" w14:textId="08E083A5" w:rsidR="009B7213" w:rsidRPr="00EC4FA9" w:rsidRDefault="007B467E" w:rsidP="001D1AA7">
      <w:pPr>
        <w:spacing w:before="120" w:after="120"/>
        <w:rPr>
          <w:b/>
          <w:bCs/>
        </w:rPr>
      </w:pPr>
      <w:r w:rsidRPr="00EC4FA9">
        <w:rPr>
          <w:b/>
          <w:bCs/>
        </w:rPr>
        <w:t>The baseline – n</w:t>
      </w:r>
      <w:r w:rsidR="00A23A6D" w:rsidRPr="00EC4FA9">
        <w:rPr>
          <w:b/>
          <w:bCs/>
        </w:rPr>
        <w:t>either</w:t>
      </w:r>
      <w:r w:rsidR="00F4159E" w:rsidRPr="00EC4FA9">
        <w:rPr>
          <w:b/>
          <w:bCs/>
        </w:rPr>
        <w:t xml:space="preserve"> thoroughly treated </w:t>
      </w:r>
      <w:r w:rsidR="00A23A6D" w:rsidRPr="00EC4FA9">
        <w:rPr>
          <w:b/>
          <w:bCs/>
        </w:rPr>
        <w:t>no</w:t>
      </w:r>
      <w:r w:rsidR="007F3AE5" w:rsidRPr="00EC4FA9">
        <w:rPr>
          <w:b/>
          <w:bCs/>
        </w:rPr>
        <w:t>r</w:t>
      </w:r>
      <w:r w:rsidR="00A23A6D" w:rsidRPr="00EC4FA9">
        <w:rPr>
          <w:b/>
          <w:bCs/>
        </w:rPr>
        <w:t xml:space="preserve"> transparently presented</w:t>
      </w:r>
    </w:p>
    <w:p w14:paraId="65A65B9E" w14:textId="290FED05" w:rsidR="00485EE1" w:rsidRPr="00EC4FA9" w:rsidRDefault="00485EE1" w:rsidP="00485EE1">
      <w:r w:rsidRPr="00EC4FA9">
        <w:t xml:space="preserve">Generally, the </w:t>
      </w:r>
      <w:r w:rsidR="00445160" w:rsidRPr="00EC4FA9">
        <w:t>appraisals describe</w:t>
      </w:r>
      <w:r w:rsidR="00C95549">
        <w:t xml:space="preserve"> and assess</w:t>
      </w:r>
      <w:r w:rsidR="00445160" w:rsidRPr="00EC4FA9">
        <w:t xml:space="preserve"> the </w:t>
      </w:r>
      <w:r w:rsidR="00445160" w:rsidRPr="00EC4FA9">
        <w:rPr>
          <w:i/>
          <w:iCs/>
        </w:rPr>
        <w:t>do-nothing</w:t>
      </w:r>
      <w:r w:rsidR="00445160" w:rsidRPr="00EC4FA9">
        <w:t xml:space="preserve"> alternative </w:t>
      </w:r>
      <w:r w:rsidR="00C90F7E">
        <w:t>in less detail</w:t>
      </w:r>
      <w:r w:rsidR="008B6C11" w:rsidRPr="00EC4FA9">
        <w:t xml:space="preserve"> </w:t>
      </w:r>
      <w:r w:rsidRPr="00EC4FA9">
        <w:t>than the</w:t>
      </w:r>
      <w:r w:rsidR="00335767" w:rsidRPr="00EC4FA9">
        <w:t xml:space="preserve"> investment options</w:t>
      </w:r>
      <w:r w:rsidR="003E6DA9">
        <w:t>. In all the appraisals, we considered</w:t>
      </w:r>
      <w:r w:rsidR="00E73C77">
        <w:t xml:space="preserve"> whether the baseline was</w:t>
      </w:r>
      <w:r w:rsidR="00C95549">
        <w:t xml:space="preserve"> assessed with the same thoroughness</w:t>
      </w:r>
      <w:r w:rsidR="007D0D03">
        <w:t xml:space="preserve"> as the investment alternatives, and in only 19% of the cases the answer was </w:t>
      </w:r>
      <w:r w:rsidR="000B0D1A">
        <w:t>‘</w:t>
      </w:r>
      <w:r w:rsidR="007D0D03">
        <w:t>yes</w:t>
      </w:r>
      <w:r w:rsidR="000B0D1A">
        <w:t>’</w:t>
      </w:r>
      <w:r w:rsidR="009B192D" w:rsidRPr="00EC4FA9">
        <w:t xml:space="preserve">, as shown in Figure </w:t>
      </w:r>
      <w:r w:rsidR="000B0D1A">
        <w:t>4</w:t>
      </w:r>
      <w:r w:rsidR="00335767" w:rsidRPr="00EC4FA9">
        <w:t>.</w:t>
      </w:r>
      <w:r w:rsidR="00005C68" w:rsidRPr="00EC4FA9">
        <w:t xml:space="preserve"> All appraisals present </w:t>
      </w:r>
      <w:r w:rsidR="00515B29" w:rsidRPr="00EC4FA9">
        <w:t xml:space="preserve">a detailed estimate of </w:t>
      </w:r>
      <w:r w:rsidR="00190F87" w:rsidRPr="00EC4FA9">
        <w:t xml:space="preserve">investment </w:t>
      </w:r>
      <w:r w:rsidR="00005C68" w:rsidRPr="00EC4FA9">
        <w:t>costs</w:t>
      </w:r>
      <w:r w:rsidR="006E2758" w:rsidRPr="00EC4FA9">
        <w:t xml:space="preserve"> and operations </w:t>
      </w:r>
      <w:r w:rsidR="008B6C11" w:rsidRPr="00EC4FA9">
        <w:t>and</w:t>
      </w:r>
      <w:r w:rsidR="006E2758" w:rsidRPr="00EC4FA9">
        <w:t xml:space="preserve"> maintenance cost</w:t>
      </w:r>
      <w:r w:rsidR="008B6C11" w:rsidRPr="00EC4FA9">
        <w:t>s</w:t>
      </w:r>
      <w:r w:rsidR="00005C68" w:rsidRPr="00EC4FA9">
        <w:t xml:space="preserve"> of </w:t>
      </w:r>
      <w:r w:rsidR="009F5C34">
        <w:t>the</w:t>
      </w:r>
      <w:r w:rsidR="00005C68" w:rsidRPr="00EC4FA9">
        <w:t xml:space="preserve"> </w:t>
      </w:r>
      <w:r w:rsidR="00600B1C" w:rsidRPr="00EC4FA9">
        <w:t>investment options</w:t>
      </w:r>
      <w:r w:rsidR="00445160" w:rsidRPr="00EC4FA9">
        <w:t xml:space="preserve">. </w:t>
      </w:r>
      <w:r w:rsidR="00004D55" w:rsidRPr="00EC4FA9">
        <w:t>By</w:t>
      </w:r>
      <w:r w:rsidR="00445160" w:rsidRPr="00EC4FA9">
        <w:t xml:space="preserve"> contrast,</w:t>
      </w:r>
      <w:r w:rsidR="00600B1C" w:rsidRPr="00EC4FA9">
        <w:t xml:space="preserve"> the </w:t>
      </w:r>
      <w:r w:rsidR="00DF14EE" w:rsidRPr="00EC4FA9">
        <w:t xml:space="preserve">cost </w:t>
      </w:r>
      <w:r w:rsidR="00600B1C" w:rsidRPr="00EC4FA9">
        <w:t xml:space="preserve">of </w:t>
      </w:r>
      <w:r w:rsidR="00600B1C" w:rsidRPr="00EC4FA9">
        <w:rPr>
          <w:i/>
          <w:iCs/>
        </w:rPr>
        <w:t>do</w:t>
      </w:r>
      <w:r w:rsidR="002810E6">
        <w:rPr>
          <w:i/>
          <w:iCs/>
        </w:rPr>
        <w:t>-</w:t>
      </w:r>
      <w:r w:rsidR="00600B1C" w:rsidRPr="00EC4FA9">
        <w:rPr>
          <w:i/>
          <w:iCs/>
        </w:rPr>
        <w:t>nothing</w:t>
      </w:r>
      <w:r w:rsidR="00600B1C" w:rsidRPr="00EC4FA9">
        <w:t xml:space="preserve"> is </w:t>
      </w:r>
      <w:r w:rsidR="005552C4" w:rsidRPr="00EC4FA9">
        <w:t>rough and superficial</w:t>
      </w:r>
      <w:r w:rsidR="007B467E" w:rsidRPr="00EC4FA9">
        <w:t>,</w:t>
      </w:r>
      <w:r w:rsidR="005552C4" w:rsidRPr="00EC4FA9">
        <w:t xml:space="preserve"> and </w:t>
      </w:r>
      <w:r w:rsidR="00515B29" w:rsidRPr="00EC4FA9">
        <w:t xml:space="preserve">often </w:t>
      </w:r>
      <w:r w:rsidR="00BB0708" w:rsidRPr="00EC4FA9">
        <w:t>limited to a column of zeros.</w:t>
      </w:r>
      <w:r w:rsidR="002271B6" w:rsidRPr="00EC4FA9">
        <w:t xml:space="preserve"> </w:t>
      </w:r>
      <w:r w:rsidR="00877D5C" w:rsidRPr="00EC4FA9">
        <w:t xml:space="preserve">The same </w:t>
      </w:r>
      <w:r w:rsidR="008B6C11" w:rsidRPr="00EC4FA9">
        <w:t xml:space="preserve">is </w:t>
      </w:r>
      <w:r w:rsidR="00CD1B0A">
        <w:t xml:space="preserve">true for </w:t>
      </w:r>
      <w:r w:rsidR="009F755C">
        <w:t xml:space="preserve">the </w:t>
      </w:r>
      <w:r w:rsidR="00CD1B0A">
        <w:t xml:space="preserve">assessments of benefits and uncertainties, </w:t>
      </w:r>
      <w:r w:rsidR="00A378DB">
        <w:t>where the assessment is</w:t>
      </w:r>
      <w:r w:rsidR="00167306" w:rsidRPr="00EC4FA9">
        <w:t xml:space="preserve"> often more qualitative</w:t>
      </w:r>
      <w:r w:rsidR="00877D5C" w:rsidRPr="00EC4FA9">
        <w:t xml:space="preserve">. </w:t>
      </w:r>
      <w:r w:rsidR="0080614D">
        <w:t xml:space="preserve"> </w:t>
      </w:r>
    </w:p>
    <w:p w14:paraId="75E03D32" w14:textId="761C7AD2" w:rsidR="009B192D" w:rsidRPr="00EC4FA9" w:rsidRDefault="009B192D" w:rsidP="009B192D">
      <w:r w:rsidRPr="00EC4FA9">
        <w:rPr>
          <w:noProof/>
        </w:rPr>
        <w:lastRenderedPageBreak/>
        <w:drawing>
          <wp:inline distT="0" distB="0" distL="0" distR="0" wp14:anchorId="6971B985" wp14:editId="7893B5B6">
            <wp:extent cx="3222404" cy="1932996"/>
            <wp:effectExtent l="0" t="0" r="0" b="0"/>
            <wp:docPr id="766552390" name="Picture 766552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25129" cy="1934631"/>
                    </a:xfrm>
                    <a:prstGeom prst="rect">
                      <a:avLst/>
                    </a:prstGeom>
                    <a:noFill/>
                    <a:ln>
                      <a:noFill/>
                    </a:ln>
                  </pic:spPr>
                </pic:pic>
              </a:graphicData>
            </a:graphic>
          </wp:inline>
        </w:drawing>
      </w:r>
    </w:p>
    <w:p w14:paraId="2BAEDE4B" w14:textId="173A6BCC" w:rsidR="00325597" w:rsidRPr="00EC4FA9" w:rsidRDefault="00325597" w:rsidP="00325597">
      <w:pPr>
        <w:pStyle w:val="Caption"/>
      </w:pPr>
      <w:r w:rsidRPr="00EC4FA9">
        <w:t xml:space="preserve">Figure </w:t>
      </w:r>
      <w:r w:rsidR="000B0D1A">
        <w:t>4</w:t>
      </w:r>
      <w:r w:rsidR="00AC184C">
        <w:t>.</w:t>
      </w:r>
      <w:r w:rsidRPr="00EC4FA9">
        <w:t xml:space="preserve"> Is the do-nothing alternative assessed with the same thoroughness as the investment alternatives?</w:t>
      </w:r>
      <w:r w:rsidR="00715353">
        <w:t xml:space="preserve"> (researchers’ assessments) (N=112)</w:t>
      </w:r>
    </w:p>
    <w:p w14:paraId="6034D720" w14:textId="1C015D1F" w:rsidR="004B76E6" w:rsidRPr="00EC4FA9" w:rsidRDefault="00C85BE6" w:rsidP="00485EE1">
      <w:r w:rsidRPr="008A3BD5">
        <w:t>The</w:t>
      </w:r>
      <w:r w:rsidR="00266946" w:rsidRPr="008A3BD5">
        <w:t xml:space="preserve"> informants confirm</w:t>
      </w:r>
      <w:r w:rsidR="008B6C11" w:rsidRPr="008A3BD5">
        <w:t>ed</w:t>
      </w:r>
      <w:r w:rsidR="00266946" w:rsidRPr="008A3BD5">
        <w:t xml:space="preserve"> that</w:t>
      </w:r>
      <w:r w:rsidR="002D7CC9" w:rsidRPr="008A3BD5">
        <w:t xml:space="preserve"> the assessment of costs and benefits in the </w:t>
      </w:r>
      <w:r w:rsidR="007B467E" w:rsidRPr="008A3BD5">
        <w:t xml:space="preserve">baseline </w:t>
      </w:r>
      <w:r w:rsidR="008B6C11" w:rsidRPr="008A3BD5">
        <w:t>was</w:t>
      </w:r>
      <w:r w:rsidR="002D7CC9" w:rsidRPr="008A3BD5">
        <w:t xml:space="preserve"> </w:t>
      </w:r>
      <w:r w:rsidR="001E11FB" w:rsidRPr="008A3BD5">
        <w:t>not</w:t>
      </w:r>
      <w:r w:rsidR="001E11FB" w:rsidRPr="00EC4FA9">
        <w:t xml:space="preserve"> always</w:t>
      </w:r>
      <w:r w:rsidR="00FF7959" w:rsidRPr="00EC4FA9">
        <w:t xml:space="preserve"> given </w:t>
      </w:r>
      <w:r w:rsidR="00F86C63" w:rsidRPr="00EC4FA9">
        <w:t xml:space="preserve">proper </w:t>
      </w:r>
      <w:r w:rsidR="00FF7959" w:rsidRPr="00EC4FA9">
        <w:t xml:space="preserve">attention, sometimes simply because </w:t>
      </w:r>
      <w:r w:rsidR="00635E5C" w:rsidRPr="00EC4FA9">
        <w:t>this</w:t>
      </w:r>
      <w:r w:rsidR="00DD49D1" w:rsidRPr="00EC4FA9">
        <w:t xml:space="preserve"> alternative </w:t>
      </w:r>
      <w:r w:rsidR="008B6C11" w:rsidRPr="00EC4FA9">
        <w:t>was</w:t>
      </w:r>
      <w:r w:rsidR="00DD49D1" w:rsidRPr="00EC4FA9">
        <w:t xml:space="preserve"> not seen as relevant and </w:t>
      </w:r>
      <w:r w:rsidR="00525B23" w:rsidRPr="00EC4FA9">
        <w:t>sometimes</w:t>
      </w:r>
      <w:r w:rsidR="00DD49D1" w:rsidRPr="00EC4FA9">
        <w:t xml:space="preserve"> </w:t>
      </w:r>
      <w:r w:rsidR="00FF7959" w:rsidRPr="00EC4FA9">
        <w:t>because</w:t>
      </w:r>
      <w:r w:rsidR="00DD49D1" w:rsidRPr="00EC4FA9">
        <w:t xml:space="preserve"> it </w:t>
      </w:r>
      <w:r w:rsidR="008B6C11" w:rsidRPr="00EC4FA9">
        <w:t>was</w:t>
      </w:r>
      <w:r w:rsidR="00FF7959" w:rsidRPr="00EC4FA9">
        <w:t xml:space="preserve"> </w:t>
      </w:r>
      <w:r w:rsidR="00CD1B0A">
        <w:t>challenging</w:t>
      </w:r>
      <w:r w:rsidR="00CD1B0A" w:rsidRPr="00EC4FA9">
        <w:t xml:space="preserve"> </w:t>
      </w:r>
      <w:r w:rsidR="00DD49D1" w:rsidRPr="00EC4FA9">
        <w:t xml:space="preserve">to </w:t>
      </w:r>
      <w:r w:rsidR="007B467E" w:rsidRPr="00EC4FA9">
        <w:t>capture</w:t>
      </w:r>
      <w:r w:rsidR="00DD49D1" w:rsidRPr="00EC4FA9">
        <w:t xml:space="preserve"> </w:t>
      </w:r>
      <w:r w:rsidR="00004D55" w:rsidRPr="00EC4FA9">
        <w:t>a</w:t>
      </w:r>
      <w:r w:rsidR="007B467E" w:rsidRPr="00EC4FA9">
        <w:t>ll</w:t>
      </w:r>
      <w:r w:rsidR="00004D55" w:rsidRPr="00EC4FA9">
        <w:t xml:space="preserve"> the consequences of</w:t>
      </w:r>
      <w:r w:rsidR="00DD49D1" w:rsidRPr="00EC4FA9">
        <w:t xml:space="preserve"> the existing infrastructure </w:t>
      </w:r>
      <w:r w:rsidR="00234BD8" w:rsidRPr="00EC4FA9">
        <w:t xml:space="preserve">approaching </w:t>
      </w:r>
      <w:r w:rsidR="00F86C63" w:rsidRPr="00EC4FA9">
        <w:t>the end of</w:t>
      </w:r>
      <w:r w:rsidR="00DD49D1" w:rsidRPr="00EC4FA9">
        <w:t xml:space="preserve"> its ser</w:t>
      </w:r>
      <w:r w:rsidR="00F86C63" w:rsidRPr="00EC4FA9">
        <w:t>vice</w:t>
      </w:r>
      <w:r w:rsidR="008A3BD5">
        <w:t xml:space="preserve"> </w:t>
      </w:r>
      <w:r w:rsidR="00F86C63" w:rsidRPr="00EC4FA9">
        <w:t>life</w:t>
      </w:r>
      <w:r w:rsidR="002D7CC9" w:rsidRPr="00EC4FA9">
        <w:t>:</w:t>
      </w:r>
    </w:p>
    <w:p w14:paraId="63FC2518" w14:textId="6B54843B" w:rsidR="00AF2AC7" w:rsidRPr="00EC4FA9" w:rsidRDefault="00DC0906" w:rsidP="00C46D29">
      <w:pPr>
        <w:ind w:left="708"/>
        <w:rPr>
          <w:sz w:val="22"/>
          <w:szCs w:val="22"/>
        </w:rPr>
      </w:pPr>
      <w:r w:rsidRPr="00EC4FA9">
        <w:rPr>
          <w:sz w:val="22"/>
          <w:szCs w:val="22"/>
        </w:rPr>
        <w:t>I suspect that</w:t>
      </w:r>
      <w:r w:rsidR="0046402E" w:rsidRPr="00EC4FA9">
        <w:rPr>
          <w:sz w:val="22"/>
          <w:szCs w:val="22"/>
        </w:rPr>
        <w:t xml:space="preserve"> agencies find </w:t>
      </w:r>
      <w:r w:rsidR="003C7B30" w:rsidRPr="00EC4FA9">
        <w:rPr>
          <w:sz w:val="22"/>
          <w:szCs w:val="22"/>
        </w:rPr>
        <w:t>it</w:t>
      </w:r>
      <w:r w:rsidR="0046402E" w:rsidRPr="00EC4FA9">
        <w:rPr>
          <w:sz w:val="22"/>
          <w:szCs w:val="22"/>
        </w:rPr>
        <w:t xml:space="preserve"> methodologically </w:t>
      </w:r>
      <w:r w:rsidR="00D54489" w:rsidRPr="00EC4FA9">
        <w:rPr>
          <w:sz w:val="22"/>
          <w:szCs w:val="22"/>
        </w:rPr>
        <w:t>challenging</w:t>
      </w:r>
      <w:r w:rsidR="003C7B30" w:rsidRPr="00EC4FA9">
        <w:rPr>
          <w:sz w:val="22"/>
          <w:szCs w:val="22"/>
        </w:rPr>
        <w:t xml:space="preserve"> to describe how benefits decrease over time in the absence of investment</w:t>
      </w:r>
      <w:r w:rsidR="00CD1B0A">
        <w:rPr>
          <w:sz w:val="22"/>
          <w:szCs w:val="22"/>
        </w:rPr>
        <w:t>. It</w:t>
      </w:r>
      <w:r w:rsidR="0039307F" w:rsidRPr="00EC4FA9">
        <w:rPr>
          <w:sz w:val="22"/>
          <w:szCs w:val="22"/>
        </w:rPr>
        <w:t xml:space="preserve"> is easier </w:t>
      </w:r>
      <w:r w:rsidR="0076184C" w:rsidRPr="00EC4FA9">
        <w:rPr>
          <w:sz w:val="22"/>
          <w:szCs w:val="22"/>
        </w:rPr>
        <w:t xml:space="preserve">to </w:t>
      </w:r>
      <w:r w:rsidR="0039307F" w:rsidRPr="00EC4FA9">
        <w:rPr>
          <w:sz w:val="22"/>
          <w:szCs w:val="22"/>
        </w:rPr>
        <w:t xml:space="preserve">use zero since they </w:t>
      </w:r>
      <w:r w:rsidR="00900418" w:rsidRPr="00EC4FA9">
        <w:rPr>
          <w:sz w:val="22"/>
          <w:szCs w:val="22"/>
        </w:rPr>
        <w:t>have no intention of choosing</w:t>
      </w:r>
      <w:r w:rsidR="0039307F" w:rsidRPr="00EC4FA9">
        <w:rPr>
          <w:sz w:val="22"/>
          <w:szCs w:val="22"/>
        </w:rPr>
        <w:t xml:space="preserve"> </w:t>
      </w:r>
      <w:r w:rsidR="005C3CD6" w:rsidRPr="00EC4FA9">
        <w:rPr>
          <w:sz w:val="22"/>
          <w:szCs w:val="22"/>
        </w:rPr>
        <w:t>‘</w:t>
      </w:r>
      <w:r w:rsidR="00C85BE6" w:rsidRPr="00EC4FA9">
        <w:rPr>
          <w:sz w:val="22"/>
          <w:szCs w:val="22"/>
        </w:rPr>
        <w:t>do</w:t>
      </w:r>
      <w:r w:rsidR="00B60BE6">
        <w:rPr>
          <w:sz w:val="22"/>
          <w:szCs w:val="22"/>
        </w:rPr>
        <w:t>-</w:t>
      </w:r>
      <w:r w:rsidR="00C85BE6" w:rsidRPr="00EC4FA9">
        <w:rPr>
          <w:sz w:val="22"/>
          <w:szCs w:val="22"/>
        </w:rPr>
        <w:t>nothing</w:t>
      </w:r>
      <w:r w:rsidR="005C3CD6" w:rsidRPr="00EC4FA9">
        <w:rPr>
          <w:sz w:val="22"/>
          <w:szCs w:val="22"/>
        </w:rPr>
        <w:t>’</w:t>
      </w:r>
      <w:r w:rsidR="00C85BE6" w:rsidRPr="00EC4FA9">
        <w:rPr>
          <w:sz w:val="22"/>
          <w:szCs w:val="22"/>
        </w:rPr>
        <w:t xml:space="preserve"> </w:t>
      </w:r>
      <w:r w:rsidR="0039307F" w:rsidRPr="00EC4FA9">
        <w:rPr>
          <w:sz w:val="22"/>
          <w:szCs w:val="22"/>
        </w:rPr>
        <w:t>anywa</w:t>
      </w:r>
      <w:r w:rsidR="00D34DAB" w:rsidRPr="00EC4FA9">
        <w:rPr>
          <w:sz w:val="22"/>
          <w:szCs w:val="22"/>
        </w:rPr>
        <w:t>y</w:t>
      </w:r>
      <w:r w:rsidR="008B6C11" w:rsidRPr="00EC4FA9">
        <w:rPr>
          <w:sz w:val="22"/>
          <w:szCs w:val="22"/>
        </w:rPr>
        <w:t>.</w:t>
      </w:r>
      <w:r w:rsidR="00D34DAB" w:rsidRPr="00EC4FA9">
        <w:rPr>
          <w:sz w:val="22"/>
          <w:szCs w:val="22"/>
        </w:rPr>
        <w:t xml:space="preserve"> </w:t>
      </w:r>
      <w:r w:rsidR="00AF2AC7" w:rsidRPr="00EC4FA9">
        <w:rPr>
          <w:sz w:val="22"/>
          <w:szCs w:val="22"/>
        </w:rPr>
        <w:t>(</w:t>
      </w:r>
      <w:r w:rsidR="0039307F" w:rsidRPr="00EC4FA9">
        <w:rPr>
          <w:sz w:val="22"/>
          <w:szCs w:val="22"/>
        </w:rPr>
        <w:t xml:space="preserve">Quality </w:t>
      </w:r>
      <w:r w:rsidR="008B6C11" w:rsidRPr="00EC4FA9">
        <w:rPr>
          <w:sz w:val="22"/>
          <w:szCs w:val="22"/>
        </w:rPr>
        <w:t>a</w:t>
      </w:r>
      <w:r w:rsidR="0039307F" w:rsidRPr="00EC4FA9">
        <w:rPr>
          <w:sz w:val="22"/>
          <w:szCs w:val="22"/>
        </w:rPr>
        <w:t>ssurer</w:t>
      </w:r>
      <w:r w:rsidR="000E219C" w:rsidRPr="00EC4FA9">
        <w:rPr>
          <w:sz w:val="22"/>
          <w:szCs w:val="22"/>
        </w:rPr>
        <w:t>)</w:t>
      </w:r>
    </w:p>
    <w:p w14:paraId="42ACA09F" w14:textId="781CF9A8" w:rsidR="00004D55" w:rsidRPr="00EC4FA9" w:rsidRDefault="00004D55" w:rsidP="00522B8A">
      <w:pPr>
        <w:spacing w:before="240" w:after="240"/>
        <w:contextualSpacing/>
      </w:pPr>
      <w:r w:rsidRPr="00EC4FA9">
        <w:t xml:space="preserve">In </w:t>
      </w:r>
      <w:r w:rsidR="00602850">
        <w:t xml:space="preserve">32% of the </w:t>
      </w:r>
      <w:r w:rsidR="008A3BD5">
        <w:t>cases</w:t>
      </w:r>
      <w:r w:rsidRPr="00EC4FA9">
        <w:t xml:space="preserve">, </w:t>
      </w:r>
      <w:r w:rsidR="00367CB5" w:rsidRPr="00EC4FA9">
        <w:t xml:space="preserve">the </w:t>
      </w:r>
      <w:r w:rsidR="00C05768">
        <w:t xml:space="preserve">baseline's assessments of benefits and costs </w:t>
      </w:r>
      <w:r w:rsidRPr="00EC4FA9">
        <w:t xml:space="preserve">are </w:t>
      </w:r>
      <w:r w:rsidR="00367CB5" w:rsidRPr="00EC4FA9">
        <w:t xml:space="preserve">not </w:t>
      </w:r>
      <w:r w:rsidR="007B467E" w:rsidRPr="00EC4FA9">
        <w:t xml:space="preserve">even </w:t>
      </w:r>
      <w:r w:rsidR="00367CB5" w:rsidRPr="00EC4FA9">
        <w:t>included in the report, which</w:t>
      </w:r>
      <w:r w:rsidRPr="00EC4FA9">
        <w:t xml:space="preserve"> only present</w:t>
      </w:r>
      <w:r w:rsidR="00367CB5" w:rsidRPr="00EC4FA9">
        <w:t xml:space="preserve">s </w:t>
      </w:r>
      <w:r w:rsidR="00AE5FB8">
        <w:t xml:space="preserve">the </w:t>
      </w:r>
      <w:r w:rsidR="00367CB5" w:rsidRPr="00EC4FA9">
        <w:t xml:space="preserve">costs and benefits of the investment alternatives </w:t>
      </w:r>
      <w:r w:rsidR="00367CB5" w:rsidRPr="00EC4FA9">
        <w:rPr>
          <w:i/>
          <w:iCs/>
        </w:rPr>
        <w:t>net of costs and benefits in the baseline</w:t>
      </w:r>
      <w:r w:rsidR="00367CB5" w:rsidRPr="00EC4FA9">
        <w:t xml:space="preserve">. There are also a few cases </w:t>
      </w:r>
      <w:r w:rsidR="00AE3ABC">
        <w:t xml:space="preserve">(9%) </w:t>
      </w:r>
      <w:r w:rsidR="00367CB5" w:rsidRPr="00EC4FA9">
        <w:t>where it is unclear whether the costs and benefits presented are to be interpreted as gross or net effects.</w:t>
      </w:r>
    </w:p>
    <w:p w14:paraId="3401D48A" w14:textId="77777777" w:rsidR="00004D55" w:rsidRPr="005258C0" w:rsidRDefault="00004D55" w:rsidP="00522B8A">
      <w:pPr>
        <w:spacing w:before="240" w:after="240"/>
        <w:contextualSpacing/>
      </w:pPr>
    </w:p>
    <w:p w14:paraId="7FFDBC8C" w14:textId="654FD509" w:rsidR="00522B8A" w:rsidRPr="00EC4FA9" w:rsidRDefault="000A68BA" w:rsidP="001D1AA7">
      <w:pPr>
        <w:spacing w:before="120" w:after="120"/>
        <w:rPr>
          <w:b/>
          <w:bCs/>
        </w:rPr>
      </w:pPr>
      <w:r w:rsidRPr="00EC4FA9">
        <w:rPr>
          <w:b/>
          <w:bCs/>
        </w:rPr>
        <w:t xml:space="preserve">Uncertainties </w:t>
      </w:r>
      <w:r w:rsidR="00BF2C9C" w:rsidRPr="00EC4FA9">
        <w:rPr>
          <w:b/>
          <w:bCs/>
        </w:rPr>
        <w:t xml:space="preserve">and real-option values in </w:t>
      </w:r>
      <w:r w:rsidRPr="00EC4FA9">
        <w:rPr>
          <w:b/>
          <w:bCs/>
        </w:rPr>
        <w:t xml:space="preserve">the </w:t>
      </w:r>
      <w:r w:rsidRPr="00EC4FA9">
        <w:rPr>
          <w:b/>
          <w:bCs/>
          <w:i/>
          <w:iCs/>
        </w:rPr>
        <w:t>do-nothing</w:t>
      </w:r>
      <w:r w:rsidRPr="00EC4FA9">
        <w:rPr>
          <w:b/>
          <w:bCs/>
        </w:rPr>
        <w:t xml:space="preserve"> alternative </w:t>
      </w:r>
      <w:r w:rsidR="00701531" w:rsidRPr="00EC4FA9">
        <w:rPr>
          <w:b/>
          <w:bCs/>
        </w:rPr>
        <w:t>are</w:t>
      </w:r>
      <w:r w:rsidRPr="00EC4FA9">
        <w:rPr>
          <w:b/>
          <w:bCs/>
        </w:rPr>
        <w:t xml:space="preserve"> ignored</w:t>
      </w:r>
    </w:p>
    <w:p w14:paraId="3106FBF9" w14:textId="663A66A3" w:rsidR="007E0E21" w:rsidRPr="00EC4FA9" w:rsidRDefault="000E0D24" w:rsidP="001344AD">
      <w:r w:rsidRPr="00EC4FA9">
        <w:t>In the appraisals, u</w:t>
      </w:r>
      <w:r w:rsidR="00236F34" w:rsidRPr="00EC4FA9">
        <w:t xml:space="preserve">ncertainty is </w:t>
      </w:r>
      <w:r w:rsidR="00941358" w:rsidRPr="00EC4FA9">
        <w:t xml:space="preserve">always discussed for </w:t>
      </w:r>
      <w:r w:rsidR="0087158B" w:rsidRPr="00EC4FA9">
        <w:t xml:space="preserve">the </w:t>
      </w:r>
      <w:r w:rsidR="0087158B" w:rsidRPr="00EC4FA9">
        <w:rPr>
          <w:i/>
          <w:iCs/>
        </w:rPr>
        <w:t>do-something</w:t>
      </w:r>
      <w:r w:rsidR="005139FA" w:rsidRPr="00EC4FA9">
        <w:t xml:space="preserve"> </w:t>
      </w:r>
      <w:r w:rsidR="0087158B" w:rsidRPr="00EC4FA9">
        <w:t xml:space="preserve">alternatives </w:t>
      </w:r>
      <w:r w:rsidR="005139FA" w:rsidRPr="00EC4FA9">
        <w:t>but hardly ever</w:t>
      </w:r>
      <w:r w:rsidR="002E5786" w:rsidRPr="00EC4FA9">
        <w:t xml:space="preserve"> for the </w:t>
      </w:r>
      <w:r w:rsidR="00864264" w:rsidRPr="00EC4FA9">
        <w:rPr>
          <w:i/>
          <w:iCs/>
        </w:rPr>
        <w:t>do-nothing</w:t>
      </w:r>
      <w:r w:rsidR="002E5786" w:rsidRPr="00EC4FA9">
        <w:t xml:space="preserve"> </w:t>
      </w:r>
      <w:r w:rsidR="00494132" w:rsidRPr="00EC4FA9">
        <w:t>alternative</w:t>
      </w:r>
      <w:r w:rsidR="002E5786" w:rsidRPr="00EC4FA9">
        <w:t xml:space="preserve">. </w:t>
      </w:r>
      <w:r w:rsidR="00637854" w:rsidRPr="00EC4FA9">
        <w:t xml:space="preserve">Likewise, </w:t>
      </w:r>
      <w:r w:rsidR="005B590C" w:rsidRPr="00EC4FA9">
        <w:t>there is a bias in that</w:t>
      </w:r>
      <w:r w:rsidR="00637854" w:rsidRPr="00EC4FA9">
        <w:t xml:space="preserve"> real</w:t>
      </w:r>
      <w:r w:rsidR="008A3BD5">
        <w:t xml:space="preserve"> </w:t>
      </w:r>
      <w:r w:rsidR="00637854" w:rsidRPr="00EC4FA9">
        <w:t xml:space="preserve">option values </w:t>
      </w:r>
      <w:r w:rsidR="005B590C" w:rsidRPr="00EC4FA9">
        <w:t xml:space="preserve">are often </w:t>
      </w:r>
      <w:r w:rsidR="00C85B57" w:rsidRPr="00EC4FA9">
        <w:t>presented</w:t>
      </w:r>
      <w:r w:rsidR="00C27CC5" w:rsidRPr="00EC4FA9">
        <w:t xml:space="preserve"> (moneti</w:t>
      </w:r>
      <w:r w:rsidR="00C05768">
        <w:t>s</w:t>
      </w:r>
      <w:r w:rsidR="00C27CC5" w:rsidRPr="00EC4FA9">
        <w:t>ed or qualitatively</w:t>
      </w:r>
      <w:r w:rsidR="00EC2004" w:rsidRPr="00EC4FA9">
        <w:t xml:space="preserve"> discussed</w:t>
      </w:r>
      <w:r w:rsidR="00C27CC5" w:rsidRPr="00EC4FA9">
        <w:t>)</w:t>
      </w:r>
      <w:r w:rsidR="00C85B57" w:rsidRPr="00EC4FA9">
        <w:t xml:space="preserve"> </w:t>
      </w:r>
      <w:r w:rsidR="005B590C" w:rsidRPr="00EC4FA9">
        <w:t xml:space="preserve">only </w:t>
      </w:r>
      <w:r w:rsidR="00C85B57" w:rsidRPr="00EC4FA9">
        <w:t>for</w:t>
      </w:r>
      <w:r w:rsidR="00637854" w:rsidRPr="00EC4FA9">
        <w:t xml:space="preserve"> the investment </w:t>
      </w:r>
      <w:r w:rsidR="00121F89" w:rsidRPr="00EC4FA9">
        <w:t>alternatives</w:t>
      </w:r>
      <w:r w:rsidR="00955694" w:rsidRPr="00EC4FA9">
        <w:t>. F</w:t>
      </w:r>
      <w:r w:rsidR="00637854" w:rsidRPr="00EC4FA9">
        <w:t xml:space="preserve">or example, </w:t>
      </w:r>
      <w:r w:rsidR="00234BD8" w:rsidRPr="00EC4FA9">
        <w:t>suppose a new building is to be constructed with the possibility of adding an extra floor later</w:t>
      </w:r>
      <w:r w:rsidR="007B467E" w:rsidRPr="00EC4FA9">
        <w:t>. T</w:t>
      </w:r>
      <w:r w:rsidR="009565DF" w:rsidRPr="00EC4FA9">
        <w:t>h</w:t>
      </w:r>
      <w:r w:rsidR="00CC7EAE" w:rsidRPr="00EC4FA9">
        <w:t xml:space="preserve">e appraisal </w:t>
      </w:r>
      <w:r w:rsidR="008A3BD5">
        <w:t>would</w:t>
      </w:r>
      <w:r w:rsidR="00CC7EAE" w:rsidRPr="00EC4FA9">
        <w:t xml:space="preserve"> typically define this as a</w:t>
      </w:r>
      <w:r w:rsidR="00F61FDC" w:rsidRPr="00EC4FA9">
        <w:t xml:space="preserve"> real</w:t>
      </w:r>
      <w:r w:rsidR="008A3BD5">
        <w:t xml:space="preserve"> </w:t>
      </w:r>
      <w:r w:rsidR="00F61FDC" w:rsidRPr="00EC4FA9">
        <w:t xml:space="preserve">option value </w:t>
      </w:r>
      <w:r w:rsidRPr="00EC4FA9">
        <w:t>that</w:t>
      </w:r>
      <w:r w:rsidR="00F61FDC" w:rsidRPr="00EC4FA9">
        <w:t xml:space="preserve"> adds to the </w:t>
      </w:r>
      <w:r w:rsidR="00C05768">
        <w:t>project's net present value</w:t>
      </w:r>
      <w:r w:rsidR="00EE5BB9" w:rsidRPr="00EC4FA9">
        <w:t>.</w:t>
      </w:r>
      <w:r w:rsidR="00637854" w:rsidRPr="00EC4FA9">
        <w:t xml:space="preserve"> </w:t>
      </w:r>
      <w:r w:rsidR="00CC4C04" w:rsidRPr="00EC4FA9">
        <w:t>B</w:t>
      </w:r>
      <w:r w:rsidR="00E66456" w:rsidRPr="00EC4FA9">
        <w:t>y contrast,</w:t>
      </w:r>
      <w:r w:rsidR="00CC4C04" w:rsidRPr="00EC4FA9">
        <w:t xml:space="preserve"> </w:t>
      </w:r>
      <w:r w:rsidR="00CC7EAE" w:rsidRPr="00EC4FA9">
        <w:t xml:space="preserve">the </w:t>
      </w:r>
      <w:r w:rsidR="00CC4C04" w:rsidRPr="00EC4FA9">
        <w:t>real</w:t>
      </w:r>
      <w:r w:rsidR="008A3BD5">
        <w:t xml:space="preserve"> </w:t>
      </w:r>
      <w:r w:rsidR="00CC4C04" w:rsidRPr="00EC4FA9">
        <w:t xml:space="preserve">option values </w:t>
      </w:r>
      <w:r w:rsidR="007A2142" w:rsidRPr="00EC4FA9">
        <w:t xml:space="preserve">in </w:t>
      </w:r>
      <w:r w:rsidR="009D33C5" w:rsidRPr="00EC4FA9">
        <w:t xml:space="preserve">the </w:t>
      </w:r>
      <w:r w:rsidR="003F1EB3" w:rsidRPr="00EC4FA9">
        <w:rPr>
          <w:i/>
          <w:iCs/>
        </w:rPr>
        <w:t>do-nothing</w:t>
      </w:r>
      <w:r w:rsidR="009D33C5" w:rsidRPr="00EC4FA9">
        <w:t xml:space="preserve"> alternative</w:t>
      </w:r>
      <w:r w:rsidR="007B467E" w:rsidRPr="00EC4FA9">
        <w:t>,</w:t>
      </w:r>
      <w:r w:rsidR="00167306" w:rsidRPr="00EC4FA9">
        <w:t xml:space="preserve"> </w:t>
      </w:r>
      <w:r w:rsidR="008A3BD5">
        <w:t>which</w:t>
      </w:r>
      <w:r w:rsidR="007B467E" w:rsidRPr="00EC4FA9">
        <w:t xml:space="preserve"> </w:t>
      </w:r>
      <w:r w:rsidR="00167306" w:rsidRPr="00EC4FA9">
        <w:t>follow</w:t>
      </w:r>
      <w:r w:rsidR="008A3BD5">
        <w:t>s</w:t>
      </w:r>
      <w:r w:rsidR="00167306" w:rsidRPr="00EC4FA9">
        <w:t xml:space="preserve"> from the opportunity to postpone the investment and wait and see,</w:t>
      </w:r>
      <w:r w:rsidR="009D33C5" w:rsidRPr="00EC4FA9">
        <w:t xml:space="preserve"> </w:t>
      </w:r>
      <w:r w:rsidR="00CC4C04" w:rsidRPr="00EC4FA9">
        <w:t xml:space="preserve">are </w:t>
      </w:r>
      <w:r w:rsidR="00E66456" w:rsidRPr="00EC4FA9">
        <w:t xml:space="preserve">hardly </w:t>
      </w:r>
      <w:r w:rsidR="00CC4C04" w:rsidRPr="00EC4FA9">
        <w:t>ever discussed</w:t>
      </w:r>
      <w:r w:rsidRPr="00EC4FA9">
        <w:t xml:space="preserve"> in the appraisals</w:t>
      </w:r>
      <w:r w:rsidR="00E66456" w:rsidRPr="00EC4FA9">
        <w:t xml:space="preserve">. </w:t>
      </w:r>
      <w:r w:rsidR="002E5786" w:rsidRPr="00EC4FA9">
        <w:t>This is a paradox</w:t>
      </w:r>
      <w:r w:rsidR="008A3BD5">
        <w:t>,</w:t>
      </w:r>
      <w:r w:rsidR="002E5786" w:rsidRPr="00EC4FA9">
        <w:t xml:space="preserve"> since </w:t>
      </w:r>
      <w:r w:rsidR="003A2A90" w:rsidRPr="00EC4FA9">
        <w:t xml:space="preserve">long planning </w:t>
      </w:r>
      <w:r w:rsidR="00E66456" w:rsidRPr="00EC4FA9">
        <w:t>periods</w:t>
      </w:r>
      <w:r w:rsidR="003A2A90" w:rsidRPr="00EC4FA9">
        <w:t xml:space="preserve"> often involve</w:t>
      </w:r>
      <w:r w:rsidR="00BA0424" w:rsidRPr="00EC4FA9">
        <w:t xml:space="preserve"> fundamental </w:t>
      </w:r>
      <w:r w:rsidR="00BB5869" w:rsidRPr="00EC4FA9">
        <w:t>uncertainties</w:t>
      </w:r>
      <w:r w:rsidR="00E66456" w:rsidRPr="00EC4FA9">
        <w:t xml:space="preserve"> about</w:t>
      </w:r>
      <w:r w:rsidR="004103BC" w:rsidRPr="00EC4FA9">
        <w:t xml:space="preserve"> demand and capacity need</w:t>
      </w:r>
      <w:r w:rsidR="00CA757D" w:rsidRPr="00EC4FA9">
        <w:t>.</w:t>
      </w:r>
      <w:r w:rsidR="00E04BC0" w:rsidRPr="00EC4FA9">
        <w:t xml:space="preserve"> </w:t>
      </w:r>
      <w:r w:rsidR="007B467E" w:rsidRPr="00EC4FA9">
        <w:t>If</w:t>
      </w:r>
      <w:r w:rsidR="007171BC" w:rsidRPr="00EC4FA9">
        <w:t xml:space="preserve"> </w:t>
      </w:r>
      <w:r w:rsidR="00A13892" w:rsidRPr="00EC4FA9">
        <w:t>there is a chance that</w:t>
      </w:r>
      <w:r w:rsidR="008A3BD5">
        <w:t>, for example,</w:t>
      </w:r>
      <w:r w:rsidR="00A13892" w:rsidRPr="00EC4FA9">
        <w:t xml:space="preserve"> </w:t>
      </w:r>
      <w:r w:rsidR="00CC7EAE" w:rsidRPr="00EC4FA9">
        <w:t>changing trends</w:t>
      </w:r>
      <w:r w:rsidR="008A3BD5">
        <w:t xml:space="preserve"> or</w:t>
      </w:r>
      <w:r w:rsidR="00CC7EAE" w:rsidRPr="00EC4FA9">
        <w:t xml:space="preserve"> </w:t>
      </w:r>
      <w:r w:rsidR="008202EE" w:rsidRPr="00EC4FA9">
        <w:t xml:space="preserve">new technology </w:t>
      </w:r>
      <w:r w:rsidR="00CC7EAE" w:rsidRPr="00EC4FA9">
        <w:t>will change the need for a project</w:t>
      </w:r>
      <w:r w:rsidR="009258CB" w:rsidRPr="00EC4FA9">
        <w:t xml:space="preserve"> within the next </w:t>
      </w:r>
      <w:r w:rsidR="00A753E9" w:rsidRPr="00EC4FA9">
        <w:t xml:space="preserve">two </w:t>
      </w:r>
      <w:r w:rsidR="009258CB" w:rsidRPr="00EC4FA9">
        <w:t>decade</w:t>
      </w:r>
      <w:r w:rsidR="00A753E9" w:rsidRPr="00EC4FA9">
        <w:t>s</w:t>
      </w:r>
      <w:r w:rsidR="009258CB" w:rsidRPr="00EC4FA9">
        <w:t xml:space="preserve">, </w:t>
      </w:r>
      <w:r w:rsidR="008A6CF4" w:rsidRPr="00EC4FA9">
        <w:t xml:space="preserve">this </w:t>
      </w:r>
      <w:r w:rsidR="00AF3425" w:rsidRPr="00EC4FA9">
        <w:t xml:space="preserve">should </w:t>
      </w:r>
      <w:r w:rsidR="009711EF" w:rsidRPr="00EC4FA9">
        <w:t>reduce</w:t>
      </w:r>
      <w:r w:rsidR="00AF3425" w:rsidRPr="00EC4FA9">
        <w:t xml:space="preserve"> the attractiveness of </w:t>
      </w:r>
      <w:r w:rsidR="009711EF" w:rsidRPr="00EC4FA9">
        <w:t xml:space="preserve">investing today and </w:t>
      </w:r>
      <w:r w:rsidR="004E33A0" w:rsidRPr="00EC4FA9">
        <w:t xml:space="preserve">may suggest </w:t>
      </w:r>
      <w:r w:rsidR="001C70B8" w:rsidRPr="00EC4FA9">
        <w:t>a wait-and-see strategy</w:t>
      </w:r>
      <w:r w:rsidR="007F24A9" w:rsidRPr="00EC4FA9">
        <w:t xml:space="preserve">. </w:t>
      </w:r>
    </w:p>
    <w:p w14:paraId="20AC86F5" w14:textId="6D5D0D75" w:rsidR="00772AB5" w:rsidRPr="00EC4FA9" w:rsidRDefault="00772AB5" w:rsidP="001344AD">
      <w:r w:rsidRPr="00EC4FA9">
        <w:t xml:space="preserve">The lack of consideration of </w:t>
      </w:r>
      <w:r w:rsidR="007C4DE4" w:rsidRPr="00EC4FA9">
        <w:t xml:space="preserve">uncertainties and </w:t>
      </w:r>
      <w:r w:rsidRPr="00EC4FA9">
        <w:t xml:space="preserve">real-option values in the </w:t>
      </w:r>
      <w:r w:rsidR="007C4DE4" w:rsidRPr="00EC4FA9">
        <w:rPr>
          <w:i/>
          <w:iCs/>
        </w:rPr>
        <w:t>d</w:t>
      </w:r>
      <w:r w:rsidRPr="00EC4FA9">
        <w:rPr>
          <w:i/>
          <w:iCs/>
        </w:rPr>
        <w:t>o-nothing</w:t>
      </w:r>
      <w:r w:rsidRPr="00EC4FA9">
        <w:t xml:space="preserve"> alternative is often </w:t>
      </w:r>
      <w:r w:rsidR="007B467E" w:rsidRPr="00EC4FA9">
        <w:t xml:space="preserve">noted </w:t>
      </w:r>
      <w:r w:rsidRPr="00EC4FA9">
        <w:t>in the QA1 reports, and</w:t>
      </w:r>
      <w:r w:rsidR="007C4DE4" w:rsidRPr="00EC4FA9">
        <w:t xml:space="preserve"> the reviewers we interviewed confirmed this critique:</w:t>
      </w:r>
    </w:p>
    <w:p w14:paraId="0365D211" w14:textId="516D8270" w:rsidR="00DC54CF" w:rsidRPr="00EC4FA9" w:rsidRDefault="00DC54CF" w:rsidP="00C46D29">
      <w:pPr>
        <w:ind w:left="708"/>
        <w:rPr>
          <w:sz w:val="22"/>
          <w:szCs w:val="22"/>
        </w:rPr>
      </w:pPr>
      <w:r w:rsidRPr="00EC4FA9">
        <w:rPr>
          <w:sz w:val="22"/>
          <w:szCs w:val="22"/>
        </w:rPr>
        <w:t>It is crucial to highlight the uncertainty about future development</w:t>
      </w:r>
      <w:r w:rsidR="00231CE3" w:rsidRPr="00EC4FA9">
        <w:rPr>
          <w:sz w:val="22"/>
          <w:szCs w:val="22"/>
        </w:rPr>
        <w:t xml:space="preserve">, especially if there is a chance that the investment </w:t>
      </w:r>
      <w:r w:rsidR="003F1EB3" w:rsidRPr="00EC4FA9">
        <w:rPr>
          <w:sz w:val="22"/>
          <w:szCs w:val="22"/>
        </w:rPr>
        <w:t xml:space="preserve">may </w:t>
      </w:r>
      <w:r w:rsidR="00231CE3" w:rsidRPr="00EC4FA9">
        <w:rPr>
          <w:sz w:val="22"/>
          <w:szCs w:val="22"/>
        </w:rPr>
        <w:t>not be necessary</w:t>
      </w:r>
      <w:r w:rsidRPr="00EC4FA9">
        <w:rPr>
          <w:sz w:val="22"/>
          <w:szCs w:val="22"/>
        </w:rPr>
        <w:t xml:space="preserve">. </w:t>
      </w:r>
      <w:r w:rsidR="00EC4030" w:rsidRPr="00EC4FA9">
        <w:rPr>
          <w:sz w:val="22"/>
          <w:szCs w:val="22"/>
        </w:rPr>
        <w:t>I</w:t>
      </w:r>
      <w:r w:rsidRPr="00EC4FA9">
        <w:rPr>
          <w:sz w:val="22"/>
          <w:szCs w:val="22"/>
        </w:rPr>
        <w:t>dentifying critical probabilities should be possible.</w:t>
      </w:r>
      <w:r w:rsidR="00EC4030" w:rsidRPr="00EC4FA9">
        <w:rPr>
          <w:sz w:val="22"/>
          <w:szCs w:val="22"/>
        </w:rPr>
        <w:t xml:space="preserve"> </w:t>
      </w:r>
      <w:r w:rsidRPr="00EC4FA9">
        <w:rPr>
          <w:sz w:val="22"/>
          <w:szCs w:val="22"/>
        </w:rPr>
        <w:t xml:space="preserve">(Quality </w:t>
      </w:r>
      <w:r w:rsidR="000E0D24" w:rsidRPr="00EC4FA9">
        <w:rPr>
          <w:sz w:val="22"/>
          <w:szCs w:val="22"/>
        </w:rPr>
        <w:t>a</w:t>
      </w:r>
      <w:r w:rsidRPr="00EC4FA9">
        <w:rPr>
          <w:sz w:val="22"/>
          <w:szCs w:val="22"/>
        </w:rPr>
        <w:t>ssurer)</w:t>
      </w:r>
    </w:p>
    <w:p w14:paraId="58022449" w14:textId="69805E0B" w:rsidR="006C0132" w:rsidRPr="00EC4FA9" w:rsidRDefault="00DC54CF" w:rsidP="00CC4667">
      <w:pPr>
        <w:ind w:left="708"/>
        <w:rPr>
          <w:sz w:val="22"/>
          <w:szCs w:val="22"/>
        </w:rPr>
      </w:pPr>
      <w:r w:rsidRPr="00EC4FA9">
        <w:rPr>
          <w:sz w:val="22"/>
          <w:szCs w:val="22"/>
        </w:rPr>
        <w:t>We should discuss the optimal timing</w:t>
      </w:r>
      <w:r w:rsidR="00D9226B" w:rsidRPr="00EC4FA9">
        <w:rPr>
          <w:sz w:val="22"/>
          <w:szCs w:val="22"/>
        </w:rPr>
        <w:t xml:space="preserve"> of </w:t>
      </w:r>
      <w:r w:rsidRPr="00EC4FA9">
        <w:rPr>
          <w:sz w:val="22"/>
          <w:szCs w:val="22"/>
        </w:rPr>
        <w:t xml:space="preserve">investment more often. For example, the project may be a good idea in </w:t>
      </w:r>
      <w:r w:rsidR="000E0D24" w:rsidRPr="00EC4FA9">
        <w:rPr>
          <w:sz w:val="22"/>
          <w:szCs w:val="22"/>
        </w:rPr>
        <w:t>ten to twenty</w:t>
      </w:r>
      <w:r w:rsidRPr="00EC4FA9">
        <w:rPr>
          <w:sz w:val="22"/>
          <w:szCs w:val="22"/>
        </w:rPr>
        <w:t xml:space="preserve"> years</w:t>
      </w:r>
      <w:r w:rsidR="000E0D24" w:rsidRPr="00EC4FA9">
        <w:rPr>
          <w:sz w:val="22"/>
          <w:szCs w:val="22"/>
        </w:rPr>
        <w:t>,</w:t>
      </w:r>
      <w:r w:rsidR="00816A50" w:rsidRPr="00EC4FA9">
        <w:rPr>
          <w:sz w:val="22"/>
          <w:szCs w:val="22"/>
        </w:rPr>
        <w:t xml:space="preserve"> when we know more about future needs</w:t>
      </w:r>
      <w:r w:rsidR="008A3BD5">
        <w:rPr>
          <w:sz w:val="22"/>
          <w:szCs w:val="22"/>
        </w:rPr>
        <w:t>.</w:t>
      </w:r>
      <w:r w:rsidR="00816A50" w:rsidRPr="00EC4FA9">
        <w:rPr>
          <w:sz w:val="22"/>
          <w:szCs w:val="22"/>
        </w:rPr>
        <w:t xml:space="preserve"> </w:t>
      </w:r>
      <w:r w:rsidRPr="00EC4FA9">
        <w:rPr>
          <w:sz w:val="22"/>
          <w:szCs w:val="22"/>
        </w:rPr>
        <w:t>(Quality Assurer)</w:t>
      </w:r>
    </w:p>
    <w:p w14:paraId="5B874B95" w14:textId="7E92883A" w:rsidR="00004D55" w:rsidRPr="00EC4FA9" w:rsidRDefault="005B590C" w:rsidP="001D1AA7">
      <w:pPr>
        <w:spacing w:before="120" w:after="120"/>
        <w:rPr>
          <w:b/>
          <w:bCs/>
        </w:rPr>
      </w:pPr>
      <w:r w:rsidRPr="00EC4FA9">
        <w:rPr>
          <w:b/>
          <w:bCs/>
        </w:rPr>
        <w:lastRenderedPageBreak/>
        <w:t>External reviewers’ assessment</w:t>
      </w:r>
      <w:r w:rsidR="00984E7A" w:rsidRPr="00EC4FA9">
        <w:rPr>
          <w:b/>
          <w:bCs/>
        </w:rPr>
        <w:t>s</w:t>
      </w:r>
    </w:p>
    <w:p w14:paraId="44E19E9F" w14:textId="787A3546" w:rsidR="00984E7A" w:rsidRPr="00EC4FA9" w:rsidRDefault="00984E7A" w:rsidP="00984E7A">
      <w:r w:rsidRPr="00EC4FA9">
        <w:t>The QA reports are</w:t>
      </w:r>
      <w:r w:rsidR="00B334F0">
        <w:t>, by their nature,</w:t>
      </w:r>
      <w:r w:rsidRPr="00EC4FA9">
        <w:t xml:space="preserve"> critical of the conceptual appraisals. </w:t>
      </w:r>
      <w:r w:rsidR="00E03B3F">
        <w:t>However</w:t>
      </w:r>
      <w:r w:rsidRPr="00EC4FA9">
        <w:t xml:space="preserve">, </w:t>
      </w:r>
      <w:r w:rsidR="00B334F0">
        <w:t>our impression is</w:t>
      </w:r>
      <w:r w:rsidRPr="00EC4FA9">
        <w:t xml:space="preserve"> that the criticism regarding </w:t>
      </w:r>
      <w:r w:rsidRPr="00EC4FA9">
        <w:rPr>
          <w:i/>
          <w:iCs/>
        </w:rPr>
        <w:t>do</w:t>
      </w:r>
      <w:r w:rsidR="003846F1">
        <w:rPr>
          <w:i/>
          <w:iCs/>
        </w:rPr>
        <w:t>-</w:t>
      </w:r>
      <w:r w:rsidRPr="00EC4FA9">
        <w:rPr>
          <w:i/>
          <w:iCs/>
        </w:rPr>
        <w:t xml:space="preserve">nothing </w:t>
      </w:r>
      <w:r w:rsidRPr="00EC4FA9">
        <w:t xml:space="preserve">and </w:t>
      </w:r>
      <w:r w:rsidRPr="00EC4FA9">
        <w:rPr>
          <w:i/>
          <w:iCs/>
        </w:rPr>
        <w:t>do</w:t>
      </w:r>
      <w:r w:rsidR="003846F1">
        <w:rPr>
          <w:i/>
          <w:iCs/>
        </w:rPr>
        <w:t>-</w:t>
      </w:r>
      <w:r w:rsidRPr="00EC4FA9">
        <w:rPr>
          <w:i/>
          <w:iCs/>
        </w:rPr>
        <w:t xml:space="preserve">minimum </w:t>
      </w:r>
      <w:r w:rsidRPr="00EC4FA9">
        <w:t xml:space="preserve">is usually quite </w:t>
      </w:r>
      <w:r w:rsidR="00E03B3F">
        <w:t>‘</w:t>
      </w:r>
      <w:r w:rsidRPr="00EC4FA9">
        <w:t>soft</w:t>
      </w:r>
      <w:r w:rsidR="00E03B3F">
        <w:t>’</w:t>
      </w:r>
      <w:r w:rsidRPr="00EC4FA9">
        <w:t xml:space="preserve">. </w:t>
      </w:r>
    </w:p>
    <w:p w14:paraId="2E21499A" w14:textId="41CB15EB" w:rsidR="00D9226B" w:rsidRDefault="000E2185" w:rsidP="001344AD">
      <w:r w:rsidRPr="00EC4FA9">
        <w:t>As indicated</w:t>
      </w:r>
      <w:r w:rsidR="00EC18AB">
        <w:t xml:space="preserve"> above</w:t>
      </w:r>
      <w:r w:rsidR="00816A50" w:rsidRPr="00EC4FA9">
        <w:t>, m</w:t>
      </w:r>
      <w:r w:rsidR="00642068" w:rsidRPr="00EC4FA9">
        <w:t>any</w:t>
      </w:r>
      <w:r w:rsidR="00D9226B" w:rsidRPr="00EC4FA9">
        <w:t xml:space="preserve"> QA reports</w:t>
      </w:r>
      <w:r w:rsidR="00601204" w:rsidRPr="00EC4FA9">
        <w:t xml:space="preserve"> </w:t>
      </w:r>
      <w:r w:rsidR="0076184C" w:rsidRPr="00EC4FA9">
        <w:t>critici</w:t>
      </w:r>
      <w:r w:rsidR="00557755">
        <w:t>s</w:t>
      </w:r>
      <w:r w:rsidR="0076184C" w:rsidRPr="00EC4FA9">
        <w:t>e</w:t>
      </w:r>
      <w:r w:rsidR="00601204" w:rsidRPr="00EC4FA9">
        <w:t xml:space="preserve"> </w:t>
      </w:r>
      <w:r w:rsidR="00802758" w:rsidRPr="00EC4FA9">
        <w:t xml:space="preserve">appraisals for only discussing whether </w:t>
      </w:r>
      <w:r w:rsidR="0073542A" w:rsidRPr="00EC4FA9">
        <w:t xml:space="preserve">or not </w:t>
      </w:r>
      <w:r w:rsidR="00802758" w:rsidRPr="00EC4FA9">
        <w:t xml:space="preserve">to invest, </w:t>
      </w:r>
      <w:r w:rsidR="00E03B3F">
        <w:t>and</w:t>
      </w:r>
      <w:r w:rsidR="00802758" w:rsidRPr="00EC4FA9">
        <w:t xml:space="preserve"> not </w:t>
      </w:r>
      <w:r w:rsidR="00802758" w:rsidRPr="00EC4FA9">
        <w:rPr>
          <w:i/>
        </w:rPr>
        <w:t>when</w:t>
      </w:r>
      <w:r w:rsidR="00802758" w:rsidRPr="00EC4FA9">
        <w:t xml:space="preserve"> to in</w:t>
      </w:r>
      <w:r w:rsidR="0007021C" w:rsidRPr="00EC4FA9">
        <w:t xml:space="preserve">vest or whether </w:t>
      </w:r>
      <w:r w:rsidR="00BF110A" w:rsidRPr="00EC4FA9">
        <w:t xml:space="preserve">the </w:t>
      </w:r>
      <w:r w:rsidR="009A35D8" w:rsidRPr="00EC4FA9">
        <w:t>investment</w:t>
      </w:r>
      <w:r w:rsidR="0007021C" w:rsidRPr="00EC4FA9">
        <w:t xml:space="preserve"> can be </w:t>
      </w:r>
      <w:r w:rsidR="0076184C" w:rsidRPr="00EC4FA9">
        <w:t>made</w:t>
      </w:r>
      <w:r w:rsidR="0007021C" w:rsidRPr="00EC4FA9">
        <w:t xml:space="preserve"> </w:t>
      </w:r>
      <w:r w:rsidR="00702349" w:rsidRPr="00EC4FA9">
        <w:t>stepwise</w:t>
      </w:r>
      <w:r w:rsidR="001E286C" w:rsidRPr="00EC4FA9">
        <w:t xml:space="preserve"> with a possibility to stop and assess </w:t>
      </w:r>
      <w:r w:rsidR="003B06F1" w:rsidRPr="00EC4FA9">
        <w:t>between the steps</w:t>
      </w:r>
      <w:r w:rsidR="009A35D8" w:rsidRPr="00EC4FA9">
        <w:t xml:space="preserve">. </w:t>
      </w:r>
      <w:r w:rsidRPr="00EC4FA9">
        <w:t xml:space="preserve">We also </w:t>
      </w:r>
      <w:r w:rsidR="00E03B3F">
        <w:t>found</w:t>
      </w:r>
      <w:r w:rsidRPr="00EC4FA9">
        <w:t xml:space="preserve"> some examples </w:t>
      </w:r>
      <w:r w:rsidR="00557755">
        <w:t>of reviewers criticising</w:t>
      </w:r>
      <w:r w:rsidRPr="00EC4FA9">
        <w:t xml:space="preserve"> the lack of good minimum alternatives. Still, they </w:t>
      </w:r>
      <w:r w:rsidR="00557755">
        <w:t>usually</w:t>
      </w:r>
      <w:r w:rsidR="00557755" w:rsidRPr="00EC4FA9">
        <w:t xml:space="preserve"> </w:t>
      </w:r>
      <w:r w:rsidRPr="00EC4FA9">
        <w:t xml:space="preserve">base their assessments on the alternatives presented to them by the government agencies, and </w:t>
      </w:r>
      <w:r w:rsidR="00E03B3F">
        <w:t xml:space="preserve">they </w:t>
      </w:r>
      <w:r w:rsidRPr="00EC4FA9">
        <w:t>only sometimes propose new alternatives themselves. It also happens that the reviewers critici</w:t>
      </w:r>
      <w:r w:rsidR="0024549F">
        <w:t>s</w:t>
      </w:r>
      <w:r w:rsidRPr="00EC4FA9">
        <w:t xml:space="preserve">e the baseline, but the </w:t>
      </w:r>
      <w:r w:rsidR="00CC7EAE" w:rsidRPr="00EC4FA9">
        <w:t>adjustments made are often insignificant</w:t>
      </w:r>
      <w:r w:rsidRPr="00EC4FA9">
        <w:t>.</w:t>
      </w:r>
    </w:p>
    <w:p w14:paraId="3A3782FB" w14:textId="2490C9E3" w:rsidR="00072E40" w:rsidRPr="00072E40" w:rsidRDefault="00AF7654" w:rsidP="001344AD">
      <w:pPr>
        <w:rPr>
          <w:b/>
          <w:bCs/>
        </w:rPr>
      </w:pPr>
      <w:r w:rsidRPr="00072E40">
        <w:rPr>
          <w:b/>
          <w:bCs/>
        </w:rPr>
        <w:t>Our assessment</w:t>
      </w:r>
      <w:r w:rsidR="000D3282">
        <w:rPr>
          <w:b/>
          <w:bCs/>
        </w:rPr>
        <w:t>s</w:t>
      </w:r>
    </w:p>
    <w:p w14:paraId="659A32E3" w14:textId="2714B49C" w:rsidR="00D41318" w:rsidRPr="006C4B65" w:rsidRDefault="00AF7654" w:rsidP="001344AD">
      <w:pPr>
        <w:rPr>
          <w:i/>
          <w:iCs/>
        </w:rPr>
      </w:pPr>
      <w:r w:rsidRPr="006C4B65">
        <w:t xml:space="preserve">There is clearly a need for better data and more transparent </w:t>
      </w:r>
      <w:r w:rsidR="00D41318" w:rsidRPr="006C4B65">
        <w:t>presentations</w:t>
      </w:r>
      <w:r w:rsidRPr="006C4B65">
        <w:t xml:space="preserve"> of how costs and benefits develop over time </w:t>
      </w:r>
      <w:r w:rsidR="00DB298F">
        <w:t>in the no-investment case</w:t>
      </w:r>
      <w:r w:rsidRPr="006C4B65">
        <w:t>. There is also a need for better analyses of uncertainty and real-option values in the do-nothing alternative. External reviewers should pay more attention to this part of the appraisal and ask more critical questions.</w:t>
      </w:r>
    </w:p>
    <w:p w14:paraId="53BF30CF" w14:textId="77777777" w:rsidR="003B3FFB" w:rsidRPr="00EC4FA9" w:rsidRDefault="003B3FFB" w:rsidP="001D1AA7">
      <w:pPr>
        <w:pStyle w:val="Heading3"/>
        <w:spacing w:before="240" w:after="240"/>
        <w:ind w:left="357" w:hanging="357"/>
        <w:rPr>
          <w:rFonts w:eastAsia="Times New Roman"/>
        </w:rPr>
      </w:pPr>
      <w:r w:rsidRPr="00EC4FA9">
        <w:rPr>
          <w:rFonts w:eastAsia="Times New Roman"/>
        </w:rPr>
        <w:t>The decision</w:t>
      </w:r>
    </w:p>
    <w:p w14:paraId="490ABE63" w14:textId="19BD93C7" w:rsidR="00B43D46" w:rsidRPr="00EC4FA9" w:rsidRDefault="00517BDC" w:rsidP="001D1AA7">
      <w:pPr>
        <w:spacing w:before="120" w:after="120"/>
        <w:rPr>
          <w:b/>
          <w:bCs/>
        </w:rPr>
      </w:pPr>
      <w:r>
        <w:rPr>
          <w:b/>
          <w:bCs/>
        </w:rPr>
        <w:t>The financing party</w:t>
      </w:r>
      <w:r w:rsidR="00755E4C" w:rsidRPr="00EC4FA9">
        <w:rPr>
          <w:b/>
          <w:bCs/>
        </w:rPr>
        <w:t xml:space="preserve"> </w:t>
      </w:r>
      <w:bookmarkStart w:id="25" w:name="_Hlk143003578"/>
      <w:r w:rsidR="00112752" w:rsidRPr="00EC4FA9">
        <w:rPr>
          <w:b/>
          <w:bCs/>
        </w:rPr>
        <w:t>fail</w:t>
      </w:r>
      <w:r>
        <w:rPr>
          <w:b/>
          <w:bCs/>
        </w:rPr>
        <w:t>s</w:t>
      </w:r>
      <w:r w:rsidR="00B43D46" w:rsidRPr="00EC4FA9">
        <w:rPr>
          <w:b/>
          <w:bCs/>
        </w:rPr>
        <w:t xml:space="preserve"> to </w:t>
      </w:r>
      <w:r w:rsidR="00BB0F9B" w:rsidRPr="00EC4FA9">
        <w:rPr>
          <w:b/>
          <w:bCs/>
        </w:rPr>
        <w:t>demand</w:t>
      </w:r>
      <w:r w:rsidR="00B43D46" w:rsidRPr="00EC4FA9">
        <w:rPr>
          <w:b/>
          <w:bCs/>
        </w:rPr>
        <w:t xml:space="preserve"> serious treatment of </w:t>
      </w:r>
      <w:r w:rsidR="00B43D46" w:rsidRPr="00EC4FA9">
        <w:rPr>
          <w:b/>
          <w:bCs/>
          <w:i/>
          <w:iCs/>
        </w:rPr>
        <w:t>do-nothing</w:t>
      </w:r>
      <w:r w:rsidR="00B43D46" w:rsidRPr="00EC4FA9">
        <w:rPr>
          <w:b/>
          <w:bCs/>
        </w:rPr>
        <w:t xml:space="preserve"> and </w:t>
      </w:r>
      <w:r w:rsidR="00B43D46" w:rsidRPr="00EC4FA9">
        <w:rPr>
          <w:b/>
          <w:bCs/>
          <w:i/>
          <w:iCs/>
        </w:rPr>
        <w:t>do-minimum</w:t>
      </w:r>
      <w:r w:rsidR="00B43D46" w:rsidRPr="00EC4FA9">
        <w:rPr>
          <w:b/>
          <w:bCs/>
        </w:rPr>
        <w:t xml:space="preserve"> </w:t>
      </w:r>
      <w:r w:rsidR="008402C3" w:rsidRPr="00EC4FA9">
        <w:rPr>
          <w:b/>
          <w:bCs/>
        </w:rPr>
        <w:t>alternatives</w:t>
      </w:r>
    </w:p>
    <w:bookmarkEnd w:id="25"/>
    <w:p w14:paraId="619C4AEB" w14:textId="02CF21EB" w:rsidR="000E2185" w:rsidRPr="00EC4FA9" w:rsidRDefault="00515571" w:rsidP="00515571">
      <w:pPr>
        <w:spacing w:before="240" w:after="240"/>
      </w:pPr>
      <w:r w:rsidRPr="00EC4FA9">
        <w:t xml:space="preserve">Behind each appraisal is a mandate issued by the </w:t>
      </w:r>
      <w:r w:rsidR="00CC7EAE" w:rsidRPr="00EC4FA9">
        <w:t xml:space="preserve">responsible </w:t>
      </w:r>
      <w:r w:rsidRPr="00EC4FA9">
        <w:t xml:space="preserve">ministry. </w:t>
      </w:r>
      <w:r w:rsidR="0024549F">
        <w:t>O</w:t>
      </w:r>
      <w:r w:rsidR="007633EF" w:rsidRPr="00EC4FA9">
        <w:t>nly</w:t>
      </w:r>
      <w:r w:rsidRPr="00EC4FA9">
        <w:t xml:space="preserve"> </w:t>
      </w:r>
      <w:r w:rsidR="00196A80" w:rsidRPr="00EC4FA9">
        <w:t>27</w:t>
      </w:r>
      <w:r w:rsidR="00355EE6" w:rsidRPr="00EC4FA9">
        <w:t>%</w:t>
      </w:r>
      <w:r w:rsidRPr="00EC4FA9">
        <w:t xml:space="preserve"> of the mandates </w:t>
      </w:r>
      <w:r w:rsidR="00196A80" w:rsidRPr="00EC4FA9">
        <w:t xml:space="preserve">explicitly </w:t>
      </w:r>
      <w:r w:rsidR="000E2185" w:rsidRPr="00EC4FA9">
        <w:t xml:space="preserve">referred to </w:t>
      </w:r>
      <w:r w:rsidR="00196A80" w:rsidRPr="00EC4FA9">
        <w:t xml:space="preserve">the </w:t>
      </w:r>
      <w:r w:rsidR="00196A80" w:rsidRPr="00EC4FA9">
        <w:rPr>
          <w:i/>
          <w:iCs/>
        </w:rPr>
        <w:t>do-nothing</w:t>
      </w:r>
      <w:r w:rsidR="00196A80" w:rsidRPr="00EC4FA9">
        <w:t xml:space="preserve"> </w:t>
      </w:r>
      <w:r w:rsidR="00FB1B82" w:rsidRPr="00EC4FA9">
        <w:t>and</w:t>
      </w:r>
      <w:r w:rsidR="00196A80" w:rsidRPr="00EC4FA9">
        <w:t xml:space="preserve"> </w:t>
      </w:r>
      <w:r w:rsidR="00196A80" w:rsidRPr="00EC4FA9">
        <w:rPr>
          <w:i/>
          <w:iCs/>
        </w:rPr>
        <w:t>do-minimum</w:t>
      </w:r>
      <w:r w:rsidR="00196A80" w:rsidRPr="00EC4FA9">
        <w:t xml:space="preserve"> </w:t>
      </w:r>
      <w:r w:rsidR="008402C3" w:rsidRPr="00EC4FA9">
        <w:t>alternatives</w:t>
      </w:r>
      <w:r w:rsidR="000E2185" w:rsidRPr="00EC4FA9">
        <w:t xml:space="preserve">, </w:t>
      </w:r>
      <w:r w:rsidR="00CC7EAE" w:rsidRPr="00EC4FA9">
        <w:t>for example</w:t>
      </w:r>
      <w:r w:rsidR="00631667">
        <w:t>,</w:t>
      </w:r>
      <w:r w:rsidR="00CC7EAE" w:rsidRPr="00EC4FA9">
        <w:t xml:space="preserve"> by requiring </w:t>
      </w:r>
      <w:r w:rsidR="000E2185" w:rsidRPr="00EC4FA9">
        <w:t xml:space="preserve">that they </w:t>
      </w:r>
      <w:r w:rsidR="00014454">
        <w:t>we</w:t>
      </w:r>
      <w:r w:rsidR="000E2185" w:rsidRPr="00EC4FA9">
        <w:t xml:space="preserve">re included and </w:t>
      </w:r>
      <w:r w:rsidR="007A754D">
        <w:t>adequately</w:t>
      </w:r>
      <w:r w:rsidR="007A754D" w:rsidRPr="00EC4FA9">
        <w:t xml:space="preserve"> </w:t>
      </w:r>
      <w:r w:rsidR="000E2185" w:rsidRPr="00EC4FA9">
        <w:t>treated</w:t>
      </w:r>
      <w:r w:rsidR="008402C3" w:rsidRPr="00EC4FA9">
        <w:t>.</w:t>
      </w:r>
      <w:r w:rsidR="00FB1B82" w:rsidRPr="00EC4FA9">
        <w:t xml:space="preserve"> </w:t>
      </w:r>
      <w:r w:rsidR="0073542A" w:rsidRPr="00EC4FA9">
        <w:t>By</w:t>
      </w:r>
      <w:r w:rsidR="00FB1B82" w:rsidRPr="00EC4FA9">
        <w:t xml:space="preserve"> co</w:t>
      </w:r>
      <w:r w:rsidR="007633EF" w:rsidRPr="00EC4FA9">
        <w:t>ntrast,</w:t>
      </w:r>
      <w:r w:rsidRPr="00EC4FA9">
        <w:t xml:space="preserve"> </w:t>
      </w:r>
      <w:r w:rsidR="000E2185" w:rsidRPr="00EC4FA9">
        <w:t xml:space="preserve">62% did not refer to the baseline or minimum options, and </w:t>
      </w:r>
      <w:r w:rsidRPr="00EC4FA9">
        <w:t>11</w:t>
      </w:r>
      <w:r w:rsidR="00355EE6" w:rsidRPr="00EC4FA9">
        <w:t>%</w:t>
      </w:r>
      <w:r w:rsidRPr="00EC4FA9">
        <w:t xml:space="preserve"> </w:t>
      </w:r>
      <w:r w:rsidR="00FD74A3" w:rsidRPr="00EC4FA9">
        <w:t>indicated</w:t>
      </w:r>
      <w:r w:rsidRPr="00EC4FA9">
        <w:t xml:space="preserve"> that </w:t>
      </w:r>
      <w:r w:rsidR="00CC7EAE" w:rsidRPr="00EC4FA9">
        <w:t>their interest was attached to the</w:t>
      </w:r>
      <w:r w:rsidR="000E2185" w:rsidRPr="00EC4FA9">
        <w:t xml:space="preserve"> appraisal of </w:t>
      </w:r>
      <w:r w:rsidRPr="00EC4FA9">
        <w:t xml:space="preserve">a </w:t>
      </w:r>
      <w:r w:rsidR="00FB1B82" w:rsidRPr="00EC4FA9">
        <w:t>specific</w:t>
      </w:r>
      <w:r w:rsidRPr="00EC4FA9">
        <w:t xml:space="preserve"> </w:t>
      </w:r>
      <w:r w:rsidR="005036F2" w:rsidRPr="00EC4FA9">
        <w:t xml:space="preserve">investment </w:t>
      </w:r>
      <w:r w:rsidR="007633EF" w:rsidRPr="00EC4FA9">
        <w:t>option</w:t>
      </w:r>
      <w:r w:rsidR="000E2185" w:rsidRPr="00EC4FA9">
        <w:t>, which</w:t>
      </w:r>
      <w:r w:rsidRPr="00EC4FA9">
        <w:t xml:space="preserve"> </w:t>
      </w:r>
      <w:r w:rsidR="00755E4C" w:rsidRPr="00EC4FA9">
        <w:t xml:space="preserve">was </w:t>
      </w:r>
      <w:r w:rsidR="000E2185" w:rsidRPr="00EC4FA9">
        <w:rPr>
          <w:i/>
          <w:iCs/>
        </w:rPr>
        <w:t xml:space="preserve">de facto </w:t>
      </w:r>
      <w:r w:rsidR="00755E4C" w:rsidRPr="00EC4FA9">
        <w:t>already selected</w:t>
      </w:r>
      <w:r w:rsidR="007633EF" w:rsidRPr="00EC4FA9">
        <w:t>.</w:t>
      </w:r>
      <w:r w:rsidRPr="00EC4FA9">
        <w:t xml:space="preserve"> </w:t>
      </w:r>
    </w:p>
    <w:p w14:paraId="3EB3E553" w14:textId="437D3EDF" w:rsidR="00515571" w:rsidRPr="00EC4FA9" w:rsidRDefault="002979F1" w:rsidP="00515571">
      <w:pPr>
        <w:spacing w:before="240" w:after="240"/>
      </w:pPr>
      <w:r w:rsidRPr="00EC4FA9">
        <w:t xml:space="preserve">Some agency informants </w:t>
      </w:r>
      <w:r w:rsidR="00C0182B" w:rsidRPr="00EC4FA9">
        <w:t>highlighted the importance of</w:t>
      </w:r>
      <w:r w:rsidRPr="00EC4FA9">
        <w:t xml:space="preserve"> the mandate in signalling expectations from the project owner</w:t>
      </w:r>
      <w:r w:rsidR="00CC7EAE" w:rsidRPr="00EC4FA9">
        <w:t>,</w:t>
      </w:r>
      <w:r w:rsidR="00C0182B" w:rsidRPr="00EC4FA9">
        <w:t xml:space="preserve"> and </w:t>
      </w:r>
      <w:r w:rsidR="006E3DA9" w:rsidRPr="00EC4FA9">
        <w:t>said</w:t>
      </w:r>
      <w:r w:rsidR="00C0182B" w:rsidRPr="00EC4FA9">
        <w:t xml:space="preserve"> that they would </w:t>
      </w:r>
      <w:r w:rsidR="00F07698" w:rsidRPr="00EC4FA9">
        <w:t xml:space="preserve">have </w:t>
      </w:r>
      <w:r w:rsidR="00C0182B" w:rsidRPr="00EC4FA9">
        <w:t>pa</w:t>
      </w:r>
      <w:r w:rsidR="00F07698" w:rsidRPr="00EC4FA9">
        <w:t>id</w:t>
      </w:r>
      <w:r w:rsidR="00C0182B" w:rsidRPr="00EC4FA9">
        <w:t xml:space="preserve"> more attention to </w:t>
      </w:r>
      <w:r w:rsidR="00C0182B" w:rsidRPr="00EC4FA9">
        <w:rPr>
          <w:i/>
          <w:iCs/>
        </w:rPr>
        <w:t>do-nothing</w:t>
      </w:r>
      <w:r w:rsidR="00C0182B" w:rsidRPr="00EC4FA9">
        <w:t xml:space="preserve"> and </w:t>
      </w:r>
      <w:r w:rsidR="00C0182B" w:rsidRPr="00EC4FA9">
        <w:rPr>
          <w:i/>
          <w:iCs/>
        </w:rPr>
        <w:t>do-minimum</w:t>
      </w:r>
      <w:r w:rsidR="00C0182B" w:rsidRPr="00EC4FA9">
        <w:t xml:space="preserve"> alternatives </w:t>
      </w:r>
      <w:r w:rsidR="000409AF" w:rsidRPr="00EC4FA9">
        <w:t xml:space="preserve">if </w:t>
      </w:r>
      <w:r w:rsidR="00C0182B" w:rsidRPr="00EC4FA9">
        <w:t>explicitly demanded in the mandate</w:t>
      </w:r>
      <w:r w:rsidR="002742F0" w:rsidRPr="00EC4FA9">
        <w:t>:</w:t>
      </w:r>
    </w:p>
    <w:p w14:paraId="6AF1C1B4" w14:textId="5F54F841" w:rsidR="00DC54CF" w:rsidRPr="00EC4FA9" w:rsidRDefault="00DC54CF" w:rsidP="00D93EC6">
      <w:pPr>
        <w:ind w:left="708"/>
        <w:rPr>
          <w:sz w:val="22"/>
          <w:szCs w:val="22"/>
        </w:rPr>
      </w:pPr>
      <w:r w:rsidRPr="00EC4FA9">
        <w:rPr>
          <w:sz w:val="22"/>
          <w:szCs w:val="22"/>
        </w:rPr>
        <w:t xml:space="preserve">We are </w:t>
      </w:r>
      <w:r w:rsidR="007A754D">
        <w:rPr>
          <w:sz w:val="22"/>
          <w:szCs w:val="22"/>
        </w:rPr>
        <w:t>currently doing a project appraisal</w:t>
      </w:r>
      <w:r w:rsidRPr="00EC4FA9">
        <w:rPr>
          <w:sz w:val="22"/>
          <w:szCs w:val="22"/>
        </w:rPr>
        <w:t xml:space="preserve">, where the mandate requires investigating a scaled-down alternative. </w:t>
      </w:r>
      <w:r w:rsidR="00F07698" w:rsidRPr="00EC4FA9">
        <w:rPr>
          <w:sz w:val="22"/>
          <w:szCs w:val="22"/>
        </w:rPr>
        <w:t>We would not have done it otherwise.</w:t>
      </w:r>
      <w:r w:rsidR="00D93EC6" w:rsidRPr="00EC4FA9">
        <w:rPr>
          <w:sz w:val="22"/>
          <w:szCs w:val="22"/>
        </w:rPr>
        <w:t xml:space="preserve"> </w:t>
      </w:r>
      <w:r w:rsidRPr="00EC4FA9">
        <w:rPr>
          <w:sz w:val="22"/>
          <w:szCs w:val="22"/>
        </w:rPr>
        <w:t>(Agency</w:t>
      </w:r>
      <w:r w:rsidR="0073542A" w:rsidRPr="00EC4FA9">
        <w:rPr>
          <w:sz w:val="22"/>
          <w:szCs w:val="22"/>
        </w:rPr>
        <w:t xml:space="preserve"> representative</w:t>
      </w:r>
      <w:r w:rsidRPr="00EC4FA9">
        <w:rPr>
          <w:sz w:val="22"/>
          <w:szCs w:val="22"/>
        </w:rPr>
        <w:t xml:space="preserve">) </w:t>
      </w:r>
    </w:p>
    <w:p w14:paraId="04320881" w14:textId="560008AE" w:rsidR="00DC54CF" w:rsidRPr="00EC4FA9" w:rsidRDefault="00DC54CF" w:rsidP="00D93EC6">
      <w:pPr>
        <w:ind w:left="708"/>
        <w:rPr>
          <w:sz w:val="22"/>
          <w:szCs w:val="22"/>
        </w:rPr>
      </w:pPr>
      <w:r w:rsidRPr="00EC4FA9">
        <w:rPr>
          <w:sz w:val="22"/>
          <w:szCs w:val="22"/>
        </w:rPr>
        <w:t xml:space="preserve">I would have liked to see the mandate demand </w:t>
      </w:r>
      <w:r w:rsidR="00CC7EAE" w:rsidRPr="00EC4FA9">
        <w:rPr>
          <w:sz w:val="22"/>
          <w:szCs w:val="22"/>
        </w:rPr>
        <w:t>an</w:t>
      </w:r>
      <w:r w:rsidRPr="00EC4FA9">
        <w:rPr>
          <w:sz w:val="22"/>
          <w:szCs w:val="22"/>
        </w:rPr>
        <w:t xml:space="preserve"> investigation of regulatory measures such as road pricing</w:t>
      </w:r>
      <w:r w:rsidR="0073542A" w:rsidRPr="00EC4FA9">
        <w:rPr>
          <w:sz w:val="22"/>
          <w:szCs w:val="22"/>
        </w:rPr>
        <w:t>, b</w:t>
      </w:r>
      <w:r w:rsidR="009B6896" w:rsidRPr="00EC4FA9">
        <w:rPr>
          <w:sz w:val="22"/>
          <w:szCs w:val="22"/>
        </w:rPr>
        <w:t>ut</w:t>
      </w:r>
      <w:r w:rsidRPr="00EC4FA9">
        <w:rPr>
          <w:sz w:val="22"/>
          <w:szCs w:val="22"/>
        </w:rPr>
        <w:t xml:space="preserve"> unfortunately</w:t>
      </w:r>
      <w:r w:rsidR="00B50288" w:rsidRPr="00EC4FA9">
        <w:rPr>
          <w:sz w:val="22"/>
          <w:szCs w:val="22"/>
        </w:rPr>
        <w:t>,</w:t>
      </w:r>
      <w:r w:rsidRPr="00EC4FA9">
        <w:rPr>
          <w:sz w:val="22"/>
          <w:szCs w:val="22"/>
        </w:rPr>
        <w:t xml:space="preserve"> this is hardly ever </w:t>
      </w:r>
      <w:r w:rsidR="00755E4C" w:rsidRPr="00EC4FA9">
        <w:rPr>
          <w:sz w:val="22"/>
          <w:szCs w:val="22"/>
        </w:rPr>
        <w:t>mentioned</w:t>
      </w:r>
      <w:r w:rsidRPr="00EC4FA9">
        <w:rPr>
          <w:sz w:val="22"/>
          <w:szCs w:val="22"/>
        </w:rPr>
        <w:t>.</w:t>
      </w:r>
      <w:r w:rsidR="00D93EC6" w:rsidRPr="00EC4FA9">
        <w:rPr>
          <w:sz w:val="22"/>
          <w:szCs w:val="22"/>
        </w:rPr>
        <w:t xml:space="preserve"> </w:t>
      </w:r>
      <w:r w:rsidRPr="00EC4FA9">
        <w:rPr>
          <w:sz w:val="22"/>
          <w:szCs w:val="22"/>
        </w:rPr>
        <w:t xml:space="preserve">(Quality </w:t>
      </w:r>
      <w:r w:rsidR="0073542A" w:rsidRPr="00EC4FA9">
        <w:rPr>
          <w:sz w:val="22"/>
          <w:szCs w:val="22"/>
        </w:rPr>
        <w:t>a</w:t>
      </w:r>
      <w:r w:rsidRPr="00EC4FA9">
        <w:rPr>
          <w:sz w:val="22"/>
          <w:szCs w:val="22"/>
        </w:rPr>
        <w:t>ssurer)</w:t>
      </w:r>
    </w:p>
    <w:p w14:paraId="36279B77" w14:textId="59C4C52F" w:rsidR="412D4163" w:rsidRPr="00EC4FA9" w:rsidRDefault="00655C5D" w:rsidP="001D1AA7">
      <w:pPr>
        <w:spacing w:before="120" w:after="120" w:line="257" w:lineRule="auto"/>
        <w:rPr>
          <w:sz w:val="28"/>
          <w:szCs w:val="28"/>
        </w:rPr>
      </w:pPr>
      <w:bookmarkStart w:id="26" w:name="_Hlk132557721"/>
      <w:r w:rsidRPr="00EC4FA9">
        <w:rPr>
          <w:rFonts w:eastAsia="Garamond" w:cs="Garamond"/>
          <w:b/>
        </w:rPr>
        <w:t>‘A</w:t>
      </w:r>
      <w:r w:rsidR="0073542A" w:rsidRPr="00EC4FA9">
        <w:rPr>
          <w:rFonts w:eastAsia="Garamond" w:cs="Garamond"/>
          <w:b/>
        </w:rPr>
        <w:t>ll</w:t>
      </w:r>
      <w:r w:rsidRPr="00EC4FA9">
        <w:rPr>
          <w:rFonts w:eastAsia="Garamond" w:cs="Garamond"/>
          <w:b/>
        </w:rPr>
        <w:t>’</w:t>
      </w:r>
      <w:r w:rsidR="0073542A" w:rsidRPr="00EC4FA9">
        <w:rPr>
          <w:rFonts w:eastAsia="Garamond" w:cs="Garamond"/>
          <w:b/>
        </w:rPr>
        <w:t xml:space="preserve"> </w:t>
      </w:r>
      <w:r w:rsidR="412D4163" w:rsidRPr="00EC4FA9">
        <w:rPr>
          <w:rFonts w:eastAsia="Garamond" w:cs="Garamond"/>
          <w:b/>
        </w:rPr>
        <w:t xml:space="preserve">appraisals end up recommending </w:t>
      </w:r>
      <w:r w:rsidR="00DA4CE7" w:rsidRPr="00EC4FA9">
        <w:rPr>
          <w:rFonts w:eastAsia="Garamond" w:cs="Garamond"/>
          <w:b/>
        </w:rPr>
        <w:t>a</w:t>
      </w:r>
      <w:r w:rsidRPr="00EC4FA9">
        <w:rPr>
          <w:rFonts w:eastAsia="Garamond" w:cs="Garamond"/>
          <w:b/>
        </w:rPr>
        <w:t xml:space="preserve"> </w:t>
      </w:r>
      <w:r w:rsidR="007B66DF">
        <w:rPr>
          <w:rFonts w:eastAsia="Garamond" w:cs="Garamond"/>
          <w:b/>
        </w:rPr>
        <w:t>construction project</w:t>
      </w:r>
    </w:p>
    <w:bookmarkEnd w:id="26"/>
    <w:p w14:paraId="63DE08D7" w14:textId="27DC4822" w:rsidR="00724FC6" w:rsidRDefault="00E74588" w:rsidP="00724FC6">
      <w:r w:rsidRPr="00EC4FA9">
        <w:t xml:space="preserve">None of the conceptual appraisals recommend the </w:t>
      </w:r>
      <w:r w:rsidRPr="00EC4FA9">
        <w:rPr>
          <w:i/>
          <w:iCs/>
        </w:rPr>
        <w:t>do-nothing</w:t>
      </w:r>
      <w:r w:rsidRPr="00EC4FA9">
        <w:t xml:space="preserve"> alternative</w:t>
      </w:r>
      <w:r w:rsidR="007A754D">
        <w:t>,</w:t>
      </w:r>
      <w:r w:rsidRPr="00EC4FA9">
        <w:t xml:space="preserve"> and o</w:t>
      </w:r>
      <w:r w:rsidR="00B357FE" w:rsidRPr="00EC4FA9">
        <w:t xml:space="preserve">nly </w:t>
      </w:r>
      <w:r w:rsidR="00164EDF">
        <w:t>two</w:t>
      </w:r>
      <w:r w:rsidR="00B357FE" w:rsidRPr="00EC4FA9">
        <w:t xml:space="preserve"> </w:t>
      </w:r>
      <w:r w:rsidR="00CC7EAE" w:rsidRPr="00EC4FA9">
        <w:t xml:space="preserve">out of </w:t>
      </w:r>
      <w:r w:rsidR="00014454">
        <w:t xml:space="preserve">the </w:t>
      </w:r>
      <w:r w:rsidR="00CC7EAE" w:rsidRPr="00EC4FA9">
        <w:t xml:space="preserve">112 </w:t>
      </w:r>
      <w:r w:rsidR="00B357FE" w:rsidRPr="00EC4FA9">
        <w:t>recommend</w:t>
      </w:r>
      <w:r w:rsidR="412D4163" w:rsidRPr="00EC4FA9">
        <w:t xml:space="preserve"> </w:t>
      </w:r>
      <w:r w:rsidR="412D4163" w:rsidRPr="00EC4FA9">
        <w:rPr>
          <w:i/>
          <w:iCs/>
        </w:rPr>
        <w:t>do-minimum</w:t>
      </w:r>
      <w:r w:rsidR="412D4163" w:rsidRPr="00EC4FA9">
        <w:t xml:space="preserve"> </w:t>
      </w:r>
      <w:r w:rsidR="008402C3" w:rsidRPr="00EC4FA9">
        <w:t>alternative</w:t>
      </w:r>
      <w:r w:rsidR="001018D5" w:rsidRPr="00EC4FA9">
        <w:t>s</w:t>
      </w:r>
      <w:r w:rsidR="00E02829">
        <w:t xml:space="preserve"> (see Figure </w:t>
      </w:r>
      <w:r w:rsidR="00164EDF">
        <w:t>5</w:t>
      </w:r>
      <w:r w:rsidR="00E02829">
        <w:t>)</w:t>
      </w:r>
      <w:r w:rsidR="00B357FE" w:rsidRPr="00EC4FA9">
        <w:t>.</w:t>
      </w:r>
      <w:r w:rsidR="00F5531D" w:rsidRPr="00EC4FA9">
        <w:t xml:space="preserve"> </w:t>
      </w:r>
      <w:r w:rsidR="00392F62">
        <w:t xml:space="preserve">It is surprising that virtually all </w:t>
      </w:r>
      <w:r w:rsidR="003A5409">
        <w:t>appraisals recommend an investment project.</w:t>
      </w:r>
      <w:r w:rsidR="00854BB5" w:rsidRPr="00EC4FA9">
        <w:t xml:space="preserve"> </w:t>
      </w:r>
      <w:r w:rsidR="003A5409">
        <w:t>A</w:t>
      </w:r>
      <w:r w:rsidR="00755E4C" w:rsidRPr="00EC4FA9">
        <w:t xml:space="preserve"> conceptual appraisal </w:t>
      </w:r>
      <w:r w:rsidR="00854BB5" w:rsidRPr="00EC4FA9">
        <w:t xml:space="preserve">is a public document commissioned by </w:t>
      </w:r>
      <w:r w:rsidR="00014454">
        <w:t>a</w:t>
      </w:r>
      <w:r w:rsidR="00854BB5" w:rsidRPr="00EC4FA9">
        <w:t xml:space="preserve"> ministry to assess </w:t>
      </w:r>
      <w:r w:rsidR="00854BB5" w:rsidRPr="00EC4FA9">
        <w:rPr>
          <w:i/>
          <w:iCs/>
        </w:rPr>
        <w:t>whether to invest</w:t>
      </w:r>
      <w:r w:rsidR="00835123">
        <w:rPr>
          <w:i/>
          <w:iCs/>
        </w:rPr>
        <w:t xml:space="preserve">, </w:t>
      </w:r>
      <w:r w:rsidR="004C2312" w:rsidRPr="006C4B65">
        <w:t xml:space="preserve">it is </w:t>
      </w:r>
      <w:r w:rsidR="004C2312">
        <w:t>not a funding application.</w:t>
      </w:r>
      <w:r w:rsidR="00854BB5" w:rsidRPr="00EC4FA9">
        <w:t xml:space="preserve">. </w:t>
      </w:r>
    </w:p>
    <w:p w14:paraId="3F605023" w14:textId="219515E9" w:rsidR="00B43E17" w:rsidRDefault="00724FC6" w:rsidP="00F448B0">
      <w:r w:rsidRPr="00EC4FA9">
        <w:t xml:space="preserve">Interestingly, the quality assurers recommended </w:t>
      </w:r>
      <w:r w:rsidRPr="00EC4FA9">
        <w:rPr>
          <w:i/>
          <w:iCs/>
        </w:rPr>
        <w:t>do-nothing</w:t>
      </w:r>
      <w:r w:rsidRPr="00EC4FA9">
        <w:t xml:space="preserve"> and </w:t>
      </w:r>
      <w:r w:rsidRPr="00EC4FA9">
        <w:rPr>
          <w:i/>
          <w:iCs/>
        </w:rPr>
        <w:t xml:space="preserve">do-minimum </w:t>
      </w:r>
      <w:r w:rsidRPr="00EC4FA9">
        <w:t xml:space="preserve">alternatives </w:t>
      </w:r>
      <w:r>
        <w:t>far</w:t>
      </w:r>
      <w:r w:rsidRPr="00EC4FA9">
        <w:t xml:space="preserve"> more often</w:t>
      </w:r>
      <w:r>
        <w:t xml:space="preserve"> than the agencies’ appraisal</w:t>
      </w:r>
      <w:r w:rsidRPr="00EC4FA9">
        <w:t xml:space="preserve">; </w:t>
      </w:r>
      <w:r>
        <w:t xml:space="preserve">this was the case </w:t>
      </w:r>
      <w:r w:rsidRPr="00EC4FA9">
        <w:t>in about 2</w:t>
      </w:r>
      <w:r>
        <w:t>6</w:t>
      </w:r>
      <w:r w:rsidRPr="00EC4FA9">
        <w:t>% of the QA1 reports. The main reason is that they emphasi</w:t>
      </w:r>
      <w:r>
        <w:t>s</w:t>
      </w:r>
      <w:r w:rsidRPr="00EC4FA9">
        <w:t>e value for money</w:t>
      </w:r>
      <w:r>
        <w:t xml:space="preserve"> more</w:t>
      </w:r>
      <w:r w:rsidRPr="00EC4FA9">
        <w:t>.</w:t>
      </w:r>
    </w:p>
    <w:p w14:paraId="10E79223" w14:textId="58EF7A1E" w:rsidR="00B43E17" w:rsidRDefault="00F87E9F" w:rsidP="00F448B0">
      <w:r w:rsidRPr="00F87E9F">
        <w:rPr>
          <w:noProof/>
        </w:rPr>
        <w:lastRenderedPageBreak/>
        <w:drawing>
          <wp:inline distT="0" distB="0" distL="0" distR="0" wp14:anchorId="682725BB" wp14:editId="2B326CC5">
            <wp:extent cx="5022166" cy="2513865"/>
            <wp:effectExtent l="0" t="0" r="7620" b="1270"/>
            <wp:docPr id="1548533985"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29284" cy="2517428"/>
                    </a:xfrm>
                    <a:prstGeom prst="rect">
                      <a:avLst/>
                    </a:prstGeom>
                    <a:noFill/>
                    <a:ln>
                      <a:noFill/>
                    </a:ln>
                  </pic:spPr>
                </pic:pic>
              </a:graphicData>
            </a:graphic>
          </wp:inline>
        </w:drawing>
      </w:r>
    </w:p>
    <w:p w14:paraId="7FB74166" w14:textId="447CF142" w:rsidR="00B43E17" w:rsidRPr="00EC4FA9" w:rsidRDefault="00B43E17" w:rsidP="00B43E17">
      <w:pPr>
        <w:pStyle w:val="Caption"/>
      </w:pPr>
      <w:r w:rsidRPr="00EC4FA9">
        <w:t xml:space="preserve">Figure </w:t>
      </w:r>
      <w:r w:rsidR="00164EDF">
        <w:t>5</w:t>
      </w:r>
      <w:r>
        <w:t>.</w:t>
      </w:r>
      <w:r w:rsidRPr="00EC4FA9">
        <w:t xml:space="preserve"> </w:t>
      </w:r>
      <w:r>
        <w:t>Recommendations</w:t>
      </w:r>
      <w:r w:rsidR="00E02829">
        <w:t xml:space="preserve"> from appraisals and from QA reports</w:t>
      </w:r>
      <w:r>
        <w:t xml:space="preserve"> (N=112)</w:t>
      </w:r>
    </w:p>
    <w:p w14:paraId="78A0D069" w14:textId="03CABAEF" w:rsidR="007B45CC" w:rsidRPr="00EC4FA9" w:rsidRDefault="00854BB5" w:rsidP="00F448B0">
      <w:r w:rsidRPr="00EC4FA9">
        <w:t xml:space="preserve">It should be noted that </w:t>
      </w:r>
      <w:r w:rsidR="00F07698" w:rsidRPr="00EC4FA9">
        <w:t xml:space="preserve">most </w:t>
      </w:r>
      <w:r w:rsidR="00655C5D" w:rsidRPr="00EC4FA9">
        <w:t>appraisals</w:t>
      </w:r>
      <w:r w:rsidR="00F07698" w:rsidRPr="00EC4FA9">
        <w:t xml:space="preserve"> in </w:t>
      </w:r>
      <w:r w:rsidR="00F448B0" w:rsidRPr="00EC4FA9">
        <w:t>the</w:t>
      </w:r>
      <w:r w:rsidR="00F07698" w:rsidRPr="00EC4FA9">
        <w:t xml:space="preserve"> dataset (except transport investments) </w:t>
      </w:r>
      <w:r w:rsidR="00655C5D" w:rsidRPr="00EC4FA9">
        <w:t>show</w:t>
      </w:r>
      <w:r w:rsidR="00F07698" w:rsidRPr="00EC4FA9">
        <w:t xml:space="preserve"> a negative net present value</w:t>
      </w:r>
      <w:r w:rsidR="00655C5D" w:rsidRPr="00EC4FA9">
        <w:t xml:space="preserve">, implying that </w:t>
      </w:r>
      <w:r w:rsidR="00F448B0" w:rsidRPr="00EC4FA9">
        <w:t xml:space="preserve">the </w:t>
      </w:r>
      <w:r w:rsidR="00F448B0" w:rsidRPr="00EC4FA9">
        <w:rPr>
          <w:i/>
          <w:iCs/>
        </w:rPr>
        <w:t xml:space="preserve">do-nothing </w:t>
      </w:r>
      <w:r w:rsidR="00F448B0" w:rsidRPr="00EC4FA9">
        <w:t xml:space="preserve">alternative </w:t>
      </w:r>
      <w:r w:rsidRPr="00EC4FA9">
        <w:t>would be</w:t>
      </w:r>
      <w:r w:rsidR="00F448B0" w:rsidRPr="00EC4FA9">
        <w:t xml:space="preserve"> more efficient</w:t>
      </w:r>
      <w:r w:rsidR="00F07698" w:rsidRPr="00EC4FA9">
        <w:t xml:space="preserve">. </w:t>
      </w:r>
      <w:r w:rsidRPr="00EC4FA9">
        <w:t>Admittedly, s</w:t>
      </w:r>
      <w:r w:rsidR="00F448B0" w:rsidRPr="00EC4FA9">
        <w:t>ome projects have benefits that are not moneti</w:t>
      </w:r>
      <w:r w:rsidR="00DB38BD">
        <w:t>s</w:t>
      </w:r>
      <w:r w:rsidR="00F448B0" w:rsidRPr="00EC4FA9">
        <w:t>ed</w:t>
      </w:r>
      <w:r w:rsidR="00655C5D" w:rsidRPr="00EC4FA9">
        <w:t>, which can be argued to outweigh the costs</w:t>
      </w:r>
      <w:r w:rsidR="00AA7FA6" w:rsidRPr="00EC4FA9">
        <w:t xml:space="preserve">. </w:t>
      </w:r>
      <w:r w:rsidR="00014454">
        <w:t>However,</w:t>
      </w:r>
      <w:r w:rsidR="00AA7FA6" w:rsidRPr="00EC4FA9">
        <w:t xml:space="preserve"> generally, </w:t>
      </w:r>
      <w:r w:rsidR="00655C5D" w:rsidRPr="00EC4FA9">
        <w:t>the</w:t>
      </w:r>
      <w:r w:rsidR="00AA7FA6" w:rsidRPr="00EC4FA9">
        <w:t xml:space="preserve"> non-moneti</w:t>
      </w:r>
      <w:r w:rsidR="002E26A2">
        <w:t>s</w:t>
      </w:r>
      <w:r w:rsidR="00AA7FA6" w:rsidRPr="00EC4FA9">
        <w:t>ed impacts</w:t>
      </w:r>
      <w:r w:rsidR="00655C5D" w:rsidRPr="00EC4FA9">
        <w:t xml:space="preserve"> are low in the studied appraisals</w:t>
      </w:r>
      <w:r w:rsidR="00F448B0" w:rsidRPr="00EC4FA9">
        <w:t xml:space="preserve">. </w:t>
      </w:r>
      <w:r w:rsidRPr="00EC4FA9">
        <w:t>In such cases</w:t>
      </w:r>
      <w:r w:rsidR="00014454">
        <w:t>,</w:t>
      </w:r>
      <w:r w:rsidRPr="00EC4FA9">
        <w:t xml:space="preserve"> the recommendation to implement a construction project is justified</w:t>
      </w:r>
      <w:r w:rsidR="00F07698" w:rsidRPr="00EC4FA9">
        <w:t xml:space="preserve"> </w:t>
      </w:r>
      <w:r w:rsidRPr="00EC4FA9">
        <w:t xml:space="preserve">not </w:t>
      </w:r>
      <w:r w:rsidR="00F07698" w:rsidRPr="00EC4FA9">
        <w:t xml:space="preserve">in terms of </w:t>
      </w:r>
      <w:r w:rsidR="00F448B0" w:rsidRPr="00EC4FA9">
        <w:t>‘</w:t>
      </w:r>
      <w:r w:rsidR="00F07698" w:rsidRPr="00EC4FA9">
        <w:t>value for money</w:t>
      </w:r>
      <w:r w:rsidR="00F448B0" w:rsidRPr="00EC4FA9">
        <w:t>’</w:t>
      </w:r>
      <w:r w:rsidR="00F07698" w:rsidRPr="00EC4FA9">
        <w:t xml:space="preserve">, but </w:t>
      </w:r>
      <w:r w:rsidR="00304BE2">
        <w:t>concerning</w:t>
      </w:r>
      <w:r w:rsidRPr="00EC4FA9">
        <w:t xml:space="preserve"> </w:t>
      </w:r>
      <w:r w:rsidR="00F448B0" w:rsidRPr="00EC4FA9">
        <w:t>political goals, sustainability</w:t>
      </w:r>
      <w:r w:rsidR="00014454">
        <w:t>,</w:t>
      </w:r>
      <w:r w:rsidR="00F448B0" w:rsidRPr="00EC4FA9">
        <w:t xml:space="preserve"> </w:t>
      </w:r>
      <w:r w:rsidRPr="00EC4FA9">
        <w:t xml:space="preserve">and </w:t>
      </w:r>
      <w:r w:rsidR="00F448B0" w:rsidRPr="00EC4FA9">
        <w:t>other considerations</w:t>
      </w:r>
      <w:r w:rsidR="00014454">
        <w:t>:</w:t>
      </w:r>
    </w:p>
    <w:p w14:paraId="3B44C67D" w14:textId="6E057F4C" w:rsidR="00DC54CF" w:rsidRPr="00EC4FA9" w:rsidRDefault="003D616F" w:rsidP="00B47177">
      <w:pPr>
        <w:ind w:left="708"/>
        <w:rPr>
          <w:sz w:val="22"/>
          <w:szCs w:val="22"/>
        </w:rPr>
      </w:pPr>
      <w:r w:rsidRPr="00EC4FA9">
        <w:rPr>
          <w:sz w:val="22"/>
          <w:szCs w:val="22"/>
        </w:rPr>
        <w:t>There is</w:t>
      </w:r>
      <w:r w:rsidR="00B47177" w:rsidRPr="00EC4FA9">
        <w:rPr>
          <w:sz w:val="22"/>
          <w:szCs w:val="22"/>
        </w:rPr>
        <w:t xml:space="preserve"> an</w:t>
      </w:r>
      <w:r w:rsidR="00DC54CF" w:rsidRPr="00EC4FA9">
        <w:rPr>
          <w:sz w:val="22"/>
          <w:szCs w:val="22"/>
        </w:rPr>
        <w:t xml:space="preserve"> eagerness to take action</w:t>
      </w:r>
      <w:r w:rsidRPr="00EC4FA9">
        <w:rPr>
          <w:sz w:val="22"/>
          <w:szCs w:val="22"/>
        </w:rPr>
        <w:t xml:space="preserve">. There is </w:t>
      </w:r>
      <w:r w:rsidR="00DC54CF" w:rsidRPr="00EC4FA9">
        <w:rPr>
          <w:sz w:val="22"/>
          <w:szCs w:val="22"/>
        </w:rPr>
        <w:t>the idea that all problems and needs</w:t>
      </w:r>
      <w:r w:rsidR="00C46D29" w:rsidRPr="00EC4FA9">
        <w:rPr>
          <w:sz w:val="22"/>
          <w:szCs w:val="22"/>
        </w:rPr>
        <w:t xml:space="preserve"> </w:t>
      </w:r>
      <w:r w:rsidR="00DC54CF" w:rsidRPr="00EC4FA9">
        <w:rPr>
          <w:sz w:val="22"/>
          <w:szCs w:val="22"/>
        </w:rPr>
        <w:t>must be fully resolved.</w:t>
      </w:r>
      <w:r w:rsidR="00B47177" w:rsidRPr="00EC4FA9">
        <w:rPr>
          <w:sz w:val="22"/>
          <w:szCs w:val="22"/>
        </w:rPr>
        <w:t xml:space="preserve"> </w:t>
      </w:r>
      <w:r w:rsidR="00DC54CF" w:rsidRPr="00EC4FA9">
        <w:rPr>
          <w:sz w:val="22"/>
          <w:szCs w:val="22"/>
        </w:rPr>
        <w:t>(Quality assurer)</w:t>
      </w:r>
    </w:p>
    <w:p w14:paraId="307BCD2C" w14:textId="31955F34" w:rsidR="00DC54CF" w:rsidRPr="00EC4FA9" w:rsidRDefault="00DC54CF" w:rsidP="00B47177">
      <w:pPr>
        <w:ind w:left="708"/>
        <w:rPr>
          <w:sz w:val="22"/>
          <w:szCs w:val="22"/>
        </w:rPr>
      </w:pPr>
      <w:r w:rsidRPr="00EC4FA9">
        <w:rPr>
          <w:sz w:val="22"/>
          <w:szCs w:val="22"/>
        </w:rPr>
        <w:t xml:space="preserve">Once a project appraisal has started, it is too late to recommend the </w:t>
      </w:r>
      <w:r w:rsidRPr="00EC4FA9">
        <w:rPr>
          <w:i/>
          <w:iCs/>
          <w:sz w:val="22"/>
          <w:szCs w:val="22"/>
        </w:rPr>
        <w:t>do-nothing</w:t>
      </w:r>
      <w:r w:rsidRPr="00EC4FA9">
        <w:rPr>
          <w:sz w:val="22"/>
          <w:szCs w:val="22"/>
        </w:rPr>
        <w:t xml:space="preserve"> alternative, even if the analysis shows that </w:t>
      </w:r>
      <w:r w:rsidR="00E1053E" w:rsidRPr="00EC4FA9">
        <w:rPr>
          <w:sz w:val="22"/>
          <w:szCs w:val="22"/>
        </w:rPr>
        <w:t xml:space="preserve">all the </w:t>
      </w:r>
      <w:r w:rsidR="00E1053E" w:rsidRPr="00EC4FA9">
        <w:rPr>
          <w:i/>
          <w:iCs/>
          <w:sz w:val="22"/>
          <w:szCs w:val="22"/>
        </w:rPr>
        <w:t>do-something</w:t>
      </w:r>
      <w:r w:rsidR="00E1053E" w:rsidRPr="00EC4FA9">
        <w:rPr>
          <w:sz w:val="22"/>
          <w:szCs w:val="22"/>
        </w:rPr>
        <w:t xml:space="preserve"> alternatives are poor value for money</w:t>
      </w:r>
      <w:r w:rsidRPr="00EC4FA9">
        <w:rPr>
          <w:sz w:val="22"/>
          <w:szCs w:val="22"/>
        </w:rPr>
        <w:t>. (Agency</w:t>
      </w:r>
      <w:r w:rsidR="0073542A" w:rsidRPr="00EC4FA9">
        <w:rPr>
          <w:sz w:val="22"/>
          <w:szCs w:val="22"/>
        </w:rPr>
        <w:t xml:space="preserve"> representative</w:t>
      </w:r>
      <w:r w:rsidRPr="00EC4FA9">
        <w:rPr>
          <w:sz w:val="22"/>
          <w:szCs w:val="22"/>
        </w:rPr>
        <w:t>)</w:t>
      </w:r>
    </w:p>
    <w:p w14:paraId="37698D10" w14:textId="52301117" w:rsidR="412D4163" w:rsidRPr="00EC4FA9" w:rsidRDefault="00B57AE8" w:rsidP="009777E4">
      <w:r w:rsidRPr="009D66F0">
        <w:t>We also observe</w:t>
      </w:r>
      <w:r w:rsidR="0073542A" w:rsidRPr="009D66F0">
        <w:t>d</w:t>
      </w:r>
      <w:r w:rsidR="412D4163" w:rsidRPr="009D66F0">
        <w:t xml:space="preserve"> that </w:t>
      </w:r>
      <w:r w:rsidR="0051554C" w:rsidRPr="009D66F0">
        <w:t xml:space="preserve">the </w:t>
      </w:r>
      <w:r w:rsidR="412D4163" w:rsidRPr="009D66F0">
        <w:rPr>
          <w:i/>
          <w:iCs/>
        </w:rPr>
        <w:t>do-minimum</w:t>
      </w:r>
      <w:r w:rsidR="0051554C" w:rsidRPr="009D66F0">
        <w:t xml:space="preserve"> </w:t>
      </w:r>
      <w:r w:rsidR="007B4951" w:rsidRPr="009D66F0">
        <w:t>alternatives</w:t>
      </w:r>
      <w:r w:rsidR="0051554C" w:rsidRPr="009D66F0">
        <w:t xml:space="preserve"> seem</w:t>
      </w:r>
      <w:r w:rsidR="0073542A" w:rsidRPr="009D66F0">
        <w:t>ed</w:t>
      </w:r>
      <w:r w:rsidR="0051554C" w:rsidRPr="009D66F0">
        <w:t xml:space="preserve"> </w:t>
      </w:r>
      <w:r w:rsidR="005F225C" w:rsidRPr="009D66F0">
        <w:t xml:space="preserve">as unattractive </w:t>
      </w:r>
      <w:r w:rsidR="0073542A" w:rsidRPr="009D66F0">
        <w:t xml:space="preserve">as </w:t>
      </w:r>
      <w:r w:rsidR="0073542A" w:rsidRPr="009D66F0">
        <w:rPr>
          <w:i/>
          <w:iCs/>
        </w:rPr>
        <w:t>do</w:t>
      </w:r>
      <w:r w:rsidR="003C22F0">
        <w:rPr>
          <w:i/>
          <w:iCs/>
        </w:rPr>
        <w:t>-</w:t>
      </w:r>
      <w:r w:rsidR="0073542A" w:rsidRPr="009D66F0">
        <w:rPr>
          <w:i/>
          <w:iCs/>
        </w:rPr>
        <w:t>nothing</w:t>
      </w:r>
      <w:r w:rsidR="0073542A" w:rsidRPr="009D66F0">
        <w:t xml:space="preserve"> </w:t>
      </w:r>
      <w:r w:rsidR="005F225C" w:rsidRPr="009D66F0">
        <w:t>to thos</w:t>
      </w:r>
      <w:r w:rsidR="00ED0419" w:rsidRPr="009D66F0">
        <w:t>e</w:t>
      </w:r>
      <w:r w:rsidR="005F225C" w:rsidRPr="00EC4FA9">
        <w:t xml:space="preserve"> carrying out the appraisals</w:t>
      </w:r>
      <w:r w:rsidR="00F545BF" w:rsidRPr="00EC4FA9">
        <w:t>.</w:t>
      </w:r>
      <w:r w:rsidR="000218AB" w:rsidRPr="00EC4FA9">
        <w:t xml:space="preserve"> </w:t>
      </w:r>
      <w:r w:rsidR="00C56EA6" w:rsidRPr="00EC4FA9">
        <w:t>In other words,</w:t>
      </w:r>
      <w:r w:rsidR="00C56EA6" w:rsidRPr="00EC4FA9">
        <w:rPr>
          <w:i/>
          <w:iCs/>
        </w:rPr>
        <w:t xml:space="preserve"> d</w:t>
      </w:r>
      <w:r w:rsidR="000218AB" w:rsidRPr="00EC4FA9">
        <w:rPr>
          <w:i/>
          <w:iCs/>
        </w:rPr>
        <w:t>o</w:t>
      </w:r>
      <w:r w:rsidR="00681FF4">
        <w:rPr>
          <w:i/>
          <w:iCs/>
        </w:rPr>
        <w:t>-</w:t>
      </w:r>
      <w:r w:rsidR="000218AB" w:rsidRPr="00EC4FA9">
        <w:rPr>
          <w:i/>
          <w:iCs/>
        </w:rPr>
        <w:t xml:space="preserve">minimum </w:t>
      </w:r>
      <w:r w:rsidR="0073542A" w:rsidRPr="00EC4FA9">
        <w:t>was</w:t>
      </w:r>
      <w:r w:rsidR="000218AB" w:rsidRPr="00EC4FA9">
        <w:t xml:space="preserve"> screened out and </w:t>
      </w:r>
      <w:r w:rsidR="00305AD2" w:rsidRPr="00EC4FA9">
        <w:t xml:space="preserve">discarded early, just </w:t>
      </w:r>
      <w:r w:rsidR="00026B41" w:rsidRPr="00EC4FA9">
        <w:t>like the</w:t>
      </w:r>
      <w:r w:rsidR="00305AD2" w:rsidRPr="00EC4FA9">
        <w:t xml:space="preserve"> </w:t>
      </w:r>
      <w:r w:rsidR="00305AD2" w:rsidRPr="00EC4FA9">
        <w:rPr>
          <w:i/>
          <w:iCs/>
        </w:rPr>
        <w:t>do</w:t>
      </w:r>
      <w:r w:rsidR="0079407E">
        <w:rPr>
          <w:i/>
          <w:iCs/>
        </w:rPr>
        <w:t>-</w:t>
      </w:r>
      <w:r w:rsidR="00305AD2" w:rsidRPr="00EC4FA9">
        <w:rPr>
          <w:i/>
          <w:iCs/>
        </w:rPr>
        <w:t>nothing</w:t>
      </w:r>
      <w:r w:rsidR="00026B41" w:rsidRPr="00EC4FA9">
        <w:t xml:space="preserve"> alternative</w:t>
      </w:r>
      <w:r w:rsidR="00854BB5" w:rsidRPr="00EC4FA9">
        <w:t>s</w:t>
      </w:r>
      <w:r w:rsidR="00305AD2" w:rsidRPr="00EC4FA9">
        <w:t>.</w:t>
      </w:r>
      <w:r w:rsidR="000E300C" w:rsidRPr="00EC4FA9">
        <w:t xml:space="preserve"> This is </w:t>
      </w:r>
      <w:r w:rsidR="00404F0A" w:rsidRPr="00EC4FA9">
        <w:t xml:space="preserve">surprising, given that </w:t>
      </w:r>
      <w:r w:rsidR="003F1D03" w:rsidRPr="00EC4FA9">
        <w:t xml:space="preserve">the </w:t>
      </w:r>
      <w:r w:rsidR="003F1D03" w:rsidRPr="00EC4FA9">
        <w:rPr>
          <w:i/>
          <w:iCs/>
        </w:rPr>
        <w:t>do</w:t>
      </w:r>
      <w:r w:rsidR="009E5D62" w:rsidRPr="00EC4FA9">
        <w:rPr>
          <w:i/>
          <w:iCs/>
        </w:rPr>
        <w:t>-minimum</w:t>
      </w:r>
      <w:r w:rsidR="00503BDF" w:rsidRPr="00EC4FA9">
        <w:t xml:space="preserve"> alternative</w:t>
      </w:r>
      <w:r w:rsidR="00854BB5" w:rsidRPr="00EC4FA9">
        <w:t>s</w:t>
      </w:r>
      <w:r w:rsidR="00404F0A" w:rsidRPr="00EC4FA9">
        <w:t xml:space="preserve"> always cost less than the </w:t>
      </w:r>
      <w:r w:rsidR="00503BDF" w:rsidRPr="00EC4FA9">
        <w:t>full-</w:t>
      </w:r>
      <w:r w:rsidR="00854BB5" w:rsidRPr="00EC4FA9">
        <w:t xml:space="preserve">scale </w:t>
      </w:r>
      <w:r w:rsidR="00404F0A" w:rsidRPr="00EC4FA9">
        <w:t xml:space="preserve">investment </w:t>
      </w:r>
      <w:r w:rsidR="007B4951" w:rsidRPr="00EC4FA9">
        <w:t>altern</w:t>
      </w:r>
      <w:r w:rsidR="00503BDF" w:rsidRPr="00EC4FA9">
        <w:t>a</w:t>
      </w:r>
      <w:r w:rsidR="007B4951" w:rsidRPr="00EC4FA9">
        <w:t>tives</w:t>
      </w:r>
      <w:r w:rsidR="00404F0A" w:rsidRPr="00EC4FA9">
        <w:t xml:space="preserve"> and </w:t>
      </w:r>
      <w:r w:rsidR="001A62CC" w:rsidRPr="00EC4FA9">
        <w:t xml:space="preserve">solve </w:t>
      </w:r>
      <w:r w:rsidR="0045525C" w:rsidRPr="00EC4FA9">
        <w:t>the problem to some extent</w:t>
      </w:r>
      <w:r w:rsidR="0073542A" w:rsidRPr="00EC4FA9">
        <w:t xml:space="preserve"> at least</w:t>
      </w:r>
      <w:r w:rsidR="00404F0A" w:rsidRPr="00EC4FA9">
        <w:t xml:space="preserve">. </w:t>
      </w:r>
    </w:p>
    <w:p w14:paraId="65B88D76" w14:textId="3B0E45B9" w:rsidR="003F1EB3" w:rsidRPr="00EC4FA9" w:rsidRDefault="009D66F0" w:rsidP="001D1AA7">
      <w:pPr>
        <w:spacing w:before="120" w:after="120" w:line="257" w:lineRule="auto"/>
        <w:rPr>
          <w:sz w:val="28"/>
          <w:szCs w:val="28"/>
        </w:rPr>
      </w:pPr>
      <w:r>
        <w:rPr>
          <w:rFonts w:eastAsia="Garamond" w:cs="Garamond"/>
          <w:b/>
        </w:rPr>
        <w:t>Ultimately</w:t>
      </w:r>
      <w:r w:rsidR="003F1EB3" w:rsidRPr="00EC4FA9">
        <w:rPr>
          <w:rFonts w:eastAsia="Garamond" w:cs="Garamond"/>
          <w:b/>
        </w:rPr>
        <w:t xml:space="preserve">, the </w:t>
      </w:r>
      <w:r w:rsidR="003F1EB3" w:rsidRPr="00EC4FA9">
        <w:rPr>
          <w:rFonts w:eastAsia="Garamond" w:cs="Garamond"/>
          <w:b/>
          <w:i/>
          <w:iCs/>
        </w:rPr>
        <w:t>do-nothing</w:t>
      </w:r>
      <w:r w:rsidR="003F1EB3" w:rsidRPr="00EC4FA9">
        <w:rPr>
          <w:rFonts w:eastAsia="Garamond" w:cs="Garamond"/>
          <w:b/>
        </w:rPr>
        <w:t xml:space="preserve"> </w:t>
      </w:r>
      <w:r w:rsidR="003F1EB3" w:rsidRPr="00EC4FA9">
        <w:rPr>
          <w:rFonts w:eastAsia="Garamond" w:cs="Garamond"/>
          <w:b/>
          <w:bCs/>
        </w:rPr>
        <w:t xml:space="preserve">alternative </w:t>
      </w:r>
      <w:r w:rsidR="003F1EB3" w:rsidRPr="00EC4FA9">
        <w:rPr>
          <w:rFonts w:eastAsia="Garamond" w:cs="Garamond"/>
          <w:b/>
        </w:rPr>
        <w:t>is often ‘selected</w:t>
      </w:r>
      <w:r w:rsidR="003F1EB3" w:rsidRPr="00EC4FA9">
        <w:rPr>
          <w:rFonts w:eastAsia="Garamond" w:cs="Garamond"/>
          <w:b/>
          <w:bCs/>
        </w:rPr>
        <w:t xml:space="preserve">’ </w:t>
      </w:r>
    </w:p>
    <w:p w14:paraId="0DE69C80" w14:textId="56BAEF1D" w:rsidR="00F55CCD" w:rsidRPr="00EC4FA9" w:rsidRDefault="00026B41" w:rsidP="009777E4">
      <w:r w:rsidRPr="00EC4FA9">
        <w:t>I</w:t>
      </w:r>
      <w:r w:rsidR="003F1EB3" w:rsidRPr="00EC4FA9">
        <w:t xml:space="preserve">n </w:t>
      </w:r>
      <w:r w:rsidR="001B66DA" w:rsidRPr="00EC4FA9">
        <w:t>44</w:t>
      </w:r>
      <w:r w:rsidR="003D616F" w:rsidRPr="00EC4FA9">
        <w:t xml:space="preserve">% of the </w:t>
      </w:r>
      <w:r w:rsidR="003F1EB3" w:rsidRPr="00EC4FA9">
        <w:t>cases</w:t>
      </w:r>
      <w:r w:rsidR="00310054">
        <w:t>,</w:t>
      </w:r>
      <w:r w:rsidR="003F1EB3" w:rsidRPr="00EC4FA9">
        <w:t xml:space="preserve"> the </w:t>
      </w:r>
      <w:r w:rsidR="00584CFD" w:rsidRPr="00EC4FA9">
        <w:t>Cabinet</w:t>
      </w:r>
      <w:r w:rsidR="003F1EB3" w:rsidRPr="00EC4FA9">
        <w:t xml:space="preserve"> has agreed with the agency and decided to start a pre-project </w:t>
      </w:r>
      <w:r w:rsidR="00B50288" w:rsidRPr="00EC4FA9">
        <w:t>to implement</w:t>
      </w:r>
      <w:r w:rsidR="003F1EB3" w:rsidRPr="00EC4FA9">
        <w:t xml:space="preserve"> a large investment project</w:t>
      </w:r>
      <w:r w:rsidR="003D616F" w:rsidRPr="00EC4FA9">
        <w:t xml:space="preserve">, </w:t>
      </w:r>
      <w:r w:rsidR="002E26A2">
        <w:t>including</w:t>
      </w:r>
      <w:r w:rsidR="002E26A2" w:rsidRPr="00EC4FA9">
        <w:t xml:space="preserve"> </w:t>
      </w:r>
      <w:r w:rsidRPr="00EC4FA9">
        <w:t xml:space="preserve">in cases where the QA1 report </w:t>
      </w:r>
      <w:r w:rsidR="00584CFD" w:rsidRPr="00EC4FA9">
        <w:t xml:space="preserve">recommended </w:t>
      </w:r>
      <w:r w:rsidR="00584CFD" w:rsidRPr="00EC4FA9">
        <w:rPr>
          <w:i/>
          <w:iCs/>
        </w:rPr>
        <w:t>do</w:t>
      </w:r>
      <w:r w:rsidR="00632245">
        <w:rPr>
          <w:i/>
          <w:iCs/>
        </w:rPr>
        <w:t>-</w:t>
      </w:r>
      <w:r w:rsidR="00584CFD" w:rsidRPr="00EC4FA9">
        <w:rPr>
          <w:i/>
          <w:iCs/>
        </w:rPr>
        <w:t xml:space="preserve">nothing </w:t>
      </w:r>
      <w:r w:rsidR="00584CFD" w:rsidRPr="00EC4FA9">
        <w:t>or</w:t>
      </w:r>
      <w:r w:rsidR="00584CFD" w:rsidRPr="00EC4FA9">
        <w:rPr>
          <w:i/>
          <w:iCs/>
        </w:rPr>
        <w:t xml:space="preserve"> do</w:t>
      </w:r>
      <w:r w:rsidR="00632245">
        <w:rPr>
          <w:i/>
          <w:iCs/>
        </w:rPr>
        <w:t>-</w:t>
      </w:r>
      <w:r w:rsidR="00584CFD" w:rsidRPr="00EC4FA9">
        <w:rPr>
          <w:i/>
          <w:iCs/>
        </w:rPr>
        <w:t>minimum</w:t>
      </w:r>
      <w:r w:rsidR="003F1EB3" w:rsidRPr="00EC4FA9">
        <w:t>.</w:t>
      </w:r>
      <w:r w:rsidR="003D616F" w:rsidRPr="00EC4FA9">
        <w:t xml:space="preserve"> We did not identify a single case where the Government explicitly </w:t>
      </w:r>
      <w:r w:rsidR="00584CFD" w:rsidRPr="00EC4FA9">
        <w:t>chose</w:t>
      </w:r>
      <w:r w:rsidR="00CA7A58">
        <w:t xml:space="preserve"> either</w:t>
      </w:r>
      <w:r w:rsidR="00584CFD" w:rsidRPr="00EC4FA9">
        <w:t xml:space="preserve"> </w:t>
      </w:r>
      <w:r w:rsidR="00584CFD" w:rsidRPr="00EC4FA9">
        <w:rPr>
          <w:i/>
          <w:iCs/>
        </w:rPr>
        <w:t>do</w:t>
      </w:r>
      <w:r w:rsidR="00FA3C5F">
        <w:rPr>
          <w:i/>
          <w:iCs/>
        </w:rPr>
        <w:t>-</w:t>
      </w:r>
      <w:r w:rsidR="00584CFD" w:rsidRPr="00EC4FA9">
        <w:rPr>
          <w:i/>
          <w:iCs/>
        </w:rPr>
        <w:t xml:space="preserve">nothing </w:t>
      </w:r>
      <w:r w:rsidR="00584CFD" w:rsidRPr="00EC4FA9">
        <w:t>or</w:t>
      </w:r>
      <w:r w:rsidR="00584CFD" w:rsidRPr="00EC4FA9">
        <w:rPr>
          <w:i/>
          <w:iCs/>
        </w:rPr>
        <w:t xml:space="preserve"> do</w:t>
      </w:r>
      <w:r w:rsidR="00FA3C5F">
        <w:rPr>
          <w:i/>
          <w:iCs/>
        </w:rPr>
        <w:t>-</w:t>
      </w:r>
      <w:r w:rsidR="00584CFD" w:rsidRPr="00EC4FA9">
        <w:rPr>
          <w:i/>
          <w:iCs/>
        </w:rPr>
        <w:t>minimum</w:t>
      </w:r>
      <w:r w:rsidR="003D616F" w:rsidRPr="00EC4FA9">
        <w:t>. In most of the remaining cases, there is still no formal decision</w:t>
      </w:r>
      <w:r w:rsidR="00B50288" w:rsidRPr="00EC4FA9">
        <w:t>, and today</w:t>
      </w:r>
      <w:r w:rsidR="00CC6129">
        <w:t>’</w:t>
      </w:r>
      <w:r w:rsidR="00B50288" w:rsidRPr="00EC4FA9">
        <w:t xml:space="preserve">s status is </w:t>
      </w:r>
      <w:r w:rsidR="00584CFD" w:rsidRPr="00EC4FA9">
        <w:t xml:space="preserve">thus </w:t>
      </w:r>
      <w:r w:rsidR="00B50288" w:rsidRPr="00EC4FA9">
        <w:t>unclear</w:t>
      </w:r>
      <w:r w:rsidR="00CF4ED2" w:rsidRPr="00EC4FA9">
        <w:t xml:space="preserve">. </w:t>
      </w:r>
      <w:r w:rsidR="00BB6DB7" w:rsidRPr="00EC4FA9">
        <w:t>The</w:t>
      </w:r>
      <w:r w:rsidR="001B66DA" w:rsidRPr="00EC4FA9">
        <w:t>se projects</w:t>
      </w:r>
      <w:r w:rsidR="00BB6DB7" w:rsidRPr="00EC4FA9">
        <w:t xml:space="preserve"> may be </w:t>
      </w:r>
      <w:r w:rsidR="00584CFD" w:rsidRPr="00EC4FA9">
        <w:t xml:space="preserve">put </w:t>
      </w:r>
      <w:r w:rsidR="00BB6DB7" w:rsidRPr="00EC4FA9">
        <w:t>on hold</w:t>
      </w:r>
      <w:r w:rsidR="00215993" w:rsidRPr="00EC4FA9">
        <w:t xml:space="preserve"> or </w:t>
      </w:r>
      <w:r w:rsidR="003C18AF" w:rsidRPr="00EC4FA9">
        <w:t>await</w:t>
      </w:r>
      <w:r w:rsidR="00434207" w:rsidRPr="00EC4FA9">
        <w:t>ing</w:t>
      </w:r>
      <w:r w:rsidR="00281AEC" w:rsidRPr="00EC4FA9">
        <w:t xml:space="preserve"> resources for </w:t>
      </w:r>
      <w:r w:rsidR="003C18AF" w:rsidRPr="00EC4FA9">
        <w:t xml:space="preserve">further planning. </w:t>
      </w:r>
    </w:p>
    <w:p w14:paraId="2B305C13" w14:textId="21ADD3FE" w:rsidR="00D7296B" w:rsidRPr="00EC4FA9" w:rsidRDefault="005234A6" w:rsidP="009777E4">
      <w:r w:rsidRPr="00EC4FA9">
        <w:t>There is much to</w:t>
      </w:r>
      <w:r w:rsidR="00D7296B" w:rsidRPr="00EC4FA9">
        <w:t xml:space="preserve"> </w:t>
      </w:r>
      <w:r w:rsidR="00B85EF7" w:rsidRPr="00EC4FA9">
        <w:t xml:space="preserve">suggest that many of the projects </w:t>
      </w:r>
      <w:r w:rsidR="009D66F0">
        <w:t xml:space="preserve">lacking a formal decision </w:t>
      </w:r>
      <w:r w:rsidR="00AB20A5">
        <w:t>will</w:t>
      </w:r>
      <w:r w:rsidR="00106E63" w:rsidRPr="00EC4FA9">
        <w:t xml:space="preserve"> never be reali</w:t>
      </w:r>
      <w:r w:rsidR="00310054">
        <w:t>s</w:t>
      </w:r>
      <w:r w:rsidR="00106E63" w:rsidRPr="00EC4FA9">
        <w:t>ed</w:t>
      </w:r>
      <w:r w:rsidR="009D66F0">
        <w:t xml:space="preserve">, partly </w:t>
      </w:r>
      <w:r w:rsidR="00310054">
        <w:t>because</w:t>
      </w:r>
      <w:r w:rsidR="009D66F0">
        <w:t xml:space="preserve"> the</w:t>
      </w:r>
      <w:r w:rsidR="00C14D18" w:rsidRPr="00EC4FA9">
        <w:t xml:space="preserve"> government has started too many appraisals in recent years, almost all </w:t>
      </w:r>
      <w:r w:rsidR="009D66F0">
        <w:t xml:space="preserve">of them </w:t>
      </w:r>
      <w:r w:rsidR="00C14D18" w:rsidRPr="00EC4FA9">
        <w:t>recommending large investment</w:t>
      </w:r>
      <w:r w:rsidR="00584CFD" w:rsidRPr="00EC4FA9">
        <w:t>s</w:t>
      </w:r>
      <w:r w:rsidR="00C14D18" w:rsidRPr="00EC4FA9">
        <w:t xml:space="preserve">. </w:t>
      </w:r>
      <w:r w:rsidR="00584CFD" w:rsidRPr="00EC4FA9">
        <w:t>Furthermore</w:t>
      </w:r>
      <w:r w:rsidR="00C14D18" w:rsidRPr="00EC4FA9">
        <w:t>, there has</w:t>
      </w:r>
      <w:r w:rsidR="001B66DA" w:rsidRPr="00EC4FA9">
        <w:t xml:space="preserve"> been a tendency towards scope and cost increase </w:t>
      </w:r>
      <w:r w:rsidR="001A61D9" w:rsidRPr="00EC4FA9">
        <w:t>in later project phases</w:t>
      </w:r>
      <w:r w:rsidR="009D66F0">
        <w:t>,</w:t>
      </w:r>
      <w:r w:rsidR="001B66DA" w:rsidRPr="00EC4FA9">
        <w:t xml:space="preserve"> as demonstrated </w:t>
      </w:r>
      <w:r w:rsidR="009D66F0">
        <w:t>by</w:t>
      </w:r>
      <w:r w:rsidR="001B66DA" w:rsidRPr="00EC4FA9">
        <w:t xml:space="preserve"> other </w:t>
      </w:r>
      <w:r w:rsidR="009D66F0">
        <w:t>researchers</w:t>
      </w:r>
      <w:r w:rsidR="00CD7563" w:rsidRPr="00EC4FA9">
        <w:t xml:space="preserve"> (</w:t>
      </w:r>
      <w:r w:rsidR="008936A3" w:rsidRPr="00EC4FA9">
        <w:t xml:space="preserve">Andersen </w:t>
      </w:r>
      <w:r w:rsidR="008936A3" w:rsidRPr="00EC4FA9">
        <w:rPr>
          <w:i/>
          <w:iCs/>
        </w:rPr>
        <w:t>et al</w:t>
      </w:r>
      <w:r w:rsidR="008936A3" w:rsidRPr="00EC4FA9">
        <w:t xml:space="preserve">., </w:t>
      </w:r>
      <w:r w:rsidR="00F844BC" w:rsidRPr="00EC4FA9">
        <w:t xml:space="preserve">2015; </w:t>
      </w:r>
      <w:r w:rsidR="00CD7563" w:rsidRPr="00EC4FA9">
        <w:t>Welde and Odeck, 2017)</w:t>
      </w:r>
      <w:r w:rsidR="00C14D18" w:rsidRPr="00EC4FA9">
        <w:t xml:space="preserve">. We believe that many of these projects are left </w:t>
      </w:r>
      <w:r w:rsidR="00C14D18" w:rsidRPr="00EC4FA9">
        <w:rPr>
          <w:i/>
          <w:iCs/>
        </w:rPr>
        <w:t xml:space="preserve">in limbo </w:t>
      </w:r>
      <w:r w:rsidR="00386255">
        <w:t xml:space="preserve">partly </w:t>
      </w:r>
      <w:r w:rsidR="00C14D18" w:rsidRPr="00EC4FA9">
        <w:t xml:space="preserve">because they </w:t>
      </w:r>
      <w:r w:rsidR="002B75CD" w:rsidRPr="00EC4FA9">
        <w:t>are no</w:t>
      </w:r>
      <w:r w:rsidR="00C14D18" w:rsidRPr="00EC4FA9">
        <w:t xml:space="preserve">t </w:t>
      </w:r>
      <w:r w:rsidR="00CD7563" w:rsidRPr="00EC4FA9">
        <w:t>affordable</w:t>
      </w:r>
      <w:r w:rsidR="00C14D18" w:rsidRPr="00EC4FA9">
        <w:t xml:space="preserve">. </w:t>
      </w:r>
      <w:r w:rsidR="00584CFD" w:rsidRPr="00EC4FA9">
        <w:t xml:space="preserve">There are also indications that some projects may no </w:t>
      </w:r>
      <w:r w:rsidR="00584CFD" w:rsidRPr="00EC4FA9">
        <w:lastRenderedPageBreak/>
        <w:t>longer be needed for various reasons</w:t>
      </w:r>
      <w:r w:rsidR="00026B41" w:rsidRPr="00EC4FA9">
        <w:t>.</w:t>
      </w:r>
      <w:r w:rsidR="00C14D18" w:rsidRPr="00EC4FA9">
        <w:t xml:space="preserve"> </w:t>
      </w:r>
      <w:r w:rsidR="009D66F0">
        <w:t>However</w:t>
      </w:r>
      <w:r w:rsidR="00C14D18" w:rsidRPr="00EC4FA9">
        <w:t xml:space="preserve">, there is no tradition in Norway for the government </w:t>
      </w:r>
      <w:r w:rsidR="00194B35">
        <w:t>to actively</w:t>
      </w:r>
      <w:r w:rsidR="00C14D18" w:rsidRPr="00EC4FA9">
        <w:t xml:space="preserve"> reject projects that have been </w:t>
      </w:r>
      <w:r w:rsidR="007A25B1" w:rsidRPr="00EC4FA9">
        <w:t>planned for a long time and</w:t>
      </w:r>
      <w:r w:rsidR="009527CC" w:rsidRPr="00EC4FA9">
        <w:t xml:space="preserve"> </w:t>
      </w:r>
      <w:r w:rsidR="00C14D18" w:rsidRPr="00EC4FA9">
        <w:t>where</w:t>
      </w:r>
      <w:r w:rsidR="009527CC" w:rsidRPr="00EC4FA9">
        <w:t xml:space="preserve"> stakeholders have </w:t>
      </w:r>
      <w:r w:rsidR="009D66F0">
        <w:t xml:space="preserve">built up </w:t>
      </w:r>
      <w:r w:rsidR="009527CC" w:rsidRPr="00EC4FA9">
        <w:t>expectations</w:t>
      </w:r>
      <w:r w:rsidR="00434207" w:rsidRPr="00EC4FA9">
        <w:t>:</w:t>
      </w:r>
      <w:r w:rsidR="009527CC" w:rsidRPr="00EC4FA9">
        <w:t xml:space="preserve"> </w:t>
      </w:r>
    </w:p>
    <w:p w14:paraId="47C32B3C" w14:textId="24AA705F" w:rsidR="001710E9" w:rsidRPr="00EC4FA9" w:rsidRDefault="001710E9" w:rsidP="009527CC">
      <w:pPr>
        <w:ind w:left="708"/>
        <w:rPr>
          <w:sz w:val="22"/>
          <w:szCs w:val="22"/>
        </w:rPr>
      </w:pPr>
      <w:r w:rsidRPr="00EC4FA9">
        <w:rPr>
          <w:i/>
          <w:iCs/>
          <w:sz w:val="22"/>
          <w:szCs w:val="22"/>
        </w:rPr>
        <w:t>Do</w:t>
      </w:r>
      <w:r w:rsidR="00723AD7">
        <w:rPr>
          <w:i/>
          <w:iCs/>
          <w:sz w:val="22"/>
          <w:szCs w:val="22"/>
        </w:rPr>
        <w:t>-</w:t>
      </w:r>
      <w:r w:rsidRPr="00EC4FA9">
        <w:rPr>
          <w:i/>
          <w:iCs/>
          <w:sz w:val="22"/>
          <w:szCs w:val="22"/>
        </w:rPr>
        <w:t>nothing</w:t>
      </w:r>
      <w:r w:rsidRPr="00EC4FA9">
        <w:rPr>
          <w:sz w:val="22"/>
          <w:szCs w:val="22"/>
        </w:rPr>
        <w:t xml:space="preserve"> is never actively selected. It is easier to postpone a project forever than to actively opt out. There is a political cost to </w:t>
      </w:r>
      <w:r w:rsidR="00584CFD" w:rsidRPr="00EC4FA9">
        <w:rPr>
          <w:sz w:val="22"/>
          <w:szCs w:val="22"/>
        </w:rPr>
        <w:t>terminate the process</w:t>
      </w:r>
      <w:r w:rsidRPr="00EC4FA9">
        <w:rPr>
          <w:sz w:val="22"/>
          <w:szCs w:val="22"/>
        </w:rPr>
        <w:t>.</w:t>
      </w:r>
      <w:r w:rsidR="00EB40DB" w:rsidRPr="00EC4FA9">
        <w:rPr>
          <w:sz w:val="22"/>
          <w:szCs w:val="22"/>
        </w:rPr>
        <w:t xml:space="preserve"> </w:t>
      </w:r>
      <w:r w:rsidRPr="00EC4FA9">
        <w:rPr>
          <w:sz w:val="22"/>
          <w:szCs w:val="22"/>
        </w:rPr>
        <w:t>(Agency</w:t>
      </w:r>
      <w:r w:rsidR="00434207" w:rsidRPr="00EC4FA9">
        <w:rPr>
          <w:sz w:val="22"/>
          <w:szCs w:val="22"/>
        </w:rPr>
        <w:t xml:space="preserve"> representative</w:t>
      </w:r>
      <w:r w:rsidRPr="00EC4FA9">
        <w:rPr>
          <w:sz w:val="22"/>
          <w:szCs w:val="22"/>
        </w:rPr>
        <w:t>)</w:t>
      </w:r>
    </w:p>
    <w:p w14:paraId="73CA73A8" w14:textId="2482D08F" w:rsidR="00584CFD" w:rsidRPr="00EC4FA9" w:rsidRDefault="00EB40DB" w:rsidP="00EB40DB">
      <w:r w:rsidRPr="00EC4FA9">
        <w:t xml:space="preserve">This suggests that even though almost all appraisals and most QA reports recommended </w:t>
      </w:r>
      <w:r w:rsidR="00AC3B1A">
        <w:t>construction</w:t>
      </w:r>
      <w:r w:rsidR="00584CFD" w:rsidRPr="00EC4FA9">
        <w:t xml:space="preserve"> projects</w:t>
      </w:r>
      <w:r w:rsidRPr="00EC4FA9">
        <w:t>, the actual outcome</w:t>
      </w:r>
      <w:r w:rsidR="00F95556" w:rsidRPr="00EC4FA9">
        <w:t xml:space="preserve"> in many cases</w:t>
      </w:r>
      <w:r w:rsidRPr="00EC4FA9">
        <w:t xml:space="preserve"> is still </w:t>
      </w:r>
      <w:r w:rsidRPr="00EC4FA9">
        <w:rPr>
          <w:i/>
          <w:iCs/>
        </w:rPr>
        <w:t>do</w:t>
      </w:r>
      <w:r w:rsidR="002810E6">
        <w:rPr>
          <w:i/>
          <w:iCs/>
        </w:rPr>
        <w:t>-</w:t>
      </w:r>
      <w:r w:rsidRPr="00EC4FA9">
        <w:rPr>
          <w:i/>
          <w:iCs/>
        </w:rPr>
        <w:t>nothing</w:t>
      </w:r>
      <w:r w:rsidRPr="00EC4FA9">
        <w:t xml:space="preserve">. </w:t>
      </w:r>
    </w:p>
    <w:p w14:paraId="064390F3" w14:textId="4987CE1F" w:rsidR="00EB40DB" w:rsidRPr="00EC4FA9" w:rsidRDefault="00475153" w:rsidP="00EB40DB">
      <w:r w:rsidRPr="00EC4FA9">
        <w:t xml:space="preserve">Interestingly, we </w:t>
      </w:r>
      <w:r w:rsidR="001A61D9" w:rsidRPr="00EC4FA9">
        <w:t>rarely</w:t>
      </w:r>
      <w:r w:rsidRPr="00EC4FA9">
        <w:t xml:space="preserve"> hear about </w:t>
      </w:r>
      <w:r w:rsidR="006C2276" w:rsidRPr="00EC4FA9">
        <w:t xml:space="preserve">infrastructure or </w:t>
      </w:r>
      <w:r w:rsidR="002E19FC" w:rsidRPr="00EC4FA9">
        <w:t xml:space="preserve">public services that fall apart. </w:t>
      </w:r>
      <w:r w:rsidR="00EB40DB" w:rsidRPr="00EC4FA9">
        <w:t xml:space="preserve">This indicates that </w:t>
      </w:r>
      <w:r w:rsidR="00EB40DB" w:rsidRPr="00EC4FA9">
        <w:rPr>
          <w:i/>
          <w:iCs/>
        </w:rPr>
        <w:t>do</w:t>
      </w:r>
      <w:r w:rsidR="009F1CDC">
        <w:rPr>
          <w:i/>
          <w:iCs/>
        </w:rPr>
        <w:t>-</w:t>
      </w:r>
      <w:r w:rsidR="00EB40DB" w:rsidRPr="00EC4FA9">
        <w:rPr>
          <w:i/>
          <w:iCs/>
        </w:rPr>
        <w:t>nothing</w:t>
      </w:r>
      <w:r w:rsidR="00EB40DB" w:rsidRPr="00EC4FA9">
        <w:t xml:space="preserve"> </w:t>
      </w:r>
      <w:r w:rsidR="00434207" w:rsidRPr="00EC4FA9">
        <w:t>might</w:t>
      </w:r>
      <w:r w:rsidR="00EB40DB" w:rsidRPr="00EC4FA9">
        <w:t xml:space="preserve"> have been viable</w:t>
      </w:r>
      <w:r w:rsidR="009F1CDC">
        <w:t xml:space="preserve"> after all</w:t>
      </w:r>
      <w:r w:rsidR="00EB40DB" w:rsidRPr="00EC4FA9">
        <w:t>, at least in the short to medium term</w:t>
      </w:r>
      <w:r w:rsidR="00434207" w:rsidRPr="00EC4FA9">
        <w:t>:</w:t>
      </w:r>
    </w:p>
    <w:p w14:paraId="31A624D1" w14:textId="79FB62BC" w:rsidR="00CD700D" w:rsidRDefault="004426F5" w:rsidP="00DF4942">
      <w:pPr>
        <w:ind w:left="708"/>
        <w:rPr>
          <w:sz w:val="22"/>
          <w:szCs w:val="22"/>
        </w:rPr>
      </w:pPr>
      <w:r w:rsidRPr="00EC4FA9">
        <w:rPr>
          <w:sz w:val="22"/>
          <w:szCs w:val="22"/>
        </w:rPr>
        <w:t xml:space="preserve">Even where </w:t>
      </w:r>
      <w:r w:rsidRPr="00EC4FA9">
        <w:rPr>
          <w:i/>
          <w:iCs/>
          <w:sz w:val="22"/>
          <w:szCs w:val="22"/>
        </w:rPr>
        <w:t>do</w:t>
      </w:r>
      <w:r w:rsidR="002810E6">
        <w:rPr>
          <w:i/>
          <w:iCs/>
          <w:sz w:val="22"/>
          <w:szCs w:val="22"/>
        </w:rPr>
        <w:t>-</w:t>
      </w:r>
      <w:r w:rsidRPr="00EC4FA9">
        <w:rPr>
          <w:i/>
          <w:iCs/>
          <w:sz w:val="22"/>
          <w:szCs w:val="22"/>
        </w:rPr>
        <w:t>nothing</w:t>
      </w:r>
      <w:r w:rsidRPr="00EC4FA9">
        <w:rPr>
          <w:sz w:val="22"/>
          <w:szCs w:val="22"/>
        </w:rPr>
        <w:t xml:space="preserve"> is not implemented</w:t>
      </w:r>
      <w:r w:rsidR="00B50288" w:rsidRPr="00EC4FA9">
        <w:rPr>
          <w:sz w:val="22"/>
          <w:szCs w:val="22"/>
        </w:rPr>
        <w:t>,</w:t>
      </w:r>
      <w:r w:rsidRPr="00EC4FA9">
        <w:rPr>
          <w:sz w:val="22"/>
          <w:szCs w:val="22"/>
        </w:rPr>
        <w:t xml:space="preserve"> and you get something worse, the business does not collapse. In retrospect, we have seen that the problem was exaggerated. (</w:t>
      </w:r>
      <w:r w:rsidR="00C46D29" w:rsidRPr="00EC4FA9">
        <w:rPr>
          <w:sz w:val="22"/>
          <w:szCs w:val="22"/>
        </w:rPr>
        <w:t>Ministry</w:t>
      </w:r>
      <w:r w:rsidR="00434207" w:rsidRPr="00EC4FA9">
        <w:rPr>
          <w:sz w:val="22"/>
          <w:szCs w:val="22"/>
        </w:rPr>
        <w:t xml:space="preserve"> representative</w:t>
      </w:r>
      <w:r w:rsidRPr="00EC4FA9">
        <w:rPr>
          <w:sz w:val="22"/>
          <w:szCs w:val="22"/>
        </w:rPr>
        <w:t>)</w:t>
      </w:r>
      <w:bookmarkStart w:id="27" w:name="_Hlk150344408"/>
    </w:p>
    <w:p w14:paraId="0C81EA3A" w14:textId="5AEB305F" w:rsidR="009F1CDC" w:rsidRPr="009F1CDC" w:rsidRDefault="00AA316F">
      <w:pPr>
        <w:rPr>
          <w:b/>
          <w:bCs/>
        </w:rPr>
      </w:pPr>
      <w:r w:rsidRPr="009F1CDC">
        <w:rPr>
          <w:b/>
          <w:bCs/>
        </w:rPr>
        <w:t>Our assessment</w:t>
      </w:r>
      <w:r w:rsidR="000D3282">
        <w:rPr>
          <w:b/>
          <w:bCs/>
        </w:rPr>
        <w:t>s</w:t>
      </w:r>
    </w:p>
    <w:p w14:paraId="12E3EE75" w14:textId="3C07C095" w:rsidR="007A5B4A" w:rsidRPr="009F1CDC" w:rsidRDefault="009F1CDC" w:rsidP="009F1CDC">
      <w:pPr>
        <w:rPr>
          <w:i/>
          <w:iCs/>
        </w:rPr>
      </w:pPr>
      <w:r>
        <w:t>P</w:t>
      </w:r>
      <w:r w:rsidR="00AA316F" w:rsidRPr="009F1CDC">
        <w:t xml:space="preserve">roject owners (the ministries) must always demand serious treatment of the </w:t>
      </w:r>
      <w:r w:rsidR="00AA316F" w:rsidRPr="006C4B65">
        <w:rPr>
          <w:i/>
          <w:iCs/>
        </w:rPr>
        <w:t>do-nothing</w:t>
      </w:r>
      <w:r w:rsidR="00AA316F" w:rsidRPr="009F1CDC">
        <w:t xml:space="preserve"> and </w:t>
      </w:r>
      <w:r w:rsidR="00AA316F" w:rsidRPr="006C4B65">
        <w:rPr>
          <w:i/>
          <w:iCs/>
        </w:rPr>
        <w:t>do-minimum</w:t>
      </w:r>
      <w:r w:rsidR="00AA316F" w:rsidRPr="009F1CDC">
        <w:t xml:space="preserve"> alternatives. Decision-makers should avoid initiating too many appraisals and be willing to turn down investments that are not good value for money.</w:t>
      </w:r>
    </w:p>
    <w:p w14:paraId="71CAE4D3" w14:textId="0A2A1E6D" w:rsidR="00DB1CE5" w:rsidRPr="00EC4FA9" w:rsidRDefault="009B6DCE" w:rsidP="000D5899">
      <w:pPr>
        <w:pStyle w:val="Heading2"/>
      </w:pPr>
      <w:bookmarkStart w:id="28" w:name="_Hlk142853154"/>
      <w:bookmarkStart w:id="29" w:name="_Hlk142858132"/>
      <w:bookmarkEnd w:id="27"/>
      <w:r w:rsidRPr="00EC4FA9">
        <w:t>Conclusions and r</w:t>
      </w:r>
      <w:r w:rsidR="00DB1CE5" w:rsidRPr="00EC4FA9">
        <w:t>ecommendations</w:t>
      </w:r>
    </w:p>
    <w:p w14:paraId="3BC64D17" w14:textId="10C5D945" w:rsidR="001717E0" w:rsidRPr="00EC4FA9" w:rsidRDefault="0009094E" w:rsidP="00DB1CE5">
      <w:bookmarkStart w:id="30" w:name="_Hlk142856529"/>
      <w:r w:rsidRPr="00437764">
        <w:t xml:space="preserve">In </w:t>
      </w:r>
      <w:r w:rsidR="00464845">
        <w:t>this paper</w:t>
      </w:r>
      <w:r w:rsidRPr="00437764">
        <w:t>, we</w:t>
      </w:r>
      <w:r w:rsidR="00464845">
        <w:t xml:space="preserve"> have</w:t>
      </w:r>
      <w:r w:rsidRPr="00437764">
        <w:t xml:space="preserve"> empirically examined different aspects of the </w:t>
      </w:r>
      <w:r w:rsidRPr="00437764">
        <w:rPr>
          <w:i/>
          <w:iCs/>
        </w:rPr>
        <w:t>do-nothing</w:t>
      </w:r>
      <w:r w:rsidRPr="00437764">
        <w:t xml:space="preserve"> and </w:t>
      </w:r>
      <w:r w:rsidRPr="00437764">
        <w:rPr>
          <w:i/>
          <w:iCs/>
        </w:rPr>
        <w:t>do-minimum</w:t>
      </w:r>
      <w:r w:rsidRPr="00EC4FA9">
        <w:t xml:space="preserve"> alternatives </w:t>
      </w:r>
      <w:r w:rsidR="00612CC9" w:rsidRPr="00EC4FA9">
        <w:t>in project appraisal</w:t>
      </w:r>
      <w:r w:rsidR="00464845">
        <w:t xml:space="preserve"> in Norway.</w:t>
      </w:r>
      <w:r w:rsidRPr="00EC4FA9">
        <w:t xml:space="preserve"> </w:t>
      </w:r>
      <w:r w:rsidR="00E25D6E">
        <w:t>This</w:t>
      </w:r>
      <w:r w:rsidR="00712B92">
        <w:t xml:space="preserve"> is a complex matter</w:t>
      </w:r>
      <w:r w:rsidR="00437764">
        <w:t xml:space="preserve"> that</w:t>
      </w:r>
      <w:r w:rsidR="00171392" w:rsidRPr="00EC4FA9">
        <w:t xml:space="preserve"> may be prone to bias. </w:t>
      </w:r>
      <w:r w:rsidRPr="00EC4FA9">
        <w:t>We</w:t>
      </w:r>
      <w:r w:rsidR="00E25D6E">
        <w:t xml:space="preserve"> have</w:t>
      </w:r>
      <w:r w:rsidRPr="00EC4FA9">
        <w:t xml:space="preserve"> investigated the role of these alternatives in the appraisal, how they were designed and presented, and the extent to which</w:t>
      </w:r>
      <w:r w:rsidR="00A11CEE">
        <w:t xml:space="preserve"> they</w:t>
      </w:r>
      <w:r w:rsidRPr="00EC4FA9">
        <w:t xml:space="preserve"> were recommended and </w:t>
      </w:r>
      <w:r w:rsidR="00E25D6E">
        <w:t>selected</w:t>
      </w:r>
      <w:r w:rsidR="00E25D6E" w:rsidRPr="00EC4FA9">
        <w:t xml:space="preserve"> </w:t>
      </w:r>
      <w:r w:rsidRPr="00EC4FA9">
        <w:t>by decision-makers.</w:t>
      </w:r>
    </w:p>
    <w:p w14:paraId="250B020D" w14:textId="7C3F8D7B" w:rsidR="001717E0" w:rsidRPr="00EC4FA9" w:rsidRDefault="00FD508B" w:rsidP="00DB1CE5">
      <w:r>
        <w:t>This paper argues</w:t>
      </w:r>
      <w:r w:rsidR="00171392" w:rsidRPr="00EC4FA9">
        <w:t xml:space="preserve"> that Norway</w:t>
      </w:r>
      <w:r w:rsidR="00235C4F" w:rsidRPr="00EC4FA9">
        <w:t xml:space="preserve"> can be </w:t>
      </w:r>
      <w:r>
        <w:t>regarded as</w:t>
      </w:r>
      <w:r w:rsidRPr="00EC4FA9">
        <w:t xml:space="preserve"> </w:t>
      </w:r>
      <w:r w:rsidR="00235C4F" w:rsidRPr="00EC4FA9">
        <w:t xml:space="preserve">a </w:t>
      </w:r>
      <w:r w:rsidR="00CC6129">
        <w:t>‘</w:t>
      </w:r>
      <w:r w:rsidR="00235C4F" w:rsidRPr="00EC4FA9">
        <w:t>critical case</w:t>
      </w:r>
      <w:r w:rsidR="00CC6129">
        <w:t>’</w:t>
      </w:r>
      <w:r w:rsidR="00235C4F" w:rsidRPr="00EC4FA9">
        <w:t xml:space="preserve"> (Flyvbj</w:t>
      </w:r>
      <w:r w:rsidR="00833B26" w:rsidRPr="00EC4FA9">
        <w:t>erg</w:t>
      </w:r>
      <w:r w:rsidR="00235C4F" w:rsidRPr="00EC4FA9">
        <w:t>, 2006)</w:t>
      </w:r>
      <w:r w:rsidR="00833B26" w:rsidRPr="00EC4FA9">
        <w:t xml:space="preserve"> </w:t>
      </w:r>
      <w:r w:rsidR="006B3148">
        <w:t>and one that allows for gen</w:t>
      </w:r>
      <w:r w:rsidR="008707D6">
        <w:t>eralisation. The challenges in project appraisal identified in this paper are not likely to be exclusive to Norway</w:t>
      </w:r>
      <w:r w:rsidR="009B32BB">
        <w:t xml:space="preserve">, but the transparency and </w:t>
      </w:r>
      <w:r w:rsidR="00F6537A">
        <w:t xml:space="preserve">quantity of data </w:t>
      </w:r>
      <w:r w:rsidR="000929E8">
        <w:t>allow for in-depth</w:t>
      </w:r>
      <w:r w:rsidR="00F6537A">
        <w:t xml:space="preserve"> analysis of an important topic across sectors</w:t>
      </w:r>
      <w:r w:rsidR="00FF0C5C">
        <w:t>.</w:t>
      </w:r>
      <w:r w:rsidR="003A24A4">
        <w:t xml:space="preserve"> </w:t>
      </w:r>
      <w:r w:rsidR="000929E8">
        <w:t>M</w:t>
      </w:r>
      <w:r w:rsidR="003A24A4">
        <w:t xml:space="preserve">ost countries </w:t>
      </w:r>
      <w:r w:rsidR="000929E8">
        <w:t xml:space="preserve">have guidelines for cost-benefit appraisal and </w:t>
      </w:r>
      <w:r w:rsidR="00346EB5">
        <w:t xml:space="preserve">these guidelines normally require that </w:t>
      </w:r>
      <w:r w:rsidR="005E13C6">
        <w:t>a do</w:t>
      </w:r>
      <w:r w:rsidR="0097008A">
        <w:t>-</w:t>
      </w:r>
      <w:r w:rsidR="005E13C6">
        <w:t>nothing or do</w:t>
      </w:r>
      <w:r w:rsidR="0097008A">
        <w:t>-</w:t>
      </w:r>
      <w:r w:rsidR="005E13C6">
        <w:t xml:space="preserve">minimum </w:t>
      </w:r>
      <w:r w:rsidR="00351554">
        <w:t xml:space="preserve">alternative should be included in the appraisals. Knowledge </w:t>
      </w:r>
      <w:r w:rsidR="00DA6141">
        <w:t>of</w:t>
      </w:r>
      <w:r w:rsidR="00351554">
        <w:t xml:space="preserve"> actual practice is, however, limited</w:t>
      </w:r>
      <w:r w:rsidR="00DA6141">
        <w:t>. The fin</w:t>
      </w:r>
      <w:r w:rsidR="0088630D">
        <w:t>dings in this paper should</w:t>
      </w:r>
      <w:r w:rsidR="00335863">
        <w:t>, therefore,</w:t>
      </w:r>
      <w:r w:rsidR="0088630D">
        <w:t xml:space="preserve"> be relevant to other countries </w:t>
      </w:r>
      <w:r w:rsidR="00BF7F3E">
        <w:t>where cost-benefit analysis is an important part of project appraisal.</w:t>
      </w:r>
      <w:r w:rsidR="00833B26" w:rsidRPr="003F1D65">
        <w:t xml:space="preserve"> </w:t>
      </w:r>
    </w:p>
    <w:p w14:paraId="29420A2B" w14:textId="129B6B82" w:rsidR="00C1257C" w:rsidRPr="004E537F" w:rsidRDefault="00833B26" w:rsidP="001D1AA7">
      <w:pPr>
        <w:spacing w:before="120" w:after="120"/>
        <w:rPr>
          <w:b/>
          <w:bCs/>
        </w:rPr>
      </w:pPr>
      <w:bookmarkStart w:id="31" w:name="_Hlk142856717"/>
      <w:r w:rsidRPr="004E537F">
        <w:rPr>
          <w:b/>
          <w:bCs/>
        </w:rPr>
        <w:t xml:space="preserve">Weaknesses in the appraisal of do-nothing and do-minimum </w:t>
      </w:r>
    </w:p>
    <w:bookmarkEnd w:id="30"/>
    <w:p w14:paraId="390D0BAE" w14:textId="638F5DAF" w:rsidR="00DB6A06" w:rsidRPr="00EC4FA9" w:rsidRDefault="002810C8" w:rsidP="00DB6A06">
      <w:r>
        <w:t>M</w:t>
      </w:r>
      <w:r w:rsidR="001717E0" w:rsidRPr="00EC4FA9">
        <w:t>ost</w:t>
      </w:r>
      <w:r>
        <w:t xml:space="preserve"> of the</w:t>
      </w:r>
      <w:r w:rsidR="001717E0" w:rsidRPr="00EC4FA9">
        <w:t xml:space="preserve"> conceptual appraisals</w:t>
      </w:r>
      <w:r>
        <w:t xml:space="preserve"> reviewed in the paper</w:t>
      </w:r>
      <w:r w:rsidR="00553B23" w:rsidRPr="00EC4FA9">
        <w:t xml:space="preserve"> </w:t>
      </w:r>
      <w:r w:rsidR="001717E0" w:rsidRPr="00EC4FA9">
        <w:t>are comprehensive and of good quality</w:t>
      </w:r>
      <w:r w:rsidR="00553B23" w:rsidRPr="00EC4FA9">
        <w:t xml:space="preserve"> </w:t>
      </w:r>
      <w:r w:rsidR="00FE6306">
        <w:t>but</w:t>
      </w:r>
      <w:r w:rsidR="00833B26" w:rsidRPr="00EC4FA9">
        <w:t xml:space="preserve"> </w:t>
      </w:r>
      <w:r w:rsidR="00D66DB4" w:rsidRPr="00EC4FA9">
        <w:t>the</w:t>
      </w:r>
      <w:r w:rsidR="00E330C3" w:rsidRPr="00EC4FA9">
        <w:t xml:space="preserve"> design and treatment of the </w:t>
      </w:r>
      <w:r w:rsidR="00DB6A06" w:rsidRPr="00EC4FA9">
        <w:rPr>
          <w:i/>
          <w:iCs/>
        </w:rPr>
        <w:t>do-nothing</w:t>
      </w:r>
      <w:r w:rsidR="00DB6A06" w:rsidRPr="00EC4FA9">
        <w:t xml:space="preserve"> and </w:t>
      </w:r>
      <w:r w:rsidR="00DB6A06" w:rsidRPr="00EC4FA9">
        <w:rPr>
          <w:i/>
          <w:iCs/>
        </w:rPr>
        <w:t>do-minimum</w:t>
      </w:r>
      <w:r w:rsidR="00DB6A06" w:rsidRPr="00EC4FA9">
        <w:t xml:space="preserve"> alternatives</w:t>
      </w:r>
      <w:r w:rsidR="00833B26" w:rsidRPr="00EC4FA9">
        <w:t xml:space="preserve"> </w:t>
      </w:r>
      <w:r w:rsidR="00DA0970" w:rsidRPr="00EC4FA9">
        <w:t xml:space="preserve">have </w:t>
      </w:r>
      <w:r w:rsidR="007A481C" w:rsidRPr="00EC4FA9">
        <w:t>considerable weaknesses</w:t>
      </w:r>
      <w:r w:rsidR="00E330C3" w:rsidRPr="00EC4FA9">
        <w:t>.</w:t>
      </w:r>
      <w:r w:rsidR="00D66DB4" w:rsidRPr="00EC4FA9">
        <w:t xml:space="preserve"> </w:t>
      </w:r>
      <w:r w:rsidR="004422A2" w:rsidRPr="00EC4FA9">
        <w:t>We find th</w:t>
      </w:r>
      <w:r w:rsidR="00F4610D">
        <w:t>e following</w:t>
      </w:r>
      <w:r w:rsidR="00DB6A06" w:rsidRPr="00EC4FA9">
        <w:t>:</w:t>
      </w:r>
      <w:r w:rsidR="004422A2" w:rsidRPr="00EC4FA9">
        <w:t xml:space="preserve"> </w:t>
      </w:r>
    </w:p>
    <w:bookmarkEnd w:id="31"/>
    <w:p w14:paraId="1CBB80E1" w14:textId="2F67517F" w:rsidR="00363FF6" w:rsidRDefault="00DB6A06" w:rsidP="00DB6A06">
      <w:pPr>
        <w:pStyle w:val="ListParagraph"/>
        <w:numPr>
          <w:ilvl w:val="0"/>
          <w:numId w:val="11"/>
        </w:numPr>
      </w:pPr>
      <w:r w:rsidRPr="00EC4FA9">
        <w:t>T</w:t>
      </w:r>
      <w:r w:rsidR="00176740" w:rsidRPr="00EC4FA9">
        <w:t xml:space="preserve">he </w:t>
      </w:r>
      <w:r w:rsidR="00176740" w:rsidRPr="00EC4FA9">
        <w:rPr>
          <w:i/>
          <w:iCs/>
        </w:rPr>
        <w:t>do-nothing</w:t>
      </w:r>
      <w:r w:rsidR="00176740" w:rsidRPr="00EC4FA9">
        <w:t xml:space="preserve"> alternative is rarely treated as</w:t>
      </w:r>
      <w:r w:rsidR="004422A2" w:rsidRPr="00EC4FA9">
        <w:t xml:space="preserve"> </w:t>
      </w:r>
      <w:r w:rsidR="00176740" w:rsidRPr="00EC4FA9">
        <w:t xml:space="preserve">realistic </w:t>
      </w:r>
      <w:r w:rsidR="007A481C" w:rsidRPr="00EC4FA9">
        <w:t xml:space="preserve">and </w:t>
      </w:r>
      <w:r w:rsidR="002A3819" w:rsidRPr="00EC4FA9">
        <w:t>viable</w:t>
      </w:r>
      <w:r w:rsidR="007A481C" w:rsidRPr="00EC4FA9">
        <w:t xml:space="preserve"> </w:t>
      </w:r>
      <w:r w:rsidR="004422A2" w:rsidRPr="00EC4FA9">
        <w:t>in the appraisal</w:t>
      </w:r>
      <w:r w:rsidR="002A3819" w:rsidRPr="00EC4FA9">
        <w:t>s</w:t>
      </w:r>
      <w:r w:rsidR="00553B23" w:rsidRPr="00EC4FA9">
        <w:t xml:space="preserve">. </w:t>
      </w:r>
      <w:r w:rsidR="004A47C0">
        <w:t>Instead</w:t>
      </w:r>
      <w:r w:rsidR="00553B23" w:rsidRPr="00EC4FA9">
        <w:t xml:space="preserve">, it is </w:t>
      </w:r>
      <w:r w:rsidR="008D247E">
        <w:t>only</w:t>
      </w:r>
      <w:r w:rsidR="008D247E" w:rsidRPr="00EC4FA9">
        <w:t xml:space="preserve"> </w:t>
      </w:r>
      <w:r w:rsidR="00553B23" w:rsidRPr="00EC4FA9">
        <w:t>seen as a reference against which investment projects will be compared</w:t>
      </w:r>
      <w:r w:rsidR="00363FF6">
        <w:t>.</w:t>
      </w:r>
    </w:p>
    <w:p w14:paraId="572F7378" w14:textId="16A2D835" w:rsidR="00DB6A06" w:rsidRPr="00EC4FA9" w:rsidRDefault="00363FF6" w:rsidP="00DB6A06">
      <w:pPr>
        <w:pStyle w:val="ListParagraph"/>
        <w:numPr>
          <w:ilvl w:val="0"/>
          <w:numId w:val="11"/>
        </w:numPr>
      </w:pPr>
      <w:r>
        <w:t xml:space="preserve">The development in the absence of investment is not realised. As such, the </w:t>
      </w:r>
      <w:r w:rsidR="000106E8">
        <w:t>consequence of doing nothing is not transparent</w:t>
      </w:r>
      <w:r w:rsidR="00895555">
        <w:t>.</w:t>
      </w:r>
      <w:r w:rsidR="00AC5A98" w:rsidRPr="00EC4FA9">
        <w:t xml:space="preserve">  </w:t>
      </w:r>
    </w:p>
    <w:p w14:paraId="2E3F937D" w14:textId="52C08F09" w:rsidR="00DB6A06" w:rsidRPr="00EC4FA9" w:rsidRDefault="00360EE2" w:rsidP="00DB6A06">
      <w:pPr>
        <w:pStyle w:val="ListParagraph"/>
        <w:numPr>
          <w:ilvl w:val="0"/>
          <w:numId w:val="11"/>
        </w:numPr>
      </w:pPr>
      <w:r>
        <w:t>S</w:t>
      </w:r>
      <w:r w:rsidR="00DB6A06" w:rsidRPr="00EC4FA9">
        <w:t>maller incremental measures</w:t>
      </w:r>
      <w:r w:rsidR="00DA0970" w:rsidRPr="00EC4FA9">
        <w:t>,</w:t>
      </w:r>
      <w:r w:rsidR="00DB6A06" w:rsidRPr="00EC4FA9">
        <w:t xml:space="preserve"> which could potentially solve the problem at a much lower cost</w:t>
      </w:r>
      <w:r>
        <w:t xml:space="preserve"> (</w:t>
      </w:r>
      <w:r>
        <w:rPr>
          <w:i/>
          <w:iCs/>
        </w:rPr>
        <w:t xml:space="preserve">do-minimum </w:t>
      </w:r>
      <w:r>
        <w:t>alternatives)</w:t>
      </w:r>
      <w:r w:rsidR="00DB6A06" w:rsidRPr="00EC4FA9">
        <w:t xml:space="preserve">, are rarely given much attention. </w:t>
      </w:r>
    </w:p>
    <w:p w14:paraId="21C4CF00" w14:textId="5EA5D0CF" w:rsidR="002A3819" w:rsidRPr="00EC4FA9" w:rsidRDefault="00AC5A98" w:rsidP="00DB1CE5">
      <w:pPr>
        <w:pStyle w:val="ListParagraph"/>
        <w:numPr>
          <w:ilvl w:val="0"/>
          <w:numId w:val="11"/>
        </w:numPr>
      </w:pPr>
      <w:r w:rsidRPr="00EC4FA9">
        <w:t>T</w:t>
      </w:r>
      <w:r w:rsidR="00C20833" w:rsidRPr="00EC4FA9">
        <w:t>he</w:t>
      </w:r>
      <w:r w:rsidR="00BD6AE4" w:rsidRPr="00EC4FA9">
        <w:t xml:space="preserve"> agencies</w:t>
      </w:r>
      <w:r w:rsidR="00C20833" w:rsidRPr="00EC4FA9">
        <w:t xml:space="preserve"> recommend</w:t>
      </w:r>
      <w:r w:rsidR="00E276BA" w:rsidRPr="00EC4FA9">
        <w:t>ed</w:t>
      </w:r>
      <w:r w:rsidR="00C20833" w:rsidRPr="00EC4FA9">
        <w:t xml:space="preserve"> one of the investment </w:t>
      </w:r>
      <w:r w:rsidR="007B4951" w:rsidRPr="00EC4FA9">
        <w:t xml:space="preserve">alternatives </w:t>
      </w:r>
      <w:r w:rsidR="00C20833" w:rsidRPr="00EC4FA9">
        <w:t>in almost all cases</w:t>
      </w:r>
      <w:r w:rsidR="002A3819" w:rsidRPr="00EC4FA9">
        <w:t>.</w:t>
      </w:r>
      <w:r w:rsidRPr="00EC4FA9">
        <w:t xml:space="preserve"> </w:t>
      </w:r>
      <w:r w:rsidR="000F0E94" w:rsidRPr="00EC4FA9">
        <w:t xml:space="preserve">There seems to be a common understanding among those who conduct conceptual appraisals </w:t>
      </w:r>
      <w:r w:rsidR="000F0E94" w:rsidRPr="00EC4FA9">
        <w:lastRenderedPageBreak/>
        <w:t xml:space="preserve">across different sectors </w:t>
      </w:r>
      <w:r w:rsidR="005A2437" w:rsidRPr="00EC4FA9">
        <w:t xml:space="preserve">that </w:t>
      </w:r>
      <w:r w:rsidR="000F0E94" w:rsidRPr="00EC4FA9">
        <w:t>the</w:t>
      </w:r>
      <w:r w:rsidR="005A2437" w:rsidRPr="00EC4FA9">
        <w:t xml:space="preserve"> appraisal should </w:t>
      </w:r>
      <w:r w:rsidR="00273E0A" w:rsidRPr="00EC4FA9">
        <w:t>give rise to</w:t>
      </w:r>
      <w:r w:rsidR="005A2437" w:rsidRPr="00EC4FA9">
        <w:t xml:space="preserve"> a</w:t>
      </w:r>
      <w:r w:rsidR="008F0DB2">
        <w:t xml:space="preserve"> large project. There is a negative bias towards the </w:t>
      </w:r>
      <w:r w:rsidR="008F0DB2" w:rsidRPr="006C4B65">
        <w:rPr>
          <w:i/>
          <w:iCs/>
        </w:rPr>
        <w:t>do-nothing</w:t>
      </w:r>
      <w:r w:rsidR="008F0DB2">
        <w:t xml:space="preserve"> alternative.</w:t>
      </w:r>
      <w:bookmarkStart w:id="32" w:name="OLE_LINK22"/>
    </w:p>
    <w:p w14:paraId="31F6507A" w14:textId="457EC9D8" w:rsidR="00C1257C" w:rsidRPr="004E537F" w:rsidRDefault="00EB3B9C" w:rsidP="001D1AA7">
      <w:pPr>
        <w:spacing w:before="120" w:after="120"/>
        <w:rPr>
          <w:b/>
          <w:bCs/>
        </w:rPr>
      </w:pPr>
      <w:r w:rsidRPr="004E537F">
        <w:rPr>
          <w:b/>
          <w:bCs/>
        </w:rPr>
        <w:t>Agencies have a favoured project alternative</w:t>
      </w:r>
    </w:p>
    <w:p w14:paraId="0B9C2C83" w14:textId="45DB8237" w:rsidR="00EB3B9C" w:rsidRPr="00EC4FA9" w:rsidRDefault="008F0DB2" w:rsidP="001038CA">
      <w:r>
        <w:t>A</w:t>
      </w:r>
      <w:r w:rsidR="00740D42" w:rsidRPr="00EC4FA9">
        <w:t>gencies</w:t>
      </w:r>
      <w:r w:rsidR="002A3819" w:rsidRPr="00EC4FA9">
        <w:t xml:space="preserve"> and political decision-makers</w:t>
      </w:r>
      <w:r w:rsidR="00740D42" w:rsidRPr="00EC4FA9">
        <w:t xml:space="preserve"> often </w:t>
      </w:r>
      <w:r w:rsidR="00DA0970" w:rsidRPr="00EC4FA9">
        <w:t xml:space="preserve">have a favoured </w:t>
      </w:r>
      <w:r w:rsidR="002A3819" w:rsidRPr="00EC4FA9">
        <w:t>alternative</w:t>
      </w:r>
      <w:r w:rsidR="00DA0970" w:rsidRPr="00EC4FA9">
        <w:t xml:space="preserve">, which </w:t>
      </w:r>
      <w:r w:rsidR="006D5F28" w:rsidRPr="00EC4FA9">
        <w:t xml:space="preserve">is </w:t>
      </w:r>
      <w:r w:rsidR="002A3819" w:rsidRPr="00EC4FA9">
        <w:t>typically one of the</w:t>
      </w:r>
      <w:r w:rsidR="006D5F28" w:rsidRPr="00EC4FA9">
        <w:t xml:space="preserve"> investment alternative</w:t>
      </w:r>
      <w:r w:rsidR="002A3819" w:rsidRPr="00EC4FA9">
        <w:t>s</w:t>
      </w:r>
      <w:r w:rsidR="00EB3B9C" w:rsidRPr="00EC4FA9">
        <w:t xml:space="preserve">. </w:t>
      </w:r>
      <w:r w:rsidR="00203F1C" w:rsidRPr="00EC4FA9">
        <w:t xml:space="preserve">This </w:t>
      </w:r>
      <w:r w:rsidR="00DA0970" w:rsidRPr="00EC4FA9">
        <w:t>aligns</w:t>
      </w:r>
      <w:r w:rsidR="00213A12" w:rsidRPr="00EC4FA9">
        <w:t xml:space="preserve"> with previous studies</w:t>
      </w:r>
      <w:r w:rsidR="00F4610D">
        <w:t>’ findings</w:t>
      </w:r>
      <w:r w:rsidR="00213A12" w:rsidRPr="00EC4FA9">
        <w:t xml:space="preserve"> that demonstrate that public project decision</w:t>
      </w:r>
      <w:r w:rsidR="00C65306">
        <w:t>-making</w:t>
      </w:r>
      <w:r w:rsidR="00213A12" w:rsidRPr="00EC4FA9">
        <w:t xml:space="preserve"> processes are not based on rationality alone but </w:t>
      </w:r>
      <w:r w:rsidR="00DA0970" w:rsidRPr="00EC4FA9">
        <w:t xml:space="preserve">are </w:t>
      </w:r>
      <w:r w:rsidR="00213A12" w:rsidRPr="00EC4FA9">
        <w:t>also affected by politics, power, and bounded rationality</w:t>
      </w:r>
      <w:r w:rsidR="00EB3B9C" w:rsidRPr="00EC4FA9">
        <w:t xml:space="preserve"> (Whist and Christensen, 2011; Woodhead and Smith, 2002)</w:t>
      </w:r>
      <w:r w:rsidR="00213A12" w:rsidRPr="00EC4FA9">
        <w:t>.</w:t>
      </w:r>
      <w:r w:rsidR="00EB3B9C" w:rsidRPr="00EC4FA9">
        <w:t xml:space="preserve"> </w:t>
      </w:r>
    </w:p>
    <w:p w14:paraId="17E14DDC" w14:textId="79BA98CE" w:rsidR="00442C62" w:rsidRPr="00EC4FA9" w:rsidRDefault="006D5F28" w:rsidP="009D636E">
      <w:r w:rsidRPr="00EC4FA9">
        <w:t>Admittedly, w</w:t>
      </w:r>
      <w:r w:rsidR="00EB3B9C" w:rsidRPr="00EC4FA9">
        <w:t xml:space="preserve">e have not </w:t>
      </w:r>
      <w:r w:rsidR="00DA0970" w:rsidRPr="00EC4FA9">
        <w:t>proved</w:t>
      </w:r>
      <w:r w:rsidR="00EB3B9C" w:rsidRPr="00EC4FA9">
        <w:t xml:space="preserve"> that</w:t>
      </w:r>
      <w:r w:rsidR="00203F1C" w:rsidRPr="00EC4FA9">
        <w:t xml:space="preserve"> the devaluation of the</w:t>
      </w:r>
      <w:r w:rsidR="00203F1C" w:rsidRPr="00EC4FA9">
        <w:rPr>
          <w:i/>
          <w:iCs/>
        </w:rPr>
        <w:t xml:space="preserve"> do-nothing</w:t>
      </w:r>
      <w:r w:rsidR="00203F1C" w:rsidRPr="00EC4FA9">
        <w:t xml:space="preserve"> alternative and </w:t>
      </w:r>
      <w:r w:rsidR="00F4610D">
        <w:t xml:space="preserve">that </w:t>
      </w:r>
      <w:r w:rsidR="00203F1C" w:rsidRPr="00EC4FA9">
        <w:t xml:space="preserve">the absence of good </w:t>
      </w:r>
      <w:r w:rsidR="00203F1C" w:rsidRPr="00EC4FA9">
        <w:rPr>
          <w:i/>
          <w:iCs/>
        </w:rPr>
        <w:t>do-minimum</w:t>
      </w:r>
      <w:r w:rsidR="00203F1C" w:rsidRPr="00EC4FA9">
        <w:t xml:space="preserve"> alternatives </w:t>
      </w:r>
      <w:r w:rsidR="00DA0970" w:rsidRPr="00EC4FA9">
        <w:t xml:space="preserve">is </w:t>
      </w:r>
      <w:r w:rsidR="00203F1C" w:rsidRPr="00EC4FA9">
        <w:t>deliberate and cause</w:t>
      </w:r>
      <w:r w:rsidR="00740D42" w:rsidRPr="00EC4FA9">
        <w:t>d</w:t>
      </w:r>
      <w:r w:rsidR="00203F1C" w:rsidRPr="00EC4FA9">
        <w:t xml:space="preserve"> by perverse incentives. </w:t>
      </w:r>
      <w:r w:rsidR="009D636E">
        <w:t>Still, t</w:t>
      </w:r>
      <w:r w:rsidR="00203F1C" w:rsidRPr="00EC4FA9">
        <w:t>he findings</w:t>
      </w:r>
      <w:r w:rsidR="00B4229F">
        <w:t xml:space="preserve"> should be a cause for concern.</w:t>
      </w:r>
      <w:r w:rsidR="004A6176" w:rsidRPr="00EC4FA9">
        <w:t xml:space="preserve"> Even in a </w:t>
      </w:r>
      <w:r w:rsidR="009D1AF1" w:rsidRPr="00EC4FA9">
        <w:t xml:space="preserve">rich </w:t>
      </w:r>
      <w:r w:rsidR="004A6176" w:rsidRPr="00EC4FA9">
        <w:t>country</w:t>
      </w:r>
      <w:r w:rsidR="00F4610D">
        <w:t xml:space="preserve"> such as</w:t>
      </w:r>
      <w:r w:rsidR="009D1AF1" w:rsidRPr="00EC4FA9">
        <w:t xml:space="preserve"> Norway</w:t>
      </w:r>
      <w:r w:rsidR="00C622D0" w:rsidRPr="00EC4FA9">
        <w:t xml:space="preserve">, </w:t>
      </w:r>
      <w:r w:rsidR="002A3819" w:rsidRPr="00EC4FA9">
        <w:t>with</w:t>
      </w:r>
      <w:r w:rsidR="004A6176" w:rsidRPr="00EC4FA9">
        <w:t xml:space="preserve"> high </w:t>
      </w:r>
      <w:r w:rsidR="002A3819" w:rsidRPr="00EC4FA9">
        <w:t xml:space="preserve">oil and gas </w:t>
      </w:r>
      <w:r w:rsidR="004A6176" w:rsidRPr="00EC4FA9">
        <w:t>revenues</w:t>
      </w:r>
      <w:r w:rsidR="009D1AF1" w:rsidRPr="00EC4FA9">
        <w:t>, funding for public investment projects is not unlimited.</w:t>
      </w:r>
      <w:r w:rsidR="001D09E3" w:rsidRPr="00EC4FA9">
        <w:t xml:space="preserve"> </w:t>
      </w:r>
      <w:r w:rsidR="003B389A">
        <w:t xml:space="preserve">Sifting out poor project ideas early is important </w:t>
      </w:r>
      <w:r w:rsidR="00DA0970" w:rsidRPr="00EC4FA9">
        <w:t>to</w:t>
      </w:r>
      <w:r w:rsidR="004F2772" w:rsidRPr="00EC4FA9">
        <w:t xml:space="preserve"> avoid lock-in effects</w:t>
      </w:r>
      <w:r w:rsidR="00191E90" w:rsidRPr="00EC4FA9">
        <w:t xml:space="preserve">. </w:t>
      </w:r>
      <w:r w:rsidR="00AA3AC4" w:rsidRPr="00EC4FA9">
        <w:t>Certainly</w:t>
      </w:r>
      <w:r w:rsidR="00740D42" w:rsidRPr="00EC4FA9">
        <w:t>, i</w:t>
      </w:r>
      <w:r w:rsidR="00191E90" w:rsidRPr="00EC4FA9">
        <w:t xml:space="preserve">n some cases, </w:t>
      </w:r>
      <w:r w:rsidR="00F36DCA" w:rsidRPr="00EC4FA9">
        <w:t xml:space="preserve">when the appraisal starts from a </w:t>
      </w:r>
      <w:r w:rsidR="002A3819" w:rsidRPr="00EC4FA9">
        <w:t xml:space="preserve">critical </w:t>
      </w:r>
      <w:r w:rsidR="00F36DCA" w:rsidRPr="00EC4FA9">
        <w:t>problem</w:t>
      </w:r>
      <w:r w:rsidR="002F2E49" w:rsidRPr="00EC4FA9">
        <w:t>, doing</w:t>
      </w:r>
      <w:r w:rsidR="002F2E49" w:rsidRPr="00EC4FA9">
        <w:rPr>
          <w:i/>
          <w:iCs/>
        </w:rPr>
        <w:t xml:space="preserve"> nothing</w:t>
      </w:r>
      <w:r w:rsidR="002F2E49" w:rsidRPr="00EC4FA9">
        <w:t xml:space="preserve"> may </w:t>
      </w:r>
      <w:r w:rsidR="00724633" w:rsidRPr="00EC4FA9">
        <w:t>seem</w:t>
      </w:r>
      <w:r w:rsidR="002F2E49" w:rsidRPr="00EC4FA9">
        <w:t xml:space="preserve"> un</w:t>
      </w:r>
      <w:r w:rsidR="002A3819" w:rsidRPr="00EC4FA9">
        <w:t>acceptable</w:t>
      </w:r>
      <w:r w:rsidR="002F2E49" w:rsidRPr="00EC4FA9">
        <w:t xml:space="preserve">. </w:t>
      </w:r>
      <w:r w:rsidR="005937C5">
        <w:t>Instead</w:t>
      </w:r>
      <w:r w:rsidR="002F2E49" w:rsidRPr="00EC4FA9">
        <w:t xml:space="preserve">, as suggested by </w:t>
      </w:r>
      <w:r w:rsidR="001038CA" w:rsidRPr="00EC4FA9">
        <w:t>Mackie and Preston (1998)</w:t>
      </w:r>
      <w:r w:rsidR="002F2E49" w:rsidRPr="00EC4FA9">
        <w:t xml:space="preserve">, </w:t>
      </w:r>
      <w:r w:rsidR="001038CA" w:rsidRPr="00EC4FA9">
        <w:t xml:space="preserve">a </w:t>
      </w:r>
      <w:r w:rsidR="001038CA" w:rsidRPr="00EC4FA9">
        <w:rPr>
          <w:i/>
          <w:iCs/>
        </w:rPr>
        <w:t>do-minimum</w:t>
      </w:r>
      <w:r w:rsidR="001038CA" w:rsidRPr="00EC4FA9">
        <w:t xml:space="preserve"> </w:t>
      </w:r>
      <w:r w:rsidR="007B4951" w:rsidRPr="00EC4FA9">
        <w:t>alternative</w:t>
      </w:r>
      <w:r w:rsidR="002F2E49" w:rsidRPr="00EC4FA9">
        <w:t xml:space="preserve"> could be more</w:t>
      </w:r>
      <w:r w:rsidR="00442C62" w:rsidRPr="00EC4FA9">
        <w:t xml:space="preserve"> relevant</w:t>
      </w:r>
      <w:r w:rsidR="001038CA" w:rsidRPr="00EC4FA9">
        <w:t>.</w:t>
      </w:r>
      <w:r w:rsidR="00442C62" w:rsidRPr="00EC4FA9">
        <w:t xml:space="preserve"> However, such alternatives </w:t>
      </w:r>
      <w:r w:rsidR="00C622D0" w:rsidRPr="00EC4FA9">
        <w:t>have</w:t>
      </w:r>
      <w:r w:rsidR="00442C62" w:rsidRPr="00EC4FA9">
        <w:t xml:space="preserve"> not</w:t>
      </w:r>
      <w:r w:rsidR="00C622D0" w:rsidRPr="00EC4FA9">
        <w:t xml:space="preserve"> been</w:t>
      </w:r>
      <w:r w:rsidR="00442C62" w:rsidRPr="00EC4FA9">
        <w:t xml:space="preserve"> properly explored.</w:t>
      </w:r>
    </w:p>
    <w:p w14:paraId="43AEE220" w14:textId="0F56A746" w:rsidR="00740D42" w:rsidRPr="004E537F" w:rsidRDefault="00C1257C" w:rsidP="001D1AA7">
      <w:pPr>
        <w:spacing w:before="120" w:after="120"/>
        <w:rPr>
          <w:b/>
          <w:bCs/>
        </w:rPr>
      </w:pPr>
      <w:r w:rsidRPr="004E537F">
        <w:rPr>
          <w:b/>
          <w:bCs/>
        </w:rPr>
        <w:t xml:space="preserve">External QA </w:t>
      </w:r>
      <w:r w:rsidR="005937C5">
        <w:rPr>
          <w:b/>
          <w:bCs/>
        </w:rPr>
        <w:t xml:space="preserve">is </w:t>
      </w:r>
      <w:r w:rsidRPr="004E537F">
        <w:rPr>
          <w:b/>
          <w:bCs/>
        </w:rPr>
        <w:t>helpful, but is it critical enough?</w:t>
      </w:r>
    </w:p>
    <w:p w14:paraId="7F0E2272" w14:textId="0684FD91" w:rsidR="000F0E94" w:rsidRPr="00EC4FA9" w:rsidRDefault="00DA0970" w:rsidP="001038CA">
      <w:r w:rsidRPr="00EC4FA9">
        <w:t>Müller (2009) noted that</w:t>
      </w:r>
      <w:r w:rsidR="00203F1C" w:rsidRPr="00EC4FA9">
        <w:t xml:space="preserve"> project governance arrangements are crucial for project success. Previous </w:t>
      </w:r>
      <w:r w:rsidR="00740D42" w:rsidRPr="00EC4FA9">
        <w:t>research has</w:t>
      </w:r>
      <w:r w:rsidR="00203F1C" w:rsidRPr="00EC4FA9">
        <w:t xml:space="preserve"> indicated that the </w:t>
      </w:r>
      <w:r w:rsidR="00740D42" w:rsidRPr="00EC4FA9">
        <w:t xml:space="preserve">Norwegian QA </w:t>
      </w:r>
      <w:r w:rsidR="00203F1C" w:rsidRPr="00EC4FA9">
        <w:t xml:space="preserve">scheme has </w:t>
      </w:r>
      <w:r w:rsidRPr="00EC4FA9">
        <w:t xml:space="preserve">helped </w:t>
      </w:r>
      <w:r w:rsidR="00F4610D">
        <w:t xml:space="preserve">to </w:t>
      </w:r>
      <w:r w:rsidRPr="00EC4FA9">
        <w:t>ensure</w:t>
      </w:r>
      <w:r w:rsidR="00203F1C" w:rsidRPr="00EC4FA9">
        <w:t xml:space="preserve"> realistic </w:t>
      </w:r>
      <w:r w:rsidR="00920247">
        <w:t>forecasts</w:t>
      </w:r>
      <w:r w:rsidR="00920247" w:rsidRPr="00EC4FA9">
        <w:t xml:space="preserve"> </w:t>
      </w:r>
      <w:r w:rsidR="00203F1C" w:rsidRPr="00EC4FA9">
        <w:t>and estimates (Welde and Klakegg</w:t>
      </w:r>
      <w:r w:rsidR="00740D42" w:rsidRPr="00EC4FA9">
        <w:t>, 2022</w:t>
      </w:r>
      <w:r w:rsidR="00203F1C" w:rsidRPr="00EC4FA9">
        <w:t xml:space="preserve">). </w:t>
      </w:r>
    </w:p>
    <w:p w14:paraId="0173BFC2" w14:textId="3293769D" w:rsidR="00552D04" w:rsidRPr="00EC4FA9" w:rsidRDefault="00740D42" w:rsidP="001038CA">
      <w:r w:rsidRPr="00EC4FA9">
        <w:t>The QA</w:t>
      </w:r>
      <w:r w:rsidR="00273E0A" w:rsidRPr="00EC4FA9">
        <w:t xml:space="preserve">1 reports </w:t>
      </w:r>
      <w:r w:rsidRPr="00EC4FA9">
        <w:t xml:space="preserve">ask critical questions about conceptual appraisals, </w:t>
      </w:r>
      <w:r w:rsidR="00F4610D">
        <w:t xml:space="preserve">thereby </w:t>
      </w:r>
      <w:r w:rsidR="00DA0970" w:rsidRPr="00EC4FA9">
        <w:t>contributing</w:t>
      </w:r>
      <w:r w:rsidRPr="00EC4FA9">
        <w:t xml:space="preserve"> to transparency. </w:t>
      </w:r>
      <w:r w:rsidR="000F0E94" w:rsidRPr="00EC4FA9">
        <w:t xml:space="preserve">We find that </w:t>
      </w:r>
      <w:r w:rsidR="008F3B47" w:rsidRPr="00EC4FA9">
        <w:t>the reviewers</w:t>
      </w:r>
      <w:r w:rsidR="00552D04" w:rsidRPr="00EC4FA9">
        <w:t xml:space="preserve"> focus more on how to</w:t>
      </w:r>
      <w:r w:rsidR="000F0E94" w:rsidRPr="00EC4FA9">
        <w:t xml:space="preserve"> design</w:t>
      </w:r>
      <w:r w:rsidR="00552D04" w:rsidRPr="00EC4FA9">
        <w:t xml:space="preserve"> </w:t>
      </w:r>
      <w:r w:rsidR="000F0E94" w:rsidRPr="00EC4FA9">
        <w:t xml:space="preserve">a realistic and sustainable </w:t>
      </w:r>
      <w:r w:rsidR="000F0E94" w:rsidRPr="00EC4FA9">
        <w:rPr>
          <w:i/>
          <w:iCs/>
        </w:rPr>
        <w:t>do-nothing</w:t>
      </w:r>
      <w:r w:rsidR="000F0E94" w:rsidRPr="00EC4FA9">
        <w:t xml:space="preserve"> alternative than </w:t>
      </w:r>
      <w:r w:rsidR="00552D04" w:rsidRPr="00EC4FA9">
        <w:t xml:space="preserve">do the </w:t>
      </w:r>
      <w:r w:rsidR="00273E0A" w:rsidRPr="00EC4FA9">
        <w:t>agencies</w:t>
      </w:r>
      <w:r w:rsidRPr="00EC4FA9">
        <w:t>. S</w:t>
      </w:r>
      <w:r w:rsidR="000F0E94" w:rsidRPr="00EC4FA9">
        <w:t>imilarly</w:t>
      </w:r>
      <w:r w:rsidRPr="00EC4FA9">
        <w:t>,</w:t>
      </w:r>
      <w:r w:rsidR="000F0E94" w:rsidRPr="00EC4FA9">
        <w:t xml:space="preserve"> they focus more on the search for </w:t>
      </w:r>
      <w:r w:rsidR="000F0E94" w:rsidRPr="00EC4FA9">
        <w:rPr>
          <w:i/>
          <w:iCs/>
        </w:rPr>
        <w:t>do-minimum</w:t>
      </w:r>
      <w:r w:rsidR="000F0E94" w:rsidRPr="00EC4FA9">
        <w:t xml:space="preserve"> alternatives.</w:t>
      </w:r>
      <w:r w:rsidR="00552D04" w:rsidRPr="00EC4FA9">
        <w:t xml:space="preserve"> </w:t>
      </w:r>
      <w:r w:rsidR="000F0E94" w:rsidRPr="00EC4FA9">
        <w:t xml:space="preserve">These findings support </w:t>
      </w:r>
      <w:r w:rsidR="00F4610D">
        <w:t xml:space="preserve">those of </w:t>
      </w:r>
      <w:r w:rsidR="000F0E94" w:rsidRPr="00EC4FA9">
        <w:t xml:space="preserve">other studies that </w:t>
      </w:r>
      <w:r w:rsidR="001717E0" w:rsidRPr="00EC4FA9">
        <w:t>demonstrate</w:t>
      </w:r>
      <w:r w:rsidR="000F0E94" w:rsidRPr="00EC4FA9">
        <w:t xml:space="preserve"> a</w:t>
      </w:r>
      <w:r w:rsidR="001717E0" w:rsidRPr="00EC4FA9">
        <w:t xml:space="preserve"> positive effect of external QA o</w:t>
      </w:r>
      <w:r w:rsidR="008F3B47" w:rsidRPr="00EC4FA9">
        <w:t>n</w:t>
      </w:r>
      <w:r w:rsidR="001717E0" w:rsidRPr="00EC4FA9">
        <w:t xml:space="preserve"> appraisal</w:t>
      </w:r>
      <w:r w:rsidR="008F3B47" w:rsidRPr="00EC4FA9">
        <w:t xml:space="preserve"> quality</w:t>
      </w:r>
      <w:r w:rsidR="00552D04" w:rsidRPr="00EC4FA9">
        <w:t>.</w:t>
      </w:r>
      <w:r w:rsidR="00F4610D">
        <w:t xml:space="preserve"> </w:t>
      </w:r>
      <w:r w:rsidR="00552D04" w:rsidRPr="00EC4FA9">
        <w:t xml:space="preserve">That said, </w:t>
      </w:r>
      <w:r w:rsidRPr="00EC4FA9">
        <w:t>a general</w:t>
      </w:r>
      <w:r w:rsidR="00552D04" w:rsidRPr="00EC4FA9">
        <w:t xml:space="preserve"> impression of the QA reports </w:t>
      </w:r>
      <w:r w:rsidRPr="00EC4FA9">
        <w:t>is</w:t>
      </w:r>
      <w:r w:rsidR="00552D04" w:rsidRPr="00EC4FA9">
        <w:t xml:space="preserve"> that they could have </w:t>
      </w:r>
      <w:r w:rsidR="00273E0A" w:rsidRPr="00EC4FA9">
        <w:t>been even more focused on this part of the appraisal</w:t>
      </w:r>
      <w:r w:rsidR="00552D04" w:rsidRPr="00EC4FA9">
        <w:t>. In too many cases</w:t>
      </w:r>
      <w:r w:rsidR="00DA0970" w:rsidRPr="00EC4FA9">
        <w:t xml:space="preserve">, they adopt the same baseline as the conceptual appraisal and </w:t>
      </w:r>
      <w:r w:rsidR="00552D04" w:rsidRPr="00EC4FA9">
        <w:t>limit themselves to noting the absence of low-cost alternatives.</w:t>
      </w:r>
    </w:p>
    <w:p w14:paraId="15628F7B" w14:textId="29F5C632" w:rsidR="00B54321" w:rsidRPr="004E537F" w:rsidRDefault="00C57469" w:rsidP="001D1AA7">
      <w:pPr>
        <w:spacing w:before="120" w:after="120"/>
        <w:rPr>
          <w:b/>
          <w:bCs/>
        </w:rPr>
      </w:pPr>
      <w:r w:rsidRPr="004E537F">
        <w:rPr>
          <w:b/>
          <w:bCs/>
        </w:rPr>
        <w:t>Projects in limbo</w:t>
      </w:r>
    </w:p>
    <w:p w14:paraId="311F9B8B" w14:textId="52CA5FF4" w:rsidR="00C57469" w:rsidRPr="00EC4FA9" w:rsidRDefault="00C57469" w:rsidP="001038CA">
      <w:r w:rsidRPr="00EC4FA9">
        <w:t xml:space="preserve">Perhaps the most striking finding from our sample of projects </w:t>
      </w:r>
      <w:r w:rsidR="008F3B47" w:rsidRPr="00EC4FA9">
        <w:t>is</w:t>
      </w:r>
      <w:r w:rsidRPr="00EC4FA9">
        <w:t xml:space="preserve"> that </w:t>
      </w:r>
      <w:r w:rsidR="005F7283">
        <w:t>(</w:t>
      </w:r>
      <w:r w:rsidRPr="00EC4FA9">
        <w:t xml:space="preserve">1) </w:t>
      </w:r>
      <w:r w:rsidRPr="00EC4FA9">
        <w:rPr>
          <w:i/>
          <w:iCs/>
        </w:rPr>
        <w:t>do</w:t>
      </w:r>
      <w:r w:rsidR="00C7664B">
        <w:rPr>
          <w:i/>
          <w:iCs/>
        </w:rPr>
        <w:t>-</w:t>
      </w:r>
      <w:r w:rsidRPr="00EC4FA9">
        <w:rPr>
          <w:i/>
          <w:iCs/>
        </w:rPr>
        <w:t>nothing</w:t>
      </w:r>
      <w:r w:rsidRPr="00EC4FA9">
        <w:t xml:space="preserve"> or </w:t>
      </w:r>
      <w:r w:rsidRPr="00EC4FA9">
        <w:rPr>
          <w:i/>
          <w:iCs/>
        </w:rPr>
        <w:t>do</w:t>
      </w:r>
      <w:r w:rsidR="00C7664B">
        <w:rPr>
          <w:i/>
          <w:iCs/>
        </w:rPr>
        <w:t>-</w:t>
      </w:r>
      <w:r w:rsidRPr="00EC4FA9">
        <w:rPr>
          <w:i/>
          <w:iCs/>
        </w:rPr>
        <w:t>minimum</w:t>
      </w:r>
      <w:r w:rsidRPr="00EC4FA9">
        <w:t xml:space="preserve"> alternatives are recommended by the agencies only in exceptional cases and </w:t>
      </w:r>
      <w:r w:rsidR="005F7283">
        <w:t>(</w:t>
      </w:r>
      <w:r w:rsidRPr="00EC4FA9">
        <w:t xml:space="preserve">2) despite this, the </w:t>
      </w:r>
      <w:r w:rsidRPr="00EC4FA9">
        <w:rPr>
          <w:i/>
          <w:iCs/>
        </w:rPr>
        <w:t>do</w:t>
      </w:r>
      <w:r w:rsidR="00C7664B">
        <w:rPr>
          <w:i/>
          <w:iCs/>
        </w:rPr>
        <w:t>-</w:t>
      </w:r>
      <w:r w:rsidRPr="00EC4FA9">
        <w:rPr>
          <w:i/>
          <w:iCs/>
        </w:rPr>
        <w:t>nothing</w:t>
      </w:r>
      <w:r w:rsidRPr="00EC4FA9">
        <w:t xml:space="preserve"> option is often the actual outcome. The latter is not by active decision, but by being ‘put on hold’ because the sum of all proposed projects is becoming unaffordable</w:t>
      </w:r>
      <w:r w:rsidR="00C11365">
        <w:t xml:space="preserve"> – t</w:t>
      </w:r>
      <w:r w:rsidRPr="00EC4FA9">
        <w:t>he result being that the problem at hand is not being solved, although minimum alternatives that are both feasible and affordable may exist.</w:t>
      </w:r>
    </w:p>
    <w:p w14:paraId="7B19979D" w14:textId="1DA52489" w:rsidR="00D45A75" w:rsidRPr="003F1D65" w:rsidRDefault="00116E72" w:rsidP="001038CA">
      <w:r>
        <w:t>The findings demonstrate that even in a country with a strong emphasis on quality at entry through a mandatory governance scheme</w:t>
      </w:r>
      <w:r w:rsidR="00C575DF">
        <w:t xml:space="preserve"> that aims to promote economic efficiency, the outcome of </w:t>
      </w:r>
      <w:r w:rsidR="00BF759D">
        <w:t>the appraisal process is not always in line with the intentions.</w:t>
      </w:r>
      <w:r w:rsidR="00714702">
        <w:t xml:space="preserve"> The paper ha</w:t>
      </w:r>
      <w:r w:rsidR="00142DE9">
        <w:t>s</w:t>
      </w:r>
      <w:r w:rsidR="00714702">
        <w:t xml:space="preserve"> demonstrated that</w:t>
      </w:r>
      <w:r w:rsidR="001A67E4">
        <w:t xml:space="preserve"> the quality of</w:t>
      </w:r>
      <w:r w:rsidR="00714702">
        <w:t xml:space="preserve"> </w:t>
      </w:r>
      <w:r w:rsidR="00142DE9">
        <w:t xml:space="preserve">a strong theoretical </w:t>
      </w:r>
      <w:r w:rsidR="00BC43B9">
        <w:t>foundation needs to be</w:t>
      </w:r>
      <w:r w:rsidR="00035799">
        <w:t xml:space="preserve"> assessed empirically.</w:t>
      </w:r>
      <w:r w:rsidR="00BC43B9">
        <w:t xml:space="preserve"> The Norwegian </w:t>
      </w:r>
      <w:r w:rsidR="009B7D0D">
        <w:t xml:space="preserve">results </w:t>
      </w:r>
      <w:r w:rsidR="00035799">
        <w:t>illustrate</w:t>
      </w:r>
      <w:r w:rsidR="009B7D0D">
        <w:t xml:space="preserve"> th</w:t>
      </w:r>
      <w:r w:rsidR="00A364B5">
        <w:t xml:space="preserve">at </w:t>
      </w:r>
      <w:r w:rsidR="00035799">
        <w:t xml:space="preserve">the appraisal process may be vulnerable to </w:t>
      </w:r>
      <w:r w:rsidR="002D0885">
        <w:t xml:space="preserve">asymmetry of information and bias. The </w:t>
      </w:r>
      <w:r w:rsidR="00414F5C">
        <w:t xml:space="preserve">effective lifetime of the </w:t>
      </w:r>
      <w:r w:rsidR="0070131B" w:rsidRPr="00AF56ED">
        <w:rPr>
          <w:i/>
          <w:iCs/>
        </w:rPr>
        <w:t>do-nothing</w:t>
      </w:r>
      <w:r w:rsidR="0070131B">
        <w:t xml:space="preserve"> alternative is downplayed to favour ambitious</w:t>
      </w:r>
      <w:r w:rsidR="00683B19">
        <w:t xml:space="preserve"> investment alternatives.</w:t>
      </w:r>
      <w:r w:rsidR="00547E12">
        <w:t xml:space="preserve"> The paper thus demonstrates that </w:t>
      </w:r>
      <w:r w:rsidR="0070131B">
        <w:t xml:space="preserve">the design of the </w:t>
      </w:r>
      <w:r w:rsidR="0070131B" w:rsidRPr="006C4B65">
        <w:rPr>
          <w:i/>
          <w:iCs/>
        </w:rPr>
        <w:t>do</w:t>
      </w:r>
      <w:r w:rsidR="00E015BF" w:rsidRPr="006C4B65">
        <w:rPr>
          <w:i/>
          <w:iCs/>
        </w:rPr>
        <w:t>-</w:t>
      </w:r>
      <w:r w:rsidR="0070131B" w:rsidRPr="006C4B65">
        <w:rPr>
          <w:i/>
          <w:iCs/>
        </w:rPr>
        <w:t>nothing</w:t>
      </w:r>
      <w:r w:rsidR="0070131B">
        <w:t xml:space="preserve"> </w:t>
      </w:r>
      <w:r w:rsidR="0070131B">
        <w:lastRenderedPageBreak/>
        <w:t>alternative may be an alternative avenue for bias to creep in.</w:t>
      </w:r>
      <w:r w:rsidR="00622869">
        <w:t xml:space="preserve"> This is an issue that has been largely ignored </w:t>
      </w:r>
      <w:r w:rsidR="001D523D">
        <w:t>i</w:t>
      </w:r>
      <w:r w:rsidR="00622869">
        <w:t xml:space="preserve">n the research literature. </w:t>
      </w:r>
    </w:p>
    <w:p w14:paraId="1783D834" w14:textId="772467A5" w:rsidR="00C1257C" w:rsidRPr="004E537F" w:rsidRDefault="00966ABA" w:rsidP="001D1AA7">
      <w:pPr>
        <w:spacing w:before="120" w:after="120"/>
        <w:rPr>
          <w:b/>
          <w:bCs/>
        </w:rPr>
      </w:pPr>
      <w:r>
        <w:rPr>
          <w:b/>
          <w:bCs/>
        </w:rPr>
        <w:t>R</w:t>
      </w:r>
      <w:r w:rsidR="00214581">
        <w:rPr>
          <w:b/>
          <w:bCs/>
        </w:rPr>
        <w:t>ecommendations</w:t>
      </w:r>
      <w:r>
        <w:rPr>
          <w:b/>
          <w:bCs/>
        </w:rPr>
        <w:t xml:space="preserve"> for practice</w:t>
      </w:r>
    </w:p>
    <w:p w14:paraId="4C886A33" w14:textId="169040E7" w:rsidR="002E5F05" w:rsidRPr="00EC4FA9" w:rsidRDefault="002E5F05" w:rsidP="001038CA">
      <w:r w:rsidRPr="00EC4FA9">
        <w:t xml:space="preserve">Our findings have </w:t>
      </w:r>
      <w:r w:rsidR="00DA0970" w:rsidRPr="00EC4FA9">
        <w:t xml:space="preserve">significant </w:t>
      </w:r>
      <w:r w:rsidRPr="00EC4FA9">
        <w:t xml:space="preserve">implications for practice and indicate </w:t>
      </w:r>
      <w:r w:rsidR="009159E7" w:rsidRPr="00EC4FA9">
        <w:t xml:space="preserve">a </w:t>
      </w:r>
      <w:r w:rsidRPr="00EC4FA9">
        <w:t xml:space="preserve">potential for </w:t>
      </w:r>
      <w:r w:rsidR="00740D42" w:rsidRPr="00EC4FA9">
        <w:t xml:space="preserve">making better decisions in the initial phase of projects, thus </w:t>
      </w:r>
      <w:r w:rsidR="00C57469" w:rsidRPr="00EC4FA9">
        <w:t xml:space="preserve">ensuring that problems are solved while </w:t>
      </w:r>
      <w:r w:rsidRPr="00EC4FA9">
        <w:t>avoiding waste of public funds on projects that are oversized or unnecessary.</w:t>
      </w:r>
    </w:p>
    <w:p w14:paraId="270EF701" w14:textId="7609021F" w:rsidR="009F7778" w:rsidRPr="00EC4FA9" w:rsidRDefault="009F7778" w:rsidP="001038CA">
      <w:r w:rsidRPr="00EC4FA9">
        <w:t xml:space="preserve">Challenges related to the </w:t>
      </w:r>
      <w:r w:rsidR="00E03D6F" w:rsidRPr="00EC4FA9">
        <w:t>base</w:t>
      </w:r>
      <w:r w:rsidR="00740D42" w:rsidRPr="00EC4FA9">
        <w:t>line</w:t>
      </w:r>
      <w:r w:rsidRPr="00EC4FA9">
        <w:t xml:space="preserve"> in project appraisal are </w:t>
      </w:r>
      <w:r w:rsidR="003F132A" w:rsidRPr="00EC4FA9">
        <w:t>two</w:t>
      </w:r>
      <w:r w:rsidR="00084C40" w:rsidRPr="00EC4FA9">
        <w:t xml:space="preserve">fold. </w:t>
      </w:r>
      <w:r w:rsidR="003F132A" w:rsidRPr="00EC4FA9">
        <w:t>First, they</w:t>
      </w:r>
      <w:r w:rsidR="00084C40" w:rsidRPr="00EC4FA9">
        <w:t xml:space="preserve"> concern technical aspects</w:t>
      </w:r>
      <w:r w:rsidR="00D93D8E" w:rsidRPr="00EC4FA9">
        <w:t xml:space="preserve"> – the need for </w:t>
      </w:r>
      <w:r w:rsidR="00E03D6F" w:rsidRPr="00EC4FA9">
        <w:t>high-quality</w:t>
      </w:r>
      <w:r w:rsidR="00D93D8E" w:rsidRPr="00EC4FA9">
        <w:t xml:space="preserve"> </w:t>
      </w:r>
      <w:r w:rsidR="00E03D6F" w:rsidRPr="00EC4FA9">
        <w:t>forecasts</w:t>
      </w:r>
      <w:r w:rsidR="00D93D8E" w:rsidRPr="00EC4FA9">
        <w:t xml:space="preserve"> </w:t>
      </w:r>
      <w:r w:rsidR="009066DD" w:rsidRPr="00EC4FA9">
        <w:t xml:space="preserve">for </w:t>
      </w:r>
      <w:r w:rsidR="00DA0970" w:rsidRPr="00EC4FA9">
        <w:t>many</w:t>
      </w:r>
      <w:r w:rsidR="00D744EC" w:rsidRPr="00EC4FA9">
        <w:t xml:space="preserve"> variables </w:t>
      </w:r>
      <w:r w:rsidR="00C622D0" w:rsidRPr="00EC4FA9">
        <w:t>that</w:t>
      </w:r>
      <w:r w:rsidR="00D744EC" w:rsidRPr="00EC4FA9">
        <w:t xml:space="preserve"> </w:t>
      </w:r>
      <w:r w:rsidR="00C622D0" w:rsidRPr="00EC4FA9">
        <w:t>might</w:t>
      </w:r>
      <w:r w:rsidR="00D744EC" w:rsidRPr="00EC4FA9">
        <w:t xml:space="preserve"> affect</w:t>
      </w:r>
      <w:r w:rsidR="00A91E66" w:rsidRPr="00EC4FA9">
        <w:t xml:space="preserve"> cost and benefits. This also includes good estimates of</w:t>
      </w:r>
      <w:r w:rsidR="00D744EC" w:rsidRPr="00EC4FA9">
        <w:t xml:space="preserve"> </w:t>
      </w:r>
      <w:r w:rsidR="009066DD" w:rsidRPr="00EC4FA9">
        <w:t xml:space="preserve">benefits </w:t>
      </w:r>
      <w:r w:rsidR="00C11365" w:rsidRPr="00EC4FA9">
        <w:t xml:space="preserve">(often declining) </w:t>
      </w:r>
      <w:r w:rsidR="009066DD" w:rsidRPr="00EC4FA9">
        <w:t>and maintenance and operat</w:t>
      </w:r>
      <w:r w:rsidR="003F132A" w:rsidRPr="00EC4FA9">
        <w:t>ional</w:t>
      </w:r>
      <w:r w:rsidR="009066DD" w:rsidRPr="00EC4FA9">
        <w:t xml:space="preserve"> costs </w:t>
      </w:r>
      <w:r w:rsidR="00EC18AB" w:rsidRPr="00EC4FA9">
        <w:t>(often increasing)</w:t>
      </w:r>
      <w:r w:rsidR="00EC18AB">
        <w:t xml:space="preserve"> </w:t>
      </w:r>
      <w:r w:rsidR="004A47C0">
        <w:t>without</w:t>
      </w:r>
      <w:r w:rsidR="008F3B47" w:rsidRPr="00EC4FA9">
        <w:t xml:space="preserve"> investment</w:t>
      </w:r>
      <w:r w:rsidR="003B4C46" w:rsidRPr="00EC4FA9">
        <w:t>.</w:t>
      </w:r>
      <w:r w:rsidR="00DB4EBD" w:rsidRPr="00EC4FA9">
        <w:t xml:space="preserve"> </w:t>
      </w:r>
      <w:r w:rsidR="003F132A" w:rsidRPr="00EC4FA9">
        <w:t>Second, the</w:t>
      </w:r>
      <w:r w:rsidR="00C622D0" w:rsidRPr="00EC4FA9">
        <w:t xml:space="preserve"> challenges</w:t>
      </w:r>
      <w:r w:rsidR="00DB4EBD" w:rsidRPr="00EC4FA9">
        <w:t xml:space="preserve"> concern the </w:t>
      </w:r>
      <w:r w:rsidR="00F344A3" w:rsidRPr="00EC4FA9">
        <w:t>expectations</w:t>
      </w:r>
      <w:r w:rsidR="00DB4EBD" w:rsidRPr="00EC4FA9">
        <w:t xml:space="preserve"> </w:t>
      </w:r>
      <w:r w:rsidR="00DA0970" w:rsidRPr="00EC4FA9">
        <w:t>of various actors</w:t>
      </w:r>
      <w:r w:rsidR="00DB4EBD" w:rsidRPr="00EC4FA9">
        <w:t xml:space="preserve"> </w:t>
      </w:r>
      <w:r w:rsidR="00F344A3" w:rsidRPr="00EC4FA9">
        <w:t>in the process</w:t>
      </w:r>
      <w:r w:rsidR="00401E56" w:rsidRPr="00EC4FA9">
        <w:t xml:space="preserve"> and the</w:t>
      </w:r>
      <w:r w:rsidR="00DB4EBD" w:rsidRPr="00EC4FA9">
        <w:t xml:space="preserve"> </w:t>
      </w:r>
      <w:r w:rsidR="00401E56" w:rsidRPr="00EC4FA9">
        <w:t xml:space="preserve">associated </w:t>
      </w:r>
      <w:r w:rsidR="00DB4EBD" w:rsidRPr="00EC4FA9">
        <w:t>risk of manipulation</w:t>
      </w:r>
      <w:r w:rsidR="00401E56" w:rsidRPr="00EC4FA9">
        <w:t xml:space="preserve"> </w:t>
      </w:r>
      <w:r w:rsidR="00095BBD">
        <w:t>by</w:t>
      </w:r>
      <w:r w:rsidR="00401E56" w:rsidRPr="00EC4FA9">
        <w:t xml:space="preserve"> those who </w:t>
      </w:r>
      <w:r w:rsidR="00F51FF3" w:rsidRPr="00EC4FA9">
        <w:t>hope</w:t>
      </w:r>
      <w:r w:rsidR="00C611CC" w:rsidRPr="00EC4FA9">
        <w:t xml:space="preserve"> for</w:t>
      </w:r>
      <w:r w:rsidR="00D10A41" w:rsidRPr="00EC4FA9">
        <w:t xml:space="preserve"> a</w:t>
      </w:r>
      <w:r w:rsidR="006022E5">
        <w:t xml:space="preserve"> large investment project</w:t>
      </w:r>
      <w:r w:rsidR="00ED0247" w:rsidRPr="00EC4FA9">
        <w:t>.</w:t>
      </w:r>
      <w:r w:rsidR="006971AD" w:rsidRPr="00EC4FA9">
        <w:t xml:space="preserve"> </w:t>
      </w:r>
    </w:p>
    <w:p w14:paraId="3BF1F267" w14:textId="53CB935E" w:rsidR="00DB1CE5" w:rsidRPr="00EC4FA9" w:rsidRDefault="00BE674A" w:rsidP="00DB1CE5">
      <w:r w:rsidRPr="00EC4FA9">
        <w:t xml:space="preserve">We </w:t>
      </w:r>
      <w:r w:rsidR="006939C1" w:rsidRPr="00EC4FA9">
        <w:t>offer a set of ten</w:t>
      </w:r>
      <w:r w:rsidR="00DF01E7" w:rsidRPr="00EC4FA9">
        <w:t xml:space="preserve"> practical recommendations for </w:t>
      </w:r>
      <w:r w:rsidR="00517F32">
        <w:t xml:space="preserve">those </w:t>
      </w:r>
      <w:r w:rsidR="00962B9B">
        <w:t>initiating</w:t>
      </w:r>
      <w:r w:rsidR="00B73F3F">
        <w:t>,</w:t>
      </w:r>
      <w:r w:rsidR="00962B9B">
        <w:t xml:space="preserve"> carrying out and receiving project appraisals.</w:t>
      </w:r>
      <w:r w:rsidR="00DF01E7" w:rsidRPr="003F1D65">
        <w:t xml:space="preserve"> </w:t>
      </w:r>
    </w:p>
    <w:p w14:paraId="5C5DA01E" w14:textId="28C612B2" w:rsidR="00F7125F" w:rsidRPr="00EC4FA9" w:rsidRDefault="00915035" w:rsidP="008F3B47">
      <w:pPr>
        <w:pStyle w:val="ListParagraph"/>
        <w:numPr>
          <w:ilvl w:val="0"/>
          <w:numId w:val="5"/>
        </w:numPr>
        <w:ind w:left="714" w:hanging="357"/>
        <w:contextualSpacing w:val="0"/>
      </w:pPr>
      <w:r w:rsidRPr="00EC4FA9">
        <w:rPr>
          <w:b/>
          <w:bCs/>
        </w:rPr>
        <w:t>Limit the number of conceptual appraisals.</w:t>
      </w:r>
      <w:r w:rsidRPr="00EC4FA9">
        <w:t xml:space="preserve"> </w:t>
      </w:r>
      <w:r w:rsidR="005649E8">
        <w:t>This paper has shown that the number of appraisals of potential projects does not match the available resources for investment.</w:t>
      </w:r>
      <w:r w:rsidR="00BE6158">
        <w:t xml:space="preserve"> The problem is further exa</w:t>
      </w:r>
      <w:r w:rsidR="005D0B72">
        <w:t xml:space="preserve">cerbated by </w:t>
      </w:r>
      <w:r w:rsidR="00240161">
        <w:t xml:space="preserve">the </w:t>
      </w:r>
      <w:r w:rsidR="00F325B1">
        <w:t xml:space="preserve">escalation of commitment even if the selected course of action is </w:t>
      </w:r>
      <w:r w:rsidR="007E48A8">
        <w:t>found to be inefficient from an economic perspective.</w:t>
      </w:r>
      <w:r w:rsidR="00BE6158">
        <w:t xml:space="preserve"> </w:t>
      </w:r>
      <w:r w:rsidRPr="00EC4FA9">
        <w:t xml:space="preserve">The ministries </w:t>
      </w:r>
      <w:r w:rsidR="00470EB7" w:rsidRPr="00EC4FA9">
        <w:t>should</w:t>
      </w:r>
      <w:r w:rsidR="007E48A8">
        <w:t>, therefore,</w:t>
      </w:r>
      <w:r w:rsidRPr="00EC4FA9">
        <w:t xml:space="preserve"> act as gatekeepers and </w:t>
      </w:r>
      <w:r w:rsidR="00224DD7" w:rsidRPr="00EC4FA9">
        <w:t>refrain from initiating</w:t>
      </w:r>
      <w:r w:rsidRPr="00EC4FA9">
        <w:t xml:space="preserve"> </w:t>
      </w:r>
      <w:r w:rsidR="00CB1911" w:rsidRPr="00EC4FA9">
        <w:t xml:space="preserve">too many </w:t>
      </w:r>
      <w:r w:rsidR="007A1531">
        <w:t>appraisals</w:t>
      </w:r>
      <w:r w:rsidR="00AF65E3">
        <w:t>.</w:t>
      </w:r>
    </w:p>
    <w:p w14:paraId="7A22085E" w14:textId="08A9BD9A" w:rsidR="00F7125F" w:rsidRPr="00EC4FA9" w:rsidRDefault="006865C4" w:rsidP="008F3B47">
      <w:pPr>
        <w:pStyle w:val="ListParagraph"/>
        <w:numPr>
          <w:ilvl w:val="0"/>
          <w:numId w:val="5"/>
        </w:numPr>
        <w:ind w:left="714" w:hanging="357"/>
        <w:contextualSpacing w:val="0"/>
      </w:pPr>
      <w:r w:rsidRPr="00EC4FA9">
        <w:rPr>
          <w:b/>
          <w:bCs/>
        </w:rPr>
        <w:t>A portfolio-oriented assessment of public investments</w:t>
      </w:r>
      <w:r w:rsidR="006D5F80" w:rsidRPr="00EC4FA9">
        <w:rPr>
          <w:b/>
          <w:bCs/>
        </w:rPr>
        <w:t>.</w:t>
      </w:r>
      <w:r w:rsidR="006D5F80" w:rsidRPr="00EC4FA9">
        <w:t xml:space="preserve"> Following </w:t>
      </w:r>
      <w:r w:rsidR="00C622D0" w:rsidRPr="00EC4FA9">
        <w:t>point 1</w:t>
      </w:r>
      <w:r w:rsidR="006D5F80" w:rsidRPr="00EC4FA9">
        <w:t xml:space="preserve"> above, we also recommend </w:t>
      </w:r>
      <w:r w:rsidR="00630D80" w:rsidRPr="00EC4FA9">
        <w:t>a portfolio perspective</w:t>
      </w:r>
      <w:r w:rsidR="008F3B47" w:rsidRPr="00EC4FA9">
        <w:rPr>
          <w:b/>
          <w:bCs/>
        </w:rPr>
        <w:t xml:space="preserve"> </w:t>
      </w:r>
      <w:r w:rsidR="008F3B47" w:rsidRPr="00EC4FA9">
        <w:t>within and across sectors</w:t>
      </w:r>
      <w:r w:rsidR="00503892">
        <w:t>.</w:t>
      </w:r>
      <w:r w:rsidR="006D5F80" w:rsidRPr="00EC4FA9">
        <w:t xml:space="preserve"> </w:t>
      </w:r>
      <w:r w:rsidR="001B41BE" w:rsidRPr="00EC4FA9">
        <w:t>A project may be well</w:t>
      </w:r>
      <w:r w:rsidR="00C11365">
        <w:t xml:space="preserve"> </w:t>
      </w:r>
      <w:r w:rsidR="001B41BE" w:rsidRPr="00EC4FA9">
        <w:t>justified</w:t>
      </w:r>
      <w:r w:rsidR="0067427E" w:rsidRPr="00EC4FA9">
        <w:t xml:space="preserve"> </w:t>
      </w:r>
      <w:r w:rsidR="001B41BE" w:rsidRPr="00EC4FA9">
        <w:t>in isolation but</w:t>
      </w:r>
      <w:r w:rsidR="008E0708" w:rsidRPr="00EC4FA9">
        <w:t xml:space="preserve"> should also be compared </w:t>
      </w:r>
      <w:r w:rsidR="00C622D0" w:rsidRPr="00EC4FA9">
        <w:t>with</w:t>
      </w:r>
      <w:r w:rsidR="008E0708" w:rsidRPr="00EC4FA9">
        <w:t xml:space="preserve"> other potential projects</w:t>
      </w:r>
      <w:r w:rsidR="00503892">
        <w:t xml:space="preserve"> in other sectors</w:t>
      </w:r>
      <w:r w:rsidR="008E0708" w:rsidRPr="00EC4FA9">
        <w:t>.</w:t>
      </w:r>
      <w:r w:rsidR="00630D80" w:rsidRPr="00EC4FA9">
        <w:t xml:space="preserve"> </w:t>
      </w:r>
    </w:p>
    <w:p w14:paraId="7CA39AF5" w14:textId="72DB6CF9" w:rsidR="00E82BDD" w:rsidRPr="00EC4FA9" w:rsidRDefault="00984DB6" w:rsidP="008F3B47">
      <w:pPr>
        <w:pStyle w:val="ListParagraph"/>
        <w:numPr>
          <w:ilvl w:val="0"/>
          <w:numId w:val="5"/>
        </w:numPr>
        <w:ind w:left="714" w:hanging="357"/>
        <w:contextualSpacing w:val="0"/>
      </w:pPr>
      <w:r w:rsidRPr="00EC4FA9">
        <w:rPr>
          <w:b/>
          <w:bCs/>
        </w:rPr>
        <w:t>T</w:t>
      </w:r>
      <w:r w:rsidR="00F7125F" w:rsidRPr="00EC4FA9">
        <w:rPr>
          <w:b/>
          <w:bCs/>
        </w:rPr>
        <w:t xml:space="preserve">he purpose </w:t>
      </w:r>
      <w:r w:rsidR="00CE0F8C" w:rsidRPr="00EC4FA9">
        <w:rPr>
          <w:b/>
          <w:bCs/>
        </w:rPr>
        <w:t xml:space="preserve">of the appraisal is to </w:t>
      </w:r>
      <w:r w:rsidRPr="00EC4FA9">
        <w:rPr>
          <w:b/>
          <w:bCs/>
        </w:rPr>
        <w:t>decide</w:t>
      </w:r>
      <w:r w:rsidR="0046483B" w:rsidRPr="00EC4FA9">
        <w:rPr>
          <w:b/>
          <w:bCs/>
        </w:rPr>
        <w:t xml:space="preserve"> whether</w:t>
      </w:r>
      <w:r w:rsidR="00CE0F8C" w:rsidRPr="00EC4FA9">
        <w:rPr>
          <w:b/>
          <w:bCs/>
        </w:rPr>
        <w:t xml:space="preserve"> </w:t>
      </w:r>
      <w:r w:rsidR="00C622D0" w:rsidRPr="00EC4FA9">
        <w:rPr>
          <w:b/>
          <w:bCs/>
        </w:rPr>
        <w:t xml:space="preserve">or not </w:t>
      </w:r>
      <w:r w:rsidR="00CE0F8C" w:rsidRPr="00EC4FA9">
        <w:rPr>
          <w:b/>
          <w:bCs/>
        </w:rPr>
        <w:t>to invest</w:t>
      </w:r>
      <w:r w:rsidR="0046483B" w:rsidRPr="00EC4FA9">
        <w:rPr>
          <w:b/>
          <w:bCs/>
        </w:rPr>
        <w:t>.</w:t>
      </w:r>
      <w:r w:rsidR="00F7125F" w:rsidRPr="00EC4FA9">
        <w:t xml:space="preserve"> </w:t>
      </w:r>
      <w:r w:rsidR="004A75A2">
        <w:t>T</w:t>
      </w:r>
      <w:r w:rsidR="00956A81">
        <w:t>here are indications that the</w:t>
      </w:r>
      <w:r w:rsidR="005779F5">
        <w:t xml:space="preserve"> res</w:t>
      </w:r>
      <w:r w:rsidR="00214581">
        <w:t>p</w:t>
      </w:r>
      <w:r w:rsidR="005779F5">
        <w:t>onsible</w:t>
      </w:r>
      <w:r w:rsidR="00956A81">
        <w:t xml:space="preserve"> </w:t>
      </w:r>
      <w:r w:rsidR="005D2F57">
        <w:t>agencies have misunderstood or ignored the purpose of</w:t>
      </w:r>
      <w:r w:rsidR="005779F5">
        <w:t xml:space="preserve"> the appraisals.</w:t>
      </w:r>
      <w:r w:rsidR="005D2F57">
        <w:t xml:space="preserve"> </w:t>
      </w:r>
      <w:r w:rsidR="00F7125F" w:rsidRPr="00EC4FA9">
        <w:t>The</w:t>
      </w:r>
      <w:r w:rsidR="004A2AC8" w:rsidRPr="00EC4FA9">
        <w:t xml:space="preserve"> </w:t>
      </w:r>
      <w:r w:rsidR="004A2AC8" w:rsidRPr="00EC4FA9">
        <w:rPr>
          <w:i/>
          <w:iCs/>
        </w:rPr>
        <w:t>do-nothing</w:t>
      </w:r>
      <w:r w:rsidR="004A2AC8" w:rsidRPr="00EC4FA9">
        <w:t xml:space="preserve"> </w:t>
      </w:r>
      <w:r w:rsidR="007B4951" w:rsidRPr="00EC4FA9">
        <w:t>alternative</w:t>
      </w:r>
      <w:r w:rsidR="00F7125F" w:rsidRPr="00EC4FA9">
        <w:t xml:space="preserve"> must be treated as </w:t>
      </w:r>
      <w:r w:rsidR="006971AD" w:rsidRPr="00EC4FA9">
        <w:t xml:space="preserve">a </w:t>
      </w:r>
      <w:r w:rsidR="00386255">
        <w:t>viable</w:t>
      </w:r>
      <w:r w:rsidR="00F7125F" w:rsidRPr="00EC4FA9">
        <w:t xml:space="preserve"> alternative. </w:t>
      </w:r>
      <w:r w:rsidR="00084F1C" w:rsidRPr="00EC4FA9">
        <w:t>The mandate</w:t>
      </w:r>
      <w:r w:rsidR="00CE71FA">
        <w:t xml:space="preserve"> for appraisal</w:t>
      </w:r>
      <w:r w:rsidR="00084F1C" w:rsidRPr="00EC4FA9">
        <w:t xml:space="preserve"> should include </w:t>
      </w:r>
      <w:r w:rsidR="00C11365">
        <w:t xml:space="preserve">an </w:t>
      </w:r>
      <w:r w:rsidR="00A7708D" w:rsidRPr="00EC4FA9">
        <w:t>explicit</w:t>
      </w:r>
      <w:r w:rsidR="00F7125F" w:rsidRPr="00EC4FA9">
        <w:t xml:space="preserve"> instruction </w:t>
      </w:r>
      <w:r w:rsidR="00084F1C" w:rsidRPr="00EC4FA9">
        <w:t>to t</w:t>
      </w:r>
      <w:r w:rsidR="00105957" w:rsidRPr="00EC4FA9">
        <w:t>r</w:t>
      </w:r>
      <w:r w:rsidR="00084F1C" w:rsidRPr="00EC4FA9">
        <w:t xml:space="preserve">eat </w:t>
      </w:r>
      <w:r w:rsidR="00D709A4" w:rsidRPr="00EC4FA9">
        <w:rPr>
          <w:i/>
          <w:iCs/>
        </w:rPr>
        <w:t>do</w:t>
      </w:r>
      <w:r w:rsidR="003F6F43">
        <w:rPr>
          <w:i/>
          <w:iCs/>
        </w:rPr>
        <w:t>-</w:t>
      </w:r>
      <w:r w:rsidR="00D709A4" w:rsidRPr="00EC4FA9">
        <w:rPr>
          <w:i/>
          <w:iCs/>
        </w:rPr>
        <w:t>nothing</w:t>
      </w:r>
      <w:r w:rsidR="00F7125F" w:rsidRPr="00EC4FA9">
        <w:t xml:space="preserve"> seriously</w:t>
      </w:r>
      <w:r w:rsidR="005B4F87" w:rsidRPr="00EC4FA9">
        <w:t>.</w:t>
      </w:r>
      <w:r w:rsidR="00084F1C" w:rsidRPr="00EC4FA9">
        <w:t xml:space="preserve"> </w:t>
      </w:r>
    </w:p>
    <w:p w14:paraId="668C7C98" w14:textId="323DB2AA" w:rsidR="00942281" w:rsidRPr="00EC4FA9" w:rsidRDefault="00234E53" w:rsidP="008F3B47">
      <w:pPr>
        <w:pStyle w:val="ListParagraph"/>
        <w:numPr>
          <w:ilvl w:val="0"/>
          <w:numId w:val="5"/>
        </w:numPr>
        <w:ind w:left="714" w:hanging="357"/>
        <w:contextualSpacing w:val="0"/>
      </w:pPr>
      <w:r w:rsidRPr="00EC4FA9">
        <w:rPr>
          <w:b/>
          <w:bCs/>
        </w:rPr>
        <w:t xml:space="preserve">Requirements to include </w:t>
      </w:r>
      <w:r w:rsidR="00726238" w:rsidRPr="00EC4FA9">
        <w:rPr>
          <w:b/>
          <w:bCs/>
          <w:i/>
          <w:iCs/>
        </w:rPr>
        <w:t>do-minimum</w:t>
      </w:r>
      <w:r w:rsidR="00726238" w:rsidRPr="00EC4FA9">
        <w:rPr>
          <w:b/>
          <w:bCs/>
        </w:rPr>
        <w:t xml:space="preserve"> </w:t>
      </w:r>
      <w:r w:rsidR="005A62DD" w:rsidRPr="00EC4FA9">
        <w:rPr>
          <w:b/>
          <w:bCs/>
        </w:rPr>
        <w:t>alternatives</w:t>
      </w:r>
      <w:r w:rsidR="00726238" w:rsidRPr="00EC4FA9">
        <w:rPr>
          <w:b/>
          <w:bCs/>
        </w:rPr>
        <w:t>.</w:t>
      </w:r>
      <w:r w:rsidRPr="00EC4FA9">
        <w:t xml:space="preserve"> </w:t>
      </w:r>
      <w:r w:rsidR="00DA0970" w:rsidRPr="00EC4FA9">
        <w:t>Including</w:t>
      </w:r>
      <w:r w:rsidR="006971AD" w:rsidRPr="00EC4FA9">
        <w:t xml:space="preserve"> low-cost alternatives </w:t>
      </w:r>
      <w:r w:rsidR="008F3B47" w:rsidRPr="00EC4FA9">
        <w:t>in appraisals should not</w:t>
      </w:r>
      <w:r w:rsidR="00350D01">
        <w:t xml:space="preserve"> be optional; it should be required.</w:t>
      </w:r>
      <w:r w:rsidR="006971AD" w:rsidRPr="00EC4FA9">
        <w:t xml:space="preserve"> </w:t>
      </w:r>
    </w:p>
    <w:p w14:paraId="71FBD223" w14:textId="1957A26F" w:rsidR="009F473C" w:rsidRPr="00EC4FA9" w:rsidRDefault="00A370F7" w:rsidP="008F3B47">
      <w:pPr>
        <w:pStyle w:val="ListParagraph"/>
        <w:numPr>
          <w:ilvl w:val="0"/>
          <w:numId w:val="5"/>
        </w:numPr>
        <w:ind w:left="714" w:hanging="357"/>
        <w:contextualSpacing w:val="0"/>
      </w:pPr>
      <w:r w:rsidRPr="00EC4FA9">
        <w:rPr>
          <w:b/>
          <w:bCs/>
        </w:rPr>
        <w:t xml:space="preserve">More focus on </w:t>
      </w:r>
      <w:r w:rsidR="00DA0970" w:rsidRPr="00EC4FA9">
        <w:rPr>
          <w:b/>
          <w:bCs/>
        </w:rPr>
        <w:t xml:space="preserve">the </w:t>
      </w:r>
      <w:r w:rsidR="00637FEC" w:rsidRPr="00EC4FA9">
        <w:rPr>
          <w:b/>
          <w:bCs/>
        </w:rPr>
        <w:t>optimal timing of investment</w:t>
      </w:r>
      <w:r w:rsidR="00DA0970" w:rsidRPr="00EC4FA9">
        <w:rPr>
          <w:b/>
          <w:bCs/>
        </w:rPr>
        <w:t>s</w:t>
      </w:r>
      <w:r w:rsidRPr="00EC4FA9">
        <w:rPr>
          <w:b/>
          <w:bCs/>
        </w:rPr>
        <w:t>.</w:t>
      </w:r>
      <w:r w:rsidRPr="00EC4FA9">
        <w:t xml:space="preserve"> </w:t>
      </w:r>
      <w:r w:rsidR="003C31CC" w:rsidRPr="00EC4FA9">
        <w:t xml:space="preserve">The appraisal should </w:t>
      </w:r>
      <w:r w:rsidR="00DA0970" w:rsidRPr="00EC4FA9">
        <w:t>recommend</w:t>
      </w:r>
      <w:r w:rsidR="00611C1B" w:rsidRPr="00EC4FA9">
        <w:t xml:space="preserve"> whether to invest today or </w:t>
      </w:r>
      <w:r w:rsidR="0016216B" w:rsidRPr="00EC4FA9">
        <w:t xml:space="preserve">to </w:t>
      </w:r>
      <w:r w:rsidR="00611C1B" w:rsidRPr="00EC4FA9">
        <w:t xml:space="preserve">decide later. </w:t>
      </w:r>
      <w:r w:rsidRPr="00EC4FA9">
        <w:t xml:space="preserve">This </w:t>
      </w:r>
      <w:r w:rsidR="00853695" w:rsidRPr="00EC4FA9">
        <w:t>is</w:t>
      </w:r>
      <w:r w:rsidRPr="00EC4FA9">
        <w:t xml:space="preserve"> particular</w:t>
      </w:r>
      <w:r w:rsidR="00853695" w:rsidRPr="00EC4FA9">
        <w:t>ly relevant</w:t>
      </w:r>
      <w:r w:rsidRPr="00EC4FA9">
        <w:t xml:space="preserve"> </w:t>
      </w:r>
      <w:r w:rsidR="0016216B" w:rsidRPr="00EC4FA9">
        <w:t>when (</w:t>
      </w:r>
      <w:r w:rsidRPr="00EC4FA9">
        <w:t xml:space="preserve">1) </w:t>
      </w:r>
      <w:r w:rsidR="00E925AF" w:rsidRPr="00EC4FA9">
        <w:t>policy still not committed</w:t>
      </w:r>
      <w:r w:rsidRPr="00EC4FA9">
        <w:t xml:space="preserve"> can affect </w:t>
      </w:r>
      <w:r w:rsidR="003E65A3" w:rsidRPr="00EC4FA9">
        <w:t>value for money</w:t>
      </w:r>
      <w:r w:rsidRPr="00EC4FA9">
        <w:t xml:space="preserve">, and </w:t>
      </w:r>
      <w:r w:rsidR="0016216B" w:rsidRPr="00EC4FA9">
        <w:t>(</w:t>
      </w:r>
      <w:r w:rsidRPr="00EC4FA9">
        <w:t>2) technological development</w:t>
      </w:r>
      <w:r w:rsidR="00386255">
        <w:t>(s)</w:t>
      </w:r>
      <w:r w:rsidRPr="00EC4FA9">
        <w:t xml:space="preserve"> can affect the </w:t>
      </w:r>
      <w:r w:rsidR="006971AD" w:rsidRPr="00EC4FA9">
        <w:t>need for a project</w:t>
      </w:r>
      <w:r w:rsidR="003C3C01" w:rsidRPr="00EC4FA9">
        <w:t>.</w:t>
      </w:r>
    </w:p>
    <w:p w14:paraId="58E984E6" w14:textId="5EB9ED03" w:rsidR="007D4776" w:rsidRPr="00EC4FA9" w:rsidRDefault="000A69E9" w:rsidP="008F3B47">
      <w:pPr>
        <w:pStyle w:val="ListParagraph"/>
        <w:numPr>
          <w:ilvl w:val="0"/>
          <w:numId w:val="5"/>
        </w:numPr>
        <w:ind w:left="714" w:hanging="357"/>
        <w:contextualSpacing w:val="0"/>
      </w:pPr>
      <w:r w:rsidRPr="00EC4FA9">
        <w:rPr>
          <w:b/>
          <w:bCs/>
        </w:rPr>
        <w:t xml:space="preserve">Better use of the </w:t>
      </w:r>
      <w:r w:rsidR="00190533" w:rsidRPr="00EC4FA9">
        <w:rPr>
          <w:b/>
          <w:bCs/>
        </w:rPr>
        <w:t>four-step principle</w:t>
      </w:r>
      <w:r w:rsidRPr="00EC4FA9">
        <w:rPr>
          <w:b/>
          <w:bCs/>
        </w:rPr>
        <w:t>.</w:t>
      </w:r>
      <w:r w:rsidRPr="00EC4FA9">
        <w:t xml:space="preserve"> </w:t>
      </w:r>
      <w:r w:rsidR="008F3B47" w:rsidRPr="00EC4FA9">
        <w:t xml:space="preserve">Good methods for </w:t>
      </w:r>
      <w:r w:rsidR="00F275E3" w:rsidRPr="00EC4FA9">
        <w:t>defining</w:t>
      </w:r>
      <w:r w:rsidR="008F3B47" w:rsidRPr="00EC4FA9">
        <w:t xml:space="preserve"> </w:t>
      </w:r>
      <w:r w:rsidR="006971AD" w:rsidRPr="00EC4FA9">
        <w:t>alternative solutions</w:t>
      </w:r>
      <w:r w:rsidR="008F3B47" w:rsidRPr="00EC4FA9">
        <w:t xml:space="preserve"> </w:t>
      </w:r>
      <w:r w:rsidR="00F076D5">
        <w:t>are</w:t>
      </w:r>
      <w:r w:rsidR="008F3B47" w:rsidRPr="00EC4FA9">
        <w:t xml:space="preserve"> crucial. T</w:t>
      </w:r>
      <w:r w:rsidR="008120F2" w:rsidRPr="00EC4FA9">
        <w:t xml:space="preserve">he four-step principle </w:t>
      </w:r>
      <w:r w:rsidR="00E02C22" w:rsidRPr="00EC4FA9">
        <w:t xml:space="preserve">should be </w:t>
      </w:r>
      <w:r w:rsidR="00042763">
        <w:t>helpful</w:t>
      </w:r>
      <w:r w:rsidR="00042763" w:rsidRPr="00EC4FA9">
        <w:t xml:space="preserve"> </w:t>
      </w:r>
      <w:r w:rsidR="00E02C22" w:rsidRPr="00EC4FA9">
        <w:t xml:space="preserve">and relevant </w:t>
      </w:r>
      <w:r w:rsidR="008F3B47" w:rsidRPr="00EC4FA9">
        <w:t>when</w:t>
      </w:r>
      <w:r w:rsidR="006971AD" w:rsidRPr="00EC4FA9">
        <w:t xml:space="preserve"> </w:t>
      </w:r>
      <w:r w:rsidR="00E02C22" w:rsidRPr="00EC4FA9">
        <w:t>applied correctly.</w:t>
      </w:r>
      <w:r w:rsidR="008120F2" w:rsidRPr="00EC4FA9">
        <w:t xml:space="preserve"> </w:t>
      </w:r>
      <w:r w:rsidR="008F3B47" w:rsidRPr="00EC4FA9">
        <w:t>Other metho</w:t>
      </w:r>
      <w:r w:rsidR="00F275E3" w:rsidRPr="00EC4FA9">
        <w:t>d</w:t>
      </w:r>
      <w:r w:rsidR="008F3B47" w:rsidRPr="00EC4FA9">
        <w:t xml:space="preserve">s should be </w:t>
      </w:r>
      <w:r w:rsidR="00F275E3" w:rsidRPr="00EC4FA9">
        <w:t>explored, and competence and incentives to use such methods must be in place.</w:t>
      </w:r>
    </w:p>
    <w:p w14:paraId="72E99D8F" w14:textId="11C643C6" w:rsidR="004D13CA" w:rsidRPr="00EC4FA9" w:rsidRDefault="00F17AEB" w:rsidP="008F3B47">
      <w:pPr>
        <w:pStyle w:val="ListParagraph"/>
        <w:numPr>
          <w:ilvl w:val="0"/>
          <w:numId w:val="5"/>
        </w:numPr>
        <w:ind w:left="714" w:hanging="357"/>
        <w:contextualSpacing w:val="0"/>
      </w:pPr>
      <w:r w:rsidRPr="00EC4FA9">
        <w:rPr>
          <w:b/>
          <w:bCs/>
        </w:rPr>
        <w:t xml:space="preserve">Accept that the </w:t>
      </w:r>
      <w:r w:rsidRPr="00EC4FA9">
        <w:rPr>
          <w:b/>
          <w:bCs/>
          <w:i/>
          <w:iCs/>
        </w:rPr>
        <w:t>do-nothing</w:t>
      </w:r>
      <w:r w:rsidRPr="00EC4FA9">
        <w:rPr>
          <w:b/>
          <w:bCs/>
        </w:rPr>
        <w:t xml:space="preserve"> </w:t>
      </w:r>
      <w:r w:rsidR="005A62DD" w:rsidRPr="00EC4FA9">
        <w:rPr>
          <w:b/>
          <w:bCs/>
        </w:rPr>
        <w:t xml:space="preserve">alternative </w:t>
      </w:r>
      <w:r w:rsidRPr="00EC4FA9">
        <w:rPr>
          <w:b/>
          <w:bCs/>
        </w:rPr>
        <w:t xml:space="preserve">may entail diminishing </w:t>
      </w:r>
      <w:r w:rsidR="00105957" w:rsidRPr="00EC4FA9">
        <w:rPr>
          <w:b/>
          <w:bCs/>
        </w:rPr>
        <w:t>user benefits</w:t>
      </w:r>
      <w:r w:rsidR="00250C82" w:rsidRPr="00EC4FA9">
        <w:rPr>
          <w:b/>
          <w:bCs/>
        </w:rPr>
        <w:t>.</w:t>
      </w:r>
      <w:r w:rsidRPr="00EC4FA9">
        <w:t xml:space="preserve"> </w:t>
      </w:r>
      <w:r w:rsidR="00F94894" w:rsidRPr="00EC4FA9">
        <w:t>Planners seem confused</w:t>
      </w:r>
      <w:r w:rsidR="00CD7373" w:rsidRPr="00EC4FA9">
        <w:t xml:space="preserve"> </w:t>
      </w:r>
      <w:r w:rsidR="00933ECD" w:rsidRPr="00EC4FA9">
        <w:t>about</w:t>
      </w:r>
      <w:r w:rsidRPr="00EC4FA9">
        <w:t xml:space="preserve"> </w:t>
      </w:r>
      <w:r w:rsidR="00F076D5">
        <w:t xml:space="preserve">on </w:t>
      </w:r>
      <w:r w:rsidR="00F275E3" w:rsidRPr="00EC4FA9">
        <w:t xml:space="preserve">which </w:t>
      </w:r>
      <w:r w:rsidR="005F505B" w:rsidRPr="00EC4FA9">
        <w:t xml:space="preserve">service </w:t>
      </w:r>
      <w:r w:rsidR="00F275E3" w:rsidRPr="00EC4FA9">
        <w:t>level the</w:t>
      </w:r>
      <w:r w:rsidR="005F505B" w:rsidRPr="00EC4FA9">
        <w:t xml:space="preserve"> </w:t>
      </w:r>
      <w:r w:rsidR="00933ECD" w:rsidRPr="00EC4FA9">
        <w:rPr>
          <w:i/>
          <w:iCs/>
        </w:rPr>
        <w:t>do</w:t>
      </w:r>
      <w:r w:rsidR="00F275E3" w:rsidRPr="00EC4FA9">
        <w:rPr>
          <w:i/>
          <w:iCs/>
        </w:rPr>
        <w:t>-</w:t>
      </w:r>
      <w:r w:rsidR="00933ECD" w:rsidRPr="00EC4FA9">
        <w:rPr>
          <w:i/>
          <w:iCs/>
        </w:rPr>
        <w:t>nothing</w:t>
      </w:r>
      <w:r w:rsidR="00F275E3" w:rsidRPr="00EC4FA9">
        <w:t xml:space="preserve"> alternative</w:t>
      </w:r>
      <w:r w:rsidR="002624E7">
        <w:t xml:space="preserve"> should be based</w:t>
      </w:r>
      <w:r w:rsidR="00F275E3" w:rsidRPr="00EC4FA9">
        <w:t>.</w:t>
      </w:r>
      <w:r w:rsidRPr="00EC4FA9">
        <w:t xml:space="preserve"> </w:t>
      </w:r>
      <w:r w:rsidR="00F275E3" w:rsidRPr="00EC4FA9">
        <w:t>However, i</w:t>
      </w:r>
      <w:r w:rsidRPr="00EC4FA9">
        <w:t>f</w:t>
      </w:r>
      <w:r w:rsidR="00553A2E" w:rsidRPr="00EC4FA9">
        <w:t xml:space="preserve"> forecasts</w:t>
      </w:r>
      <w:r w:rsidRPr="00EC4FA9">
        <w:t xml:space="preserve"> indicate </w:t>
      </w:r>
      <w:r w:rsidR="00F24990" w:rsidRPr="00EC4FA9">
        <w:t>declining benefits</w:t>
      </w:r>
      <w:r w:rsidRPr="00EC4FA9">
        <w:t xml:space="preserve">, that </w:t>
      </w:r>
      <w:r w:rsidR="0016216B" w:rsidRPr="00EC4FA9">
        <w:t>will be</w:t>
      </w:r>
      <w:r w:rsidRPr="00EC4FA9">
        <w:t xml:space="preserve"> the situation</w:t>
      </w:r>
      <w:r w:rsidR="00553A2E" w:rsidRPr="00EC4FA9">
        <w:t xml:space="preserve"> that</w:t>
      </w:r>
      <w:r w:rsidRPr="00EC4FA9">
        <w:t xml:space="preserve"> the agency </w:t>
      </w:r>
      <w:r w:rsidR="0016216B" w:rsidRPr="00EC4FA9">
        <w:t>will have to</w:t>
      </w:r>
      <w:r w:rsidR="00553A2E" w:rsidRPr="00EC4FA9">
        <w:t xml:space="preserve"> adapt to</w:t>
      </w:r>
      <w:r w:rsidR="00F275E3" w:rsidRPr="00EC4FA9">
        <w:t xml:space="preserve"> in the absence of investment</w:t>
      </w:r>
      <w:r w:rsidRPr="00EC4FA9">
        <w:t>.</w:t>
      </w:r>
      <w:r w:rsidR="00F275E3" w:rsidRPr="00EC4FA9">
        <w:t xml:space="preserve"> </w:t>
      </w:r>
      <w:r w:rsidR="001A6C2F">
        <w:t xml:space="preserve"> </w:t>
      </w:r>
      <w:r w:rsidR="00F275E3" w:rsidRPr="00EC4FA9">
        <w:t xml:space="preserve"> </w:t>
      </w:r>
    </w:p>
    <w:p w14:paraId="4C080078" w14:textId="544714B8" w:rsidR="00DB2146" w:rsidRPr="00EC4FA9" w:rsidRDefault="009159E7" w:rsidP="008F3B47">
      <w:pPr>
        <w:pStyle w:val="ListParagraph"/>
        <w:numPr>
          <w:ilvl w:val="0"/>
          <w:numId w:val="5"/>
        </w:numPr>
        <w:ind w:left="714" w:hanging="357"/>
        <w:contextualSpacing w:val="0"/>
      </w:pPr>
      <w:bookmarkStart w:id="33" w:name="_Hlk142859202"/>
      <w:r w:rsidRPr="00EC4FA9">
        <w:rPr>
          <w:b/>
          <w:bCs/>
        </w:rPr>
        <w:lastRenderedPageBreak/>
        <w:t xml:space="preserve">Systematic collection </w:t>
      </w:r>
      <w:r w:rsidR="00F076D5">
        <w:rPr>
          <w:b/>
          <w:bCs/>
        </w:rPr>
        <w:t xml:space="preserve">of data </w:t>
      </w:r>
      <w:r w:rsidRPr="00EC4FA9">
        <w:rPr>
          <w:b/>
          <w:bCs/>
        </w:rPr>
        <w:t xml:space="preserve">on user benefits and </w:t>
      </w:r>
      <w:r w:rsidR="00386255">
        <w:rPr>
          <w:b/>
          <w:bCs/>
        </w:rPr>
        <w:t>operations and maintenance</w:t>
      </w:r>
      <w:r w:rsidRPr="00EC4FA9">
        <w:rPr>
          <w:b/>
          <w:bCs/>
        </w:rPr>
        <w:t xml:space="preserve"> costs throughout </w:t>
      </w:r>
      <w:r w:rsidR="00DA0970" w:rsidRPr="00EC4FA9">
        <w:rPr>
          <w:b/>
          <w:bCs/>
        </w:rPr>
        <w:t xml:space="preserve">the </w:t>
      </w:r>
      <w:r w:rsidRPr="00EC4FA9">
        <w:rPr>
          <w:b/>
          <w:bCs/>
        </w:rPr>
        <w:t>projects’ life</w:t>
      </w:r>
      <w:r w:rsidR="00C65306">
        <w:rPr>
          <w:b/>
          <w:bCs/>
        </w:rPr>
        <w:t xml:space="preserve"> </w:t>
      </w:r>
      <w:r w:rsidRPr="00EC4FA9">
        <w:rPr>
          <w:b/>
          <w:bCs/>
        </w:rPr>
        <w:t>cycle</w:t>
      </w:r>
      <w:r w:rsidR="00B050B9" w:rsidRPr="00EC4FA9">
        <w:rPr>
          <w:b/>
          <w:bCs/>
        </w:rPr>
        <w:t>.</w:t>
      </w:r>
      <w:r w:rsidR="00B050B9" w:rsidRPr="00EC4FA9">
        <w:t xml:space="preserve"> </w:t>
      </w:r>
      <w:r w:rsidR="00F822F8">
        <w:t>Data availability</w:t>
      </w:r>
      <w:r w:rsidRPr="00EC4FA9">
        <w:t xml:space="preserve"> is essential to describe and quantify the </w:t>
      </w:r>
      <w:r w:rsidR="00EB226A" w:rsidRPr="00EC4FA9">
        <w:t>development of costs and benefits</w:t>
      </w:r>
      <w:r w:rsidRPr="00EC4FA9">
        <w:t xml:space="preserve"> in the absence of investment</w:t>
      </w:r>
      <w:r w:rsidR="00B050B9" w:rsidRPr="00EC4FA9">
        <w:t>.</w:t>
      </w:r>
      <w:r w:rsidRPr="00EC4FA9">
        <w:t xml:space="preserve"> Th</w:t>
      </w:r>
      <w:r w:rsidR="00F076D5">
        <w:t>ese</w:t>
      </w:r>
      <w:r w:rsidRPr="00EC4FA9">
        <w:t xml:space="preserve"> data </w:t>
      </w:r>
      <w:r w:rsidR="00F076D5">
        <w:t>are</w:t>
      </w:r>
      <w:r w:rsidRPr="00EC4FA9">
        <w:t xml:space="preserve"> often </w:t>
      </w:r>
      <w:r w:rsidR="00DA0970" w:rsidRPr="00EC4FA9">
        <w:t>unavailable</w:t>
      </w:r>
      <w:r w:rsidRPr="00EC4FA9">
        <w:t xml:space="preserve"> today</w:t>
      </w:r>
      <w:bookmarkEnd w:id="33"/>
      <w:r w:rsidR="00F275E3" w:rsidRPr="00EC4FA9">
        <w:t>, leaving analysts to perform guesswork.</w:t>
      </w:r>
    </w:p>
    <w:p w14:paraId="63868FEE" w14:textId="45F2B541" w:rsidR="001D6306" w:rsidRPr="00EC4FA9" w:rsidRDefault="00557B70" w:rsidP="008F3B47">
      <w:pPr>
        <w:pStyle w:val="ListParagraph"/>
        <w:numPr>
          <w:ilvl w:val="0"/>
          <w:numId w:val="5"/>
        </w:numPr>
        <w:ind w:left="714" w:hanging="357"/>
        <w:contextualSpacing w:val="0"/>
      </w:pPr>
      <w:r w:rsidRPr="00EC4FA9">
        <w:rPr>
          <w:b/>
          <w:bCs/>
        </w:rPr>
        <w:t>External reviews</w:t>
      </w:r>
      <w:r w:rsidR="00080CCE" w:rsidRPr="00EC4FA9">
        <w:rPr>
          <w:b/>
          <w:bCs/>
        </w:rPr>
        <w:t>.</w:t>
      </w:r>
      <w:r w:rsidR="00080CCE" w:rsidRPr="00EC4FA9">
        <w:t xml:space="preserve"> External </w:t>
      </w:r>
      <w:r w:rsidR="00F275E3" w:rsidRPr="00EC4FA9">
        <w:t>quality assurance of appraisals</w:t>
      </w:r>
      <w:r w:rsidR="00080CCE" w:rsidRPr="00EC4FA9">
        <w:t xml:space="preserve"> was introduced</w:t>
      </w:r>
      <w:r w:rsidR="00381CCB" w:rsidRPr="00EC4FA9">
        <w:t xml:space="preserve"> in Norway</w:t>
      </w:r>
      <w:r w:rsidR="00080CCE" w:rsidRPr="00EC4FA9">
        <w:t xml:space="preserve"> to counteract tunnel vision and optimism bias. </w:t>
      </w:r>
      <w:r w:rsidR="00105957" w:rsidRPr="00EC4FA9">
        <w:t>Our</w:t>
      </w:r>
      <w:r w:rsidR="0016216B" w:rsidRPr="00EC4FA9">
        <w:t xml:space="preserve"> findings</w:t>
      </w:r>
      <w:r w:rsidR="00080CCE" w:rsidRPr="00EC4FA9">
        <w:t xml:space="preserve"> suggest that </w:t>
      </w:r>
      <w:r w:rsidR="00381CCB" w:rsidRPr="00EC4FA9">
        <w:t>it works and should continue</w:t>
      </w:r>
      <w:r w:rsidR="005758C0" w:rsidRPr="00EC4FA9">
        <w:t xml:space="preserve">, but </w:t>
      </w:r>
      <w:r w:rsidR="00F275E3" w:rsidRPr="00EC4FA9">
        <w:t>reviewers</w:t>
      </w:r>
      <w:r w:rsidR="00DA0970" w:rsidRPr="00EC4FA9">
        <w:t xml:space="preserve"> should </w:t>
      </w:r>
      <w:r w:rsidR="005758C0" w:rsidRPr="00EC4FA9">
        <w:t>pay</w:t>
      </w:r>
      <w:r w:rsidR="00080CCE" w:rsidRPr="00EC4FA9">
        <w:t xml:space="preserve"> </w:t>
      </w:r>
      <w:r w:rsidR="005330A4" w:rsidRPr="00EC4FA9">
        <w:t xml:space="preserve">more </w:t>
      </w:r>
      <w:r w:rsidR="00080CCE" w:rsidRPr="00EC4FA9">
        <w:t>attention to the design of the</w:t>
      </w:r>
      <w:r w:rsidR="00040CB6" w:rsidRPr="00EC4FA9">
        <w:t xml:space="preserve"> </w:t>
      </w:r>
      <w:r w:rsidR="00040CB6" w:rsidRPr="00EC4FA9">
        <w:rPr>
          <w:i/>
          <w:iCs/>
        </w:rPr>
        <w:t>do-nothing</w:t>
      </w:r>
      <w:r w:rsidR="00040CB6" w:rsidRPr="00EC4FA9">
        <w:t xml:space="preserve"> </w:t>
      </w:r>
      <w:r w:rsidR="005A62DD" w:rsidRPr="00EC4FA9">
        <w:t>alternative</w:t>
      </w:r>
      <w:r w:rsidR="00A52BDA" w:rsidRPr="00EC4FA9">
        <w:t>, which</w:t>
      </w:r>
      <w:r w:rsidR="00080CCE" w:rsidRPr="00EC4FA9">
        <w:t xml:space="preserve"> </w:t>
      </w:r>
      <w:bookmarkStart w:id="34" w:name="_Hlk132558569"/>
      <w:r w:rsidR="00080CCE" w:rsidRPr="00EC4FA9">
        <w:t xml:space="preserve">may constitute a </w:t>
      </w:r>
      <w:r w:rsidR="001803D4" w:rsidRPr="00EC4FA9">
        <w:t>‘</w:t>
      </w:r>
      <w:r w:rsidR="00080CCE" w:rsidRPr="00EC4FA9">
        <w:t>back door for manipulation</w:t>
      </w:r>
      <w:r w:rsidR="001803D4" w:rsidRPr="00EC4FA9">
        <w:t>’</w:t>
      </w:r>
      <w:r w:rsidR="00080CCE" w:rsidRPr="00EC4FA9">
        <w:t xml:space="preserve"> of the </w:t>
      </w:r>
      <w:r w:rsidR="00040CB6" w:rsidRPr="00EC4FA9">
        <w:t>appraisals</w:t>
      </w:r>
      <w:r w:rsidR="00080CCE" w:rsidRPr="00EC4FA9">
        <w:t>.</w:t>
      </w:r>
      <w:r w:rsidR="005758C0" w:rsidRPr="00EC4FA9">
        <w:t xml:space="preserve"> </w:t>
      </w:r>
      <w:bookmarkEnd w:id="34"/>
    </w:p>
    <w:p w14:paraId="0819DED7" w14:textId="722AB49B" w:rsidR="001D6306" w:rsidRPr="00EC4FA9" w:rsidRDefault="00E56232" w:rsidP="008F3B47">
      <w:pPr>
        <w:pStyle w:val="ListParagraph"/>
        <w:numPr>
          <w:ilvl w:val="0"/>
          <w:numId w:val="5"/>
        </w:numPr>
        <w:ind w:left="714" w:hanging="357"/>
        <w:contextualSpacing w:val="0"/>
      </w:pPr>
      <w:r w:rsidRPr="00EC4FA9">
        <w:rPr>
          <w:b/>
          <w:bCs/>
        </w:rPr>
        <w:t xml:space="preserve">The consequence of selecting the </w:t>
      </w:r>
      <w:r w:rsidRPr="00EC4FA9">
        <w:rPr>
          <w:b/>
          <w:bCs/>
          <w:i/>
          <w:iCs/>
        </w:rPr>
        <w:t>do-nothing</w:t>
      </w:r>
      <w:r w:rsidRPr="00EC4FA9">
        <w:rPr>
          <w:b/>
          <w:bCs/>
        </w:rPr>
        <w:t xml:space="preserve"> </w:t>
      </w:r>
      <w:r w:rsidR="00225F13" w:rsidRPr="00EC4FA9">
        <w:rPr>
          <w:b/>
          <w:bCs/>
        </w:rPr>
        <w:t>alternative</w:t>
      </w:r>
      <w:r w:rsidRPr="00EC4FA9">
        <w:rPr>
          <w:b/>
          <w:bCs/>
        </w:rPr>
        <w:t xml:space="preserve"> must be more transparent.</w:t>
      </w:r>
      <w:r w:rsidRPr="00EC4FA9">
        <w:t xml:space="preserve"> </w:t>
      </w:r>
      <w:r w:rsidR="0007376C">
        <w:t>Our</w:t>
      </w:r>
      <w:r w:rsidRPr="00EC4FA9">
        <w:t xml:space="preserve"> </w:t>
      </w:r>
      <w:r w:rsidR="001051FE" w:rsidRPr="00EC4FA9">
        <w:t>study</w:t>
      </w:r>
      <w:r w:rsidRPr="00EC4FA9">
        <w:t xml:space="preserve"> show</w:t>
      </w:r>
      <w:r w:rsidR="0016216B" w:rsidRPr="00EC4FA9">
        <w:t>s</w:t>
      </w:r>
      <w:r w:rsidRPr="00EC4FA9">
        <w:t xml:space="preserve"> that</w:t>
      </w:r>
      <w:r w:rsidR="00195581">
        <w:t>,</w:t>
      </w:r>
      <w:r w:rsidRPr="00EC4FA9">
        <w:t xml:space="preserve"> </w:t>
      </w:r>
      <w:r w:rsidR="0016216B" w:rsidRPr="00EC4FA9">
        <w:t>in most cases</w:t>
      </w:r>
      <w:r w:rsidR="00DA0970" w:rsidRPr="00EC4FA9">
        <w:t>,</w:t>
      </w:r>
      <w:r w:rsidR="0016216B" w:rsidRPr="00EC4FA9">
        <w:t xml:space="preserve"> </w:t>
      </w:r>
      <w:r w:rsidRPr="00EC4FA9">
        <w:t>the benefits and costs of various</w:t>
      </w:r>
      <w:r w:rsidR="001051FE" w:rsidRPr="00EC4FA9">
        <w:t xml:space="preserve"> investment options</w:t>
      </w:r>
      <w:r w:rsidRPr="00EC4FA9">
        <w:t xml:space="preserve"> </w:t>
      </w:r>
      <w:r w:rsidR="001051FE" w:rsidRPr="00EC4FA9">
        <w:t>are</w:t>
      </w:r>
      <w:r w:rsidRPr="00EC4FA9">
        <w:t xml:space="preserve"> presented as net calculations against </w:t>
      </w:r>
      <w:r w:rsidR="009D4AAB" w:rsidRPr="00EC4FA9">
        <w:rPr>
          <w:i/>
          <w:iCs/>
        </w:rPr>
        <w:t>do</w:t>
      </w:r>
      <w:r w:rsidR="00C77F36">
        <w:rPr>
          <w:i/>
          <w:iCs/>
        </w:rPr>
        <w:t>-</w:t>
      </w:r>
      <w:r w:rsidR="009D4AAB" w:rsidRPr="00EC4FA9">
        <w:rPr>
          <w:i/>
          <w:iCs/>
        </w:rPr>
        <w:t>nothing</w:t>
      </w:r>
      <w:r w:rsidR="00DA0970" w:rsidRPr="00EC4FA9">
        <w:t xml:space="preserve">. </w:t>
      </w:r>
      <w:r w:rsidR="00FC6279" w:rsidRPr="00EC4FA9">
        <w:t xml:space="preserve">However, </w:t>
      </w:r>
      <w:r w:rsidR="00DA0970" w:rsidRPr="00EC4FA9">
        <w:t>the</w:t>
      </w:r>
      <w:r w:rsidR="009D4AAB" w:rsidRPr="00EC4FA9">
        <w:t xml:space="preserve"> consequences of </w:t>
      </w:r>
      <w:r w:rsidR="00102600" w:rsidRPr="00EC4FA9">
        <w:rPr>
          <w:i/>
          <w:iCs/>
        </w:rPr>
        <w:t>do</w:t>
      </w:r>
      <w:r w:rsidR="00C77F36">
        <w:rPr>
          <w:i/>
          <w:iCs/>
        </w:rPr>
        <w:t>-</w:t>
      </w:r>
      <w:r w:rsidR="00102600" w:rsidRPr="00EC4FA9">
        <w:rPr>
          <w:i/>
          <w:iCs/>
        </w:rPr>
        <w:t>nothing</w:t>
      </w:r>
      <w:r w:rsidR="00231941" w:rsidRPr="00EC4FA9">
        <w:rPr>
          <w:i/>
          <w:iCs/>
        </w:rPr>
        <w:t xml:space="preserve"> </w:t>
      </w:r>
      <w:r w:rsidR="008C124B" w:rsidRPr="00EC4FA9">
        <w:t xml:space="preserve">itself </w:t>
      </w:r>
      <w:r w:rsidR="00FC6279" w:rsidRPr="00EC4FA9">
        <w:t>should also be properly described in the reports</w:t>
      </w:r>
      <w:r w:rsidR="009D4AAB" w:rsidRPr="00EC4FA9">
        <w:t>.</w:t>
      </w:r>
      <w:r w:rsidRPr="00EC4FA9">
        <w:t xml:space="preserve"> </w:t>
      </w:r>
      <w:bookmarkEnd w:id="32"/>
    </w:p>
    <w:p w14:paraId="0516F955" w14:textId="1825C171" w:rsidR="009F209A" w:rsidRPr="009F209A" w:rsidRDefault="009F209A" w:rsidP="00CB5550">
      <w:pPr>
        <w:rPr>
          <w:b/>
          <w:bCs/>
        </w:rPr>
      </w:pPr>
      <w:r>
        <w:rPr>
          <w:b/>
          <w:bCs/>
        </w:rPr>
        <w:t>Theoretical contributions</w:t>
      </w:r>
    </w:p>
    <w:p w14:paraId="7843E8F7" w14:textId="1F1CDC42" w:rsidR="00612CC9" w:rsidRPr="00EC4FA9" w:rsidRDefault="003938E3" w:rsidP="00CB5550">
      <w:r w:rsidRPr="003938E3">
        <w:t xml:space="preserve">The </w:t>
      </w:r>
      <w:r w:rsidRPr="009F209A">
        <w:rPr>
          <w:i/>
          <w:iCs/>
        </w:rPr>
        <w:t>do</w:t>
      </w:r>
      <w:r w:rsidR="009F209A" w:rsidRPr="009F209A">
        <w:rPr>
          <w:i/>
          <w:iCs/>
        </w:rPr>
        <w:t>-</w:t>
      </w:r>
      <w:r w:rsidRPr="009F209A">
        <w:rPr>
          <w:i/>
          <w:iCs/>
        </w:rPr>
        <w:t>nothing</w:t>
      </w:r>
      <w:r w:rsidRPr="003938E3">
        <w:t xml:space="preserve"> or </w:t>
      </w:r>
      <w:r w:rsidRPr="009F209A">
        <w:rPr>
          <w:i/>
          <w:iCs/>
        </w:rPr>
        <w:t>do</w:t>
      </w:r>
      <w:r w:rsidR="009F209A" w:rsidRPr="009F209A">
        <w:rPr>
          <w:i/>
          <w:iCs/>
        </w:rPr>
        <w:t>-</w:t>
      </w:r>
      <w:r w:rsidRPr="009F209A">
        <w:rPr>
          <w:i/>
          <w:iCs/>
        </w:rPr>
        <w:t>minimum</w:t>
      </w:r>
      <w:r w:rsidRPr="003938E3">
        <w:t xml:space="preserve"> alternative has been subject to very little empirical research. To our knowledge, this is the only study that has looked at this issue through a large sample of project appraisals from different sectors. </w:t>
      </w:r>
      <w:r w:rsidR="002F5FF1">
        <w:t xml:space="preserve"> </w:t>
      </w:r>
    </w:p>
    <w:bookmarkEnd w:id="28"/>
    <w:p w14:paraId="57BD17A3" w14:textId="313A8C85" w:rsidR="00623E9D" w:rsidRDefault="005006D9" w:rsidP="00CB5550">
      <w:r>
        <w:t>T</w:t>
      </w:r>
      <w:r w:rsidR="002304B8">
        <w:t xml:space="preserve">his is </w:t>
      </w:r>
      <w:r w:rsidR="008C4435">
        <w:t xml:space="preserve">a </w:t>
      </w:r>
      <w:r w:rsidR="002B45D7">
        <w:t xml:space="preserve">research </w:t>
      </w:r>
      <w:r w:rsidR="008C4435">
        <w:t xml:space="preserve">topic </w:t>
      </w:r>
      <w:r w:rsidR="002304B8">
        <w:t xml:space="preserve">that needs to be explored further. </w:t>
      </w:r>
      <w:r w:rsidR="002B45D7">
        <w:t xml:space="preserve">Our </w:t>
      </w:r>
      <w:r w:rsidR="00F4138D">
        <w:t xml:space="preserve">paper has demonstrated that a large proportion of projects where an investment alternative has been selected are, effectively, in </w:t>
      </w:r>
      <w:r w:rsidR="00150B59">
        <w:t xml:space="preserve">limbo. In other words, the </w:t>
      </w:r>
      <w:r w:rsidR="00150B59" w:rsidRPr="0035171E">
        <w:rPr>
          <w:i/>
          <w:iCs/>
        </w:rPr>
        <w:t>do</w:t>
      </w:r>
      <w:r w:rsidR="0035171E" w:rsidRPr="0035171E">
        <w:rPr>
          <w:i/>
          <w:iCs/>
        </w:rPr>
        <w:t>-</w:t>
      </w:r>
      <w:r w:rsidR="00CC62AC" w:rsidRPr="0035171E">
        <w:rPr>
          <w:i/>
          <w:iCs/>
        </w:rPr>
        <w:t>nothing</w:t>
      </w:r>
      <w:r w:rsidR="00150B59">
        <w:t xml:space="preserve"> alternative </w:t>
      </w:r>
      <w:r w:rsidR="003B0ACB">
        <w:t xml:space="preserve">has become the actual outcome. This provides an opportunity </w:t>
      </w:r>
      <w:r w:rsidR="0035171E">
        <w:t xml:space="preserve">for researchers </w:t>
      </w:r>
      <w:r w:rsidR="003B0ACB">
        <w:t xml:space="preserve">to </w:t>
      </w:r>
      <w:r w:rsidR="00F4631A">
        <w:t xml:space="preserve">explore the realism in the estimation of the </w:t>
      </w:r>
      <w:r w:rsidR="00421D8D" w:rsidRPr="0035171E">
        <w:rPr>
          <w:i/>
          <w:iCs/>
        </w:rPr>
        <w:t>do-nothing</w:t>
      </w:r>
      <w:r w:rsidR="00421D8D">
        <w:t xml:space="preserve"> alternative</w:t>
      </w:r>
      <w:r w:rsidR="00D94734">
        <w:t xml:space="preserve"> and possibly </w:t>
      </w:r>
      <w:r w:rsidR="005F5DB7">
        <w:t>in specific sectors such as rail, roads</w:t>
      </w:r>
      <w:r w:rsidR="00627D65">
        <w:t>,</w:t>
      </w:r>
      <w:r w:rsidR="005F5DB7">
        <w:t xml:space="preserve"> etc.</w:t>
      </w:r>
      <w:r w:rsidR="00627D65">
        <w:t xml:space="preserve"> </w:t>
      </w:r>
    </w:p>
    <w:p w14:paraId="6255D587" w14:textId="140F0C34" w:rsidR="00623E9D" w:rsidRDefault="00623E9D" w:rsidP="00CB5550">
      <w:r>
        <w:t>Norway is a country w</w:t>
      </w:r>
      <w:r w:rsidR="0042715A">
        <w:t xml:space="preserve">hich promotes economic efficiency through a </w:t>
      </w:r>
      <w:r w:rsidR="003C605A">
        <w:t xml:space="preserve">stage-gate project model, mandatory to all large government projects, and that </w:t>
      </w:r>
      <w:r w:rsidR="00712F59">
        <w:t xml:space="preserve">requires economic appraisal of all project proposals. However, this economic rationality has not translated into improved selection efficiency. </w:t>
      </w:r>
      <w:r w:rsidR="007C0E64">
        <w:t xml:space="preserve">We would, therefore, welcome similar studies from other countries where the link between value for money and project selection is stronger. </w:t>
      </w:r>
    </w:p>
    <w:p w14:paraId="53DDE2D8" w14:textId="0683180E" w:rsidR="00CB5550" w:rsidRPr="003938E3" w:rsidRDefault="00627D65" w:rsidP="00770B9F">
      <w:r>
        <w:t xml:space="preserve">Finally, most of the projects </w:t>
      </w:r>
      <w:r w:rsidR="00221875">
        <w:t xml:space="preserve">included </w:t>
      </w:r>
      <w:r w:rsidR="00872FF5">
        <w:t xml:space="preserve">in this study were appraised during a period </w:t>
      </w:r>
      <w:r w:rsidR="00B134FA">
        <w:t xml:space="preserve">with plentiful access to public funding. </w:t>
      </w:r>
      <w:r w:rsidR="009B7A11">
        <w:t xml:space="preserve">The last few years have demonstrated that this is unlikely to be the case in the future. There is not just a need </w:t>
      </w:r>
      <w:r w:rsidR="00C81260">
        <w:t xml:space="preserve">to treat the </w:t>
      </w:r>
      <w:r w:rsidR="00C81260" w:rsidRPr="00DC24AA">
        <w:rPr>
          <w:i/>
          <w:iCs/>
        </w:rPr>
        <w:t>do</w:t>
      </w:r>
      <w:r w:rsidR="00DC24AA" w:rsidRPr="00DC24AA">
        <w:rPr>
          <w:i/>
          <w:iCs/>
        </w:rPr>
        <w:t>-</w:t>
      </w:r>
      <w:r w:rsidR="00C81260" w:rsidRPr="00DC24AA">
        <w:rPr>
          <w:i/>
          <w:iCs/>
        </w:rPr>
        <w:t>nothing</w:t>
      </w:r>
      <w:r w:rsidR="00C81260">
        <w:t xml:space="preserve"> alternative as a realistic option in appraisals but also a need to develop realistic and sustainable </w:t>
      </w:r>
      <w:r w:rsidR="00C81260" w:rsidRPr="00DC24AA">
        <w:rPr>
          <w:i/>
          <w:iCs/>
        </w:rPr>
        <w:t>do</w:t>
      </w:r>
      <w:r w:rsidR="00DC24AA" w:rsidRPr="00DC24AA">
        <w:rPr>
          <w:i/>
          <w:iCs/>
        </w:rPr>
        <w:t>-</w:t>
      </w:r>
      <w:r w:rsidR="00C81260" w:rsidRPr="00DC24AA">
        <w:rPr>
          <w:i/>
          <w:iCs/>
        </w:rPr>
        <w:t>minimum</w:t>
      </w:r>
      <w:r w:rsidR="00C81260">
        <w:t xml:space="preserve"> alternatives. How to do this</w:t>
      </w:r>
      <w:r w:rsidR="003C3D33">
        <w:t xml:space="preserve"> is an issue that should be explored further.</w:t>
      </w:r>
    </w:p>
    <w:p w14:paraId="65CC32F4" w14:textId="61C9B2F5" w:rsidR="00C82392" w:rsidRPr="009F209A" w:rsidRDefault="00312607" w:rsidP="000D5899">
      <w:pPr>
        <w:pStyle w:val="Heading2"/>
        <w:numPr>
          <w:ilvl w:val="0"/>
          <w:numId w:val="0"/>
        </w:numPr>
        <w:rPr>
          <w:lang w:val="es-ES"/>
        </w:rPr>
      </w:pPr>
      <w:r w:rsidRPr="009F209A">
        <w:rPr>
          <w:lang w:val="es-ES"/>
        </w:rPr>
        <w:t>References</w:t>
      </w:r>
    </w:p>
    <w:bookmarkEnd w:id="29"/>
    <w:p w14:paraId="328F49A6" w14:textId="2C341B49" w:rsidR="002D08E7" w:rsidRPr="00EC4FA9" w:rsidRDefault="002D08E7" w:rsidP="0070118E">
      <w:r w:rsidRPr="009F209A">
        <w:rPr>
          <w:lang w:val="es-ES"/>
        </w:rPr>
        <w:t xml:space="preserve">Ahola, T., Ruuska, I., Artto, K. and Kujala, J. (2013). </w:t>
      </w:r>
      <w:r w:rsidRPr="00EC4FA9">
        <w:t xml:space="preserve">What is project governance and what are its origins? </w:t>
      </w:r>
      <w:r w:rsidRPr="00EC4FA9">
        <w:rPr>
          <w:i/>
          <w:iCs/>
        </w:rPr>
        <w:t>International Journal of Project Management</w:t>
      </w:r>
      <w:r w:rsidR="0080534B" w:rsidRPr="005258C0">
        <w:t>,</w:t>
      </w:r>
      <w:r w:rsidRPr="0080534B">
        <w:t xml:space="preserve"> </w:t>
      </w:r>
      <w:r w:rsidRPr="00EC4FA9">
        <w:t>32(8), 1321–1332.</w:t>
      </w:r>
    </w:p>
    <w:p w14:paraId="1166B0F5" w14:textId="4CBF819B" w:rsidR="00F844BC" w:rsidRPr="00EC4FA9" w:rsidRDefault="00F844BC" w:rsidP="0070118E">
      <w:r w:rsidRPr="00EC4FA9">
        <w:t>Andersen, B., Samset, K. and Welde, M.</w:t>
      </w:r>
      <w:r w:rsidR="00755B63" w:rsidRPr="00EC4FA9">
        <w:t xml:space="preserve"> (</w:t>
      </w:r>
      <w:r w:rsidRPr="00EC4FA9">
        <w:t>2015</w:t>
      </w:r>
      <w:r w:rsidR="00755B63" w:rsidRPr="00EC4FA9">
        <w:t>)</w:t>
      </w:r>
      <w:r w:rsidRPr="00EC4FA9">
        <w:t xml:space="preserve">. </w:t>
      </w:r>
      <w:r w:rsidR="0070118E" w:rsidRPr="00EC4FA9">
        <w:t xml:space="preserve">Low estimates – high stakes: </w:t>
      </w:r>
      <w:r w:rsidR="002742F0" w:rsidRPr="00EC4FA9">
        <w:t>U</w:t>
      </w:r>
      <w:r w:rsidR="0070118E" w:rsidRPr="00EC4FA9">
        <w:t xml:space="preserve">nderestimation of costs at the front-end of projects. </w:t>
      </w:r>
      <w:r w:rsidR="0070118E" w:rsidRPr="00EC4FA9">
        <w:rPr>
          <w:i/>
          <w:iCs/>
        </w:rPr>
        <w:t>International Journal of Managing Projects in Business</w:t>
      </w:r>
      <w:r w:rsidR="0070118E" w:rsidRPr="00EC4FA9">
        <w:t xml:space="preserve">, 9, </w:t>
      </w:r>
      <w:r w:rsidR="00092647" w:rsidRPr="00EC4FA9">
        <w:t>171</w:t>
      </w:r>
      <w:r w:rsidR="002742F0" w:rsidRPr="00EC4FA9">
        <w:t>–</w:t>
      </w:r>
      <w:r w:rsidR="00092647" w:rsidRPr="00EC4FA9">
        <w:t>193.</w:t>
      </w:r>
    </w:p>
    <w:p w14:paraId="7E03A287" w14:textId="2D06E642" w:rsidR="007578FA" w:rsidRDefault="007578FA" w:rsidP="006F5C84">
      <w:r w:rsidRPr="00770B9F">
        <w:rPr>
          <w:lang w:val="en-US"/>
        </w:rPr>
        <w:t xml:space="preserve">Baumeister, R. F. and Vohs, K. D. (2007). </w:t>
      </w:r>
      <w:r w:rsidRPr="007578FA">
        <w:t xml:space="preserve">Decision Making. </w:t>
      </w:r>
      <w:r w:rsidRPr="003F1D65">
        <w:rPr>
          <w:i/>
        </w:rPr>
        <w:t>In: Encyclopedia of Social Psychology</w:t>
      </w:r>
      <w:r w:rsidRPr="007578FA">
        <w:t>.</w:t>
      </w:r>
      <w:r>
        <w:t xml:space="preserve"> </w:t>
      </w:r>
      <w:r w:rsidRPr="007578FA">
        <w:t>Thousand Oaks, CA: SAGE Publications, 225-228</w:t>
      </w:r>
      <w:r w:rsidR="006D024E">
        <w:t>.</w:t>
      </w:r>
    </w:p>
    <w:p w14:paraId="265FB87E" w14:textId="53282EC8" w:rsidR="002D08E7" w:rsidRPr="00EC4FA9" w:rsidRDefault="002D08E7" w:rsidP="006F5C84">
      <w:r w:rsidRPr="00EC4FA9">
        <w:t>Boardman, A., Greenberg, D., Vining, A.</w:t>
      </w:r>
      <w:r w:rsidR="00807EC4">
        <w:t xml:space="preserve"> and</w:t>
      </w:r>
      <w:r w:rsidRPr="00EC4FA9">
        <w:t xml:space="preserve"> Weimer, D. (201</w:t>
      </w:r>
      <w:r w:rsidR="00807EC4">
        <w:t>8</w:t>
      </w:r>
      <w:r w:rsidRPr="00EC4FA9">
        <w:t xml:space="preserve">). </w:t>
      </w:r>
      <w:r w:rsidRPr="00EC4FA9">
        <w:rPr>
          <w:i/>
          <w:iCs/>
        </w:rPr>
        <w:t>Cost-benefit Analysis</w:t>
      </w:r>
      <w:r w:rsidR="00B34CAA">
        <w:t xml:space="preserve"> (</w:t>
      </w:r>
      <w:r w:rsidR="00807EC4">
        <w:t>5</w:t>
      </w:r>
      <w:r w:rsidR="00B34CAA" w:rsidRPr="00B34CAA">
        <w:rPr>
          <w:vertAlign w:val="superscript"/>
        </w:rPr>
        <w:t>th</w:t>
      </w:r>
      <w:r w:rsidR="00B34CAA">
        <w:t xml:space="preserve"> ed.).</w:t>
      </w:r>
      <w:r w:rsidRPr="00EC4FA9">
        <w:t xml:space="preserve"> </w:t>
      </w:r>
      <w:r w:rsidR="001C3273">
        <w:t>Cambridge: Cambridge University Press</w:t>
      </w:r>
      <w:r w:rsidRPr="00EC4FA9">
        <w:t xml:space="preserve">. </w:t>
      </w:r>
    </w:p>
    <w:p w14:paraId="1E6247D2" w14:textId="248DFBC7" w:rsidR="00ED2990" w:rsidRDefault="00ED2990" w:rsidP="006F5C84">
      <w:r w:rsidRPr="00ED2990">
        <w:lastRenderedPageBreak/>
        <w:t xml:space="preserve">Bryman, A. </w:t>
      </w:r>
      <w:r w:rsidR="006D024E">
        <w:t>(</w:t>
      </w:r>
      <w:r w:rsidRPr="00ED2990">
        <w:t>2016</w:t>
      </w:r>
      <w:r w:rsidR="006D024E">
        <w:t>)</w:t>
      </w:r>
      <w:r w:rsidRPr="00ED2990">
        <w:t xml:space="preserve">. </w:t>
      </w:r>
      <w:r w:rsidRPr="00770B9F">
        <w:rPr>
          <w:i/>
          <w:iCs/>
        </w:rPr>
        <w:t>Social Research Methods</w:t>
      </w:r>
      <w:r w:rsidRPr="00ED2990">
        <w:t>. Oxford: Oxford University Press.</w:t>
      </w:r>
    </w:p>
    <w:p w14:paraId="51A8741D" w14:textId="052959AF" w:rsidR="00B11F21" w:rsidRPr="00EC4FA9" w:rsidRDefault="00B11F21" w:rsidP="006F5C84">
      <w:r w:rsidRPr="00EC4FA9">
        <w:t>Burress, D. and Oslund, P.</w:t>
      </w:r>
      <w:r w:rsidR="00980389" w:rsidRPr="00EC4FA9">
        <w:t xml:space="preserve"> (</w:t>
      </w:r>
      <w:r w:rsidRPr="00EC4FA9">
        <w:t>2004</w:t>
      </w:r>
      <w:r w:rsidR="00980389" w:rsidRPr="00EC4FA9">
        <w:t>)</w:t>
      </w:r>
      <w:r w:rsidRPr="00EC4FA9">
        <w:t xml:space="preserve">. Benefit-cost analysis of state highway program as a whole: </w:t>
      </w:r>
      <w:r w:rsidR="002742F0" w:rsidRPr="00EC4FA9">
        <w:t>C</w:t>
      </w:r>
      <w:r w:rsidRPr="00EC4FA9">
        <w:t xml:space="preserve">onceptualizing the null alternative. </w:t>
      </w:r>
      <w:r w:rsidRPr="00EC4FA9">
        <w:rPr>
          <w:i/>
        </w:rPr>
        <w:t>Transportation Research Record</w:t>
      </w:r>
      <w:r w:rsidRPr="00EC4FA9">
        <w:t>, 1864, 86</w:t>
      </w:r>
      <w:r w:rsidR="002742F0" w:rsidRPr="00EC4FA9">
        <w:t>–</w:t>
      </w:r>
      <w:r w:rsidRPr="00EC4FA9">
        <w:t>93.</w:t>
      </w:r>
    </w:p>
    <w:p w14:paraId="5336207A" w14:textId="0EF4AB9C" w:rsidR="003C3777" w:rsidRPr="00EC4FA9" w:rsidRDefault="003C3777" w:rsidP="006F5C84">
      <w:r w:rsidRPr="00EC4FA9">
        <w:t>Cantarelli, C.C., Flyvbjerg, B., van Wee, B. and Molin, E.J.</w:t>
      </w:r>
      <w:r w:rsidR="00980389" w:rsidRPr="00EC4FA9">
        <w:t xml:space="preserve"> (</w:t>
      </w:r>
      <w:r w:rsidRPr="00EC4FA9">
        <w:t>2010</w:t>
      </w:r>
      <w:r w:rsidR="00980389" w:rsidRPr="00EC4FA9">
        <w:t>)</w:t>
      </w:r>
      <w:r w:rsidRPr="00EC4FA9">
        <w:t xml:space="preserve">. Lock-in and its influence on the project performance of large-scale transportation infrastructure projects: </w:t>
      </w:r>
      <w:r w:rsidR="002742F0" w:rsidRPr="00EC4FA9">
        <w:t>I</w:t>
      </w:r>
      <w:r w:rsidRPr="00EC4FA9">
        <w:t xml:space="preserve">nvestigating the way in which lock-in can emerge and affect cost overruns. </w:t>
      </w:r>
      <w:r w:rsidRPr="00EC4FA9">
        <w:rPr>
          <w:i/>
        </w:rPr>
        <w:t>Environment and Planning B: Planning and Design</w:t>
      </w:r>
      <w:r w:rsidRPr="00EC4FA9">
        <w:t>, 37, 792</w:t>
      </w:r>
      <w:r w:rsidR="007C6A41">
        <w:t>–</w:t>
      </w:r>
      <w:r w:rsidRPr="00EC4FA9">
        <w:t>807.</w:t>
      </w:r>
    </w:p>
    <w:p w14:paraId="41487557" w14:textId="1875B7BC" w:rsidR="00DD1511" w:rsidRPr="00EC4FA9" w:rsidRDefault="00DD1511" w:rsidP="00DD1511">
      <w:r w:rsidRPr="00EC4FA9">
        <w:t xml:space="preserve">Creswell, J. W. (2009). </w:t>
      </w:r>
      <w:r w:rsidRPr="00EC4FA9">
        <w:rPr>
          <w:i/>
          <w:iCs/>
        </w:rPr>
        <w:t xml:space="preserve">Research </w:t>
      </w:r>
      <w:r w:rsidR="007C6A41">
        <w:rPr>
          <w:i/>
          <w:iCs/>
        </w:rPr>
        <w:t>D</w:t>
      </w:r>
      <w:r w:rsidRPr="00EC4FA9">
        <w:rPr>
          <w:i/>
          <w:iCs/>
        </w:rPr>
        <w:t xml:space="preserve">esign: Qualitative, </w:t>
      </w:r>
      <w:r w:rsidR="007C6A41">
        <w:rPr>
          <w:i/>
          <w:iCs/>
        </w:rPr>
        <w:t>Q</w:t>
      </w:r>
      <w:r w:rsidRPr="00EC4FA9">
        <w:rPr>
          <w:i/>
          <w:iCs/>
        </w:rPr>
        <w:t xml:space="preserve">uantitative, and </w:t>
      </w:r>
      <w:r w:rsidR="007C6A41">
        <w:rPr>
          <w:i/>
          <w:iCs/>
        </w:rPr>
        <w:t>M</w:t>
      </w:r>
      <w:r w:rsidRPr="00EC4FA9">
        <w:rPr>
          <w:i/>
          <w:iCs/>
        </w:rPr>
        <w:t xml:space="preserve">ixed </w:t>
      </w:r>
      <w:r w:rsidR="007C6A41">
        <w:rPr>
          <w:i/>
          <w:iCs/>
        </w:rPr>
        <w:t>M</w:t>
      </w:r>
      <w:r w:rsidRPr="00EC4FA9">
        <w:rPr>
          <w:i/>
          <w:iCs/>
        </w:rPr>
        <w:t xml:space="preserve">ethods </w:t>
      </w:r>
      <w:r w:rsidR="007C6A41">
        <w:rPr>
          <w:i/>
          <w:iCs/>
        </w:rPr>
        <w:t>A</w:t>
      </w:r>
      <w:r w:rsidRPr="00EC4FA9">
        <w:rPr>
          <w:i/>
          <w:iCs/>
        </w:rPr>
        <w:t>pproaches</w:t>
      </w:r>
      <w:r w:rsidR="00386255">
        <w:t>.</w:t>
      </w:r>
      <w:r w:rsidR="007C6A41">
        <w:t xml:space="preserve"> </w:t>
      </w:r>
      <w:r w:rsidRPr="00EC4FA9">
        <w:t>S</w:t>
      </w:r>
      <w:r w:rsidR="007C6A41">
        <w:t>AGE</w:t>
      </w:r>
      <w:r w:rsidRPr="00EC4FA9">
        <w:t>.</w:t>
      </w:r>
    </w:p>
    <w:p w14:paraId="3A8A5947" w14:textId="3747B158" w:rsidR="00B755DF" w:rsidRPr="00EC4FA9" w:rsidRDefault="00B755DF" w:rsidP="00FE08A3">
      <w:r>
        <w:t xml:space="preserve">Drummond, H. (2014). Escalation of commitment: when to stay the course? </w:t>
      </w:r>
      <w:r w:rsidRPr="00DE064A">
        <w:rPr>
          <w:i/>
          <w:iCs/>
        </w:rPr>
        <w:t>Academy of Management Perspectives</w:t>
      </w:r>
      <w:r w:rsidR="004C44B1">
        <w:t>,</w:t>
      </w:r>
      <w:r>
        <w:t xml:space="preserve"> 28(4)</w:t>
      </w:r>
      <w:r w:rsidR="004C44B1">
        <w:t xml:space="preserve">, </w:t>
      </w:r>
      <w:r>
        <w:t>430–446.</w:t>
      </w:r>
    </w:p>
    <w:p w14:paraId="1F1A33DB" w14:textId="762D4458" w:rsidR="00B11E84" w:rsidRPr="00EC4FA9" w:rsidRDefault="00B11E84" w:rsidP="006F5C84">
      <w:r w:rsidRPr="00EC4FA9">
        <w:t>Eliasson, J., Börjesson, M., Odeck, J. and Welde, M.</w:t>
      </w:r>
      <w:r w:rsidR="00980389" w:rsidRPr="00EC4FA9">
        <w:t xml:space="preserve"> (</w:t>
      </w:r>
      <w:r w:rsidRPr="00EC4FA9">
        <w:t>2015</w:t>
      </w:r>
      <w:r w:rsidR="00980389" w:rsidRPr="00EC4FA9">
        <w:t>)</w:t>
      </w:r>
      <w:r w:rsidRPr="00EC4FA9">
        <w:t xml:space="preserve">. Does benefit-cost efficiency influence transport investment decisions? </w:t>
      </w:r>
      <w:r w:rsidRPr="00EC4FA9">
        <w:rPr>
          <w:i/>
          <w:iCs/>
        </w:rPr>
        <w:t>Journal of Transport Economics and Policy</w:t>
      </w:r>
      <w:r w:rsidRPr="00EC4FA9">
        <w:t>, 49, 377–396.</w:t>
      </w:r>
    </w:p>
    <w:p w14:paraId="08DF87AD" w14:textId="62BEDC1F" w:rsidR="00DD1511" w:rsidRPr="00EC4FA9" w:rsidRDefault="00DD1511" w:rsidP="006F5C84">
      <w:r w:rsidRPr="00EC4FA9">
        <w:t>Ellram, L.M., Tate, W.L. and Choi, T.Y. (2020)</w:t>
      </w:r>
      <w:r w:rsidR="007C6A41">
        <w:t>.</w:t>
      </w:r>
      <w:r w:rsidRPr="00EC4FA9">
        <w:t xml:space="preserve"> The conflicted role of purchasing in new product development costing</w:t>
      </w:r>
      <w:r w:rsidR="00386255">
        <w:t>.</w:t>
      </w:r>
      <w:r w:rsidRPr="00EC4FA9">
        <w:t xml:space="preserve"> </w:t>
      </w:r>
      <w:r w:rsidRPr="00EC4FA9">
        <w:rPr>
          <w:i/>
          <w:iCs/>
        </w:rPr>
        <w:t>Journal of Supply Chain Management</w:t>
      </w:r>
      <w:r w:rsidRPr="00EC4FA9">
        <w:t xml:space="preserve">, </w:t>
      </w:r>
      <w:r w:rsidR="005A052C" w:rsidRPr="00EC4FA9">
        <w:t>56(1),</w:t>
      </w:r>
      <w:r w:rsidRPr="00EC4FA9">
        <w:t xml:space="preserve"> 3</w:t>
      </w:r>
      <w:r w:rsidR="00F23857">
        <w:t>–</w:t>
      </w:r>
      <w:r w:rsidRPr="00EC4FA9">
        <w:t>32</w:t>
      </w:r>
      <w:r w:rsidR="00F23857">
        <w:t>.</w:t>
      </w:r>
      <w:r w:rsidR="005A052C" w:rsidRPr="00EC4FA9">
        <w:t xml:space="preserve"> </w:t>
      </w:r>
    </w:p>
    <w:p w14:paraId="7E1FFABB" w14:textId="31DEB5EB" w:rsidR="006F5C84" w:rsidRDefault="006F5C84" w:rsidP="006F5C84">
      <w:r w:rsidRPr="00EC4FA9">
        <w:t>European Commission</w:t>
      </w:r>
      <w:r w:rsidR="00980389" w:rsidRPr="00EC4FA9">
        <w:t xml:space="preserve"> (</w:t>
      </w:r>
      <w:r w:rsidRPr="00EC4FA9">
        <w:t>2014</w:t>
      </w:r>
      <w:r w:rsidR="00980389" w:rsidRPr="00EC4FA9">
        <w:t>)</w:t>
      </w:r>
      <w:r w:rsidRPr="00EC4FA9">
        <w:t xml:space="preserve">. </w:t>
      </w:r>
      <w:r w:rsidRPr="00EC4FA9">
        <w:rPr>
          <w:i/>
        </w:rPr>
        <w:t>Guide to Cost-Benefit Analysis of Investment Projects</w:t>
      </w:r>
      <w:r w:rsidR="002742F0" w:rsidRPr="00EC4FA9">
        <w:rPr>
          <w:i/>
        </w:rPr>
        <w:t>:</w:t>
      </w:r>
      <w:r w:rsidRPr="00EC4FA9">
        <w:rPr>
          <w:i/>
        </w:rPr>
        <w:t xml:space="preserve"> Economic </w:t>
      </w:r>
      <w:r w:rsidR="002742F0" w:rsidRPr="00EC4FA9">
        <w:rPr>
          <w:i/>
        </w:rPr>
        <w:t>A</w:t>
      </w:r>
      <w:r w:rsidRPr="00EC4FA9">
        <w:rPr>
          <w:i/>
        </w:rPr>
        <w:t xml:space="preserve">ppraisal </w:t>
      </w:r>
      <w:r w:rsidR="002742F0" w:rsidRPr="00EC4FA9">
        <w:rPr>
          <w:i/>
        </w:rPr>
        <w:t>T</w:t>
      </w:r>
      <w:r w:rsidRPr="00EC4FA9">
        <w:rPr>
          <w:i/>
        </w:rPr>
        <w:t>ool for Cohesion Policy 2014</w:t>
      </w:r>
      <w:r w:rsidR="005D7952" w:rsidRPr="00EC4FA9">
        <w:rPr>
          <w:i/>
        </w:rPr>
        <w:t>–</w:t>
      </w:r>
      <w:r w:rsidRPr="00EC4FA9">
        <w:rPr>
          <w:i/>
        </w:rPr>
        <w:t>2020</w:t>
      </w:r>
      <w:r w:rsidRPr="00EC4FA9">
        <w:t>. Br</w:t>
      </w:r>
      <w:r w:rsidR="002742F0" w:rsidRPr="00EC4FA9">
        <w:t>u</w:t>
      </w:r>
      <w:r w:rsidRPr="00EC4FA9">
        <w:t>ssel</w:t>
      </w:r>
      <w:r w:rsidR="002742F0" w:rsidRPr="00EC4FA9">
        <w:t>s</w:t>
      </w:r>
      <w:r w:rsidRPr="00EC4FA9">
        <w:t>: European Commission.</w:t>
      </w:r>
    </w:p>
    <w:p w14:paraId="545AAD2C" w14:textId="5E75B4DD" w:rsidR="00DB6C45" w:rsidRPr="006C4B65" w:rsidRDefault="00DB6C45" w:rsidP="006F5C84">
      <w:pPr>
        <w:rPr>
          <w:lang w:val="nb-NO"/>
        </w:rPr>
      </w:pPr>
      <w:r w:rsidRPr="00DB6C45">
        <w:t xml:space="preserve">Fereday, J., </w:t>
      </w:r>
      <w:r w:rsidR="003F1D65">
        <w:t>and</w:t>
      </w:r>
      <w:r w:rsidRPr="00DB6C45">
        <w:t xml:space="preserve"> Muir-Cochrane, E. (2006). Demonstrating rigor using thematic analysis: A hybrid approach of inductive and deductive coding and theme development. </w:t>
      </w:r>
      <w:r w:rsidRPr="006C4B65">
        <w:rPr>
          <w:i/>
          <w:lang w:val="nb-NO"/>
        </w:rPr>
        <w:t>International journal of qualitative methods</w:t>
      </w:r>
      <w:r w:rsidRPr="006C4B65">
        <w:rPr>
          <w:lang w:val="nb-NO"/>
        </w:rPr>
        <w:t>, </w:t>
      </w:r>
      <w:r w:rsidRPr="006C4B65">
        <w:rPr>
          <w:i/>
          <w:lang w:val="nb-NO"/>
        </w:rPr>
        <w:t>5</w:t>
      </w:r>
      <w:r w:rsidRPr="006C4B65">
        <w:rPr>
          <w:lang w:val="nb-NO"/>
        </w:rPr>
        <w:t>(1), 80-92.</w:t>
      </w:r>
    </w:p>
    <w:p w14:paraId="71C647F7" w14:textId="231D547D" w:rsidR="003C311B" w:rsidRPr="00EC4FA9" w:rsidRDefault="003C311B" w:rsidP="0090651F">
      <w:r w:rsidRPr="006C4B65">
        <w:rPr>
          <w:lang w:val="nb-NO"/>
        </w:rPr>
        <w:t>Finansdepartementet</w:t>
      </w:r>
      <w:r w:rsidR="00980389" w:rsidRPr="006C4B65">
        <w:rPr>
          <w:lang w:val="nb-NO"/>
        </w:rPr>
        <w:t xml:space="preserve"> (</w:t>
      </w:r>
      <w:r w:rsidRPr="006C4B65">
        <w:rPr>
          <w:lang w:val="nb-NO"/>
        </w:rPr>
        <w:t>20</w:t>
      </w:r>
      <w:r w:rsidR="00980389" w:rsidRPr="006C4B65">
        <w:rPr>
          <w:lang w:val="nb-NO"/>
        </w:rPr>
        <w:t>23)</w:t>
      </w:r>
      <w:r w:rsidRPr="006C4B65">
        <w:rPr>
          <w:lang w:val="nb-NO"/>
        </w:rPr>
        <w:t xml:space="preserve">. </w:t>
      </w:r>
      <w:r w:rsidRPr="006C4B65">
        <w:rPr>
          <w:i/>
          <w:lang w:val="nb-NO"/>
        </w:rPr>
        <w:t>Statens prosjektmodell</w:t>
      </w:r>
      <w:r w:rsidR="000F148F" w:rsidRPr="006C4B65">
        <w:rPr>
          <w:lang w:val="nb-NO"/>
        </w:rPr>
        <w:t xml:space="preserve">, rundskriv </w:t>
      </w:r>
      <w:r w:rsidR="00980389" w:rsidRPr="006C4B65">
        <w:rPr>
          <w:lang w:val="nb-NO"/>
        </w:rPr>
        <w:t>R</w:t>
      </w:r>
      <w:r w:rsidR="000F148F" w:rsidRPr="006C4B65">
        <w:rPr>
          <w:lang w:val="nb-NO"/>
        </w:rPr>
        <w:t>108-</w:t>
      </w:r>
      <w:r w:rsidR="00980389" w:rsidRPr="006C4B65">
        <w:rPr>
          <w:lang w:val="nb-NO"/>
        </w:rPr>
        <w:t>23</w:t>
      </w:r>
      <w:r w:rsidR="00EE00A1" w:rsidRPr="006C4B65">
        <w:rPr>
          <w:lang w:val="nb-NO"/>
        </w:rPr>
        <w:t>.</w:t>
      </w:r>
      <w:r w:rsidR="00B75793" w:rsidRPr="006C4B65">
        <w:rPr>
          <w:lang w:val="nb-NO"/>
        </w:rPr>
        <w:t xml:space="preserve"> </w:t>
      </w:r>
      <w:hyperlink r:id="rId16" w:history="1">
        <w:r w:rsidR="00B75793" w:rsidRPr="00627301">
          <w:rPr>
            <w:rStyle w:val="Hyperlink"/>
          </w:rPr>
          <w:t>https://www.regjeringen.no/globalassets/upload/fin/vedlegg/okstyring/rundskriv/faste/r_108_2023.pdf</w:t>
        </w:r>
      </w:hyperlink>
      <w:r w:rsidR="00B75793">
        <w:t xml:space="preserve"> (accessed 10 November 2023).</w:t>
      </w:r>
    </w:p>
    <w:p w14:paraId="71F8FC6C" w14:textId="54145C89" w:rsidR="0090651F" w:rsidRPr="00EC4FA9" w:rsidRDefault="0090651F" w:rsidP="0090651F">
      <w:r w:rsidRPr="006C4B65">
        <w:rPr>
          <w:lang w:val="nb-NO"/>
        </w:rPr>
        <w:t>Finansministeriet</w:t>
      </w:r>
      <w:r w:rsidR="00980389" w:rsidRPr="006C4B65">
        <w:rPr>
          <w:lang w:val="nb-NO"/>
        </w:rPr>
        <w:t xml:space="preserve"> (</w:t>
      </w:r>
      <w:r w:rsidRPr="006C4B65">
        <w:rPr>
          <w:lang w:val="nb-NO"/>
        </w:rPr>
        <w:t>2017</w:t>
      </w:r>
      <w:r w:rsidR="00980389" w:rsidRPr="006C4B65">
        <w:rPr>
          <w:lang w:val="nb-NO"/>
        </w:rPr>
        <w:t>)</w:t>
      </w:r>
      <w:r w:rsidRPr="006C4B65">
        <w:rPr>
          <w:lang w:val="nb-NO"/>
        </w:rPr>
        <w:t xml:space="preserve">. </w:t>
      </w:r>
      <w:r w:rsidRPr="006C4B65">
        <w:rPr>
          <w:i/>
          <w:lang w:val="nb-NO"/>
        </w:rPr>
        <w:t>Vejledning i samfundsøkonomiske konsekvensvurderinger</w:t>
      </w:r>
      <w:r w:rsidRPr="006C4B65">
        <w:rPr>
          <w:lang w:val="nb-NO"/>
        </w:rPr>
        <w:t xml:space="preserve">. </w:t>
      </w:r>
      <w:r w:rsidR="00A26DEC" w:rsidRPr="00EC4FA9">
        <w:t>Copenhagen</w:t>
      </w:r>
      <w:r w:rsidR="00B75793">
        <w:t xml:space="preserve">. </w:t>
      </w:r>
      <w:r w:rsidR="00B75793" w:rsidRPr="00B75793">
        <w:t>https://fm.dk/udgivelser/2017/august/vejledning-i-samfundsoekonomiske-konsekvensvurderinger/</w:t>
      </w:r>
      <w:r w:rsidR="005A052C" w:rsidRPr="00EC4FA9">
        <w:t xml:space="preserve"> </w:t>
      </w:r>
      <w:r w:rsidR="00B75793">
        <w:t>(accessed 10 November 2023).</w:t>
      </w:r>
    </w:p>
    <w:p w14:paraId="6D348054" w14:textId="07284EDD" w:rsidR="002D08E7" w:rsidRPr="00EC4FA9" w:rsidRDefault="002D08E7" w:rsidP="002D08E7">
      <w:pPr>
        <w:rPr>
          <w:rFonts w:cstheme="minorHAnsi"/>
        </w:rPr>
      </w:pPr>
      <w:r w:rsidRPr="00EC4FA9">
        <w:rPr>
          <w:rFonts w:cstheme="minorHAnsi"/>
        </w:rPr>
        <w:t xml:space="preserve">Flyvbjerg, B. (2006). Five misunderstandings about case-study research. </w:t>
      </w:r>
      <w:r w:rsidRPr="00EC4FA9">
        <w:rPr>
          <w:rFonts w:cstheme="minorHAnsi"/>
          <w:i/>
          <w:iCs/>
        </w:rPr>
        <w:t>Qualitative Inquiry</w:t>
      </w:r>
      <w:r w:rsidRPr="00EC4FA9">
        <w:rPr>
          <w:rFonts w:cstheme="minorHAnsi"/>
        </w:rPr>
        <w:t xml:space="preserve"> 12(2), 219–245.</w:t>
      </w:r>
    </w:p>
    <w:p w14:paraId="122C0CAE" w14:textId="6D9B5FCB" w:rsidR="002D08E7" w:rsidRPr="00EC4FA9" w:rsidRDefault="002D08E7" w:rsidP="002D08E7">
      <w:pPr>
        <w:rPr>
          <w:rFonts w:cstheme="minorHAnsi"/>
        </w:rPr>
      </w:pPr>
      <w:r w:rsidRPr="00EC4FA9">
        <w:rPr>
          <w:rFonts w:cstheme="minorHAnsi"/>
        </w:rPr>
        <w:t xml:space="preserve">Flyvbjerg, B. (2009). Survival of the unfittest: Why the worst infrastructure gets built—and what we can do about it. </w:t>
      </w:r>
      <w:r w:rsidRPr="00EC4FA9">
        <w:rPr>
          <w:rFonts w:cstheme="minorHAnsi"/>
          <w:i/>
          <w:iCs/>
        </w:rPr>
        <w:t>Oxford Review of Economic Policy</w:t>
      </w:r>
      <w:r w:rsidRPr="00EC4FA9">
        <w:rPr>
          <w:rFonts w:cstheme="minorHAnsi"/>
        </w:rPr>
        <w:t xml:space="preserve"> 25(3), 344–367.</w:t>
      </w:r>
    </w:p>
    <w:p w14:paraId="688EA68C" w14:textId="6D156EB3" w:rsidR="005A052C" w:rsidRDefault="002D08E7" w:rsidP="0090651F">
      <w:pPr>
        <w:rPr>
          <w:rFonts w:cstheme="minorHAnsi"/>
        </w:rPr>
      </w:pPr>
      <w:r w:rsidRPr="00EC4FA9">
        <w:rPr>
          <w:rFonts w:cstheme="minorHAnsi"/>
        </w:rPr>
        <w:t>Flyvbjerg, B., Bruzelius, N.</w:t>
      </w:r>
      <w:r w:rsidR="007C6A41">
        <w:rPr>
          <w:rFonts w:cstheme="minorHAnsi"/>
        </w:rPr>
        <w:t xml:space="preserve"> and</w:t>
      </w:r>
      <w:r w:rsidRPr="00EC4FA9">
        <w:rPr>
          <w:rFonts w:cstheme="minorHAnsi"/>
        </w:rPr>
        <w:t xml:space="preserve"> Rothengatter, W. (2003). </w:t>
      </w:r>
      <w:r w:rsidRPr="00EC4FA9">
        <w:rPr>
          <w:rFonts w:cstheme="minorHAnsi"/>
          <w:i/>
          <w:iCs/>
        </w:rPr>
        <w:t xml:space="preserve">Megaprojects and </w:t>
      </w:r>
      <w:r w:rsidRPr="00F23857">
        <w:rPr>
          <w:rFonts w:cstheme="minorHAnsi"/>
          <w:i/>
          <w:iCs/>
        </w:rPr>
        <w:t>R</w:t>
      </w:r>
      <w:r w:rsidRPr="00EC4FA9">
        <w:rPr>
          <w:rFonts w:cstheme="minorHAnsi"/>
          <w:i/>
          <w:iCs/>
        </w:rPr>
        <w:t>isk: An Anatomy of Ambition</w:t>
      </w:r>
      <w:r w:rsidRPr="00EC4FA9">
        <w:rPr>
          <w:rFonts w:cstheme="minorHAnsi"/>
        </w:rPr>
        <w:t xml:space="preserve">. </w:t>
      </w:r>
      <w:r w:rsidR="00831589">
        <w:rPr>
          <w:rFonts w:cstheme="minorHAnsi"/>
        </w:rPr>
        <w:t xml:space="preserve">Cambridge, UK: </w:t>
      </w:r>
      <w:r w:rsidRPr="00EC4FA9">
        <w:rPr>
          <w:rFonts w:cstheme="minorHAnsi"/>
        </w:rPr>
        <w:t>Cambridge University Press.</w:t>
      </w:r>
    </w:p>
    <w:p w14:paraId="7A751BC6" w14:textId="249ED9CC" w:rsidR="00BC137F" w:rsidRDefault="00BC137F" w:rsidP="0090651F">
      <w:pPr>
        <w:rPr>
          <w:rFonts w:cstheme="minorHAnsi"/>
        </w:rPr>
      </w:pPr>
      <w:r w:rsidRPr="00BC137F">
        <w:rPr>
          <w:rFonts w:cstheme="minorHAnsi"/>
        </w:rPr>
        <w:t xml:space="preserve">Flyvbjerg, B., </w:t>
      </w:r>
      <w:r>
        <w:rPr>
          <w:rFonts w:cstheme="minorHAnsi"/>
        </w:rPr>
        <w:t>(</w:t>
      </w:r>
      <w:r w:rsidRPr="00BC137F">
        <w:rPr>
          <w:rFonts w:cstheme="minorHAnsi"/>
        </w:rPr>
        <w:t>2021</w:t>
      </w:r>
      <w:r>
        <w:rPr>
          <w:rFonts w:cstheme="minorHAnsi"/>
        </w:rPr>
        <w:t>)</w:t>
      </w:r>
      <w:r w:rsidRPr="00BC137F">
        <w:rPr>
          <w:rFonts w:cstheme="minorHAnsi"/>
        </w:rPr>
        <w:t xml:space="preserve">. Top ten behavioral biases in project management: An overview. </w:t>
      </w:r>
      <w:r w:rsidRPr="003F1D65">
        <w:rPr>
          <w:rFonts w:cstheme="minorHAnsi"/>
          <w:i/>
        </w:rPr>
        <w:t>Project Management Journal</w:t>
      </w:r>
      <w:r w:rsidRPr="00BC137F">
        <w:rPr>
          <w:rFonts w:cstheme="minorHAnsi"/>
        </w:rPr>
        <w:t>, 52(6), 531-546.</w:t>
      </w:r>
    </w:p>
    <w:p w14:paraId="77C94C55" w14:textId="1AEE0997" w:rsidR="00147F00" w:rsidRDefault="00147F00" w:rsidP="0090651F">
      <w:pPr>
        <w:rPr>
          <w:rFonts w:cstheme="minorHAnsi"/>
        </w:rPr>
      </w:pPr>
      <w:r w:rsidRPr="00147F00">
        <w:rPr>
          <w:rFonts w:cstheme="minorHAnsi"/>
        </w:rPr>
        <w:t>Galletta, A. (2013).</w:t>
      </w:r>
      <w:r w:rsidR="00293BE6" w:rsidRPr="00293BE6">
        <w:t xml:space="preserve"> </w:t>
      </w:r>
      <w:r w:rsidR="00E22807" w:rsidRPr="00293BE6">
        <w:rPr>
          <w:rFonts w:cstheme="minorHAnsi"/>
        </w:rPr>
        <w:t>Mastering the Semi-Structured Interview and Beyond: From Research Design to Analysis and Publication</w:t>
      </w:r>
      <w:r w:rsidR="00E22807">
        <w:rPr>
          <w:rFonts w:cstheme="minorHAnsi"/>
        </w:rPr>
        <w:t>. New York:</w:t>
      </w:r>
      <w:r w:rsidR="00E22807" w:rsidRPr="00147F00">
        <w:rPr>
          <w:rFonts w:cstheme="minorHAnsi"/>
        </w:rPr>
        <w:t xml:space="preserve"> </w:t>
      </w:r>
      <w:r w:rsidRPr="00147F00">
        <w:rPr>
          <w:rFonts w:cstheme="minorHAnsi"/>
        </w:rPr>
        <w:t>NYU press.</w:t>
      </w:r>
    </w:p>
    <w:p w14:paraId="4EC7EE32" w14:textId="7EDB338D" w:rsidR="00175720" w:rsidRPr="00EC4FA9" w:rsidRDefault="00175720" w:rsidP="0090651F">
      <w:pPr>
        <w:rPr>
          <w:rFonts w:cstheme="minorHAnsi"/>
        </w:rPr>
      </w:pPr>
      <w:r w:rsidRPr="00175720">
        <w:rPr>
          <w:rFonts w:cstheme="minorHAnsi"/>
        </w:rPr>
        <w:t xml:space="preserve">Gioia, D. A., Corley, K. G., </w:t>
      </w:r>
      <w:r w:rsidR="00A12D6B" w:rsidRPr="003F1D65">
        <w:rPr>
          <w:rFonts w:cstheme="minorHAnsi"/>
        </w:rPr>
        <w:t>and</w:t>
      </w:r>
      <w:r w:rsidRPr="00175720">
        <w:rPr>
          <w:rFonts w:cstheme="minorHAnsi"/>
        </w:rPr>
        <w:t xml:space="preserve"> Hamilton, A. L. (2013). Seeking qualitative rigor in inductive research: Notes on the Gioia methodology. </w:t>
      </w:r>
      <w:r w:rsidRPr="00175720">
        <w:rPr>
          <w:rFonts w:cstheme="minorHAnsi"/>
          <w:i/>
          <w:iCs/>
        </w:rPr>
        <w:t xml:space="preserve">Organizational </w:t>
      </w:r>
      <w:r w:rsidR="00965D7D">
        <w:rPr>
          <w:rFonts w:cstheme="minorHAnsi"/>
          <w:i/>
          <w:iCs/>
        </w:rPr>
        <w:t>R</w:t>
      </w:r>
      <w:r w:rsidRPr="003F1D65">
        <w:rPr>
          <w:rFonts w:cstheme="minorHAnsi"/>
          <w:i/>
          <w:iCs/>
        </w:rPr>
        <w:t xml:space="preserve">esearch </w:t>
      </w:r>
      <w:r w:rsidR="00965D7D">
        <w:rPr>
          <w:rFonts w:cstheme="minorHAnsi"/>
          <w:i/>
          <w:iCs/>
        </w:rPr>
        <w:t>M</w:t>
      </w:r>
      <w:r w:rsidRPr="003F1D65">
        <w:rPr>
          <w:rFonts w:cstheme="minorHAnsi"/>
          <w:i/>
          <w:iCs/>
        </w:rPr>
        <w:t>ethods</w:t>
      </w:r>
      <w:r w:rsidRPr="00175720">
        <w:rPr>
          <w:rFonts w:cstheme="minorHAnsi"/>
        </w:rPr>
        <w:t>, </w:t>
      </w:r>
      <w:r w:rsidRPr="00175720">
        <w:rPr>
          <w:rFonts w:cstheme="minorHAnsi"/>
          <w:i/>
          <w:iCs/>
        </w:rPr>
        <w:t>16</w:t>
      </w:r>
      <w:r w:rsidRPr="00175720">
        <w:rPr>
          <w:rFonts w:cstheme="minorHAnsi"/>
        </w:rPr>
        <w:t>(1), 15-31.</w:t>
      </w:r>
    </w:p>
    <w:p w14:paraId="74853698" w14:textId="4A5A4589" w:rsidR="009B274A" w:rsidRPr="00EC4FA9" w:rsidRDefault="009B274A" w:rsidP="009B274A">
      <w:pPr>
        <w:rPr>
          <w:rFonts w:cstheme="minorHAnsi"/>
        </w:rPr>
      </w:pPr>
      <w:r w:rsidRPr="00EC4FA9">
        <w:lastRenderedPageBreak/>
        <w:t>HM Treasury</w:t>
      </w:r>
      <w:r w:rsidRPr="003F1D65">
        <w:t xml:space="preserve"> </w:t>
      </w:r>
      <w:r w:rsidR="00965D7D">
        <w:t>(</w:t>
      </w:r>
      <w:r w:rsidRPr="00EC4FA9">
        <w:t>2022</w:t>
      </w:r>
      <w:r w:rsidR="00965D7D">
        <w:t>)</w:t>
      </w:r>
      <w:r w:rsidRPr="003F1D65">
        <w:t>.</w:t>
      </w:r>
      <w:r w:rsidRPr="00EC4FA9">
        <w:t xml:space="preserve"> </w:t>
      </w:r>
      <w:r w:rsidRPr="00EC4FA9">
        <w:rPr>
          <w:i/>
        </w:rPr>
        <w:t>The Green Book: Central Government Guidance on Appraisal and Evaluation</w:t>
      </w:r>
      <w:r w:rsidRPr="00EC4FA9">
        <w:t>. London: HM Treasury.</w:t>
      </w:r>
    </w:p>
    <w:p w14:paraId="54D26D8F" w14:textId="72D37DAE" w:rsidR="004E4D53" w:rsidRPr="00EC4FA9" w:rsidRDefault="004E4D53" w:rsidP="004E4D53">
      <w:r w:rsidRPr="00EC4FA9">
        <w:t>Hultkrantz, L. and Svensson, M.</w:t>
      </w:r>
      <w:r w:rsidR="00980389" w:rsidRPr="00EC4FA9">
        <w:t xml:space="preserve"> (</w:t>
      </w:r>
      <w:r w:rsidRPr="00EC4FA9">
        <w:t>2012</w:t>
      </w:r>
      <w:r w:rsidR="00980389" w:rsidRPr="00EC4FA9">
        <w:t>)</w:t>
      </w:r>
      <w:r w:rsidRPr="00EC4FA9">
        <w:t xml:space="preserve">. </w:t>
      </w:r>
      <w:r w:rsidRPr="00EC4FA9">
        <w:rPr>
          <w:i/>
        </w:rPr>
        <w:t>A Comparison of Benefit Cost and Cost Utility Analysis in Practice: Divergent Policies in Sweden</w:t>
      </w:r>
      <w:r w:rsidRPr="00EC4FA9">
        <w:t xml:space="preserve">. </w:t>
      </w:r>
      <w:r w:rsidR="005D7952" w:rsidRPr="00EC4FA9">
        <w:t xml:space="preserve">Swedish Business School </w:t>
      </w:r>
      <w:r w:rsidRPr="00EC4FA9">
        <w:t xml:space="preserve">Working Paper, No. 5/2012. </w:t>
      </w:r>
      <w:r w:rsidR="005D7952" w:rsidRPr="00EC4FA9">
        <w:t xml:space="preserve">Örebro: </w:t>
      </w:r>
      <w:r w:rsidRPr="00EC4FA9">
        <w:t>Örebro University.</w:t>
      </w:r>
      <w:r w:rsidR="005D7952" w:rsidRPr="00EC4FA9">
        <w:t xml:space="preserve"> </w:t>
      </w:r>
    </w:p>
    <w:p w14:paraId="7BF6BC08" w14:textId="77777777" w:rsidR="007E6392" w:rsidRDefault="003A240A" w:rsidP="004E4D53">
      <w:r w:rsidRPr="00EC4FA9">
        <w:t>Ika, L., Pinto, J.K., Love, P.E.D. and Pache, G. (2023)</w:t>
      </w:r>
      <w:r w:rsidR="007C6A41">
        <w:t>.</w:t>
      </w:r>
      <w:r w:rsidRPr="00EC4FA9">
        <w:t xml:space="preserve"> Bias versus error: </w:t>
      </w:r>
      <w:r w:rsidR="00542739">
        <w:t>W</w:t>
      </w:r>
      <w:r w:rsidRPr="00EC4FA9">
        <w:t>hy projects fall short</w:t>
      </w:r>
      <w:r w:rsidR="00386255">
        <w:t>.</w:t>
      </w:r>
      <w:r w:rsidRPr="00EC4FA9">
        <w:t xml:space="preserve"> </w:t>
      </w:r>
      <w:r w:rsidRPr="00EC4FA9">
        <w:rPr>
          <w:i/>
          <w:iCs/>
        </w:rPr>
        <w:t>Journal of Business Strategy</w:t>
      </w:r>
      <w:r w:rsidRPr="00EC4FA9">
        <w:t xml:space="preserve">, </w:t>
      </w:r>
      <w:r w:rsidR="00755B63" w:rsidRPr="00EC4FA9">
        <w:t>44(2)</w:t>
      </w:r>
      <w:r w:rsidRPr="00EC4FA9">
        <w:t>, 67</w:t>
      </w:r>
      <w:r w:rsidR="00F23857">
        <w:t>–</w:t>
      </w:r>
      <w:r w:rsidRPr="00EC4FA9">
        <w:t>75.</w:t>
      </w:r>
    </w:p>
    <w:p w14:paraId="6E1C42E9" w14:textId="12BC38E7" w:rsidR="00B2016B" w:rsidRDefault="00B2016B" w:rsidP="004E4D53">
      <w:r w:rsidRPr="00B2016B">
        <w:t>Jones, L. R., and Euske</w:t>
      </w:r>
      <w:r>
        <w:t>,</w:t>
      </w:r>
      <w:r w:rsidRPr="00B2016B">
        <w:t xml:space="preserve"> K. J. (1991)</w:t>
      </w:r>
      <w:r>
        <w:t>.</w:t>
      </w:r>
      <w:r w:rsidRPr="00B2016B">
        <w:t xml:space="preserve"> Strategic Misrepresentation in Budgeting. </w:t>
      </w:r>
      <w:r w:rsidRPr="003F1D65">
        <w:rPr>
          <w:i/>
        </w:rPr>
        <w:t>Journal of Public Administration Research and Theory</w:t>
      </w:r>
      <w:r w:rsidRPr="00B2016B">
        <w:t>, 4</w:t>
      </w:r>
      <w:r w:rsidR="00906238">
        <w:t>,</w:t>
      </w:r>
      <w:r w:rsidRPr="00B2016B">
        <w:t xml:space="preserve"> 437–60.</w:t>
      </w:r>
    </w:p>
    <w:p w14:paraId="6CB650AF" w14:textId="7EFED831" w:rsidR="00E4292E" w:rsidRPr="00EC4FA9" w:rsidRDefault="007E6392" w:rsidP="004E4D53">
      <w:r w:rsidRPr="007E6392">
        <w:t xml:space="preserve">Kallio, H., Pietilä, A. M., Johnson, M., </w:t>
      </w:r>
      <w:r w:rsidR="003F1D65">
        <w:t>and</w:t>
      </w:r>
      <w:r w:rsidRPr="007E6392">
        <w:t xml:space="preserve"> Kangasniemi, M. (2016). </w:t>
      </w:r>
      <w:r w:rsidRPr="003F1D65">
        <w:rPr>
          <w:i/>
        </w:rPr>
        <w:t>Systematic methodological review: developing a framework for a qualitative semi</w:t>
      </w:r>
      <w:r w:rsidRPr="003F1D65">
        <w:rPr>
          <w:rFonts w:ascii="Cambria Math" w:hAnsi="Cambria Math" w:cs="Cambria Math"/>
          <w:i/>
        </w:rPr>
        <w:t>‐</w:t>
      </w:r>
      <w:r w:rsidRPr="003F1D65">
        <w:rPr>
          <w:i/>
        </w:rPr>
        <w:t>structured interview guide</w:t>
      </w:r>
      <w:r w:rsidRPr="007E6392">
        <w:t xml:space="preserve">. Journal of </w:t>
      </w:r>
      <w:r w:rsidR="005D05D6">
        <w:t>A</w:t>
      </w:r>
      <w:r w:rsidRPr="003F1D65">
        <w:t xml:space="preserve">dvanced </w:t>
      </w:r>
      <w:r w:rsidR="005D05D6">
        <w:t>N</w:t>
      </w:r>
      <w:r w:rsidRPr="003F1D65">
        <w:t>ursing</w:t>
      </w:r>
      <w:r w:rsidRPr="007E6392">
        <w:t>, 72(12), 2954-2965.</w:t>
      </w:r>
      <w:r w:rsidR="003A240A" w:rsidRPr="00EC4FA9">
        <w:t xml:space="preserve"> </w:t>
      </w:r>
    </w:p>
    <w:p w14:paraId="0B977125" w14:textId="6B39D2F4" w:rsidR="00DD1511" w:rsidRDefault="00DD1511" w:rsidP="004E4D53">
      <w:pPr>
        <w:rPr>
          <w:rFonts w:cstheme="minorHAnsi"/>
        </w:rPr>
      </w:pPr>
      <w:r w:rsidRPr="00EC4FA9">
        <w:rPr>
          <w:rFonts w:cstheme="minorHAnsi"/>
        </w:rPr>
        <w:t>Karlsson, C. (2016)</w:t>
      </w:r>
      <w:r w:rsidR="007C6A41">
        <w:rPr>
          <w:rFonts w:cstheme="minorHAnsi"/>
        </w:rPr>
        <w:t>.</w:t>
      </w:r>
      <w:r w:rsidRPr="00EC4FA9">
        <w:rPr>
          <w:rFonts w:cstheme="minorHAnsi"/>
        </w:rPr>
        <w:t xml:space="preserve"> </w:t>
      </w:r>
      <w:r w:rsidRPr="00EC4FA9">
        <w:rPr>
          <w:rFonts w:cstheme="minorHAnsi"/>
          <w:i/>
          <w:iCs/>
        </w:rPr>
        <w:t>Research Methods for Operations Management</w:t>
      </w:r>
      <w:r w:rsidR="00386255" w:rsidRPr="003F1D65">
        <w:rPr>
          <w:rFonts w:cstheme="minorHAnsi"/>
        </w:rPr>
        <w:t>.</w:t>
      </w:r>
      <w:r w:rsidRPr="003F1D65">
        <w:rPr>
          <w:rFonts w:cstheme="minorHAnsi"/>
        </w:rPr>
        <w:t xml:space="preserve"> </w:t>
      </w:r>
      <w:r w:rsidR="005D05D6">
        <w:rPr>
          <w:rFonts w:cstheme="minorHAnsi"/>
        </w:rPr>
        <w:t>London:</w:t>
      </w:r>
      <w:r w:rsidRPr="00EC4FA9">
        <w:rPr>
          <w:rFonts w:cstheme="minorHAnsi"/>
        </w:rPr>
        <w:t xml:space="preserve"> Taylor and Francis</w:t>
      </w:r>
      <w:r w:rsidR="005D05D6">
        <w:rPr>
          <w:rFonts w:cstheme="minorHAnsi"/>
        </w:rPr>
        <w:t>.</w:t>
      </w:r>
    </w:p>
    <w:p w14:paraId="681473D2" w14:textId="79749428" w:rsidR="0072173C" w:rsidRPr="00EC4FA9" w:rsidRDefault="00E80B98" w:rsidP="004E4D53">
      <w:pPr>
        <w:rPr>
          <w:rFonts w:cstheme="minorHAnsi"/>
        </w:rPr>
      </w:pPr>
      <w:r w:rsidRPr="00E80B98">
        <w:rPr>
          <w:rFonts w:cstheme="minorHAnsi"/>
        </w:rPr>
        <w:t xml:space="preserve">Kelly, S. E., Bourgeault, I., </w:t>
      </w:r>
      <w:r w:rsidR="003F1D65">
        <w:rPr>
          <w:rFonts w:cstheme="minorHAnsi"/>
        </w:rPr>
        <w:t>and</w:t>
      </w:r>
      <w:r w:rsidRPr="00E80B98">
        <w:rPr>
          <w:rFonts w:cstheme="minorHAnsi"/>
        </w:rPr>
        <w:t xml:space="preserve"> Dingwall, R. (2010). </w:t>
      </w:r>
      <w:r w:rsidRPr="003F1D65">
        <w:rPr>
          <w:rFonts w:cstheme="minorHAnsi"/>
          <w:i/>
        </w:rPr>
        <w:t xml:space="preserve">Qualitative interviewing techniques and styles. The SAGE </w:t>
      </w:r>
      <w:r w:rsidR="003F6497">
        <w:rPr>
          <w:rFonts w:cstheme="minorHAnsi"/>
          <w:i/>
          <w:iCs/>
        </w:rPr>
        <w:t>H</w:t>
      </w:r>
      <w:r w:rsidRPr="003F1D65">
        <w:rPr>
          <w:rFonts w:cstheme="minorHAnsi"/>
          <w:i/>
          <w:iCs/>
        </w:rPr>
        <w:t>andbook</w:t>
      </w:r>
      <w:r w:rsidRPr="003F1D65">
        <w:rPr>
          <w:rFonts w:cstheme="minorHAnsi"/>
          <w:i/>
        </w:rPr>
        <w:t xml:space="preserve"> of </w:t>
      </w:r>
      <w:r w:rsidR="003F6497">
        <w:rPr>
          <w:rFonts w:cstheme="minorHAnsi"/>
          <w:i/>
          <w:iCs/>
        </w:rPr>
        <w:t>Q</w:t>
      </w:r>
      <w:r w:rsidRPr="003F1D65">
        <w:rPr>
          <w:rFonts w:cstheme="minorHAnsi"/>
          <w:i/>
          <w:iCs/>
        </w:rPr>
        <w:t xml:space="preserve">ualitative </w:t>
      </w:r>
      <w:r w:rsidR="003F6497">
        <w:rPr>
          <w:rFonts w:cstheme="minorHAnsi"/>
          <w:i/>
          <w:iCs/>
        </w:rPr>
        <w:t>M</w:t>
      </w:r>
      <w:r w:rsidRPr="003F1D65">
        <w:rPr>
          <w:rFonts w:cstheme="minorHAnsi"/>
          <w:i/>
          <w:iCs/>
        </w:rPr>
        <w:t>ethods</w:t>
      </w:r>
      <w:r w:rsidRPr="003F1D65">
        <w:rPr>
          <w:rFonts w:cstheme="minorHAnsi"/>
          <w:i/>
        </w:rPr>
        <w:t xml:space="preserve"> in </w:t>
      </w:r>
      <w:r w:rsidR="003F6497">
        <w:rPr>
          <w:rFonts w:cstheme="minorHAnsi"/>
          <w:i/>
          <w:iCs/>
        </w:rPr>
        <w:t>H</w:t>
      </w:r>
      <w:r w:rsidRPr="003F1D65">
        <w:rPr>
          <w:rFonts w:cstheme="minorHAnsi"/>
          <w:i/>
          <w:iCs/>
        </w:rPr>
        <w:t xml:space="preserve">ealth </w:t>
      </w:r>
      <w:r w:rsidR="003F6497">
        <w:rPr>
          <w:rFonts w:cstheme="minorHAnsi"/>
          <w:i/>
          <w:iCs/>
        </w:rPr>
        <w:t>R</w:t>
      </w:r>
      <w:r w:rsidRPr="003F1D65">
        <w:rPr>
          <w:rFonts w:cstheme="minorHAnsi"/>
          <w:i/>
          <w:iCs/>
        </w:rPr>
        <w:t>esearch</w:t>
      </w:r>
      <w:r w:rsidRPr="00E80B98">
        <w:rPr>
          <w:rFonts w:cstheme="minorHAnsi"/>
        </w:rPr>
        <w:t>, 19, 307-326.</w:t>
      </w:r>
    </w:p>
    <w:p w14:paraId="5C37F159" w14:textId="4B6FFD0C" w:rsidR="005A052C" w:rsidRDefault="002D08E7" w:rsidP="004E4D53">
      <w:pPr>
        <w:rPr>
          <w:rFonts w:cstheme="minorHAnsi"/>
        </w:rPr>
      </w:pPr>
      <w:r w:rsidRPr="00EC4FA9">
        <w:rPr>
          <w:rFonts w:cstheme="minorHAnsi"/>
        </w:rPr>
        <w:t xml:space="preserve">Klakegg, O.J., Williams, T. and Schiferaw, A.T. (2016). Taming the ‘trolls’: Major public projects in the making. </w:t>
      </w:r>
      <w:r w:rsidRPr="00EC4FA9">
        <w:rPr>
          <w:rFonts w:cstheme="minorHAnsi"/>
          <w:i/>
          <w:iCs/>
        </w:rPr>
        <w:t>International Journal of Project Management</w:t>
      </w:r>
      <w:r w:rsidRPr="00EC4FA9">
        <w:rPr>
          <w:rFonts w:cstheme="minorHAnsi"/>
        </w:rPr>
        <w:t xml:space="preserve"> 34(2), 282–296</w:t>
      </w:r>
      <w:r w:rsidR="00F23857">
        <w:rPr>
          <w:rFonts w:cstheme="minorHAnsi"/>
        </w:rPr>
        <w:t>.</w:t>
      </w:r>
    </w:p>
    <w:p w14:paraId="7415F876" w14:textId="38133849" w:rsidR="00080681" w:rsidRPr="006C4B65" w:rsidRDefault="00080681" w:rsidP="004E4D53">
      <w:pPr>
        <w:rPr>
          <w:rFonts w:cstheme="minorHAnsi"/>
          <w:lang w:val="en-US"/>
        </w:rPr>
      </w:pPr>
      <w:r w:rsidRPr="006C4B65">
        <w:rPr>
          <w:rFonts w:cstheme="minorHAnsi"/>
          <w:lang w:val="en-US"/>
        </w:rPr>
        <w:t>Lehtonen, M., Joly,</w:t>
      </w:r>
      <w:r w:rsidR="001B0020" w:rsidRPr="006C4B65">
        <w:rPr>
          <w:rFonts w:cstheme="minorHAnsi"/>
          <w:lang w:val="en-US"/>
        </w:rPr>
        <w:t xml:space="preserve"> P.-B. and</w:t>
      </w:r>
      <w:r w:rsidR="001B0020">
        <w:rPr>
          <w:rFonts w:cstheme="minorHAnsi"/>
          <w:lang w:val="en-US"/>
        </w:rPr>
        <w:t xml:space="preserve"> Aparicio, L. </w:t>
      </w:r>
      <w:r w:rsidR="00AE511D">
        <w:rPr>
          <w:rFonts w:cstheme="minorHAnsi"/>
          <w:lang w:val="en-US"/>
        </w:rPr>
        <w:t xml:space="preserve">(Eds.) </w:t>
      </w:r>
      <w:r w:rsidR="001B0020">
        <w:rPr>
          <w:rFonts w:cstheme="minorHAnsi"/>
          <w:lang w:val="en-US"/>
        </w:rPr>
        <w:t xml:space="preserve">(2017). </w:t>
      </w:r>
      <w:r w:rsidR="001B0020">
        <w:rPr>
          <w:rFonts w:cstheme="minorHAnsi"/>
          <w:i/>
          <w:iCs/>
          <w:lang w:val="en-US"/>
        </w:rPr>
        <w:t>Socioeconomic Evaluation of Megaprojects</w:t>
      </w:r>
      <w:r w:rsidR="00AE511D">
        <w:rPr>
          <w:rFonts w:cstheme="minorHAnsi"/>
          <w:i/>
          <w:iCs/>
          <w:lang w:val="en-US"/>
        </w:rPr>
        <w:t>. Dealing with uncertainties,</w:t>
      </w:r>
      <w:r w:rsidR="00AE511D">
        <w:rPr>
          <w:rFonts w:cstheme="minorHAnsi"/>
          <w:lang w:val="en-US"/>
        </w:rPr>
        <w:t xml:space="preserve"> London: Routledge</w:t>
      </w:r>
    </w:p>
    <w:p w14:paraId="7BA9660A" w14:textId="4B461F9F" w:rsidR="009C38C7" w:rsidRDefault="009C38C7" w:rsidP="004E4D53">
      <w:r w:rsidRPr="00EC4FA9">
        <w:t xml:space="preserve">Mackie, P. </w:t>
      </w:r>
      <w:r w:rsidR="00B11F21" w:rsidRPr="00EC4FA9">
        <w:t>and</w:t>
      </w:r>
      <w:r w:rsidRPr="00EC4FA9">
        <w:t xml:space="preserve"> Preston, J.</w:t>
      </w:r>
      <w:r w:rsidR="00755B63" w:rsidRPr="00EC4FA9">
        <w:t xml:space="preserve"> (</w:t>
      </w:r>
      <w:r w:rsidRPr="00EC4FA9">
        <w:t>1998</w:t>
      </w:r>
      <w:r w:rsidR="00755B63" w:rsidRPr="00EC4FA9">
        <w:t>)</w:t>
      </w:r>
      <w:r w:rsidRPr="00EC4FA9">
        <w:t xml:space="preserve">. Twenty-one sources of error and bias in transport project appraisal. </w:t>
      </w:r>
      <w:r w:rsidRPr="00EC4FA9">
        <w:rPr>
          <w:i/>
        </w:rPr>
        <w:t>Transport Policy</w:t>
      </w:r>
      <w:r w:rsidRPr="00EC4FA9">
        <w:t>, 5, 1</w:t>
      </w:r>
      <w:r w:rsidR="002742F0" w:rsidRPr="00EC4FA9">
        <w:t>–</w:t>
      </w:r>
      <w:r w:rsidRPr="00EC4FA9">
        <w:t>7.</w:t>
      </w:r>
    </w:p>
    <w:p w14:paraId="67300D46" w14:textId="11B8BBC7" w:rsidR="00F47EEA" w:rsidRDefault="00F47EEA" w:rsidP="004E4D53">
      <w:r w:rsidRPr="00F47EEA">
        <w:t xml:space="preserve">Mian, S.A. and Dai, C.X. </w:t>
      </w:r>
      <w:r>
        <w:t>(</w:t>
      </w:r>
      <w:r w:rsidRPr="00F47EEA">
        <w:t>1999</w:t>
      </w:r>
      <w:r>
        <w:t>)</w:t>
      </w:r>
      <w:r w:rsidRPr="00F47EEA">
        <w:t xml:space="preserve">. Decision-making over the project life cycle: An analytical hierarchy approach. </w:t>
      </w:r>
      <w:r w:rsidRPr="003F1D65">
        <w:rPr>
          <w:i/>
        </w:rPr>
        <w:t>Project Management Journal</w:t>
      </w:r>
      <w:r w:rsidRPr="00F47EEA">
        <w:t>, 30(1), 40-52.</w:t>
      </w:r>
    </w:p>
    <w:p w14:paraId="4FD674EB" w14:textId="6B7B5331" w:rsidR="00A21ADE" w:rsidRDefault="00A21ADE" w:rsidP="004E4D53">
      <w:r w:rsidRPr="00A21ADE">
        <w:t xml:space="preserve">Miles, M. B., </w:t>
      </w:r>
      <w:r w:rsidR="003F1D65">
        <w:t>and</w:t>
      </w:r>
      <w:r w:rsidRPr="00A21ADE">
        <w:t xml:space="preserve"> Huberman, A. M. (1994). </w:t>
      </w:r>
      <w:r w:rsidRPr="00A21ADE">
        <w:rPr>
          <w:i/>
          <w:iCs/>
        </w:rPr>
        <w:t>Qualitative data analysis: An expanded sourcebook</w:t>
      </w:r>
      <w:r w:rsidRPr="00A21ADE">
        <w:t xml:space="preserve">. </w:t>
      </w:r>
      <w:r w:rsidR="00D61882" w:rsidRPr="00D61882">
        <w:t>Thousand Oaks, CA: Sage Publications</w:t>
      </w:r>
      <w:r w:rsidRPr="00A21ADE">
        <w:t>.</w:t>
      </w:r>
    </w:p>
    <w:p w14:paraId="28D0D05E" w14:textId="4C8C2FA6" w:rsidR="00D41406" w:rsidRPr="003F1D65" w:rsidRDefault="00D41406" w:rsidP="00475BE7">
      <w:r>
        <w:t xml:space="preserve">Miller, G.J. (2005). </w:t>
      </w:r>
      <w:r w:rsidR="00475BE7">
        <w:t xml:space="preserve">The Political Evolution of Principal-Agent Models. </w:t>
      </w:r>
      <w:r w:rsidR="000D10C1" w:rsidRPr="000D10C1">
        <w:rPr>
          <w:i/>
          <w:iCs/>
        </w:rPr>
        <w:t>Annual Review of Political Science</w:t>
      </w:r>
      <w:r w:rsidR="000D10C1">
        <w:t>, 8(1), 203-225.</w:t>
      </w:r>
    </w:p>
    <w:p w14:paraId="504F662D" w14:textId="6958A91A" w:rsidR="005258C0" w:rsidRPr="003F1D65" w:rsidRDefault="005258C0" w:rsidP="004E4D53">
      <w:r w:rsidRPr="003F1D65">
        <w:t xml:space="preserve">Mintzberg, H., Raisinghani, D. and Theoret, A., (1976). The structure of “unstructured” decision processes. </w:t>
      </w:r>
      <w:r w:rsidRPr="003F1D65">
        <w:rPr>
          <w:i/>
        </w:rPr>
        <w:t>Administrative Science Quarterly</w:t>
      </w:r>
      <w:r w:rsidRPr="003F1D65">
        <w:t>. 21(2), 246–275.</w:t>
      </w:r>
    </w:p>
    <w:p w14:paraId="451919B2" w14:textId="77777777" w:rsidR="002D08E7" w:rsidRPr="00EC4FA9" w:rsidRDefault="002D08E7" w:rsidP="004E4D53">
      <w:r w:rsidRPr="003F1D65">
        <w:t xml:space="preserve">Morris, P.W. (2013). </w:t>
      </w:r>
      <w:r w:rsidRPr="00EC4FA9">
        <w:rPr>
          <w:i/>
          <w:iCs/>
        </w:rPr>
        <w:t>Reconstructing Project Management</w:t>
      </w:r>
      <w:r w:rsidRPr="00EC4FA9">
        <w:t>. Chichester, UK: John Wiley &amp; Sons.</w:t>
      </w:r>
    </w:p>
    <w:p w14:paraId="0B4240DE" w14:textId="2264A086" w:rsidR="002D08E7" w:rsidRPr="00EC4FA9" w:rsidRDefault="002D08E7" w:rsidP="004E4D53">
      <w:r w:rsidRPr="00EC4FA9">
        <w:t xml:space="preserve">Müller, R. (2009). </w:t>
      </w:r>
      <w:r w:rsidRPr="00EC4FA9">
        <w:rPr>
          <w:i/>
          <w:iCs/>
        </w:rPr>
        <w:t>Project Governance</w:t>
      </w:r>
      <w:r w:rsidRPr="00EC4FA9">
        <w:t xml:space="preserve">. Fundamentals of Project Management Series. </w:t>
      </w:r>
      <w:r w:rsidR="009B274A" w:rsidRPr="00EC4FA9">
        <w:t>Farnham, UK</w:t>
      </w:r>
      <w:r w:rsidR="009B274A">
        <w:t>:</w:t>
      </w:r>
      <w:r w:rsidR="009B274A" w:rsidRPr="00EC4FA9">
        <w:t xml:space="preserve"> </w:t>
      </w:r>
      <w:r w:rsidRPr="00EC4FA9">
        <w:t>Gower</w:t>
      </w:r>
      <w:r w:rsidR="00F23857">
        <w:t>.</w:t>
      </w:r>
    </w:p>
    <w:p w14:paraId="47A79AE2" w14:textId="741E4684" w:rsidR="006F234E" w:rsidRDefault="002D08E7" w:rsidP="004E4D53">
      <w:r w:rsidRPr="00EC4FA9">
        <w:t xml:space="preserve">Narayanan, V.K. and DeFillippi, R. (2012). The </w:t>
      </w:r>
      <w:r w:rsidR="006B530B" w:rsidRPr="006B530B">
        <w:t>Influence</w:t>
      </w:r>
      <w:r w:rsidRPr="00EC4FA9">
        <w:t xml:space="preserve"> of </w:t>
      </w:r>
      <w:r w:rsidR="006B530B" w:rsidRPr="006B530B">
        <w:t>Strategic Context</w:t>
      </w:r>
      <w:r w:rsidRPr="00EC4FA9">
        <w:t xml:space="preserve"> on </w:t>
      </w:r>
      <w:r w:rsidR="006B530B" w:rsidRPr="006B530B">
        <w:t>Project Management Systems</w:t>
      </w:r>
      <w:r w:rsidRPr="00EC4FA9">
        <w:t xml:space="preserve">: A </w:t>
      </w:r>
      <w:r w:rsidR="006B530B" w:rsidRPr="006B530B">
        <w:t>Senior Management Perspective</w:t>
      </w:r>
      <w:r w:rsidRPr="003F1D65">
        <w:t>.</w:t>
      </w:r>
      <w:r w:rsidRPr="00EC4FA9">
        <w:t xml:space="preserve"> In Williams, T. and Samset, K. (</w:t>
      </w:r>
      <w:r w:rsidR="0017794F">
        <w:t>E</w:t>
      </w:r>
      <w:r w:rsidRPr="00EC4FA9">
        <w:t>ds.)</w:t>
      </w:r>
      <w:r w:rsidR="0017794F">
        <w:t>.</w:t>
      </w:r>
      <w:r w:rsidRPr="00EC4FA9">
        <w:t xml:space="preserve"> </w:t>
      </w:r>
      <w:r w:rsidRPr="00EC4FA9">
        <w:rPr>
          <w:i/>
          <w:iCs/>
        </w:rPr>
        <w:t>Project Governance: Getting Investments Right</w:t>
      </w:r>
      <w:r w:rsidRPr="00EC4FA9">
        <w:t>, 3–45. Basingstoke, UK: Palgrave Macmillan.</w:t>
      </w:r>
    </w:p>
    <w:p w14:paraId="33A84022" w14:textId="28F12F12" w:rsidR="00244230" w:rsidRPr="00EC4FA9" w:rsidRDefault="00244230" w:rsidP="004E4D53">
      <w:r w:rsidRPr="00EC4FA9">
        <w:t>Nash, C.</w:t>
      </w:r>
      <w:r w:rsidR="00755B63" w:rsidRPr="00EC4FA9">
        <w:t xml:space="preserve"> (</w:t>
      </w:r>
      <w:r w:rsidRPr="00EC4FA9">
        <w:t>1992</w:t>
      </w:r>
      <w:r w:rsidR="00755B63" w:rsidRPr="00EC4FA9">
        <w:t>)</w:t>
      </w:r>
      <w:r w:rsidRPr="00EC4FA9">
        <w:t xml:space="preserve">. Appraisal of rail projects. </w:t>
      </w:r>
      <w:r w:rsidRPr="00EC4FA9">
        <w:rPr>
          <w:i/>
        </w:rPr>
        <w:t>Project Appraisal</w:t>
      </w:r>
      <w:r w:rsidRPr="00EC4FA9">
        <w:t>, 7, 211</w:t>
      </w:r>
      <w:r w:rsidR="002742F0" w:rsidRPr="00EC4FA9">
        <w:t>–</w:t>
      </w:r>
      <w:r w:rsidRPr="00EC4FA9">
        <w:t>218.</w:t>
      </w:r>
    </w:p>
    <w:p w14:paraId="76A3029A" w14:textId="7844C2CA" w:rsidR="002252D4" w:rsidRPr="00EC4FA9" w:rsidRDefault="002252D4" w:rsidP="004E4D53">
      <w:r w:rsidRPr="00EC4FA9">
        <w:t>Nicolaisen, M.S. and Næss, P.</w:t>
      </w:r>
      <w:r w:rsidR="00755B63" w:rsidRPr="00EC4FA9">
        <w:t xml:space="preserve"> (</w:t>
      </w:r>
      <w:r w:rsidRPr="00EC4FA9">
        <w:t>2015</w:t>
      </w:r>
      <w:r w:rsidR="00755B63" w:rsidRPr="00EC4FA9">
        <w:t>)</w:t>
      </w:r>
      <w:r w:rsidRPr="00EC4FA9">
        <w:t xml:space="preserve">. Roads to nowhere: The accuracy of travel demand forecasts for do-nothing alternatives. </w:t>
      </w:r>
      <w:r w:rsidRPr="00EC4FA9">
        <w:rPr>
          <w:i/>
        </w:rPr>
        <w:t>Transport Policy</w:t>
      </w:r>
      <w:r w:rsidRPr="00EC4FA9">
        <w:t>, 37, 57</w:t>
      </w:r>
      <w:r w:rsidR="002742F0" w:rsidRPr="00EC4FA9">
        <w:t>–</w:t>
      </w:r>
      <w:r w:rsidRPr="00EC4FA9">
        <w:t>63.</w:t>
      </w:r>
    </w:p>
    <w:p w14:paraId="28F3663C" w14:textId="51923100" w:rsidR="00C2205B" w:rsidRPr="006C4B65" w:rsidRDefault="00C2205B" w:rsidP="004E4D53">
      <w:pPr>
        <w:rPr>
          <w:lang w:val="nb-NO"/>
        </w:rPr>
      </w:pPr>
      <w:r w:rsidRPr="00EC4FA9">
        <w:lastRenderedPageBreak/>
        <w:t>Næss, P.</w:t>
      </w:r>
      <w:r w:rsidR="00755B63" w:rsidRPr="00EC4FA9">
        <w:t xml:space="preserve"> (</w:t>
      </w:r>
      <w:r w:rsidRPr="00EC4FA9">
        <w:t>2011</w:t>
      </w:r>
      <w:r w:rsidR="00755B63" w:rsidRPr="00EC4FA9">
        <w:t>)</w:t>
      </w:r>
      <w:r w:rsidRPr="00EC4FA9">
        <w:t xml:space="preserve">. The </w:t>
      </w:r>
      <w:r w:rsidR="008C76E4" w:rsidRPr="008C76E4">
        <w:t>Third</w:t>
      </w:r>
      <w:r w:rsidRPr="00EC4FA9">
        <w:t xml:space="preserve"> Limfjord </w:t>
      </w:r>
      <w:r w:rsidR="008C76E4" w:rsidRPr="008C76E4">
        <w:t>Crossing</w:t>
      </w:r>
      <w:r w:rsidRPr="00EC4FA9">
        <w:t xml:space="preserve">: </w:t>
      </w:r>
      <w:r w:rsidR="005D7952" w:rsidRPr="00EC4FA9">
        <w:t>A</w:t>
      </w:r>
      <w:r w:rsidRPr="00EC4FA9">
        <w:t xml:space="preserve"> </w:t>
      </w:r>
      <w:r w:rsidR="008C76E4" w:rsidRPr="008C76E4">
        <w:t>Case</w:t>
      </w:r>
      <w:r w:rsidRPr="00EC4FA9">
        <w:t xml:space="preserve"> of </w:t>
      </w:r>
      <w:r w:rsidR="008C76E4" w:rsidRPr="008C76E4">
        <w:t>Pessimism Bias</w:t>
      </w:r>
      <w:r w:rsidRPr="00EC4FA9">
        <w:t xml:space="preserve"> and </w:t>
      </w:r>
      <w:r w:rsidR="008C76E4" w:rsidRPr="008C76E4">
        <w:t>Knowledge Filtering</w:t>
      </w:r>
      <w:r w:rsidRPr="003F1D65">
        <w:t>.</w:t>
      </w:r>
      <w:r w:rsidRPr="00EC4FA9">
        <w:t xml:space="preserve"> </w:t>
      </w:r>
      <w:r w:rsidRPr="006C4B65">
        <w:rPr>
          <w:i/>
          <w:lang w:val="nb-NO"/>
        </w:rPr>
        <w:t>Transport Reviews</w:t>
      </w:r>
      <w:r w:rsidRPr="006C4B65">
        <w:rPr>
          <w:lang w:val="nb-NO"/>
        </w:rPr>
        <w:t>, 31, 231</w:t>
      </w:r>
      <w:r w:rsidR="005D7952" w:rsidRPr="006C4B65">
        <w:rPr>
          <w:lang w:val="nb-NO"/>
        </w:rPr>
        <w:t>–</w:t>
      </w:r>
      <w:r w:rsidRPr="006C4B65">
        <w:rPr>
          <w:lang w:val="nb-NO"/>
        </w:rPr>
        <w:t>249.</w:t>
      </w:r>
    </w:p>
    <w:p w14:paraId="016A26F8" w14:textId="7708766A" w:rsidR="00130A86" w:rsidRPr="006C0132" w:rsidRDefault="00130A86" w:rsidP="00130A86">
      <w:pPr>
        <w:rPr>
          <w:lang w:val="sv-SE"/>
        </w:rPr>
      </w:pPr>
      <w:r w:rsidRPr="006C4B65">
        <w:rPr>
          <w:lang w:val="nb-NO"/>
        </w:rPr>
        <w:t>Rasmussen, J.B., Haug, A., Shafiee, S., Hvam, L., Henrik Mortensen, N. and Myrodia, A. (2021)</w:t>
      </w:r>
      <w:r w:rsidR="0082106D" w:rsidRPr="006C4B65">
        <w:rPr>
          <w:lang w:val="nb-NO"/>
        </w:rPr>
        <w:t>.</w:t>
      </w:r>
      <w:r w:rsidRPr="006C4B65">
        <w:rPr>
          <w:lang w:val="nb-NO"/>
        </w:rPr>
        <w:t xml:space="preserve"> </w:t>
      </w:r>
      <w:r w:rsidRPr="00EC4FA9">
        <w:t xml:space="preserve">The costs and benefits of multistage configuration: </w:t>
      </w:r>
      <w:r w:rsidR="004007D2">
        <w:t>A</w:t>
      </w:r>
      <w:r w:rsidRPr="00EC4FA9">
        <w:t xml:space="preserve"> framework and case study</w:t>
      </w:r>
      <w:r w:rsidR="00386255">
        <w:t xml:space="preserve">. </w:t>
      </w:r>
      <w:r w:rsidRPr="006C0132">
        <w:rPr>
          <w:i/>
          <w:iCs/>
          <w:lang w:val="sv-SE"/>
        </w:rPr>
        <w:t>Computers &amp; Industrial Engineering</w:t>
      </w:r>
      <w:r w:rsidRPr="006C0132">
        <w:rPr>
          <w:lang w:val="sv-SE"/>
        </w:rPr>
        <w:t>, 153, 107095</w:t>
      </w:r>
      <w:r w:rsidR="00F23857" w:rsidRPr="006C0132">
        <w:rPr>
          <w:lang w:val="sv-SE"/>
        </w:rPr>
        <w:t>.</w:t>
      </w:r>
      <w:r w:rsidR="005A052C" w:rsidRPr="006C0132">
        <w:rPr>
          <w:lang w:val="sv-SE"/>
        </w:rPr>
        <w:t xml:space="preserve"> </w:t>
      </w:r>
    </w:p>
    <w:p w14:paraId="030EA4BC" w14:textId="1951AB8E" w:rsidR="000A3128" w:rsidRPr="003F1D65" w:rsidRDefault="000A3128" w:rsidP="000A3128">
      <w:r w:rsidRPr="006C0132">
        <w:rPr>
          <w:lang w:val="sv-SE"/>
        </w:rPr>
        <w:t>Riksrevisjonen</w:t>
      </w:r>
      <w:r w:rsidR="007C6A41" w:rsidRPr="006C0132">
        <w:rPr>
          <w:lang w:val="sv-SE"/>
        </w:rPr>
        <w:t>.</w:t>
      </w:r>
      <w:r w:rsidR="00755B63" w:rsidRPr="006C0132">
        <w:rPr>
          <w:lang w:val="sv-SE"/>
        </w:rPr>
        <w:t xml:space="preserve"> (</w:t>
      </w:r>
      <w:r w:rsidRPr="006C0132">
        <w:rPr>
          <w:lang w:val="sv-SE"/>
        </w:rPr>
        <w:t>2018</w:t>
      </w:r>
      <w:r w:rsidR="00755B63" w:rsidRPr="006C0132">
        <w:rPr>
          <w:lang w:val="sv-SE"/>
        </w:rPr>
        <w:t>)</w:t>
      </w:r>
      <w:r w:rsidRPr="006C0132">
        <w:rPr>
          <w:lang w:val="sv-SE"/>
        </w:rPr>
        <w:t xml:space="preserve">. Fyrstegsprincipen inom planeringen av transportinfrastruktur – tillämpas den på avsett sätt? </w:t>
      </w:r>
      <w:r w:rsidRPr="003F1D65">
        <w:t xml:space="preserve">RIR 2018:30. </w:t>
      </w:r>
      <w:hyperlink r:id="rId17" w:history="1">
        <w:r w:rsidR="00E86B01" w:rsidRPr="003F1D65">
          <w:rPr>
            <w:rStyle w:val="Hyperlink"/>
          </w:rPr>
          <w:t>https://www.riksrevisionen.se/download/18.72018eee166eda46d0ca9ddb/1542826157452/RiR_2018_30_ANPASSAD.pdf</w:t>
        </w:r>
      </w:hyperlink>
      <w:r w:rsidR="00E86B01" w:rsidRPr="003F1D65">
        <w:t xml:space="preserve"> (accessed 10 November 2023).</w:t>
      </w:r>
    </w:p>
    <w:p w14:paraId="59F46227" w14:textId="79200573" w:rsidR="00ED016E" w:rsidRPr="003F1D65" w:rsidRDefault="00ED016E" w:rsidP="000A3128">
      <w:r w:rsidRPr="003F1D65">
        <w:t xml:space="preserve">Ross, S.A., (1973). </w:t>
      </w:r>
      <w:r w:rsidRPr="00260E83">
        <w:t xml:space="preserve">The </w:t>
      </w:r>
      <w:r w:rsidR="00260E83" w:rsidRPr="00260E83">
        <w:t>Economic Theory</w:t>
      </w:r>
      <w:r w:rsidRPr="00260E83">
        <w:t xml:space="preserve"> of </w:t>
      </w:r>
      <w:r w:rsidR="00260E83" w:rsidRPr="00260E83">
        <w:t>Agency</w:t>
      </w:r>
      <w:r w:rsidRPr="00260E83">
        <w:t xml:space="preserve">: The </w:t>
      </w:r>
      <w:r w:rsidR="00260E83" w:rsidRPr="00260E83">
        <w:t>Principal's Problem</w:t>
      </w:r>
      <w:r w:rsidRPr="003F1D65">
        <w:t xml:space="preserve">. </w:t>
      </w:r>
      <w:r w:rsidRPr="006C4B65">
        <w:rPr>
          <w:i/>
          <w:iCs/>
        </w:rPr>
        <w:t xml:space="preserve">The American </w:t>
      </w:r>
      <w:r w:rsidR="00260E83" w:rsidRPr="006C4B65">
        <w:rPr>
          <w:i/>
          <w:iCs/>
        </w:rPr>
        <w:t>E</w:t>
      </w:r>
      <w:r w:rsidRPr="006C4B65">
        <w:rPr>
          <w:i/>
          <w:iCs/>
        </w:rPr>
        <w:t xml:space="preserve">conomic </w:t>
      </w:r>
      <w:r w:rsidR="00260E83" w:rsidRPr="006C4B65">
        <w:rPr>
          <w:i/>
          <w:iCs/>
        </w:rPr>
        <w:t>R</w:t>
      </w:r>
      <w:r w:rsidRPr="006C4B65">
        <w:rPr>
          <w:i/>
          <w:iCs/>
        </w:rPr>
        <w:t>eview</w:t>
      </w:r>
      <w:r w:rsidRPr="003F1D65">
        <w:t>, 63(2), 134-139.</w:t>
      </w:r>
    </w:p>
    <w:p w14:paraId="1C9AE9A5" w14:textId="6BB6FA55" w:rsidR="003A6238" w:rsidRPr="003F1D65" w:rsidRDefault="003A6238" w:rsidP="000A3128">
      <w:r w:rsidRPr="003F1D65">
        <w:t xml:space="preserve">Rubin, H. J., </w:t>
      </w:r>
      <w:r w:rsidR="008B4309">
        <w:t>and</w:t>
      </w:r>
      <w:r w:rsidRPr="003F1D65">
        <w:t xml:space="preserve"> Rubin, I. S. (2011). Qualitative </w:t>
      </w:r>
      <w:r w:rsidR="00F7618C">
        <w:t>I</w:t>
      </w:r>
      <w:r w:rsidRPr="003F1D65">
        <w:t xml:space="preserve">nterviewing: The </w:t>
      </w:r>
      <w:r w:rsidR="00F7618C">
        <w:t>A</w:t>
      </w:r>
      <w:r w:rsidRPr="003F1D65">
        <w:t xml:space="preserve">rt of </w:t>
      </w:r>
      <w:r w:rsidR="00F7618C">
        <w:t>H</w:t>
      </w:r>
      <w:r w:rsidRPr="003F1D65">
        <w:t xml:space="preserve">earing </w:t>
      </w:r>
      <w:r w:rsidR="00F7618C">
        <w:t>D</w:t>
      </w:r>
      <w:r w:rsidRPr="003F1D65">
        <w:t xml:space="preserve">ata. </w:t>
      </w:r>
      <w:r w:rsidRPr="003A6238">
        <w:t>Thousand Oaks, CA: Sage Publications</w:t>
      </w:r>
      <w:r w:rsidRPr="003F1D65">
        <w:t>.</w:t>
      </w:r>
    </w:p>
    <w:p w14:paraId="4E38BFE4" w14:textId="6505C383" w:rsidR="00E87CBC" w:rsidRPr="00EC4FA9" w:rsidRDefault="00E87CBC" w:rsidP="00E87CBC">
      <w:r w:rsidRPr="006C4B65">
        <w:rPr>
          <w:lang w:val="nb-NO"/>
        </w:rPr>
        <w:t>Samset, K. and Volden, G.H.</w:t>
      </w:r>
      <w:r w:rsidR="00755B63" w:rsidRPr="006C4B65">
        <w:rPr>
          <w:lang w:val="nb-NO"/>
        </w:rPr>
        <w:t xml:space="preserve"> (</w:t>
      </w:r>
      <w:r w:rsidRPr="006C4B65">
        <w:rPr>
          <w:lang w:val="nb-NO"/>
        </w:rPr>
        <w:t>201</w:t>
      </w:r>
      <w:r w:rsidR="005F3D66" w:rsidRPr="006C4B65">
        <w:rPr>
          <w:lang w:val="nb-NO"/>
        </w:rPr>
        <w:t>6</w:t>
      </w:r>
      <w:r w:rsidR="00755B63" w:rsidRPr="006C4B65">
        <w:rPr>
          <w:lang w:val="nb-NO"/>
        </w:rPr>
        <w:t>)</w:t>
      </w:r>
      <w:r w:rsidRPr="006C4B65">
        <w:rPr>
          <w:lang w:val="nb-NO"/>
        </w:rPr>
        <w:t xml:space="preserve">. </w:t>
      </w:r>
      <w:r w:rsidRPr="00EC4FA9">
        <w:t xml:space="preserve">Front-end definition of projects: Ten paradoxes and some reflections regarding project management and project governance. </w:t>
      </w:r>
      <w:r w:rsidRPr="00EC4FA9">
        <w:rPr>
          <w:i/>
          <w:iCs/>
        </w:rPr>
        <w:t>International Journal of Project Management</w:t>
      </w:r>
      <w:r w:rsidRPr="00EC4FA9">
        <w:t>, 34, 297</w:t>
      </w:r>
      <w:r w:rsidR="002742F0" w:rsidRPr="00EC4FA9">
        <w:t>–</w:t>
      </w:r>
      <w:r w:rsidRPr="00EC4FA9">
        <w:t>313.</w:t>
      </w:r>
    </w:p>
    <w:p w14:paraId="6015FAAF" w14:textId="1E68E83F" w:rsidR="005F3D66" w:rsidRDefault="005F3D66" w:rsidP="00E87CBC">
      <w:r w:rsidRPr="00EC4FA9">
        <w:t>Samset</w:t>
      </w:r>
      <w:r w:rsidR="00980389" w:rsidRPr="00EC4FA9">
        <w:t xml:space="preserve">, K., Andersen, B. and Austeng, K. (2014). To which extent do projects explore the opportunity space? A study of conceptual appraisals and the choice of conceptual solutions. </w:t>
      </w:r>
      <w:r w:rsidR="00980389" w:rsidRPr="00EC4FA9">
        <w:rPr>
          <w:i/>
          <w:iCs/>
        </w:rPr>
        <w:t>International Journal of Managing Projects in Business</w:t>
      </w:r>
      <w:r w:rsidR="00980389" w:rsidRPr="00EC4FA9">
        <w:t>, 7(3), 473-492</w:t>
      </w:r>
      <w:r w:rsidR="00F23857">
        <w:t>.</w:t>
      </w:r>
    </w:p>
    <w:p w14:paraId="0BCC82E8" w14:textId="57FC0959" w:rsidR="009A0DFB" w:rsidRDefault="009A0DFB" w:rsidP="00E87CBC">
      <w:r w:rsidRPr="009A0DFB">
        <w:t xml:space="preserve">Sandberg, J. (2005). </w:t>
      </w:r>
      <w:r w:rsidR="004A0383" w:rsidRPr="00737553">
        <w:t>How Do We Justify Knowledge Produced Within Interpretive Approaches?</w:t>
      </w:r>
      <w:r w:rsidR="004A0383" w:rsidRPr="003F1D65">
        <w:t> </w:t>
      </w:r>
      <w:r w:rsidRPr="003F1D65">
        <w:rPr>
          <w:i/>
          <w:iCs/>
        </w:rPr>
        <w:t xml:space="preserve">Organizational </w:t>
      </w:r>
      <w:r w:rsidR="00737553">
        <w:rPr>
          <w:i/>
          <w:iCs/>
        </w:rPr>
        <w:t>R</w:t>
      </w:r>
      <w:r w:rsidRPr="003F1D65">
        <w:rPr>
          <w:i/>
          <w:iCs/>
        </w:rPr>
        <w:t xml:space="preserve">esearch </w:t>
      </w:r>
      <w:r w:rsidR="00737553">
        <w:rPr>
          <w:i/>
          <w:iCs/>
        </w:rPr>
        <w:t>M</w:t>
      </w:r>
      <w:r w:rsidR="00745E24">
        <w:rPr>
          <w:i/>
          <w:iCs/>
        </w:rPr>
        <w:t>e</w:t>
      </w:r>
      <w:r w:rsidRPr="003F1D65">
        <w:rPr>
          <w:i/>
          <w:iCs/>
        </w:rPr>
        <w:t>thods</w:t>
      </w:r>
      <w:r w:rsidRPr="003F1D65">
        <w:t>, </w:t>
      </w:r>
      <w:r w:rsidRPr="00906238">
        <w:t>8(1)</w:t>
      </w:r>
      <w:r w:rsidRPr="003F1D65">
        <w:t>, 41-68.</w:t>
      </w:r>
    </w:p>
    <w:p w14:paraId="00C6BC69" w14:textId="6F4E6718" w:rsidR="00D61DEE" w:rsidRDefault="00D61DEE" w:rsidP="00E87CBC">
      <w:r w:rsidRPr="00D61DEE">
        <w:t xml:space="preserve">Saunders, M., Lewis, P., </w:t>
      </w:r>
      <w:r w:rsidR="008B4309">
        <w:t>and</w:t>
      </w:r>
      <w:r w:rsidRPr="00D61DEE">
        <w:t xml:space="preserve"> Thornhill, A. (2009). </w:t>
      </w:r>
      <w:r w:rsidRPr="00D61DEE">
        <w:rPr>
          <w:i/>
          <w:iCs/>
        </w:rPr>
        <w:t xml:space="preserve">Research </w:t>
      </w:r>
      <w:r w:rsidR="001F3056">
        <w:rPr>
          <w:i/>
          <w:iCs/>
        </w:rPr>
        <w:t>M</w:t>
      </w:r>
      <w:r w:rsidRPr="003F1D65">
        <w:rPr>
          <w:i/>
          <w:iCs/>
        </w:rPr>
        <w:t>ethods</w:t>
      </w:r>
      <w:r w:rsidRPr="00D61DEE">
        <w:rPr>
          <w:i/>
          <w:iCs/>
        </w:rPr>
        <w:t xml:space="preserve"> for </w:t>
      </w:r>
      <w:r w:rsidR="001F3056">
        <w:rPr>
          <w:i/>
          <w:iCs/>
        </w:rPr>
        <w:t>B</w:t>
      </w:r>
      <w:r w:rsidRPr="003F1D65">
        <w:rPr>
          <w:i/>
          <w:iCs/>
        </w:rPr>
        <w:t xml:space="preserve">usiness </w:t>
      </w:r>
      <w:r w:rsidR="001F3056">
        <w:rPr>
          <w:i/>
          <w:iCs/>
        </w:rPr>
        <w:t>S</w:t>
      </w:r>
      <w:r w:rsidRPr="003F1D65">
        <w:rPr>
          <w:i/>
          <w:iCs/>
        </w:rPr>
        <w:t>tudents</w:t>
      </w:r>
      <w:r w:rsidRPr="003F1D65">
        <w:t xml:space="preserve">. </w:t>
      </w:r>
      <w:r w:rsidR="00DF047B">
        <w:t>London:</w:t>
      </w:r>
      <w:r w:rsidRPr="00D61DEE">
        <w:t xml:space="preserve"> Pearson </w:t>
      </w:r>
      <w:r w:rsidR="00DF047B">
        <w:t>E</w:t>
      </w:r>
      <w:r w:rsidRPr="003F1D65">
        <w:t>ducation.</w:t>
      </w:r>
    </w:p>
    <w:p w14:paraId="0F14D71F" w14:textId="7A58F0DD" w:rsidR="00711C3C" w:rsidRPr="00EC4FA9" w:rsidRDefault="00711C3C" w:rsidP="00E87CBC">
      <w:r w:rsidRPr="00711C3C">
        <w:t xml:space="preserve">Silverman, D. (2021). </w:t>
      </w:r>
      <w:r w:rsidRPr="003F1D65">
        <w:t xml:space="preserve">Doing </w:t>
      </w:r>
      <w:r w:rsidR="002E4324">
        <w:t>Q</w:t>
      </w:r>
      <w:r w:rsidRPr="003F1D65">
        <w:t xml:space="preserve">ualitative </w:t>
      </w:r>
      <w:r w:rsidR="002E4324">
        <w:t>R</w:t>
      </w:r>
      <w:r w:rsidRPr="003F1D65">
        <w:t>esearch. </w:t>
      </w:r>
      <w:r w:rsidR="00E51457">
        <w:t xml:space="preserve">Thousand Oaks, CA: </w:t>
      </w:r>
      <w:r w:rsidR="002E4324" w:rsidRPr="002E4324">
        <w:t>SAGE Publications</w:t>
      </w:r>
      <w:r w:rsidR="002E4324">
        <w:t>.</w:t>
      </w:r>
    </w:p>
    <w:p w14:paraId="09D510C6" w14:textId="3CE95B0C" w:rsidR="00980389" w:rsidRPr="00EC4FA9" w:rsidRDefault="00980389" w:rsidP="00E87CBC">
      <w:pPr>
        <w:rPr>
          <w:rFonts w:cstheme="minorHAnsi"/>
        </w:rPr>
      </w:pPr>
      <w:r w:rsidRPr="00EC4FA9">
        <w:rPr>
          <w:rFonts w:cstheme="minorHAnsi"/>
        </w:rPr>
        <w:t xml:space="preserve">Smith, J. and Jackson, N. (2000). Strategic needs analysis: </w:t>
      </w:r>
      <w:r w:rsidR="00BE3A63">
        <w:rPr>
          <w:rFonts w:cstheme="minorHAnsi"/>
        </w:rPr>
        <w:t>i</w:t>
      </w:r>
      <w:r w:rsidRPr="003F1D65">
        <w:rPr>
          <w:rFonts w:cstheme="minorHAnsi"/>
        </w:rPr>
        <w:t>ts</w:t>
      </w:r>
      <w:r w:rsidRPr="00EC4FA9">
        <w:rPr>
          <w:rFonts w:cstheme="minorHAnsi"/>
        </w:rPr>
        <w:t xml:space="preserve"> role in brief development</w:t>
      </w:r>
      <w:r w:rsidR="00386255">
        <w:rPr>
          <w:rFonts w:cstheme="minorHAnsi"/>
        </w:rPr>
        <w:t>.</w:t>
      </w:r>
      <w:r w:rsidRPr="00EC4FA9">
        <w:rPr>
          <w:rFonts w:cstheme="minorHAnsi"/>
        </w:rPr>
        <w:t xml:space="preserve"> </w:t>
      </w:r>
      <w:r w:rsidRPr="00EC4FA9">
        <w:rPr>
          <w:rFonts w:cstheme="minorHAnsi"/>
          <w:i/>
          <w:iCs/>
        </w:rPr>
        <w:t>Facilities,</w:t>
      </w:r>
      <w:r w:rsidRPr="00EC4FA9">
        <w:rPr>
          <w:rFonts w:cstheme="minorHAnsi"/>
        </w:rPr>
        <w:t xml:space="preserve"> </w:t>
      </w:r>
      <w:r w:rsidR="005A052C" w:rsidRPr="00EC4FA9">
        <w:rPr>
          <w:rFonts w:cstheme="minorHAnsi"/>
        </w:rPr>
        <w:t>18(13/14),</w:t>
      </w:r>
      <w:r w:rsidRPr="00EC4FA9">
        <w:rPr>
          <w:rFonts w:cstheme="minorHAnsi"/>
        </w:rPr>
        <w:t xml:space="preserve"> 502</w:t>
      </w:r>
      <w:r w:rsidR="00F23857">
        <w:rPr>
          <w:rFonts w:cstheme="minorHAnsi"/>
        </w:rPr>
        <w:t>–</w:t>
      </w:r>
      <w:r w:rsidRPr="00EC4FA9">
        <w:rPr>
          <w:rFonts w:cstheme="minorHAnsi"/>
        </w:rPr>
        <w:t>512</w:t>
      </w:r>
      <w:r w:rsidR="00F23857">
        <w:rPr>
          <w:rFonts w:cstheme="minorHAnsi"/>
        </w:rPr>
        <w:t>.</w:t>
      </w:r>
    </w:p>
    <w:p w14:paraId="5D25C123" w14:textId="27CE6715" w:rsidR="00980389" w:rsidRPr="00EC4FA9" w:rsidRDefault="00980389" w:rsidP="00E87CBC">
      <w:pPr>
        <w:rPr>
          <w:rFonts w:cstheme="minorHAnsi"/>
        </w:rPr>
      </w:pPr>
      <w:r w:rsidRPr="00EC4FA9">
        <w:rPr>
          <w:rFonts w:cstheme="minorHAnsi"/>
        </w:rPr>
        <w:t>Smith, J., Love, P.E.D. and Heywood, C. (2006). A method for performance briefing at the project inception stage</w:t>
      </w:r>
      <w:r w:rsidR="00386255">
        <w:rPr>
          <w:rFonts w:cstheme="minorHAnsi"/>
        </w:rPr>
        <w:t>.</w:t>
      </w:r>
      <w:r w:rsidRPr="00EC4FA9">
        <w:rPr>
          <w:rFonts w:cstheme="minorHAnsi"/>
        </w:rPr>
        <w:t xml:space="preserve"> </w:t>
      </w:r>
      <w:r w:rsidRPr="00EC4FA9">
        <w:rPr>
          <w:rFonts w:cstheme="minorHAnsi"/>
          <w:i/>
          <w:iCs/>
        </w:rPr>
        <w:t>Facilities,</w:t>
      </w:r>
      <w:r w:rsidRPr="00EC4FA9">
        <w:rPr>
          <w:rFonts w:cstheme="minorHAnsi"/>
        </w:rPr>
        <w:t xml:space="preserve"> </w:t>
      </w:r>
      <w:r w:rsidR="005A052C" w:rsidRPr="00EC4FA9">
        <w:rPr>
          <w:rFonts w:cstheme="minorHAnsi"/>
        </w:rPr>
        <w:t>23(7/8),</w:t>
      </w:r>
      <w:r w:rsidRPr="00EC4FA9">
        <w:rPr>
          <w:rFonts w:cstheme="minorHAnsi"/>
        </w:rPr>
        <w:t xml:space="preserve"> 319</w:t>
      </w:r>
      <w:r w:rsidR="00F23857">
        <w:t>–</w:t>
      </w:r>
      <w:r w:rsidRPr="00EC4FA9">
        <w:rPr>
          <w:rFonts w:cstheme="minorHAnsi"/>
        </w:rPr>
        <w:t>329</w:t>
      </w:r>
      <w:r w:rsidR="00F23857">
        <w:rPr>
          <w:rFonts w:cstheme="minorHAnsi"/>
        </w:rPr>
        <w:t>.</w:t>
      </w:r>
    </w:p>
    <w:p w14:paraId="3E21704B" w14:textId="436F6A53" w:rsidR="00502267" w:rsidRPr="00EC4FA9" w:rsidRDefault="00180A53" w:rsidP="00E87CBC">
      <w:pPr>
        <w:rPr>
          <w:rFonts w:cstheme="minorHAnsi"/>
        </w:rPr>
      </w:pPr>
      <w:r w:rsidRPr="00180A53">
        <w:rPr>
          <w:rFonts w:cstheme="minorHAnsi"/>
        </w:rPr>
        <w:t xml:space="preserve">Stake R.E. (1995). The </w:t>
      </w:r>
      <w:r w:rsidR="000B459A">
        <w:rPr>
          <w:rFonts w:cstheme="minorHAnsi"/>
        </w:rPr>
        <w:t>A</w:t>
      </w:r>
      <w:r w:rsidRPr="003F1D65">
        <w:rPr>
          <w:rFonts w:cstheme="minorHAnsi"/>
        </w:rPr>
        <w:t>rt</w:t>
      </w:r>
      <w:r w:rsidRPr="00180A53">
        <w:rPr>
          <w:rFonts w:cstheme="minorHAnsi"/>
        </w:rPr>
        <w:t xml:space="preserve"> of </w:t>
      </w:r>
      <w:r w:rsidR="000B459A">
        <w:rPr>
          <w:rFonts w:cstheme="minorHAnsi"/>
        </w:rPr>
        <w:t>C</w:t>
      </w:r>
      <w:r w:rsidRPr="003F1D65">
        <w:rPr>
          <w:rFonts w:cstheme="minorHAnsi"/>
        </w:rPr>
        <w:t xml:space="preserve">ase </w:t>
      </w:r>
      <w:r w:rsidR="000B459A">
        <w:rPr>
          <w:rFonts w:cstheme="minorHAnsi"/>
        </w:rPr>
        <w:t>S</w:t>
      </w:r>
      <w:r w:rsidRPr="003F1D65">
        <w:rPr>
          <w:rFonts w:cstheme="minorHAnsi"/>
        </w:rPr>
        <w:t xml:space="preserve">tudy </w:t>
      </w:r>
      <w:r w:rsidR="000B459A">
        <w:rPr>
          <w:rFonts w:cstheme="minorHAnsi"/>
        </w:rPr>
        <w:t>R</w:t>
      </w:r>
      <w:r w:rsidRPr="003F1D65">
        <w:rPr>
          <w:rFonts w:cstheme="minorHAnsi"/>
        </w:rPr>
        <w:t>esearch.</w:t>
      </w:r>
      <w:r w:rsidRPr="00180A53">
        <w:rPr>
          <w:rFonts w:cstheme="minorHAnsi"/>
        </w:rPr>
        <w:t xml:space="preserve"> </w:t>
      </w:r>
      <w:bookmarkStart w:id="35" w:name="_Hlk156369724"/>
      <w:r w:rsidRPr="00180A53">
        <w:rPr>
          <w:rFonts w:cstheme="minorHAnsi"/>
        </w:rPr>
        <w:t xml:space="preserve">Thousand Oaks, CA: </w:t>
      </w:r>
      <w:bookmarkEnd w:id="35"/>
      <w:r w:rsidRPr="00180A53">
        <w:rPr>
          <w:rFonts w:cstheme="minorHAnsi"/>
        </w:rPr>
        <w:t>Sage</w:t>
      </w:r>
      <w:r>
        <w:rPr>
          <w:rFonts w:cstheme="minorHAnsi"/>
        </w:rPr>
        <w:t xml:space="preserve"> Publications</w:t>
      </w:r>
      <w:r w:rsidRPr="00180A53">
        <w:rPr>
          <w:rFonts w:cstheme="minorHAnsi"/>
        </w:rPr>
        <w:t>.</w:t>
      </w:r>
    </w:p>
    <w:p w14:paraId="449A1EF8" w14:textId="3C4E7785" w:rsidR="0018488C" w:rsidRDefault="009E19BF" w:rsidP="004E4D53">
      <w:r>
        <w:t xml:space="preserve">Tjora, A. (2018). </w:t>
      </w:r>
      <w:r w:rsidR="00443A46" w:rsidRPr="00443A46">
        <w:t>Qualitative Research as Stepwise-Deductive Induction</w:t>
      </w:r>
      <w:r w:rsidR="00443A46">
        <w:t xml:space="preserve">. </w:t>
      </w:r>
      <w:r w:rsidR="007C5AD4">
        <w:t>London: Routledge.</w:t>
      </w:r>
    </w:p>
    <w:p w14:paraId="4FAD8225" w14:textId="42AB66F8" w:rsidR="005A052C" w:rsidRPr="006C0132" w:rsidRDefault="002D08E7" w:rsidP="004E4D53">
      <w:pPr>
        <w:rPr>
          <w:lang w:val="sv-SE"/>
        </w:rPr>
      </w:pPr>
      <w:r w:rsidRPr="00EC4FA9">
        <w:t xml:space="preserve">Too, E. and Weaver, P. (2014). The management of project management: A conceptual framework for project governance. </w:t>
      </w:r>
      <w:r w:rsidRPr="006C0132">
        <w:rPr>
          <w:i/>
          <w:iCs/>
          <w:lang w:val="sv-SE"/>
        </w:rPr>
        <w:t>International Journal of Project Management</w:t>
      </w:r>
      <w:r w:rsidR="00DD6361">
        <w:rPr>
          <w:i/>
          <w:iCs/>
          <w:lang w:val="sv-SE"/>
        </w:rPr>
        <w:t>,</w:t>
      </w:r>
      <w:r w:rsidRPr="006C0132">
        <w:rPr>
          <w:lang w:val="sv-SE"/>
        </w:rPr>
        <w:t xml:space="preserve"> 32(8), 1382–1394.</w:t>
      </w:r>
    </w:p>
    <w:p w14:paraId="3BC837C6" w14:textId="16DD86F6" w:rsidR="004A5467" w:rsidRPr="00EC4FA9" w:rsidRDefault="004A5467" w:rsidP="004E4D53">
      <w:r w:rsidRPr="006C0132">
        <w:rPr>
          <w:lang w:val="sv-SE"/>
        </w:rPr>
        <w:t>Trafikverket</w:t>
      </w:r>
      <w:r w:rsidR="007C6A41" w:rsidRPr="006C0132">
        <w:rPr>
          <w:lang w:val="sv-SE"/>
        </w:rPr>
        <w:t>.</w:t>
      </w:r>
      <w:r w:rsidR="00755B63" w:rsidRPr="006C0132">
        <w:rPr>
          <w:lang w:val="sv-SE"/>
        </w:rPr>
        <w:t xml:space="preserve"> (</w:t>
      </w:r>
      <w:r w:rsidRPr="006C0132">
        <w:rPr>
          <w:lang w:val="sv-SE"/>
        </w:rPr>
        <w:t>202</w:t>
      </w:r>
      <w:r w:rsidR="007830BF" w:rsidRPr="006C0132">
        <w:rPr>
          <w:lang w:val="sv-SE"/>
        </w:rPr>
        <w:t>3</w:t>
      </w:r>
      <w:r w:rsidR="00755B63" w:rsidRPr="006C0132">
        <w:rPr>
          <w:lang w:val="sv-SE"/>
        </w:rPr>
        <w:t>)</w:t>
      </w:r>
      <w:r w:rsidRPr="006C0132">
        <w:rPr>
          <w:lang w:val="sv-SE"/>
        </w:rPr>
        <w:t xml:space="preserve">. </w:t>
      </w:r>
      <w:r w:rsidRPr="006C0132">
        <w:rPr>
          <w:i/>
          <w:lang w:val="sv-SE"/>
        </w:rPr>
        <w:t>Analysmetod och samhällsekonomiska kalkylvärden för transportsektorn: ASEK 7.</w:t>
      </w:r>
      <w:r w:rsidR="007830BF" w:rsidRPr="006C0132">
        <w:rPr>
          <w:i/>
          <w:lang w:val="sv-SE"/>
        </w:rPr>
        <w:t>1</w:t>
      </w:r>
      <w:r w:rsidRPr="006C0132">
        <w:rPr>
          <w:lang w:val="sv-SE"/>
        </w:rPr>
        <w:t xml:space="preserve">. </w:t>
      </w:r>
      <w:r w:rsidRPr="00EC4FA9">
        <w:t>Version 202</w:t>
      </w:r>
      <w:r w:rsidR="007830BF" w:rsidRPr="00EC4FA9">
        <w:t>3</w:t>
      </w:r>
      <w:r w:rsidRPr="00EC4FA9">
        <w:t>-</w:t>
      </w:r>
      <w:r w:rsidR="007830BF" w:rsidRPr="00EC4FA9">
        <w:t>04</w:t>
      </w:r>
      <w:r w:rsidRPr="00EC4FA9">
        <w:t>-01.</w:t>
      </w:r>
      <w:r w:rsidR="006D30DD">
        <w:t xml:space="preserve"> </w:t>
      </w:r>
    </w:p>
    <w:p w14:paraId="4B3AF3A2" w14:textId="107A3BD3" w:rsidR="002F659B" w:rsidRPr="00EC4FA9" w:rsidRDefault="002F659B" w:rsidP="004E4D53">
      <w:r w:rsidRPr="00EC4FA9">
        <w:t>Transport Infrastructure Ireland</w:t>
      </w:r>
      <w:r w:rsidR="007C6A41">
        <w:t>.</w:t>
      </w:r>
      <w:r w:rsidR="00755B63" w:rsidRPr="00EC4FA9">
        <w:t xml:space="preserve"> (</w:t>
      </w:r>
      <w:r w:rsidRPr="00EC4FA9">
        <w:t>2016</w:t>
      </w:r>
      <w:r w:rsidR="00755B63" w:rsidRPr="00EC4FA9">
        <w:t>)</w:t>
      </w:r>
      <w:r w:rsidRPr="00EC4FA9">
        <w:t xml:space="preserve">. </w:t>
      </w:r>
      <w:r w:rsidRPr="00EC4FA9">
        <w:rPr>
          <w:i/>
        </w:rPr>
        <w:t xml:space="preserve">Project Appraisal Guidelines for National Roads Unit 4.0 </w:t>
      </w:r>
      <w:r w:rsidR="008D6AF6" w:rsidRPr="00EC4FA9">
        <w:rPr>
          <w:i/>
        </w:rPr>
        <w:t>–</w:t>
      </w:r>
      <w:r w:rsidRPr="00EC4FA9">
        <w:rPr>
          <w:i/>
        </w:rPr>
        <w:t xml:space="preserve"> Consideration of Alternatives and Options</w:t>
      </w:r>
      <w:r w:rsidRPr="00EC4FA9">
        <w:t>.</w:t>
      </w:r>
      <w:r w:rsidR="008D6AF6" w:rsidRPr="00EC4FA9">
        <w:t xml:space="preserve"> https://www.tiipublications.ie/library/PE-PAG-02013-01.pdf (accessed 13 April 2023).</w:t>
      </w:r>
    </w:p>
    <w:p w14:paraId="1B001A09" w14:textId="209F41A6" w:rsidR="007D5D70" w:rsidRPr="00EC4FA9" w:rsidRDefault="007D5D70" w:rsidP="007D5D70">
      <w:r w:rsidRPr="00EC4FA9">
        <w:lastRenderedPageBreak/>
        <w:t>Tveter, E.</w:t>
      </w:r>
      <w:r w:rsidR="00755B63" w:rsidRPr="00EC4FA9">
        <w:t xml:space="preserve"> (</w:t>
      </w:r>
      <w:r w:rsidRPr="00EC4FA9">
        <w:t>2013</w:t>
      </w:r>
      <w:r w:rsidR="00755B63" w:rsidRPr="00EC4FA9">
        <w:t>)</w:t>
      </w:r>
      <w:r w:rsidRPr="00EC4FA9">
        <w:t xml:space="preserve">. Dealing with the base-case in cost-benefit analysis. </w:t>
      </w:r>
      <w:r w:rsidR="008D6AF6" w:rsidRPr="00EC4FA9">
        <w:t xml:space="preserve">Paper presented at the 41st </w:t>
      </w:r>
      <w:r w:rsidRPr="000B459A">
        <w:rPr>
          <w:i/>
        </w:rPr>
        <w:t>European Transport Conference</w:t>
      </w:r>
      <w:r w:rsidR="008D6AF6" w:rsidRPr="00EC4FA9">
        <w:t>,</w:t>
      </w:r>
      <w:r w:rsidRPr="00EC4FA9">
        <w:t xml:space="preserve"> </w:t>
      </w:r>
      <w:r w:rsidR="008D6AF6" w:rsidRPr="00EC4FA9">
        <w:t xml:space="preserve">30 </w:t>
      </w:r>
      <w:r w:rsidRPr="00EC4FA9">
        <w:t xml:space="preserve">September – </w:t>
      </w:r>
      <w:r w:rsidR="008D6AF6" w:rsidRPr="00EC4FA9">
        <w:t xml:space="preserve">2 </w:t>
      </w:r>
      <w:r w:rsidRPr="00EC4FA9">
        <w:t>October</w:t>
      </w:r>
      <w:r w:rsidR="003526DB" w:rsidRPr="00EC4FA9">
        <w:t xml:space="preserve"> 2013</w:t>
      </w:r>
      <w:r w:rsidR="006D30DD">
        <w:t xml:space="preserve">, </w:t>
      </w:r>
      <w:r w:rsidR="006D30DD" w:rsidRPr="00EC4FA9">
        <w:t>Frankfurt</w:t>
      </w:r>
      <w:r w:rsidR="004A0383">
        <w:t>.</w:t>
      </w:r>
      <w:r w:rsidR="00386255">
        <w:t xml:space="preserve"> </w:t>
      </w:r>
    </w:p>
    <w:p w14:paraId="7A4F116D" w14:textId="312FCA57" w:rsidR="005F3D66" w:rsidRPr="00EC4FA9" w:rsidRDefault="000B459A" w:rsidP="007D5D70">
      <w:r>
        <w:t>V</w:t>
      </w:r>
      <w:r w:rsidR="005F3D66" w:rsidRPr="003F1D65">
        <w:t>an</w:t>
      </w:r>
      <w:r w:rsidR="005F3D66" w:rsidRPr="00EC4FA9">
        <w:t xml:space="preserve"> Wee</w:t>
      </w:r>
      <w:r w:rsidR="00980389" w:rsidRPr="00EC4FA9">
        <w:t>, B.</w:t>
      </w:r>
      <w:r w:rsidR="005F3D66" w:rsidRPr="00EC4FA9">
        <w:t xml:space="preserve"> </w:t>
      </w:r>
      <w:r w:rsidR="00980389" w:rsidRPr="00EC4FA9">
        <w:t>(</w:t>
      </w:r>
      <w:r w:rsidR="005F3D66" w:rsidRPr="00EC4FA9">
        <w:t>2022</w:t>
      </w:r>
      <w:r w:rsidR="00980389" w:rsidRPr="00EC4FA9">
        <w:t>). Incentives and politics</w:t>
      </w:r>
      <w:r w:rsidR="0017794F">
        <w:t>:</w:t>
      </w:r>
      <w:r w:rsidR="00980389" w:rsidRPr="00EC4FA9">
        <w:t xml:space="preserve"> The perverse incentive paradox</w:t>
      </w:r>
      <w:r w:rsidR="0017794F">
        <w:t>:</w:t>
      </w:r>
      <w:r w:rsidR="00980389" w:rsidRPr="00EC4FA9">
        <w:t xml:space="preserve"> root cause of many other paradoxes</w:t>
      </w:r>
      <w:r w:rsidR="0017794F">
        <w:t>;</w:t>
      </w:r>
      <w:r w:rsidR="00980389" w:rsidRPr="00EC4FA9">
        <w:t xml:space="preserve"> </w:t>
      </w:r>
      <w:r w:rsidR="0017794F">
        <w:t>T</w:t>
      </w:r>
      <w:r w:rsidR="00980389" w:rsidRPr="00EC4FA9">
        <w:t>he case of the Dutch Betuweroute</w:t>
      </w:r>
      <w:r w:rsidR="00386255">
        <w:t>.</w:t>
      </w:r>
      <w:r w:rsidR="00980389" w:rsidRPr="00EC4FA9">
        <w:t xml:space="preserve"> </w:t>
      </w:r>
      <w:r w:rsidR="00386255">
        <w:t>I</w:t>
      </w:r>
      <w:r w:rsidR="00980389" w:rsidRPr="00EC4FA9">
        <w:t xml:space="preserve">n Williams, T., Samset, K. and Volden, G.H. (Eds.). </w:t>
      </w:r>
      <w:r w:rsidR="00980389" w:rsidRPr="00EC4FA9">
        <w:rPr>
          <w:i/>
          <w:iCs/>
        </w:rPr>
        <w:t xml:space="preserve">The </w:t>
      </w:r>
      <w:r w:rsidR="002067A2">
        <w:rPr>
          <w:i/>
          <w:iCs/>
        </w:rPr>
        <w:t>F</w:t>
      </w:r>
      <w:r w:rsidR="00980389" w:rsidRPr="00EC4FA9">
        <w:rPr>
          <w:i/>
          <w:iCs/>
        </w:rPr>
        <w:t>ront-</w:t>
      </w:r>
      <w:r w:rsidR="002067A2">
        <w:rPr>
          <w:i/>
          <w:iCs/>
        </w:rPr>
        <w:t>E</w:t>
      </w:r>
      <w:r w:rsidR="00980389" w:rsidRPr="00EC4FA9">
        <w:rPr>
          <w:i/>
          <w:iCs/>
        </w:rPr>
        <w:t xml:space="preserve">nd of </w:t>
      </w:r>
      <w:r w:rsidR="002067A2">
        <w:rPr>
          <w:i/>
          <w:iCs/>
        </w:rPr>
        <w:t>L</w:t>
      </w:r>
      <w:r w:rsidR="00980389" w:rsidRPr="00EC4FA9">
        <w:rPr>
          <w:i/>
          <w:iCs/>
        </w:rPr>
        <w:t xml:space="preserve">arge </w:t>
      </w:r>
      <w:r w:rsidR="002067A2">
        <w:rPr>
          <w:i/>
          <w:iCs/>
        </w:rPr>
        <w:t>P</w:t>
      </w:r>
      <w:r w:rsidR="00980389" w:rsidRPr="00EC4FA9">
        <w:rPr>
          <w:i/>
          <w:iCs/>
        </w:rPr>
        <w:t xml:space="preserve">ublic </w:t>
      </w:r>
      <w:r w:rsidR="002067A2">
        <w:rPr>
          <w:i/>
          <w:iCs/>
        </w:rPr>
        <w:t>P</w:t>
      </w:r>
      <w:r w:rsidR="00980389" w:rsidRPr="00EC4FA9">
        <w:rPr>
          <w:i/>
          <w:iCs/>
        </w:rPr>
        <w:t>rojects</w:t>
      </w:r>
      <w:r w:rsidR="002067A2">
        <w:rPr>
          <w:i/>
          <w:iCs/>
        </w:rPr>
        <w:t>:</w:t>
      </w:r>
      <w:r w:rsidR="00980389" w:rsidRPr="00EC4FA9">
        <w:rPr>
          <w:i/>
          <w:iCs/>
        </w:rPr>
        <w:t xml:space="preserve"> Paradoxes and </w:t>
      </w:r>
      <w:r w:rsidR="002067A2">
        <w:rPr>
          <w:i/>
          <w:iCs/>
        </w:rPr>
        <w:t>W</w:t>
      </w:r>
      <w:r w:rsidR="00980389" w:rsidRPr="00EC4FA9">
        <w:rPr>
          <w:i/>
          <w:iCs/>
        </w:rPr>
        <w:t xml:space="preserve">ays </w:t>
      </w:r>
      <w:r w:rsidR="002067A2">
        <w:rPr>
          <w:i/>
          <w:iCs/>
        </w:rPr>
        <w:t>A</w:t>
      </w:r>
      <w:r w:rsidR="00980389" w:rsidRPr="00EC4FA9">
        <w:rPr>
          <w:i/>
          <w:iCs/>
        </w:rPr>
        <w:t>head</w:t>
      </w:r>
      <w:r w:rsidR="002067A2">
        <w:t xml:space="preserve">, </w:t>
      </w:r>
      <w:r w:rsidR="00B34CAA">
        <w:t>130-157</w:t>
      </w:r>
      <w:r w:rsidR="002067A2">
        <w:t>.</w:t>
      </w:r>
      <w:r w:rsidR="00980389" w:rsidRPr="00EC4FA9">
        <w:t xml:space="preserve"> </w:t>
      </w:r>
      <w:r w:rsidR="000E2A84">
        <w:t xml:space="preserve">London: </w:t>
      </w:r>
      <w:r w:rsidR="002067A2">
        <w:t>Routle</w:t>
      </w:r>
      <w:r w:rsidR="0017794F">
        <w:t>d</w:t>
      </w:r>
      <w:r w:rsidR="002067A2">
        <w:t>ge</w:t>
      </w:r>
      <w:r w:rsidR="000E2A84">
        <w:t>.</w:t>
      </w:r>
      <w:r w:rsidR="00B34CAA">
        <w:t xml:space="preserve"> </w:t>
      </w:r>
    </w:p>
    <w:p w14:paraId="3B1A8731" w14:textId="1032E872" w:rsidR="00C350D6" w:rsidRPr="00EC4FA9" w:rsidRDefault="00C350D6" w:rsidP="007D5D70">
      <w:r w:rsidRPr="00EC4FA9">
        <w:t>Volden, G.H.</w:t>
      </w:r>
      <w:r w:rsidR="00755B63" w:rsidRPr="00EC4FA9">
        <w:t xml:space="preserve"> (</w:t>
      </w:r>
      <w:r w:rsidRPr="00EC4FA9">
        <w:t>2018</w:t>
      </w:r>
      <w:r w:rsidR="00755B63" w:rsidRPr="00EC4FA9">
        <w:t>)</w:t>
      </w:r>
      <w:r w:rsidRPr="00EC4FA9">
        <w:t>. Public funding, perverse incentives, and counterproductive outcomes</w:t>
      </w:r>
      <w:r w:rsidR="00386255">
        <w:t>.</w:t>
      </w:r>
      <w:r w:rsidRPr="00EC4FA9">
        <w:t xml:space="preserve"> </w:t>
      </w:r>
      <w:r w:rsidRPr="00EC4FA9">
        <w:rPr>
          <w:i/>
          <w:iCs/>
        </w:rPr>
        <w:t>International Journal of Managing Projects in Business</w:t>
      </w:r>
      <w:r w:rsidR="00762358" w:rsidRPr="00EC4FA9">
        <w:t>,</w:t>
      </w:r>
      <w:r w:rsidRPr="00EC4FA9">
        <w:t xml:space="preserve"> 12, 466</w:t>
      </w:r>
      <w:r w:rsidR="002742F0" w:rsidRPr="00EC4FA9">
        <w:t>–</w:t>
      </w:r>
      <w:r w:rsidRPr="00EC4FA9">
        <w:t>486</w:t>
      </w:r>
      <w:r w:rsidR="00762358" w:rsidRPr="00EC4FA9">
        <w:t>.</w:t>
      </w:r>
    </w:p>
    <w:p w14:paraId="171F94BA" w14:textId="06F511B8" w:rsidR="00946DE8" w:rsidRPr="00EC4FA9" w:rsidRDefault="00946DE8" w:rsidP="00894578">
      <w:r w:rsidRPr="00EC4FA9">
        <w:t>Volden, G.H.</w:t>
      </w:r>
      <w:r w:rsidR="00755B63" w:rsidRPr="00EC4FA9">
        <w:t xml:space="preserve"> (</w:t>
      </w:r>
      <w:r w:rsidRPr="00EC4FA9">
        <w:t>2019</w:t>
      </w:r>
      <w:r w:rsidR="00755B63" w:rsidRPr="00EC4FA9">
        <w:t>)</w:t>
      </w:r>
      <w:r w:rsidRPr="00EC4FA9">
        <w:t xml:space="preserve">. </w:t>
      </w:r>
      <w:r w:rsidR="00894578" w:rsidRPr="00EC4FA9">
        <w:t xml:space="preserve">Assessing public projects’ value for money: An empirical study of the usefulness of cost-benefit analyses in decision-making. </w:t>
      </w:r>
      <w:r w:rsidR="00894578" w:rsidRPr="00EC4FA9">
        <w:rPr>
          <w:i/>
          <w:iCs/>
        </w:rPr>
        <w:t>International Journal of Project Management</w:t>
      </w:r>
      <w:r w:rsidR="00894578" w:rsidRPr="00EC4FA9">
        <w:t>, 3</w:t>
      </w:r>
      <w:r w:rsidR="001D2DAF" w:rsidRPr="00EC4FA9">
        <w:t>7</w:t>
      </w:r>
      <w:r w:rsidR="00894578" w:rsidRPr="00EC4FA9">
        <w:t>, 549</w:t>
      </w:r>
      <w:r w:rsidR="008D6AF6" w:rsidRPr="00EC4FA9">
        <w:t>–</w:t>
      </w:r>
      <w:r w:rsidR="00894578" w:rsidRPr="00EC4FA9">
        <w:t>564</w:t>
      </w:r>
      <w:r w:rsidR="001D2DAF" w:rsidRPr="00EC4FA9">
        <w:t>.</w:t>
      </w:r>
    </w:p>
    <w:p w14:paraId="21BFE735" w14:textId="369AF5BC" w:rsidR="00F83AFB" w:rsidRPr="00EC4FA9" w:rsidRDefault="00F83AFB" w:rsidP="00F83AFB">
      <w:r w:rsidRPr="00EC4FA9">
        <w:t>Volden, G.H. and Samset, K. (2017</w:t>
      </w:r>
      <w:r w:rsidR="005F3D66" w:rsidRPr="00EC4FA9">
        <w:t>a</w:t>
      </w:r>
      <w:r w:rsidRPr="00EC4FA9">
        <w:t>). Quality assurance in megaproject management</w:t>
      </w:r>
      <w:r w:rsidR="008D6AF6" w:rsidRPr="00EC4FA9">
        <w:t>:</w:t>
      </w:r>
      <w:r w:rsidRPr="00EC4FA9">
        <w:t xml:space="preserve"> </w:t>
      </w:r>
      <w:r w:rsidR="008D6AF6" w:rsidRPr="00EC4FA9">
        <w:t>T</w:t>
      </w:r>
      <w:r w:rsidRPr="00EC4FA9">
        <w:t>he Norwegian way</w:t>
      </w:r>
      <w:r w:rsidR="008D6AF6" w:rsidRPr="00EC4FA9">
        <w:t>. I</w:t>
      </w:r>
      <w:r w:rsidRPr="00EC4FA9">
        <w:t xml:space="preserve">n Flyvbjerg, B. (ed.) </w:t>
      </w:r>
      <w:r w:rsidRPr="00EC4FA9">
        <w:rPr>
          <w:i/>
          <w:iCs/>
        </w:rPr>
        <w:t>The Oxford Handbook of Megaproject Management</w:t>
      </w:r>
      <w:r w:rsidRPr="00EC4FA9">
        <w:t xml:space="preserve">, </w:t>
      </w:r>
      <w:r w:rsidR="008D6AF6" w:rsidRPr="00EC4FA9">
        <w:t xml:space="preserve">406–428. </w:t>
      </w:r>
      <w:r w:rsidR="008E0F12">
        <w:t xml:space="preserve">Oxford: </w:t>
      </w:r>
      <w:r w:rsidRPr="00EC4FA9">
        <w:t>Oxford University Press</w:t>
      </w:r>
      <w:r w:rsidR="008D6AF6" w:rsidRPr="00EC4FA9">
        <w:t>.</w:t>
      </w:r>
    </w:p>
    <w:p w14:paraId="7F3C4513" w14:textId="46557EFA" w:rsidR="005F3D66" w:rsidRPr="00EC4FA9" w:rsidRDefault="005F3D66" w:rsidP="00F83AFB">
      <w:r w:rsidRPr="006C4B65">
        <w:rPr>
          <w:lang w:val="nb-NO"/>
        </w:rPr>
        <w:t>Volden</w:t>
      </w:r>
      <w:r w:rsidR="007C6A41" w:rsidRPr="006C4B65">
        <w:rPr>
          <w:lang w:val="nb-NO"/>
        </w:rPr>
        <w:t>, G.H.</w:t>
      </w:r>
      <w:r w:rsidRPr="006C4B65">
        <w:rPr>
          <w:lang w:val="nb-NO"/>
        </w:rPr>
        <w:t xml:space="preserve"> and Samset</w:t>
      </w:r>
      <w:r w:rsidR="007C6A41" w:rsidRPr="006C4B65">
        <w:rPr>
          <w:lang w:val="nb-NO"/>
        </w:rPr>
        <w:t>, K.</w:t>
      </w:r>
      <w:r w:rsidRPr="006C4B65">
        <w:rPr>
          <w:lang w:val="nb-NO"/>
        </w:rPr>
        <w:t xml:space="preserve"> </w:t>
      </w:r>
      <w:r w:rsidR="002D08E7" w:rsidRPr="006C4B65">
        <w:rPr>
          <w:lang w:val="nb-NO"/>
        </w:rPr>
        <w:t>(</w:t>
      </w:r>
      <w:r w:rsidRPr="006C4B65">
        <w:rPr>
          <w:lang w:val="nb-NO"/>
        </w:rPr>
        <w:t>2017b</w:t>
      </w:r>
      <w:r w:rsidR="002D08E7" w:rsidRPr="006C4B65">
        <w:rPr>
          <w:lang w:val="nb-NO"/>
        </w:rPr>
        <w:t xml:space="preserve">). </w:t>
      </w:r>
      <w:r w:rsidR="002D08E7" w:rsidRPr="00EC4FA9">
        <w:t>Governance frameworks for major public investment projects: Principles and practices in six countries</w:t>
      </w:r>
      <w:r w:rsidR="00386255">
        <w:t>.</w:t>
      </w:r>
      <w:r w:rsidR="002D08E7" w:rsidRPr="00EC4FA9">
        <w:t xml:space="preserve"> </w:t>
      </w:r>
      <w:r w:rsidR="002D08E7" w:rsidRPr="00EC4FA9">
        <w:rPr>
          <w:i/>
          <w:iCs/>
        </w:rPr>
        <w:t>Project Management Journal</w:t>
      </w:r>
      <w:r w:rsidR="002D08E7" w:rsidRPr="00EC4FA9">
        <w:t xml:space="preserve"> 48(3), 90–108</w:t>
      </w:r>
      <w:r w:rsidR="00F23857">
        <w:t>.</w:t>
      </w:r>
    </w:p>
    <w:p w14:paraId="4B3713D1" w14:textId="272EFECE" w:rsidR="007D5D70" w:rsidRPr="006C4B65" w:rsidRDefault="00C43DF9" w:rsidP="004E4D53">
      <w:pPr>
        <w:rPr>
          <w:lang w:val="nb-NO"/>
        </w:rPr>
      </w:pPr>
      <w:r w:rsidRPr="003F1D65">
        <w:t xml:space="preserve">Wangsness, P.B, </w:t>
      </w:r>
      <w:r w:rsidR="00BF5607" w:rsidRPr="003F1D65">
        <w:t>Holmen, R.B. and Hansen, W.</w:t>
      </w:r>
      <w:r w:rsidR="00755B63" w:rsidRPr="003F1D65">
        <w:t xml:space="preserve"> (</w:t>
      </w:r>
      <w:r w:rsidR="00BF5607" w:rsidRPr="003F1D65">
        <w:t>2022</w:t>
      </w:r>
      <w:r w:rsidR="00755B63" w:rsidRPr="003F1D65">
        <w:t>)</w:t>
      </w:r>
      <w:r w:rsidR="00BF5607" w:rsidRPr="003F1D65">
        <w:t xml:space="preserve">. </w:t>
      </w:r>
      <w:r w:rsidR="00773DE1" w:rsidRPr="006C4B65">
        <w:rPr>
          <w:rStyle w:val="markedcontent"/>
          <w:rFonts w:cs="Times New Roman"/>
          <w:i/>
          <w:lang w:val="nb-NO"/>
        </w:rPr>
        <w:t>Internasjonal sammenligning av retningslinjer for samfunnsøkonomiske analyser i transportsektoren: 7 land og 21 temaer</w:t>
      </w:r>
      <w:r w:rsidR="00CD285E" w:rsidRPr="006C4B65">
        <w:rPr>
          <w:lang w:val="nb-NO"/>
        </w:rPr>
        <w:t>.</w:t>
      </w:r>
      <w:r w:rsidR="00BF5607" w:rsidRPr="006C4B65">
        <w:rPr>
          <w:lang w:val="nb-NO"/>
        </w:rPr>
        <w:t xml:space="preserve"> </w:t>
      </w:r>
      <w:r w:rsidR="00D458BD" w:rsidRPr="006C4B65">
        <w:rPr>
          <w:lang w:val="nb-NO"/>
        </w:rPr>
        <w:t>TØI Report 1930/2022. Oslo:</w:t>
      </w:r>
      <w:r w:rsidR="00773DE1" w:rsidRPr="006C4B65">
        <w:rPr>
          <w:lang w:val="nb-NO"/>
        </w:rPr>
        <w:t xml:space="preserve"> Transportøkonomisk institutt</w:t>
      </w:r>
      <w:r w:rsidR="00D458BD" w:rsidRPr="006C4B65">
        <w:rPr>
          <w:lang w:val="nb-NO"/>
        </w:rPr>
        <w:t>.</w:t>
      </w:r>
      <w:r w:rsidR="00773DE1" w:rsidRPr="006C4B65">
        <w:rPr>
          <w:lang w:val="nb-NO"/>
        </w:rPr>
        <w:t xml:space="preserve"> https://www.toi.no/getfile.php?mmfileid=74535 (accessed 13 April 2023).</w:t>
      </w:r>
    </w:p>
    <w:p w14:paraId="1A763144" w14:textId="51FD26D3" w:rsidR="00DB1CE5" w:rsidRPr="00EC4FA9" w:rsidRDefault="00911670" w:rsidP="00DB1CE5">
      <w:r w:rsidRPr="00EC4FA9">
        <w:t>Welde, M. and Odeck, J.</w:t>
      </w:r>
      <w:r w:rsidR="00755B63" w:rsidRPr="00EC4FA9">
        <w:t xml:space="preserve"> (</w:t>
      </w:r>
      <w:r w:rsidRPr="00EC4FA9">
        <w:t>201</w:t>
      </w:r>
      <w:r w:rsidR="00155B10" w:rsidRPr="00EC4FA9">
        <w:t>7</w:t>
      </w:r>
      <w:r w:rsidR="00755B63" w:rsidRPr="00EC4FA9">
        <w:t>)</w:t>
      </w:r>
      <w:r w:rsidR="00155B10" w:rsidRPr="00EC4FA9">
        <w:t xml:space="preserve">. Cost escalations in the front-end of projects – empirical evidence from Norwegian road projects. </w:t>
      </w:r>
      <w:r w:rsidR="00155B10" w:rsidRPr="00EC4FA9">
        <w:rPr>
          <w:i/>
          <w:iCs/>
        </w:rPr>
        <w:t>Transport Reviews</w:t>
      </w:r>
      <w:r w:rsidR="00155B10" w:rsidRPr="00EC4FA9">
        <w:t xml:space="preserve">, 37, </w:t>
      </w:r>
      <w:r w:rsidR="00300538" w:rsidRPr="00EC4FA9">
        <w:t>612</w:t>
      </w:r>
      <w:r w:rsidR="002742F0" w:rsidRPr="00EC4FA9">
        <w:t>–</w:t>
      </w:r>
      <w:r w:rsidR="00300538" w:rsidRPr="00EC4FA9">
        <w:t>630.</w:t>
      </w:r>
    </w:p>
    <w:p w14:paraId="42C32FBC" w14:textId="25377BD2" w:rsidR="003F15A5" w:rsidRDefault="003F15A5" w:rsidP="00DB1CE5">
      <w:pPr>
        <w:rPr>
          <w:rStyle w:val="Hyperlink"/>
        </w:rPr>
      </w:pPr>
      <w:r w:rsidRPr="006C4B65">
        <w:rPr>
          <w:lang w:val="en-US"/>
        </w:rPr>
        <w:t>Welde, M. and Klakegg, O.J.</w:t>
      </w:r>
      <w:r w:rsidR="00755B63" w:rsidRPr="006C4B65">
        <w:rPr>
          <w:lang w:val="en-US"/>
        </w:rPr>
        <w:t xml:space="preserve"> (</w:t>
      </w:r>
      <w:r w:rsidRPr="006C4B65">
        <w:rPr>
          <w:lang w:val="en-US"/>
        </w:rPr>
        <w:t>2022</w:t>
      </w:r>
      <w:r w:rsidR="00755B63" w:rsidRPr="006C4B65">
        <w:rPr>
          <w:lang w:val="en-US"/>
        </w:rPr>
        <w:t>)</w:t>
      </w:r>
      <w:r w:rsidRPr="006C4B65">
        <w:rPr>
          <w:lang w:val="en-US"/>
        </w:rPr>
        <w:t xml:space="preserve">. </w:t>
      </w:r>
      <w:r w:rsidRPr="00EC4FA9">
        <w:t>Avoiding cost overrun through stochastic cost estimation and external quality assurance</w:t>
      </w:r>
      <w:r w:rsidR="00386255">
        <w:t>.</w:t>
      </w:r>
      <w:r w:rsidRPr="00EC4FA9">
        <w:t xml:space="preserve"> </w:t>
      </w:r>
      <w:r w:rsidRPr="00EC4FA9">
        <w:rPr>
          <w:i/>
          <w:iCs/>
        </w:rPr>
        <w:t xml:space="preserve">IEEE Transactions on </w:t>
      </w:r>
      <w:r w:rsidR="00277E04" w:rsidRPr="00EC4FA9">
        <w:rPr>
          <w:i/>
          <w:iCs/>
        </w:rPr>
        <w:t>E</w:t>
      </w:r>
      <w:r w:rsidRPr="00EC4FA9">
        <w:rPr>
          <w:i/>
          <w:iCs/>
        </w:rPr>
        <w:t xml:space="preserve">ngineering </w:t>
      </w:r>
      <w:r w:rsidR="00277E04" w:rsidRPr="00EC4FA9">
        <w:rPr>
          <w:i/>
          <w:iCs/>
        </w:rPr>
        <w:t>M</w:t>
      </w:r>
      <w:r w:rsidRPr="00EC4FA9">
        <w:rPr>
          <w:i/>
          <w:iCs/>
        </w:rPr>
        <w:t>anagement</w:t>
      </w:r>
      <w:r w:rsidR="00277E04" w:rsidRPr="00EC4FA9">
        <w:t xml:space="preserve">. </w:t>
      </w:r>
      <w:r w:rsidR="0017794F" w:rsidRPr="005258C0">
        <w:rPr>
          <w:rStyle w:val="Strong"/>
          <w:b w:val="0"/>
          <w:bCs w:val="0"/>
        </w:rPr>
        <w:t xml:space="preserve">DOI: </w:t>
      </w:r>
      <w:hyperlink r:id="rId18" w:tgtFrame="_blank" w:history="1">
        <w:r w:rsidR="0017794F">
          <w:rPr>
            <w:rStyle w:val="Hyperlink"/>
          </w:rPr>
          <w:t>10.1109/TEM.2022.3173175</w:t>
        </w:r>
      </w:hyperlink>
    </w:p>
    <w:p w14:paraId="4B1FED9A" w14:textId="7F26A3D3" w:rsidR="008C2D21" w:rsidRPr="00EC4FA9" w:rsidRDefault="007031AE" w:rsidP="00DB1CE5">
      <w:r w:rsidRPr="007031AE">
        <w:t xml:space="preserve">Wengraf, T. (2001). </w:t>
      </w:r>
      <w:r w:rsidRPr="003F1D65">
        <w:t xml:space="preserve"> </w:t>
      </w:r>
      <w:r w:rsidR="00E56F58">
        <w:t>Qualitative Research Interviewing Biographic Narrative and Semi-Structured Methods.</w:t>
      </w:r>
      <w:r w:rsidR="00E56F58" w:rsidRPr="007031AE">
        <w:t xml:space="preserve"> </w:t>
      </w:r>
      <w:r w:rsidRPr="006C4B65">
        <w:rPr>
          <w:i/>
          <w:iCs/>
        </w:rPr>
        <w:t>Qualitative Research Interviewing</w:t>
      </w:r>
      <w:r w:rsidRPr="007031AE">
        <w:t>, 1-424.</w:t>
      </w:r>
    </w:p>
    <w:p w14:paraId="7B876D7C" w14:textId="5D4ED877" w:rsidR="00D92FB2" w:rsidRPr="002810E6" w:rsidRDefault="00D92FB2" w:rsidP="00D92FB2">
      <w:pPr>
        <w:rPr>
          <w:rFonts w:cstheme="minorHAnsi"/>
        </w:rPr>
      </w:pPr>
      <w:r>
        <w:rPr>
          <w:rFonts w:cstheme="minorHAnsi"/>
        </w:rPr>
        <w:t>Whist, E. and Christensen, T. (2011).</w:t>
      </w:r>
      <w:r w:rsidRPr="00D92FB2">
        <w:t xml:space="preserve"> </w:t>
      </w:r>
      <w:r w:rsidRPr="002810E6">
        <w:rPr>
          <w:rFonts w:cstheme="minorHAnsi"/>
          <w:i/>
          <w:iCs/>
        </w:rPr>
        <w:t>Politisk styring, lokal rasjonalitet og komplekse koalisjoner,</w:t>
      </w:r>
      <w:r w:rsidRPr="002810E6">
        <w:rPr>
          <w:rFonts w:cstheme="minorHAnsi"/>
        </w:rPr>
        <w:t xml:space="preserve"> Concept report no. 26, </w:t>
      </w:r>
      <w:r w:rsidR="008B08AB" w:rsidRPr="002810E6">
        <w:rPr>
          <w:rFonts w:cstheme="minorHAnsi"/>
        </w:rPr>
        <w:t xml:space="preserve">Trondheim: </w:t>
      </w:r>
      <w:r w:rsidRPr="002810E6">
        <w:rPr>
          <w:rFonts w:cstheme="minorHAnsi"/>
        </w:rPr>
        <w:t>Ex Ante Academic Publisher</w:t>
      </w:r>
      <w:r w:rsidR="007F5AB6" w:rsidRPr="002810E6">
        <w:rPr>
          <w:rFonts w:cstheme="minorHAnsi"/>
        </w:rPr>
        <w:t>.</w:t>
      </w:r>
    </w:p>
    <w:p w14:paraId="7416067C" w14:textId="5E4FA389" w:rsidR="002D08E7" w:rsidRDefault="002D08E7" w:rsidP="00DB1CE5">
      <w:pPr>
        <w:rPr>
          <w:rFonts w:cstheme="minorHAnsi"/>
        </w:rPr>
      </w:pPr>
      <w:r w:rsidRPr="006C0132">
        <w:rPr>
          <w:rFonts w:cstheme="minorHAnsi"/>
        </w:rPr>
        <w:t xml:space="preserve">Williams, T., Klakegg, O.J., Magnussen, O.M. and Glasspool, H. (2010). </w:t>
      </w:r>
      <w:r w:rsidRPr="00EC4FA9">
        <w:rPr>
          <w:rFonts w:cstheme="minorHAnsi"/>
        </w:rPr>
        <w:t xml:space="preserve">An investigation of governance frameworks for public projects in Norway and the UK. </w:t>
      </w:r>
      <w:r w:rsidRPr="00EC4FA9">
        <w:rPr>
          <w:rFonts w:cstheme="minorHAnsi"/>
          <w:i/>
          <w:iCs/>
        </w:rPr>
        <w:t>International Journal of Project Management</w:t>
      </w:r>
      <w:r w:rsidR="00015C26">
        <w:rPr>
          <w:rFonts w:cstheme="minorHAnsi"/>
          <w:i/>
          <w:iCs/>
        </w:rPr>
        <w:t>,</w:t>
      </w:r>
      <w:r w:rsidRPr="00EC4FA9">
        <w:rPr>
          <w:rFonts w:cstheme="minorHAnsi"/>
          <w:i/>
          <w:iCs/>
        </w:rPr>
        <w:t xml:space="preserve"> </w:t>
      </w:r>
      <w:r w:rsidRPr="00EC4FA9">
        <w:rPr>
          <w:rFonts w:cstheme="minorHAnsi"/>
        </w:rPr>
        <w:t>28, 40–59.</w:t>
      </w:r>
    </w:p>
    <w:p w14:paraId="63C854AB" w14:textId="7F137BE0" w:rsidR="009C20F6" w:rsidRPr="00EC4FA9" w:rsidRDefault="009C20F6" w:rsidP="00DB1CE5">
      <w:pPr>
        <w:rPr>
          <w:rFonts w:cstheme="minorHAnsi"/>
        </w:rPr>
      </w:pPr>
      <w:r w:rsidRPr="009C20F6">
        <w:rPr>
          <w:rFonts w:cstheme="minorHAnsi"/>
        </w:rPr>
        <w:t xml:space="preserve">Williams, T., </w:t>
      </w:r>
      <w:r w:rsidR="008B4309">
        <w:rPr>
          <w:rFonts w:cstheme="minorHAnsi"/>
        </w:rPr>
        <w:t>and</w:t>
      </w:r>
      <w:r w:rsidRPr="009C20F6">
        <w:rPr>
          <w:rFonts w:cstheme="minorHAnsi"/>
        </w:rPr>
        <w:t xml:space="preserve"> Samset, K. (2010). </w:t>
      </w:r>
      <w:r w:rsidR="008A75E6" w:rsidRPr="009C20F6">
        <w:rPr>
          <w:rFonts w:cstheme="minorHAnsi"/>
        </w:rPr>
        <w:t xml:space="preserve">Issues in </w:t>
      </w:r>
      <w:r w:rsidR="008A75E6" w:rsidRPr="00DC2C17">
        <w:rPr>
          <w:rFonts w:cstheme="minorHAnsi"/>
        </w:rPr>
        <w:t>Front-End Decision Making</w:t>
      </w:r>
      <w:r w:rsidR="008A75E6" w:rsidRPr="009C20F6">
        <w:rPr>
          <w:rFonts w:cstheme="minorHAnsi"/>
        </w:rPr>
        <w:t xml:space="preserve"> on </w:t>
      </w:r>
      <w:r w:rsidR="008A75E6" w:rsidRPr="00DC2C17">
        <w:rPr>
          <w:rFonts w:cstheme="minorHAnsi"/>
        </w:rPr>
        <w:t>Projects</w:t>
      </w:r>
      <w:r w:rsidR="008A75E6" w:rsidRPr="003F1D65">
        <w:rPr>
          <w:rFonts w:cstheme="minorHAnsi"/>
        </w:rPr>
        <w:t>.</w:t>
      </w:r>
      <w:r w:rsidR="008A75E6" w:rsidRPr="009C20F6">
        <w:rPr>
          <w:rFonts w:cstheme="minorHAnsi"/>
        </w:rPr>
        <w:t xml:space="preserve"> </w:t>
      </w:r>
      <w:r w:rsidRPr="003F1D65">
        <w:rPr>
          <w:rFonts w:cstheme="minorHAnsi"/>
          <w:i/>
        </w:rPr>
        <w:t xml:space="preserve">Project </w:t>
      </w:r>
      <w:r w:rsidR="008A75E6">
        <w:rPr>
          <w:rFonts w:cstheme="minorHAnsi"/>
          <w:i/>
          <w:iCs/>
        </w:rPr>
        <w:t>Management Journal</w:t>
      </w:r>
      <w:r w:rsidR="008A75E6" w:rsidRPr="009C20F6">
        <w:rPr>
          <w:rFonts w:cstheme="minorHAnsi"/>
        </w:rPr>
        <w:t>,</w:t>
      </w:r>
      <w:r w:rsidR="008A75E6">
        <w:rPr>
          <w:rFonts w:cstheme="minorHAnsi"/>
        </w:rPr>
        <w:t xml:space="preserve"> </w:t>
      </w:r>
      <w:r w:rsidRPr="009C20F6">
        <w:rPr>
          <w:rFonts w:cstheme="minorHAnsi"/>
        </w:rPr>
        <w:t>41(2), 38-49.</w:t>
      </w:r>
    </w:p>
    <w:p w14:paraId="1E94ACF8" w14:textId="526F1263" w:rsidR="00802D46" w:rsidRDefault="00802D46" w:rsidP="00DB1CE5">
      <w:r w:rsidRPr="00EC4FA9">
        <w:t xml:space="preserve">Williams, T., Vo, H., Samset, K. </w:t>
      </w:r>
      <w:r w:rsidR="00DC2C17">
        <w:t>and</w:t>
      </w:r>
      <w:r w:rsidRPr="00EC4FA9">
        <w:t xml:space="preserve"> Edkins, A. (2019). The front-end of projects: </w:t>
      </w:r>
      <w:r w:rsidR="00773DE1" w:rsidRPr="00EC4FA9">
        <w:t>A</w:t>
      </w:r>
      <w:r w:rsidRPr="00EC4FA9">
        <w:t xml:space="preserve"> systematic literature review and structuring</w:t>
      </w:r>
      <w:r w:rsidR="00386255">
        <w:t>.</w:t>
      </w:r>
      <w:r w:rsidRPr="00EC4FA9">
        <w:t xml:space="preserve"> </w:t>
      </w:r>
      <w:r w:rsidRPr="00EC4FA9">
        <w:rPr>
          <w:i/>
          <w:iCs/>
        </w:rPr>
        <w:t>Production Planning and Control</w:t>
      </w:r>
      <w:r w:rsidRPr="00EC4FA9">
        <w:t xml:space="preserve">, </w:t>
      </w:r>
      <w:r w:rsidR="00464157" w:rsidRPr="00EC4FA9">
        <w:t>30, 1137</w:t>
      </w:r>
      <w:r w:rsidR="002742F0" w:rsidRPr="00EC4FA9">
        <w:t>–</w:t>
      </w:r>
      <w:r w:rsidR="00464157" w:rsidRPr="00EC4FA9">
        <w:t>1169</w:t>
      </w:r>
      <w:r w:rsidR="002742F0" w:rsidRPr="00EC4FA9">
        <w:t>.</w:t>
      </w:r>
    </w:p>
    <w:p w14:paraId="2CD3629A" w14:textId="689F25BE" w:rsidR="00ED088A" w:rsidRPr="00EC4FA9" w:rsidRDefault="00ED088A" w:rsidP="00DB1CE5">
      <w:r w:rsidRPr="00ED088A">
        <w:t xml:space="preserve">Williamson, O.E., </w:t>
      </w:r>
      <w:r>
        <w:t>(</w:t>
      </w:r>
      <w:r w:rsidRPr="00ED088A">
        <w:t>1988</w:t>
      </w:r>
      <w:r>
        <w:t>)</w:t>
      </w:r>
      <w:r w:rsidRPr="00ED088A">
        <w:t xml:space="preserve">. </w:t>
      </w:r>
      <w:r w:rsidR="00CF5B52" w:rsidRPr="00ED088A">
        <w:t xml:space="preserve">Corporate </w:t>
      </w:r>
      <w:r w:rsidR="00CF5B52" w:rsidRPr="00D26DC5">
        <w:t>Finance</w:t>
      </w:r>
      <w:r w:rsidR="00CF5B52" w:rsidRPr="00ED088A">
        <w:t xml:space="preserve"> and </w:t>
      </w:r>
      <w:r w:rsidR="00CF5B52" w:rsidRPr="00D26DC5">
        <w:t>Corporate Governance</w:t>
      </w:r>
      <w:r w:rsidR="00CF5B52" w:rsidRPr="003F1D65">
        <w:t>.</w:t>
      </w:r>
      <w:r w:rsidR="00CF5B52" w:rsidRPr="00ED088A">
        <w:t xml:space="preserve"> </w:t>
      </w:r>
      <w:r w:rsidRPr="003F1D65">
        <w:rPr>
          <w:i/>
        </w:rPr>
        <w:t xml:space="preserve">The </w:t>
      </w:r>
      <w:r w:rsidR="00D26DC5">
        <w:rPr>
          <w:i/>
          <w:iCs/>
        </w:rPr>
        <w:t>J</w:t>
      </w:r>
      <w:r w:rsidRPr="003F1D65">
        <w:rPr>
          <w:i/>
          <w:iCs/>
        </w:rPr>
        <w:t>ournal</w:t>
      </w:r>
      <w:r w:rsidRPr="003F1D65">
        <w:rPr>
          <w:i/>
        </w:rPr>
        <w:t xml:space="preserve"> of </w:t>
      </w:r>
      <w:r w:rsidR="00D26DC5">
        <w:rPr>
          <w:i/>
          <w:iCs/>
        </w:rPr>
        <w:t>F</w:t>
      </w:r>
      <w:r w:rsidRPr="003F1D65">
        <w:rPr>
          <w:i/>
          <w:iCs/>
        </w:rPr>
        <w:t>inance</w:t>
      </w:r>
      <w:r w:rsidRPr="00ED088A">
        <w:t>, 43(3), 567-591.</w:t>
      </w:r>
    </w:p>
    <w:p w14:paraId="6A478880" w14:textId="3B5F60D5" w:rsidR="002D08E7" w:rsidRPr="00EC4FA9" w:rsidRDefault="002D08E7" w:rsidP="002D08E7">
      <w:r w:rsidRPr="00EC4FA9">
        <w:lastRenderedPageBreak/>
        <w:t xml:space="preserve">Winch, G.M. (2001). Governing the project process: </w:t>
      </w:r>
      <w:r w:rsidR="0017794F">
        <w:t>A</w:t>
      </w:r>
      <w:r w:rsidRPr="00EC4FA9">
        <w:t xml:space="preserve"> conceptual framework. </w:t>
      </w:r>
      <w:r w:rsidRPr="00EC4FA9">
        <w:rPr>
          <w:i/>
          <w:iCs/>
        </w:rPr>
        <w:t>Construction Management and Economics</w:t>
      </w:r>
      <w:r w:rsidRPr="00EC4FA9">
        <w:t xml:space="preserve"> 19, 799</w:t>
      </w:r>
      <w:r w:rsidR="00F23857">
        <w:t>–</w:t>
      </w:r>
      <w:r w:rsidRPr="00EC4FA9">
        <w:t>808.</w:t>
      </w:r>
    </w:p>
    <w:p w14:paraId="567BEAA5" w14:textId="632AFFD6" w:rsidR="00980389" w:rsidRDefault="00980389" w:rsidP="002D08E7">
      <w:r w:rsidRPr="00EC4FA9">
        <w:t>Woodhead, R. and Smith, J. (2002). The decision to build and the organization</w:t>
      </w:r>
      <w:r w:rsidR="00386255">
        <w:t>.</w:t>
      </w:r>
      <w:r w:rsidRPr="00EC4FA9">
        <w:t xml:space="preserve"> </w:t>
      </w:r>
      <w:r w:rsidRPr="005258C0">
        <w:rPr>
          <w:i/>
          <w:iCs/>
        </w:rPr>
        <w:t>Structural Survey</w:t>
      </w:r>
      <w:r w:rsidRPr="00EC4FA9">
        <w:t xml:space="preserve">, </w:t>
      </w:r>
      <w:r w:rsidR="005A052C" w:rsidRPr="00EC4FA9">
        <w:t>20(5),</w:t>
      </w:r>
      <w:r w:rsidRPr="00EC4FA9">
        <w:t xml:space="preserve"> 189</w:t>
      </w:r>
      <w:r w:rsidR="00F23857">
        <w:t>–</w:t>
      </w:r>
      <w:r w:rsidRPr="00EC4FA9">
        <w:t>198</w:t>
      </w:r>
      <w:r w:rsidR="00F23857">
        <w:t>.</w:t>
      </w:r>
    </w:p>
    <w:p w14:paraId="7D5D00C6" w14:textId="67A9C8A4" w:rsidR="00E84B89" w:rsidRPr="00EC4FA9" w:rsidRDefault="00E46899" w:rsidP="00A41E6F">
      <w:r>
        <w:t>Yin, R.K. (2017)</w:t>
      </w:r>
      <w:r w:rsidR="00A41E6F">
        <w:t xml:space="preserve">. </w:t>
      </w:r>
      <w:r w:rsidR="00A41E6F" w:rsidRPr="006C4B65">
        <w:rPr>
          <w:i/>
          <w:iCs/>
        </w:rPr>
        <w:t xml:space="preserve">Case </w:t>
      </w:r>
      <w:r w:rsidR="0095065E" w:rsidRPr="006C4B65">
        <w:rPr>
          <w:i/>
          <w:iCs/>
        </w:rPr>
        <w:t>S</w:t>
      </w:r>
      <w:r w:rsidR="00A41E6F" w:rsidRPr="006C4B65">
        <w:rPr>
          <w:i/>
          <w:iCs/>
        </w:rPr>
        <w:t xml:space="preserve">tudy </w:t>
      </w:r>
      <w:r w:rsidR="0095065E" w:rsidRPr="006C4B65">
        <w:rPr>
          <w:i/>
          <w:iCs/>
        </w:rPr>
        <w:t>R</w:t>
      </w:r>
      <w:r w:rsidR="00A41E6F" w:rsidRPr="006C4B65">
        <w:rPr>
          <w:i/>
          <w:iCs/>
        </w:rPr>
        <w:t xml:space="preserve">esearch and </w:t>
      </w:r>
      <w:r w:rsidR="0095065E" w:rsidRPr="006C4B65">
        <w:rPr>
          <w:i/>
          <w:iCs/>
        </w:rPr>
        <w:t>A</w:t>
      </w:r>
      <w:r w:rsidR="00A41E6F" w:rsidRPr="006C4B65">
        <w:rPr>
          <w:i/>
          <w:iCs/>
        </w:rPr>
        <w:t>pplications</w:t>
      </w:r>
      <w:r w:rsidR="0091337C" w:rsidRPr="006C4B65">
        <w:rPr>
          <w:i/>
          <w:iCs/>
        </w:rPr>
        <w:t>: D</w:t>
      </w:r>
      <w:r w:rsidR="00A41E6F" w:rsidRPr="006C4B65">
        <w:rPr>
          <w:i/>
          <w:iCs/>
        </w:rPr>
        <w:t xml:space="preserve">esign and </w:t>
      </w:r>
      <w:r w:rsidR="0095065E" w:rsidRPr="006C4B65">
        <w:rPr>
          <w:i/>
          <w:iCs/>
        </w:rPr>
        <w:t>M</w:t>
      </w:r>
      <w:r w:rsidR="00A41E6F" w:rsidRPr="006C4B65">
        <w:rPr>
          <w:i/>
          <w:iCs/>
        </w:rPr>
        <w:t>ethods</w:t>
      </w:r>
      <w:r w:rsidR="00502267" w:rsidRPr="003F1D65">
        <w:t>.</w:t>
      </w:r>
      <w:r w:rsidR="00502267">
        <w:t xml:space="preserve"> </w:t>
      </w:r>
      <w:bookmarkStart w:id="36" w:name="_Hlk156379636"/>
      <w:r w:rsidR="00180A53" w:rsidRPr="00180A53">
        <w:t xml:space="preserve">Thousand Oaks, CA: </w:t>
      </w:r>
      <w:r w:rsidR="00502267">
        <w:t>Sage Publications</w:t>
      </w:r>
      <w:bookmarkEnd w:id="36"/>
      <w:r w:rsidR="00502267">
        <w:t>.</w:t>
      </w:r>
    </w:p>
    <w:p w14:paraId="398642CC" w14:textId="27F72AFB" w:rsidR="00980389" w:rsidRPr="00EC4FA9" w:rsidRDefault="00980389" w:rsidP="002D08E7">
      <w:pPr>
        <w:rPr>
          <w:rFonts w:cstheme="minorHAnsi"/>
        </w:rPr>
      </w:pPr>
      <w:r w:rsidRPr="00EC4FA9">
        <w:rPr>
          <w:rFonts w:cstheme="minorHAnsi"/>
        </w:rPr>
        <w:t>Zwikael, O.</w:t>
      </w:r>
      <w:r w:rsidR="007C6A41">
        <w:rPr>
          <w:rFonts w:cstheme="minorHAnsi"/>
        </w:rPr>
        <w:t xml:space="preserve"> and</w:t>
      </w:r>
      <w:r w:rsidRPr="00EC4FA9">
        <w:rPr>
          <w:rFonts w:cstheme="minorHAnsi"/>
        </w:rPr>
        <w:t xml:space="preserve"> Smyrk, J</w:t>
      </w:r>
      <w:r w:rsidRPr="003F1D65">
        <w:rPr>
          <w:rFonts w:cstheme="minorHAnsi"/>
        </w:rPr>
        <w:t xml:space="preserve">. </w:t>
      </w:r>
      <w:r w:rsidR="00957F30">
        <w:rPr>
          <w:rFonts w:cstheme="minorHAnsi"/>
        </w:rPr>
        <w:t>(</w:t>
      </w:r>
      <w:r w:rsidRPr="00EC4FA9">
        <w:rPr>
          <w:rFonts w:cstheme="minorHAnsi"/>
        </w:rPr>
        <w:t>2012</w:t>
      </w:r>
      <w:r w:rsidR="00957F30">
        <w:rPr>
          <w:rFonts w:cstheme="minorHAnsi"/>
        </w:rPr>
        <w:t>)</w:t>
      </w:r>
      <w:r w:rsidRPr="003F1D65">
        <w:rPr>
          <w:rFonts w:cstheme="minorHAnsi"/>
        </w:rPr>
        <w:t>.</w:t>
      </w:r>
      <w:r w:rsidRPr="00EC4FA9">
        <w:rPr>
          <w:rFonts w:cstheme="minorHAnsi"/>
        </w:rPr>
        <w:t xml:space="preserve"> A </w:t>
      </w:r>
      <w:r w:rsidR="007E4270" w:rsidRPr="007E4270">
        <w:rPr>
          <w:rFonts w:cstheme="minorHAnsi"/>
        </w:rPr>
        <w:t>General Framework</w:t>
      </w:r>
      <w:r w:rsidRPr="00EC4FA9">
        <w:rPr>
          <w:rFonts w:cstheme="minorHAnsi"/>
        </w:rPr>
        <w:t xml:space="preserve"> for </w:t>
      </w:r>
      <w:r w:rsidR="007E4270" w:rsidRPr="007E4270">
        <w:rPr>
          <w:rFonts w:cstheme="minorHAnsi"/>
        </w:rPr>
        <w:t>Gauging</w:t>
      </w:r>
      <w:r w:rsidRPr="00EC4FA9">
        <w:rPr>
          <w:rFonts w:cstheme="minorHAnsi"/>
        </w:rPr>
        <w:t xml:space="preserve"> the </w:t>
      </w:r>
      <w:r w:rsidR="007E4270" w:rsidRPr="007E4270">
        <w:rPr>
          <w:rFonts w:cstheme="minorHAnsi"/>
        </w:rPr>
        <w:t>Performance</w:t>
      </w:r>
      <w:r w:rsidRPr="00EC4FA9">
        <w:rPr>
          <w:rFonts w:cstheme="minorHAnsi"/>
        </w:rPr>
        <w:t xml:space="preserve"> of </w:t>
      </w:r>
      <w:r w:rsidR="007E4270" w:rsidRPr="007E4270">
        <w:rPr>
          <w:rFonts w:cstheme="minorHAnsi"/>
        </w:rPr>
        <w:t>Initiatives</w:t>
      </w:r>
      <w:r w:rsidRPr="00EC4FA9">
        <w:rPr>
          <w:rFonts w:cstheme="minorHAnsi"/>
        </w:rPr>
        <w:t xml:space="preserve"> to </w:t>
      </w:r>
      <w:r w:rsidR="007E4270" w:rsidRPr="007E4270">
        <w:rPr>
          <w:rFonts w:cstheme="minorHAnsi"/>
        </w:rPr>
        <w:t>Enhance Organizational Value</w:t>
      </w:r>
      <w:r w:rsidR="007E4270">
        <w:rPr>
          <w:rFonts w:cstheme="minorHAnsi"/>
        </w:rPr>
        <w:t>.</w:t>
      </w:r>
      <w:r w:rsidRPr="00EC4FA9">
        <w:rPr>
          <w:rFonts w:cstheme="minorHAnsi"/>
        </w:rPr>
        <w:t xml:space="preserve"> </w:t>
      </w:r>
      <w:r w:rsidRPr="00EC4FA9">
        <w:rPr>
          <w:rFonts w:cstheme="minorHAnsi"/>
          <w:i/>
          <w:iCs/>
        </w:rPr>
        <w:t>British Journal of Management</w:t>
      </w:r>
      <w:r w:rsidR="00015C26">
        <w:rPr>
          <w:rFonts w:cstheme="minorHAnsi"/>
          <w:i/>
          <w:iCs/>
        </w:rPr>
        <w:t>,</w:t>
      </w:r>
      <w:r w:rsidRPr="00EC4FA9">
        <w:rPr>
          <w:rFonts w:cstheme="minorHAnsi"/>
        </w:rPr>
        <w:t xml:space="preserve"> 23, 6–22.</w:t>
      </w:r>
    </w:p>
    <w:p w14:paraId="176C0971" w14:textId="28713FE4" w:rsidR="002D08E7" w:rsidRPr="00EC4FA9" w:rsidRDefault="002D08E7" w:rsidP="00DB1CE5">
      <w:pPr>
        <w:rPr>
          <w:rFonts w:cstheme="minorHAnsi"/>
        </w:rPr>
      </w:pPr>
    </w:p>
    <w:sectPr w:rsidR="002D08E7" w:rsidRPr="00EC4FA9">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A1CE0" w14:textId="77777777" w:rsidR="004232AB" w:rsidRDefault="004232AB" w:rsidP="000D2C42">
      <w:r>
        <w:separator/>
      </w:r>
    </w:p>
    <w:p w14:paraId="41026B15" w14:textId="77777777" w:rsidR="004232AB" w:rsidRDefault="004232AB" w:rsidP="000D2C42"/>
  </w:endnote>
  <w:endnote w:type="continuationSeparator" w:id="0">
    <w:p w14:paraId="77884074" w14:textId="77777777" w:rsidR="004232AB" w:rsidRDefault="004232AB" w:rsidP="000D2C42">
      <w:r>
        <w:continuationSeparator/>
      </w:r>
    </w:p>
    <w:p w14:paraId="411DA03F" w14:textId="77777777" w:rsidR="004232AB" w:rsidRDefault="004232AB" w:rsidP="000D2C42"/>
  </w:endnote>
  <w:endnote w:type="continuationNotice" w:id="1">
    <w:p w14:paraId="1EEB46E7" w14:textId="77777777" w:rsidR="004232AB" w:rsidRDefault="004232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604020202020204"/>
    <w:charset w:val="00"/>
    <w:family w:val="swiss"/>
    <w:pitch w:val="variable"/>
    <w:sig w:usb0="E4002EFF" w:usb1="C000E47F" w:usb2="00000009" w:usb3="00000000" w:csb0="000001FF" w:csb1="00000000"/>
  </w:font>
  <w:font w:name="Charis SIL">
    <w:altName w:val="Calibri"/>
    <w:panose1 w:val="020B0604020202020204"/>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311495"/>
      <w:docPartObj>
        <w:docPartGallery w:val="Page Numbers (Bottom of Page)"/>
        <w:docPartUnique/>
      </w:docPartObj>
    </w:sdtPr>
    <w:sdtContent>
      <w:p w14:paraId="10D8A12B" w14:textId="1BE9AB35" w:rsidR="00711AF1" w:rsidRDefault="00711AF1">
        <w:pPr>
          <w:pStyle w:val="Footer"/>
          <w:jc w:val="center"/>
        </w:pPr>
        <w:r>
          <w:fldChar w:fldCharType="begin"/>
        </w:r>
        <w:r>
          <w:instrText>PAGE   \* MERGEFORMAT</w:instrText>
        </w:r>
        <w:r>
          <w:fldChar w:fldCharType="separate"/>
        </w:r>
        <w:r>
          <w:rPr>
            <w:lang w:val="nb-NO"/>
          </w:rPr>
          <w:t>2</w:t>
        </w:r>
        <w:r>
          <w:fldChar w:fldCharType="end"/>
        </w:r>
      </w:p>
    </w:sdtContent>
  </w:sdt>
  <w:p w14:paraId="45A36E97" w14:textId="77777777" w:rsidR="002A6CB2" w:rsidRDefault="002A6CB2" w:rsidP="000D2C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753DD" w14:textId="77777777" w:rsidR="004232AB" w:rsidRDefault="004232AB" w:rsidP="000D2C42">
      <w:r>
        <w:separator/>
      </w:r>
    </w:p>
    <w:p w14:paraId="21C90CC5" w14:textId="77777777" w:rsidR="004232AB" w:rsidRDefault="004232AB" w:rsidP="000D2C42"/>
  </w:footnote>
  <w:footnote w:type="continuationSeparator" w:id="0">
    <w:p w14:paraId="283545CA" w14:textId="77777777" w:rsidR="004232AB" w:rsidRDefault="004232AB" w:rsidP="000D2C42">
      <w:r>
        <w:continuationSeparator/>
      </w:r>
    </w:p>
    <w:p w14:paraId="1EC3158D" w14:textId="77777777" w:rsidR="004232AB" w:rsidRDefault="004232AB" w:rsidP="000D2C42"/>
  </w:footnote>
  <w:footnote w:type="continuationNotice" w:id="1">
    <w:p w14:paraId="554B3D8D" w14:textId="77777777" w:rsidR="004232AB" w:rsidRDefault="004232A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0916"/>
    <w:multiLevelType w:val="hybridMultilevel"/>
    <w:tmpl w:val="8D7693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BDE3F67"/>
    <w:multiLevelType w:val="hybridMultilevel"/>
    <w:tmpl w:val="FB3260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48D63C9"/>
    <w:multiLevelType w:val="hybridMultilevel"/>
    <w:tmpl w:val="C9461DE2"/>
    <w:lvl w:ilvl="0" w:tplc="E78220F8">
      <w:start w:val="1"/>
      <w:numFmt w:val="bullet"/>
      <w:lvlText w:val=""/>
      <w:lvlJc w:val="left"/>
      <w:pPr>
        <w:ind w:left="720" w:hanging="360"/>
      </w:pPr>
      <w:rPr>
        <w:rFonts w:ascii="Symbol" w:hAnsi="Symbol"/>
      </w:rPr>
    </w:lvl>
    <w:lvl w:ilvl="1" w:tplc="481E23B0">
      <w:start w:val="1"/>
      <w:numFmt w:val="bullet"/>
      <w:lvlText w:val=""/>
      <w:lvlJc w:val="left"/>
      <w:pPr>
        <w:ind w:left="720" w:hanging="360"/>
      </w:pPr>
      <w:rPr>
        <w:rFonts w:ascii="Symbol" w:hAnsi="Symbol"/>
      </w:rPr>
    </w:lvl>
    <w:lvl w:ilvl="2" w:tplc="74263648">
      <w:start w:val="1"/>
      <w:numFmt w:val="bullet"/>
      <w:lvlText w:val=""/>
      <w:lvlJc w:val="left"/>
      <w:pPr>
        <w:ind w:left="720" w:hanging="360"/>
      </w:pPr>
      <w:rPr>
        <w:rFonts w:ascii="Symbol" w:hAnsi="Symbol"/>
      </w:rPr>
    </w:lvl>
    <w:lvl w:ilvl="3" w:tplc="F0E05D90">
      <w:start w:val="1"/>
      <w:numFmt w:val="bullet"/>
      <w:lvlText w:val=""/>
      <w:lvlJc w:val="left"/>
      <w:pPr>
        <w:ind w:left="720" w:hanging="360"/>
      </w:pPr>
      <w:rPr>
        <w:rFonts w:ascii="Symbol" w:hAnsi="Symbol"/>
      </w:rPr>
    </w:lvl>
    <w:lvl w:ilvl="4" w:tplc="B350A8A2">
      <w:start w:val="1"/>
      <w:numFmt w:val="bullet"/>
      <w:lvlText w:val=""/>
      <w:lvlJc w:val="left"/>
      <w:pPr>
        <w:ind w:left="720" w:hanging="360"/>
      </w:pPr>
      <w:rPr>
        <w:rFonts w:ascii="Symbol" w:hAnsi="Symbol"/>
      </w:rPr>
    </w:lvl>
    <w:lvl w:ilvl="5" w:tplc="C924F6DE">
      <w:start w:val="1"/>
      <w:numFmt w:val="bullet"/>
      <w:lvlText w:val=""/>
      <w:lvlJc w:val="left"/>
      <w:pPr>
        <w:ind w:left="720" w:hanging="360"/>
      </w:pPr>
      <w:rPr>
        <w:rFonts w:ascii="Symbol" w:hAnsi="Symbol"/>
      </w:rPr>
    </w:lvl>
    <w:lvl w:ilvl="6" w:tplc="6C78BC00">
      <w:start w:val="1"/>
      <w:numFmt w:val="bullet"/>
      <w:lvlText w:val=""/>
      <w:lvlJc w:val="left"/>
      <w:pPr>
        <w:ind w:left="720" w:hanging="360"/>
      </w:pPr>
      <w:rPr>
        <w:rFonts w:ascii="Symbol" w:hAnsi="Symbol"/>
      </w:rPr>
    </w:lvl>
    <w:lvl w:ilvl="7" w:tplc="E09ED050">
      <w:start w:val="1"/>
      <w:numFmt w:val="bullet"/>
      <w:lvlText w:val=""/>
      <w:lvlJc w:val="left"/>
      <w:pPr>
        <w:ind w:left="720" w:hanging="360"/>
      </w:pPr>
      <w:rPr>
        <w:rFonts w:ascii="Symbol" w:hAnsi="Symbol"/>
      </w:rPr>
    </w:lvl>
    <w:lvl w:ilvl="8" w:tplc="0E4249B8">
      <w:start w:val="1"/>
      <w:numFmt w:val="bullet"/>
      <w:lvlText w:val=""/>
      <w:lvlJc w:val="left"/>
      <w:pPr>
        <w:ind w:left="720" w:hanging="360"/>
      </w:pPr>
      <w:rPr>
        <w:rFonts w:ascii="Symbol" w:hAnsi="Symbol"/>
      </w:rPr>
    </w:lvl>
  </w:abstractNum>
  <w:abstractNum w:abstractNumId="3" w15:restartNumberingAfterBreak="0">
    <w:nsid w:val="26635523"/>
    <w:multiLevelType w:val="hybridMultilevel"/>
    <w:tmpl w:val="D3AE5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AA3DE0"/>
    <w:multiLevelType w:val="hybridMultilevel"/>
    <w:tmpl w:val="D53A95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903586D"/>
    <w:multiLevelType w:val="hybridMultilevel"/>
    <w:tmpl w:val="268893D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3D9376C2"/>
    <w:multiLevelType w:val="hybridMultilevel"/>
    <w:tmpl w:val="71CC29A0"/>
    <w:lvl w:ilvl="0" w:tplc="70B40496">
      <w:start w:val="9"/>
      <w:numFmt w:val="bullet"/>
      <w:lvlText w:val="-"/>
      <w:lvlJc w:val="left"/>
      <w:pPr>
        <w:ind w:left="720" w:hanging="360"/>
      </w:pPr>
      <w:rPr>
        <w:rFonts w:ascii="Garamond" w:eastAsiaTheme="minorHAnsi" w:hAnsi="Garamond"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3E311ED"/>
    <w:multiLevelType w:val="multilevel"/>
    <w:tmpl w:val="4E906BBA"/>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360" w:hanging="360"/>
      </w:p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5719125F"/>
    <w:multiLevelType w:val="hybridMultilevel"/>
    <w:tmpl w:val="DD7099F2"/>
    <w:lvl w:ilvl="0" w:tplc="04140011">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661466E1"/>
    <w:multiLevelType w:val="hybridMultilevel"/>
    <w:tmpl w:val="019647AA"/>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10" w15:restartNumberingAfterBreak="0">
    <w:nsid w:val="790B7167"/>
    <w:multiLevelType w:val="hybridMultilevel"/>
    <w:tmpl w:val="CEFE98C0"/>
    <w:lvl w:ilvl="0" w:tplc="9F480E1C">
      <w:start w:val="1"/>
      <w:numFmt w:val="decimal"/>
      <w:lvlText w:val="%1."/>
      <w:lvlJc w:val="left"/>
      <w:pPr>
        <w:ind w:left="720" w:hanging="360"/>
      </w:pPr>
      <w:rPr>
        <w:b/>
        <w:bCs/>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7F972543"/>
    <w:multiLevelType w:val="hybridMultilevel"/>
    <w:tmpl w:val="46BE6342"/>
    <w:lvl w:ilvl="0" w:tplc="041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49320169">
    <w:abstractNumId w:val="7"/>
  </w:num>
  <w:num w:numId="2" w16cid:durableId="1296566068">
    <w:abstractNumId w:val="0"/>
  </w:num>
  <w:num w:numId="3" w16cid:durableId="1482039206">
    <w:abstractNumId w:val="8"/>
  </w:num>
  <w:num w:numId="4" w16cid:durableId="2018456346">
    <w:abstractNumId w:val="1"/>
  </w:num>
  <w:num w:numId="5" w16cid:durableId="287780666">
    <w:abstractNumId w:val="10"/>
  </w:num>
  <w:num w:numId="6" w16cid:durableId="879241923">
    <w:abstractNumId w:val="5"/>
  </w:num>
  <w:num w:numId="7" w16cid:durableId="662506910">
    <w:abstractNumId w:val="11"/>
  </w:num>
  <w:num w:numId="8" w16cid:durableId="1309628247">
    <w:abstractNumId w:val="2"/>
  </w:num>
  <w:num w:numId="9" w16cid:durableId="1381786348">
    <w:abstractNumId w:val="6"/>
  </w:num>
  <w:num w:numId="10" w16cid:durableId="1925726111">
    <w:abstractNumId w:val="9"/>
  </w:num>
  <w:num w:numId="11" w16cid:durableId="710770507">
    <w:abstractNumId w:val="4"/>
  </w:num>
  <w:num w:numId="12" w16cid:durableId="50524925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EA3"/>
    <w:rsid w:val="0000016E"/>
    <w:rsid w:val="0000039E"/>
    <w:rsid w:val="00001F8A"/>
    <w:rsid w:val="000023D1"/>
    <w:rsid w:val="00002D2F"/>
    <w:rsid w:val="00003893"/>
    <w:rsid w:val="000039F8"/>
    <w:rsid w:val="00003EC4"/>
    <w:rsid w:val="000040EE"/>
    <w:rsid w:val="000049DB"/>
    <w:rsid w:val="00004AA0"/>
    <w:rsid w:val="00004D55"/>
    <w:rsid w:val="00004FE2"/>
    <w:rsid w:val="00005693"/>
    <w:rsid w:val="00005ADA"/>
    <w:rsid w:val="00005C12"/>
    <w:rsid w:val="00005C68"/>
    <w:rsid w:val="00006238"/>
    <w:rsid w:val="00006552"/>
    <w:rsid w:val="00006983"/>
    <w:rsid w:val="00007DE2"/>
    <w:rsid w:val="00007E74"/>
    <w:rsid w:val="000100C9"/>
    <w:rsid w:val="00010443"/>
    <w:rsid w:val="000106E8"/>
    <w:rsid w:val="000108EB"/>
    <w:rsid w:val="000110ED"/>
    <w:rsid w:val="000114DD"/>
    <w:rsid w:val="000117F8"/>
    <w:rsid w:val="00011D0A"/>
    <w:rsid w:val="00011F38"/>
    <w:rsid w:val="00011FF0"/>
    <w:rsid w:val="000123C6"/>
    <w:rsid w:val="00012589"/>
    <w:rsid w:val="000126CF"/>
    <w:rsid w:val="000129AD"/>
    <w:rsid w:val="00012B12"/>
    <w:rsid w:val="00013768"/>
    <w:rsid w:val="000137C9"/>
    <w:rsid w:val="00013C0C"/>
    <w:rsid w:val="00013E10"/>
    <w:rsid w:val="00014454"/>
    <w:rsid w:val="000145CE"/>
    <w:rsid w:val="00014F79"/>
    <w:rsid w:val="00014FBA"/>
    <w:rsid w:val="00015A27"/>
    <w:rsid w:val="00015C26"/>
    <w:rsid w:val="00015E10"/>
    <w:rsid w:val="00016120"/>
    <w:rsid w:val="0001678B"/>
    <w:rsid w:val="00016829"/>
    <w:rsid w:val="0001697B"/>
    <w:rsid w:val="00016EEE"/>
    <w:rsid w:val="00016F3F"/>
    <w:rsid w:val="00017216"/>
    <w:rsid w:val="000174DC"/>
    <w:rsid w:val="00017B01"/>
    <w:rsid w:val="00017CDD"/>
    <w:rsid w:val="00020B6F"/>
    <w:rsid w:val="00020E53"/>
    <w:rsid w:val="00021054"/>
    <w:rsid w:val="00021109"/>
    <w:rsid w:val="000218AB"/>
    <w:rsid w:val="00021A69"/>
    <w:rsid w:val="00021DB7"/>
    <w:rsid w:val="0002256F"/>
    <w:rsid w:val="0002273E"/>
    <w:rsid w:val="00022F6B"/>
    <w:rsid w:val="000232D0"/>
    <w:rsid w:val="00023510"/>
    <w:rsid w:val="0002412A"/>
    <w:rsid w:val="0002473D"/>
    <w:rsid w:val="00024944"/>
    <w:rsid w:val="00024D62"/>
    <w:rsid w:val="000257BB"/>
    <w:rsid w:val="00025F67"/>
    <w:rsid w:val="00026B41"/>
    <w:rsid w:val="00026DB0"/>
    <w:rsid w:val="0002734B"/>
    <w:rsid w:val="00027B90"/>
    <w:rsid w:val="00027D81"/>
    <w:rsid w:val="000302D2"/>
    <w:rsid w:val="00030ED7"/>
    <w:rsid w:val="00031063"/>
    <w:rsid w:val="00031E38"/>
    <w:rsid w:val="00032959"/>
    <w:rsid w:val="00032976"/>
    <w:rsid w:val="00032AB0"/>
    <w:rsid w:val="00032B9A"/>
    <w:rsid w:val="00033296"/>
    <w:rsid w:val="000333EA"/>
    <w:rsid w:val="000336A0"/>
    <w:rsid w:val="00033944"/>
    <w:rsid w:val="00033FD7"/>
    <w:rsid w:val="000342DA"/>
    <w:rsid w:val="000347B3"/>
    <w:rsid w:val="00035799"/>
    <w:rsid w:val="00035A86"/>
    <w:rsid w:val="00035BDC"/>
    <w:rsid w:val="00035DAD"/>
    <w:rsid w:val="00036BAA"/>
    <w:rsid w:val="00036BF0"/>
    <w:rsid w:val="0003759D"/>
    <w:rsid w:val="000375BB"/>
    <w:rsid w:val="00037665"/>
    <w:rsid w:val="00037742"/>
    <w:rsid w:val="00037871"/>
    <w:rsid w:val="00037E63"/>
    <w:rsid w:val="00040502"/>
    <w:rsid w:val="000407AD"/>
    <w:rsid w:val="000409AF"/>
    <w:rsid w:val="00040CB6"/>
    <w:rsid w:val="0004157D"/>
    <w:rsid w:val="00042763"/>
    <w:rsid w:val="0004302E"/>
    <w:rsid w:val="0004329F"/>
    <w:rsid w:val="000436CA"/>
    <w:rsid w:val="000439DE"/>
    <w:rsid w:val="00044EC9"/>
    <w:rsid w:val="00045211"/>
    <w:rsid w:val="00046049"/>
    <w:rsid w:val="00046119"/>
    <w:rsid w:val="0004616E"/>
    <w:rsid w:val="000467ED"/>
    <w:rsid w:val="00046C48"/>
    <w:rsid w:val="00046E4F"/>
    <w:rsid w:val="000473FD"/>
    <w:rsid w:val="00047F5D"/>
    <w:rsid w:val="00050EDD"/>
    <w:rsid w:val="00050FFB"/>
    <w:rsid w:val="0005138F"/>
    <w:rsid w:val="000521A3"/>
    <w:rsid w:val="00052B78"/>
    <w:rsid w:val="00052F2D"/>
    <w:rsid w:val="00053033"/>
    <w:rsid w:val="00053514"/>
    <w:rsid w:val="00053C53"/>
    <w:rsid w:val="00053D98"/>
    <w:rsid w:val="00053EE1"/>
    <w:rsid w:val="00054197"/>
    <w:rsid w:val="000547BB"/>
    <w:rsid w:val="0005542C"/>
    <w:rsid w:val="000555A2"/>
    <w:rsid w:val="00055756"/>
    <w:rsid w:val="00055957"/>
    <w:rsid w:val="00055965"/>
    <w:rsid w:val="00055E12"/>
    <w:rsid w:val="000561DA"/>
    <w:rsid w:val="00056339"/>
    <w:rsid w:val="00056CAD"/>
    <w:rsid w:val="0005711A"/>
    <w:rsid w:val="000571D6"/>
    <w:rsid w:val="0005735B"/>
    <w:rsid w:val="0005752B"/>
    <w:rsid w:val="000578ED"/>
    <w:rsid w:val="000606F9"/>
    <w:rsid w:val="00060B03"/>
    <w:rsid w:val="00060FF3"/>
    <w:rsid w:val="00061022"/>
    <w:rsid w:val="000612E5"/>
    <w:rsid w:val="00061AB6"/>
    <w:rsid w:val="00061DE4"/>
    <w:rsid w:val="00062053"/>
    <w:rsid w:val="000623A1"/>
    <w:rsid w:val="0006351B"/>
    <w:rsid w:val="00063731"/>
    <w:rsid w:val="00063A1B"/>
    <w:rsid w:val="00063AD6"/>
    <w:rsid w:val="00063EE2"/>
    <w:rsid w:val="00064C2F"/>
    <w:rsid w:val="00064F0F"/>
    <w:rsid w:val="0006528F"/>
    <w:rsid w:val="00065469"/>
    <w:rsid w:val="00065610"/>
    <w:rsid w:val="00066294"/>
    <w:rsid w:val="000670AB"/>
    <w:rsid w:val="00067210"/>
    <w:rsid w:val="000673BE"/>
    <w:rsid w:val="0006751B"/>
    <w:rsid w:val="00067791"/>
    <w:rsid w:val="000677C8"/>
    <w:rsid w:val="00067B14"/>
    <w:rsid w:val="00067F87"/>
    <w:rsid w:val="000700DA"/>
    <w:rsid w:val="0007021C"/>
    <w:rsid w:val="00070262"/>
    <w:rsid w:val="00070819"/>
    <w:rsid w:val="00070A49"/>
    <w:rsid w:val="000715D2"/>
    <w:rsid w:val="00071C73"/>
    <w:rsid w:val="00071EF8"/>
    <w:rsid w:val="0007204A"/>
    <w:rsid w:val="000721A5"/>
    <w:rsid w:val="00072295"/>
    <w:rsid w:val="000722A9"/>
    <w:rsid w:val="00072E40"/>
    <w:rsid w:val="000730C3"/>
    <w:rsid w:val="0007376C"/>
    <w:rsid w:val="00073930"/>
    <w:rsid w:val="00073AA2"/>
    <w:rsid w:val="00073C49"/>
    <w:rsid w:val="00073E0F"/>
    <w:rsid w:val="00074066"/>
    <w:rsid w:val="000740CA"/>
    <w:rsid w:val="00074246"/>
    <w:rsid w:val="00074E60"/>
    <w:rsid w:val="00074F40"/>
    <w:rsid w:val="00075F00"/>
    <w:rsid w:val="000761F7"/>
    <w:rsid w:val="00076994"/>
    <w:rsid w:val="00077041"/>
    <w:rsid w:val="00077668"/>
    <w:rsid w:val="00077669"/>
    <w:rsid w:val="00077910"/>
    <w:rsid w:val="00080681"/>
    <w:rsid w:val="000807AC"/>
    <w:rsid w:val="00080AA9"/>
    <w:rsid w:val="00080CCE"/>
    <w:rsid w:val="000815B5"/>
    <w:rsid w:val="00081656"/>
    <w:rsid w:val="0008385D"/>
    <w:rsid w:val="000843FD"/>
    <w:rsid w:val="00084C40"/>
    <w:rsid w:val="00084F1C"/>
    <w:rsid w:val="00084F94"/>
    <w:rsid w:val="000850BC"/>
    <w:rsid w:val="00085507"/>
    <w:rsid w:val="00085B80"/>
    <w:rsid w:val="00086034"/>
    <w:rsid w:val="00086169"/>
    <w:rsid w:val="000864CA"/>
    <w:rsid w:val="00086F6E"/>
    <w:rsid w:val="00087EAC"/>
    <w:rsid w:val="000903C3"/>
    <w:rsid w:val="000908A3"/>
    <w:rsid w:val="000908B2"/>
    <w:rsid w:val="000908BA"/>
    <w:rsid w:val="0009094E"/>
    <w:rsid w:val="00090B27"/>
    <w:rsid w:val="00090CD4"/>
    <w:rsid w:val="00090DA5"/>
    <w:rsid w:val="00090E6E"/>
    <w:rsid w:val="0009101B"/>
    <w:rsid w:val="00091115"/>
    <w:rsid w:val="00091D8C"/>
    <w:rsid w:val="00092647"/>
    <w:rsid w:val="00092851"/>
    <w:rsid w:val="000929E8"/>
    <w:rsid w:val="00092F6F"/>
    <w:rsid w:val="00092FBF"/>
    <w:rsid w:val="00093118"/>
    <w:rsid w:val="00093DE2"/>
    <w:rsid w:val="0009415B"/>
    <w:rsid w:val="000943E1"/>
    <w:rsid w:val="000944DF"/>
    <w:rsid w:val="0009493F"/>
    <w:rsid w:val="00094CE4"/>
    <w:rsid w:val="00094E20"/>
    <w:rsid w:val="00095433"/>
    <w:rsid w:val="00095467"/>
    <w:rsid w:val="000959E1"/>
    <w:rsid w:val="00095BBD"/>
    <w:rsid w:val="00095EF4"/>
    <w:rsid w:val="00096985"/>
    <w:rsid w:val="00096ECB"/>
    <w:rsid w:val="00096F1D"/>
    <w:rsid w:val="00097371"/>
    <w:rsid w:val="00097BFC"/>
    <w:rsid w:val="00097E5C"/>
    <w:rsid w:val="00097F4F"/>
    <w:rsid w:val="000A01F6"/>
    <w:rsid w:val="000A05F5"/>
    <w:rsid w:val="000A118E"/>
    <w:rsid w:val="000A164F"/>
    <w:rsid w:val="000A1B55"/>
    <w:rsid w:val="000A24CB"/>
    <w:rsid w:val="000A277A"/>
    <w:rsid w:val="000A295B"/>
    <w:rsid w:val="000A2BC0"/>
    <w:rsid w:val="000A2BDF"/>
    <w:rsid w:val="000A2BF8"/>
    <w:rsid w:val="000A2D6B"/>
    <w:rsid w:val="000A3128"/>
    <w:rsid w:val="000A370F"/>
    <w:rsid w:val="000A3E80"/>
    <w:rsid w:val="000A425C"/>
    <w:rsid w:val="000A434F"/>
    <w:rsid w:val="000A435C"/>
    <w:rsid w:val="000A47F9"/>
    <w:rsid w:val="000A482B"/>
    <w:rsid w:val="000A52E4"/>
    <w:rsid w:val="000A5377"/>
    <w:rsid w:val="000A537D"/>
    <w:rsid w:val="000A58B0"/>
    <w:rsid w:val="000A6317"/>
    <w:rsid w:val="000A661A"/>
    <w:rsid w:val="000A66B9"/>
    <w:rsid w:val="000A68BA"/>
    <w:rsid w:val="000A69E9"/>
    <w:rsid w:val="000A6F82"/>
    <w:rsid w:val="000A7CCD"/>
    <w:rsid w:val="000B02BC"/>
    <w:rsid w:val="000B0751"/>
    <w:rsid w:val="000B0D0E"/>
    <w:rsid w:val="000B0D1A"/>
    <w:rsid w:val="000B0E32"/>
    <w:rsid w:val="000B0F9D"/>
    <w:rsid w:val="000B109E"/>
    <w:rsid w:val="000B123F"/>
    <w:rsid w:val="000B1500"/>
    <w:rsid w:val="000B1D95"/>
    <w:rsid w:val="000B27CE"/>
    <w:rsid w:val="000B29CE"/>
    <w:rsid w:val="000B2B82"/>
    <w:rsid w:val="000B2CA9"/>
    <w:rsid w:val="000B3534"/>
    <w:rsid w:val="000B3684"/>
    <w:rsid w:val="000B3A0E"/>
    <w:rsid w:val="000B3C3A"/>
    <w:rsid w:val="000B3D21"/>
    <w:rsid w:val="000B432E"/>
    <w:rsid w:val="000B459A"/>
    <w:rsid w:val="000B50AB"/>
    <w:rsid w:val="000B5FFE"/>
    <w:rsid w:val="000B6582"/>
    <w:rsid w:val="000B67B5"/>
    <w:rsid w:val="000B6C85"/>
    <w:rsid w:val="000B710C"/>
    <w:rsid w:val="000B7C67"/>
    <w:rsid w:val="000C0033"/>
    <w:rsid w:val="000C0188"/>
    <w:rsid w:val="000C062F"/>
    <w:rsid w:val="000C06E2"/>
    <w:rsid w:val="000C07C6"/>
    <w:rsid w:val="000C0E97"/>
    <w:rsid w:val="000C19B8"/>
    <w:rsid w:val="000C1A58"/>
    <w:rsid w:val="000C1B72"/>
    <w:rsid w:val="000C1D17"/>
    <w:rsid w:val="000C1E4F"/>
    <w:rsid w:val="000C232D"/>
    <w:rsid w:val="000C2899"/>
    <w:rsid w:val="000C3635"/>
    <w:rsid w:val="000C3667"/>
    <w:rsid w:val="000C396A"/>
    <w:rsid w:val="000C42C6"/>
    <w:rsid w:val="000C4641"/>
    <w:rsid w:val="000C4802"/>
    <w:rsid w:val="000C5754"/>
    <w:rsid w:val="000C59CD"/>
    <w:rsid w:val="000C60D7"/>
    <w:rsid w:val="000C6105"/>
    <w:rsid w:val="000C6B87"/>
    <w:rsid w:val="000C6B9C"/>
    <w:rsid w:val="000C6E78"/>
    <w:rsid w:val="000C7536"/>
    <w:rsid w:val="000C76A8"/>
    <w:rsid w:val="000C78BA"/>
    <w:rsid w:val="000D10AE"/>
    <w:rsid w:val="000D10C1"/>
    <w:rsid w:val="000D1BEB"/>
    <w:rsid w:val="000D22A0"/>
    <w:rsid w:val="000D243E"/>
    <w:rsid w:val="000D2BBB"/>
    <w:rsid w:val="000D2C42"/>
    <w:rsid w:val="000D3282"/>
    <w:rsid w:val="000D3489"/>
    <w:rsid w:val="000D35A5"/>
    <w:rsid w:val="000D36BB"/>
    <w:rsid w:val="000D3BA3"/>
    <w:rsid w:val="000D3E35"/>
    <w:rsid w:val="000D4827"/>
    <w:rsid w:val="000D5892"/>
    <w:rsid w:val="000D5899"/>
    <w:rsid w:val="000D5CBA"/>
    <w:rsid w:val="000D5DD6"/>
    <w:rsid w:val="000D63B0"/>
    <w:rsid w:val="000D76A8"/>
    <w:rsid w:val="000D7A2B"/>
    <w:rsid w:val="000D7BBF"/>
    <w:rsid w:val="000E00A5"/>
    <w:rsid w:val="000E032B"/>
    <w:rsid w:val="000E0D24"/>
    <w:rsid w:val="000E0FEA"/>
    <w:rsid w:val="000E15AD"/>
    <w:rsid w:val="000E174A"/>
    <w:rsid w:val="000E2170"/>
    <w:rsid w:val="000E2185"/>
    <w:rsid w:val="000E219C"/>
    <w:rsid w:val="000E2A84"/>
    <w:rsid w:val="000E2FB0"/>
    <w:rsid w:val="000E300C"/>
    <w:rsid w:val="000E3710"/>
    <w:rsid w:val="000E4099"/>
    <w:rsid w:val="000E51B5"/>
    <w:rsid w:val="000E5F3B"/>
    <w:rsid w:val="000E6FB9"/>
    <w:rsid w:val="000E729B"/>
    <w:rsid w:val="000E77DA"/>
    <w:rsid w:val="000E7C1D"/>
    <w:rsid w:val="000F0473"/>
    <w:rsid w:val="000F04CE"/>
    <w:rsid w:val="000F0B6E"/>
    <w:rsid w:val="000F0E94"/>
    <w:rsid w:val="000F0F10"/>
    <w:rsid w:val="000F148F"/>
    <w:rsid w:val="000F1A86"/>
    <w:rsid w:val="000F1D3C"/>
    <w:rsid w:val="000F1F3A"/>
    <w:rsid w:val="000F1F9C"/>
    <w:rsid w:val="000F2694"/>
    <w:rsid w:val="000F27DF"/>
    <w:rsid w:val="000F311D"/>
    <w:rsid w:val="000F322A"/>
    <w:rsid w:val="000F344A"/>
    <w:rsid w:val="000F3812"/>
    <w:rsid w:val="000F4680"/>
    <w:rsid w:val="000F49C8"/>
    <w:rsid w:val="000F4E5F"/>
    <w:rsid w:val="000F5384"/>
    <w:rsid w:val="000F5B2A"/>
    <w:rsid w:val="000F5CDD"/>
    <w:rsid w:val="000F5E67"/>
    <w:rsid w:val="000F6E9F"/>
    <w:rsid w:val="000F71DC"/>
    <w:rsid w:val="000F73A7"/>
    <w:rsid w:val="000F7982"/>
    <w:rsid w:val="000F7A9D"/>
    <w:rsid w:val="000F7F17"/>
    <w:rsid w:val="000F7F41"/>
    <w:rsid w:val="000F7F4E"/>
    <w:rsid w:val="001006CB"/>
    <w:rsid w:val="001009B1"/>
    <w:rsid w:val="00101105"/>
    <w:rsid w:val="001011AD"/>
    <w:rsid w:val="00101412"/>
    <w:rsid w:val="0010173B"/>
    <w:rsid w:val="001018D5"/>
    <w:rsid w:val="00101DEE"/>
    <w:rsid w:val="00101E20"/>
    <w:rsid w:val="00102497"/>
    <w:rsid w:val="00102600"/>
    <w:rsid w:val="00102E95"/>
    <w:rsid w:val="001038CA"/>
    <w:rsid w:val="00103A3A"/>
    <w:rsid w:val="00103BC0"/>
    <w:rsid w:val="001042E0"/>
    <w:rsid w:val="001044DC"/>
    <w:rsid w:val="00104631"/>
    <w:rsid w:val="00104B55"/>
    <w:rsid w:val="001051FE"/>
    <w:rsid w:val="00105709"/>
    <w:rsid w:val="00105846"/>
    <w:rsid w:val="00105957"/>
    <w:rsid w:val="00105B73"/>
    <w:rsid w:val="00106060"/>
    <w:rsid w:val="00106182"/>
    <w:rsid w:val="00106770"/>
    <w:rsid w:val="00106CAA"/>
    <w:rsid w:val="00106E63"/>
    <w:rsid w:val="00107B0E"/>
    <w:rsid w:val="00107FBD"/>
    <w:rsid w:val="00110494"/>
    <w:rsid w:val="00110913"/>
    <w:rsid w:val="0011098B"/>
    <w:rsid w:val="00110ABE"/>
    <w:rsid w:val="00110BA1"/>
    <w:rsid w:val="001110F4"/>
    <w:rsid w:val="001111D4"/>
    <w:rsid w:val="00111283"/>
    <w:rsid w:val="00111A88"/>
    <w:rsid w:val="0011227C"/>
    <w:rsid w:val="0011249B"/>
    <w:rsid w:val="00112752"/>
    <w:rsid w:val="00113B9D"/>
    <w:rsid w:val="00113D31"/>
    <w:rsid w:val="00114D90"/>
    <w:rsid w:val="00115164"/>
    <w:rsid w:val="00115223"/>
    <w:rsid w:val="00116103"/>
    <w:rsid w:val="00116192"/>
    <w:rsid w:val="0011640A"/>
    <w:rsid w:val="00116DD0"/>
    <w:rsid w:val="00116E72"/>
    <w:rsid w:val="00116EDC"/>
    <w:rsid w:val="001170DF"/>
    <w:rsid w:val="001173B2"/>
    <w:rsid w:val="00117ADF"/>
    <w:rsid w:val="00117D09"/>
    <w:rsid w:val="00120890"/>
    <w:rsid w:val="00120DAF"/>
    <w:rsid w:val="00120FD7"/>
    <w:rsid w:val="00121186"/>
    <w:rsid w:val="001217C1"/>
    <w:rsid w:val="001218DE"/>
    <w:rsid w:val="00121D53"/>
    <w:rsid w:val="00121E3B"/>
    <w:rsid w:val="00121F89"/>
    <w:rsid w:val="00122068"/>
    <w:rsid w:val="001237CA"/>
    <w:rsid w:val="001238ED"/>
    <w:rsid w:val="00123A19"/>
    <w:rsid w:val="00123F5C"/>
    <w:rsid w:val="001242CE"/>
    <w:rsid w:val="001243E8"/>
    <w:rsid w:val="00125080"/>
    <w:rsid w:val="00125117"/>
    <w:rsid w:val="00125315"/>
    <w:rsid w:val="00125384"/>
    <w:rsid w:val="00125A19"/>
    <w:rsid w:val="00125DA6"/>
    <w:rsid w:val="0012628B"/>
    <w:rsid w:val="00126D60"/>
    <w:rsid w:val="00127075"/>
    <w:rsid w:val="001274D9"/>
    <w:rsid w:val="00127569"/>
    <w:rsid w:val="00127632"/>
    <w:rsid w:val="001276D1"/>
    <w:rsid w:val="00127AE8"/>
    <w:rsid w:val="00127DEE"/>
    <w:rsid w:val="00130A86"/>
    <w:rsid w:val="00130B6A"/>
    <w:rsid w:val="00130E2B"/>
    <w:rsid w:val="001312F4"/>
    <w:rsid w:val="001323D1"/>
    <w:rsid w:val="001326F6"/>
    <w:rsid w:val="00132BA2"/>
    <w:rsid w:val="00133834"/>
    <w:rsid w:val="00134133"/>
    <w:rsid w:val="001344AD"/>
    <w:rsid w:val="00134FE5"/>
    <w:rsid w:val="00135167"/>
    <w:rsid w:val="00135175"/>
    <w:rsid w:val="00135B4A"/>
    <w:rsid w:val="00135CFF"/>
    <w:rsid w:val="0013665D"/>
    <w:rsid w:val="001367C7"/>
    <w:rsid w:val="001368E4"/>
    <w:rsid w:val="00136929"/>
    <w:rsid w:val="00136A93"/>
    <w:rsid w:val="0013729A"/>
    <w:rsid w:val="0013784F"/>
    <w:rsid w:val="00137868"/>
    <w:rsid w:val="00137C83"/>
    <w:rsid w:val="00137FF3"/>
    <w:rsid w:val="001404E2"/>
    <w:rsid w:val="0014074A"/>
    <w:rsid w:val="00140878"/>
    <w:rsid w:val="001408D3"/>
    <w:rsid w:val="00141067"/>
    <w:rsid w:val="001413C6"/>
    <w:rsid w:val="0014172E"/>
    <w:rsid w:val="00141D97"/>
    <w:rsid w:val="001429DB"/>
    <w:rsid w:val="00142DE9"/>
    <w:rsid w:val="00143097"/>
    <w:rsid w:val="00143A54"/>
    <w:rsid w:val="00143AA5"/>
    <w:rsid w:val="001444E4"/>
    <w:rsid w:val="0014548E"/>
    <w:rsid w:val="00145E0C"/>
    <w:rsid w:val="00146A46"/>
    <w:rsid w:val="001473BE"/>
    <w:rsid w:val="00147694"/>
    <w:rsid w:val="001476B3"/>
    <w:rsid w:val="00147F00"/>
    <w:rsid w:val="00147FE7"/>
    <w:rsid w:val="0015002B"/>
    <w:rsid w:val="00150723"/>
    <w:rsid w:val="00150B59"/>
    <w:rsid w:val="00150CFD"/>
    <w:rsid w:val="00150DE7"/>
    <w:rsid w:val="0015108B"/>
    <w:rsid w:val="00151D6C"/>
    <w:rsid w:val="001521DA"/>
    <w:rsid w:val="00152627"/>
    <w:rsid w:val="001526DC"/>
    <w:rsid w:val="001531F1"/>
    <w:rsid w:val="00153EB4"/>
    <w:rsid w:val="0015442E"/>
    <w:rsid w:val="001545D6"/>
    <w:rsid w:val="00154D30"/>
    <w:rsid w:val="0015507A"/>
    <w:rsid w:val="001554A9"/>
    <w:rsid w:val="001559AD"/>
    <w:rsid w:val="00155B10"/>
    <w:rsid w:val="00155B9A"/>
    <w:rsid w:val="001560CF"/>
    <w:rsid w:val="001564DA"/>
    <w:rsid w:val="00156C9B"/>
    <w:rsid w:val="00156E68"/>
    <w:rsid w:val="00156E6E"/>
    <w:rsid w:val="00156F0B"/>
    <w:rsid w:val="001570D2"/>
    <w:rsid w:val="001573D0"/>
    <w:rsid w:val="0015762B"/>
    <w:rsid w:val="00157BAB"/>
    <w:rsid w:val="001602C9"/>
    <w:rsid w:val="00160614"/>
    <w:rsid w:val="00160964"/>
    <w:rsid w:val="00160C6D"/>
    <w:rsid w:val="00160F97"/>
    <w:rsid w:val="001611C9"/>
    <w:rsid w:val="00161463"/>
    <w:rsid w:val="0016169E"/>
    <w:rsid w:val="00162164"/>
    <w:rsid w:val="0016216B"/>
    <w:rsid w:val="00162BAA"/>
    <w:rsid w:val="00163158"/>
    <w:rsid w:val="001631E1"/>
    <w:rsid w:val="00163841"/>
    <w:rsid w:val="0016416F"/>
    <w:rsid w:val="001644DC"/>
    <w:rsid w:val="001645D6"/>
    <w:rsid w:val="00164635"/>
    <w:rsid w:val="00164EDF"/>
    <w:rsid w:val="00165438"/>
    <w:rsid w:val="00166B6A"/>
    <w:rsid w:val="00166C38"/>
    <w:rsid w:val="00166D48"/>
    <w:rsid w:val="00166EFB"/>
    <w:rsid w:val="001671E1"/>
    <w:rsid w:val="00167306"/>
    <w:rsid w:val="0017049B"/>
    <w:rsid w:val="001705B6"/>
    <w:rsid w:val="001707B8"/>
    <w:rsid w:val="00170E7E"/>
    <w:rsid w:val="001710E9"/>
    <w:rsid w:val="00171392"/>
    <w:rsid w:val="001717E0"/>
    <w:rsid w:val="00171805"/>
    <w:rsid w:val="001725EB"/>
    <w:rsid w:val="00172A04"/>
    <w:rsid w:val="00173996"/>
    <w:rsid w:val="00173E8D"/>
    <w:rsid w:val="00174856"/>
    <w:rsid w:val="0017487E"/>
    <w:rsid w:val="001750A5"/>
    <w:rsid w:val="001754D9"/>
    <w:rsid w:val="00175720"/>
    <w:rsid w:val="00175771"/>
    <w:rsid w:val="00176740"/>
    <w:rsid w:val="00176CAC"/>
    <w:rsid w:val="00176F18"/>
    <w:rsid w:val="0017715D"/>
    <w:rsid w:val="001771A4"/>
    <w:rsid w:val="0017794F"/>
    <w:rsid w:val="001803A7"/>
    <w:rsid w:val="001803D4"/>
    <w:rsid w:val="00180962"/>
    <w:rsid w:val="00180A53"/>
    <w:rsid w:val="00180B18"/>
    <w:rsid w:val="001814EC"/>
    <w:rsid w:val="001818E1"/>
    <w:rsid w:val="00182823"/>
    <w:rsid w:val="00182F62"/>
    <w:rsid w:val="00182FFF"/>
    <w:rsid w:val="001836D9"/>
    <w:rsid w:val="00184803"/>
    <w:rsid w:val="0018488C"/>
    <w:rsid w:val="00185085"/>
    <w:rsid w:val="0018510D"/>
    <w:rsid w:val="00185B99"/>
    <w:rsid w:val="00186CE8"/>
    <w:rsid w:val="0018722A"/>
    <w:rsid w:val="00187A24"/>
    <w:rsid w:val="001904EE"/>
    <w:rsid w:val="00190533"/>
    <w:rsid w:val="00190741"/>
    <w:rsid w:val="00190778"/>
    <w:rsid w:val="00190F87"/>
    <w:rsid w:val="00191457"/>
    <w:rsid w:val="00191E90"/>
    <w:rsid w:val="00191EC1"/>
    <w:rsid w:val="001923F6"/>
    <w:rsid w:val="00192953"/>
    <w:rsid w:val="00192CB6"/>
    <w:rsid w:val="00192CE0"/>
    <w:rsid w:val="00193674"/>
    <w:rsid w:val="00193735"/>
    <w:rsid w:val="00193924"/>
    <w:rsid w:val="00193C61"/>
    <w:rsid w:val="00194547"/>
    <w:rsid w:val="00194800"/>
    <w:rsid w:val="00194B35"/>
    <w:rsid w:val="001952E9"/>
    <w:rsid w:val="00195548"/>
    <w:rsid w:val="00195581"/>
    <w:rsid w:val="00195C7F"/>
    <w:rsid w:val="00195EFF"/>
    <w:rsid w:val="00196589"/>
    <w:rsid w:val="001969EC"/>
    <w:rsid w:val="00196A80"/>
    <w:rsid w:val="00196C90"/>
    <w:rsid w:val="00196D36"/>
    <w:rsid w:val="00196FB3"/>
    <w:rsid w:val="001973CC"/>
    <w:rsid w:val="00197797"/>
    <w:rsid w:val="0019779D"/>
    <w:rsid w:val="00197C4B"/>
    <w:rsid w:val="001A03E7"/>
    <w:rsid w:val="001A043E"/>
    <w:rsid w:val="001A0B75"/>
    <w:rsid w:val="001A0C31"/>
    <w:rsid w:val="001A1547"/>
    <w:rsid w:val="001A2BBA"/>
    <w:rsid w:val="001A41D4"/>
    <w:rsid w:val="001A446E"/>
    <w:rsid w:val="001A4BE4"/>
    <w:rsid w:val="001A51B6"/>
    <w:rsid w:val="001A5456"/>
    <w:rsid w:val="001A5D7D"/>
    <w:rsid w:val="001A5E54"/>
    <w:rsid w:val="001A614C"/>
    <w:rsid w:val="001A61D9"/>
    <w:rsid w:val="001A62CC"/>
    <w:rsid w:val="001A67E4"/>
    <w:rsid w:val="001A695B"/>
    <w:rsid w:val="001A6C2F"/>
    <w:rsid w:val="001A6F95"/>
    <w:rsid w:val="001A7CED"/>
    <w:rsid w:val="001B0020"/>
    <w:rsid w:val="001B019E"/>
    <w:rsid w:val="001B03F4"/>
    <w:rsid w:val="001B05EF"/>
    <w:rsid w:val="001B0742"/>
    <w:rsid w:val="001B11B4"/>
    <w:rsid w:val="001B11C5"/>
    <w:rsid w:val="001B16DC"/>
    <w:rsid w:val="001B177F"/>
    <w:rsid w:val="001B1DE7"/>
    <w:rsid w:val="001B1E09"/>
    <w:rsid w:val="001B291B"/>
    <w:rsid w:val="001B2D2B"/>
    <w:rsid w:val="001B3101"/>
    <w:rsid w:val="001B36E1"/>
    <w:rsid w:val="001B36E4"/>
    <w:rsid w:val="001B41BE"/>
    <w:rsid w:val="001B5A11"/>
    <w:rsid w:val="001B5E30"/>
    <w:rsid w:val="001B5F5B"/>
    <w:rsid w:val="001B649B"/>
    <w:rsid w:val="001B64A3"/>
    <w:rsid w:val="001B66DA"/>
    <w:rsid w:val="001B6AA0"/>
    <w:rsid w:val="001B6DC9"/>
    <w:rsid w:val="001B711D"/>
    <w:rsid w:val="001B7938"/>
    <w:rsid w:val="001B7AC7"/>
    <w:rsid w:val="001C0118"/>
    <w:rsid w:val="001C0664"/>
    <w:rsid w:val="001C0770"/>
    <w:rsid w:val="001C0819"/>
    <w:rsid w:val="001C0DCC"/>
    <w:rsid w:val="001C12EB"/>
    <w:rsid w:val="001C1319"/>
    <w:rsid w:val="001C193C"/>
    <w:rsid w:val="001C1DA1"/>
    <w:rsid w:val="001C2684"/>
    <w:rsid w:val="001C292C"/>
    <w:rsid w:val="001C3273"/>
    <w:rsid w:val="001C32EA"/>
    <w:rsid w:val="001C39B4"/>
    <w:rsid w:val="001C3F44"/>
    <w:rsid w:val="001C45D0"/>
    <w:rsid w:val="001C4CF4"/>
    <w:rsid w:val="001C5563"/>
    <w:rsid w:val="001C5891"/>
    <w:rsid w:val="001C6FD9"/>
    <w:rsid w:val="001C70B8"/>
    <w:rsid w:val="001C715F"/>
    <w:rsid w:val="001C77FF"/>
    <w:rsid w:val="001D0081"/>
    <w:rsid w:val="001D033F"/>
    <w:rsid w:val="001D09E3"/>
    <w:rsid w:val="001D1390"/>
    <w:rsid w:val="001D1445"/>
    <w:rsid w:val="001D1AA7"/>
    <w:rsid w:val="001D25A3"/>
    <w:rsid w:val="001D28A0"/>
    <w:rsid w:val="001D2DAF"/>
    <w:rsid w:val="001D2E56"/>
    <w:rsid w:val="001D404B"/>
    <w:rsid w:val="001D41DE"/>
    <w:rsid w:val="001D4E90"/>
    <w:rsid w:val="001D5119"/>
    <w:rsid w:val="001D523D"/>
    <w:rsid w:val="001D59E9"/>
    <w:rsid w:val="001D6306"/>
    <w:rsid w:val="001D6877"/>
    <w:rsid w:val="001D6D7F"/>
    <w:rsid w:val="001D7451"/>
    <w:rsid w:val="001D7B1F"/>
    <w:rsid w:val="001D7F68"/>
    <w:rsid w:val="001D7FBB"/>
    <w:rsid w:val="001E025E"/>
    <w:rsid w:val="001E06D1"/>
    <w:rsid w:val="001E0797"/>
    <w:rsid w:val="001E08E1"/>
    <w:rsid w:val="001E1086"/>
    <w:rsid w:val="001E1177"/>
    <w:rsid w:val="001E11FB"/>
    <w:rsid w:val="001E1472"/>
    <w:rsid w:val="001E163D"/>
    <w:rsid w:val="001E1791"/>
    <w:rsid w:val="001E1953"/>
    <w:rsid w:val="001E1B55"/>
    <w:rsid w:val="001E1E11"/>
    <w:rsid w:val="001E229A"/>
    <w:rsid w:val="001E2550"/>
    <w:rsid w:val="001E25DB"/>
    <w:rsid w:val="001E286C"/>
    <w:rsid w:val="001E2945"/>
    <w:rsid w:val="001E380D"/>
    <w:rsid w:val="001E4104"/>
    <w:rsid w:val="001E4223"/>
    <w:rsid w:val="001E423B"/>
    <w:rsid w:val="001E4402"/>
    <w:rsid w:val="001E45A3"/>
    <w:rsid w:val="001E4B3E"/>
    <w:rsid w:val="001E5429"/>
    <w:rsid w:val="001E5FD2"/>
    <w:rsid w:val="001E60EE"/>
    <w:rsid w:val="001E6314"/>
    <w:rsid w:val="001E66ED"/>
    <w:rsid w:val="001F0524"/>
    <w:rsid w:val="001F09BA"/>
    <w:rsid w:val="001F0F62"/>
    <w:rsid w:val="001F14B6"/>
    <w:rsid w:val="001F1B92"/>
    <w:rsid w:val="001F1BB7"/>
    <w:rsid w:val="001F2AFE"/>
    <w:rsid w:val="001F2E33"/>
    <w:rsid w:val="001F2EE4"/>
    <w:rsid w:val="001F2EF5"/>
    <w:rsid w:val="001F2F4F"/>
    <w:rsid w:val="001F3056"/>
    <w:rsid w:val="001F3149"/>
    <w:rsid w:val="001F32A7"/>
    <w:rsid w:val="001F3361"/>
    <w:rsid w:val="001F3619"/>
    <w:rsid w:val="001F4DD6"/>
    <w:rsid w:val="001F5895"/>
    <w:rsid w:val="001F59FE"/>
    <w:rsid w:val="001F5AC6"/>
    <w:rsid w:val="001F5C59"/>
    <w:rsid w:val="001F611D"/>
    <w:rsid w:val="001F61C5"/>
    <w:rsid w:val="001F6424"/>
    <w:rsid w:val="001F690E"/>
    <w:rsid w:val="001F6973"/>
    <w:rsid w:val="001F6CD0"/>
    <w:rsid w:val="002000BE"/>
    <w:rsid w:val="0020057A"/>
    <w:rsid w:val="002007EE"/>
    <w:rsid w:val="00200EF4"/>
    <w:rsid w:val="00201362"/>
    <w:rsid w:val="00201885"/>
    <w:rsid w:val="00201AF8"/>
    <w:rsid w:val="00202507"/>
    <w:rsid w:val="00202821"/>
    <w:rsid w:val="002028B5"/>
    <w:rsid w:val="002035D5"/>
    <w:rsid w:val="002038FA"/>
    <w:rsid w:val="00203F10"/>
    <w:rsid w:val="00203F1C"/>
    <w:rsid w:val="00204600"/>
    <w:rsid w:val="002047B9"/>
    <w:rsid w:val="002056F7"/>
    <w:rsid w:val="002066F8"/>
    <w:rsid w:val="002067A2"/>
    <w:rsid w:val="00206813"/>
    <w:rsid w:val="00206B20"/>
    <w:rsid w:val="0020723E"/>
    <w:rsid w:val="0020727C"/>
    <w:rsid w:val="00210B0D"/>
    <w:rsid w:val="002113BF"/>
    <w:rsid w:val="0021173F"/>
    <w:rsid w:val="00211D87"/>
    <w:rsid w:val="00211EA1"/>
    <w:rsid w:val="00212347"/>
    <w:rsid w:val="00212679"/>
    <w:rsid w:val="002126E2"/>
    <w:rsid w:val="00212B73"/>
    <w:rsid w:val="00212E4A"/>
    <w:rsid w:val="002131C4"/>
    <w:rsid w:val="002132B1"/>
    <w:rsid w:val="00213838"/>
    <w:rsid w:val="002138D5"/>
    <w:rsid w:val="00213A12"/>
    <w:rsid w:val="00213FF2"/>
    <w:rsid w:val="002142C9"/>
    <w:rsid w:val="00214581"/>
    <w:rsid w:val="00214723"/>
    <w:rsid w:val="0021535A"/>
    <w:rsid w:val="0021569A"/>
    <w:rsid w:val="002156C5"/>
    <w:rsid w:val="00215993"/>
    <w:rsid w:val="00215D0C"/>
    <w:rsid w:val="00216360"/>
    <w:rsid w:val="002163EC"/>
    <w:rsid w:val="002164BF"/>
    <w:rsid w:val="002165D1"/>
    <w:rsid w:val="00216727"/>
    <w:rsid w:val="00217054"/>
    <w:rsid w:val="0021741D"/>
    <w:rsid w:val="0021773A"/>
    <w:rsid w:val="00217F84"/>
    <w:rsid w:val="00220157"/>
    <w:rsid w:val="002203E5"/>
    <w:rsid w:val="0022067F"/>
    <w:rsid w:val="00220AE5"/>
    <w:rsid w:val="00220D9D"/>
    <w:rsid w:val="00221236"/>
    <w:rsid w:val="00221875"/>
    <w:rsid w:val="0022201F"/>
    <w:rsid w:val="002241D6"/>
    <w:rsid w:val="00224364"/>
    <w:rsid w:val="00224DD7"/>
    <w:rsid w:val="002252D4"/>
    <w:rsid w:val="002254F3"/>
    <w:rsid w:val="002257C8"/>
    <w:rsid w:val="00225E65"/>
    <w:rsid w:val="00225F13"/>
    <w:rsid w:val="002262E0"/>
    <w:rsid w:val="00226596"/>
    <w:rsid w:val="00226B2B"/>
    <w:rsid w:val="00226F6E"/>
    <w:rsid w:val="0022711E"/>
    <w:rsid w:val="002271B6"/>
    <w:rsid w:val="002272CD"/>
    <w:rsid w:val="00227538"/>
    <w:rsid w:val="002276B8"/>
    <w:rsid w:val="00227AA1"/>
    <w:rsid w:val="00227AB6"/>
    <w:rsid w:val="00227E63"/>
    <w:rsid w:val="00230151"/>
    <w:rsid w:val="002304B8"/>
    <w:rsid w:val="00231605"/>
    <w:rsid w:val="00231742"/>
    <w:rsid w:val="00231941"/>
    <w:rsid w:val="00231BCD"/>
    <w:rsid w:val="00231CE3"/>
    <w:rsid w:val="00231EB5"/>
    <w:rsid w:val="00231F7F"/>
    <w:rsid w:val="002321A5"/>
    <w:rsid w:val="0023240B"/>
    <w:rsid w:val="00233085"/>
    <w:rsid w:val="00233263"/>
    <w:rsid w:val="00233AFE"/>
    <w:rsid w:val="00234BD8"/>
    <w:rsid w:val="00234E53"/>
    <w:rsid w:val="00234EEA"/>
    <w:rsid w:val="0023531C"/>
    <w:rsid w:val="0023582B"/>
    <w:rsid w:val="002359A5"/>
    <w:rsid w:val="00235C4F"/>
    <w:rsid w:val="00236944"/>
    <w:rsid w:val="00236F34"/>
    <w:rsid w:val="0023765F"/>
    <w:rsid w:val="00240161"/>
    <w:rsid w:val="002408CB"/>
    <w:rsid w:val="00241089"/>
    <w:rsid w:val="00241CFA"/>
    <w:rsid w:val="002423EE"/>
    <w:rsid w:val="00242775"/>
    <w:rsid w:val="0024286C"/>
    <w:rsid w:val="00242B06"/>
    <w:rsid w:val="00242BB0"/>
    <w:rsid w:val="00243868"/>
    <w:rsid w:val="0024388F"/>
    <w:rsid w:val="002438B2"/>
    <w:rsid w:val="00243E7E"/>
    <w:rsid w:val="00244230"/>
    <w:rsid w:val="0024457C"/>
    <w:rsid w:val="0024475B"/>
    <w:rsid w:val="002447EF"/>
    <w:rsid w:val="00244858"/>
    <w:rsid w:val="002449CD"/>
    <w:rsid w:val="00244F71"/>
    <w:rsid w:val="00245357"/>
    <w:rsid w:val="0024549F"/>
    <w:rsid w:val="00245A7A"/>
    <w:rsid w:val="00245D53"/>
    <w:rsid w:val="00245FFB"/>
    <w:rsid w:val="00246BDF"/>
    <w:rsid w:val="00246E7A"/>
    <w:rsid w:val="00247097"/>
    <w:rsid w:val="00247353"/>
    <w:rsid w:val="00247389"/>
    <w:rsid w:val="00250156"/>
    <w:rsid w:val="00250C82"/>
    <w:rsid w:val="00250CAC"/>
    <w:rsid w:val="00250D7F"/>
    <w:rsid w:val="00251A46"/>
    <w:rsid w:val="00252031"/>
    <w:rsid w:val="00252638"/>
    <w:rsid w:val="00252CFC"/>
    <w:rsid w:val="00252E7E"/>
    <w:rsid w:val="00252F78"/>
    <w:rsid w:val="002537C9"/>
    <w:rsid w:val="0025387F"/>
    <w:rsid w:val="00253B59"/>
    <w:rsid w:val="00253BE7"/>
    <w:rsid w:val="00254652"/>
    <w:rsid w:val="00254787"/>
    <w:rsid w:val="00254C4D"/>
    <w:rsid w:val="00255221"/>
    <w:rsid w:val="002552FF"/>
    <w:rsid w:val="00255B0C"/>
    <w:rsid w:val="00255B14"/>
    <w:rsid w:val="00255BC2"/>
    <w:rsid w:val="00255D16"/>
    <w:rsid w:val="00255DFB"/>
    <w:rsid w:val="002562A4"/>
    <w:rsid w:val="00256660"/>
    <w:rsid w:val="00256CB1"/>
    <w:rsid w:val="002570CC"/>
    <w:rsid w:val="0025714F"/>
    <w:rsid w:val="002571B4"/>
    <w:rsid w:val="0025743B"/>
    <w:rsid w:val="00257CEE"/>
    <w:rsid w:val="002606DC"/>
    <w:rsid w:val="00260838"/>
    <w:rsid w:val="00260874"/>
    <w:rsid w:val="00260AEC"/>
    <w:rsid w:val="00260E83"/>
    <w:rsid w:val="00261A99"/>
    <w:rsid w:val="00261ADD"/>
    <w:rsid w:val="002624E7"/>
    <w:rsid w:val="002635C2"/>
    <w:rsid w:val="00263609"/>
    <w:rsid w:val="00263B3E"/>
    <w:rsid w:val="00263DD1"/>
    <w:rsid w:val="00263ECE"/>
    <w:rsid w:val="0026403B"/>
    <w:rsid w:val="00264865"/>
    <w:rsid w:val="00264D88"/>
    <w:rsid w:val="002652BA"/>
    <w:rsid w:val="00265323"/>
    <w:rsid w:val="00265561"/>
    <w:rsid w:val="00266285"/>
    <w:rsid w:val="002662B2"/>
    <w:rsid w:val="0026660C"/>
    <w:rsid w:val="00266631"/>
    <w:rsid w:val="0026665F"/>
    <w:rsid w:val="00266946"/>
    <w:rsid w:val="00266F09"/>
    <w:rsid w:val="002676B0"/>
    <w:rsid w:val="002701F5"/>
    <w:rsid w:val="0027024C"/>
    <w:rsid w:val="002705B9"/>
    <w:rsid w:val="00270712"/>
    <w:rsid w:val="00270AEE"/>
    <w:rsid w:val="00270D95"/>
    <w:rsid w:val="00271525"/>
    <w:rsid w:val="00271CBA"/>
    <w:rsid w:val="0027227D"/>
    <w:rsid w:val="00272841"/>
    <w:rsid w:val="00272ACB"/>
    <w:rsid w:val="00272B40"/>
    <w:rsid w:val="00272B92"/>
    <w:rsid w:val="00272C51"/>
    <w:rsid w:val="0027305A"/>
    <w:rsid w:val="00273688"/>
    <w:rsid w:val="0027383C"/>
    <w:rsid w:val="00273E0A"/>
    <w:rsid w:val="002742F0"/>
    <w:rsid w:val="0027478E"/>
    <w:rsid w:val="00275061"/>
    <w:rsid w:val="00275949"/>
    <w:rsid w:val="002759B1"/>
    <w:rsid w:val="00275CAB"/>
    <w:rsid w:val="0027654E"/>
    <w:rsid w:val="00276F56"/>
    <w:rsid w:val="00277095"/>
    <w:rsid w:val="00277211"/>
    <w:rsid w:val="00277530"/>
    <w:rsid w:val="00277B77"/>
    <w:rsid w:val="00277E04"/>
    <w:rsid w:val="00277EE8"/>
    <w:rsid w:val="00281098"/>
    <w:rsid w:val="002810C8"/>
    <w:rsid w:val="002810E6"/>
    <w:rsid w:val="00281A78"/>
    <w:rsid w:val="00281AEC"/>
    <w:rsid w:val="00281E04"/>
    <w:rsid w:val="00281FF2"/>
    <w:rsid w:val="002822DE"/>
    <w:rsid w:val="002823CC"/>
    <w:rsid w:val="00283501"/>
    <w:rsid w:val="00283A95"/>
    <w:rsid w:val="002843D4"/>
    <w:rsid w:val="002846E6"/>
    <w:rsid w:val="00284901"/>
    <w:rsid w:val="002851A1"/>
    <w:rsid w:val="0028533E"/>
    <w:rsid w:val="002853A8"/>
    <w:rsid w:val="0028599F"/>
    <w:rsid w:val="00285BCE"/>
    <w:rsid w:val="0028730C"/>
    <w:rsid w:val="0028746A"/>
    <w:rsid w:val="0028752C"/>
    <w:rsid w:val="002879B3"/>
    <w:rsid w:val="0029087E"/>
    <w:rsid w:val="002908BD"/>
    <w:rsid w:val="00290B3A"/>
    <w:rsid w:val="00290FC0"/>
    <w:rsid w:val="002912FF"/>
    <w:rsid w:val="00291668"/>
    <w:rsid w:val="0029170E"/>
    <w:rsid w:val="002924D1"/>
    <w:rsid w:val="00292C41"/>
    <w:rsid w:val="00292C4E"/>
    <w:rsid w:val="002937F1"/>
    <w:rsid w:val="00293BE6"/>
    <w:rsid w:val="00293F49"/>
    <w:rsid w:val="00294021"/>
    <w:rsid w:val="00295568"/>
    <w:rsid w:val="00295D35"/>
    <w:rsid w:val="00295F5E"/>
    <w:rsid w:val="00296110"/>
    <w:rsid w:val="0029632D"/>
    <w:rsid w:val="00296B89"/>
    <w:rsid w:val="00296BD2"/>
    <w:rsid w:val="00297200"/>
    <w:rsid w:val="00297836"/>
    <w:rsid w:val="002979F1"/>
    <w:rsid w:val="00297A0A"/>
    <w:rsid w:val="00297C2F"/>
    <w:rsid w:val="00297CA3"/>
    <w:rsid w:val="002A001E"/>
    <w:rsid w:val="002A016F"/>
    <w:rsid w:val="002A09B1"/>
    <w:rsid w:val="002A0CC1"/>
    <w:rsid w:val="002A1089"/>
    <w:rsid w:val="002A16D7"/>
    <w:rsid w:val="002A19DE"/>
    <w:rsid w:val="002A1CAB"/>
    <w:rsid w:val="002A3111"/>
    <w:rsid w:val="002A3819"/>
    <w:rsid w:val="002A3EEF"/>
    <w:rsid w:val="002A42CF"/>
    <w:rsid w:val="002A465E"/>
    <w:rsid w:val="002A4BDE"/>
    <w:rsid w:val="002A522C"/>
    <w:rsid w:val="002A5666"/>
    <w:rsid w:val="002A5F2C"/>
    <w:rsid w:val="002A6147"/>
    <w:rsid w:val="002A614C"/>
    <w:rsid w:val="002A69F5"/>
    <w:rsid w:val="002A6BFF"/>
    <w:rsid w:val="002A6CB2"/>
    <w:rsid w:val="002A77E1"/>
    <w:rsid w:val="002A7B02"/>
    <w:rsid w:val="002B00B8"/>
    <w:rsid w:val="002B010D"/>
    <w:rsid w:val="002B0A68"/>
    <w:rsid w:val="002B0C65"/>
    <w:rsid w:val="002B0CF8"/>
    <w:rsid w:val="002B1662"/>
    <w:rsid w:val="002B19AD"/>
    <w:rsid w:val="002B1D98"/>
    <w:rsid w:val="002B1E69"/>
    <w:rsid w:val="002B3931"/>
    <w:rsid w:val="002B45D7"/>
    <w:rsid w:val="002B46DA"/>
    <w:rsid w:val="002B4B2E"/>
    <w:rsid w:val="002B4EA9"/>
    <w:rsid w:val="002B4F70"/>
    <w:rsid w:val="002B4FC2"/>
    <w:rsid w:val="002B5796"/>
    <w:rsid w:val="002B58A4"/>
    <w:rsid w:val="002B5ADA"/>
    <w:rsid w:val="002B6A21"/>
    <w:rsid w:val="002B6ADE"/>
    <w:rsid w:val="002B6F5F"/>
    <w:rsid w:val="002B719F"/>
    <w:rsid w:val="002B75CD"/>
    <w:rsid w:val="002B7D15"/>
    <w:rsid w:val="002C0193"/>
    <w:rsid w:val="002C066D"/>
    <w:rsid w:val="002C0C75"/>
    <w:rsid w:val="002C10D3"/>
    <w:rsid w:val="002C164A"/>
    <w:rsid w:val="002C1FF9"/>
    <w:rsid w:val="002C222A"/>
    <w:rsid w:val="002C34B8"/>
    <w:rsid w:val="002C3966"/>
    <w:rsid w:val="002C41F9"/>
    <w:rsid w:val="002C4349"/>
    <w:rsid w:val="002C456B"/>
    <w:rsid w:val="002C4641"/>
    <w:rsid w:val="002C5868"/>
    <w:rsid w:val="002C6A90"/>
    <w:rsid w:val="002C6AA2"/>
    <w:rsid w:val="002C6C60"/>
    <w:rsid w:val="002C6CD4"/>
    <w:rsid w:val="002C7E47"/>
    <w:rsid w:val="002D028F"/>
    <w:rsid w:val="002D057A"/>
    <w:rsid w:val="002D0885"/>
    <w:rsid w:val="002D08E7"/>
    <w:rsid w:val="002D0A11"/>
    <w:rsid w:val="002D0CB5"/>
    <w:rsid w:val="002D0D70"/>
    <w:rsid w:val="002D0EC7"/>
    <w:rsid w:val="002D0FB0"/>
    <w:rsid w:val="002D128A"/>
    <w:rsid w:val="002D1820"/>
    <w:rsid w:val="002D19EC"/>
    <w:rsid w:val="002D1BDD"/>
    <w:rsid w:val="002D1FE0"/>
    <w:rsid w:val="002D2024"/>
    <w:rsid w:val="002D23EA"/>
    <w:rsid w:val="002D3487"/>
    <w:rsid w:val="002D3504"/>
    <w:rsid w:val="002D36C4"/>
    <w:rsid w:val="002D4882"/>
    <w:rsid w:val="002D4D47"/>
    <w:rsid w:val="002D5410"/>
    <w:rsid w:val="002D57D4"/>
    <w:rsid w:val="002D5980"/>
    <w:rsid w:val="002D600F"/>
    <w:rsid w:val="002D6589"/>
    <w:rsid w:val="002D663E"/>
    <w:rsid w:val="002D6646"/>
    <w:rsid w:val="002D690E"/>
    <w:rsid w:val="002D6F61"/>
    <w:rsid w:val="002D7101"/>
    <w:rsid w:val="002D71B7"/>
    <w:rsid w:val="002D72B3"/>
    <w:rsid w:val="002D733D"/>
    <w:rsid w:val="002D73CA"/>
    <w:rsid w:val="002D7765"/>
    <w:rsid w:val="002D7CC9"/>
    <w:rsid w:val="002E0A35"/>
    <w:rsid w:val="002E0B23"/>
    <w:rsid w:val="002E0B60"/>
    <w:rsid w:val="002E0D26"/>
    <w:rsid w:val="002E1247"/>
    <w:rsid w:val="002E166D"/>
    <w:rsid w:val="002E17C3"/>
    <w:rsid w:val="002E19FC"/>
    <w:rsid w:val="002E1D1D"/>
    <w:rsid w:val="002E1E33"/>
    <w:rsid w:val="002E26A2"/>
    <w:rsid w:val="002E283C"/>
    <w:rsid w:val="002E2AEC"/>
    <w:rsid w:val="002E3FA5"/>
    <w:rsid w:val="002E408C"/>
    <w:rsid w:val="002E4324"/>
    <w:rsid w:val="002E4677"/>
    <w:rsid w:val="002E4738"/>
    <w:rsid w:val="002E51D1"/>
    <w:rsid w:val="002E5210"/>
    <w:rsid w:val="002E565B"/>
    <w:rsid w:val="002E5786"/>
    <w:rsid w:val="002E58CC"/>
    <w:rsid w:val="002E5B67"/>
    <w:rsid w:val="002E5E2D"/>
    <w:rsid w:val="002E5F05"/>
    <w:rsid w:val="002E61B5"/>
    <w:rsid w:val="002E62E3"/>
    <w:rsid w:val="002E6687"/>
    <w:rsid w:val="002E6A39"/>
    <w:rsid w:val="002E6DE2"/>
    <w:rsid w:val="002E7115"/>
    <w:rsid w:val="002E74DC"/>
    <w:rsid w:val="002E75E4"/>
    <w:rsid w:val="002E76E5"/>
    <w:rsid w:val="002E773A"/>
    <w:rsid w:val="002E7E9D"/>
    <w:rsid w:val="002F00B2"/>
    <w:rsid w:val="002F07CB"/>
    <w:rsid w:val="002F139C"/>
    <w:rsid w:val="002F1784"/>
    <w:rsid w:val="002F17EE"/>
    <w:rsid w:val="002F19B8"/>
    <w:rsid w:val="002F1CA1"/>
    <w:rsid w:val="002F1CBC"/>
    <w:rsid w:val="002F2261"/>
    <w:rsid w:val="002F261F"/>
    <w:rsid w:val="002F2788"/>
    <w:rsid w:val="002F28E2"/>
    <w:rsid w:val="002F2E49"/>
    <w:rsid w:val="002F2E68"/>
    <w:rsid w:val="002F3956"/>
    <w:rsid w:val="002F3FD7"/>
    <w:rsid w:val="002F4134"/>
    <w:rsid w:val="002F4870"/>
    <w:rsid w:val="002F4974"/>
    <w:rsid w:val="002F5777"/>
    <w:rsid w:val="002F5FF1"/>
    <w:rsid w:val="002F6055"/>
    <w:rsid w:val="002F6564"/>
    <w:rsid w:val="002F659B"/>
    <w:rsid w:val="002F676C"/>
    <w:rsid w:val="002F680C"/>
    <w:rsid w:val="002F7D88"/>
    <w:rsid w:val="003002CA"/>
    <w:rsid w:val="00300445"/>
    <w:rsid w:val="00300538"/>
    <w:rsid w:val="0030062F"/>
    <w:rsid w:val="00300806"/>
    <w:rsid w:val="00300889"/>
    <w:rsid w:val="00300A0A"/>
    <w:rsid w:val="00300B77"/>
    <w:rsid w:val="00300E6C"/>
    <w:rsid w:val="0030245D"/>
    <w:rsid w:val="00302528"/>
    <w:rsid w:val="003030DE"/>
    <w:rsid w:val="003035E0"/>
    <w:rsid w:val="00303BF9"/>
    <w:rsid w:val="0030423E"/>
    <w:rsid w:val="00304A88"/>
    <w:rsid w:val="00304BE2"/>
    <w:rsid w:val="00304BE7"/>
    <w:rsid w:val="00304C04"/>
    <w:rsid w:val="00304F62"/>
    <w:rsid w:val="00305AD2"/>
    <w:rsid w:val="00305CE7"/>
    <w:rsid w:val="00306033"/>
    <w:rsid w:val="003067F3"/>
    <w:rsid w:val="00306824"/>
    <w:rsid w:val="003069E7"/>
    <w:rsid w:val="00307109"/>
    <w:rsid w:val="00307135"/>
    <w:rsid w:val="0030766B"/>
    <w:rsid w:val="00307DFF"/>
    <w:rsid w:val="00310054"/>
    <w:rsid w:val="00310082"/>
    <w:rsid w:val="00310119"/>
    <w:rsid w:val="003106F9"/>
    <w:rsid w:val="003109EA"/>
    <w:rsid w:val="00310B83"/>
    <w:rsid w:val="003116CE"/>
    <w:rsid w:val="00311734"/>
    <w:rsid w:val="00311768"/>
    <w:rsid w:val="00312162"/>
    <w:rsid w:val="003124BC"/>
    <w:rsid w:val="00312607"/>
    <w:rsid w:val="00312718"/>
    <w:rsid w:val="003128A4"/>
    <w:rsid w:val="00312DEB"/>
    <w:rsid w:val="00313159"/>
    <w:rsid w:val="00313634"/>
    <w:rsid w:val="00313881"/>
    <w:rsid w:val="00313DEA"/>
    <w:rsid w:val="0031406F"/>
    <w:rsid w:val="003144A1"/>
    <w:rsid w:val="00314D32"/>
    <w:rsid w:val="0031508B"/>
    <w:rsid w:val="003152D1"/>
    <w:rsid w:val="003153FD"/>
    <w:rsid w:val="00315634"/>
    <w:rsid w:val="00315B07"/>
    <w:rsid w:val="00315E66"/>
    <w:rsid w:val="0031670F"/>
    <w:rsid w:val="0031689A"/>
    <w:rsid w:val="00316F58"/>
    <w:rsid w:val="00316FBD"/>
    <w:rsid w:val="00317AA0"/>
    <w:rsid w:val="00317AFF"/>
    <w:rsid w:val="003210AC"/>
    <w:rsid w:val="00321C97"/>
    <w:rsid w:val="00322155"/>
    <w:rsid w:val="00322545"/>
    <w:rsid w:val="00322A21"/>
    <w:rsid w:val="00322ECF"/>
    <w:rsid w:val="0032301E"/>
    <w:rsid w:val="00323163"/>
    <w:rsid w:val="0032323D"/>
    <w:rsid w:val="00323BCA"/>
    <w:rsid w:val="00323E8C"/>
    <w:rsid w:val="00323F5C"/>
    <w:rsid w:val="00324D2D"/>
    <w:rsid w:val="00324F03"/>
    <w:rsid w:val="00324F6E"/>
    <w:rsid w:val="00325597"/>
    <w:rsid w:val="00325B09"/>
    <w:rsid w:val="00326272"/>
    <w:rsid w:val="00326CAC"/>
    <w:rsid w:val="00326D55"/>
    <w:rsid w:val="00326D7A"/>
    <w:rsid w:val="00326FE9"/>
    <w:rsid w:val="00327123"/>
    <w:rsid w:val="0032755E"/>
    <w:rsid w:val="0032767E"/>
    <w:rsid w:val="00327B3A"/>
    <w:rsid w:val="00327E0A"/>
    <w:rsid w:val="00327FD6"/>
    <w:rsid w:val="0033026A"/>
    <w:rsid w:val="0033039C"/>
    <w:rsid w:val="00330CFD"/>
    <w:rsid w:val="00331247"/>
    <w:rsid w:val="00331F0F"/>
    <w:rsid w:val="00331F2F"/>
    <w:rsid w:val="00332069"/>
    <w:rsid w:val="003326B2"/>
    <w:rsid w:val="00332841"/>
    <w:rsid w:val="0033291D"/>
    <w:rsid w:val="00332D1F"/>
    <w:rsid w:val="00332D98"/>
    <w:rsid w:val="00332DA1"/>
    <w:rsid w:val="00332F3B"/>
    <w:rsid w:val="003335D3"/>
    <w:rsid w:val="00333751"/>
    <w:rsid w:val="00333768"/>
    <w:rsid w:val="00333B3D"/>
    <w:rsid w:val="00333C1E"/>
    <w:rsid w:val="00333E45"/>
    <w:rsid w:val="0033472F"/>
    <w:rsid w:val="00334E13"/>
    <w:rsid w:val="00335767"/>
    <w:rsid w:val="00335863"/>
    <w:rsid w:val="003359F3"/>
    <w:rsid w:val="00335CBC"/>
    <w:rsid w:val="00336711"/>
    <w:rsid w:val="00336760"/>
    <w:rsid w:val="0033736B"/>
    <w:rsid w:val="0033777E"/>
    <w:rsid w:val="003379E2"/>
    <w:rsid w:val="00337E77"/>
    <w:rsid w:val="00337EDB"/>
    <w:rsid w:val="00340AB6"/>
    <w:rsid w:val="00340AB7"/>
    <w:rsid w:val="0034152B"/>
    <w:rsid w:val="00341585"/>
    <w:rsid w:val="00341A43"/>
    <w:rsid w:val="00341AFC"/>
    <w:rsid w:val="00341FA1"/>
    <w:rsid w:val="00342139"/>
    <w:rsid w:val="00342169"/>
    <w:rsid w:val="003422B6"/>
    <w:rsid w:val="003427BC"/>
    <w:rsid w:val="00342EDA"/>
    <w:rsid w:val="00343177"/>
    <w:rsid w:val="003436AC"/>
    <w:rsid w:val="00343740"/>
    <w:rsid w:val="00343E28"/>
    <w:rsid w:val="00344140"/>
    <w:rsid w:val="00345136"/>
    <w:rsid w:val="0034547F"/>
    <w:rsid w:val="00345530"/>
    <w:rsid w:val="0034580A"/>
    <w:rsid w:val="00345B28"/>
    <w:rsid w:val="00345CD6"/>
    <w:rsid w:val="00345F0D"/>
    <w:rsid w:val="00346245"/>
    <w:rsid w:val="003463D9"/>
    <w:rsid w:val="00346A3A"/>
    <w:rsid w:val="00346DD6"/>
    <w:rsid w:val="00346EB5"/>
    <w:rsid w:val="00347663"/>
    <w:rsid w:val="00347DF6"/>
    <w:rsid w:val="00350D01"/>
    <w:rsid w:val="00351450"/>
    <w:rsid w:val="00351554"/>
    <w:rsid w:val="003515C3"/>
    <w:rsid w:val="0035171E"/>
    <w:rsid w:val="00352566"/>
    <w:rsid w:val="003526DB"/>
    <w:rsid w:val="00352AF9"/>
    <w:rsid w:val="00352D5E"/>
    <w:rsid w:val="00352D83"/>
    <w:rsid w:val="00353401"/>
    <w:rsid w:val="00353C06"/>
    <w:rsid w:val="00354239"/>
    <w:rsid w:val="0035424C"/>
    <w:rsid w:val="003547B4"/>
    <w:rsid w:val="00354A04"/>
    <w:rsid w:val="003551F8"/>
    <w:rsid w:val="00355654"/>
    <w:rsid w:val="003559CC"/>
    <w:rsid w:val="00355B9D"/>
    <w:rsid w:val="00355EE6"/>
    <w:rsid w:val="00355FB7"/>
    <w:rsid w:val="0035671F"/>
    <w:rsid w:val="00356A1D"/>
    <w:rsid w:val="00356D05"/>
    <w:rsid w:val="003572F2"/>
    <w:rsid w:val="00357356"/>
    <w:rsid w:val="003574C9"/>
    <w:rsid w:val="00357836"/>
    <w:rsid w:val="003578CA"/>
    <w:rsid w:val="00360EE2"/>
    <w:rsid w:val="00360F60"/>
    <w:rsid w:val="0036184B"/>
    <w:rsid w:val="00361EC7"/>
    <w:rsid w:val="00362401"/>
    <w:rsid w:val="003624F4"/>
    <w:rsid w:val="0036268B"/>
    <w:rsid w:val="00362777"/>
    <w:rsid w:val="00362E35"/>
    <w:rsid w:val="003630A0"/>
    <w:rsid w:val="0036342E"/>
    <w:rsid w:val="0036368D"/>
    <w:rsid w:val="003639A9"/>
    <w:rsid w:val="00363FF6"/>
    <w:rsid w:val="0036424F"/>
    <w:rsid w:val="003648F3"/>
    <w:rsid w:val="00364B4B"/>
    <w:rsid w:val="00364C8F"/>
    <w:rsid w:val="00364F55"/>
    <w:rsid w:val="003650BA"/>
    <w:rsid w:val="00365201"/>
    <w:rsid w:val="00365630"/>
    <w:rsid w:val="003656EE"/>
    <w:rsid w:val="00365946"/>
    <w:rsid w:val="0036597F"/>
    <w:rsid w:val="00365B47"/>
    <w:rsid w:val="00365F9A"/>
    <w:rsid w:val="003662F1"/>
    <w:rsid w:val="00366B82"/>
    <w:rsid w:val="00366DF7"/>
    <w:rsid w:val="00367632"/>
    <w:rsid w:val="0036799A"/>
    <w:rsid w:val="00367A71"/>
    <w:rsid w:val="00367CB5"/>
    <w:rsid w:val="00367D31"/>
    <w:rsid w:val="00367F59"/>
    <w:rsid w:val="00372818"/>
    <w:rsid w:val="00372946"/>
    <w:rsid w:val="00372A01"/>
    <w:rsid w:val="00373340"/>
    <w:rsid w:val="003733D4"/>
    <w:rsid w:val="00374852"/>
    <w:rsid w:val="00374F0A"/>
    <w:rsid w:val="0037512B"/>
    <w:rsid w:val="00375339"/>
    <w:rsid w:val="003755D4"/>
    <w:rsid w:val="00375AD8"/>
    <w:rsid w:val="00375D51"/>
    <w:rsid w:val="00375FC1"/>
    <w:rsid w:val="003767D4"/>
    <w:rsid w:val="00376E77"/>
    <w:rsid w:val="003775CE"/>
    <w:rsid w:val="0037776F"/>
    <w:rsid w:val="00377B8E"/>
    <w:rsid w:val="00377CF7"/>
    <w:rsid w:val="00377EB9"/>
    <w:rsid w:val="00377FF0"/>
    <w:rsid w:val="00380446"/>
    <w:rsid w:val="003807B7"/>
    <w:rsid w:val="00380B07"/>
    <w:rsid w:val="00381CCB"/>
    <w:rsid w:val="0038260C"/>
    <w:rsid w:val="00382901"/>
    <w:rsid w:val="003832CF"/>
    <w:rsid w:val="00383561"/>
    <w:rsid w:val="00383623"/>
    <w:rsid w:val="0038381F"/>
    <w:rsid w:val="0038386D"/>
    <w:rsid w:val="00383982"/>
    <w:rsid w:val="00383C63"/>
    <w:rsid w:val="00383EAB"/>
    <w:rsid w:val="00384046"/>
    <w:rsid w:val="00384543"/>
    <w:rsid w:val="003846F1"/>
    <w:rsid w:val="00384905"/>
    <w:rsid w:val="00384C67"/>
    <w:rsid w:val="00384CC1"/>
    <w:rsid w:val="00384F5B"/>
    <w:rsid w:val="00385792"/>
    <w:rsid w:val="00385A90"/>
    <w:rsid w:val="00386255"/>
    <w:rsid w:val="00386FBF"/>
    <w:rsid w:val="00387530"/>
    <w:rsid w:val="00387A3F"/>
    <w:rsid w:val="0039053E"/>
    <w:rsid w:val="00390A4B"/>
    <w:rsid w:val="00390ADF"/>
    <w:rsid w:val="00391167"/>
    <w:rsid w:val="00391240"/>
    <w:rsid w:val="003914C6"/>
    <w:rsid w:val="0039196D"/>
    <w:rsid w:val="00391EE5"/>
    <w:rsid w:val="00392280"/>
    <w:rsid w:val="003927BF"/>
    <w:rsid w:val="00392B14"/>
    <w:rsid w:val="00392C2E"/>
    <w:rsid w:val="00392C61"/>
    <w:rsid w:val="00392F62"/>
    <w:rsid w:val="0039307F"/>
    <w:rsid w:val="003931DC"/>
    <w:rsid w:val="003938E3"/>
    <w:rsid w:val="00393F1E"/>
    <w:rsid w:val="00394549"/>
    <w:rsid w:val="0039494E"/>
    <w:rsid w:val="00394E93"/>
    <w:rsid w:val="003955C9"/>
    <w:rsid w:val="00395B0B"/>
    <w:rsid w:val="00395EAF"/>
    <w:rsid w:val="0039679F"/>
    <w:rsid w:val="003968BD"/>
    <w:rsid w:val="003972F3"/>
    <w:rsid w:val="003A03F9"/>
    <w:rsid w:val="003A0650"/>
    <w:rsid w:val="003A07DC"/>
    <w:rsid w:val="003A0833"/>
    <w:rsid w:val="003A0C8D"/>
    <w:rsid w:val="003A0F8C"/>
    <w:rsid w:val="003A0FCB"/>
    <w:rsid w:val="003A1577"/>
    <w:rsid w:val="003A1640"/>
    <w:rsid w:val="003A240A"/>
    <w:rsid w:val="003A24A4"/>
    <w:rsid w:val="003A29F6"/>
    <w:rsid w:val="003A2A90"/>
    <w:rsid w:val="003A2C29"/>
    <w:rsid w:val="003A3644"/>
    <w:rsid w:val="003A3A93"/>
    <w:rsid w:val="003A3B9B"/>
    <w:rsid w:val="003A43BF"/>
    <w:rsid w:val="003A5351"/>
    <w:rsid w:val="003A5409"/>
    <w:rsid w:val="003A5445"/>
    <w:rsid w:val="003A54FB"/>
    <w:rsid w:val="003A574E"/>
    <w:rsid w:val="003A5949"/>
    <w:rsid w:val="003A5B4C"/>
    <w:rsid w:val="003A6238"/>
    <w:rsid w:val="003A6315"/>
    <w:rsid w:val="003A6B80"/>
    <w:rsid w:val="003A6BEC"/>
    <w:rsid w:val="003A6CBC"/>
    <w:rsid w:val="003A766F"/>
    <w:rsid w:val="003A76FE"/>
    <w:rsid w:val="003A77E3"/>
    <w:rsid w:val="003A79B5"/>
    <w:rsid w:val="003A7E25"/>
    <w:rsid w:val="003B04BB"/>
    <w:rsid w:val="003B0670"/>
    <w:rsid w:val="003B06F1"/>
    <w:rsid w:val="003B0ACB"/>
    <w:rsid w:val="003B1475"/>
    <w:rsid w:val="003B2099"/>
    <w:rsid w:val="003B3537"/>
    <w:rsid w:val="003B389A"/>
    <w:rsid w:val="003B3964"/>
    <w:rsid w:val="003B3997"/>
    <w:rsid w:val="003B3FFB"/>
    <w:rsid w:val="003B4090"/>
    <w:rsid w:val="003B468F"/>
    <w:rsid w:val="003B4853"/>
    <w:rsid w:val="003B4C46"/>
    <w:rsid w:val="003B4DDE"/>
    <w:rsid w:val="003B524D"/>
    <w:rsid w:val="003B5376"/>
    <w:rsid w:val="003B5731"/>
    <w:rsid w:val="003B62E3"/>
    <w:rsid w:val="003B6446"/>
    <w:rsid w:val="003B6562"/>
    <w:rsid w:val="003B6BD5"/>
    <w:rsid w:val="003B754C"/>
    <w:rsid w:val="003C00BC"/>
    <w:rsid w:val="003C02FA"/>
    <w:rsid w:val="003C066D"/>
    <w:rsid w:val="003C06FA"/>
    <w:rsid w:val="003C0D40"/>
    <w:rsid w:val="003C121B"/>
    <w:rsid w:val="003C18AF"/>
    <w:rsid w:val="003C1ABD"/>
    <w:rsid w:val="003C1E72"/>
    <w:rsid w:val="003C22F0"/>
    <w:rsid w:val="003C311B"/>
    <w:rsid w:val="003C31CC"/>
    <w:rsid w:val="003C35F5"/>
    <w:rsid w:val="003C3777"/>
    <w:rsid w:val="003C39B9"/>
    <w:rsid w:val="003C3B61"/>
    <w:rsid w:val="003C3C01"/>
    <w:rsid w:val="003C3D33"/>
    <w:rsid w:val="003C3E5A"/>
    <w:rsid w:val="003C45A7"/>
    <w:rsid w:val="003C4A80"/>
    <w:rsid w:val="003C4B65"/>
    <w:rsid w:val="003C4EDC"/>
    <w:rsid w:val="003C4FC0"/>
    <w:rsid w:val="003C5084"/>
    <w:rsid w:val="003C54AD"/>
    <w:rsid w:val="003C58B0"/>
    <w:rsid w:val="003C590A"/>
    <w:rsid w:val="003C590B"/>
    <w:rsid w:val="003C5A99"/>
    <w:rsid w:val="003C5B4A"/>
    <w:rsid w:val="003C5BC7"/>
    <w:rsid w:val="003C605A"/>
    <w:rsid w:val="003C623A"/>
    <w:rsid w:val="003C74C5"/>
    <w:rsid w:val="003C7A0B"/>
    <w:rsid w:val="003C7A31"/>
    <w:rsid w:val="003C7B30"/>
    <w:rsid w:val="003C7C5E"/>
    <w:rsid w:val="003C7D0B"/>
    <w:rsid w:val="003D0810"/>
    <w:rsid w:val="003D0A16"/>
    <w:rsid w:val="003D0A8A"/>
    <w:rsid w:val="003D0B1B"/>
    <w:rsid w:val="003D0C69"/>
    <w:rsid w:val="003D1AB1"/>
    <w:rsid w:val="003D1C4B"/>
    <w:rsid w:val="003D216D"/>
    <w:rsid w:val="003D2787"/>
    <w:rsid w:val="003D2B8B"/>
    <w:rsid w:val="003D32F6"/>
    <w:rsid w:val="003D37C9"/>
    <w:rsid w:val="003D3987"/>
    <w:rsid w:val="003D3A14"/>
    <w:rsid w:val="003D3A87"/>
    <w:rsid w:val="003D3F00"/>
    <w:rsid w:val="003D3FFE"/>
    <w:rsid w:val="003D419C"/>
    <w:rsid w:val="003D41CB"/>
    <w:rsid w:val="003D4784"/>
    <w:rsid w:val="003D4990"/>
    <w:rsid w:val="003D49B9"/>
    <w:rsid w:val="003D50D0"/>
    <w:rsid w:val="003D5812"/>
    <w:rsid w:val="003D59A5"/>
    <w:rsid w:val="003D59D0"/>
    <w:rsid w:val="003D5D63"/>
    <w:rsid w:val="003D5EDF"/>
    <w:rsid w:val="003D616F"/>
    <w:rsid w:val="003D6253"/>
    <w:rsid w:val="003D647E"/>
    <w:rsid w:val="003D6533"/>
    <w:rsid w:val="003D6DA3"/>
    <w:rsid w:val="003D6EA4"/>
    <w:rsid w:val="003E0007"/>
    <w:rsid w:val="003E081A"/>
    <w:rsid w:val="003E0D5B"/>
    <w:rsid w:val="003E0E5C"/>
    <w:rsid w:val="003E131E"/>
    <w:rsid w:val="003E151F"/>
    <w:rsid w:val="003E18AD"/>
    <w:rsid w:val="003E1B55"/>
    <w:rsid w:val="003E202B"/>
    <w:rsid w:val="003E2741"/>
    <w:rsid w:val="003E2C8A"/>
    <w:rsid w:val="003E2E20"/>
    <w:rsid w:val="003E2F89"/>
    <w:rsid w:val="003E33A3"/>
    <w:rsid w:val="003E355A"/>
    <w:rsid w:val="003E3CCF"/>
    <w:rsid w:val="003E3D2F"/>
    <w:rsid w:val="003E3D6E"/>
    <w:rsid w:val="003E44D2"/>
    <w:rsid w:val="003E4610"/>
    <w:rsid w:val="003E4912"/>
    <w:rsid w:val="003E5B02"/>
    <w:rsid w:val="003E65A3"/>
    <w:rsid w:val="003E68E1"/>
    <w:rsid w:val="003E6DA9"/>
    <w:rsid w:val="003E6FE5"/>
    <w:rsid w:val="003E7458"/>
    <w:rsid w:val="003F014E"/>
    <w:rsid w:val="003F0835"/>
    <w:rsid w:val="003F0920"/>
    <w:rsid w:val="003F132A"/>
    <w:rsid w:val="003F15A5"/>
    <w:rsid w:val="003F1A2D"/>
    <w:rsid w:val="003F1D03"/>
    <w:rsid w:val="003F1D65"/>
    <w:rsid w:val="003F1EB3"/>
    <w:rsid w:val="003F2891"/>
    <w:rsid w:val="003F2B9E"/>
    <w:rsid w:val="003F32E5"/>
    <w:rsid w:val="003F3315"/>
    <w:rsid w:val="003F355C"/>
    <w:rsid w:val="003F3B24"/>
    <w:rsid w:val="003F3CAB"/>
    <w:rsid w:val="003F3D5D"/>
    <w:rsid w:val="003F47C4"/>
    <w:rsid w:val="003F486D"/>
    <w:rsid w:val="003F497E"/>
    <w:rsid w:val="003F4BB1"/>
    <w:rsid w:val="003F6497"/>
    <w:rsid w:val="003F65E7"/>
    <w:rsid w:val="003F6891"/>
    <w:rsid w:val="003F6CDD"/>
    <w:rsid w:val="003F6F43"/>
    <w:rsid w:val="003F7192"/>
    <w:rsid w:val="003F7344"/>
    <w:rsid w:val="003F7346"/>
    <w:rsid w:val="003F75DF"/>
    <w:rsid w:val="003F77E7"/>
    <w:rsid w:val="003F7E35"/>
    <w:rsid w:val="004002B3"/>
    <w:rsid w:val="004007D2"/>
    <w:rsid w:val="00400C23"/>
    <w:rsid w:val="00400D58"/>
    <w:rsid w:val="00401E56"/>
    <w:rsid w:val="00402367"/>
    <w:rsid w:val="0040263D"/>
    <w:rsid w:val="0040277B"/>
    <w:rsid w:val="00402A54"/>
    <w:rsid w:val="00403F2A"/>
    <w:rsid w:val="00404134"/>
    <w:rsid w:val="0040440F"/>
    <w:rsid w:val="00404B43"/>
    <w:rsid w:val="00404D10"/>
    <w:rsid w:val="00404F0A"/>
    <w:rsid w:val="00404FBC"/>
    <w:rsid w:val="0040540D"/>
    <w:rsid w:val="004063F3"/>
    <w:rsid w:val="00406651"/>
    <w:rsid w:val="00406EE2"/>
    <w:rsid w:val="004070FF"/>
    <w:rsid w:val="00407158"/>
    <w:rsid w:val="004073BE"/>
    <w:rsid w:val="004073D5"/>
    <w:rsid w:val="0040770C"/>
    <w:rsid w:val="00407CC0"/>
    <w:rsid w:val="00407D7F"/>
    <w:rsid w:val="00407DA3"/>
    <w:rsid w:val="00410175"/>
    <w:rsid w:val="00410368"/>
    <w:rsid w:val="004103BC"/>
    <w:rsid w:val="004106E5"/>
    <w:rsid w:val="004114D9"/>
    <w:rsid w:val="0041157B"/>
    <w:rsid w:val="004116FC"/>
    <w:rsid w:val="0041181E"/>
    <w:rsid w:val="00411ABE"/>
    <w:rsid w:val="00411AE5"/>
    <w:rsid w:val="00412799"/>
    <w:rsid w:val="004128B2"/>
    <w:rsid w:val="00412A7E"/>
    <w:rsid w:val="00413BB9"/>
    <w:rsid w:val="004141E5"/>
    <w:rsid w:val="00414438"/>
    <w:rsid w:val="0041463F"/>
    <w:rsid w:val="00414F5C"/>
    <w:rsid w:val="00415149"/>
    <w:rsid w:val="004151F7"/>
    <w:rsid w:val="004152B8"/>
    <w:rsid w:val="00415846"/>
    <w:rsid w:val="00416228"/>
    <w:rsid w:val="00416F70"/>
    <w:rsid w:val="00417000"/>
    <w:rsid w:val="0041736A"/>
    <w:rsid w:val="00417795"/>
    <w:rsid w:val="00417E31"/>
    <w:rsid w:val="004205B2"/>
    <w:rsid w:val="00420EA1"/>
    <w:rsid w:val="0042106C"/>
    <w:rsid w:val="00421A11"/>
    <w:rsid w:val="00421B8F"/>
    <w:rsid w:val="00421D8D"/>
    <w:rsid w:val="00421FE8"/>
    <w:rsid w:val="00422258"/>
    <w:rsid w:val="00422AAF"/>
    <w:rsid w:val="00422AC6"/>
    <w:rsid w:val="004232A0"/>
    <w:rsid w:val="004232AB"/>
    <w:rsid w:val="004237C5"/>
    <w:rsid w:val="00423FAC"/>
    <w:rsid w:val="0042426D"/>
    <w:rsid w:val="00424458"/>
    <w:rsid w:val="00424559"/>
    <w:rsid w:val="00424A0D"/>
    <w:rsid w:val="00425398"/>
    <w:rsid w:val="0042547E"/>
    <w:rsid w:val="00425BDD"/>
    <w:rsid w:val="00425E7C"/>
    <w:rsid w:val="004260E8"/>
    <w:rsid w:val="004270E5"/>
    <w:rsid w:val="0042715A"/>
    <w:rsid w:val="004309C4"/>
    <w:rsid w:val="00430DB2"/>
    <w:rsid w:val="00430E9A"/>
    <w:rsid w:val="00431BF4"/>
    <w:rsid w:val="0043236C"/>
    <w:rsid w:val="00432649"/>
    <w:rsid w:val="00433042"/>
    <w:rsid w:val="00433488"/>
    <w:rsid w:val="00433A73"/>
    <w:rsid w:val="00433B16"/>
    <w:rsid w:val="00433FAA"/>
    <w:rsid w:val="0043407D"/>
    <w:rsid w:val="00434207"/>
    <w:rsid w:val="0043507C"/>
    <w:rsid w:val="0043575C"/>
    <w:rsid w:val="0043580B"/>
    <w:rsid w:val="004359E4"/>
    <w:rsid w:val="00436047"/>
    <w:rsid w:val="004365AD"/>
    <w:rsid w:val="004368E7"/>
    <w:rsid w:val="00436E38"/>
    <w:rsid w:val="00436E8A"/>
    <w:rsid w:val="00437390"/>
    <w:rsid w:val="00437764"/>
    <w:rsid w:val="00437847"/>
    <w:rsid w:val="004378D4"/>
    <w:rsid w:val="004378DB"/>
    <w:rsid w:val="00437999"/>
    <w:rsid w:val="004400A5"/>
    <w:rsid w:val="00440961"/>
    <w:rsid w:val="00440BD6"/>
    <w:rsid w:val="00441ACB"/>
    <w:rsid w:val="00441F9D"/>
    <w:rsid w:val="004422A2"/>
    <w:rsid w:val="004423B4"/>
    <w:rsid w:val="004425FF"/>
    <w:rsid w:val="004426F5"/>
    <w:rsid w:val="00442A09"/>
    <w:rsid w:val="00442AC6"/>
    <w:rsid w:val="00442C62"/>
    <w:rsid w:val="00442CB6"/>
    <w:rsid w:val="00442DB5"/>
    <w:rsid w:val="00442FDF"/>
    <w:rsid w:val="004430BA"/>
    <w:rsid w:val="00443A46"/>
    <w:rsid w:val="00443F55"/>
    <w:rsid w:val="00444256"/>
    <w:rsid w:val="0044503B"/>
    <w:rsid w:val="00445160"/>
    <w:rsid w:val="004457C4"/>
    <w:rsid w:val="004457F7"/>
    <w:rsid w:val="00445B26"/>
    <w:rsid w:val="00446259"/>
    <w:rsid w:val="004462A4"/>
    <w:rsid w:val="00446430"/>
    <w:rsid w:val="00446785"/>
    <w:rsid w:val="00446898"/>
    <w:rsid w:val="00446EC0"/>
    <w:rsid w:val="0044751B"/>
    <w:rsid w:val="0044798F"/>
    <w:rsid w:val="00447A69"/>
    <w:rsid w:val="00447F9E"/>
    <w:rsid w:val="0045059C"/>
    <w:rsid w:val="00450C96"/>
    <w:rsid w:val="00450FD1"/>
    <w:rsid w:val="0045120A"/>
    <w:rsid w:val="004512F5"/>
    <w:rsid w:val="004517A5"/>
    <w:rsid w:val="00452F9F"/>
    <w:rsid w:val="004538D2"/>
    <w:rsid w:val="00453A80"/>
    <w:rsid w:val="00453E42"/>
    <w:rsid w:val="00454140"/>
    <w:rsid w:val="00454B7D"/>
    <w:rsid w:val="00454EFF"/>
    <w:rsid w:val="0045525C"/>
    <w:rsid w:val="004554E6"/>
    <w:rsid w:val="00455524"/>
    <w:rsid w:val="004555E9"/>
    <w:rsid w:val="00455EF5"/>
    <w:rsid w:val="0045644E"/>
    <w:rsid w:val="004568C9"/>
    <w:rsid w:val="00457427"/>
    <w:rsid w:val="00457490"/>
    <w:rsid w:val="00457BBA"/>
    <w:rsid w:val="00457C71"/>
    <w:rsid w:val="00457C86"/>
    <w:rsid w:val="00457C90"/>
    <w:rsid w:val="004601BB"/>
    <w:rsid w:val="004602FF"/>
    <w:rsid w:val="00460459"/>
    <w:rsid w:val="004611F4"/>
    <w:rsid w:val="004613B6"/>
    <w:rsid w:val="00461DD2"/>
    <w:rsid w:val="00461E0A"/>
    <w:rsid w:val="00461E20"/>
    <w:rsid w:val="00462614"/>
    <w:rsid w:val="0046287F"/>
    <w:rsid w:val="00462B0B"/>
    <w:rsid w:val="00462B38"/>
    <w:rsid w:val="00462BD8"/>
    <w:rsid w:val="00462F47"/>
    <w:rsid w:val="004633F4"/>
    <w:rsid w:val="00463417"/>
    <w:rsid w:val="004634CC"/>
    <w:rsid w:val="0046402E"/>
    <w:rsid w:val="00464157"/>
    <w:rsid w:val="004645ED"/>
    <w:rsid w:val="0046483B"/>
    <w:rsid w:val="00464845"/>
    <w:rsid w:val="00464F99"/>
    <w:rsid w:val="00465204"/>
    <w:rsid w:val="00465C12"/>
    <w:rsid w:val="0046643E"/>
    <w:rsid w:val="004664D1"/>
    <w:rsid w:val="00466ECC"/>
    <w:rsid w:val="00466FE3"/>
    <w:rsid w:val="0046744A"/>
    <w:rsid w:val="004678B6"/>
    <w:rsid w:val="00467BBC"/>
    <w:rsid w:val="0047094C"/>
    <w:rsid w:val="00470EB7"/>
    <w:rsid w:val="004711C0"/>
    <w:rsid w:val="00471470"/>
    <w:rsid w:val="00472327"/>
    <w:rsid w:val="004727AE"/>
    <w:rsid w:val="00472F2E"/>
    <w:rsid w:val="004737E3"/>
    <w:rsid w:val="00473B1A"/>
    <w:rsid w:val="00473EBB"/>
    <w:rsid w:val="00474416"/>
    <w:rsid w:val="00474DD2"/>
    <w:rsid w:val="00474EAC"/>
    <w:rsid w:val="00475153"/>
    <w:rsid w:val="004751D7"/>
    <w:rsid w:val="00475211"/>
    <w:rsid w:val="00475906"/>
    <w:rsid w:val="00475AE8"/>
    <w:rsid w:val="00475BE7"/>
    <w:rsid w:val="00475D90"/>
    <w:rsid w:val="004760D1"/>
    <w:rsid w:val="00476D20"/>
    <w:rsid w:val="004771B6"/>
    <w:rsid w:val="0048014C"/>
    <w:rsid w:val="004805F0"/>
    <w:rsid w:val="00480C7A"/>
    <w:rsid w:val="00481375"/>
    <w:rsid w:val="0048168D"/>
    <w:rsid w:val="004819A8"/>
    <w:rsid w:val="00482519"/>
    <w:rsid w:val="00482708"/>
    <w:rsid w:val="00482B07"/>
    <w:rsid w:val="00482B2B"/>
    <w:rsid w:val="00482F5D"/>
    <w:rsid w:val="004834DD"/>
    <w:rsid w:val="00483529"/>
    <w:rsid w:val="00484322"/>
    <w:rsid w:val="00484633"/>
    <w:rsid w:val="004848A2"/>
    <w:rsid w:val="00484B19"/>
    <w:rsid w:val="00484B48"/>
    <w:rsid w:val="00484EF8"/>
    <w:rsid w:val="00485060"/>
    <w:rsid w:val="00485EE1"/>
    <w:rsid w:val="004864F1"/>
    <w:rsid w:val="00486776"/>
    <w:rsid w:val="0048683C"/>
    <w:rsid w:val="00486967"/>
    <w:rsid w:val="004869C3"/>
    <w:rsid w:val="00486A7E"/>
    <w:rsid w:val="00486F63"/>
    <w:rsid w:val="00487D90"/>
    <w:rsid w:val="0049016F"/>
    <w:rsid w:val="0049024B"/>
    <w:rsid w:val="00490346"/>
    <w:rsid w:val="00490FC5"/>
    <w:rsid w:val="004913BE"/>
    <w:rsid w:val="00491D6C"/>
    <w:rsid w:val="00491F9E"/>
    <w:rsid w:val="0049270B"/>
    <w:rsid w:val="00492857"/>
    <w:rsid w:val="00492EAA"/>
    <w:rsid w:val="004931F7"/>
    <w:rsid w:val="00493C99"/>
    <w:rsid w:val="00494132"/>
    <w:rsid w:val="00494761"/>
    <w:rsid w:val="00494A72"/>
    <w:rsid w:val="00494C76"/>
    <w:rsid w:val="004957A6"/>
    <w:rsid w:val="00496443"/>
    <w:rsid w:val="00496828"/>
    <w:rsid w:val="00496CE9"/>
    <w:rsid w:val="004973B5"/>
    <w:rsid w:val="00497C1D"/>
    <w:rsid w:val="004A0090"/>
    <w:rsid w:val="004A0383"/>
    <w:rsid w:val="004A09FB"/>
    <w:rsid w:val="004A0C71"/>
    <w:rsid w:val="004A1476"/>
    <w:rsid w:val="004A21DC"/>
    <w:rsid w:val="004A24A9"/>
    <w:rsid w:val="004A2AC8"/>
    <w:rsid w:val="004A2D5D"/>
    <w:rsid w:val="004A2EC4"/>
    <w:rsid w:val="004A2EFB"/>
    <w:rsid w:val="004A300A"/>
    <w:rsid w:val="004A3379"/>
    <w:rsid w:val="004A36E0"/>
    <w:rsid w:val="004A3D91"/>
    <w:rsid w:val="004A3FE9"/>
    <w:rsid w:val="004A41E4"/>
    <w:rsid w:val="004A44DD"/>
    <w:rsid w:val="004A47C0"/>
    <w:rsid w:val="004A4D9E"/>
    <w:rsid w:val="004A5467"/>
    <w:rsid w:val="004A59C2"/>
    <w:rsid w:val="004A5E72"/>
    <w:rsid w:val="004A5FBF"/>
    <w:rsid w:val="004A6176"/>
    <w:rsid w:val="004A75A2"/>
    <w:rsid w:val="004A784B"/>
    <w:rsid w:val="004A799A"/>
    <w:rsid w:val="004A7CEC"/>
    <w:rsid w:val="004B0391"/>
    <w:rsid w:val="004B04CA"/>
    <w:rsid w:val="004B0798"/>
    <w:rsid w:val="004B0824"/>
    <w:rsid w:val="004B0A9E"/>
    <w:rsid w:val="004B0C6E"/>
    <w:rsid w:val="004B1109"/>
    <w:rsid w:val="004B12A3"/>
    <w:rsid w:val="004B1A12"/>
    <w:rsid w:val="004B1E92"/>
    <w:rsid w:val="004B1E9B"/>
    <w:rsid w:val="004B2360"/>
    <w:rsid w:val="004B2463"/>
    <w:rsid w:val="004B291A"/>
    <w:rsid w:val="004B29E1"/>
    <w:rsid w:val="004B2BF5"/>
    <w:rsid w:val="004B2CD7"/>
    <w:rsid w:val="004B30D3"/>
    <w:rsid w:val="004B3692"/>
    <w:rsid w:val="004B3A82"/>
    <w:rsid w:val="004B4284"/>
    <w:rsid w:val="004B446F"/>
    <w:rsid w:val="004B46A2"/>
    <w:rsid w:val="004B4DF5"/>
    <w:rsid w:val="004B4F18"/>
    <w:rsid w:val="004B5081"/>
    <w:rsid w:val="004B5918"/>
    <w:rsid w:val="004B63B1"/>
    <w:rsid w:val="004B761F"/>
    <w:rsid w:val="004B76E6"/>
    <w:rsid w:val="004B77AE"/>
    <w:rsid w:val="004B7B85"/>
    <w:rsid w:val="004B7EF5"/>
    <w:rsid w:val="004C01FE"/>
    <w:rsid w:val="004C026A"/>
    <w:rsid w:val="004C0720"/>
    <w:rsid w:val="004C078C"/>
    <w:rsid w:val="004C07D4"/>
    <w:rsid w:val="004C09E7"/>
    <w:rsid w:val="004C0B0C"/>
    <w:rsid w:val="004C1411"/>
    <w:rsid w:val="004C1750"/>
    <w:rsid w:val="004C219B"/>
    <w:rsid w:val="004C2312"/>
    <w:rsid w:val="004C26AA"/>
    <w:rsid w:val="004C2738"/>
    <w:rsid w:val="004C2BAA"/>
    <w:rsid w:val="004C2BBA"/>
    <w:rsid w:val="004C3FD8"/>
    <w:rsid w:val="004C44B1"/>
    <w:rsid w:val="004C44F4"/>
    <w:rsid w:val="004C45C0"/>
    <w:rsid w:val="004C46BA"/>
    <w:rsid w:val="004C4936"/>
    <w:rsid w:val="004C4C87"/>
    <w:rsid w:val="004C4FE5"/>
    <w:rsid w:val="004C54B8"/>
    <w:rsid w:val="004C575E"/>
    <w:rsid w:val="004C5837"/>
    <w:rsid w:val="004C588F"/>
    <w:rsid w:val="004C59DA"/>
    <w:rsid w:val="004C69A6"/>
    <w:rsid w:val="004C6AE1"/>
    <w:rsid w:val="004C7322"/>
    <w:rsid w:val="004C75F5"/>
    <w:rsid w:val="004C7884"/>
    <w:rsid w:val="004C7A5A"/>
    <w:rsid w:val="004C7A66"/>
    <w:rsid w:val="004D0C09"/>
    <w:rsid w:val="004D1377"/>
    <w:rsid w:val="004D13CA"/>
    <w:rsid w:val="004D147B"/>
    <w:rsid w:val="004D1B6F"/>
    <w:rsid w:val="004D1D0F"/>
    <w:rsid w:val="004D24EC"/>
    <w:rsid w:val="004D2686"/>
    <w:rsid w:val="004D30F6"/>
    <w:rsid w:val="004D3731"/>
    <w:rsid w:val="004D3A05"/>
    <w:rsid w:val="004D3C8D"/>
    <w:rsid w:val="004D4C7C"/>
    <w:rsid w:val="004D5818"/>
    <w:rsid w:val="004D59E4"/>
    <w:rsid w:val="004D5E84"/>
    <w:rsid w:val="004D61E2"/>
    <w:rsid w:val="004D6659"/>
    <w:rsid w:val="004D70CA"/>
    <w:rsid w:val="004D7175"/>
    <w:rsid w:val="004D72D4"/>
    <w:rsid w:val="004D73AC"/>
    <w:rsid w:val="004D7958"/>
    <w:rsid w:val="004D7A3B"/>
    <w:rsid w:val="004E052C"/>
    <w:rsid w:val="004E0844"/>
    <w:rsid w:val="004E1830"/>
    <w:rsid w:val="004E1AE0"/>
    <w:rsid w:val="004E282E"/>
    <w:rsid w:val="004E2840"/>
    <w:rsid w:val="004E2BDE"/>
    <w:rsid w:val="004E3365"/>
    <w:rsid w:val="004E33A0"/>
    <w:rsid w:val="004E35B0"/>
    <w:rsid w:val="004E3E4A"/>
    <w:rsid w:val="004E4138"/>
    <w:rsid w:val="004E423E"/>
    <w:rsid w:val="004E424A"/>
    <w:rsid w:val="004E46D4"/>
    <w:rsid w:val="004E47E7"/>
    <w:rsid w:val="004E4D53"/>
    <w:rsid w:val="004E4E4F"/>
    <w:rsid w:val="004E537F"/>
    <w:rsid w:val="004E5763"/>
    <w:rsid w:val="004E5DE0"/>
    <w:rsid w:val="004E5F30"/>
    <w:rsid w:val="004E6596"/>
    <w:rsid w:val="004E701D"/>
    <w:rsid w:val="004E7332"/>
    <w:rsid w:val="004E758C"/>
    <w:rsid w:val="004E7F26"/>
    <w:rsid w:val="004F027D"/>
    <w:rsid w:val="004F0494"/>
    <w:rsid w:val="004F1830"/>
    <w:rsid w:val="004F1D59"/>
    <w:rsid w:val="004F1DD0"/>
    <w:rsid w:val="004F1EB5"/>
    <w:rsid w:val="004F2772"/>
    <w:rsid w:val="004F2D90"/>
    <w:rsid w:val="004F39C0"/>
    <w:rsid w:val="004F3A0E"/>
    <w:rsid w:val="004F405F"/>
    <w:rsid w:val="004F40E1"/>
    <w:rsid w:val="004F4247"/>
    <w:rsid w:val="004F4971"/>
    <w:rsid w:val="004F4AD1"/>
    <w:rsid w:val="004F4D82"/>
    <w:rsid w:val="004F55B1"/>
    <w:rsid w:val="004F5827"/>
    <w:rsid w:val="004F5829"/>
    <w:rsid w:val="004F5C01"/>
    <w:rsid w:val="004F5ECD"/>
    <w:rsid w:val="004F68E2"/>
    <w:rsid w:val="004F6931"/>
    <w:rsid w:val="004F6B76"/>
    <w:rsid w:val="004F6C95"/>
    <w:rsid w:val="004F7156"/>
    <w:rsid w:val="004F73DF"/>
    <w:rsid w:val="004F74B0"/>
    <w:rsid w:val="004F7839"/>
    <w:rsid w:val="005006D9"/>
    <w:rsid w:val="00500D97"/>
    <w:rsid w:val="005018D4"/>
    <w:rsid w:val="00502267"/>
    <w:rsid w:val="0050246C"/>
    <w:rsid w:val="00502528"/>
    <w:rsid w:val="005036F2"/>
    <w:rsid w:val="00503892"/>
    <w:rsid w:val="00503B23"/>
    <w:rsid w:val="00503BDF"/>
    <w:rsid w:val="005043D2"/>
    <w:rsid w:val="00504658"/>
    <w:rsid w:val="00504E4A"/>
    <w:rsid w:val="00505F91"/>
    <w:rsid w:val="00507596"/>
    <w:rsid w:val="005078C0"/>
    <w:rsid w:val="00507937"/>
    <w:rsid w:val="00510CA3"/>
    <w:rsid w:val="00510DC4"/>
    <w:rsid w:val="005112BD"/>
    <w:rsid w:val="00511321"/>
    <w:rsid w:val="0051155E"/>
    <w:rsid w:val="0051188E"/>
    <w:rsid w:val="00511EA7"/>
    <w:rsid w:val="005123CA"/>
    <w:rsid w:val="0051257C"/>
    <w:rsid w:val="005125E0"/>
    <w:rsid w:val="00512643"/>
    <w:rsid w:val="00512B68"/>
    <w:rsid w:val="005139FA"/>
    <w:rsid w:val="00513ADA"/>
    <w:rsid w:val="00513E3F"/>
    <w:rsid w:val="005148FC"/>
    <w:rsid w:val="0051505F"/>
    <w:rsid w:val="005150CD"/>
    <w:rsid w:val="0051512C"/>
    <w:rsid w:val="0051554C"/>
    <w:rsid w:val="00515571"/>
    <w:rsid w:val="005157C4"/>
    <w:rsid w:val="00515ABA"/>
    <w:rsid w:val="00515B29"/>
    <w:rsid w:val="00516354"/>
    <w:rsid w:val="00516C39"/>
    <w:rsid w:val="0051725E"/>
    <w:rsid w:val="005176F5"/>
    <w:rsid w:val="0051781A"/>
    <w:rsid w:val="005178C8"/>
    <w:rsid w:val="00517BDC"/>
    <w:rsid w:val="00517F32"/>
    <w:rsid w:val="00517FFE"/>
    <w:rsid w:val="0052036E"/>
    <w:rsid w:val="00520402"/>
    <w:rsid w:val="00520DD8"/>
    <w:rsid w:val="00522435"/>
    <w:rsid w:val="00522581"/>
    <w:rsid w:val="00522B8A"/>
    <w:rsid w:val="00522EB8"/>
    <w:rsid w:val="00522FD9"/>
    <w:rsid w:val="005231CA"/>
    <w:rsid w:val="00523263"/>
    <w:rsid w:val="00523371"/>
    <w:rsid w:val="005234A6"/>
    <w:rsid w:val="00523A1A"/>
    <w:rsid w:val="00523D66"/>
    <w:rsid w:val="005247A0"/>
    <w:rsid w:val="00525026"/>
    <w:rsid w:val="005258C0"/>
    <w:rsid w:val="00525976"/>
    <w:rsid w:val="00525B23"/>
    <w:rsid w:val="00525D32"/>
    <w:rsid w:val="00525D93"/>
    <w:rsid w:val="005266FE"/>
    <w:rsid w:val="00526E79"/>
    <w:rsid w:val="00527358"/>
    <w:rsid w:val="005279F5"/>
    <w:rsid w:val="005304EE"/>
    <w:rsid w:val="00530B5E"/>
    <w:rsid w:val="00530CE9"/>
    <w:rsid w:val="00530D2E"/>
    <w:rsid w:val="00530FCB"/>
    <w:rsid w:val="0053129A"/>
    <w:rsid w:val="00531DFF"/>
    <w:rsid w:val="00531E60"/>
    <w:rsid w:val="0053229C"/>
    <w:rsid w:val="005325B1"/>
    <w:rsid w:val="00532698"/>
    <w:rsid w:val="00532C1A"/>
    <w:rsid w:val="005330A4"/>
    <w:rsid w:val="005334D5"/>
    <w:rsid w:val="0053441C"/>
    <w:rsid w:val="00534914"/>
    <w:rsid w:val="005350DE"/>
    <w:rsid w:val="00535393"/>
    <w:rsid w:val="00535B6F"/>
    <w:rsid w:val="00535F76"/>
    <w:rsid w:val="00536028"/>
    <w:rsid w:val="00536853"/>
    <w:rsid w:val="00537698"/>
    <w:rsid w:val="00537C2E"/>
    <w:rsid w:val="00537DB2"/>
    <w:rsid w:val="005404FB"/>
    <w:rsid w:val="00540979"/>
    <w:rsid w:val="00540D5F"/>
    <w:rsid w:val="00540F80"/>
    <w:rsid w:val="005418BC"/>
    <w:rsid w:val="00541B9B"/>
    <w:rsid w:val="00541D87"/>
    <w:rsid w:val="00542245"/>
    <w:rsid w:val="0054232F"/>
    <w:rsid w:val="00542484"/>
    <w:rsid w:val="00542739"/>
    <w:rsid w:val="00542907"/>
    <w:rsid w:val="00542909"/>
    <w:rsid w:val="00543067"/>
    <w:rsid w:val="005435D4"/>
    <w:rsid w:val="00543679"/>
    <w:rsid w:val="005437FE"/>
    <w:rsid w:val="00543AE5"/>
    <w:rsid w:val="0054405B"/>
    <w:rsid w:val="0054433D"/>
    <w:rsid w:val="00544568"/>
    <w:rsid w:val="00544767"/>
    <w:rsid w:val="005448CB"/>
    <w:rsid w:val="00544A6A"/>
    <w:rsid w:val="00544DA1"/>
    <w:rsid w:val="00544EDA"/>
    <w:rsid w:val="00544F36"/>
    <w:rsid w:val="00545C18"/>
    <w:rsid w:val="00545C31"/>
    <w:rsid w:val="00545EFF"/>
    <w:rsid w:val="00546861"/>
    <w:rsid w:val="00546A33"/>
    <w:rsid w:val="005471B0"/>
    <w:rsid w:val="005474DF"/>
    <w:rsid w:val="00547D44"/>
    <w:rsid w:val="00547E12"/>
    <w:rsid w:val="005506F9"/>
    <w:rsid w:val="00550702"/>
    <w:rsid w:val="00550DAB"/>
    <w:rsid w:val="00552436"/>
    <w:rsid w:val="00552750"/>
    <w:rsid w:val="00552AA4"/>
    <w:rsid w:val="00552B36"/>
    <w:rsid w:val="00552D04"/>
    <w:rsid w:val="0055340F"/>
    <w:rsid w:val="00553A2E"/>
    <w:rsid w:val="00553B23"/>
    <w:rsid w:val="00553B55"/>
    <w:rsid w:val="00553BD6"/>
    <w:rsid w:val="00553CCB"/>
    <w:rsid w:val="00553E88"/>
    <w:rsid w:val="005543C2"/>
    <w:rsid w:val="005545B4"/>
    <w:rsid w:val="00554F80"/>
    <w:rsid w:val="00555116"/>
    <w:rsid w:val="005552C4"/>
    <w:rsid w:val="00555352"/>
    <w:rsid w:val="00555455"/>
    <w:rsid w:val="00555D09"/>
    <w:rsid w:val="00555E3D"/>
    <w:rsid w:val="0055612F"/>
    <w:rsid w:val="00556348"/>
    <w:rsid w:val="005565BC"/>
    <w:rsid w:val="00556A9F"/>
    <w:rsid w:val="00556DBC"/>
    <w:rsid w:val="0055773A"/>
    <w:rsid w:val="00557755"/>
    <w:rsid w:val="005579A6"/>
    <w:rsid w:val="005579DD"/>
    <w:rsid w:val="00557B70"/>
    <w:rsid w:val="00557F41"/>
    <w:rsid w:val="00560B34"/>
    <w:rsid w:val="00560E79"/>
    <w:rsid w:val="00561135"/>
    <w:rsid w:val="00561339"/>
    <w:rsid w:val="00561AB2"/>
    <w:rsid w:val="00562209"/>
    <w:rsid w:val="00562F57"/>
    <w:rsid w:val="0056306B"/>
    <w:rsid w:val="0056353D"/>
    <w:rsid w:val="005637B7"/>
    <w:rsid w:val="00563A85"/>
    <w:rsid w:val="00563EE5"/>
    <w:rsid w:val="00564442"/>
    <w:rsid w:val="00564577"/>
    <w:rsid w:val="005649E8"/>
    <w:rsid w:val="00564A44"/>
    <w:rsid w:val="00565F40"/>
    <w:rsid w:val="0056667D"/>
    <w:rsid w:val="005667D3"/>
    <w:rsid w:val="0056681D"/>
    <w:rsid w:val="00566927"/>
    <w:rsid w:val="0056698F"/>
    <w:rsid w:val="00566A2E"/>
    <w:rsid w:val="00567134"/>
    <w:rsid w:val="005674D7"/>
    <w:rsid w:val="00567850"/>
    <w:rsid w:val="00567C6E"/>
    <w:rsid w:val="0057066A"/>
    <w:rsid w:val="00570759"/>
    <w:rsid w:val="00570B59"/>
    <w:rsid w:val="00571B54"/>
    <w:rsid w:val="00571E94"/>
    <w:rsid w:val="0057211C"/>
    <w:rsid w:val="005722B2"/>
    <w:rsid w:val="0057257E"/>
    <w:rsid w:val="0057286F"/>
    <w:rsid w:val="00572FCE"/>
    <w:rsid w:val="005732E7"/>
    <w:rsid w:val="00573759"/>
    <w:rsid w:val="00574180"/>
    <w:rsid w:val="0057424D"/>
    <w:rsid w:val="005743D5"/>
    <w:rsid w:val="00574988"/>
    <w:rsid w:val="00574E4C"/>
    <w:rsid w:val="00575131"/>
    <w:rsid w:val="00575422"/>
    <w:rsid w:val="005758C0"/>
    <w:rsid w:val="00575900"/>
    <w:rsid w:val="00575D07"/>
    <w:rsid w:val="0057606F"/>
    <w:rsid w:val="0057650D"/>
    <w:rsid w:val="00576879"/>
    <w:rsid w:val="00576C7E"/>
    <w:rsid w:val="00576FD0"/>
    <w:rsid w:val="005773E8"/>
    <w:rsid w:val="0057784F"/>
    <w:rsid w:val="005779F5"/>
    <w:rsid w:val="005800D6"/>
    <w:rsid w:val="0058040E"/>
    <w:rsid w:val="0058050D"/>
    <w:rsid w:val="005806DA"/>
    <w:rsid w:val="00580838"/>
    <w:rsid w:val="005809CB"/>
    <w:rsid w:val="005812F0"/>
    <w:rsid w:val="00581847"/>
    <w:rsid w:val="0058193D"/>
    <w:rsid w:val="005822B4"/>
    <w:rsid w:val="005822D3"/>
    <w:rsid w:val="00582B39"/>
    <w:rsid w:val="00582B81"/>
    <w:rsid w:val="00582F7E"/>
    <w:rsid w:val="005832FC"/>
    <w:rsid w:val="00583829"/>
    <w:rsid w:val="00583C33"/>
    <w:rsid w:val="00583FCB"/>
    <w:rsid w:val="00584CFD"/>
    <w:rsid w:val="005850B4"/>
    <w:rsid w:val="00585285"/>
    <w:rsid w:val="00585572"/>
    <w:rsid w:val="005857DB"/>
    <w:rsid w:val="00585DA5"/>
    <w:rsid w:val="00585FFD"/>
    <w:rsid w:val="0058634B"/>
    <w:rsid w:val="00586CC6"/>
    <w:rsid w:val="00586E10"/>
    <w:rsid w:val="00587027"/>
    <w:rsid w:val="00587427"/>
    <w:rsid w:val="005877B2"/>
    <w:rsid w:val="00587A2F"/>
    <w:rsid w:val="00587A31"/>
    <w:rsid w:val="00587D95"/>
    <w:rsid w:val="00587F13"/>
    <w:rsid w:val="00590234"/>
    <w:rsid w:val="00590432"/>
    <w:rsid w:val="00591249"/>
    <w:rsid w:val="00591755"/>
    <w:rsid w:val="0059178D"/>
    <w:rsid w:val="005918CD"/>
    <w:rsid w:val="0059290E"/>
    <w:rsid w:val="00592B17"/>
    <w:rsid w:val="00593189"/>
    <w:rsid w:val="005937C5"/>
    <w:rsid w:val="00593C8D"/>
    <w:rsid w:val="00594DF4"/>
    <w:rsid w:val="0059545A"/>
    <w:rsid w:val="0059576E"/>
    <w:rsid w:val="005967B5"/>
    <w:rsid w:val="00597CDF"/>
    <w:rsid w:val="005A0504"/>
    <w:rsid w:val="005A052C"/>
    <w:rsid w:val="005A09BE"/>
    <w:rsid w:val="005A09C8"/>
    <w:rsid w:val="005A0D77"/>
    <w:rsid w:val="005A14BB"/>
    <w:rsid w:val="005A1685"/>
    <w:rsid w:val="005A2063"/>
    <w:rsid w:val="005A2437"/>
    <w:rsid w:val="005A252C"/>
    <w:rsid w:val="005A2547"/>
    <w:rsid w:val="005A2C0A"/>
    <w:rsid w:val="005A3EF9"/>
    <w:rsid w:val="005A40E3"/>
    <w:rsid w:val="005A4468"/>
    <w:rsid w:val="005A4762"/>
    <w:rsid w:val="005A489D"/>
    <w:rsid w:val="005A4E1A"/>
    <w:rsid w:val="005A5ADA"/>
    <w:rsid w:val="005A5BA4"/>
    <w:rsid w:val="005A62DD"/>
    <w:rsid w:val="005A64D8"/>
    <w:rsid w:val="005A7DB9"/>
    <w:rsid w:val="005B000A"/>
    <w:rsid w:val="005B0393"/>
    <w:rsid w:val="005B0761"/>
    <w:rsid w:val="005B0DBC"/>
    <w:rsid w:val="005B136D"/>
    <w:rsid w:val="005B14A1"/>
    <w:rsid w:val="005B1647"/>
    <w:rsid w:val="005B1B17"/>
    <w:rsid w:val="005B2748"/>
    <w:rsid w:val="005B2E8C"/>
    <w:rsid w:val="005B3466"/>
    <w:rsid w:val="005B3A61"/>
    <w:rsid w:val="005B3DE8"/>
    <w:rsid w:val="005B3EC4"/>
    <w:rsid w:val="005B48EB"/>
    <w:rsid w:val="005B4F87"/>
    <w:rsid w:val="005B590C"/>
    <w:rsid w:val="005B5BBA"/>
    <w:rsid w:val="005B5E5C"/>
    <w:rsid w:val="005B5E6F"/>
    <w:rsid w:val="005B6139"/>
    <w:rsid w:val="005B65CF"/>
    <w:rsid w:val="005B6C42"/>
    <w:rsid w:val="005B782B"/>
    <w:rsid w:val="005B7CC0"/>
    <w:rsid w:val="005B7F04"/>
    <w:rsid w:val="005C0B9C"/>
    <w:rsid w:val="005C0E05"/>
    <w:rsid w:val="005C1315"/>
    <w:rsid w:val="005C150D"/>
    <w:rsid w:val="005C21CE"/>
    <w:rsid w:val="005C2689"/>
    <w:rsid w:val="005C2C9D"/>
    <w:rsid w:val="005C349C"/>
    <w:rsid w:val="005C369C"/>
    <w:rsid w:val="005C3CD6"/>
    <w:rsid w:val="005C482F"/>
    <w:rsid w:val="005C4A61"/>
    <w:rsid w:val="005C5CD4"/>
    <w:rsid w:val="005C6195"/>
    <w:rsid w:val="005C6427"/>
    <w:rsid w:val="005C6846"/>
    <w:rsid w:val="005C68C1"/>
    <w:rsid w:val="005C6C3D"/>
    <w:rsid w:val="005C6D2A"/>
    <w:rsid w:val="005C6FED"/>
    <w:rsid w:val="005C7342"/>
    <w:rsid w:val="005D04DE"/>
    <w:rsid w:val="005D05D6"/>
    <w:rsid w:val="005D06B4"/>
    <w:rsid w:val="005D0821"/>
    <w:rsid w:val="005D0B72"/>
    <w:rsid w:val="005D10F4"/>
    <w:rsid w:val="005D1193"/>
    <w:rsid w:val="005D123C"/>
    <w:rsid w:val="005D16E6"/>
    <w:rsid w:val="005D1BF8"/>
    <w:rsid w:val="005D1CDE"/>
    <w:rsid w:val="005D21E9"/>
    <w:rsid w:val="005D2946"/>
    <w:rsid w:val="005D2F57"/>
    <w:rsid w:val="005D3AE7"/>
    <w:rsid w:val="005D3B38"/>
    <w:rsid w:val="005D3EA6"/>
    <w:rsid w:val="005D4077"/>
    <w:rsid w:val="005D41C4"/>
    <w:rsid w:val="005D42F3"/>
    <w:rsid w:val="005D4C8D"/>
    <w:rsid w:val="005D5228"/>
    <w:rsid w:val="005D5531"/>
    <w:rsid w:val="005D5D4C"/>
    <w:rsid w:val="005D5ED1"/>
    <w:rsid w:val="005D7471"/>
    <w:rsid w:val="005D74EE"/>
    <w:rsid w:val="005D7908"/>
    <w:rsid w:val="005D7952"/>
    <w:rsid w:val="005D7C35"/>
    <w:rsid w:val="005E021C"/>
    <w:rsid w:val="005E0768"/>
    <w:rsid w:val="005E08B7"/>
    <w:rsid w:val="005E13BE"/>
    <w:rsid w:val="005E13C6"/>
    <w:rsid w:val="005E18BF"/>
    <w:rsid w:val="005E21F0"/>
    <w:rsid w:val="005E234C"/>
    <w:rsid w:val="005E289E"/>
    <w:rsid w:val="005E3CCC"/>
    <w:rsid w:val="005E5759"/>
    <w:rsid w:val="005E5EFF"/>
    <w:rsid w:val="005E6179"/>
    <w:rsid w:val="005E624B"/>
    <w:rsid w:val="005E6378"/>
    <w:rsid w:val="005E686B"/>
    <w:rsid w:val="005E6CB7"/>
    <w:rsid w:val="005E75F1"/>
    <w:rsid w:val="005E7976"/>
    <w:rsid w:val="005F0AE8"/>
    <w:rsid w:val="005F14EA"/>
    <w:rsid w:val="005F14EB"/>
    <w:rsid w:val="005F1CBD"/>
    <w:rsid w:val="005F1D66"/>
    <w:rsid w:val="005F1F79"/>
    <w:rsid w:val="005F225C"/>
    <w:rsid w:val="005F248D"/>
    <w:rsid w:val="005F28F6"/>
    <w:rsid w:val="005F2D2C"/>
    <w:rsid w:val="005F3071"/>
    <w:rsid w:val="005F3433"/>
    <w:rsid w:val="005F3B0B"/>
    <w:rsid w:val="005F3D66"/>
    <w:rsid w:val="005F41A6"/>
    <w:rsid w:val="005F42D1"/>
    <w:rsid w:val="005F44FE"/>
    <w:rsid w:val="005F4568"/>
    <w:rsid w:val="005F505B"/>
    <w:rsid w:val="005F50C5"/>
    <w:rsid w:val="005F5B09"/>
    <w:rsid w:val="005F5DB7"/>
    <w:rsid w:val="005F601A"/>
    <w:rsid w:val="005F69A3"/>
    <w:rsid w:val="005F6F5F"/>
    <w:rsid w:val="005F7283"/>
    <w:rsid w:val="005F75CE"/>
    <w:rsid w:val="005F7604"/>
    <w:rsid w:val="00600B1C"/>
    <w:rsid w:val="00600F5B"/>
    <w:rsid w:val="006010B6"/>
    <w:rsid w:val="00601204"/>
    <w:rsid w:val="00601776"/>
    <w:rsid w:val="0060180F"/>
    <w:rsid w:val="006019A6"/>
    <w:rsid w:val="00601D5B"/>
    <w:rsid w:val="006022E5"/>
    <w:rsid w:val="006026FC"/>
    <w:rsid w:val="00602850"/>
    <w:rsid w:val="00602902"/>
    <w:rsid w:val="00602E8E"/>
    <w:rsid w:val="006033CE"/>
    <w:rsid w:val="00603F8C"/>
    <w:rsid w:val="00604952"/>
    <w:rsid w:val="0060505B"/>
    <w:rsid w:val="00605152"/>
    <w:rsid w:val="00605896"/>
    <w:rsid w:val="00606245"/>
    <w:rsid w:val="006063B8"/>
    <w:rsid w:val="00606529"/>
    <w:rsid w:val="00607C41"/>
    <w:rsid w:val="00610026"/>
    <w:rsid w:val="00610155"/>
    <w:rsid w:val="0061027D"/>
    <w:rsid w:val="0061058C"/>
    <w:rsid w:val="00610C99"/>
    <w:rsid w:val="00610E1A"/>
    <w:rsid w:val="006111BE"/>
    <w:rsid w:val="006113F0"/>
    <w:rsid w:val="00611508"/>
    <w:rsid w:val="00611C1B"/>
    <w:rsid w:val="00611EFF"/>
    <w:rsid w:val="0061221B"/>
    <w:rsid w:val="0061222C"/>
    <w:rsid w:val="0061222F"/>
    <w:rsid w:val="00612235"/>
    <w:rsid w:val="006124A2"/>
    <w:rsid w:val="00612554"/>
    <w:rsid w:val="00612773"/>
    <w:rsid w:val="00612861"/>
    <w:rsid w:val="00612CC9"/>
    <w:rsid w:val="006136F6"/>
    <w:rsid w:val="00613E02"/>
    <w:rsid w:val="0061400A"/>
    <w:rsid w:val="006140C1"/>
    <w:rsid w:val="006149F7"/>
    <w:rsid w:val="00614B55"/>
    <w:rsid w:val="00614D20"/>
    <w:rsid w:val="006154B8"/>
    <w:rsid w:val="00616043"/>
    <w:rsid w:val="00616253"/>
    <w:rsid w:val="00616E42"/>
    <w:rsid w:val="006170DC"/>
    <w:rsid w:val="00617670"/>
    <w:rsid w:val="00617C5E"/>
    <w:rsid w:val="00617C9A"/>
    <w:rsid w:val="00617CA5"/>
    <w:rsid w:val="006201B3"/>
    <w:rsid w:val="00620294"/>
    <w:rsid w:val="00620B4F"/>
    <w:rsid w:val="00622869"/>
    <w:rsid w:val="00622872"/>
    <w:rsid w:val="00623B38"/>
    <w:rsid w:val="00623E9D"/>
    <w:rsid w:val="00624850"/>
    <w:rsid w:val="006249FE"/>
    <w:rsid w:val="006256A1"/>
    <w:rsid w:val="00625792"/>
    <w:rsid w:val="006259E3"/>
    <w:rsid w:val="00625A68"/>
    <w:rsid w:val="00625B0E"/>
    <w:rsid w:val="006267C2"/>
    <w:rsid w:val="006267C8"/>
    <w:rsid w:val="00626CEB"/>
    <w:rsid w:val="00626D72"/>
    <w:rsid w:val="0062701C"/>
    <w:rsid w:val="006275FA"/>
    <w:rsid w:val="00627CAF"/>
    <w:rsid w:val="00627D65"/>
    <w:rsid w:val="00627E80"/>
    <w:rsid w:val="0063017E"/>
    <w:rsid w:val="0063046E"/>
    <w:rsid w:val="00630932"/>
    <w:rsid w:val="00630B7A"/>
    <w:rsid w:val="00630D80"/>
    <w:rsid w:val="00631667"/>
    <w:rsid w:val="006316B7"/>
    <w:rsid w:val="00631BBE"/>
    <w:rsid w:val="00631F07"/>
    <w:rsid w:val="00632245"/>
    <w:rsid w:val="00632487"/>
    <w:rsid w:val="00632C9F"/>
    <w:rsid w:val="0063326A"/>
    <w:rsid w:val="00633483"/>
    <w:rsid w:val="00633DC7"/>
    <w:rsid w:val="00633F74"/>
    <w:rsid w:val="006341CF"/>
    <w:rsid w:val="00634CA3"/>
    <w:rsid w:val="00635166"/>
    <w:rsid w:val="006356EC"/>
    <w:rsid w:val="00635C74"/>
    <w:rsid w:val="00635D45"/>
    <w:rsid w:val="00635E33"/>
    <w:rsid w:val="00635E5C"/>
    <w:rsid w:val="0063627E"/>
    <w:rsid w:val="006363D6"/>
    <w:rsid w:val="006363F9"/>
    <w:rsid w:val="0063646D"/>
    <w:rsid w:val="00636795"/>
    <w:rsid w:val="00636C46"/>
    <w:rsid w:val="00636F29"/>
    <w:rsid w:val="00636F36"/>
    <w:rsid w:val="00637350"/>
    <w:rsid w:val="006376D0"/>
    <w:rsid w:val="00637777"/>
    <w:rsid w:val="00637854"/>
    <w:rsid w:val="006378DA"/>
    <w:rsid w:val="00637C59"/>
    <w:rsid w:val="00637CED"/>
    <w:rsid w:val="00637FEC"/>
    <w:rsid w:val="0064043E"/>
    <w:rsid w:val="00640C18"/>
    <w:rsid w:val="00641559"/>
    <w:rsid w:val="006415DB"/>
    <w:rsid w:val="006419EE"/>
    <w:rsid w:val="00641C73"/>
    <w:rsid w:val="00641F64"/>
    <w:rsid w:val="00642068"/>
    <w:rsid w:val="0064250C"/>
    <w:rsid w:val="00643345"/>
    <w:rsid w:val="0064341C"/>
    <w:rsid w:val="006438AD"/>
    <w:rsid w:val="00643CAF"/>
    <w:rsid w:val="006443CB"/>
    <w:rsid w:val="0064480E"/>
    <w:rsid w:val="00645BE0"/>
    <w:rsid w:val="00645D65"/>
    <w:rsid w:val="00645F1F"/>
    <w:rsid w:val="00646012"/>
    <w:rsid w:val="0064610C"/>
    <w:rsid w:val="006463B4"/>
    <w:rsid w:val="00646751"/>
    <w:rsid w:val="00646C1F"/>
    <w:rsid w:val="00646C7A"/>
    <w:rsid w:val="00646D76"/>
    <w:rsid w:val="00647343"/>
    <w:rsid w:val="006474F2"/>
    <w:rsid w:val="0064755A"/>
    <w:rsid w:val="006505AD"/>
    <w:rsid w:val="00650801"/>
    <w:rsid w:val="00650C70"/>
    <w:rsid w:val="00650CCB"/>
    <w:rsid w:val="00651AFC"/>
    <w:rsid w:val="00651E6C"/>
    <w:rsid w:val="0065201D"/>
    <w:rsid w:val="00652348"/>
    <w:rsid w:val="0065263F"/>
    <w:rsid w:val="006527C2"/>
    <w:rsid w:val="00652BF7"/>
    <w:rsid w:val="00653CA7"/>
    <w:rsid w:val="00653CAB"/>
    <w:rsid w:val="0065408F"/>
    <w:rsid w:val="0065430E"/>
    <w:rsid w:val="006547FF"/>
    <w:rsid w:val="00654D5F"/>
    <w:rsid w:val="0065514B"/>
    <w:rsid w:val="0065523A"/>
    <w:rsid w:val="00655C5D"/>
    <w:rsid w:val="00656416"/>
    <w:rsid w:val="00657442"/>
    <w:rsid w:val="0065792A"/>
    <w:rsid w:val="00657A34"/>
    <w:rsid w:val="0066069D"/>
    <w:rsid w:val="006608A2"/>
    <w:rsid w:val="00660E26"/>
    <w:rsid w:val="00660F18"/>
    <w:rsid w:val="0066155D"/>
    <w:rsid w:val="006617C4"/>
    <w:rsid w:val="00661F22"/>
    <w:rsid w:val="00662ADB"/>
    <w:rsid w:val="00662E29"/>
    <w:rsid w:val="006639C2"/>
    <w:rsid w:val="00663BB7"/>
    <w:rsid w:val="0066431B"/>
    <w:rsid w:val="00664580"/>
    <w:rsid w:val="0066487C"/>
    <w:rsid w:val="0066493B"/>
    <w:rsid w:val="00664BC8"/>
    <w:rsid w:val="00665CB8"/>
    <w:rsid w:val="00666569"/>
    <w:rsid w:val="00666896"/>
    <w:rsid w:val="00666C4B"/>
    <w:rsid w:val="00666FE2"/>
    <w:rsid w:val="00667261"/>
    <w:rsid w:val="0067048A"/>
    <w:rsid w:val="00670CBA"/>
    <w:rsid w:val="00672248"/>
    <w:rsid w:val="00672F4B"/>
    <w:rsid w:val="00673166"/>
    <w:rsid w:val="006733C7"/>
    <w:rsid w:val="006737AF"/>
    <w:rsid w:val="00673BA8"/>
    <w:rsid w:val="0067403E"/>
    <w:rsid w:val="0067427E"/>
    <w:rsid w:val="00674C67"/>
    <w:rsid w:val="006750BC"/>
    <w:rsid w:val="006759DE"/>
    <w:rsid w:val="00675D21"/>
    <w:rsid w:val="0067693B"/>
    <w:rsid w:val="00676E10"/>
    <w:rsid w:val="0067706C"/>
    <w:rsid w:val="00677F67"/>
    <w:rsid w:val="00680286"/>
    <w:rsid w:val="00680BDA"/>
    <w:rsid w:val="00681223"/>
    <w:rsid w:val="0068126E"/>
    <w:rsid w:val="00681386"/>
    <w:rsid w:val="006813B3"/>
    <w:rsid w:val="006817F5"/>
    <w:rsid w:val="006819D7"/>
    <w:rsid w:val="00681BB7"/>
    <w:rsid w:val="00681FF4"/>
    <w:rsid w:val="006823BA"/>
    <w:rsid w:val="00682646"/>
    <w:rsid w:val="0068264E"/>
    <w:rsid w:val="00682AE2"/>
    <w:rsid w:val="00682C61"/>
    <w:rsid w:val="00683115"/>
    <w:rsid w:val="0068374C"/>
    <w:rsid w:val="00683B19"/>
    <w:rsid w:val="00683B43"/>
    <w:rsid w:val="00683F85"/>
    <w:rsid w:val="00683FB7"/>
    <w:rsid w:val="00684637"/>
    <w:rsid w:val="00684682"/>
    <w:rsid w:val="00684694"/>
    <w:rsid w:val="0068487E"/>
    <w:rsid w:val="006848E9"/>
    <w:rsid w:val="00684EAE"/>
    <w:rsid w:val="006860EE"/>
    <w:rsid w:val="006865C4"/>
    <w:rsid w:val="006866AF"/>
    <w:rsid w:val="0068673F"/>
    <w:rsid w:val="006868FF"/>
    <w:rsid w:val="006869C3"/>
    <w:rsid w:val="00687183"/>
    <w:rsid w:val="0068753D"/>
    <w:rsid w:val="00690A27"/>
    <w:rsid w:val="00690AA4"/>
    <w:rsid w:val="00690F7C"/>
    <w:rsid w:val="00691F85"/>
    <w:rsid w:val="0069244E"/>
    <w:rsid w:val="006924CB"/>
    <w:rsid w:val="00692A17"/>
    <w:rsid w:val="006934EE"/>
    <w:rsid w:val="006939C1"/>
    <w:rsid w:val="00693B36"/>
    <w:rsid w:val="00693C30"/>
    <w:rsid w:val="00694436"/>
    <w:rsid w:val="00694713"/>
    <w:rsid w:val="006947B6"/>
    <w:rsid w:val="00694E3F"/>
    <w:rsid w:val="0069507B"/>
    <w:rsid w:val="00695A46"/>
    <w:rsid w:val="006963B3"/>
    <w:rsid w:val="0069677A"/>
    <w:rsid w:val="00696962"/>
    <w:rsid w:val="006971AD"/>
    <w:rsid w:val="006971C6"/>
    <w:rsid w:val="0069749F"/>
    <w:rsid w:val="006975E6"/>
    <w:rsid w:val="00697739"/>
    <w:rsid w:val="00697990"/>
    <w:rsid w:val="00697B81"/>
    <w:rsid w:val="00697D4E"/>
    <w:rsid w:val="00697E80"/>
    <w:rsid w:val="006A0242"/>
    <w:rsid w:val="006A05A7"/>
    <w:rsid w:val="006A05ED"/>
    <w:rsid w:val="006A0E48"/>
    <w:rsid w:val="006A0FE8"/>
    <w:rsid w:val="006A106C"/>
    <w:rsid w:val="006A16FC"/>
    <w:rsid w:val="006A218F"/>
    <w:rsid w:val="006A2253"/>
    <w:rsid w:val="006A2C89"/>
    <w:rsid w:val="006A3B42"/>
    <w:rsid w:val="006A40E2"/>
    <w:rsid w:val="006A5072"/>
    <w:rsid w:val="006A679B"/>
    <w:rsid w:val="006A67C6"/>
    <w:rsid w:val="006A6EFA"/>
    <w:rsid w:val="006A70BE"/>
    <w:rsid w:val="006A7357"/>
    <w:rsid w:val="006A74D2"/>
    <w:rsid w:val="006A7616"/>
    <w:rsid w:val="006A7F93"/>
    <w:rsid w:val="006B0BFB"/>
    <w:rsid w:val="006B13DC"/>
    <w:rsid w:val="006B1457"/>
    <w:rsid w:val="006B15FC"/>
    <w:rsid w:val="006B16A3"/>
    <w:rsid w:val="006B1B68"/>
    <w:rsid w:val="006B1BCD"/>
    <w:rsid w:val="006B292E"/>
    <w:rsid w:val="006B3148"/>
    <w:rsid w:val="006B3606"/>
    <w:rsid w:val="006B37EA"/>
    <w:rsid w:val="006B3A89"/>
    <w:rsid w:val="006B42CA"/>
    <w:rsid w:val="006B4482"/>
    <w:rsid w:val="006B4C62"/>
    <w:rsid w:val="006B4D48"/>
    <w:rsid w:val="006B530B"/>
    <w:rsid w:val="006B5A45"/>
    <w:rsid w:val="006B6873"/>
    <w:rsid w:val="006B68CA"/>
    <w:rsid w:val="006B69ED"/>
    <w:rsid w:val="006B7678"/>
    <w:rsid w:val="006B7A7C"/>
    <w:rsid w:val="006B7E28"/>
    <w:rsid w:val="006C0132"/>
    <w:rsid w:val="006C02A0"/>
    <w:rsid w:val="006C0DB5"/>
    <w:rsid w:val="006C0F5D"/>
    <w:rsid w:val="006C104C"/>
    <w:rsid w:val="006C127C"/>
    <w:rsid w:val="006C1948"/>
    <w:rsid w:val="006C1E6B"/>
    <w:rsid w:val="006C2276"/>
    <w:rsid w:val="006C28FA"/>
    <w:rsid w:val="006C29EC"/>
    <w:rsid w:val="006C358E"/>
    <w:rsid w:val="006C381C"/>
    <w:rsid w:val="006C3A39"/>
    <w:rsid w:val="006C43E2"/>
    <w:rsid w:val="006C46A6"/>
    <w:rsid w:val="006C4781"/>
    <w:rsid w:val="006C4B65"/>
    <w:rsid w:val="006C4DE3"/>
    <w:rsid w:val="006C5622"/>
    <w:rsid w:val="006C5CE6"/>
    <w:rsid w:val="006C66DA"/>
    <w:rsid w:val="006C6CE0"/>
    <w:rsid w:val="006C6D54"/>
    <w:rsid w:val="006C706E"/>
    <w:rsid w:val="006C7817"/>
    <w:rsid w:val="006C7C8B"/>
    <w:rsid w:val="006C7DAA"/>
    <w:rsid w:val="006C7F44"/>
    <w:rsid w:val="006D024E"/>
    <w:rsid w:val="006D042B"/>
    <w:rsid w:val="006D0709"/>
    <w:rsid w:val="006D10C8"/>
    <w:rsid w:val="006D26C5"/>
    <w:rsid w:val="006D3054"/>
    <w:rsid w:val="006D30DD"/>
    <w:rsid w:val="006D36D9"/>
    <w:rsid w:val="006D4363"/>
    <w:rsid w:val="006D43B6"/>
    <w:rsid w:val="006D4A5D"/>
    <w:rsid w:val="006D55A1"/>
    <w:rsid w:val="006D57EE"/>
    <w:rsid w:val="006D59FC"/>
    <w:rsid w:val="006D5BE0"/>
    <w:rsid w:val="006D5DA5"/>
    <w:rsid w:val="006D5F28"/>
    <w:rsid w:val="006D5F80"/>
    <w:rsid w:val="006D62DB"/>
    <w:rsid w:val="006D62E5"/>
    <w:rsid w:val="006D63D4"/>
    <w:rsid w:val="006D6511"/>
    <w:rsid w:val="006D66A1"/>
    <w:rsid w:val="006D671E"/>
    <w:rsid w:val="006E001C"/>
    <w:rsid w:val="006E054A"/>
    <w:rsid w:val="006E0707"/>
    <w:rsid w:val="006E072D"/>
    <w:rsid w:val="006E0D18"/>
    <w:rsid w:val="006E0E0B"/>
    <w:rsid w:val="006E17A3"/>
    <w:rsid w:val="006E1E05"/>
    <w:rsid w:val="006E1F25"/>
    <w:rsid w:val="006E2758"/>
    <w:rsid w:val="006E2E18"/>
    <w:rsid w:val="006E3DA9"/>
    <w:rsid w:val="006E4CE3"/>
    <w:rsid w:val="006E5625"/>
    <w:rsid w:val="006E6B8A"/>
    <w:rsid w:val="006E70CB"/>
    <w:rsid w:val="006E7C37"/>
    <w:rsid w:val="006E7C57"/>
    <w:rsid w:val="006E7F07"/>
    <w:rsid w:val="006F0222"/>
    <w:rsid w:val="006F0296"/>
    <w:rsid w:val="006F038B"/>
    <w:rsid w:val="006F0800"/>
    <w:rsid w:val="006F0A63"/>
    <w:rsid w:val="006F0B0D"/>
    <w:rsid w:val="006F1383"/>
    <w:rsid w:val="006F15F8"/>
    <w:rsid w:val="006F1723"/>
    <w:rsid w:val="006F187F"/>
    <w:rsid w:val="006F234E"/>
    <w:rsid w:val="006F2BBF"/>
    <w:rsid w:val="006F321D"/>
    <w:rsid w:val="006F3841"/>
    <w:rsid w:val="006F3EFA"/>
    <w:rsid w:val="006F40A2"/>
    <w:rsid w:val="006F41E1"/>
    <w:rsid w:val="006F4301"/>
    <w:rsid w:val="006F4422"/>
    <w:rsid w:val="006F45F2"/>
    <w:rsid w:val="006F46B6"/>
    <w:rsid w:val="006F46D5"/>
    <w:rsid w:val="006F489D"/>
    <w:rsid w:val="006F49A9"/>
    <w:rsid w:val="006F502D"/>
    <w:rsid w:val="006F590C"/>
    <w:rsid w:val="006F59C7"/>
    <w:rsid w:val="006F5C84"/>
    <w:rsid w:val="006F5F84"/>
    <w:rsid w:val="006F6A81"/>
    <w:rsid w:val="006F6B79"/>
    <w:rsid w:val="006F6BAB"/>
    <w:rsid w:val="006F6CF0"/>
    <w:rsid w:val="006F701E"/>
    <w:rsid w:val="006F7553"/>
    <w:rsid w:val="006F75BC"/>
    <w:rsid w:val="006F781A"/>
    <w:rsid w:val="006F79C2"/>
    <w:rsid w:val="006F7BA4"/>
    <w:rsid w:val="00700051"/>
    <w:rsid w:val="00700D41"/>
    <w:rsid w:val="0070118E"/>
    <w:rsid w:val="007012DD"/>
    <w:rsid w:val="0070131B"/>
    <w:rsid w:val="0070134F"/>
    <w:rsid w:val="007014B4"/>
    <w:rsid w:val="00701531"/>
    <w:rsid w:val="00701A3F"/>
    <w:rsid w:val="00701C2A"/>
    <w:rsid w:val="00701E99"/>
    <w:rsid w:val="00702349"/>
    <w:rsid w:val="0070251B"/>
    <w:rsid w:val="00702AFF"/>
    <w:rsid w:val="00702D97"/>
    <w:rsid w:val="007031AE"/>
    <w:rsid w:val="00703577"/>
    <w:rsid w:val="00703A3F"/>
    <w:rsid w:val="00703B26"/>
    <w:rsid w:val="00703CD3"/>
    <w:rsid w:val="00704962"/>
    <w:rsid w:val="00704CC7"/>
    <w:rsid w:val="00704DAF"/>
    <w:rsid w:val="00704FE7"/>
    <w:rsid w:val="0070597F"/>
    <w:rsid w:val="00706464"/>
    <w:rsid w:val="0070647C"/>
    <w:rsid w:val="007064BF"/>
    <w:rsid w:val="00706E59"/>
    <w:rsid w:val="007073B5"/>
    <w:rsid w:val="00710197"/>
    <w:rsid w:val="007104B3"/>
    <w:rsid w:val="00710597"/>
    <w:rsid w:val="00710AB4"/>
    <w:rsid w:val="00710DF4"/>
    <w:rsid w:val="007111B6"/>
    <w:rsid w:val="007119C3"/>
    <w:rsid w:val="00711AF1"/>
    <w:rsid w:val="00711C3C"/>
    <w:rsid w:val="0071287A"/>
    <w:rsid w:val="00712B92"/>
    <w:rsid w:val="00712F59"/>
    <w:rsid w:val="007135CA"/>
    <w:rsid w:val="0071366A"/>
    <w:rsid w:val="00713D8B"/>
    <w:rsid w:val="00714110"/>
    <w:rsid w:val="00714702"/>
    <w:rsid w:val="00714CCE"/>
    <w:rsid w:val="00714DE3"/>
    <w:rsid w:val="00714E16"/>
    <w:rsid w:val="00714E31"/>
    <w:rsid w:val="00715353"/>
    <w:rsid w:val="0071556A"/>
    <w:rsid w:val="007155E3"/>
    <w:rsid w:val="00716308"/>
    <w:rsid w:val="00716852"/>
    <w:rsid w:val="0071694C"/>
    <w:rsid w:val="00716EFC"/>
    <w:rsid w:val="00716F09"/>
    <w:rsid w:val="007171BC"/>
    <w:rsid w:val="007176DA"/>
    <w:rsid w:val="00717BA6"/>
    <w:rsid w:val="007200F0"/>
    <w:rsid w:val="007208D1"/>
    <w:rsid w:val="00720FAC"/>
    <w:rsid w:val="00720FDB"/>
    <w:rsid w:val="0072108E"/>
    <w:rsid w:val="007215A4"/>
    <w:rsid w:val="0072173C"/>
    <w:rsid w:val="00721D50"/>
    <w:rsid w:val="00721E8A"/>
    <w:rsid w:val="00721EF7"/>
    <w:rsid w:val="0072210A"/>
    <w:rsid w:val="00722612"/>
    <w:rsid w:val="00722FE8"/>
    <w:rsid w:val="00723038"/>
    <w:rsid w:val="00723192"/>
    <w:rsid w:val="0072338D"/>
    <w:rsid w:val="00723AD7"/>
    <w:rsid w:val="00723D52"/>
    <w:rsid w:val="00724087"/>
    <w:rsid w:val="00724136"/>
    <w:rsid w:val="00724633"/>
    <w:rsid w:val="00724837"/>
    <w:rsid w:val="007249B9"/>
    <w:rsid w:val="00724B0B"/>
    <w:rsid w:val="00724FC6"/>
    <w:rsid w:val="0072535E"/>
    <w:rsid w:val="0072574A"/>
    <w:rsid w:val="00725ACE"/>
    <w:rsid w:val="00726238"/>
    <w:rsid w:val="007267E9"/>
    <w:rsid w:val="0072693C"/>
    <w:rsid w:val="007274AC"/>
    <w:rsid w:val="007278BB"/>
    <w:rsid w:val="00727E1C"/>
    <w:rsid w:val="00727EEE"/>
    <w:rsid w:val="007300AA"/>
    <w:rsid w:val="0073039A"/>
    <w:rsid w:val="00730C43"/>
    <w:rsid w:val="00730D00"/>
    <w:rsid w:val="00730FD8"/>
    <w:rsid w:val="00731737"/>
    <w:rsid w:val="007318F3"/>
    <w:rsid w:val="00731EF3"/>
    <w:rsid w:val="00731F6E"/>
    <w:rsid w:val="00732BE7"/>
    <w:rsid w:val="00732CFA"/>
    <w:rsid w:val="00733032"/>
    <w:rsid w:val="0073309C"/>
    <w:rsid w:val="00733346"/>
    <w:rsid w:val="00733A64"/>
    <w:rsid w:val="00733EEB"/>
    <w:rsid w:val="00734068"/>
    <w:rsid w:val="00734A68"/>
    <w:rsid w:val="007352F7"/>
    <w:rsid w:val="007353F3"/>
    <w:rsid w:val="0073542A"/>
    <w:rsid w:val="00735AC1"/>
    <w:rsid w:val="00736590"/>
    <w:rsid w:val="00736D54"/>
    <w:rsid w:val="00737553"/>
    <w:rsid w:val="00740241"/>
    <w:rsid w:val="007407CC"/>
    <w:rsid w:val="00740957"/>
    <w:rsid w:val="00740D42"/>
    <w:rsid w:val="00740E41"/>
    <w:rsid w:val="00740E45"/>
    <w:rsid w:val="00741B50"/>
    <w:rsid w:val="00741B56"/>
    <w:rsid w:val="00741D0E"/>
    <w:rsid w:val="0074263A"/>
    <w:rsid w:val="00742681"/>
    <w:rsid w:val="007429E9"/>
    <w:rsid w:val="00742B40"/>
    <w:rsid w:val="0074339D"/>
    <w:rsid w:val="007447A5"/>
    <w:rsid w:val="00744E02"/>
    <w:rsid w:val="007453DC"/>
    <w:rsid w:val="00745533"/>
    <w:rsid w:val="00745651"/>
    <w:rsid w:val="00745B18"/>
    <w:rsid w:val="00745D97"/>
    <w:rsid w:val="00745E24"/>
    <w:rsid w:val="00745F54"/>
    <w:rsid w:val="007460B8"/>
    <w:rsid w:val="00746DBB"/>
    <w:rsid w:val="00747391"/>
    <w:rsid w:val="007473BF"/>
    <w:rsid w:val="0074742B"/>
    <w:rsid w:val="00747848"/>
    <w:rsid w:val="00747BFD"/>
    <w:rsid w:val="007509BC"/>
    <w:rsid w:val="00750D21"/>
    <w:rsid w:val="00751295"/>
    <w:rsid w:val="0075164C"/>
    <w:rsid w:val="00751767"/>
    <w:rsid w:val="0075179C"/>
    <w:rsid w:val="00752583"/>
    <w:rsid w:val="00752874"/>
    <w:rsid w:val="00752D25"/>
    <w:rsid w:val="0075370B"/>
    <w:rsid w:val="0075387A"/>
    <w:rsid w:val="0075388D"/>
    <w:rsid w:val="00753A97"/>
    <w:rsid w:val="00754979"/>
    <w:rsid w:val="00754D55"/>
    <w:rsid w:val="00754F19"/>
    <w:rsid w:val="00755269"/>
    <w:rsid w:val="007552A0"/>
    <w:rsid w:val="00755575"/>
    <w:rsid w:val="00755886"/>
    <w:rsid w:val="00755B63"/>
    <w:rsid w:val="00755E4C"/>
    <w:rsid w:val="007565E8"/>
    <w:rsid w:val="00756786"/>
    <w:rsid w:val="007567B4"/>
    <w:rsid w:val="007567B5"/>
    <w:rsid w:val="00756CCA"/>
    <w:rsid w:val="007572FD"/>
    <w:rsid w:val="007573A0"/>
    <w:rsid w:val="0075780F"/>
    <w:rsid w:val="007578FA"/>
    <w:rsid w:val="007579FB"/>
    <w:rsid w:val="00760326"/>
    <w:rsid w:val="007603BD"/>
    <w:rsid w:val="00760424"/>
    <w:rsid w:val="007604F4"/>
    <w:rsid w:val="00760555"/>
    <w:rsid w:val="007605BF"/>
    <w:rsid w:val="007606A3"/>
    <w:rsid w:val="0076123B"/>
    <w:rsid w:val="0076161E"/>
    <w:rsid w:val="0076184C"/>
    <w:rsid w:val="007619E5"/>
    <w:rsid w:val="00761A3F"/>
    <w:rsid w:val="00761B6A"/>
    <w:rsid w:val="00761C57"/>
    <w:rsid w:val="00761C79"/>
    <w:rsid w:val="00761FB6"/>
    <w:rsid w:val="00762358"/>
    <w:rsid w:val="0076266E"/>
    <w:rsid w:val="0076293D"/>
    <w:rsid w:val="00762B2E"/>
    <w:rsid w:val="00762F2E"/>
    <w:rsid w:val="00762F6B"/>
    <w:rsid w:val="007633EF"/>
    <w:rsid w:val="007640A1"/>
    <w:rsid w:val="0076431B"/>
    <w:rsid w:val="00764460"/>
    <w:rsid w:val="007645DD"/>
    <w:rsid w:val="007652DE"/>
    <w:rsid w:val="007658E1"/>
    <w:rsid w:val="00765BFE"/>
    <w:rsid w:val="00766028"/>
    <w:rsid w:val="00766AF0"/>
    <w:rsid w:val="00766CC7"/>
    <w:rsid w:val="00766FC3"/>
    <w:rsid w:val="0076703D"/>
    <w:rsid w:val="00767E2A"/>
    <w:rsid w:val="0077055A"/>
    <w:rsid w:val="00770B9F"/>
    <w:rsid w:val="007712BF"/>
    <w:rsid w:val="00771381"/>
    <w:rsid w:val="0077207A"/>
    <w:rsid w:val="00772482"/>
    <w:rsid w:val="00772AB5"/>
    <w:rsid w:val="00772ECE"/>
    <w:rsid w:val="00773107"/>
    <w:rsid w:val="007734AB"/>
    <w:rsid w:val="00773966"/>
    <w:rsid w:val="00773DE1"/>
    <w:rsid w:val="00774160"/>
    <w:rsid w:val="00775700"/>
    <w:rsid w:val="007759A5"/>
    <w:rsid w:val="00775A10"/>
    <w:rsid w:val="00776511"/>
    <w:rsid w:val="00776864"/>
    <w:rsid w:val="00776A5B"/>
    <w:rsid w:val="00776AE7"/>
    <w:rsid w:val="00776BC0"/>
    <w:rsid w:val="00777498"/>
    <w:rsid w:val="00780220"/>
    <w:rsid w:val="0078069B"/>
    <w:rsid w:val="00780CDE"/>
    <w:rsid w:val="00780DDF"/>
    <w:rsid w:val="007812AA"/>
    <w:rsid w:val="00781429"/>
    <w:rsid w:val="007819A7"/>
    <w:rsid w:val="00781F61"/>
    <w:rsid w:val="00782029"/>
    <w:rsid w:val="0078255C"/>
    <w:rsid w:val="00782776"/>
    <w:rsid w:val="00782789"/>
    <w:rsid w:val="00782CF0"/>
    <w:rsid w:val="007830BF"/>
    <w:rsid w:val="007831A9"/>
    <w:rsid w:val="00783D29"/>
    <w:rsid w:val="00784993"/>
    <w:rsid w:val="00784AC3"/>
    <w:rsid w:val="00784E62"/>
    <w:rsid w:val="00785EC4"/>
    <w:rsid w:val="00785EF6"/>
    <w:rsid w:val="00786606"/>
    <w:rsid w:val="007868A5"/>
    <w:rsid w:val="007869ED"/>
    <w:rsid w:val="0078742E"/>
    <w:rsid w:val="0078747F"/>
    <w:rsid w:val="00787EF7"/>
    <w:rsid w:val="007907F2"/>
    <w:rsid w:val="00790D91"/>
    <w:rsid w:val="0079195D"/>
    <w:rsid w:val="00791B7E"/>
    <w:rsid w:val="00792A60"/>
    <w:rsid w:val="00792C4B"/>
    <w:rsid w:val="00792ECA"/>
    <w:rsid w:val="00793138"/>
    <w:rsid w:val="00793184"/>
    <w:rsid w:val="0079345A"/>
    <w:rsid w:val="007939BC"/>
    <w:rsid w:val="00793A9F"/>
    <w:rsid w:val="00793BE6"/>
    <w:rsid w:val="00793E71"/>
    <w:rsid w:val="0079407E"/>
    <w:rsid w:val="0079473F"/>
    <w:rsid w:val="00794A9A"/>
    <w:rsid w:val="00795200"/>
    <w:rsid w:val="007954D4"/>
    <w:rsid w:val="00795A4B"/>
    <w:rsid w:val="007960EE"/>
    <w:rsid w:val="00796124"/>
    <w:rsid w:val="0079614D"/>
    <w:rsid w:val="007961DD"/>
    <w:rsid w:val="0079692B"/>
    <w:rsid w:val="00796D07"/>
    <w:rsid w:val="00796D7C"/>
    <w:rsid w:val="00797796"/>
    <w:rsid w:val="00797906"/>
    <w:rsid w:val="00797B91"/>
    <w:rsid w:val="00797DAA"/>
    <w:rsid w:val="007A0F24"/>
    <w:rsid w:val="007A1531"/>
    <w:rsid w:val="007A17BA"/>
    <w:rsid w:val="007A1ADE"/>
    <w:rsid w:val="007A2142"/>
    <w:rsid w:val="007A25B1"/>
    <w:rsid w:val="007A2EBC"/>
    <w:rsid w:val="007A3577"/>
    <w:rsid w:val="007A3588"/>
    <w:rsid w:val="007A38DE"/>
    <w:rsid w:val="007A3D71"/>
    <w:rsid w:val="007A3E4E"/>
    <w:rsid w:val="007A4002"/>
    <w:rsid w:val="007A4005"/>
    <w:rsid w:val="007A481C"/>
    <w:rsid w:val="007A4CA3"/>
    <w:rsid w:val="007A4DCE"/>
    <w:rsid w:val="007A4F00"/>
    <w:rsid w:val="007A5419"/>
    <w:rsid w:val="007A58A2"/>
    <w:rsid w:val="007A5B4A"/>
    <w:rsid w:val="007A6099"/>
    <w:rsid w:val="007A6147"/>
    <w:rsid w:val="007A6B2F"/>
    <w:rsid w:val="007A6FF8"/>
    <w:rsid w:val="007A7144"/>
    <w:rsid w:val="007A7373"/>
    <w:rsid w:val="007A750E"/>
    <w:rsid w:val="007A754D"/>
    <w:rsid w:val="007B007E"/>
    <w:rsid w:val="007B0139"/>
    <w:rsid w:val="007B048C"/>
    <w:rsid w:val="007B08E0"/>
    <w:rsid w:val="007B08EB"/>
    <w:rsid w:val="007B15C5"/>
    <w:rsid w:val="007B219B"/>
    <w:rsid w:val="007B2822"/>
    <w:rsid w:val="007B2AEC"/>
    <w:rsid w:val="007B2B46"/>
    <w:rsid w:val="007B320F"/>
    <w:rsid w:val="007B36C2"/>
    <w:rsid w:val="007B376D"/>
    <w:rsid w:val="007B3BEF"/>
    <w:rsid w:val="007B41A8"/>
    <w:rsid w:val="007B45CC"/>
    <w:rsid w:val="007B467E"/>
    <w:rsid w:val="007B4951"/>
    <w:rsid w:val="007B5C0D"/>
    <w:rsid w:val="007B5EF4"/>
    <w:rsid w:val="007B66DF"/>
    <w:rsid w:val="007B6ABB"/>
    <w:rsid w:val="007B6F1D"/>
    <w:rsid w:val="007B718A"/>
    <w:rsid w:val="007B7458"/>
    <w:rsid w:val="007B7862"/>
    <w:rsid w:val="007B7CF4"/>
    <w:rsid w:val="007C0078"/>
    <w:rsid w:val="007C0208"/>
    <w:rsid w:val="007C022B"/>
    <w:rsid w:val="007C0B50"/>
    <w:rsid w:val="007C0BED"/>
    <w:rsid w:val="007C0E64"/>
    <w:rsid w:val="007C0E8F"/>
    <w:rsid w:val="007C0F1C"/>
    <w:rsid w:val="007C13FA"/>
    <w:rsid w:val="007C1476"/>
    <w:rsid w:val="007C1BC7"/>
    <w:rsid w:val="007C2246"/>
    <w:rsid w:val="007C2931"/>
    <w:rsid w:val="007C3866"/>
    <w:rsid w:val="007C3A1E"/>
    <w:rsid w:val="007C43BF"/>
    <w:rsid w:val="007C494F"/>
    <w:rsid w:val="007C4DE4"/>
    <w:rsid w:val="007C4E19"/>
    <w:rsid w:val="007C58B8"/>
    <w:rsid w:val="007C59ED"/>
    <w:rsid w:val="007C5AD4"/>
    <w:rsid w:val="007C624B"/>
    <w:rsid w:val="007C695B"/>
    <w:rsid w:val="007C6A41"/>
    <w:rsid w:val="007C6A56"/>
    <w:rsid w:val="007C7821"/>
    <w:rsid w:val="007D020F"/>
    <w:rsid w:val="007D046F"/>
    <w:rsid w:val="007D0840"/>
    <w:rsid w:val="007D0D03"/>
    <w:rsid w:val="007D168F"/>
    <w:rsid w:val="007D2326"/>
    <w:rsid w:val="007D2352"/>
    <w:rsid w:val="007D286E"/>
    <w:rsid w:val="007D2A6C"/>
    <w:rsid w:val="007D2B3D"/>
    <w:rsid w:val="007D383A"/>
    <w:rsid w:val="007D3C7B"/>
    <w:rsid w:val="007D3EC2"/>
    <w:rsid w:val="007D3FAF"/>
    <w:rsid w:val="007D42BF"/>
    <w:rsid w:val="007D4776"/>
    <w:rsid w:val="007D4930"/>
    <w:rsid w:val="007D4AFD"/>
    <w:rsid w:val="007D50BE"/>
    <w:rsid w:val="007D5B3C"/>
    <w:rsid w:val="007D5C59"/>
    <w:rsid w:val="007D5D70"/>
    <w:rsid w:val="007D602F"/>
    <w:rsid w:val="007D612D"/>
    <w:rsid w:val="007D67A9"/>
    <w:rsid w:val="007D6838"/>
    <w:rsid w:val="007D6CB5"/>
    <w:rsid w:val="007D6DB0"/>
    <w:rsid w:val="007D6F7D"/>
    <w:rsid w:val="007D7018"/>
    <w:rsid w:val="007D74B0"/>
    <w:rsid w:val="007D7B78"/>
    <w:rsid w:val="007D7F5F"/>
    <w:rsid w:val="007E06CC"/>
    <w:rsid w:val="007E089E"/>
    <w:rsid w:val="007E0E21"/>
    <w:rsid w:val="007E100B"/>
    <w:rsid w:val="007E1587"/>
    <w:rsid w:val="007E15EB"/>
    <w:rsid w:val="007E19D1"/>
    <w:rsid w:val="007E1BF9"/>
    <w:rsid w:val="007E22DD"/>
    <w:rsid w:val="007E25ED"/>
    <w:rsid w:val="007E2FB8"/>
    <w:rsid w:val="007E392E"/>
    <w:rsid w:val="007E3B42"/>
    <w:rsid w:val="007E3CD9"/>
    <w:rsid w:val="007E3D1A"/>
    <w:rsid w:val="007E3D34"/>
    <w:rsid w:val="007E3E67"/>
    <w:rsid w:val="007E3EAF"/>
    <w:rsid w:val="007E3F69"/>
    <w:rsid w:val="007E4270"/>
    <w:rsid w:val="007E4621"/>
    <w:rsid w:val="007E48A8"/>
    <w:rsid w:val="007E4E13"/>
    <w:rsid w:val="007E51BC"/>
    <w:rsid w:val="007E52F0"/>
    <w:rsid w:val="007E5B6B"/>
    <w:rsid w:val="007E6178"/>
    <w:rsid w:val="007E6392"/>
    <w:rsid w:val="007E639A"/>
    <w:rsid w:val="007E6A5E"/>
    <w:rsid w:val="007E6A77"/>
    <w:rsid w:val="007E6B27"/>
    <w:rsid w:val="007E6E19"/>
    <w:rsid w:val="007E7B25"/>
    <w:rsid w:val="007F04BA"/>
    <w:rsid w:val="007F05A9"/>
    <w:rsid w:val="007F05E0"/>
    <w:rsid w:val="007F0727"/>
    <w:rsid w:val="007F212C"/>
    <w:rsid w:val="007F2406"/>
    <w:rsid w:val="007F24A9"/>
    <w:rsid w:val="007F2551"/>
    <w:rsid w:val="007F3450"/>
    <w:rsid w:val="007F3723"/>
    <w:rsid w:val="007F3AE5"/>
    <w:rsid w:val="007F3BD6"/>
    <w:rsid w:val="007F3FED"/>
    <w:rsid w:val="007F49D6"/>
    <w:rsid w:val="007F4A9A"/>
    <w:rsid w:val="007F4D46"/>
    <w:rsid w:val="007F53BD"/>
    <w:rsid w:val="007F5A39"/>
    <w:rsid w:val="007F5AB6"/>
    <w:rsid w:val="007F5FBA"/>
    <w:rsid w:val="007F671A"/>
    <w:rsid w:val="007F7265"/>
    <w:rsid w:val="007F7639"/>
    <w:rsid w:val="00800060"/>
    <w:rsid w:val="008000D5"/>
    <w:rsid w:val="0080050A"/>
    <w:rsid w:val="008006BF"/>
    <w:rsid w:val="00801193"/>
    <w:rsid w:val="0080202D"/>
    <w:rsid w:val="00802758"/>
    <w:rsid w:val="00802873"/>
    <w:rsid w:val="00802D01"/>
    <w:rsid w:val="00802D46"/>
    <w:rsid w:val="00802E0B"/>
    <w:rsid w:val="00802E4A"/>
    <w:rsid w:val="00803032"/>
    <w:rsid w:val="0080309A"/>
    <w:rsid w:val="00803D25"/>
    <w:rsid w:val="00804116"/>
    <w:rsid w:val="008044C3"/>
    <w:rsid w:val="008048F8"/>
    <w:rsid w:val="008049AC"/>
    <w:rsid w:val="00804E04"/>
    <w:rsid w:val="008051BA"/>
    <w:rsid w:val="0080534B"/>
    <w:rsid w:val="0080559A"/>
    <w:rsid w:val="00805C06"/>
    <w:rsid w:val="00805DA2"/>
    <w:rsid w:val="00805ECB"/>
    <w:rsid w:val="0080614D"/>
    <w:rsid w:val="008063F7"/>
    <w:rsid w:val="008072CD"/>
    <w:rsid w:val="00807B93"/>
    <w:rsid w:val="00807C0A"/>
    <w:rsid w:val="00807CF8"/>
    <w:rsid w:val="00807E4D"/>
    <w:rsid w:val="00807EC4"/>
    <w:rsid w:val="00807F1A"/>
    <w:rsid w:val="008103F0"/>
    <w:rsid w:val="0081047B"/>
    <w:rsid w:val="00810D3C"/>
    <w:rsid w:val="00810FCE"/>
    <w:rsid w:val="00811618"/>
    <w:rsid w:val="00811C69"/>
    <w:rsid w:val="008120F2"/>
    <w:rsid w:val="00812559"/>
    <w:rsid w:val="00812638"/>
    <w:rsid w:val="00812D60"/>
    <w:rsid w:val="008130E6"/>
    <w:rsid w:val="008134EB"/>
    <w:rsid w:val="0081374B"/>
    <w:rsid w:val="00813A23"/>
    <w:rsid w:val="00814392"/>
    <w:rsid w:val="008145E9"/>
    <w:rsid w:val="008147BA"/>
    <w:rsid w:val="008147CC"/>
    <w:rsid w:val="00814AB9"/>
    <w:rsid w:val="00814B3C"/>
    <w:rsid w:val="00814D06"/>
    <w:rsid w:val="00815470"/>
    <w:rsid w:val="00815DBD"/>
    <w:rsid w:val="008164FC"/>
    <w:rsid w:val="0081656D"/>
    <w:rsid w:val="00816A50"/>
    <w:rsid w:val="00816B28"/>
    <w:rsid w:val="00817F52"/>
    <w:rsid w:val="008202EE"/>
    <w:rsid w:val="00820664"/>
    <w:rsid w:val="00820894"/>
    <w:rsid w:val="008208ED"/>
    <w:rsid w:val="008209DB"/>
    <w:rsid w:val="00820EFE"/>
    <w:rsid w:val="0082106D"/>
    <w:rsid w:val="0082113A"/>
    <w:rsid w:val="008211D2"/>
    <w:rsid w:val="0082174A"/>
    <w:rsid w:val="00821AA6"/>
    <w:rsid w:val="00821CBC"/>
    <w:rsid w:val="00821DB1"/>
    <w:rsid w:val="00821DDF"/>
    <w:rsid w:val="008221C7"/>
    <w:rsid w:val="00822485"/>
    <w:rsid w:val="00822531"/>
    <w:rsid w:val="00822581"/>
    <w:rsid w:val="0082259A"/>
    <w:rsid w:val="008235ED"/>
    <w:rsid w:val="00823AEF"/>
    <w:rsid w:val="00823F7A"/>
    <w:rsid w:val="00823FF6"/>
    <w:rsid w:val="00824802"/>
    <w:rsid w:val="0082489C"/>
    <w:rsid w:val="00824AFD"/>
    <w:rsid w:val="00825538"/>
    <w:rsid w:val="00825AD6"/>
    <w:rsid w:val="00825FEF"/>
    <w:rsid w:val="008260EE"/>
    <w:rsid w:val="00826D3B"/>
    <w:rsid w:val="00826DF8"/>
    <w:rsid w:val="00826EC7"/>
    <w:rsid w:val="00827029"/>
    <w:rsid w:val="008271B9"/>
    <w:rsid w:val="008273D7"/>
    <w:rsid w:val="00827FBC"/>
    <w:rsid w:val="0083004D"/>
    <w:rsid w:val="008305D7"/>
    <w:rsid w:val="0083101D"/>
    <w:rsid w:val="00831589"/>
    <w:rsid w:val="00831764"/>
    <w:rsid w:val="00831E70"/>
    <w:rsid w:val="00831FF8"/>
    <w:rsid w:val="008321FC"/>
    <w:rsid w:val="0083294B"/>
    <w:rsid w:val="00832BFE"/>
    <w:rsid w:val="00832E40"/>
    <w:rsid w:val="00832E5D"/>
    <w:rsid w:val="00833188"/>
    <w:rsid w:val="00833363"/>
    <w:rsid w:val="00833591"/>
    <w:rsid w:val="00833856"/>
    <w:rsid w:val="008338D8"/>
    <w:rsid w:val="008339DD"/>
    <w:rsid w:val="00833B26"/>
    <w:rsid w:val="00833E86"/>
    <w:rsid w:val="008341CD"/>
    <w:rsid w:val="008342FA"/>
    <w:rsid w:val="0083478A"/>
    <w:rsid w:val="0083493D"/>
    <w:rsid w:val="00834CB2"/>
    <w:rsid w:val="00834D58"/>
    <w:rsid w:val="00835123"/>
    <w:rsid w:val="0083577F"/>
    <w:rsid w:val="00835C03"/>
    <w:rsid w:val="008366AD"/>
    <w:rsid w:val="0083699B"/>
    <w:rsid w:val="00836EF2"/>
    <w:rsid w:val="008373C6"/>
    <w:rsid w:val="008378BC"/>
    <w:rsid w:val="00837CA8"/>
    <w:rsid w:val="00837CF8"/>
    <w:rsid w:val="00837F41"/>
    <w:rsid w:val="008402C3"/>
    <w:rsid w:val="008404D9"/>
    <w:rsid w:val="008406CE"/>
    <w:rsid w:val="008413E4"/>
    <w:rsid w:val="0084164B"/>
    <w:rsid w:val="00841698"/>
    <w:rsid w:val="00841E12"/>
    <w:rsid w:val="00841F58"/>
    <w:rsid w:val="008421E3"/>
    <w:rsid w:val="008423F2"/>
    <w:rsid w:val="008429B8"/>
    <w:rsid w:val="0084312D"/>
    <w:rsid w:val="0084351B"/>
    <w:rsid w:val="008443A4"/>
    <w:rsid w:val="00844851"/>
    <w:rsid w:val="008450CE"/>
    <w:rsid w:val="008451AB"/>
    <w:rsid w:val="00845B38"/>
    <w:rsid w:val="00845C97"/>
    <w:rsid w:val="00846156"/>
    <w:rsid w:val="008462B7"/>
    <w:rsid w:val="00846316"/>
    <w:rsid w:val="00846CFB"/>
    <w:rsid w:val="00846D2A"/>
    <w:rsid w:val="00847101"/>
    <w:rsid w:val="00850210"/>
    <w:rsid w:val="00850AFB"/>
    <w:rsid w:val="00850D66"/>
    <w:rsid w:val="008510AD"/>
    <w:rsid w:val="00851418"/>
    <w:rsid w:val="0085153B"/>
    <w:rsid w:val="00851AEB"/>
    <w:rsid w:val="00852C08"/>
    <w:rsid w:val="00853695"/>
    <w:rsid w:val="008538E6"/>
    <w:rsid w:val="00854259"/>
    <w:rsid w:val="008543DD"/>
    <w:rsid w:val="008545FD"/>
    <w:rsid w:val="00854793"/>
    <w:rsid w:val="00854BB5"/>
    <w:rsid w:val="00854CEB"/>
    <w:rsid w:val="00856213"/>
    <w:rsid w:val="00856733"/>
    <w:rsid w:val="0085673E"/>
    <w:rsid w:val="008569F8"/>
    <w:rsid w:val="00856A2A"/>
    <w:rsid w:val="008578DB"/>
    <w:rsid w:val="00857C5D"/>
    <w:rsid w:val="00857EAE"/>
    <w:rsid w:val="00860088"/>
    <w:rsid w:val="0086099E"/>
    <w:rsid w:val="00860AD8"/>
    <w:rsid w:val="00860DD6"/>
    <w:rsid w:val="0086149C"/>
    <w:rsid w:val="0086155D"/>
    <w:rsid w:val="00861C73"/>
    <w:rsid w:val="008621AC"/>
    <w:rsid w:val="00862C95"/>
    <w:rsid w:val="00863241"/>
    <w:rsid w:val="00863336"/>
    <w:rsid w:val="008633E6"/>
    <w:rsid w:val="00863E37"/>
    <w:rsid w:val="00864264"/>
    <w:rsid w:val="008650D1"/>
    <w:rsid w:val="008652B8"/>
    <w:rsid w:val="00865606"/>
    <w:rsid w:val="00865856"/>
    <w:rsid w:val="00865906"/>
    <w:rsid w:val="00865C87"/>
    <w:rsid w:val="008665A6"/>
    <w:rsid w:val="00870183"/>
    <w:rsid w:val="00870195"/>
    <w:rsid w:val="008707D6"/>
    <w:rsid w:val="00870B08"/>
    <w:rsid w:val="00871296"/>
    <w:rsid w:val="0087158B"/>
    <w:rsid w:val="00871C48"/>
    <w:rsid w:val="00872FF5"/>
    <w:rsid w:val="00873394"/>
    <w:rsid w:val="00873465"/>
    <w:rsid w:val="00874AD3"/>
    <w:rsid w:val="00874EA9"/>
    <w:rsid w:val="008757AF"/>
    <w:rsid w:val="008758B3"/>
    <w:rsid w:val="00875D69"/>
    <w:rsid w:val="00875DD9"/>
    <w:rsid w:val="0087608F"/>
    <w:rsid w:val="008762B7"/>
    <w:rsid w:val="00876F0C"/>
    <w:rsid w:val="00877AA9"/>
    <w:rsid w:val="00877D5C"/>
    <w:rsid w:val="00877ED7"/>
    <w:rsid w:val="00880796"/>
    <w:rsid w:val="008809DB"/>
    <w:rsid w:val="00880E77"/>
    <w:rsid w:val="008812D9"/>
    <w:rsid w:val="00881C0E"/>
    <w:rsid w:val="00882502"/>
    <w:rsid w:val="00883AC7"/>
    <w:rsid w:val="00883C73"/>
    <w:rsid w:val="0088458E"/>
    <w:rsid w:val="00884A6C"/>
    <w:rsid w:val="00884DCF"/>
    <w:rsid w:val="00885191"/>
    <w:rsid w:val="0088530D"/>
    <w:rsid w:val="00885362"/>
    <w:rsid w:val="008854D8"/>
    <w:rsid w:val="0088564C"/>
    <w:rsid w:val="008859B3"/>
    <w:rsid w:val="00885C10"/>
    <w:rsid w:val="0088630D"/>
    <w:rsid w:val="00886472"/>
    <w:rsid w:val="008866B8"/>
    <w:rsid w:val="0088670B"/>
    <w:rsid w:val="008867AF"/>
    <w:rsid w:val="00886F15"/>
    <w:rsid w:val="008872A1"/>
    <w:rsid w:val="00887539"/>
    <w:rsid w:val="00887DD7"/>
    <w:rsid w:val="00887DFE"/>
    <w:rsid w:val="00887F58"/>
    <w:rsid w:val="00890067"/>
    <w:rsid w:val="00890691"/>
    <w:rsid w:val="00890958"/>
    <w:rsid w:val="00890A09"/>
    <w:rsid w:val="00890AA4"/>
    <w:rsid w:val="008911B1"/>
    <w:rsid w:val="00891809"/>
    <w:rsid w:val="0089187D"/>
    <w:rsid w:val="00891DB7"/>
    <w:rsid w:val="00891E99"/>
    <w:rsid w:val="008926DB"/>
    <w:rsid w:val="00892A9F"/>
    <w:rsid w:val="00892DB3"/>
    <w:rsid w:val="008936A3"/>
    <w:rsid w:val="00894578"/>
    <w:rsid w:val="00894629"/>
    <w:rsid w:val="008949D5"/>
    <w:rsid w:val="00894CEE"/>
    <w:rsid w:val="00895555"/>
    <w:rsid w:val="00895777"/>
    <w:rsid w:val="00895B97"/>
    <w:rsid w:val="008961C3"/>
    <w:rsid w:val="00896542"/>
    <w:rsid w:val="00896902"/>
    <w:rsid w:val="00896F47"/>
    <w:rsid w:val="00897544"/>
    <w:rsid w:val="0089796B"/>
    <w:rsid w:val="00897D9F"/>
    <w:rsid w:val="008A0622"/>
    <w:rsid w:val="008A0C73"/>
    <w:rsid w:val="008A1248"/>
    <w:rsid w:val="008A12D4"/>
    <w:rsid w:val="008A1A7C"/>
    <w:rsid w:val="008A1B29"/>
    <w:rsid w:val="008A2075"/>
    <w:rsid w:val="008A20DB"/>
    <w:rsid w:val="008A20F3"/>
    <w:rsid w:val="008A2292"/>
    <w:rsid w:val="008A26D9"/>
    <w:rsid w:val="008A2871"/>
    <w:rsid w:val="008A2FCB"/>
    <w:rsid w:val="008A3046"/>
    <w:rsid w:val="008A314A"/>
    <w:rsid w:val="008A324C"/>
    <w:rsid w:val="008A34DF"/>
    <w:rsid w:val="008A37F8"/>
    <w:rsid w:val="008A3BD5"/>
    <w:rsid w:val="008A3F50"/>
    <w:rsid w:val="008A3FA2"/>
    <w:rsid w:val="008A40B9"/>
    <w:rsid w:val="008A4258"/>
    <w:rsid w:val="008A484C"/>
    <w:rsid w:val="008A5425"/>
    <w:rsid w:val="008A5498"/>
    <w:rsid w:val="008A6CF4"/>
    <w:rsid w:val="008A70AE"/>
    <w:rsid w:val="008A7112"/>
    <w:rsid w:val="008A757A"/>
    <w:rsid w:val="008A75E6"/>
    <w:rsid w:val="008A7B26"/>
    <w:rsid w:val="008A7C26"/>
    <w:rsid w:val="008A7E76"/>
    <w:rsid w:val="008B08AB"/>
    <w:rsid w:val="008B0AEE"/>
    <w:rsid w:val="008B144C"/>
    <w:rsid w:val="008B1DC0"/>
    <w:rsid w:val="008B2082"/>
    <w:rsid w:val="008B2883"/>
    <w:rsid w:val="008B2CB2"/>
    <w:rsid w:val="008B3F28"/>
    <w:rsid w:val="008B4309"/>
    <w:rsid w:val="008B44CB"/>
    <w:rsid w:val="008B5C1F"/>
    <w:rsid w:val="008B5EB8"/>
    <w:rsid w:val="008B612B"/>
    <w:rsid w:val="008B6A38"/>
    <w:rsid w:val="008B6C11"/>
    <w:rsid w:val="008B6E16"/>
    <w:rsid w:val="008B6F44"/>
    <w:rsid w:val="008B7B22"/>
    <w:rsid w:val="008B7C8C"/>
    <w:rsid w:val="008C0033"/>
    <w:rsid w:val="008C04B1"/>
    <w:rsid w:val="008C05A6"/>
    <w:rsid w:val="008C05B3"/>
    <w:rsid w:val="008C0740"/>
    <w:rsid w:val="008C0AFB"/>
    <w:rsid w:val="008C124B"/>
    <w:rsid w:val="008C1489"/>
    <w:rsid w:val="008C152D"/>
    <w:rsid w:val="008C1D07"/>
    <w:rsid w:val="008C2822"/>
    <w:rsid w:val="008C2AE3"/>
    <w:rsid w:val="008C2B9E"/>
    <w:rsid w:val="008C2D21"/>
    <w:rsid w:val="008C309A"/>
    <w:rsid w:val="008C33B9"/>
    <w:rsid w:val="008C3940"/>
    <w:rsid w:val="008C4435"/>
    <w:rsid w:val="008C463A"/>
    <w:rsid w:val="008C4CF8"/>
    <w:rsid w:val="008C53FB"/>
    <w:rsid w:val="008C5C5D"/>
    <w:rsid w:val="008C6135"/>
    <w:rsid w:val="008C634B"/>
    <w:rsid w:val="008C6354"/>
    <w:rsid w:val="008C63B0"/>
    <w:rsid w:val="008C6585"/>
    <w:rsid w:val="008C7423"/>
    <w:rsid w:val="008C76E4"/>
    <w:rsid w:val="008C7C0A"/>
    <w:rsid w:val="008C7FAD"/>
    <w:rsid w:val="008D052C"/>
    <w:rsid w:val="008D0AC9"/>
    <w:rsid w:val="008D0E98"/>
    <w:rsid w:val="008D132B"/>
    <w:rsid w:val="008D13B4"/>
    <w:rsid w:val="008D185A"/>
    <w:rsid w:val="008D1B89"/>
    <w:rsid w:val="008D2453"/>
    <w:rsid w:val="008D247E"/>
    <w:rsid w:val="008D26A4"/>
    <w:rsid w:val="008D28B3"/>
    <w:rsid w:val="008D28E1"/>
    <w:rsid w:val="008D2932"/>
    <w:rsid w:val="008D2A22"/>
    <w:rsid w:val="008D321F"/>
    <w:rsid w:val="008D37F3"/>
    <w:rsid w:val="008D3932"/>
    <w:rsid w:val="008D3ABA"/>
    <w:rsid w:val="008D4117"/>
    <w:rsid w:val="008D469F"/>
    <w:rsid w:val="008D471B"/>
    <w:rsid w:val="008D4A5E"/>
    <w:rsid w:val="008D4D8A"/>
    <w:rsid w:val="008D5013"/>
    <w:rsid w:val="008D5910"/>
    <w:rsid w:val="008D5BFD"/>
    <w:rsid w:val="008D60C1"/>
    <w:rsid w:val="008D617C"/>
    <w:rsid w:val="008D6573"/>
    <w:rsid w:val="008D6AF6"/>
    <w:rsid w:val="008D6C4B"/>
    <w:rsid w:val="008D73F9"/>
    <w:rsid w:val="008D7F9B"/>
    <w:rsid w:val="008E01C8"/>
    <w:rsid w:val="008E0440"/>
    <w:rsid w:val="008E0708"/>
    <w:rsid w:val="008E0C5B"/>
    <w:rsid w:val="008E0F12"/>
    <w:rsid w:val="008E167A"/>
    <w:rsid w:val="008E183E"/>
    <w:rsid w:val="008E2610"/>
    <w:rsid w:val="008E27D4"/>
    <w:rsid w:val="008E2D67"/>
    <w:rsid w:val="008E3015"/>
    <w:rsid w:val="008E30F5"/>
    <w:rsid w:val="008E317D"/>
    <w:rsid w:val="008E38CC"/>
    <w:rsid w:val="008E3C82"/>
    <w:rsid w:val="008E3D08"/>
    <w:rsid w:val="008E440F"/>
    <w:rsid w:val="008E48D1"/>
    <w:rsid w:val="008E71F9"/>
    <w:rsid w:val="008E7627"/>
    <w:rsid w:val="008E766A"/>
    <w:rsid w:val="008E77C5"/>
    <w:rsid w:val="008F0263"/>
    <w:rsid w:val="008F02CA"/>
    <w:rsid w:val="008F06CE"/>
    <w:rsid w:val="008F0810"/>
    <w:rsid w:val="008F0DB2"/>
    <w:rsid w:val="008F0E32"/>
    <w:rsid w:val="008F1B8C"/>
    <w:rsid w:val="008F2780"/>
    <w:rsid w:val="008F2B63"/>
    <w:rsid w:val="008F2D3C"/>
    <w:rsid w:val="008F2F1C"/>
    <w:rsid w:val="008F3582"/>
    <w:rsid w:val="008F37C6"/>
    <w:rsid w:val="008F3B47"/>
    <w:rsid w:val="008F3B77"/>
    <w:rsid w:val="008F3D37"/>
    <w:rsid w:val="008F45A3"/>
    <w:rsid w:val="008F46AE"/>
    <w:rsid w:val="008F4765"/>
    <w:rsid w:val="008F4FB4"/>
    <w:rsid w:val="008F4FF6"/>
    <w:rsid w:val="008F53AE"/>
    <w:rsid w:val="008F5676"/>
    <w:rsid w:val="008F5F7E"/>
    <w:rsid w:val="008F6B95"/>
    <w:rsid w:val="008F7563"/>
    <w:rsid w:val="008F75BA"/>
    <w:rsid w:val="008F7A22"/>
    <w:rsid w:val="008F7B8A"/>
    <w:rsid w:val="008F7F1A"/>
    <w:rsid w:val="0090016D"/>
    <w:rsid w:val="00900418"/>
    <w:rsid w:val="0090045D"/>
    <w:rsid w:val="00900CF0"/>
    <w:rsid w:val="00901357"/>
    <w:rsid w:val="009015B4"/>
    <w:rsid w:val="00902035"/>
    <w:rsid w:val="00902A0F"/>
    <w:rsid w:val="00902A5B"/>
    <w:rsid w:val="00903069"/>
    <w:rsid w:val="009035A0"/>
    <w:rsid w:val="00903D13"/>
    <w:rsid w:val="0090424E"/>
    <w:rsid w:val="009046C5"/>
    <w:rsid w:val="0090487A"/>
    <w:rsid w:val="0090504F"/>
    <w:rsid w:val="00905260"/>
    <w:rsid w:val="00905904"/>
    <w:rsid w:val="00905D6B"/>
    <w:rsid w:val="00905E38"/>
    <w:rsid w:val="00906238"/>
    <w:rsid w:val="00906449"/>
    <w:rsid w:val="0090651F"/>
    <w:rsid w:val="009065D3"/>
    <w:rsid w:val="009066DD"/>
    <w:rsid w:val="00906C06"/>
    <w:rsid w:val="00906FBC"/>
    <w:rsid w:val="00907538"/>
    <w:rsid w:val="009100C9"/>
    <w:rsid w:val="00910222"/>
    <w:rsid w:val="009104BD"/>
    <w:rsid w:val="009110E5"/>
    <w:rsid w:val="00911224"/>
    <w:rsid w:val="00911435"/>
    <w:rsid w:val="00911670"/>
    <w:rsid w:val="00911A8A"/>
    <w:rsid w:val="00911D6B"/>
    <w:rsid w:val="00912267"/>
    <w:rsid w:val="009129F5"/>
    <w:rsid w:val="00912EBF"/>
    <w:rsid w:val="00912F85"/>
    <w:rsid w:val="0091327D"/>
    <w:rsid w:val="0091337C"/>
    <w:rsid w:val="00914112"/>
    <w:rsid w:val="0091454E"/>
    <w:rsid w:val="00914888"/>
    <w:rsid w:val="00914A2F"/>
    <w:rsid w:val="00914D9B"/>
    <w:rsid w:val="00914DA7"/>
    <w:rsid w:val="00914FE6"/>
    <w:rsid w:val="00915035"/>
    <w:rsid w:val="009153D8"/>
    <w:rsid w:val="009157DF"/>
    <w:rsid w:val="009159E7"/>
    <w:rsid w:val="00915F42"/>
    <w:rsid w:val="00916068"/>
    <w:rsid w:val="00916099"/>
    <w:rsid w:val="009160CE"/>
    <w:rsid w:val="00916430"/>
    <w:rsid w:val="00916881"/>
    <w:rsid w:val="00916F25"/>
    <w:rsid w:val="0091737C"/>
    <w:rsid w:val="00917B65"/>
    <w:rsid w:val="00920247"/>
    <w:rsid w:val="00920333"/>
    <w:rsid w:val="0092056F"/>
    <w:rsid w:val="00920835"/>
    <w:rsid w:val="00920AA6"/>
    <w:rsid w:val="00921CED"/>
    <w:rsid w:val="00922B4D"/>
    <w:rsid w:val="00924275"/>
    <w:rsid w:val="00924373"/>
    <w:rsid w:val="00924E40"/>
    <w:rsid w:val="00924F7E"/>
    <w:rsid w:val="0092533B"/>
    <w:rsid w:val="00925554"/>
    <w:rsid w:val="00925561"/>
    <w:rsid w:val="00925595"/>
    <w:rsid w:val="0092559F"/>
    <w:rsid w:val="0092564D"/>
    <w:rsid w:val="00925737"/>
    <w:rsid w:val="009258CB"/>
    <w:rsid w:val="0092593C"/>
    <w:rsid w:val="00925D3B"/>
    <w:rsid w:val="0092629F"/>
    <w:rsid w:val="009265E4"/>
    <w:rsid w:val="009265E9"/>
    <w:rsid w:val="009268F8"/>
    <w:rsid w:val="0092698B"/>
    <w:rsid w:val="00926DC4"/>
    <w:rsid w:val="00926EBB"/>
    <w:rsid w:val="0092720B"/>
    <w:rsid w:val="00927268"/>
    <w:rsid w:val="0092730A"/>
    <w:rsid w:val="00927C92"/>
    <w:rsid w:val="009303BE"/>
    <w:rsid w:val="00930C68"/>
    <w:rsid w:val="00930D4F"/>
    <w:rsid w:val="00930D61"/>
    <w:rsid w:val="00930FEF"/>
    <w:rsid w:val="009315C2"/>
    <w:rsid w:val="00931884"/>
    <w:rsid w:val="00931940"/>
    <w:rsid w:val="009320C0"/>
    <w:rsid w:val="0093213D"/>
    <w:rsid w:val="00933388"/>
    <w:rsid w:val="00933A76"/>
    <w:rsid w:val="00933ECD"/>
    <w:rsid w:val="00933F1D"/>
    <w:rsid w:val="00934321"/>
    <w:rsid w:val="00934429"/>
    <w:rsid w:val="00934E2F"/>
    <w:rsid w:val="009366C3"/>
    <w:rsid w:val="00936BAE"/>
    <w:rsid w:val="00937330"/>
    <w:rsid w:val="00937BD5"/>
    <w:rsid w:val="00937C4D"/>
    <w:rsid w:val="00937D63"/>
    <w:rsid w:val="009411F7"/>
    <w:rsid w:val="00941358"/>
    <w:rsid w:val="009414A3"/>
    <w:rsid w:val="00941A76"/>
    <w:rsid w:val="00941E33"/>
    <w:rsid w:val="009421D4"/>
    <w:rsid w:val="00942220"/>
    <w:rsid w:val="00942281"/>
    <w:rsid w:val="00942BEC"/>
    <w:rsid w:val="0094337F"/>
    <w:rsid w:val="00943682"/>
    <w:rsid w:val="00943CFE"/>
    <w:rsid w:val="00943D5C"/>
    <w:rsid w:val="00944391"/>
    <w:rsid w:val="00944846"/>
    <w:rsid w:val="00944B72"/>
    <w:rsid w:val="00945D49"/>
    <w:rsid w:val="00945EDA"/>
    <w:rsid w:val="00946288"/>
    <w:rsid w:val="009463D6"/>
    <w:rsid w:val="00946DE8"/>
    <w:rsid w:val="00947549"/>
    <w:rsid w:val="009475EE"/>
    <w:rsid w:val="0094782B"/>
    <w:rsid w:val="00947B8E"/>
    <w:rsid w:val="00947BBE"/>
    <w:rsid w:val="0095065E"/>
    <w:rsid w:val="009509CB"/>
    <w:rsid w:val="00950EA4"/>
    <w:rsid w:val="00950EE3"/>
    <w:rsid w:val="0095129E"/>
    <w:rsid w:val="00951793"/>
    <w:rsid w:val="00951B0E"/>
    <w:rsid w:val="00951FA1"/>
    <w:rsid w:val="00952135"/>
    <w:rsid w:val="0095223D"/>
    <w:rsid w:val="00952564"/>
    <w:rsid w:val="009525CF"/>
    <w:rsid w:val="00952703"/>
    <w:rsid w:val="009527CC"/>
    <w:rsid w:val="0095298B"/>
    <w:rsid w:val="00952BD1"/>
    <w:rsid w:val="00952FAF"/>
    <w:rsid w:val="00953578"/>
    <w:rsid w:val="009538F8"/>
    <w:rsid w:val="00953970"/>
    <w:rsid w:val="00953A5D"/>
    <w:rsid w:val="00953FFF"/>
    <w:rsid w:val="009551A8"/>
    <w:rsid w:val="00955391"/>
    <w:rsid w:val="00955459"/>
    <w:rsid w:val="00955694"/>
    <w:rsid w:val="00955795"/>
    <w:rsid w:val="009558CD"/>
    <w:rsid w:val="00955B30"/>
    <w:rsid w:val="00955B4B"/>
    <w:rsid w:val="00955E6B"/>
    <w:rsid w:val="009565DF"/>
    <w:rsid w:val="00956A81"/>
    <w:rsid w:val="00956C51"/>
    <w:rsid w:val="00957F30"/>
    <w:rsid w:val="00957F56"/>
    <w:rsid w:val="009608E4"/>
    <w:rsid w:val="00960B10"/>
    <w:rsid w:val="00960DAE"/>
    <w:rsid w:val="0096195A"/>
    <w:rsid w:val="00961BBA"/>
    <w:rsid w:val="00962B9B"/>
    <w:rsid w:val="00962FB8"/>
    <w:rsid w:val="0096391E"/>
    <w:rsid w:val="00963EBC"/>
    <w:rsid w:val="00963FC1"/>
    <w:rsid w:val="00964333"/>
    <w:rsid w:val="009643C5"/>
    <w:rsid w:val="00964414"/>
    <w:rsid w:val="0096473B"/>
    <w:rsid w:val="00964C3B"/>
    <w:rsid w:val="00964D7F"/>
    <w:rsid w:val="00964E92"/>
    <w:rsid w:val="00964EA1"/>
    <w:rsid w:val="00964F30"/>
    <w:rsid w:val="00965CD7"/>
    <w:rsid w:val="00965D7D"/>
    <w:rsid w:val="009662B3"/>
    <w:rsid w:val="009669F0"/>
    <w:rsid w:val="00966ABA"/>
    <w:rsid w:val="00967706"/>
    <w:rsid w:val="009677C2"/>
    <w:rsid w:val="00967AF7"/>
    <w:rsid w:val="00967C5E"/>
    <w:rsid w:val="0097008A"/>
    <w:rsid w:val="00970216"/>
    <w:rsid w:val="0097098F"/>
    <w:rsid w:val="00970D17"/>
    <w:rsid w:val="00970D5C"/>
    <w:rsid w:val="009711E9"/>
    <w:rsid w:val="009711EF"/>
    <w:rsid w:val="009713F1"/>
    <w:rsid w:val="00971601"/>
    <w:rsid w:val="00971AC2"/>
    <w:rsid w:val="0097218A"/>
    <w:rsid w:val="00972411"/>
    <w:rsid w:val="00972C97"/>
    <w:rsid w:val="009730CB"/>
    <w:rsid w:val="009735F0"/>
    <w:rsid w:val="00973A2D"/>
    <w:rsid w:val="00973D8C"/>
    <w:rsid w:val="009740FA"/>
    <w:rsid w:val="00974856"/>
    <w:rsid w:val="009749A2"/>
    <w:rsid w:val="00974CF6"/>
    <w:rsid w:val="00974F1F"/>
    <w:rsid w:val="00974F6C"/>
    <w:rsid w:val="00974FFA"/>
    <w:rsid w:val="00975436"/>
    <w:rsid w:val="00975770"/>
    <w:rsid w:val="00976052"/>
    <w:rsid w:val="00976541"/>
    <w:rsid w:val="00977722"/>
    <w:rsid w:val="009777E4"/>
    <w:rsid w:val="00977C55"/>
    <w:rsid w:val="009801B7"/>
    <w:rsid w:val="00980389"/>
    <w:rsid w:val="0098072E"/>
    <w:rsid w:val="009818B4"/>
    <w:rsid w:val="00981F27"/>
    <w:rsid w:val="009822D2"/>
    <w:rsid w:val="009829A8"/>
    <w:rsid w:val="0098375E"/>
    <w:rsid w:val="0098386C"/>
    <w:rsid w:val="00983D34"/>
    <w:rsid w:val="00983EDA"/>
    <w:rsid w:val="00984021"/>
    <w:rsid w:val="009843B1"/>
    <w:rsid w:val="00984686"/>
    <w:rsid w:val="00984BA4"/>
    <w:rsid w:val="00984BAE"/>
    <w:rsid w:val="00984DB6"/>
    <w:rsid w:val="00984E7A"/>
    <w:rsid w:val="0098553D"/>
    <w:rsid w:val="0098573A"/>
    <w:rsid w:val="009859F2"/>
    <w:rsid w:val="00985A2B"/>
    <w:rsid w:val="00985A3D"/>
    <w:rsid w:val="00985DCC"/>
    <w:rsid w:val="00985F63"/>
    <w:rsid w:val="00986280"/>
    <w:rsid w:val="00986296"/>
    <w:rsid w:val="00986491"/>
    <w:rsid w:val="009865D2"/>
    <w:rsid w:val="00986A32"/>
    <w:rsid w:val="00986BE5"/>
    <w:rsid w:val="00987457"/>
    <w:rsid w:val="00987580"/>
    <w:rsid w:val="00987EA4"/>
    <w:rsid w:val="009901A9"/>
    <w:rsid w:val="0099154F"/>
    <w:rsid w:val="00991A75"/>
    <w:rsid w:val="00991F9A"/>
    <w:rsid w:val="009921EB"/>
    <w:rsid w:val="009931FE"/>
    <w:rsid w:val="0099334D"/>
    <w:rsid w:val="0099336A"/>
    <w:rsid w:val="0099361B"/>
    <w:rsid w:val="009945E3"/>
    <w:rsid w:val="00994866"/>
    <w:rsid w:val="009948D6"/>
    <w:rsid w:val="00994A22"/>
    <w:rsid w:val="00994E48"/>
    <w:rsid w:val="00994F30"/>
    <w:rsid w:val="00995170"/>
    <w:rsid w:val="00995C26"/>
    <w:rsid w:val="00996A90"/>
    <w:rsid w:val="00996AB7"/>
    <w:rsid w:val="00996FE4"/>
    <w:rsid w:val="0099739B"/>
    <w:rsid w:val="00997580"/>
    <w:rsid w:val="00997C03"/>
    <w:rsid w:val="00997FDB"/>
    <w:rsid w:val="009A013B"/>
    <w:rsid w:val="009A045F"/>
    <w:rsid w:val="009A0551"/>
    <w:rsid w:val="009A076F"/>
    <w:rsid w:val="009A0DFB"/>
    <w:rsid w:val="009A2549"/>
    <w:rsid w:val="009A2A4E"/>
    <w:rsid w:val="009A3079"/>
    <w:rsid w:val="009A3409"/>
    <w:rsid w:val="009A35D8"/>
    <w:rsid w:val="009A41F6"/>
    <w:rsid w:val="009A4532"/>
    <w:rsid w:val="009A46B7"/>
    <w:rsid w:val="009A4994"/>
    <w:rsid w:val="009A4C19"/>
    <w:rsid w:val="009A4EFC"/>
    <w:rsid w:val="009A4F71"/>
    <w:rsid w:val="009A510C"/>
    <w:rsid w:val="009A57D2"/>
    <w:rsid w:val="009A5C81"/>
    <w:rsid w:val="009A5EB9"/>
    <w:rsid w:val="009A5EC8"/>
    <w:rsid w:val="009A6C4E"/>
    <w:rsid w:val="009A76AA"/>
    <w:rsid w:val="009A76BC"/>
    <w:rsid w:val="009A7CA3"/>
    <w:rsid w:val="009A7E8D"/>
    <w:rsid w:val="009B01E4"/>
    <w:rsid w:val="009B0612"/>
    <w:rsid w:val="009B078E"/>
    <w:rsid w:val="009B0C8A"/>
    <w:rsid w:val="009B0CAD"/>
    <w:rsid w:val="009B0CBB"/>
    <w:rsid w:val="009B11AF"/>
    <w:rsid w:val="009B192D"/>
    <w:rsid w:val="009B19F9"/>
    <w:rsid w:val="009B20A1"/>
    <w:rsid w:val="009B2526"/>
    <w:rsid w:val="009B2711"/>
    <w:rsid w:val="009B274A"/>
    <w:rsid w:val="009B2D36"/>
    <w:rsid w:val="009B2E97"/>
    <w:rsid w:val="009B3288"/>
    <w:rsid w:val="009B32BB"/>
    <w:rsid w:val="009B3448"/>
    <w:rsid w:val="009B352E"/>
    <w:rsid w:val="009B3A15"/>
    <w:rsid w:val="009B3F2E"/>
    <w:rsid w:val="009B46C6"/>
    <w:rsid w:val="009B4ADB"/>
    <w:rsid w:val="009B4FE9"/>
    <w:rsid w:val="009B5A1F"/>
    <w:rsid w:val="009B5ACA"/>
    <w:rsid w:val="009B5CFB"/>
    <w:rsid w:val="009B64F8"/>
    <w:rsid w:val="009B6716"/>
    <w:rsid w:val="009B675E"/>
    <w:rsid w:val="009B6896"/>
    <w:rsid w:val="009B6B81"/>
    <w:rsid w:val="009B6C88"/>
    <w:rsid w:val="009B6CFF"/>
    <w:rsid w:val="009B6DCE"/>
    <w:rsid w:val="009B6FAF"/>
    <w:rsid w:val="009B720C"/>
    <w:rsid w:val="009B7213"/>
    <w:rsid w:val="009B746A"/>
    <w:rsid w:val="009B792A"/>
    <w:rsid w:val="009B7A11"/>
    <w:rsid w:val="009B7A58"/>
    <w:rsid w:val="009B7D0D"/>
    <w:rsid w:val="009B7D58"/>
    <w:rsid w:val="009C021A"/>
    <w:rsid w:val="009C04A4"/>
    <w:rsid w:val="009C09FF"/>
    <w:rsid w:val="009C0A92"/>
    <w:rsid w:val="009C0B95"/>
    <w:rsid w:val="009C0F57"/>
    <w:rsid w:val="009C0FE0"/>
    <w:rsid w:val="009C1925"/>
    <w:rsid w:val="009C1997"/>
    <w:rsid w:val="009C199E"/>
    <w:rsid w:val="009C1A83"/>
    <w:rsid w:val="009C20F6"/>
    <w:rsid w:val="009C2A77"/>
    <w:rsid w:val="009C33A8"/>
    <w:rsid w:val="009C3625"/>
    <w:rsid w:val="009C38C7"/>
    <w:rsid w:val="009C3EFD"/>
    <w:rsid w:val="009C4364"/>
    <w:rsid w:val="009C4681"/>
    <w:rsid w:val="009C46F1"/>
    <w:rsid w:val="009C54C2"/>
    <w:rsid w:val="009C550B"/>
    <w:rsid w:val="009C5766"/>
    <w:rsid w:val="009C5BD6"/>
    <w:rsid w:val="009C6033"/>
    <w:rsid w:val="009C6057"/>
    <w:rsid w:val="009C66FA"/>
    <w:rsid w:val="009C702A"/>
    <w:rsid w:val="009C78F4"/>
    <w:rsid w:val="009C7A04"/>
    <w:rsid w:val="009D1220"/>
    <w:rsid w:val="009D14FA"/>
    <w:rsid w:val="009D17F9"/>
    <w:rsid w:val="009D1AF1"/>
    <w:rsid w:val="009D20AC"/>
    <w:rsid w:val="009D2A07"/>
    <w:rsid w:val="009D3290"/>
    <w:rsid w:val="009D33C5"/>
    <w:rsid w:val="009D41BF"/>
    <w:rsid w:val="009D42C4"/>
    <w:rsid w:val="009D435B"/>
    <w:rsid w:val="009D4AAB"/>
    <w:rsid w:val="009D4E89"/>
    <w:rsid w:val="009D5310"/>
    <w:rsid w:val="009D55EA"/>
    <w:rsid w:val="009D57F2"/>
    <w:rsid w:val="009D58CF"/>
    <w:rsid w:val="009D5939"/>
    <w:rsid w:val="009D5ADF"/>
    <w:rsid w:val="009D623D"/>
    <w:rsid w:val="009D636E"/>
    <w:rsid w:val="009D63D8"/>
    <w:rsid w:val="009D659E"/>
    <w:rsid w:val="009D661E"/>
    <w:rsid w:val="009D66F0"/>
    <w:rsid w:val="009D7333"/>
    <w:rsid w:val="009D7780"/>
    <w:rsid w:val="009E0B5D"/>
    <w:rsid w:val="009E0D01"/>
    <w:rsid w:val="009E0F4D"/>
    <w:rsid w:val="009E19BF"/>
    <w:rsid w:val="009E1A29"/>
    <w:rsid w:val="009E2205"/>
    <w:rsid w:val="009E28E9"/>
    <w:rsid w:val="009E2B2D"/>
    <w:rsid w:val="009E2D69"/>
    <w:rsid w:val="009E31B6"/>
    <w:rsid w:val="009E3AC2"/>
    <w:rsid w:val="009E3D86"/>
    <w:rsid w:val="009E422A"/>
    <w:rsid w:val="009E435C"/>
    <w:rsid w:val="009E43F0"/>
    <w:rsid w:val="009E47ED"/>
    <w:rsid w:val="009E4E83"/>
    <w:rsid w:val="009E5010"/>
    <w:rsid w:val="009E57DC"/>
    <w:rsid w:val="009E5843"/>
    <w:rsid w:val="009E5A04"/>
    <w:rsid w:val="009E5D26"/>
    <w:rsid w:val="009E5D62"/>
    <w:rsid w:val="009E6174"/>
    <w:rsid w:val="009E65C4"/>
    <w:rsid w:val="009E690E"/>
    <w:rsid w:val="009E7235"/>
    <w:rsid w:val="009E76CF"/>
    <w:rsid w:val="009E7745"/>
    <w:rsid w:val="009F00AD"/>
    <w:rsid w:val="009F1075"/>
    <w:rsid w:val="009F10D0"/>
    <w:rsid w:val="009F123E"/>
    <w:rsid w:val="009F163E"/>
    <w:rsid w:val="009F191D"/>
    <w:rsid w:val="009F19D4"/>
    <w:rsid w:val="009F1CDC"/>
    <w:rsid w:val="009F1CF4"/>
    <w:rsid w:val="009F209A"/>
    <w:rsid w:val="009F2189"/>
    <w:rsid w:val="009F2815"/>
    <w:rsid w:val="009F2BB5"/>
    <w:rsid w:val="009F36B6"/>
    <w:rsid w:val="009F38B3"/>
    <w:rsid w:val="009F3EAA"/>
    <w:rsid w:val="009F42B8"/>
    <w:rsid w:val="009F4469"/>
    <w:rsid w:val="009F473C"/>
    <w:rsid w:val="009F4963"/>
    <w:rsid w:val="009F4996"/>
    <w:rsid w:val="009F4D2D"/>
    <w:rsid w:val="009F504A"/>
    <w:rsid w:val="009F5C34"/>
    <w:rsid w:val="009F5F71"/>
    <w:rsid w:val="009F6001"/>
    <w:rsid w:val="009F6090"/>
    <w:rsid w:val="009F6375"/>
    <w:rsid w:val="009F6569"/>
    <w:rsid w:val="009F755C"/>
    <w:rsid w:val="009F7686"/>
    <w:rsid w:val="009F7778"/>
    <w:rsid w:val="009F7E05"/>
    <w:rsid w:val="00A00627"/>
    <w:rsid w:val="00A00E5F"/>
    <w:rsid w:val="00A01B6A"/>
    <w:rsid w:val="00A02230"/>
    <w:rsid w:val="00A0227B"/>
    <w:rsid w:val="00A0282F"/>
    <w:rsid w:val="00A04BCB"/>
    <w:rsid w:val="00A04BD5"/>
    <w:rsid w:val="00A04F2A"/>
    <w:rsid w:val="00A0594A"/>
    <w:rsid w:val="00A05B87"/>
    <w:rsid w:val="00A064EE"/>
    <w:rsid w:val="00A06663"/>
    <w:rsid w:val="00A06A67"/>
    <w:rsid w:val="00A06BC2"/>
    <w:rsid w:val="00A0736B"/>
    <w:rsid w:val="00A07433"/>
    <w:rsid w:val="00A07A42"/>
    <w:rsid w:val="00A07F12"/>
    <w:rsid w:val="00A104CB"/>
    <w:rsid w:val="00A1087B"/>
    <w:rsid w:val="00A10B4D"/>
    <w:rsid w:val="00A10BC6"/>
    <w:rsid w:val="00A110B1"/>
    <w:rsid w:val="00A11125"/>
    <w:rsid w:val="00A11CEE"/>
    <w:rsid w:val="00A11D9B"/>
    <w:rsid w:val="00A11DD6"/>
    <w:rsid w:val="00A1289E"/>
    <w:rsid w:val="00A12D6B"/>
    <w:rsid w:val="00A135C4"/>
    <w:rsid w:val="00A13892"/>
    <w:rsid w:val="00A13F91"/>
    <w:rsid w:val="00A15002"/>
    <w:rsid w:val="00A15561"/>
    <w:rsid w:val="00A163B0"/>
    <w:rsid w:val="00A16469"/>
    <w:rsid w:val="00A17404"/>
    <w:rsid w:val="00A20E39"/>
    <w:rsid w:val="00A21731"/>
    <w:rsid w:val="00A21883"/>
    <w:rsid w:val="00A21A4E"/>
    <w:rsid w:val="00A21ADE"/>
    <w:rsid w:val="00A21D89"/>
    <w:rsid w:val="00A21ECA"/>
    <w:rsid w:val="00A22374"/>
    <w:rsid w:val="00A22A5B"/>
    <w:rsid w:val="00A235AF"/>
    <w:rsid w:val="00A23A6D"/>
    <w:rsid w:val="00A24497"/>
    <w:rsid w:val="00A24F1D"/>
    <w:rsid w:val="00A25132"/>
    <w:rsid w:val="00A2531B"/>
    <w:rsid w:val="00A25564"/>
    <w:rsid w:val="00A26308"/>
    <w:rsid w:val="00A26DEC"/>
    <w:rsid w:val="00A27119"/>
    <w:rsid w:val="00A30AB2"/>
    <w:rsid w:val="00A30DFA"/>
    <w:rsid w:val="00A31132"/>
    <w:rsid w:val="00A3173A"/>
    <w:rsid w:val="00A31AB7"/>
    <w:rsid w:val="00A32273"/>
    <w:rsid w:val="00A32960"/>
    <w:rsid w:val="00A32F2B"/>
    <w:rsid w:val="00A3314F"/>
    <w:rsid w:val="00A33354"/>
    <w:rsid w:val="00A33D26"/>
    <w:rsid w:val="00A34287"/>
    <w:rsid w:val="00A344F6"/>
    <w:rsid w:val="00A34925"/>
    <w:rsid w:val="00A34C24"/>
    <w:rsid w:val="00A35320"/>
    <w:rsid w:val="00A35746"/>
    <w:rsid w:val="00A35759"/>
    <w:rsid w:val="00A3585E"/>
    <w:rsid w:val="00A3591E"/>
    <w:rsid w:val="00A35996"/>
    <w:rsid w:val="00A35D13"/>
    <w:rsid w:val="00A35E5F"/>
    <w:rsid w:val="00A36139"/>
    <w:rsid w:val="00A363D3"/>
    <w:rsid w:val="00A364B5"/>
    <w:rsid w:val="00A36749"/>
    <w:rsid w:val="00A36760"/>
    <w:rsid w:val="00A370F7"/>
    <w:rsid w:val="00A3712A"/>
    <w:rsid w:val="00A37414"/>
    <w:rsid w:val="00A378DB"/>
    <w:rsid w:val="00A379DD"/>
    <w:rsid w:val="00A4038E"/>
    <w:rsid w:val="00A405B6"/>
    <w:rsid w:val="00A40C93"/>
    <w:rsid w:val="00A40ECD"/>
    <w:rsid w:val="00A4107A"/>
    <w:rsid w:val="00A412E8"/>
    <w:rsid w:val="00A41735"/>
    <w:rsid w:val="00A41C83"/>
    <w:rsid w:val="00A41E6F"/>
    <w:rsid w:val="00A41E73"/>
    <w:rsid w:val="00A41FEA"/>
    <w:rsid w:val="00A4204C"/>
    <w:rsid w:val="00A42168"/>
    <w:rsid w:val="00A422B7"/>
    <w:rsid w:val="00A4262F"/>
    <w:rsid w:val="00A42B9C"/>
    <w:rsid w:val="00A42BCF"/>
    <w:rsid w:val="00A42CDA"/>
    <w:rsid w:val="00A42F0D"/>
    <w:rsid w:val="00A432C1"/>
    <w:rsid w:val="00A435FE"/>
    <w:rsid w:val="00A43722"/>
    <w:rsid w:val="00A4374B"/>
    <w:rsid w:val="00A43B38"/>
    <w:rsid w:val="00A4443B"/>
    <w:rsid w:val="00A444F9"/>
    <w:rsid w:val="00A44697"/>
    <w:rsid w:val="00A44999"/>
    <w:rsid w:val="00A44D4F"/>
    <w:rsid w:val="00A454F4"/>
    <w:rsid w:val="00A45A7E"/>
    <w:rsid w:val="00A45BD5"/>
    <w:rsid w:val="00A46511"/>
    <w:rsid w:val="00A465EA"/>
    <w:rsid w:val="00A46642"/>
    <w:rsid w:val="00A469AE"/>
    <w:rsid w:val="00A46D61"/>
    <w:rsid w:val="00A473A4"/>
    <w:rsid w:val="00A503BD"/>
    <w:rsid w:val="00A50676"/>
    <w:rsid w:val="00A50F01"/>
    <w:rsid w:val="00A51C1A"/>
    <w:rsid w:val="00A51F15"/>
    <w:rsid w:val="00A5207B"/>
    <w:rsid w:val="00A522C3"/>
    <w:rsid w:val="00A52BDA"/>
    <w:rsid w:val="00A52D99"/>
    <w:rsid w:val="00A52F41"/>
    <w:rsid w:val="00A53399"/>
    <w:rsid w:val="00A53495"/>
    <w:rsid w:val="00A534D3"/>
    <w:rsid w:val="00A53574"/>
    <w:rsid w:val="00A535E2"/>
    <w:rsid w:val="00A5409D"/>
    <w:rsid w:val="00A54509"/>
    <w:rsid w:val="00A546C5"/>
    <w:rsid w:val="00A54C14"/>
    <w:rsid w:val="00A556B9"/>
    <w:rsid w:val="00A55B2F"/>
    <w:rsid w:val="00A56446"/>
    <w:rsid w:val="00A56531"/>
    <w:rsid w:val="00A5693C"/>
    <w:rsid w:val="00A5717C"/>
    <w:rsid w:val="00A57788"/>
    <w:rsid w:val="00A579EE"/>
    <w:rsid w:val="00A57A44"/>
    <w:rsid w:val="00A57D69"/>
    <w:rsid w:val="00A60E7C"/>
    <w:rsid w:val="00A610E7"/>
    <w:rsid w:val="00A61676"/>
    <w:rsid w:val="00A61688"/>
    <w:rsid w:val="00A61C2F"/>
    <w:rsid w:val="00A621CC"/>
    <w:rsid w:val="00A62279"/>
    <w:rsid w:val="00A631E7"/>
    <w:rsid w:val="00A63340"/>
    <w:rsid w:val="00A63CC4"/>
    <w:rsid w:val="00A63F8B"/>
    <w:rsid w:val="00A64035"/>
    <w:rsid w:val="00A641BE"/>
    <w:rsid w:val="00A642E7"/>
    <w:rsid w:val="00A64B68"/>
    <w:rsid w:val="00A658BD"/>
    <w:rsid w:val="00A65FAC"/>
    <w:rsid w:val="00A661CC"/>
    <w:rsid w:val="00A666BB"/>
    <w:rsid w:val="00A66E92"/>
    <w:rsid w:val="00A66EB0"/>
    <w:rsid w:val="00A66F9A"/>
    <w:rsid w:val="00A67258"/>
    <w:rsid w:val="00A6759B"/>
    <w:rsid w:val="00A67856"/>
    <w:rsid w:val="00A67F07"/>
    <w:rsid w:val="00A700D1"/>
    <w:rsid w:val="00A70479"/>
    <w:rsid w:val="00A707EC"/>
    <w:rsid w:val="00A70BF8"/>
    <w:rsid w:val="00A71229"/>
    <w:rsid w:val="00A716AA"/>
    <w:rsid w:val="00A720B2"/>
    <w:rsid w:val="00A7283E"/>
    <w:rsid w:val="00A73D2D"/>
    <w:rsid w:val="00A73EB1"/>
    <w:rsid w:val="00A74565"/>
    <w:rsid w:val="00A74D70"/>
    <w:rsid w:val="00A75185"/>
    <w:rsid w:val="00A753E9"/>
    <w:rsid w:val="00A75C56"/>
    <w:rsid w:val="00A75DBA"/>
    <w:rsid w:val="00A7604E"/>
    <w:rsid w:val="00A762BC"/>
    <w:rsid w:val="00A7708D"/>
    <w:rsid w:val="00A77441"/>
    <w:rsid w:val="00A774D3"/>
    <w:rsid w:val="00A77749"/>
    <w:rsid w:val="00A80371"/>
    <w:rsid w:val="00A80668"/>
    <w:rsid w:val="00A8088F"/>
    <w:rsid w:val="00A80BB4"/>
    <w:rsid w:val="00A81516"/>
    <w:rsid w:val="00A81623"/>
    <w:rsid w:val="00A81A29"/>
    <w:rsid w:val="00A81A71"/>
    <w:rsid w:val="00A81AD8"/>
    <w:rsid w:val="00A81AF2"/>
    <w:rsid w:val="00A82594"/>
    <w:rsid w:val="00A82890"/>
    <w:rsid w:val="00A82DCD"/>
    <w:rsid w:val="00A83138"/>
    <w:rsid w:val="00A836BB"/>
    <w:rsid w:val="00A83A9A"/>
    <w:rsid w:val="00A84CD0"/>
    <w:rsid w:val="00A84FDA"/>
    <w:rsid w:val="00A85CCE"/>
    <w:rsid w:val="00A86231"/>
    <w:rsid w:val="00A86523"/>
    <w:rsid w:val="00A86623"/>
    <w:rsid w:val="00A86718"/>
    <w:rsid w:val="00A8770C"/>
    <w:rsid w:val="00A87868"/>
    <w:rsid w:val="00A90BF8"/>
    <w:rsid w:val="00A90DD3"/>
    <w:rsid w:val="00A90FF2"/>
    <w:rsid w:val="00A9136A"/>
    <w:rsid w:val="00A91800"/>
    <w:rsid w:val="00A91E66"/>
    <w:rsid w:val="00A923A6"/>
    <w:rsid w:val="00A92915"/>
    <w:rsid w:val="00A929A0"/>
    <w:rsid w:val="00A929BC"/>
    <w:rsid w:val="00A92B07"/>
    <w:rsid w:val="00A92BE2"/>
    <w:rsid w:val="00A93C28"/>
    <w:rsid w:val="00A94197"/>
    <w:rsid w:val="00A94238"/>
    <w:rsid w:val="00A94471"/>
    <w:rsid w:val="00A94547"/>
    <w:rsid w:val="00A94FE8"/>
    <w:rsid w:val="00A959C7"/>
    <w:rsid w:val="00A965E5"/>
    <w:rsid w:val="00A967D6"/>
    <w:rsid w:val="00A96B73"/>
    <w:rsid w:val="00A971EA"/>
    <w:rsid w:val="00A97449"/>
    <w:rsid w:val="00AA0329"/>
    <w:rsid w:val="00AA0840"/>
    <w:rsid w:val="00AA0882"/>
    <w:rsid w:val="00AA0884"/>
    <w:rsid w:val="00AA0D37"/>
    <w:rsid w:val="00AA1093"/>
    <w:rsid w:val="00AA10D8"/>
    <w:rsid w:val="00AA167E"/>
    <w:rsid w:val="00AA180C"/>
    <w:rsid w:val="00AA1B81"/>
    <w:rsid w:val="00AA1B85"/>
    <w:rsid w:val="00AA1F58"/>
    <w:rsid w:val="00AA2A16"/>
    <w:rsid w:val="00AA2B59"/>
    <w:rsid w:val="00AA2C0E"/>
    <w:rsid w:val="00AA2E89"/>
    <w:rsid w:val="00AA3101"/>
    <w:rsid w:val="00AA316F"/>
    <w:rsid w:val="00AA347D"/>
    <w:rsid w:val="00AA3936"/>
    <w:rsid w:val="00AA39C7"/>
    <w:rsid w:val="00AA3AC4"/>
    <w:rsid w:val="00AA459F"/>
    <w:rsid w:val="00AA54B5"/>
    <w:rsid w:val="00AA6B32"/>
    <w:rsid w:val="00AA6DC3"/>
    <w:rsid w:val="00AA7536"/>
    <w:rsid w:val="00AA7813"/>
    <w:rsid w:val="00AA7C80"/>
    <w:rsid w:val="00AA7D34"/>
    <w:rsid w:val="00AA7FA6"/>
    <w:rsid w:val="00AB00E9"/>
    <w:rsid w:val="00AB08BF"/>
    <w:rsid w:val="00AB0F24"/>
    <w:rsid w:val="00AB19F6"/>
    <w:rsid w:val="00AB1D09"/>
    <w:rsid w:val="00AB1E21"/>
    <w:rsid w:val="00AB2097"/>
    <w:rsid w:val="00AB20A5"/>
    <w:rsid w:val="00AB2315"/>
    <w:rsid w:val="00AB23B9"/>
    <w:rsid w:val="00AB26F2"/>
    <w:rsid w:val="00AB2BBF"/>
    <w:rsid w:val="00AB3396"/>
    <w:rsid w:val="00AB3507"/>
    <w:rsid w:val="00AB3C73"/>
    <w:rsid w:val="00AB4254"/>
    <w:rsid w:val="00AB5A20"/>
    <w:rsid w:val="00AB5B2A"/>
    <w:rsid w:val="00AB68B8"/>
    <w:rsid w:val="00AB6F1C"/>
    <w:rsid w:val="00AB747F"/>
    <w:rsid w:val="00AB7DB2"/>
    <w:rsid w:val="00AB7E7B"/>
    <w:rsid w:val="00AB7FEB"/>
    <w:rsid w:val="00AC15E2"/>
    <w:rsid w:val="00AC17CE"/>
    <w:rsid w:val="00AC184C"/>
    <w:rsid w:val="00AC19C0"/>
    <w:rsid w:val="00AC1B0D"/>
    <w:rsid w:val="00AC1B86"/>
    <w:rsid w:val="00AC1C5A"/>
    <w:rsid w:val="00AC1C91"/>
    <w:rsid w:val="00AC1EBA"/>
    <w:rsid w:val="00AC218B"/>
    <w:rsid w:val="00AC2E28"/>
    <w:rsid w:val="00AC322A"/>
    <w:rsid w:val="00AC3AA1"/>
    <w:rsid w:val="00AC3B1A"/>
    <w:rsid w:val="00AC3F01"/>
    <w:rsid w:val="00AC3F4E"/>
    <w:rsid w:val="00AC44E0"/>
    <w:rsid w:val="00AC452F"/>
    <w:rsid w:val="00AC4C4F"/>
    <w:rsid w:val="00AC5A4F"/>
    <w:rsid w:val="00AC5A98"/>
    <w:rsid w:val="00AC6DEE"/>
    <w:rsid w:val="00AC7324"/>
    <w:rsid w:val="00AC741A"/>
    <w:rsid w:val="00AC7F7D"/>
    <w:rsid w:val="00AD04A4"/>
    <w:rsid w:val="00AD0539"/>
    <w:rsid w:val="00AD091E"/>
    <w:rsid w:val="00AD1295"/>
    <w:rsid w:val="00AD14D9"/>
    <w:rsid w:val="00AD1841"/>
    <w:rsid w:val="00AD1D15"/>
    <w:rsid w:val="00AD20B8"/>
    <w:rsid w:val="00AD20F4"/>
    <w:rsid w:val="00AD21FB"/>
    <w:rsid w:val="00AD2565"/>
    <w:rsid w:val="00AD2693"/>
    <w:rsid w:val="00AD2845"/>
    <w:rsid w:val="00AD2D90"/>
    <w:rsid w:val="00AD2EBC"/>
    <w:rsid w:val="00AD3221"/>
    <w:rsid w:val="00AD385B"/>
    <w:rsid w:val="00AD387D"/>
    <w:rsid w:val="00AD3BEF"/>
    <w:rsid w:val="00AD3D1F"/>
    <w:rsid w:val="00AD4AE8"/>
    <w:rsid w:val="00AD4D42"/>
    <w:rsid w:val="00AD5A5C"/>
    <w:rsid w:val="00AD5A81"/>
    <w:rsid w:val="00AD61AE"/>
    <w:rsid w:val="00AD65E1"/>
    <w:rsid w:val="00AD67BF"/>
    <w:rsid w:val="00AD6AD2"/>
    <w:rsid w:val="00AD6E16"/>
    <w:rsid w:val="00AD6FFC"/>
    <w:rsid w:val="00AD73F5"/>
    <w:rsid w:val="00AD7C3E"/>
    <w:rsid w:val="00AE02EC"/>
    <w:rsid w:val="00AE03B5"/>
    <w:rsid w:val="00AE0966"/>
    <w:rsid w:val="00AE18F7"/>
    <w:rsid w:val="00AE1DF1"/>
    <w:rsid w:val="00AE27DD"/>
    <w:rsid w:val="00AE2C4E"/>
    <w:rsid w:val="00AE2EC5"/>
    <w:rsid w:val="00AE339A"/>
    <w:rsid w:val="00AE3487"/>
    <w:rsid w:val="00AE3A80"/>
    <w:rsid w:val="00AE3ABC"/>
    <w:rsid w:val="00AE3B15"/>
    <w:rsid w:val="00AE447D"/>
    <w:rsid w:val="00AE46F2"/>
    <w:rsid w:val="00AE47A5"/>
    <w:rsid w:val="00AE511D"/>
    <w:rsid w:val="00AE51C9"/>
    <w:rsid w:val="00AE52C7"/>
    <w:rsid w:val="00AE553C"/>
    <w:rsid w:val="00AE57EB"/>
    <w:rsid w:val="00AE57F0"/>
    <w:rsid w:val="00AE5BD0"/>
    <w:rsid w:val="00AE5FB8"/>
    <w:rsid w:val="00AE6460"/>
    <w:rsid w:val="00AE70F0"/>
    <w:rsid w:val="00AE7433"/>
    <w:rsid w:val="00AE7689"/>
    <w:rsid w:val="00AF0668"/>
    <w:rsid w:val="00AF1306"/>
    <w:rsid w:val="00AF16F5"/>
    <w:rsid w:val="00AF2332"/>
    <w:rsid w:val="00AF2AC7"/>
    <w:rsid w:val="00AF3425"/>
    <w:rsid w:val="00AF3770"/>
    <w:rsid w:val="00AF4631"/>
    <w:rsid w:val="00AF4822"/>
    <w:rsid w:val="00AF490B"/>
    <w:rsid w:val="00AF4C1E"/>
    <w:rsid w:val="00AF4CC7"/>
    <w:rsid w:val="00AF4EE3"/>
    <w:rsid w:val="00AF50B2"/>
    <w:rsid w:val="00AF52C1"/>
    <w:rsid w:val="00AF555B"/>
    <w:rsid w:val="00AF56ED"/>
    <w:rsid w:val="00AF6065"/>
    <w:rsid w:val="00AF654E"/>
    <w:rsid w:val="00AF65E3"/>
    <w:rsid w:val="00AF6637"/>
    <w:rsid w:val="00AF6754"/>
    <w:rsid w:val="00AF67EF"/>
    <w:rsid w:val="00AF6A84"/>
    <w:rsid w:val="00AF7112"/>
    <w:rsid w:val="00AF753C"/>
    <w:rsid w:val="00AF7654"/>
    <w:rsid w:val="00AF7D0E"/>
    <w:rsid w:val="00B00376"/>
    <w:rsid w:val="00B003E5"/>
    <w:rsid w:val="00B0083A"/>
    <w:rsid w:val="00B01030"/>
    <w:rsid w:val="00B04680"/>
    <w:rsid w:val="00B049AD"/>
    <w:rsid w:val="00B04A95"/>
    <w:rsid w:val="00B050B9"/>
    <w:rsid w:val="00B052D3"/>
    <w:rsid w:val="00B05470"/>
    <w:rsid w:val="00B05D55"/>
    <w:rsid w:val="00B060A3"/>
    <w:rsid w:val="00B06C2B"/>
    <w:rsid w:val="00B06C59"/>
    <w:rsid w:val="00B06E1E"/>
    <w:rsid w:val="00B07069"/>
    <w:rsid w:val="00B0711D"/>
    <w:rsid w:val="00B07222"/>
    <w:rsid w:val="00B07389"/>
    <w:rsid w:val="00B073BE"/>
    <w:rsid w:val="00B0747E"/>
    <w:rsid w:val="00B077BA"/>
    <w:rsid w:val="00B079A2"/>
    <w:rsid w:val="00B07AB2"/>
    <w:rsid w:val="00B07C7B"/>
    <w:rsid w:val="00B07D43"/>
    <w:rsid w:val="00B07F04"/>
    <w:rsid w:val="00B1042D"/>
    <w:rsid w:val="00B105AC"/>
    <w:rsid w:val="00B10C07"/>
    <w:rsid w:val="00B11042"/>
    <w:rsid w:val="00B114F4"/>
    <w:rsid w:val="00B11E84"/>
    <w:rsid w:val="00B11F21"/>
    <w:rsid w:val="00B12C03"/>
    <w:rsid w:val="00B12E06"/>
    <w:rsid w:val="00B134FA"/>
    <w:rsid w:val="00B137B2"/>
    <w:rsid w:val="00B13F10"/>
    <w:rsid w:val="00B13FD0"/>
    <w:rsid w:val="00B14360"/>
    <w:rsid w:val="00B1460B"/>
    <w:rsid w:val="00B1563E"/>
    <w:rsid w:val="00B1571C"/>
    <w:rsid w:val="00B159D7"/>
    <w:rsid w:val="00B160DC"/>
    <w:rsid w:val="00B16402"/>
    <w:rsid w:val="00B164D6"/>
    <w:rsid w:val="00B16ACE"/>
    <w:rsid w:val="00B16FF9"/>
    <w:rsid w:val="00B1764F"/>
    <w:rsid w:val="00B17E98"/>
    <w:rsid w:val="00B17EB8"/>
    <w:rsid w:val="00B2016B"/>
    <w:rsid w:val="00B20422"/>
    <w:rsid w:val="00B206EF"/>
    <w:rsid w:val="00B207D6"/>
    <w:rsid w:val="00B2096B"/>
    <w:rsid w:val="00B22BCE"/>
    <w:rsid w:val="00B22C91"/>
    <w:rsid w:val="00B230B5"/>
    <w:rsid w:val="00B232DB"/>
    <w:rsid w:val="00B2371D"/>
    <w:rsid w:val="00B24990"/>
    <w:rsid w:val="00B249E1"/>
    <w:rsid w:val="00B24CE1"/>
    <w:rsid w:val="00B25493"/>
    <w:rsid w:val="00B2561B"/>
    <w:rsid w:val="00B260DD"/>
    <w:rsid w:val="00B2622F"/>
    <w:rsid w:val="00B301BA"/>
    <w:rsid w:val="00B30D6C"/>
    <w:rsid w:val="00B310EA"/>
    <w:rsid w:val="00B31535"/>
    <w:rsid w:val="00B31F83"/>
    <w:rsid w:val="00B33297"/>
    <w:rsid w:val="00B334F0"/>
    <w:rsid w:val="00B33B7E"/>
    <w:rsid w:val="00B340C4"/>
    <w:rsid w:val="00B34CAA"/>
    <w:rsid w:val="00B34CB1"/>
    <w:rsid w:val="00B34F00"/>
    <w:rsid w:val="00B34F13"/>
    <w:rsid w:val="00B356B2"/>
    <w:rsid w:val="00B357FE"/>
    <w:rsid w:val="00B35D84"/>
    <w:rsid w:val="00B364D6"/>
    <w:rsid w:val="00B365BA"/>
    <w:rsid w:val="00B369E2"/>
    <w:rsid w:val="00B36CFC"/>
    <w:rsid w:val="00B3703F"/>
    <w:rsid w:val="00B3735A"/>
    <w:rsid w:val="00B375AD"/>
    <w:rsid w:val="00B37B88"/>
    <w:rsid w:val="00B40BC2"/>
    <w:rsid w:val="00B40F70"/>
    <w:rsid w:val="00B40F72"/>
    <w:rsid w:val="00B41B7B"/>
    <w:rsid w:val="00B4229F"/>
    <w:rsid w:val="00B42AD7"/>
    <w:rsid w:val="00B42C79"/>
    <w:rsid w:val="00B42F3C"/>
    <w:rsid w:val="00B42F47"/>
    <w:rsid w:val="00B436D8"/>
    <w:rsid w:val="00B43B2F"/>
    <w:rsid w:val="00B43C41"/>
    <w:rsid w:val="00B43C6C"/>
    <w:rsid w:val="00B43D46"/>
    <w:rsid w:val="00B43E17"/>
    <w:rsid w:val="00B44BF2"/>
    <w:rsid w:val="00B44F54"/>
    <w:rsid w:val="00B458AF"/>
    <w:rsid w:val="00B45AD6"/>
    <w:rsid w:val="00B4694B"/>
    <w:rsid w:val="00B46E0A"/>
    <w:rsid w:val="00B47177"/>
    <w:rsid w:val="00B472B6"/>
    <w:rsid w:val="00B4775C"/>
    <w:rsid w:val="00B477F3"/>
    <w:rsid w:val="00B479AA"/>
    <w:rsid w:val="00B47D8D"/>
    <w:rsid w:val="00B50288"/>
    <w:rsid w:val="00B504E6"/>
    <w:rsid w:val="00B5127E"/>
    <w:rsid w:val="00B512B6"/>
    <w:rsid w:val="00B51670"/>
    <w:rsid w:val="00B516D7"/>
    <w:rsid w:val="00B51D1C"/>
    <w:rsid w:val="00B51E80"/>
    <w:rsid w:val="00B52838"/>
    <w:rsid w:val="00B5286A"/>
    <w:rsid w:val="00B53762"/>
    <w:rsid w:val="00B54321"/>
    <w:rsid w:val="00B5453C"/>
    <w:rsid w:val="00B5468C"/>
    <w:rsid w:val="00B548AC"/>
    <w:rsid w:val="00B54977"/>
    <w:rsid w:val="00B55091"/>
    <w:rsid w:val="00B56D76"/>
    <w:rsid w:val="00B56FE0"/>
    <w:rsid w:val="00B570AC"/>
    <w:rsid w:val="00B57AE8"/>
    <w:rsid w:val="00B57D18"/>
    <w:rsid w:val="00B57DB2"/>
    <w:rsid w:val="00B6001C"/>
    <w:rsid w:val="00B6032E"/>
    <w:rsid w:val="00B60427"/>
    <w:rsid w:val="00B60BE6"/>
    <w:rsid w:val="00B61584"/>
    <w:rsid w:val="00B61A7D"/>
    <w:rsid w:val="00B62048"/>
    <w:rsid w:val="00B6237D"/>
    <w:rsid w:val="00B62738"/>
    <w:rsid w:val="00B6314F"/>
    <w:rsid w:val="00B63374"/>
    <w:rsid w:val="00B63C35"/>
    <w:rsid w:val="00B63DD7"/>
    <w:rsid w:val="00B6467B"/>
    <w:rsid w:val="00B64902"/>
    <w:rsid w:val="00B649A7"/>
    <w:rsid w:val="00B64E4E"/>
    <w:rsid w:val="00B655F9"/>
    <w:rsid w:val="00B65940"/>
    <w:rsid w:val="00B659C9"/>
    <w:rsid w:val="00B65AD1"/>
    <w:rsid w:val="00B65F43"/>
    <w:rsid w:val="00B6689F"/>
    <w:rsid w:val="00B668CF"/>
    <w:rsid w:val="00B66E24"/>
    <w:rsid w:val="00B66F86"/>
    <w:rsid w:val="00B67011"/>
    <w:rsid w:val="00B670CA"/>
    <w:rsid w:val="00B670F4"/>
    <w:rsid w:val="00B6726A"/>
    <w:rsid w:val="00B672D7"/>
    <w:rsid w:val="00B67340"/>
    <w:rsid w:val="00B677B3"/>
    <w:rsid w:val="00B67E3B"/>
    <w:rsid w:val="00B70F9B"/>
    <w:rsid w:val="00B71167"/>
    <w:rsid w:val="00B71637"/>
    <w:rsid w:val="00B71988"/>
    <w:rsid w:val="00B71BBD"/>
    <w:rsid w:val="00B723BF"/>
    <w:rsid w:val="00B72AAC"/>
    <w:rsid w:val="00B72FDD"/>
    <w:rsid w:val="00B730D5"/>
    <w:rsid w:val="00B735E8"/>
    <w:rsid w:val="00B739F7"/>
    <w:rsid w:val="00B73BF8"/>
    <w:rsid w:val="00B73D4D"/>
    <w:rsid w:val="00B73F3F"/>
    <w:rsid w:val="00B755DF"/>
    <w:rsid w:val="00B75793"/>
    <w:rsid w:val="00B75B81"/>
    <w:rsid w:val="00B766CF"/>
    <w:rsid w:val="00B7681D"/>
    <w:rsid w:val="00B769A1"/>
    <w:rsid w:val="00B76AF3"/>
    <w:rsid w:val="00B77765"/>
    <w:rsid w:val="00B777BB"/>
    <w:rsid w:val="00B80F32"/>
    <w:rsid w:val="00B81072"/>
    <w:rsid w:val="00B810A7"/>
    <w:rsid w:val="00B813B0"/>
    <w:rsid w:val="00B8198B"/>
    <w:rsid w:val="00B81C13"/>
    <w:rsid w:val="00B81F91"/>
    <w:rsid w:val="00B8227F"/>
    <w:rsid w:val="00B826A9"/>
    <w:rsid w:val="00B829EC"/>
    <w:rsid w:val="00B82DF0"/>
    <w:rsid w:val="00B82F7B"/>
    <w:rsid w:val="00B82FC0"/>
    <w:rsid w:val="00B8330E"/>
    <w:rsid w:val="00B844E5"/>
    <w:rsid w:val="00B84C57"/>
    <w:rsid w:val="00B84CE9"/>
    <w:rsid w:val="00B85365"/>
    <w:rsid w:val="00B85D4F"/>
    <w:rsid w:val="00B85EF7"/>
    <w:rsid w:val="00B86F85"/>
    <w:rsid w:val="00B8702C"/>
    <w:rsid w:val="00B87B26"/>
    <w:rsid w:val="00B90556"/>
    <w:rsid w:val="00B9090F"/>
    <w:rsid w:val="00B90984"/>
    <w:rsid w:val="00B91C22"/>
    <w:rsid w:val="00B91CAC"/>
    <w:rsid w:val="00B922FC"/>
    <w:rsid w:val="00B92981"/>
    <w:rsid w:val="00B93653"/>
    <w:rsid w:val="00B9379A"/>
    <w:rsid w:val="00B93C6B"/>
    <w:rsid w:val="00B9441A"/>
    <w:rsid w:val="00B948B6"/>
    <w:rsid w:val="00B94906"/>
    <w:rsid w:val="00B94ABF"/>
    <w:rsid w:val="00B94D69"/>
    <w:rsid w:val="00B95341"/>
    <w:rsid w:val="00B95702"/>
    <w:rsid w:val="00B96614"/>
    <w:rsid w:val="00B969A9"/>
    <w:rsid w:val="00B96B9C"/>
    <w:rsid w:val="00B970C6"/>
    <w:rsid w:val="00B97242"/>
    <w:rsid w:val="00B97458"/>
    <w:rsid w:val="00B97E2F"/>
    <w:rsid w:val="00B97F4D"/>
    <w:rsid w:val="00BA0424"/>
    <w:rsid w:val="00BA096E"/>
    <w:rsid w:val="00BA1E1B"/>
    <w:rsid w:val="00BA1E64"/>
    <w:rsid w:val="00BA205C"/>
    <w:rsid w:val="00BA2DE9"/>
    <w:rsid w:val="00BA2E44"/>
    <w:rsid w:val="00BA30D2"/>
    <w:rsid w:val="00BA356F"/>
    <w:rsid w:val="00BA35BA"/>
    <w:rsid w:val="00BA3A01"/>
    <w:rsid w:val="00BA3A08"/>
    <w:rsid w:val="00BA3E06"/>
    <w:rsid w:val="00BA3E96"/>
    <w:rsid w:val="00BA409B"/>
    <w:rsid w:val="00BA40BC"/>
    <w:rsid w:val="00BA4B2D"/>
    <w:rsid w:val="00BA4B32"/>
    <w:rsid w:val="00BA512B"/>
    <w:rsid w:val="00BA54D7"/>
    <w:rsid w:val="00BA55B7"/>
    <w:rsid w:val="00BA59E2"/>
    <w:rsid w:val="00BA6620"/>
    <w:rsid w:val="00BA6F59"/>
    <w:rsid w:val="00BA71ED"/>
    <w:rsid w:val="00BA7349"/>
    <w:rsid w:val="00BA7414"/>
    <w:rsid w:val="00BA7464"/>
    <w:rsid w:val="00BB0421"/>
    <w:rsid w:val="00BB063B"/>
    <w:rsid w:val="00BB0708"/>
    <w:rsid w:val="00BB0809"/>
    <w:rsid w:val="00BB0EC2"/>
    <w:rsid w:val="00BB0F02"/>
    <w:rsid w:val="00BB0F9B"/>
    <w:rsid w:val="00BB1500"/>
    <w:rsid w:val="00BB1A89"/>
    <w:rsid w:val="00BB1BA1"/>
    <w:rsid w:val="00BB1CF9"/>
    <w:rsid w:val="00BB1D4F"/>
    <w:rsid w:val="00BB24F6"/>
    <w:rsid w:val="00BB255F"/>
    <w:rsid w:val="00BB2B07"/>
    <w:rsid w:val="00BB35BA"/>
    <w:rsid w:val="00BB3745"/>
    <w:rsid w:val="00BB3CC6"/>
    <w:rsid w:val="00BB3EA9"/>
    <w:rsid w:val="00BB45A0"/>
    <w:rsid w:val="00BB4FB6"/>
    <w:rsid w:val="00BB5869"/>
    <w:rsid w:val="00BB58A2"/>
    <w:rsid w:val="00BB6893"/>
    <w:rsid w:val="00BB6DB7"/>
    <w:rsid w:val="00BB6E58"/>
    <w:rsid w:val="00BB7139"/>
    <w:rsid w:val="00BB738B"/>
    <w:rsid w:val="00BB7766"/>
    <w:rsid w:val="00BB79F7"/>
    <w:rsid w:val="00BB7B0E"/>
    <w:rsid w:val="00BB7D34"/>
    <w:rsid w:val="00BB7F01"/>
    <w:rsid w:val="00BC0182"/>
    <w:rsid w:val="00BC0257"/>
    <w:rsid w:val="00BC054E"/>
    <w:rsid w:val="00BC137F"/>
    <w:rsid w:val="00BC1712"/>
    <w:rsid w:val="00BC1AF4"/>
    <w:rsid w:val="00BC1B70"/>
    <w:rsid w:val="00BC30C7"/>
    <w:rsid w:val="00BC3408"/>
    <w:rsid w:val="00BC37AC"/>
    <w:rsid w:val="00BC43B9"/>
    <w:rsid w:val="00BC46EC"/>
    <w:rsid w:val="00BC474C"/>
    <w:rsid w:val="00BC4D41"/>
    <w:rsid w:val="00BC52AF"/>
    <w:rsid w:val="00BC52C5"/>
    <w:rsid w:val="00BC5434"/>
    <w:rsid w:val="00BC5B03"/>
    <w:rsid w:val="00BC644E"/>
    <w:rsid w:val="00BC6D55"/>
    <w:rsid w:val="00BC6F3D"/>
    <w:rsid w:val="00BC6F7C"/>
    <w:rsid w:val="00BC7339"/>
    <w:rsid w:val="00BC7ADD"/>
    <w:rsid w:val="00BC7C34"/>
    <w:rsid w:val="00BD029B"/>
    <w:rsid w:val="00BD04E9"/>
    <w:rsid w:val="00BD0C6B"/>
    <w:rsid w:val="00BD12E5"/>
    <w:rsid w:val="00BD1A69"/>
    <w:rsid w:val="00BD1C62"/>
    <w:rsid w:val="00BD2902"/>
    <w:rsid w:val="00BD2CD2"/>
    <w:rsid w:val="00BD33B2"/>
    <w:rsid w:val="00BD369C"/>
    <w:rsid w:val="00BD36D3"/>
    <w:rsid w:val="00BD3742"/>
    <w:rsid w:val="00BD45C4"/>
    <w:rsid w:val="00BD4732"/>
    <w:rsid w:val="00BD4C45"/>
    <w:rsid w:val="00BD4CA6"/>
    <w:rsid w:val="00BD4DDB"/>
    <w:rsid w:val="00BD50F7"/>
    <w:rsid w:val="00BD54A0"/>
    <w:rsid w:val="00BD561D"/>
    <w:rsid w:val="00BD5C84"/>
    <w:rsid w:val="00BD5F46"/>
    <w:rsid w:val="00BD6024"/>
    <w:rsid w:val="00BD6301"/>
    <w:rsid w:val="00BD681B"/>
    <w:rsid w:val="00BD6AE4"/>
    <w:rsid w:val="00BD6B5E"/>
    <w:rsid w:val="00BD71A5"/>
    <w:rsid w:val="00BD7445"/>
    <w:rsid w:val="00BD7A2B"/>
    <w:rsid w:val="00BD7FD0"/>
    <w:rsid w:val="00BE0D0B"/>
    <w:rsid w:val="00BE10C7"/>
    <w:rsid w:val="00BE115E"/>
    <w:rsid w:val="00BE13BB"/>
    <w:rsid w:val="00BE1575"/>
    <w:rsid w:val="00BE19A7"/>
    <w:rsid w:val="00BE1CAB"/>
    <w:rsid w:val="00BE283C"/>
    <w:rsid w:val="00BE3A63"/>
    <w:rsid w:val="00BE4108"/>
    <w:rsid w:val="00BE45D2"/>
    <w:rsid w:val="00BE45DB"/>
    <w:rsid w:val="00BE4D01"/>
    <w:rsid w:val="00BE4E53"/>
    <w:rsid w:val="00BE5509"/>
    <w:rsid w:val="00BE5C96"/>
    <w:rsid w:val="00BE5CDA"/>
    <w:rsid w:val="00BE5E26"/>
    <w:rsid w:val="00BE60A3"/>
    <w:rsid w:val="00BE6158"/>
    <w:rsid w:val="00BE62A7"/>
    <w:rsid w:val="00BE674A"/>
    <w:rsid w:val="00BE7657"/>
    <w:rsid w:val="00BE76F1"/>
    <w:rsid w:val="00BF033E"/>
    <w:rsid w:val="00BF046F"/>
    <w:rsid w:val="00BF0A3B"/>
    <w:rsid w:val="00BF0A84"/>
    <w:rsid w:val="00BF0C89"/>
    <w:rsid w:val="00BF110A"/>
    <w:rsid w:val="00BF1263"/>
    <w:rsid w:val="00BF1D24"/>
    <w:rsid w:val="00BF1E6E"/>
    <w:rsid w:val="00BF25AE"/>
    <w:rsid w:val="00BF27EB"/>
    <w:rsid w:val="00BF29FE"/>
    <w:rsid w:val="00BF2B85"/>
    <w:rsid w:val="00BF2C9C"/>
    <w:rsid w:val="00BF2D3B"/>
    <w:rsid w:val="00BF2E66"/>
    <w:rsid w:val="00BF2E99"/>
    <w:rsid w:val="00BF2FFB"/>
    <w:rsid w:val="00BF3176"/>
    <w:rsid w:val="00BF3434"/>
    <w:rsid w:val="00BF4134"/>
    <w:rsid w:val="00BF41EF"/>
    <w:rsid w:val="00BF48A7"/>
    <w:rsid w:val="00BF4E08"/>
    <w:rsid w:val="00BF517E"/>
    <w:rsid w:val="00BF5239"/>
    <w:rsid w:val="00BF5476"/>
    <w:rsid w:val="00BF5499"/>
    <w:rsid w:val="00BF5607"/>
    <w:rsid w:val="00BF5AD2"/>
    <w:rsid w:val="00BF5BCA"/>
    <w:rsid w:val="00BF6549"/>
    <w:rsid w:val="00BF66CF"/>
    <w:rsid w:val="00BF6BCB"/>
    <w:rsid w:val="00BF759D"/>
    <w:rsid w:val="00BF7784"/>
    <w:rsid w:val="00BF7F3E"/>
    <w:rsid w:val="00C00582"/>
    <w:rsid w:val="00C005A8"/>
    <w:rsid w:val="00C005CD"/>
    <w:rsid w:val="00C007A0"/>
    <w:rsid w:val="00C00DBE"/>
    <w:rsid w:val="00C017C9"/>
    <w:rsid w:val="00C0182B"/>
    <w:rsid w:val="00C0205F"/>
    <w:rsid w:val="00C02074"/>
    <w:rsid w:val="00C0366A"/>
    <w:rsid w:val="00C03690"/>
    <w:rsid w:val="00C03AE0"/>
    <w:rsid w:val="00C04B20"/>
    <w:rsid w:val="00C05193"/>
    <w:rsid w:val="00C05390"/>
    <w:rsid w:val="00C05768"/>
    <w:rsid w:val="00C05A95"/>
    <w:rsid w:val="00C0607D"/>
    <w:rsid w:val="00C068A0"/>
    <w:rsid w:val="00C07794"/>
    <w:rsid w:val="00C07EEA"/>
    <w:rsid w:val="00C07FA0"/>
    <w:rsid w:val="00C1025D"/>
    <w:rsid w:val="00C10785"/>
    <w:rsid w:val="00C10DFE"/>
    <w:rsid w:val="00C11365"/>
    <w:rsid w:val="00C11DF7"/>
    <w:rsid w:val="00C122DE"/>
    <w:rsid w:val="00C1257C"/>
    <w:rsid w:val="00C135E9"/>
    <w:rsid w:val="00C13967"/>
    <w:rsid w:val="00C13D89"/>
    <w:rsid w:val="00C13EB1"/>
    <w:rsid w:val="00C13F0E"/>
    <w:rsid w:val="00C13FD5"/>
    <w:rsid w:val="00C14295"/>
    <w:rsid w:val="00C14A9C"/>
    <w:rsid w:val="00C14D18"/>
    <w:rsid w:val="00C15077"/>
    <w:rsid w:val="00C156BE"/>
    <w:rsid w:val="00C15A15"/>
    <w:rsid w:val="00C16395"/>
    <w:rsid w:val="00C163A6"/>
    <w:rsid w:val="00C16E90"/>
    <w:rsid w:val="00C170CE"/>
    <w:rsid w:val="00C17528"/>
    <w:rsid w:val="00C175BB"/>
    <w:rsid w:val="00C17613"/>
    <w:rsid w:val="00C17C5D"/>
    <w:rsid w:val="00C17C9E"/>
    <w:rsid w:val="00C17E93"/>
    <w:rsid w:val="00C2015E"/>
    <w:rsid w:val="00C2038D"/>
    <w:rsid w:val="00C203C5"/>
    <w:rsid w:val="00C206D2"/>
    <w:rsid w:val="00C20833"/>
    <w:rsid w:val="00C21AD3"/>
    <w:rsid w:val="00C21BBC"/>
    <w:rsid w:val="00C21C45"/>
    <w:rsid w:val="00C21F81"/>
    <w:rsid w:val="00C21F9B"/>
    <w:rsid w:val="00C2205B"/>
    <w:rsid w:val="00C2211B"/>
    <w:rsid w:val="00C22438"/>
    <w:rsid w:val="00C224CD"/>
    <w:rsid w:val="00C22672"/>
    <w:rsid w:val="00C23AAD"/>
    <w:rsid w:val="00C23AB9"/>
    <w:rsid w:val="00C24457"/>
    <w:rsid w:val="00C249BB"/>
    <w:rsid w:val="00C24B36"/>
    <w:rsid w:val="00C254B4"/>
    <w:rsid w:val="00C254C5"/>
    <w:rsid w:val="00C25912"/>
    <w:rsid w:val="00C259A3"/>
    <w:rsid w:val="00C2680F"/>
    <w:rsid w:val="00C269BB"/>
    <w:rsid w:val="00C27155"/>
    <w:rsid w:val="00C27CC5"/>
    <w:rsid w:val="00C27EA6"/>
    <w:rsid w:val="00C30DF0"/>
    <w:rsid w:val="00C311C0"/>
    <w:rsid w:val="00C31427"/>
    <w:rsid w:val="00C31FB8"/>
    <w:rsid w:val="00C324BC"/>
    <w:rsid w:val="00C32C2A"/>
    <w:rsid w:val="00C33079"/>
    <w:rsid w:val="00C33AAF"/>
    <w:rsid w:val="00C33E30"/>
    <w:rsid w:val="00C33F0C"/>
    <w:rsid w:val="00C34154"/>
    <w:rsid w:val="00C341F5"/>
    <w:rsid w:val="00C34A43"/>
    <w:rsid w:val="00C34E0F"/>
    <w:rsid w:val="00C35014"/>
    <w:rsid w:val="00C350D6"/>
    <w:rsid w:val="00C35821"/>
    <w:rsid w:val="00C36049"/>
    <w:rsid w:val="00C361BB"/>
    <w:rsid w:val="00C366E4"/>
    <w:rsid w:val="00C3685F"/>
    <w:rsid w:val="00C36BAB"/>
    <w:rsid w:val="00C37B60"/>
    <w:rsid w:val="00C407F3"/>
    <w:rsid w:val="00C40A20"/>
    <w:rsid w:val="00C4266C"/>
    <w:rsid w:val="00C42948"/>
    <w:rsid w:val="00C42CF5"/>
    <w:rsid w:val="00C42D62"/>
    <w:rsid w:val="00C42E02"/>
    <w:rsid w:val="00C434E0"/>
    <w:rsid w:val="00C43DDC"/>
    <w:rsid w:val="00C43DF9"/>
    <w:rsid w:val="00C4419B"/>
    <w:rsid w:val="00C447C4"/>
    <w:rsid w:val="00C44AE8"/>
    <w:rsid w:val="00C45095"/>
    <w:rsid w:val="00C4542D"/>
    <w:rsid w:val="00C457B7"/>
    <w:rsid w:val="00C45B3D"/>
    <w:rsid w:val="00C461B0"/>
    <w:rsid w:val="00C46229"/>
    <w:rsid w:val="00C4639B"/>
    <w:rsid w:val="00C463DF"/>
    <w:rsid w:val="00C4644F"/>
    <w:rsid w:val="00C464BB"/>
    <w:rsid w:val="00C4660D"/>
    <w:rsid w:val="00C46D29"/>
    <w:rsid w:val="00C46E49"/>
    <w:rsid w:val="00C47105"/>
    <w:rsid w:val="00C475D9"/>
    <w:rsid w:val="00C476DD"/>
    <w:rsid w:val="00C4773D"/>
    <w:rsid w:val="00C477EB"/>
    <w:rsid w:val="00C513CD"/>
    <w:rsid w:val="00C51A3B"/>
    <w:rsid w:val="00C51AEE"/>
    <w:rsid w:val="00C52475"/>
    <w:rsid w:val="00C5279E"/>
    <w:rsid w:val="00C52C0D"/>
    <w:rsid w:val="00C5359A"/>
    <w:rsid w:val="00C537C7"/>
    <w:rsid w:val="00C5393F"/>
    <w:rsid w:val="00C53E34"/>
    <w:rsid w:val="00C53FBD"/>
    <w:rsid w:val="00C5471A"/>
    <w:rsid w:val="00C55005"/>
    <w:rsid w:val="00C556E4"/>
    <w:rsid w:val="00C55CC2"/>
    <w:rsid w:val="00C5652D"/>
    <w:rsid w:val="00C568BB"/>
    <w:rsid w:val="00C56EA6"/>
    <w:rsid w:val="00C57469"/>
    <w:rsid w:val="00C575DF"/>
    <w:rsid w:val="00C577A3"/>
    <w:rsid w:val="00C601CD"/>
    <w:rsid w:val="00C604AA"/>
    <w:rsid w:val="00C60FF7"/>
    <w:rsid w:val="00C611CC"/>
    <w:rsid w:val="00C622D0"/>
    <w:rsid w:val="00C62A7E"/>
    <w:rsid w:val="00C62FC8"/>
    <w:rsid w:val="00C63148"/>
    <w:rsid w:val="00C6393D"/>
    <w:rsid w:val="00C63B72"/>
    <w:rsid w:val="00C63DA1"/>
    <w:rsid w:val="00C641B0"/>
    <w:rsid w:val="00C65294"/>
    <w:rsid w:val="00C65306"/>
    <w:rsid w:val="00C655DF"/>
    <w:rsid w:val="00C6592E"/>
    <w:rsid w:val="00C662A8"/>
    <w:rsid w:val="00C66512"/>
    <w:rsid w:val="00C671F7"/>
    <w:rsid w:val="00C67349"/>
    <w:rsid w:val="00C67651"/>
    <w:rsid w:val="00C702AC"/>
    <w:rsid w:val="00C704D0"/>
    <w:rsid w:val="00C710F8"/>
    <w:rsid w:val="00C71194"/>
    <w:rsid w:val="00C7192A"/>
    <w:rsid w:val="00C71D1B"/>
    <w:rsid w:val="00C71EE8"/>
    <w:rsid w:val="00C722E7"/>
    <w:rsid w:val="00C72617"/>
    <w:rsid w:val="00C72901"/>
    <w:rsid w:val="00C72944"/>
    <w:rsid w:val="00C74551"/>
    <w:rsid w:val="00C74616"/>
    <w:rsid w:val="00C74A9C"/>
    <w:rsid w:val="00C74C85"/>
    <w:rsid w:val="00C74E04"/>
    <w:rsid w:val="00C750EA"/>
    <w:rsid w:val="00C753B6"/>
    <w:rsid w:val="00C75895"/>
    <w:rsid w:val="00C762C9"/>
    <w:rsid w:val="00C76502"/>
    <w:rsid w:val="00C7664B"/>
    <w:rsid w:val="00C7673A"/>
    <w:rsid w:val="00C76E75"/>
    <w:rsid w:val="00C77045"/>
    <w:rsid w:val="00C7711B"/>
    <w:rsid w:val="00C7758B"/>
    <w:rsid w:val="00C77949"/>
    <w:rsid w:val="00C77D47"/>
    <w:rsid w:val="00C77D78"/>
    <w:rsid w:val="00C77F36"/>
    <w:rsid w:val="00C80027"/>
    <w:rsid w:val="00C8046A"/>
    <w:rsid w:val="00C80684"/>
    <w:rsid w:val="00C8083C"/>
    <w:rsid w:val="00C80B13"/>
    <w:rsid w:val="00C81260"/>
    <w:rsid w:val="00C812CC"/>
    <w:rsid w:val="00C812F2"/>
    <w:rsid w:val="00C8188C"/>
    <w:rsid w:val="00C818E4"/>
    <w:rsid w:val="00C81E3D"/>
    <w:rsid w:val="00C8203F"/>
    <w:rsid w:val="00C820AB"/>
    <w:rsid w:val="00C82392"/>
    <w:rsid w:val="00C82595"/>
    <w:rsid w:val="00C82873"/>
    <w:rsid w:val="00C83338"/>
    <w:rsid w:val="00C834C9"/>
    <w:rsid w:val="00C83618"/>
    <w:rsid w:val="00C83879"/>
    <w:rsid w:val="00C84C94"/>
    <w:rsid w:val="00C85B57"/>
    <w:rsid w:val="00C85BE6"/>
    <w:rsid w:val="00C85C6B"/>
    <w:rsid w:val="00C85D4B"/>
    <w:rsid w:val="00C867CB"/>
    <w:rsid w:val="00C870AE"/>
    <w:rsid w:val="00C90676"/>
    <w:rsid w:val="00C90891"/>
    <w:rsid w:val="00C90899"/>
    <w:rsid w:val="00C90920"/>
    <w:rsid w:val="00C90C81"/>
    <w:rsid w:val="00C90E83"/>
    <w:rsid w:val="00C90F7E"/>
    <w:rsid w:val="00C91561"/>
    <w:rsid w:val="00C91751"/>
    <w:rsid w:val="00C9197C"/>
    <w:rsid w:val="00C9252A"/>
    <w:rsid w:val="00C92766"/>
    <w:rsid w:val="00C929F4"/>
    <w:rsid w:val="00C92AF4"/>
    <w:rsid w:val="00C92C5D"/>
    <w:rsid w:val="00C92E6F"/>
    <w:rsid w:val="00C93276"/>
    <w:rsid w:val="00C933F4"/>
    <w:rsid w:val="00C9375A"/>
    <w:rsid w:val="00C94083"/>
    <w:rsid w:val="00C945F4"/>
    <w:rsid w:val="00C94ABA"/>
    <w:rsid w:val="00C95145"/>
    <w:rsid w:val="00C95428"/>
    <w:rsid w:val="00C95549"/>
    <w:rsid w:val="00C967EC"/>
    <w:rsid w:val="00C96920"/>
    <w:rsid w:val="00C969DB"/>
    <w:rsid w:val="00C9764F"/>
    <w:rsid w:val="00C976CB"/>
    <w:rsid w:val="00CA0D60"/>
    <w:rsid w:val="00CA115E"/>
    <w:rsid w:val="00CA12EF"/>
    <w:rsid w:val="00CA1340"/>
    <w:rsid w:val="00CA1742"/>
    <w:rsid w:val="00CA1C12"/>
    <w:rsid w:val="00CA2351"/>
    <w:rsid w:val="00CA29E2"/>
    <w:rsid w:val="00CA2ABE"/>
    <w:rsid w:val="00CA2CB6"/>
    <w:rsid w:val="00CA3652"/>
    <w:rsid w:val="00CA3740"/>
    <w:rsid w:val="00CA4121"/>
    <w:rsid w:val="00CA426E"/>
    <w:rsid w:val="00CA43BB"/>
    <w:rsid w:val="00CA45F9"/>
    <w:rsid w:val="00CA4EA3"/>
    <w:rsid w:val="00CA5037"/>
    <w:rsid w:val="00CA5423"/>
    <w:rsid w:val="00CA597E"/>
    <w:rsid w:val="00CA61CA"/>
    <w:rsid w:val="00CA72B6"/>
    <w:rsid w:val="00CA757D"/>
    <w:rsid w:val="00CA7A58"/>
    <w:rsid w:val="00CB0281"/>
    <w:rsid w:val="00CB05C7"/>
    <w:rsid w:val="00CB08D2"/>
    <w:rsid w:val="00CB1724"/>
    <w:rsid w:val="00CB1911"/>
    <w:rsid w:val="00CB1A71"/>
    <w:rsid w:val="00CB2143"/>
    <w:rsid w:val="00CB27E1"/>
    <w:rsid w:val="00CB2B67"/>
    <w:rsid w:val="00CB30DE"/>
    <w:rsid w:val="00CB3245"/>
    <w:rsid w:val="00CB3842"/>
    <w:rsid w:val="00CB393D"/>
    <w:rsid w:val="00CB3A65"/>
    <w:rsid w:val="00CB3D36"/>
    <w:rsid w:val="00CB3E5F"/>
    <w:rsid w:val="00CB3FBB"/>
    <w:rsid w:val="00CB3FBD"/>
    <w:rsid w:val="00CB42FE"/>
    <w:rsid w:val="00CB4772"/>
    <w:rsid w:val="00CB4D77"/>
    <w:rsid w:val="00CB50CD"/>
    <w:rsid w:val="00CB533F"/>
    <w:rsid w:val="00CB54DE"/>
    <w:rsid w:val="00CB5550"/>
    <w:rsid w:val="00CB5578"/>
    <w:rsid w:val="00CB568E"/>
    <w:rsid w:val="00CB6BF0"/>
    <w:rsid w:val="00CB6CAC"/>
    <w:rsid w:val="00CB7ADC"/>
    <w:rsid w:val="00CC0DFA"/>
    <w:rsid w:val="00CC0E05"/>
    <w:rsid w:val="00CC1D2E"/>
    <w:rsid w:val="00CC2258"/>
    <w:rsid w:val="00CC2331"/>
    <w:rsid w:val="00CC25D8"/>
    <w:rsid w:val="00CC27CB"/>
    <w:rsid w:val="00CC2813"/>
    <w:rsid w:val="00CC2CF7"/>
    <w:rsid w:val="00CC3032"/>
    <w:rsid w:val="00CC325B"/>
    <w:rsid w:val="00CC32C5"/>
    <w:rsid w:val="00CC3A6B"/>
    <w:rsid w:val="00CC442C"/>
    <w:rsid w:val="00CC4447"/>
    <w:rsid w:val="00CC462F"/>
    <w:rsid w:val="00CC4667"/>
    <w:rsid w:val="00CC4923"/>
    <w:rsid w:val="00CC4C04"/>
    <w:rsid w:val="00CC5047"/>
    <w:rsid w:val="00CC52A4"/>
    <w:rsid w:val="00CC5F11"/>
    <w:rsid w:val="00CC6129"/>
    <w:rsid w:val="00CC62AC"/>
    <w:rsid w:val="00CC69EE"/>
    <w:rsid w:val="00CC6C25"/>
    <w:rsid w:val="00CC741F"/>
    <w:rsid w:val="00CC7766"/>
    <w:rsid w:val="00CC7EAE"/>
    <w:rsid w:val="00CC7F07"/>
    <w:rsid w:val="00CD01CE"/>
    <w:rsid w:val="00CD0754"/>
    <w:rsid w:val="00CD0F76"/>
    <w:rsid w:val="00CD11A9"/>
    <w:rsid w:val="00CD11FA"/>
    <w:rsid w:val="00CD140D"/>
    <w:rsid w:val="00CD15BE"/>
    <w:rsid w:val="00CD1765"/>
    <w:rsid w:val="00CD1B0A"/>
    <w:rsid w:val="00CD1CCD"/>
    <w:rsid w:val="00CD1DCF"/>
    <w:rsid w:val="00CD2005"/>
    <w:rsid w:val="00CD285E"/>
    <w:rsid w:val="00CD2E46"/>
    <w:rsid w:val="00CD3AAE"/>
    <w:rsid w:val="00CD3CE2"/>
    <w:rsid w:val="00CD3D21"/>
    <w:rsid w:val="00CD4038"/>
    <w:rsid w:val="00CD4170"/>
    <w:rsid w:val="00CD4E95"/>
    <w:rsid w:val="00CD5009"/>
    <w:rsid w:val="00CD5229"/>
    <w:rsid w:val="00CD5787"/>
    <w:rsid w:val="00CD5F30"/>
    <w:rsid w:val="00CD6281"/>
    <w:rsid w:val="00CD6518"/>
    <w:rsid w:val="00CD6626"/>
    <w:rsid w:val="00CD6AF8"/>
    <w:rsid w:val="00CD700D"/>
    <w:rsid w:val="00CD7373"/>
    <w:rsid w:val="00CD7563"/>
    <w:rsid w:val="00CD7883"/>
    <w:rsid w:val="00CD7D13"/>
    <w:rsid w:val="00CD7F60"/>
    <w:rsid w:val="00CD7F64"/>
    <w:rsid w:val="00CE0849"/>
    <w:rsid w:val="00CE0DB0"/>
    <w:rsid w:val="00CE0F8C"/>
    <w:rsid w:val="00CE1126"/>
    <w:rsid w:val="00CE1953"/>
    <w:rsid w:val="00CE1968"/>
    <w:rsid w:val="00CE1C27"/>
    <w:rsid w:val="00CE1EEA"/>
    <w:rsid w:val="00CE1FE8"/>
    <w:rsid w:val="00CE2B9D"/>
    <w:rsid w:val="00CE3883"/>
    <w:rsid w:val="00CE4E0C"/>
    <w:rsid w:val="00CE506D"/>
    <w:rsid w:val="00CE5113"/>
    <w:rsid w:val="00CE5EDA"/>
    <w:rsid w:val="00CE6035"/>
    <w:rsid w:val="00CE6247"/>
    <w:rsid w:val="00CE6286"/>
    <w:rsid w:val="00CE62B6"/>
    <w:rsid w:val="00CE62BB"/>
    <w:rsid w:val="00CE631B"/>
    <w:rsid w:val="00CE6978"/>
    <w:rsid w:val="00CE71FA"/>
    <w:rsid w:val="00CE7376"/>
    <w:rsid w:val="00CE7E8C"/>
    <w:rsid w:val="00CE7EFF"/>
    <w:rsid w:val="00CF0568"/>
    <w:rsid w:val="00CF1C01"/>
    <w:rsid w:val="00CF1C71"/>
    <w:rsid w:val="00CF2E50"/>
    <w:rsid w:val="00CF3405"/>
    <w:rsid w:val="00CF3590"/>
    <w:rsid w:val="00CF373A"/>
    <w:rsid w:val="00CF4109"/>
    <w:rsid w:val="00CF4706"/>
    <w:rsid w:val="00CF494C"/>
    <w:rsid w:val="00CF4E2A"/>
    <w:rsid w:val="00CF4ED2"/>
    <w:rsid w:val="00CF4F8F"/>
    <w:rsid w:val="00CF51D0"/>
    <w:rsid w:val="00CF5B52"/>
    <w:rsid w:val="00CF5D49"/>
    <w:rsid w:val="00CF6ADA"/>
    <w:rsid w:val="00CF6D51"/>
    <w:rsid w:val="00CF6F00"/>
    <w:rsid w:val="00CF7205"/>
    <w:rsid w:val="00CF72B0"/>
    <w:rsid w:val="00CF7D6D"/>
    <w:rsid w:val="00CF7EC7"/>
    <w:rsid w:val="00D000CF"/>
    <w:rsid w:val="00D00B14"/>
    <w:rsid w:val="00D00B53"/>
    <w:rsid w:val="00D01ED5"/>
    <w:rsid w:val="00D02586"/>
    <w:rsid w:val="00D02695"/>
    <w:rsid w:val="00D028C5"/>
    <w:rsid w:val="00D02915"/>
    <w:rsid w:val="00D029CA"/>
    <w:rsid w:val="00D03036"/>
    <w:rsid w:val="00D033EE"/>
    <w:rsid w:val="00D040AC"/>
    <w:rsid w:val="00D04374"/>
    <w:rsid w:val="00D0498C"/>
    <w:rsid w:val="00D04A17"/>
    <w:rsid w:val="00D04B54"/>
    <w:rsid w:val="00D04F07"/>
    <w:rsid w:val="00D04F89"/>
    <w:rsid w:val="00D0533F"/>
    <w:rsid w:val="00D054AB"/>
    <w:rsid w:val="00D0557C"/>
    <w:rsid w:val="00D05A99"/>
    <w:rsid w:val="00D05F13"/>
    <w:rsid w:val="00D061D7"/>
    <w:rsid w:val="00D0620C"/>
    <w:rsid w:val="00D0621C"/>
    <w:rsid w:val="00D062E2"/>
    <w:rsid w:val="00D06640"/>
    <w:rsid w:val="00D069CF"/>
    <w:rsid w:val="00D06B89"/>
    <w:rsid w:val="00D06CA2"/>
    <w:rsid w:val="00D06D0B"/>
    <w:rsid w:val="00D06E3C"/>
    <w:rsid w:val="00D075FD"/>
    <w:rsid w:val="00D07883"/>
    <w:rsid w:val="00D07A2F"/>
    <w:rsid w:val="00D07C0A"/>
    <w:rsid w:val="00D07F78"/>
    <w:rsid w:val="00D10826"/>
    <w:rsid w:val="00D10A41"/>
    <w:rsid w:val="00D10EC2"/>
    <w:rsid w:val="00D11703"/>
    <w:rsid w:val="00D11A0A"/>
    <w:rsid w:val="00D1207F"/>
    <w:rsid w:val="00D122EB"/>
    <w:rsid w:val="00D1255B"/>
    <w:rsid w:val="00D139B7"/>
    <w:rsid w:val="00D13E99"/>
    <w:rsid w:val="00D14DE2"/>
    <w:rsid w:val="00D14FD6"/>
    <w:rsid w:val="00D14FE7"/>
    <w:rsid w:val="00D15631"/>
    <w:rsid w:val="00D15956"/>
    <w:rsid w:val="00D15CC0"/>
    <w:rsid w:val="00D16096"/>
    <w:rsid w:val="00D16144"/>
    <w:rsid w:val="00D16DD1"/>
    <w:rsid w:val="00D175A7"/>
    <w:rsid w:val="00D1785E"/>
    <w:rsid w:val="00D20A34"/>
    <w:rsid w:val="00D20EB9"/>
    <w:rsid w:val="00D21403"/>
    <w:rsid w:val="00D21650"/>
    <w:rsid w:val="00D2175F"/>
    <w:rsid w:val="00D217A0"/>
    <w:rsid w:val="00D219A3"/>
    <w:rsid w:val="00D22043"/>
    <w:rsid w:val="00D22163"/>
    <w:rsid w:val="00D225D1"/>
    <w:rsid w:val="00D23009"/>
    <w:rsid w:val="00D2316E"/>
    <w:rsid w:val="00D23583"/>
    <w:rsid w:val="00D23762"/>
    <w:rsid w:val="00D247A9"/>
    <w:rsid w:val="00D24CD3"/>
    <w:rsid w:val="00D24D9E"/>
    <w:rsid w:val="00D2503D"/>
    <w:rsid w:val="00D25B1D"/>
    <w:rsid w:val="00D25FD1"/>
    <w:rsid w:val="00D26881"/>
    <w:rsid w:val="00D26DC5"/>
    <w:rsid w:val="00D27C0A"/>
    <w:rsid w:val="00D30213"/>
    <w:rsid w:val="00D30419"/>
    <w:rsid w:val="00D305F1"/>
    <w:rsid w:val="00D30B35"/>
    <w:rsid w:val="00D31595"/>
    <w:rsid w:val="00D3174E"/>
    <w:rsid w:val="00D31A75"/>
    <w:rsid w:val="00D320EC"/>
    <w:rsid w:val="00D33078"/>
    <w:rsid w:val="00D3396C"/>
    <w:rsid w:val="00D3399C"/>
    <w:rsid w:val="00D33B7F"/>
    <w:rsid w:val="00D33EA0"/>
    <w:rsid w:val="00D341FA"/>
    <w:rsid w:val="00D34DAB"/>
    <w:rsid w:val="00D3611B"/>
    <w:rsid w:val="00D36538"/>
    <w:rsid w:val="00D36ED8"/>
    <w:rsid w:val="00D37661"/>
    <w:rsid w:val="00D37C05"/>
    <w:rsid w:val="00D4016B"/>
    <w:rsid w:val="00D405D8"/>
    <w:rsid w:val="00D40A0D"/>
    <w:rsid w:val="00D41181"/>
    <w:rsid w:val="00D41318"/>
    <w:rsid w:val="00D41406"/>
    <w:rsid w:val="00D41521"/>
    <w:rsid w:val="00D417A3"/>
    <w:rsid w:val="00D41857"/>
    <w:rsid w:val="00D41A07"/>
    <w:rsid w:val="00D41B96"/>
    <w:rsid w:val="00D41C20"/>
    <w:rsid w:val="00D42155"/>
    <w:rsid w:val="00D4223A"/>
    <w:rsid w:val="00D4298A"/>
    <w:rsid w:val="00D42DB3"/>
    <w:rsid w:val="00D43021"/>
    <w:rsid w:val="00D431CB"/>
    <w:rsid w:val="00D435EC"/>
    <w:rsid w:val="00D4394A"/>
    <w:rsid w:val="00D43993"/>
    <w:rsid w:val="00D4429E"/>
    <w:rsid w:val="00D4465C"/>
    <w:rsid w:val="00D458BD"/>
    <w:rsid w:val="00D4594C"/>
    <w:rsid w:val="00D459C0"/>
    <w:rsid w:val="00D459CA"/>
    <w:rsid w:val="00D45A75"/>
    <w:rsid w:val="00D45AB2"/>
    <w:rsid w:val="00D45FFF"/>
    <w:rsid w:val="00D463D4"/>
    <w:rsid w:val="00D46525"/>
    <w:rsid w:val="00D46E25"/>
    <w:rsid w:val="00D46F27"/>
    <w:rsid w:val="00D478D5"/>
    <w:rsid w:val="00D47A7E"/>
    <w:rsid w:val="00D47CA5"/>
    <w:rsid w:val="00D50256"/>
    <w:rsid w:val="00D502D4"/>
    <w:rsid w:val="00D507CD"/>
    <w:rsid w:val="00D50B6C"/>
    <w:rsid w:val="00D50BC0"/>
    <w:rsid w:val="00D50C94"/>
    <w:rsid w:val="00D51495"/>
    <w:rsid w:val="00D51998"/>
    <w:rsid w:val="00D51AF4"/>
    <w:rsid w:val="00D51B74"/>
    <w:rsid w:val="00D51C1F"/>
    <w:rsid w:val="00D51D15"/>
    <w:rsid w:val="00D51E91"/>
    <w:rsid w:val="00D51EC7"/>
    <w:rsid w:val="00D52C95"/>
    <w:rsid w:val="00D5387D"/>
    <w:rsid w:val="00D542CF"/>
    <w:rsid w:val="00D54489"/>
    <w:rsid w:val="00D549B2"/>
    <w:rsid w:val="00D54C7A"/>
    <w:rsid w:val="00D54EFB"/>
    <w:rsid w:val="00D55C5B"/>
    <w:rsid w:val="00D55CC5"/>
    <w:rsid w:val="00D55E73"/>
    <w:rsid w:val="00D56FA1"/>
    <w:rsid w:val="00D5706A"/>
    <w:rsid w:val="00D5743C"/>
    <w:rsid w:val="00D5797E"/>
    <w:rsid w:val="00D57E19"/>
    <w:rsid w:val="00D57F90"/>
    <w:rsid w:val="00D601DD"/>
    <w:rsid w:val="00D60901"/>
    <w:rsid w:val="00D60A32"/>
    <w:rsid w:val="00D6140B"/>
    <w:rsid w:val="00D616AD"/>
    <w:rsid w:val="00D61882"/>
    <w:rsid w:val="00D61DEE"/>
    <w:rsid w:val="00D625E3"/>
    <w:rsid w:val="00D62A27"/>
    <w:rsid w:val="00D62DA1"/>
    <w:rsid w:val="00D63339"/>
    <w:rsid w:val="00D636D7"/>
    <w:rsid w:val="00D645EF"/>
    <w:rsid w:val="00D64B47"/>
    <w:rsid w:val="00D650F9"/>
    <w:rsid w:val="00D65716"/>
    <w:rsid w:val="00D65FFC"/>
    <w:rsid w:val="00D66473"/>
    <w:rsid w:val="00D66920"/>
    <w:rsid w:val="00D66DB4"/>
    <w:rsid w:val="00D70890"/>
    <w:rsid w:val="00D709A4"/>
    <w:rsid w:val="00D70DAD"/>
    <w:rsid w:val="00D71214"/>
    <w:rsid w:val="00D71B36"/>
    <w:rsid w:val="00D71D1D"/>
    <w:rsid w:val="00D7296B"/>
    <w:rsid w:val="00D72A16"/>
    <w:rsid w:val="00D72AE5"/>
    <w:rsid w:val="00D72E85"/>
    <w:rsid w:val="00D73302"/>
    <w:rsid w:val="00D73A7E"/>
    <w:rsid w:val="00D73B0D"/>
    <w:rsid w:val="00D73FDF"/>
    <w:rsid w:val="00D742E7"/>
    <w:rsid w:val="00D742FC"/>
    <w:rsid w:val="00D744EC"/>
    <w:rsid w:val="00D75085"/>
    <w:rsid w:val="00D7510B"/>
    <w:rsid w:val="00D7551E"/>
    <w:rsid w:val="00D75AD6"/>
    <w:rsid w:val="00D75C65"/>
    <w:rsid w:val="00D76329"/>
    <w:rsid w:val="00D76786"/>
    <w:rsid w:val="00D774A4"/>
    <w:rsid w:val="00D77F38"/>
    <w:rsid w:val="00D800FD"/>
    <w:rsid w:val="00D806D3"/>
    <w:rsid w:val="00D808BA"/>
    <w:rsid w:val="00D8098B"/>
    <w:rsid w:val="00D80AF2"/>
    <w:rsid w:val="00D80D0E"/>
    <w:rsid w:val="00D80FBB"/>
    <w:rsid w:val="00D81B23"/>
    <w:rsid w:val="00D81C96"/>
    <w:rsid w:val="00D81D2D"/>
    <w:rsid w:val="00D81FD1"/>
    <w:rsid w:val="00D822FC"/>
    <w:rsid w:val="00D8249B"/>
    <w:rsid w:val="00D82545"/>
    <w:rsid w:val="00D827E0"/>
    <w:rsid w:val="00D82AC7"/>
    <w:rsid w:val="00D8337F"/>
    <w:rsid w:val="00D834D8"/>
    <w:rsid w:val="00D835D4"/>
    <w:rsid w:val="00D83D7A"/>
    <w:rsid w:val="00D83FA0"/>
    <w:rsid w:val="00D84097"/>
    <w:rsid w:val="00D849F9"/>
    <w:rsid w:val="00D84AD3"/>
    <w:rsid w:val="00D852F5"/>
    <w:rsid w:val="00D85F17"/>
    <w:rsid w:val="00D85F29"/>
    <w:rsid w:val="00D87003"/>
    <w:rsid w:val="00D87467"/>
    <w:rsid w:val="00D87E69"/>
    <w:rsid w:val="00D9053B"/>
    <w:rsid w:val="00D91889"/>
    <w:rsid w:val="00D9212E"/>
    <w:rsid w:val="00D9226B"/>
    <w:rsid w:val="00D92430"/>
    <w:rsid w:val="00D9252B"/>
    <w:rsid w:val="00D9292C"/>
    <w:rsid w:val="00D92FB2"/>
    <w:rsid w:val="00D934CA"/>
    <w:rsid w:val="00D9398D"/>
    <w:rsid w:val="00D93CFE"/>
    <w:rsid w:val="00D93D8E"/>
    <w:rsid w:val="00D93E74"/>
    <w:rsid w:val="00D93EC6"/>
    <w:rsid w:val="00D940B0"/>
    <w:rsid w:val="00D94675"/>
    <w:rsid w:val="00D94734"/>
    <w:rsid w:val="00D947CB"/>
    <w:rsid w:val="00D94B26"/>
    <w:rsid w:val="00D94BFE"/>
    <w:rsid w:val="00D95F3E"/>
    <w:rsid w:val="00D95FE0"/>
    <w:rsid w:val="00D966BB"/>
    <w:rsid w:val="00D967F1"/>
    <w:rsid w:val="00D96CB7"/>
    <w:rsid w:val="00D979BD"/>
    <w:rsid w:val="00DA0543"/>
    <w:rsid w:val="00DA0970"/>
    <w:rsid w:val="00DA0A46"/>
    <w:rsid w:val="00DA16BC"/>
    <w:rsid w:val="00DA16DB"/>
    <w:rsid w:val="00DA18E6"/>
    <w:rsid w:val="00DA1B4D"/>
    <w:rsid w:val="00DA1CED"/>
    <w:rsid w:val="00DA1DC1"/>
    <w:rsid w:val="00DA1FF9"/>
    <w:rsid w:val="00DA20A8"/>
    <w:rsid w:val="00DA29F8"/>
    <w:rsid w:val="00DA2A22"/>
    <w:rsid w:val="00DA2E38"/>
    <w:rsid w:val="00DA2F35"/>
    <w:rsid w:val="00DA3472"/>
    <w:rsid w:val="00DA41A8"/>
    <w:rsid w:val="00DA4BDF"/>
    <w:rsid w:val="00DA4CE7"/>
    <w:rsid w:val="00DA50AF"/>
    <w:rsid w:val="00DA5974"/>
    <w:rsid w:val="00DA6141"/>
    <w:rsid w:val="00DA653D"/>
    <w:rsid w:val="00DA686A"/>
    <w:rsid w:val="00DA6A7B"/>
    <w:rsid w:val="00DA6BE3"/>
    <w:rsid w:val="00DA6C57"/>
    <w:rsid w:val="00DA769F"/>
    <w:rsid w:val="00DA77BC"/>
    <w:rsid w:val="00DA7AE6"/>
    <w:rsid w:val="00DA7CEE"/>
    <w:rsid w:val="00DA7E5D"/>
    <w:rsid w:val="00DB0434"/>
    <w:rsid w:val="00DB064B"/>
    <w:rsid w:val="00DB0E28"/>
    <w:rsid w:val="00DB1496"/>
    <w:rsid w:val="00DB1603"/>
    <w:rsid w:val="00DB192F"/>
    <w:rsid w:val="00DB1CE5"/>
    <w:rsid w:val="00DB2146"/>
    <w:rsid w:val="00DB298F"/>
    <w:rsid w:val="00DB29A0"/>
    <w:rsid w:val="00DB307F"/>
    <w:rsid w:val="00DB3586"/>
    <w:rsid w:val="00DB38BD"/>
    <w:rsid w:val="00DB3B80"/>
    <w:rsid w:val="00DB4A95"/>
    <w:rsid w:val="00DB4EBD"/>
    <w:rsid w:val="00DB4EFC"/>
    <w:rsid w:val="00DB5075"/>
    <w:rsid w:val="00DB5E58"/>
    <w:rsid w:val="00DB6242"/>
    <w:rsid w:val="00DB6359"/>
    <w:rsid w:val="00DB64EB"/>
    <w:rsid w:val="00DB670A"/>
    <w:rsid w:val="00DB6825"/>
    <w:rsid w:val="00DB6A06"/>
    <w:rsid w:val="00DB6C45"/>
    <w:rsid w:val="00DB70A7"/>
    <w:rsid w:val="00DB77C5"/>
    <w:rsid w:val="00DB79D0"/>
    <w:rsid w:val="00DB7D77"/>
    <w:rsid w:val="00DB7DF5"/>
    <w:rsid w:val="00DB7EE8"/>
    <w:rsid w:val="00DB7F10"/>
    <w:rsid w:val="00DC0175"/>
    <w:rsid w:val="00DC0906"/>
    <w:rsid w:val="00DC0DEB"/>
    <w:rsid w:val="00DC0EE2"/>
    <w:rsid w:val="00DC1019"/>
    <w:rsid w:val="00DC1024"/>
    <w:rsid w:val="00DC1209"/>
    <w:rsid w:val="00DC125D"/>
    <w:rsid w:val="00DC1345"/>
    <w:rsid w:val="00DC14C3"/>
    <w:rsid w:val="00DC1BB9"/>
    <w:rsid w:val="00DC2288"/>
    <w:rsid w:val="00DC24AA"/>
    <w:rsid w:val="00DC278D"/>
    <w:rsid w:val="00DC2A77"/>
    <w:rsid w:val="00DC2C17"/>
    <w:rsid w:val="00DC2F16"/>
    <w:rsid w:val="00DC3389"/>
    <w:rsid w:val="00DC34EA"/>
    <w:rsid w:val="00DC3635"/>
    <w:rsid w:val="00DC388A"/>
    <w:rsid w:val="00DC3FAC"/>
    <w:rsid w:val="00DC4624"/>
    <w:rsid w:val="00DC4946"/>
    <w:rsid w:val="00DC49C0"/>
    <w:rsid w:val="00DC4BDF"/>
    <w:rsid w:val="00DC4EB5"/>
    <w:rsid w:val="00DC54BB"/>
    <w:rsid w:val="00DC54CF"/>
    <w:rsid w:val="00DC5A58"/>
    <w:rsid w:val="00DC657F"/>
    <w:rsid w:val="00DC6622"/>
    <w:rsid w:val="00DC6CB9"/>
    <w:rsid w:val="00DC6E8C"/>
    <w:rsid w:val="00DC7CBA"/>
    <w:rsid w:val="00DC7CEA"/>
    <w:rsid w:val="00DD09AD"/>
    <w:rsid w:val="00DD11DC"/>
    <w:rsid w:val="00DD14BF"/>
    <w:rsid w:val="00DD1511"/>
    <w:rsid w:val="00DD1AF3"/>
    <w:rsid w:val="00DD1FB3"/>
    <w:rsid w:val="00DD2742"/>
    <w:rsid w:val="00DD2D30"/>
    <w:rsid w:val="00DD2DFA"/>
    <w:rsid w:val="00DD3090"/>
    <w:rsid w:val="00DD352C"/>
    <w:rsid w:val="00DD3905"/>
    <w:rsid w:val="00DD3CDF"/>
    <w:rsid w:val="00DD3D18"/>
    <w:rsid w:val="00DD47C4"/>
    <w:rsid w:val="00DD47D6"/>
    <w:rsid w:val="00DD4920"/>
    <w:rsid w:val="00DD49D1"/>
    <w:rsid w:val="00DD5D66"/>
    <w:rsid w:val="00DD5F93"/>
    <w:rsid w:val="00DD61DF"/>
    <w:rsid w:val="00DD6361"/>
    <w:rsid w:val="00DD636B"/>
    <w:rsid w:val="00DD6FC6"/>
    <w:rsid w:val="00DD710A"/>
    <w:rsid w:val="00DD77B8"/>
    <w:rsid w:val="00DD785B"/>
    <w:rsid w:val="00DE064A"/>
    <w:rsid w:val="00DE0C59"/>
    <w:rsid w:val="00DE13BD"/>
    <w:rsid w:val="00DE140A"/>
    <w:rsid w:val="00DE1731"/>
    <w:rsid w:val="00DE183E"/>
    <w:rsid w:val="00DE1F78"/>
    <w:rsid w:val="00DE2276"/>
    <w:rsid w:val="00DE23AF"/>
    <w:rsid w:val="00DE2EE9"/>
    <w:rsid w:val="00DE3186"/>
    <w:rsid w:val="00DE39F2"/>
    <w:rsid w:val="00DE41F2"/>
    <w:rsid w:val="00DE47C5"/>
    <w:rsid w:val="00DE4F1D"/>
    <w:rsid w:val="00DE5744"/>
    <w:rsid w:val="00DE5CFE"/>
    <w:rsid w:val="00DE5EE7"/>
    <w:rsid w:val="00DE635F"/>
    <w:rsid w:val="00DE64BA"/>
    <w:rsid w:val="00DE6B2A"/>
    <w:rsid w:val="00DE6CD0"/>
    <w:rsid w:val="00DE6D8E"/>
    <w:rsid w:val="00DF00E2"/>
    <w:rsid w:val="00DF01E7"/>
    <w:rsid w:val="00DF047B"/>
    <w:rsid w:val="00DF0650"/>
    <w:rsid w:val="00DF073D"/>
    <w:rsid w:val="00DF0743"/>
    <w:rsid w:val="00DF13BB"/>
    <w:rsid w:val="00DF13F8"/>
    <w:rsid w:val="00DF14EE"/>
    <w:rsid w:val="00DF16AA"/>
    <w:rsid w:val="00DF18C2"/>
    <w:rsid w:val="00DF1F36"/>
    <w:rsid w:val="00DF2E87"/>
    <w:rsid w:val="00DF32DE"/>
    <w:rsid w:val="00DF387C"/>
    <w:rsid w:val="00DF3CD0"/>
    <w:rsid w:val="00DF4490"/>
    <w:rsid w:val="00DF4764"/>
    <w:rsid w:val="00DF4942"/>
    <w:rsid w:val="00DF4DFA"/>
    <w:rsid w:val="00DF589B"/>
    <w:rsid w:val="00DF5B14"/>
    <w:rsid w:val="00DF5FBC"/>
    <w:rsid w:val="00DF6B25"/>
    <w:rsid w:val="00DF6C43"/>
    <w:rsid w:val="00DF7943"/>
    <w:rsid w:val="00E00206"/>
    <w:rsid w:val="00E00D85"/>
    <w:rsid w:val="00E015BF"/>
    <w:rsid w:val="00E015E1"/>
    <w:rsid w:val="00E02829"/>
    <w:rsid w:val="00E02C22"/>
    <w:rsid w:val="00E02D6D"/>
    <w:rsid w:val="00E02FC0"/>
    <w:rsid w:val="00E030AC"/>
    <w:rsid w:val="00E03684"/>
    <w:rsid w:val="00E03AD2"/>
    <w:rsid w:val="00E03B3F"/>
    <w:rsid w:val="00E03D6F"/>
    <w:rsid w:val="00E0404A"/>
    <w:rsid w:val="00E0408A"/>
    <w:rsid w:val="00E043F0"/>
    <w:rsid w:val="00E049C9"/>
    <w:rsid w:val="00E04A41"/>
    <w:rsid w:val="00E04BC0"/>
    <w:rsid w:val="00E05126"/>
    <w:rsid w:val="00E052E6"/>
    <w:rsid w:val="00E05E9C"/>
    <w:rsid w:val="00E062C2"/>
    <w:rsid w:val="00E06449"/>
    <w:rsid w:val="00E068CA"/>
    <w:rsid w:val="00E06BE1"/>
    <w:rsid w:val="00E0701E"/>
    <w:rsid w:val="00E07064"/>
    <w:rsid w:val="00E07B1E"/>
    <w:rsid w:val="00E1028A"/>
    <w:rsid w:val="00E103F1"/>
    <w:rsid w:val="00E1053E"/>
    <w:rsid w:val="00E11C2E"/>
    <w:rsid w:val="00E12125"/>
    <w:rsid w:val="00E1228F"/>
    <w:rsid w:val="00E1270A"/>
    <w:rsid w:val="00E12809"/>
    <w:rsid w:val="00E12B93"/>
    <w:rsid w:val="00E13612"/>
    <w:rsid w:val="00E13CFF"/>
    <w:rsid w:val="00E13F0A"/>
    <w:rsid w:val="00E1448B"/>
    <w:rsid w:val="00E14C44"/>
    <w:rsid w:val="00E14DB2"/>
    <w:rsid w:val="00E14DDF"/>
    <w:rsid w:val="00E15109"/>
    <w:rsid w:val="00E15299"/>
    <w:rsid w:val="00E152D7"/>
    <w:rsid w:val="00E15ED4"/>
    <w:rsid w:val="00E166C7"/>
    <w:rsid w:val="00E16D44"/>
    <w:rsid w:val="00E16DC1"/>
    <w:rsid w:val="00E16FE4"/>
    <w:rsid w:val="00E172A4"/>
    <w:rsid w:val="00E1759B"/>
    <w:rsid w:val="00E17CF2"/>
    <w:rsid w:val="00E200F9"/>
    <w:rsid w:val="00E20569"/>
    <w:rsid w:val="00E217B0"/>
    <w:rsid w:val="00E22056"/>
    <w:rsid w:val="00E22807"/>
    <w:rsid w:val="00E22BD3"/>
    <w:rsid w:val="00E22BE5"/>
    <w:rsid w:val="00E2323A"/>
    <w:rsid w:val="00E23265"/>
    <w:rsid w:val="00E24075"/>
    <w:rsid w:val="00E243DF"/>
    <w:rsid w:val="00E24444"/>
    <w:rsid w:val="00E24C4A"/>
    <w:rsid w:val="00E24CE9"/>
    <w:rsid w:val="00E25D6E"/>
    <w:rsid w:val="00E2621F"/>
    <w:rsid w:val="00E2673F"/>
    <w:rsid w:val="00E26C0C"/>
    <w:rsid w:val="00E26DEF"/>
    <w:rsid w:val="00E27084"/>
    <w:rsid w:val="00E273A1"/>
    <w:rsid w:val="00E274D8"/>
    <w:rsid w:val="00E2751F"/>
    <w:rsid w:val="00E275D1"/>
    <w:rsid w:val="00E276BA"/>
    <w:rsid w:val="00E307C7"/>
    <w:rsid w:val="00E3170D"/>
    <w:rsid w:val="00E31924"/>
    <w:rsid w:val="00E31EB6"/>
    <w:rsid w:val="00E322AD"/>
    <w:rsid w:val="00E328EB"/>
    <w:rsid w:val="00E329EB"/>
    <w:rsid w:val="00E32AD5"/>
    <w:rsid w:val="00E330C3"/>
    <w:rsid w:val="00E3359C"/>
    <w:rsid w:val="00E33E5B"/>
    <w:rsid w:val="00E33F64"/>
    <w:rsid w:val="00E34057"/>
    <w:rsid w:val="00E346FE"/>
    <w:rsid w:val="00E34AAB"/>
    <w:rsid w:val="00E354A4"/>
    <w:rsid w:val="00E35F86"/>
    <w:rsid w:val="00E365C2"/>
    <w:rsid w:val="00E36635"/>
    <w:rsid w:val="00E3665D"/>
    <w:rsid w:val="00E36668"/>
    <w:rsid w:val="00E369C7"/>
    <w:rsid w:val="00E36F6F"/>
    <w:rsid w:val="00E37665"/>
    <w:rsid w:val="00E377DA"/>
    <w:rsid w:val="00E37B96"/>
    <w:rsid w:val="00E40292"/>
    <w:rsid w:val="00E4064F"/>
    <w:rsid w:val="00E40BB9"/>
    <w:rsid w:val="00E41143"/>
    <w:rsid w:val="00E41269"/>
    <w:rsid w:val="00E41819"/>
    <w:rsid w:val="00E41A70"/>
    <w:rsid w:val="00E41E57"/>
    <w:rsid w:val="00E4292E"/>
    <w:rsid w:val="00E43251"/>
    <w:rsid w:val="00E435B9"/>
    <w:rsid w:val="00E43DA8"/>
    <w:rsid w:val="00E43F13"/>
    <w:rsid w:val="00E44269"/>
    <w:rsid w:val="00E450FC"/>
    <w:rsid w:val="00E4560E"/>
    <w:rsid w:val="00E45CEB"/>
    <w:rsid w:val="00E45E5F"/>
    <w:rsid w:val="00E46051"/>
    <w:rsid w:val="00E46899"/>
    <w:rsid w:val="00E4789C"/>
    <w:rsid w:val="00E47D6A"/>
    <w:rsid w:val="00E50531"/>
    <w:rsid w:val="00E50AFC"/>
    <w:rsid w:val="00E5112E"/>
    <w:rsid w:val="00E513A5"/>
    <w:rsid w:val="00E51457"/>
    <w:rsid w:val="00E5164C"/>
    <w:rsid w:val="00E519E2"/>
    <w:rsid w:val="00E51A5C"/>
    <w:rsid w:val="00E51F02"/>
    <w:rsid w:val="00E52F55"/>
    <w:rsid w:val="00E531AC"/>
    <w:rsid w:val="00E53640"/>
    <w:rsid w:val="00E53DC4"/>
    <w:rsid w:val="00E545C3"/>
    <w:rsid w:val="00E546B6"/>
    <w:rsid w:val="00E54717"/>
    <w:rsid w:val="00E54807"/>
    <w:rsid w:val="00E559DE"/>
    <w:rsid w:val="00E55CAB"/>
    <w:rsid w:val="00E56232"/>
    <w:rsid w:val="00E56446"/>
    <w:rsid w:val="00E565A4"/>
    <w:rsid w:val="00E56A76"/>
    <w:rsid w:val="00E56DC8"/>
    <w:rsid w:val="00E56F58"/>
    <w:rsid w:val="00E57694"/>
    <w:rsid w:val="00E57E58"/>
    <w:rsid w:val="00E57F14"/>
    <w:rsid w:val="00E6093E"/>
    <w:rsid w:val="00E610F4"/>
    <w:rsid w:val="00E61A95"/>
    <w:rsid w:val="00E61AF0"/>
    <w:rsid w:val="00E62051"/>
    <w:rsid w:val="00E622D8"/>
    <w:rsid w:val="00E6249E"/>
    <w:rsid w:val="00E625BA"/>
    <w:rsid w:val="00E62961"/>
    <w:rsid w:val="00E62CF5"/>
    <w:rsid w:val="00E62F40"/>
    <w:rsid w:val="00E63398"/>
    <w:rsid w:val="00E634AE"/>
    <w:rsid w:val="00E636FF"/>
    <w:rsid w:val="00E63A9B"/>
    <w:rsid w:val="00E6445B"/>
    <w:rsid w:val="00E646A8"/>
    <w:rsid w:val="00E649ED"/>
    <w:rsid w:val="00E64C2F"/>
    <w:rsid w:val="00E64EC6"/>
    <w:rsid w:val="00E652CC"/>
    <w:rsid w:val="00E65D0F"/>
    <w:rsid w:val="00E65E29"/>
    <w:rsid w:val="00E66397"/>
    <w:rsid w:val="00E66456"/>
    <w:rsid w:val="00E665F0"/>
    <w:rsid w:val="00E672E5"/>
    <w:rsid w:val="00E67722"/>
    <w:rsid w:val="00E70546"/>
    <w:rsid w:val="00E7061E"/>
    <w:rsid w:val="00E71141"/>
    <w:rsid w:val="00E7144E"/>
    <w:rsid w:val="00E7145C"/>
    <w:rsid w:val="00E715F0"/>
    <w:rsid w:val="00E71657"/>
    <w:rsid w:val="00E719BE"/>
    <w:rsid w:val="00E71BF9"/>
    <w:rsid w:val="00E71EFE"/>
    <w:rsid w:val="00E71F8D"/>
    <w:rsid w:val="00E720BF"/>
    <w:rsid w:val="00E72486"/>
    <w:rsid w:val="00E7291E"/>
    <w:rsid w:val="00E72AF0"/>
    <w:rsid w:val="00E73699"/>
    <w:rsid w:val="00E737A0"/>
    <w:rsid w:val="00E7384F"/>
    <w:rsid w:val="00E73C77"/>
    <w:rsid w:val="00E74150"/>
    <w:rsid w:val="00E743A5"/>
    <w:rsid w:val="00E74588"/>
    <w:rsid w:val="00E74886"/>
    <w:rsid w:val="00E74E71"/>
    <w:rsid w:val="00E75302"/>
    <w:rsid w:val="00E7538D"/>
    <w:rsid w:val="00E755F6"/>
    <w:rsid w:val="00E7575C"/>
    <w:rsid w:val="00E75A73"/>
    <w:rsid w:val="00E75EC5"/>
    <w:rsid w:val="00E76199"/>
    <w:rsid w:val="00E762FC"/>
    <w:rsid w:val="00E7637B"/>
    <w:rsid w:val="00E7644E"/>
    <w:rsid w:val="00E76C4F"/>
    <w:rsid w:val="00E7753B"/>
    <w:rsid w:val="00E77D5E"/>
    <w:rsid w:val="00E80329"/>
    <w:rsid w:val="00E80ADA"/>
    <w:rsid w:val="00E80B98"/>
    <w:rsid w:val="00E80CDF"/>
    <w:rsid w:val="00E81A40"/>
    <w:rsid w:val="00E81B55"/>
    <w:rsid w:val="00E82BDD"/>
    <w:rsid w:val="00E83208"/>
    <w:rsid w:val="00E83621"/>
    <w:rsid w:val="00E83BE3"/>
    <w:rsid w:val="00E8427C"/>
    <w:rsid w:val="00E84B89"/>
    <w:rsid w:val="00E85BAD"/>
    <w:rsid w:val="00E86B01"/>
    <w:rsid w:val="00E86ED3"/>
    <w:rsid w:val="00E87A01"/>
    <w:rsid w:val="00E87B28"/>
    <w:rsid w:val="00E87B99"/>
    <w:rsid w:val="00E87BD5"/>
    <w:rsid w:val="00E87CBC"/>
    <w:rsid w:val="00E8E25A"/>
    <w:rsid w:val="00E9101F"/>
    <w:rsid w:val="00E9136E"/>
    <w:rsid w:val="00E916CF"/>
    <w:rsid w:val="00E91AC2"/>
    <w:rsid w:val="00E91B9D"/>
    <w:rsid w:val="00E91DBE"/>
    <w:rsid w:val="00E92462"/>
    <w:rsid w:val="00E925AF"/>
    <w:rsid w:val="00E927A0"/>
    <w:rsid w:val="00E92E03"/>
    <w:rsid w:val="00E930B6"/>
    <w:rsid w:val="00E93263"/>
    <w:rsid w:val="00E93AD2"/>
    <w:rsid w:val="00E93C36"/>
    <w:rsid w:val="00E940E6"/>
    <w:rsid w:val="00E94712"/>
    <w:rsid w:val="00E954F9"/>
    <w:rsid w:val="00E95996"/>
    <w:rsid w:val="00E95AE6"/>
    <w:rsid w:val="00E964D8"/>
    <w:rsid w:val="00E96AAE"/>
    <w:rsid w:val="00E975A3"/>
    <w:rsid w:val="00E97737"/>
    <w:rsid w:val="00EA0551"/>
    <w:rsid w:val="00EA0710"/>
    <w:rsid w:val="00EA0D55"/>
    <w:rsid w:val="00EA0F31"/>
    <w:rsid w:val="00EA0F83"/>
    <w:rsid w:val="00EA1CCF"/>
    <w:rsid w:val="00EA21D1"/>
    <w:rsid w:val="00EA226A"/>
    <w:rsid w:val="00EA2A78"/>
    <w:rsid w:val="00EA2B3E"/>
    <w:rsid w:val="00EA2C41"/>
    <w:rsid w:val="00EA2EDB"/>
    <w:rsid w:val="00EA31A9"/>
    <w:rsid w:val="00EA39B7"/>
    <w:rsid w:val="00EA40D8"/>
    <w:rsid w:val="00EA429F"/>
    <w:rsid w:val="00EA449A"/>
    <w:rsid w:val="00EA4639"/>
    <w:rsid w:val="00EA4986"/>
    <w:rsid w:val="00EA4FA5"/>
    <w:rsid w:val="00EA5A8F"/>
    <w:rsid w:val="00EA5EE4"/>
    <w:rsid w:val="00EA5FE6"/>
    <w:rsid w:val="00EA60F2"/>
    <w:rsid w:val="00EA6C5F"/>
    <w:rsid w:val="00EA6D01"/>
    <w:rsid w:val="00EA733C"/>
    <w:rsid w:val="00EA77E8"/>
    <w:rsid w:val="00EA7C2B"/>
    <w:rsid w:val="00EB065F"/>
    <w:rsid w:val="00EB0790"/>
    <w:rsid w:val="00EB07E9"/>
    <w:rsid w:val="00EB0B42"/>
    <w:rsid w:val="00EB0CCC"/>
    <w:rsid w:val="00EB0EF2"/>
    <w:rsid w:val="00EB0FA3"/>
    <w:rsid w:val="00EB135D"/>
    <w:rsid w:val="00EB14E7"/>
    <w:rsid w:val="00EB1773"/>
    <w:rsid w:val="00EB1935"/>
    <w:rsid w:val="00EB1CF3"/>
    <w:rsid w:val="00EB1DF4"/>
    <w:rsid w:val="00EB226A"/>
    <w:rsid w:val="00EB23D4"/>
    <w:rsid w:val="00EB280F"/>
    <w:rsid w:val="00EB2908"/>
    <w:rsid w:val="00EB315C"/>
    <w:rsid w:val="00EB371F"/>
    <w:rsid w:val="00EB37DF"/>
    <w:rsid w:val="00EB38F5"/>
    <w:rsid w:val="00EB3B9C"/>
    <w:rsid w:val="00EB3D55"/>
    <w:rsid w:val="00EB4090"/>
    <w:rsid w:val="00EB40DB"/>
    <w:rsid w:val="00EB45C2"/>
    <w:rsid w:val="00EB47EB"/>
    <w:rsid w:val="00EB53AC"/>
    <w:rsid w:val="00EB596B"/>
    <w:rsid w:val="00EB5C5E"/>
    <w:rsid w:val="00EB6320"/>
    <w:rsid w:val="00EB642C"/>
    <w:rsid w:val="00EB7089"/>
    <w:rsid w:val="00EB751B"/>
    <w:rsid w:val="00EB7867"/>
    <w:rsid w:val="00EC004F"/>
    <w:rsid w:val="00EC01D2"/>
    <w:rsid w:val="00EC0720"/>
    <w:rsid w:val="00EC1264"/>
    <w:rsid w:val="00EC1864"/>
    <w:rsid w:val="00EC18AB"/>
    <w:rsid w:val="00EC2004"/>
    <w:rsid w:val="00EC2245"/>
    <w:rsid w:val="00EC26F4"/>
    <w:rsid w:val="00EC388B"/>
    <w:rsid w:val="00EC3BD8"/>
    <w:rsid w:val="00EC3ED1"/>
    <w:rsid w:val="00EC4030"/>
    <w:rsid w:val="00EC45E7"/>
    <w:rsid w:val="00EC4CE0"/>
    <w:rsid w:val="00EC4FA9"/>
    <w:rsid w:val="00EC510C"/>
    <w:rsid w:val="00EC54BA"/>
    <w:rsid w:val="00EC61CC"/>
    <w:rsid w:val="00EC6428"/>
    <w:rsid w:val="00EC6B17"/>
    <w:rsid w:val="00EC734D"/>
    <w:rsid w:val="00EC7793"/>
    <w:rsid w:val="00EC77C7"/>
    <w:rsid w:val="00EC7A66"/>
    <w:rsid w:val="00ED016E"/>
    <w:rsid w:val="00ED0247"/>
    <w:rsid w:val="00ED0419"/>
    <w:rsid w:val="00ED05D4"/>
    <w:rsid w:val="00ED088A"/>
    <w:rsid w:val="00ED08D4"/>
    <w:rsid w:val="00ED114C"/>
    <w:rsid w:val="00ED159E"/>
    <w:rsid w:val="00ED169E"/>
    <w:rsid w:val="00ED1E34"/>
    <w:rsid w:val="00ED2665"/>
    <w:rsid w:val="00ED279A"/>
    <w:rsid w:val="00ED292B"/>
    <w:rsid w:val="00ED2990"/>
    <w:rsid w:val="00ED2F0D"/>
    <w:rsid w:val="00ED33A5"/>
    <w:rsid w:val="00ED373F"/>
    <w:rsid w:val="00ED37BD"/>
    <w:rsid w:val="00ED3AA0"/>
    <w:rsid w:val="00ED3B68"/>
    <w:rsid w:val="00ED3C4B"/>
    <w:rsid w:val="00ED3D64"/>
    <w:rsid w:val="00ED4079"/>
    <w:rsid w:val="00ED4A60"/>
    <w:rsid w:val="00ED4BA4"/>
    <w:rsid w:val="00ED5394"/>
    <w:rsid w:val="00ED5673"/>
    <w:rsid w:val="00ED5B94"/>
    <w:rsid w:val="00ED5EC1"/>
    <w:rsid w:val="00ED6754"/>
    <w:rsid w:val="00ED67C3"/>
    <w:rsid w:val="00ED6C7D"/>
    <w:rsid w:val="00ED6D24"/>
    <w:rsid w:val="00ED6F60"/>
    <w:rsid w:val="00ED7595"/>
    <w:rsid w:val="00ED7899"/>
    <w:rsid w:val="00ED7A3C"/>
    <w:rsid w:val="00EE00A1"/>
    <w:rsid w:val="00EE022F"/>
    <w:rsid w:val="00EE09DE"/>
    <w:rsid w:val="00EE0F55"/>
    <w:rsid w:val="00EE1053"/>
    <w:rsid w:val="00EE1277"/>
    <w:rsid w:val="00EE1422"/>
    <w:rsid w:val="00EE1882"/>
    <w:rsid w:val="00EE1CCC"/>
    <w:rsid w:val="00EE2132"/>
    <w:rsid w:val="00EE27FA"/>
    <w:rsid w:val="00EE284D"/>
    <w:rsid w:val="00EE2A0D"/>
    <w:rsid w:val="00EE2A50"/>
    <w:rsid w:val="00EE2B99"/>
    <w:rsid w:val="00EE32BF"/>
    <w:rsid w:val="00EE37E0"/>
    <w:rsid w:val="00EE3A0C"/>
    <w:rsid w:val="00EE3F34"/>
    <w:rsid w:val="00EE44EA"/>
    <w:rsid w:val="00EE4611"/>
    <w:rsid w:val="00EE48F8"/>
    <w:rsid w:val="00EE4AEC"/>
    <w:rsid w:val="00EE5372"/>
    <w:rsid w:val="00EE5BB9"/>
    <w:rsid w:val="00EE5C83"/>
    <w:rsid w:val="00EE5D24"/>
    <w:rsid w:val="00EE62E2"/>
    <w:rsid w:val="00EE64BF"/>
    <w:rsid w:val="00EE65FC"/>
    <w:rsid w:val="00EE690B"/>
    <w:rsid w:val="00EE6C7D"/>
    <w:rsid w:val="00EE6D07"/>
    <w:rsid w:val="00EE7021"/>
    <w:rsid w:val="00EE7B5F"/>
    <w:rsid w:val="00EF03BC"/>
    <w:rsid w:val="00EF0858"/>
    <w:rsid w:val="00EF0B59"/>
    <w:rsid w:val="00EF0BFF"/>
    <w:rsid w:val="00EF0C80"/>
    <w:rsid w:val="00EF1160"/>
    <w:rsid w:val="00EF17F6"/>
    <w:rsid w:val="00EF1827"/>
    <w:rsid w:val="00EF1B66"/>
    <w:rsid w:val="00EF2003"/>
    <w:rsid w:val="00EF25BB"/>
    <w:rsid w:val="00EF2630"/>
    <w:rsid w:val="00EF2696"/>
    <w:rsid w:val="00EF2737"/>
    <w:rsid w:val="00EF2942"/>
    <w:rsid w:val="00EF2E7B"/>
    <w:rsid w:val="00EF355C"/>
    <w:rsid w:val="00EF39E1"/>
    <w:rsid w:val="00EF3C36"/>
    <w:rsid w:val="00EF3E32"/>
    <w:rsid w:val="00EF41B4"/>
    <w:rsid w:val="00EF45FD"/>
    <w:rsid w:val="00EF47D5"/>
    <w:rsid w:val="00EF51CA"/>
    <w:rsid w:val="00EF5FB0"/>
    <w:rsid w:val="00EF6806"/>
    <w:rsid w:val="00EF6B89"/>
    <w:rsid w:val="00EF6E7B"/>
    <w:rsid w:val="00EF7720"/>
    <w:rsid w:val="00EF78B3"/>
    <w:rsid w:val="00EF7EEF"/>
    <w:rsid w:val="00F005DF"/>
    <w:rsid w:val="00F01511"/>
    <w:rsid w:val="00F01537"/>
    <w:rsid w:val="00F01A1B"/>
    <w:rsid w:val="00F01B22"/>
    <w:rsid w:val="00F01BFA"/>
    <w:rsid w:val="00F02158"/>
    <w:rsid w:val="00F021E5"/>
    <w:rsid w:val="00F023A1"/>
    <w:rsid w:val="00F025E0"/>
    <w:rsid w:val="00F0260D"/>
    <w:rsid w:val="00F02AC1"/>
    <w:rsid w:val="00F02D93"/>
    <w:rsid w:val="00F03087"/>
    <w:rsid w:val="00F03D12"/>
    <w:rsid w:val="00F0448F"/>
    <w:rsid w:val="00F047BC"/>
    <w:rsid w:val="00F04EC7"/>
    <w:rsid w:val="00F04F7E"/>
    <w:rsid w:val="00F0510B"/>
    <w:rsid w:val="00F05DDC"/>
    <w:rsid w:val="00F06B07"/>
    <w:rsid w:val="00F07698"/>
    <w:rsid w:val="00F076D5"/>
    <w:rsid w:val="00F0771E"/>
    <w:rsid w:val="00F07782"/>
    <w:rsid w:val="00F07D0F"/>
    <w:rsid w:val="00F07E8D"/>
    <w:rsid w:val="00F105A8"/>
    <w:rsid w:val="00F10AAF"/>
    <w:rsid w:val="00F10AEE"/>
    <w:rsid w:val="00F10FD8"/>
    <w:rsid w:val="00F11110"/>
    <w:rsid w:val="00F111BB"/>
    <w:rsid w:val="00F114E9"/>
    <w:rsid w:val="00F116B6"/>
    <w:rsid w:val="00F117AC"/>
    <w:rsid w:val="00F11B8A"/>
    <w:rsid w:val="00F12275"/>
    <w:rsid w:val="00F129BC"/>
    <w:rsid w:val="00F12E42"/>
    <w:rsid w:val="00F137D7"/>
    <w:rsid w:val="00F13A55"/>
    <w:rsid w:val="00F14313"/>
    <w:rsid w:val="00F14393"/>
    <w:rsid w:val="00F144F6"/>
    <w:rsid w:val="00F1499F"/>
    <w:rsid w:val="00F14F22"/>
    <w:rsid w:val="00F152CD"/>
    <w:rsid w:val="00F15D9C"/>
    <w:rsid w:val="00F16C23"/>
    <w:rsid w:val="00F1754C"/>
    <w:rsid w:val="00F1784D"/>
    <w:rsid w:val="00F17A45"/>
    <w:rsid w:val="00F17A95"/>
    <w:rsid w:val="00F17AEB"/>
    <w:rsid w:val="00F17FEB"/>
    <w:rsid w:val="00F209D7"/>
    <w:rsid w:val="00F217F6"/>
    <w:rsid w:val="00F21835"/>
    <w:rsid w:val="00F22060"/>
    <w:rsid w:val="00F22847"/>
    <w:rsid w:val="00F23014"/>
    <w:rsid w:val="00F2317C"/>
    <w:rsid w:val="00F2357C"/>
    <w:rsid w:val="00F23857"/>
    <w:rsid w:val="00F23AE7"/>
    <w:rsid w:val="00F23BE4"/>
    <w:rsid w:val="00F24990"/>
    <w:rsid w:val="00F24DA3"/>
    <w:rsid w:val="00F252D0"/>
    <w:rsid w:val="00F2535E"/>
    <w:rsid w:val="00F25DC3"/>
    <w:rsid w:val="00F25EF2"/>
    <w:rsid w:val="00F26617"/>
    <w:rsid w:val="00F2672C"/>
    <w:rsid w:val="00F26878"/>
    <w:rsid w:val="00F275E3"/>
    <w:rsid w:val="00F3000E"/>
    <w:rsid w:val="00F30586"/>
    <w:rsid w:val="00F31864"/>
    <w:rsid w:val="00F319B8"/>
    <w:rsid w:val="00F31E46"/>
    <w:rsid w:val="00F31E5E"/>
    <w:rsid w:val="00F32194"/>
    <w:rsid w:val="00F322CD"/>
    <w:rsid w:val="00F325B1"/>
    <w:rsid w:val="00F3278A"/>
    <w:rsid w:val="00F32B7B"/>
    <w:rsid w:val="00F32C44"/>
    <w:rsid w:val="00F335BE"/>
    <w:rsid w:val="00F338E5"/>
    <w:rsid w:val="00F33BF1"/>
    <w:rsid w:val="00F33C3A"/>
    <w:rsid w:val="00F33E0F"/>
    <w:rsid w:val="00F344A3"/>
    <w:rsid w:val="00F34BAF"/>
    <w:rsid w:val="00F34C81"/>
    <w:rsid w:val="00F35818"/>
    <w:rsid w:val="00F35B26"/>
    <w:rsid w:val="00F35DCB"/>
    <w:rsid w:val="00F35EBB"/>
    <w:rsid w:val="00F36423"/>
    <w:rsid w:val="00F36BEA"/>
    <w:rsid w:val="00F36DCA"/>
    <w:rsid w:val="00F36E97"/>
    <w:rsid w:val="00F36F15"/>
    <w:rsid w:val="00F36FEC"/>
    <w:rsid w:val="00F37099"/>
    <w:rsid w:val="00F3744B"/>
    <w:rsid w:val="00F3753D"/>
    <w:rsid w:val="00F3785C"/>
    <w:rsid w:val="00F40206"/>
    <w:rsid w:val="00F40FB6"/>
    <w:rsid w:val="00F411D1"/>
    <w:rsid w:val="00F4138D"/>
    <w:rsid w:val="00F41402"/>
    <w:rsid w:val="00F4159E"/>
    <w:rsid w:val="00F4160C"/>
    <w:rsid w:val="00F421F8"/>
    <w:rsid w:val="00F42735"/>
    <w:rsid w:val="00F42C25"/>
    <w:rsid w:val="00F4314B"/>
    <w:rsid w:val="00F435AC"/>
    <w:rsid w:val="00F436E3"/>
    <w:rsid w:val="00F43C45"/>
    <w:rsid w:val="00F43F64"/>
    <w:rsid w:val="00F448B0"/>
    <w:rsid w:val="00F44A11"/>
    <w:rsid w:val="00F44CFB"/>
    <w:rsid w:val="00F44F60"/>
    <w:rsid w:val="00F45232"/>
    <w:rsid w:val="00F4549A"/>
    <w:rsid w:val="00F45DDE"/>
    <w:rsid w:val="00F4610D"/>
    <w:rsid w:val="00F4631A"/>
    <w:rsid w:val="00F466B1"/>
    <w:rsid w:val="00F46919"/>
    <w:rsid w:val="00F46CB2"/>
    <w:rsid w:val="00F46DD8"/>
    <w:rsid w:val="00F47916"/>
    <w:rsid w:val="00F47BFC"/>
    <w:rsid w:val="00F47EEA"/>
    <w:rsid w:val="00F506B6"/>
    <w:rsid w:val="00F509AC"/>
    <w:rsid w:val="00F50B35"/>
    <w:rsid w:val="00F50F5E"/>
    <w:rsid w:val="00F5111D"/>
    <w:rsid w:val="00F5115D"/>
    <w:rsid w:val="00F51237"/>
    <w:rsid w:val="00F5159E"/>
    <w:rsid w:val="00F51956"/>
    <w:rsid w:val="00F51B08"/>
    <w:rsid w:val="00F51FF3"/>
    <w:rsid w:val="00F52058"/>
    <w:rsid w:val="00F520F2"/>
    <w:rsid w:val="00F521B4"/>
    <w:rsid w:val="00F52354"/>
    <w:rsid w:val="00F525E5"/>
    <w:rsid w:val="00F53EFC"/>
    <w:rsid w:val="00F54336"/>
    <w:rsid w:val="00F54412"/>
    <w:rsid w:val="00F545BF"/>
    <w:rsid w:val="00F54E5B"/>
    <w:rsid w:val="00F54E97"/>
    <w:rsid w:val="00F54EE8"/>
    <w:rsid w:val="00F55312"/>
    <w:rsid w:val="00F5531D"/>
    <w:rsid w:val="00F554A5"/>
    <w:rsid w:val="00F555A4"/>
    <w:rsid w:val="00F55CCD"/>
    <w:rsid w:val="00F55E3A"/>
    <w:rsid w:val="00F55FE6"/>
    <w:rsid w:val="00F5639F"/>
    <w:rsid w:val="00F56466"/>
    <w:rsid w:val="00F56B08"/>
    <w:rsid w:val="00F572C7"/>
    <w:rsid w:val="00F5749C"/>
    <w:rsid w:val="00F579B8"/>
    <w:rsid w:val="00F6029A"/>
    <w:rsid w:val="00F60492"/>
    <w:rsid w:val="00F607D3"/>
    <w:rsid w:val="00F60CF3"/>
    <w:rsid w:val="00F60E70"/>
    <w:rsid w:val="00F61296"/>
    <w:rsid w:val="00F61831"/>
    <w:rsid w:val="00F61FDC"/>
    <w:rsid w:val="00F621E0"/>
    <w:rsid w:val="00F62274"/>
    <w:rsid w:val="00F627FB"/>
    <w:rsid w:val="00F62930"/>
    <w:rsid w:val="00F629DF"/>
    <w:rsid w:val="00F62EBC"/>
    <w:rsid w:val="00F63D5F"/>
    <w:rsid w:val="00F63E8D"/>
    <w:rsid w:val="00F64B0B"/>
    <w:rsid w:val="00F64BB6"/>
    <w:rsid w:val="00F6537A"/>
    <w:rsid w:val="00F669A8"/>
    <w:rsid w:val="00F67023"/>
    <w:rsid w:val="00F7061E"/>
    <w:rsid w:val="00F70D71"/>
    <w:rsid w:val="00F7101E"/>
    <w:rsid w:val="00F7125F"/>
    <w:rsid w:val="00F71811"/>
    <w:rsid w:val="00F718B1"/>
    <w:rsid w:val="00F71FA4"/>
    <w:rsid w:val="00F7201E"/>
    <w:rsid w:val="00F720F9"/>
    <w:rsid w:val="00F722AD"/>
    <w:rsid w:val="00F723EE"/>
    <w:rsid w:val="00F7284F"/>
    <w:rsid w:val="00F72C5D"/>
    <w:rsid w:val="00F72FD1"/>
    <w:rsid w:val="00F73042"/>
    <w:rsid w:val="00F732E2"/>
    <w:rsid w:val="00F73C7A"/>
    <w:rsid w:val="00F74614"/>
    <w:rsid w:val="00F74664"/>
    <w:rsid w:val="00F747AC"/>
    <w:rsid w:val="00F75069"/>
    <w:rsid w:val="00F75340"/>
    <w:rsid w:val="00F7594A"/>
    <w:rsid w:val="00F76017"/>
    <w:rsid w:val="00F7618C"/>
    <w:rsid w:val="00F761B9"/>
    <w:rsid w:val="00F76351"/>
    <w:rsid w:val="00F763F6"/>
    <w:rsid w:val="00F7655E"/>
    <w:rsid w:val="00F76D0A"/>
    <w:rsid w:val="00F770F1"/>
    <w:rsid w:val="00F77262"/>
    <w:rsid w:val="00F776EC"/>
    <w:rsid w:val="00F77AD9"/>
    <w:rsid w:val="00F80198"/>
    <w:rsid w:val="00F80400"/>
    <w:rsid w:val="00F8064E"/>
    <w:rsid w:val="00F8099D"/>
    <w:rsid w:val="00F80B9C"/>
    <w:rsid w:val="00F80CC2"/>
    <w:rsid w:val="00F80EE2"/>
    <w:rsid w:val="00F81EFE"/>
    <w:rsid w:val="00F81FFE"/>
    <w:rsid w:val="00F822F8"/>
    <w:rsid w:val="00F82418"/>
    <w:rsid w:val="00F82EDB"/>
    <w:rsid w:val="00F83878"/>
    <w:rsid w:val="00F83AD3"/>
    <w:rsid w:val="00F83AFB"/>
    <w:rsid w:val="00F840B6"/>
    <w:rsid w:val="00F84210"/>
    <w:rsid w:val="00F844BC"/>
    <w:rsid w:val="00F85A40"/>
    <w:rsid w:val="00F85E25"/>
    <w:rsid w:val="00F864A7"/>
    <w:rsid w:val="00F86759"/>
    <w:rsid w:val="00F86C63"/>
    <w:rsid w:val="00F86C9D"/>
    <w:rsid w:val="00F871A7"/>
    <w:rsid w:val="00F87E9F"/>
    <w:rsid w:val="00F87EB4"/>
    <w:rsid w:val="00F907A8"/>
    <w:rsid w:val="00F90CFA"/>
    <w:rsid w:val="00F912BF"/>
    <w:rsid w:val="00F92AB9"/>
    <w:rsid w:val="00F92ABF"/>
    <w:rsid w:val="00F92F7E"/>
    <w:rsid w:val="00F94192"/>
    <w:rsid w:val="00F9430D"/>
    <w:rsid w:val="00F94894"/>
    <w:rsid w:val="00F94B40"/>
    <w:rsid w:val="00F94CC8"/>
    <w:rsid w:val="00F95216"/>
    <w:rsid w:val="00F95400"/>
    <w:rsid w:val="00F95556"/>
    <w:rsid w:val="00F957F9"/>
    <w:rsid w:val="00F95BE6"/>
    <w:rsid w:val="00F96408"/>
    <w:rsid w:val="00F96873"/>
    <w:rsid w:val="00F9694A"/>
    <w:rsid w:val="00F96F5A"/>
    <w:rsid w:val="00F97807"/>
    <w:rsid w:val="00F97A48"/>
    <w:rsid w:val="00F97F9A"/>
    <w:rsid w:val="00FA00BA"/>
    <w:rsid w:val="00FA0515"/>
    <w:rsid w:val="00FA0864"/>
    <w:rsid w:val="00FA0C93"/>
    <w:rsid w:val="00FA0EB8"/>
    <w:rsid w:val="00FA12AF"/>
    <w:rsid w:val="00FA1373"/>
    <w:rsid w:val="00FA139E"/>
    <w:rsid w:val="00FA197F"/>
    <w:rsid w:val="00FA1A2D"/>
    <w:rsid w:val="00FA20E2"/>
    <w:rsid w:val="00FA2154"/>
    <w:rsid w:val="00FA223D"/>
    <w:rsid w:val="00FA22D2"/>
    <w:rsid w:val="00FA25F3"/>
    <w:rsid w:val="00FA2B87"/>
    <w:rsid w:val="00FA2E7C"/>
    <w:rsid w:val="00FA2EDB"/>
    <w:rsid w:val="00FA3BDD"/>
    <w:rsid w:val="00FA3C05"/>
    <w:rsid w:val="00FA3C5F"/>
    <w:rsid w:val="00FA3C60"/>
    <w:rsid w:val="00FA3F67"/>
    <w:rsid w:val="00FA41FB"/>
    <w:rsid w:val="00FA41FE"/>
    <w:rsid w:val="00FA50D8"/>
    <w:rsid w:val="00FA5159"/>
    <w:rsid w:val="00FA551D"/>
    <w:rsid w:val="00FA570E"/>
    <w:rsid w:val="00FA5CAC"/>
    <w:rsid w:val="00FA7032"/>
    <w:rsid w:val="00FA76BC"/>
    <w:rsid w:val="00FB16CE"/>
    <w:rsid w:val="00FB1899"/>
    <w:rsid w:val="00FB1B82"/>
    <w:rsid w:val="00FB1C19"/>
    <w:rsid w:val="00FB21B3"/>
    <w:rsid w:val="00FB2897"/>
    <w:rsid w:val="00FB2C45"/>
    <w:rsid w:val="00FB2D4C"/>
    <w:rsid w:val="00FB2D6F"/>
    <w:rsid w:val="00FB2F52"/>
    <w:rsid w:val="00FB2FEC"/>
    <w:rsid w:val="00FB35BB"/>
    <w:rsid w:val="00FB3C89"/>
    <w:rsid w:val="00FB4393"/>
    <w:rsid w:val="00FB4831"/>
    <w:rsid w:val="00FB4845"/>
    <w:rsid w:val="00FB4D2B"/>
    <w:rsid w:val="00FB5034"/>
    <w:rsid w:val="00FB5381"/>
    <w:rsid w:val="00FB5E0E"/>
    <w:rsid w:val="00FB5EB8"/>
    <w:rsid w:val="00FB5FBD"/>
    <w:rsid w:val="00FB62E9"/>
    <w:rsid w:val="00FB64A7"/>
    <w:rsid w:val="00FB67CE"/>
    <w:rsid w:val="00FB6CBB"/>
    <w:rsid w:val="00FB70F6"/>
    <w:rsid w:val="00FC0045"/>
    <w:rsid w:val="00FC00F4"/>
    <w:rsid w:val="00FC0A57"/>
    <w:rsid w:val="00FC192D"/>
    <w:rsid w:val="00FC19D2"/>
    <w:rsid w:val="00FC1EF9"/>
    <w:rsid w:val="00FC1FDC"/>
    <w:rsid w:val="00FC3D01"/>
    <w:rsid w:val="00FC3D4D"/>
    <w:rsid w:val="00FC42DB"/>
    <w:rsid w:val="00FC4641"/>
    <w:rsid w:val="00FC4CC4"/>
    <w:rsid w:val="00FC4D7C"/>
    <w:rsid w:val="00FC4F3D"/>
    <w:rsid w:val="00FC52E1"/>
    <w:rsid w:val="00FC5F65"/>
    <w:rsid w:val="00FC6279"/>
    <w:rsid w:val="00FC62D4"/>
    <w:rsid w:val="00FC630D"/>
    <w:rsid w:val="00FC6727"/>
    <w:rsid w:val="00FC6B0E"/>
    <w:rsid w:val="00FC7253"/>
    <w:rsid w:val="00FC78DF"/>
    <w:rsid w:val="00FC7D9F"/>
    <w:rsid w:val="00FC7E30"/>
    <w:rsid w:val="00FD0018"/>
    <w:rsid w:val="00FD01AC"/>
    <w:rsid w:val="00FD04C3"/>
    <w:rsid w:val="00FD0603"/>
    <w:rsid w:val="00FD078F"/>
    <w:rsid w:val="00FD1CC1"/>
    <w:rsid w:val="00FD1D07"/>
    <w:rsid w:val="00FD2438"/>
    <w:rsid w:val="00FD2976"/>
    <w:rsid w:val="00FD2B73"/>
    <w:rsid w:val="00FD2D38"/>
    <w:rsid w:val="00FD2F63"/>
    <w:rsid w:val="00FD3529"/>
    <w:rsid w:val="00FD3E2F"/>
    <w:rsid w:val="00FD45A1"/>
    <w:rsid w:val="00FD4D7F"/>
    <w:rsid w:val="00FD508B"/>
    <w:rsid w:val="00FD552F"/>
    <w:rsid w:val="00FD572B"/>
    <w:rsid w:val="00FD59B6"/>
    <w:rsid w:val="00FD6286"/>
    <w:rsid w:val="00FD6813"/>
    <w:rsid w:val="00FD6E5E"/>
    <w:rsid w:val="00FD7033"/>
    <w:rsid w:val="00FD74A3"/>
    <w:rsid w:val="00FD7F7D"/>
    <w:rsid w:val="00FD7F91"/>
    <w:rsid w:val="00FE08A3"/>
    <w:rsid w:val="00FE0FC0"/>
    <w:rsid w:val="00FE103B"/>
    <w:rsid w:val="00FE140C"/>
    <w:rsid w:val="00FE1DD5"/>
    <w:rsid w:val="00FE1E46"/>
    <w:rsid w:val="00FE2A53"/>
    <w:rsid w:val="00FE3631"/>
    <w:rsid w:val="00FE36EB"/>
    <w:rsid w:val="00FE382A"/>
    <w:rsid w:val="00FE4547"/>
    <w:rsid w:val="00FE47F0"/>
    <w:rsid w:val="00FE4FEA"/>
    <w:rsid w:val="00FE53A8"/>
    <w:rsid w:val="00FE5647"/>
    <w:rsid w:val="00FE59F4"/>
    <w:rsid w:val="00FE5AC3"/>
    <w:rsid w:val="00FE6306"/>
    <w:rsid w:val="00FE631A"/>
    <w:rsid w:val="00FE6466"/>
    <w:rsid w:val="00FE73AD"/>
    <w:rsid w:val="00FE7734"/>
    <w:rsid w:val="00FE78FA"/>
    <w:rsid w:val="00FE7C7A"/>
    <w:rsid w:val="00FE7E4D"/>
    <w:rsid w:val="00FF03B3"/>
    <w:rsid w:val="00FF0591"/>
    <w:rsid w:val="00FF0789"/>
    <w:rsid w:val="00FF092D"/>
    <w:rsid w:val="00FF0C5C"/>
    <w:rsid w:val="00FF1A07"/>
    <w:rsid w:val="00FF1C6A"/>
    <w:rsid w:val="00FF1ED1"/>
    <w:rsid w:val="00FF1FA7"/>
    <w:rsid w:val="00FF277D"/>
    <w:rsid w:val="00FF3166"/>
    <w:rsid w:val="00FF31C4"/>
    <w:rsid w:val="00FF3C40"/>
    <w:rsid w:val="00FF44CE"/>
    <w:rsid w:val="00FF48F3"/>
    <w:rsid w:val="00FF4D5F"/>
    <w:rsid w:val="00FF5216"/>
    <w:rsid w:val="00FF5368"/>
    <w:rsid w:val="00FF59E5"/>
    <w:rsid w:val="00FF6152"/>
    <w:rsid w:val="00FF6B5A"/>
    <w:rsid w:val="00FF71AA"/>
    <w:rsid w:val="00FF7959"/>
    <w:rsid w:val="00FF7F5E"/>
    <w:rsid w:val="00FF7F8A"/>
    <w:rsid w:val="01B4BA98"/>
    <w:rsid w:val="023AC5A0"/>
    <w:rsid w:val="0280F916"/>
    <w:rsid w:val="02F0AB69"/>
    <w:rsid w:val="0358AC42"/>
    <w:rsid w:val="0398E065"/>
    <w:rsid w:val="0476941F"/>
    <w:rsid w:val="0551ED6B"/>
    <w:rsid w:val="058DDE0F"/>
    <w:rsid w:val="05B29C62"/>
    <w:rsid w:val="05D6A69E"/>
    <w:rsid w:val="062C4A98"/>
    <w:rsid w:val="06C33D1F"/>
    <w:rsid w:val="071AABDA"/>
    <w:rsid w:val="074CDD89"/>
    <w:rsid w:val="077BA092"/>
    <w:rsid w:val="07F5934D"/>
    <w:rsid w:val="086DA444"/>
    <w:rsid w:val="08BD7183"/>
    <w:rsid w:val="09487B37"/>
    <w:rsid w:val="097579C5"/>
    <w:rsid w:val="0A7CB1ED"/>
    <w:rsid w:val="0A93C542"/>
    <w:rsid w:val="0C9E0B32"/>
    <w:rsid w:val="0CD7DD57"/>
    <w:rsid w:val="0E164795"/>
    <w:rsid w:val="0E76A720"/>
    <w:rsid w:val="0F038C61"/>
    <w:rsid w:val="0FA30DAF"/>
    <w:rsid w:val="0FE52508"/>
    <w:rsid w:val="1012B4EA"/>
    <w:rsid w:val="10E95889"/>
    <w:rsid w:val="10F2857E"/>
    <w:rsid w:val="11A515DC"/>
    <w:rsid w:val="11FB6F73"/>
    <w:rsid w:val="12BF6BAF"/>
    <w:rsid w:val="13C4CE0F"/>
    <w:rsid w:val="13C8A96C"/>
    <w:rsid w:val="1407BC86"/>
    <w:rsid w:val="141DB010"/>
    <w:rsid w:val="144A9C03"/>
    <w:rsid w:val="1486577F"/>
    <w:rsid w:val="14B50783"/>
    <w:rsid w:val="14BB7040"/>
    <w:rsid w:val="14E39A74"/>
    <w:rsid w:val="1510D974"/>
    <w:rsid w:val="15A6917E"/>
    <w:rsid w:val="15D2B1C7"/>
    <w:rsid w:val="15ECCFD9"/>
    <w:rsid w:val="16164958"/>
    <w:rsid w:val="16EAC4CC"/>
    <w:rsid w:val="17396EAE"/>
    <w:rsid w:val="174261DF"/>
    <w:rsid w:val="17BDF841"/>
    <w:rsid w:val="185FDA74"/>
    <w:rsid w:val="186B45AD"/>
    <w:rsid w:val="18AC7E9C"/>
    <w:rsid w:val="18E99A99"/>
    <w:rsid w:val="18FC4844"/>
    <w:rsid w:val="190B62A4"/>
    <w:rsid w:val="194ACD02"/>
    <w:rsid w:val="19DFC977"/>
    <w:rsid w:val="1A49189D"/>
    <w:rsid w:val="1A666749"/>
    <w:rsid w:val="1AF59903"/>
    <w:rsid w:val="1B12DE32"/>
    <w:rsid w:val="1B514861"/>
    <w:rsid w:val="1B77DFC8"/>
    <w:rsid w:val="1C074498"/>
    <w:rsid w:val="1C108CC4"/>
    <w:rsid w:val="1CEA6640"/>
    <w:rsid w:val="1D2E1810"/>
    <w:rsid w:val="1E04046C"/>
    <w:rsid w:val="1ED2D234"/>
    <w:rsid w:val="1EF08368"/>
    <w:rsid w:val="1F344B67"/>
    <w:rsid w:val="1F8C7BA1"/>
    <w:rsid w:val="1FCD4000"/>
    <w:rsid w:val="2041947C"/>
    <w:rsid w:val="204DA515"/>
    <w:rsid w:val="20C86737"/>
    <w:rsid w:val="21398C36"/>
    <w:rsid w:val="21464D3E"/>
    <w:rsid w:val="219F388F"/>
    <w:rsid w:val="21A244EB"/>
    <w:rsid w:val="21E264F9"/>
    <w:rsid w:val="22703EC4"/>
    <w:rsid w:val="229CAB43"/>
    <w:rsid w:val="22E5F563"/>
    <w:rsid w:val="22EA98A6"/>
    <w:rsid w:val="242F3DA5"/>
    <w:rsid w:val="2497CCE9"/>
    <w:rsid w:val="24F391F7"/>
    <w:rsid w:val="2507CA1D"/>
    <w:rsid w:val="253010BA"/>
    <w:rsid w:val="25804368"/>
    <w:rsid w:val="25AEF544"/>
    <w:rsid w:val="262E87A4"/>
    <w:rsid w:val="2645F68F"/>
    <w:rsid w:val="265B7E67"/>
    <w:rsid w:val="26E8469E"/>
    <w:rsid w:val="270D1FFF"/>
    <w:rsid w:val="273904ED"/>
    <w:rsid w:val="276D1A90"/>
    <w:rsid w:val="2788B250"/>
    <w:rsid w:val="27AB4851"/>
    <w:rsid w:val="27E314E3"/>
    <w:rsid w:val="2823BB91"/>
    <w:rsid w:val="29251232"/>
    <w:rsid w:val="29713C1F"/>
    <w:rsid w:val="2ACA9692"/>
    <w:rsid w:val="2B08848C"/>
    <w:rsid w:val="2B539A93"/>
    <w:rsid w:val="2BE99683"/>
    <w:rsid w:val="2C18CFC5"/>
    <w:rsid w:val="2C457CD3"/>
    <w:rsid w:val="2D0BE30B"/>
    <w:rsid w:val="2D28CAB3"/>
    <w:rsid w:val="2DA0819B"/>
    <w:rsid w:val="2EA7BFA4"/>
    <w:rsid w:val="2F417C00"/>
    <w:rsid w:val="2F6F4626"/>
    <w:rsid w:val="2FDE69C1"/>
    <w:rsid w:val="3057F20A"/>
    <w:rsid w:val="306DD0A4"/>
    <w:rsid w:val="309A1BDA"/>
    <w:rsid w:val="312FCA98"/>
    <w:rsid w:val="315C353B"/>
    <w:rsid w:val="316C4F13"/>
    <w:rsid w:val="3287B6D0"/>
    <w:rsid w:val="3288C402"/>
    <w:rsid w:val="344E3BB3"/>
    <w:rsid w:val="346F876F"/>
    <w:rsid w:val="34F687D5"/>
    <w:rsid w:val="3591F1AB"/>
    <w:rsid w:val="36803F2E"/>
    <w:rsid w:val="37885E18"/>
    <w:rsid w:val="37B695CB"/>
    <w:rsid w:val="38D6DB6E"/>
    <w:rsid w:val="39405D28"/>
    <w:rsid w:val="3970956C"/>
    <w:rsid w:val="3974D55F"/>
    <w:rsid w:val="39B668BB"/>
    <w:rsid w:val="3B379CE7"/>
    <w:rsid w:val="3BD154C9"/>
    <w:rsid w:val="3CA7E435"/>
    <w:rsid w:val="3DDECB4E"/>
    <w:rsid w:val="3DE43E92"/>
    <w:rsid w:val="3E0D2349"/>
    <w:rsid w:val="3E14F56B"/>
    <w:rsid w:val="3E324136"/>
    <w:rsid w:val="3E57F4B8"/>
    <w:rsid w:val="3EAA8F96"/>
    <w:rsid w:val="3EE73458"/>
    <w:rsid w:val="3EE9D029"/>
    <w:rsid w:val="3FA040C7"/>
    <w:rsid w:val="3FE59436"/>
    <w:rsid w:val="40169E79"/>
    <w:rsid w:val="4021FDF8"/>
    <w:rsid w:val="403B2D91"/>
    <w:rsid w:val="405455EE"/>
    <w:rsid w:val="40B44A68"/>
    <w:rsid w:val="40BC9431"/>
    <w:rsid w:val="40EDCC51"/>
    <w:rsid w:val="412D4163"/>
    <w:rsid w:val="41BBBDA0"/>
    <w:rsid w:val="42D9AA5F"/>
    <w:rsid w:val="43626D86"/>
    <w:rsid w:val="43DA54C9"/>
    <w:rsid w:val="43FD4A1D"/>
    <w:rsid w:val="44BE0228"/>
    <w:rsid w:val="46021AB2"/>
    <w:rsid w:val="465D073D"/>
    <w:rsid w:val="470032A8"/>
    <w:rsid w:val="47972FF3"/>
    <w:rsid w:val="47B524CF"/>
    <w:rsid w:val="47C04FC8"/>
    <w:rsid w:val="482E62F2"/>
    <w:rsid w:val="48BABB44"/>
    <w:rsid w:val="495FBA99"/>
    <w:rsid w:val="498548C0"/>
    <w:rsid w:val="49A47809"/>
    <w:rsid w:val="4B47BDAF"/>
    <w:rsid w:val="4BF46691"/>
    <w:rsid w:val="4C016420"/>
    <w:rsid w:val="4C1A8C7D"/>
    <w:rsid w:val="4C567D2E"/>
    <w:rsid w:val="4D42FB52"/>
    <w:rsid w:val="4DE3CE75"/>
    <w:rsid w:val="4E65EE13"/>
    <w:rsid w:val="4EF709C6"/>
    <w:rsid w:val="4F882D82"/>
    <w:rsid w:val="50C5D582"/>
    <w:rsid w:val="51014C4F"/>
    <w:rsid w:val="5186B13E"/>
    <w:rsid w:val="51A50500"/>
    <w:rsid w:val="51EE40F8"/>
    <w:rsid w:val="5289FBBA"/>
    <w:rsid w:val="53354462"/>
    <w:rsid w:val="5370348B"/>
    <w:rsid w:val="53745160"/>
    <w:rsid w:val="54A3CF01"/>
    <w:rsid w:val="54E62642"/>
    <w:rsid w:val="5530BE32"/>
    <w:rsid w:val="55BB9515"/>
    <w:rsid w:val="571E9D0C"/>
    <w:rsid w:val="5862DFEC"/>
    <w:rsid w:val="58CA5216"/>
    <w:rsid w:val="5980E25B"/>
    <w:rsid w:val="59D215C7"/>
    <w:rsid w:val="5A31CDF3"/>
    <w:rsid w:val="5B9BF188"/>
    <w:rsid w:val="5BE5D177"/>
    <w:rsid w:val="5C3F9F4C"/>
    <w:rsid w:val="5C4CBAD2"/>
    <w:rsid w:val="5C8BC555"/>
    <w:rsid w:val="5D9523A0"/>
    <w:rsid w:val="5E00D33D"/>
    <w:rsid w:val="5E206326"/>
    <w:rsid w:val="5E2A40AB"/>
    <w:rsid w:val="5E40C0EB"/>
    <w:rsid w:val="5E50D9AE"/>
    <w:rsid w:val="5F7C54E2"/>
    <w:rsid w:val="5F8046AC"/>
    <w:rsid w:val="602412D9"/>
    <w:rsid w:val="6084CB67"/>
    <w:rsid w:val="60B88216"/>
    <w:rsid w:val="60CFE498"/>
    <w:rsid w:val="618F1C7A"/>
    <w:rsid w:val="62195B75"/>
    <w:rsid w:val="624975AD"/>
    <w:rsid w:val="62874BC8"/>
    <w:rsid w:val="629D517C"/>
    <w:rsid w:val="62EB2B83"/>
    <w:rsid w:val="64140A48"/>
    <w:rsid w:val="64D36B87"/>
    <w:rsid w:val="64FC430F"/>
    <w:rsid w:val="65AF06D4"/>
    <w:rsid w:val="65D53090"/>
    <w:rsid w:val="66039A6B"/>
    <w:rsid w:val="6609AF61"/>
    <w:rsid w:val="66258ECC"/>
    <w:rsid w:val="67AA61DF"/>
    <w:rsid w:val="67F5D9FB"/>
    <w:rsid w:val="6834D527"/>
    <w:rsid w:val="687CDFC0"/>
    <w:rsid w:val="68DF6138"/>
    <w:rsid w:val="693496DF"/>
    <w:rsid w:val="69DB10B6"/>
    <w:rsid w:val="69E19C7B"/>
    <w:rsid w:val="6A2A6252"/>
    <w:rsid w:val="6A4CF99E"/>
    <w:rsid w:val="6A690799"/>
    <w:rsid w:val="6A7A4270"/>
    <w:rsid w:val="6ABCBF07"/>
    <w:rsid w:val="6AF0DF87"/>
    <w:rsid w:val="6B4C7EDE"/>
    <w:rsid w:val="6B5A9DD8"/>
    <w:rsid w:val="6B80F798"/>
    <w:rsid w:val="6C17E8D8"/>
    <w:rsid w:val="6CE77D2D"/>
    <w:rsid w:val="6D6056B1"/>
    <w:rsid w:val="6D809B25"/>
    <w:rsid w:val="6DFDBD97"/>
    <w:rsid w:val="6EA416AB"/>
    <w:rsid w:val="6F115972"/>
    <w:rsid w:val="6F33D402"/>
    <w:rsid w:val="6FC450AA"/>
    <w:rsid w:val="7033C589"/>
    <w:rsid w:val="7044B4AA"/>
    <w:rsid w:val="70BDA0A2"/>
    <w:rsid w:val="7156854F"/>
    <w:rsid w:val="7193FBCF"/>
    <w:rsid w:val="71C8433E"/>
    <w:rsid w:val="71EC2879"/>
    <w:rsid w:val="722290F6"/>
    <w:rsid w:val="72597103"/>
    <w:rsid w:val="72E377F3"/>
    <w:rsid w:val="732822E9"/>
    <w:rsid w:val="73F54164"/>
    <w:rsid w:val="742F00B0"/>
    <w:rsid w:val="74A50D34"/>
    <w:rsid w:val="74B900E9"/>
    <w:rsid w:val="74FB1913"/>
    <w:rsid w:val="750DDA97"/>
    <w:rsid w:val="75FE38F3"/>
    <w:rsid w:val="76160CA8"/>
    <w:rsid w:val="7633922E"/>
    <w:rsid w:val="7640DD95"/>
    <w:rsid w:val="77930D55"/>
    <w:rsid w:val="77B68E79"/>
    <w:rsid w:val="77DDA909"/>
    <w:rsid w:val="78163C9D"/>
    <w:rsid w:val="78391060"/>
    <w:rsid w:val="78C88363"/>
    <w:rsid w:val="79FEEAFD"/>
    <w:rsid w:val="7AE43F38"/>
    <w:rsid w:val="7AF334EB"/>
    <w:rsid w:val="7B2C63D0"/>
    <w:rsid w:val="7C514A8F"/>
    <w:rsid w:val="7CB1AD7C"/>
    <w:rsid w:val="7CB9DA9C"/>
    <w:rsid w:val="7CF7BC8D"/>
    <w:rsid w:val="7D82CC29"/>
    <w:rsid w:val="7DAF4BC4"/>
    <w:rsid w:val="7E2036E2"/>
    <w:rsid w:val="7EAB5C1B"/>
    <w:rsid w:val="7F17DDE3"/>
    <w:rsid w:val="7F899886"/>
    <w:rsid w:val="7FBBF0D8"/>
    <w:rsid w:val="7FCC435A"/>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3427E0"/>
  <w15:chartTrackingRefBased/>
  <w15:docId w15:val="{3A351191-CCD1-445E-9772-F5311E7BC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333"/>
    <w:rPr>
      <w:rFonts w:ascii="Garamond" w:hAnsi="Garamond" w:cs="Arial"/>
      <w:sz w:val="24"/>
      <w:szCs w:val="24"/>
      <w:lang w:val="en-GB"/>
    </w:rPr>
  </w:style>
  <w:style w:type="paragraph" w:styleId="Heading1">
    <w:name w:val="heading 1"/>
    <w:basedOn w:val="Normal"/>
    <w:next w:val="Normal"/>
    <w:link w:val="Heading1Char"/>
    <w:uiPriority w:val="9"/>
    <w:qFormat/>
    <w:rsid w:val="00A33354"/>
    <w:pPr>
      <w:keepNext/>
      <w:keepLines/>
      <w:spacing w:before="240" w:after="12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D5899"/>
    <w:pPr>
      <w:keepNext/>
      <w:keepLines/>
      <w:numPr>
        <w:numId w:val="1"/>
      </w:numPr>
      <w:spacing w:before="240" w:after="240"/>
      <w:outlineLvl w:val="1"/>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next w:val="Normal"/>
    <w:link w:val="Heading3Char"/>
    <w:uiPriority w:val="9"/>
    <w:unhideWhenUsed/>
    <w:qFormat/>
    <w:rsid w:val="00DB1CE5"/>
    <w:pPr>
      <w:keepNext/>
      <w:keepLines/>
      <w:numPr>
        <w:ilvl w:val="1"/>
        <w:numId w:val="1"/>
      </w:numPr>
      <w:spacing w:before="120" w:after="12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895B9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33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354"/>
    <w:rPr>
      <w:rFonts w:ascii="Segoe UI" w:hAnsi="Segoe UI" w:cs="Segoe UI"/>
      <w:sz w:val="18"/>
      <w:szCs w:val="18"/>
    </w:rPr>
  </w:style>
  <w:style w:type="character" w:customStyle="1" w:styleId="Heading1Char">
    <w:name w:val="Heading 1 Char"/>
    <w:basedOn w:val="DefaultParagraphFont"/>
    <w:link w:val="Heading1"/>
    <w:uiPriority w:val="9"/>
    <w:rsid w:val="00A33354"/>
    <w:rPr>
      <w:rFonts w:asciiTheme="majorHAnsi" w:eastAsiaTheme="majorEastAsia" w:hAnsiTheme="majorHAnsi" w:cstheme="majorBidi"/>
      <w:color w:val="2F5496" w:themeColor="accent1" w:themeShade="BF"/>
      <w:sz w:val="32"/>
      <w:szCs w:val="32"/>
      <w:lang w:val="en-GB"/>
    </w:rPr>
  </w:style>
  <w:style w:type="character" w:styleId="CommentReference">
    <w:name w:val="annotation reference"/>
    <w:basedOn w:val="DefaultParagraphFont"/>
    <w:uiPriority w:val="99"/>
    <w:semiHidden/>
    <w:unhideWhenUsed/>
    <w:rsid w:val="00A33354"/>
    <w:rPr>
      <w:sz w:val="16"/>
      <w:szCs w:val="16"/>
    </w:rPr>
  </w:style>
  <w:style w:type="paragraph" w:styleId="CommentText">
    <w:name w:val="annotation text"/>
    <w:basedOn w:val="Normal"/>
    <w:link w:val="CommentTextChar"/>
    <w:uiPriority w:val="99"/>
    <w:unhideWhenUsed/>
    <w:rsid w:val="00A33354"/>
    <w:pPr>
      <w:spacing w:line="240" w:lineRule="auto"/>
    </w:pPr>
    <w:rPr>
      <w:sz w:val="20"/>
      <w:szCs w:val="20"/>
    </w:rPr>
  </w:style>
  <w:style w:type="character" w:customStyle="1" w:styleId="CommentTextChar">
    <w:name w:val="Comment Text Char"/>
    <w:basedOn w:val="DefaultParagraphFont"/>
    <w:link w:val="CommentText"/>
    <w:uiPriority w:val="99"/>
    <w:rsid w:val="00A33354"/>
    <w:rPr>
      <w:sz w:val="20"/>
      <w:szCs w:val="20"/>
    </w:rPr>
  </w:style>
  <w:style w:type="paragraph" w:styleId="ListParagraph">
    <w:name w:val="List Paragraph"/>
    <w:basedOn w:val="Normal"/>
    <w:link w:val="ListParagraphChar"/>
    <w:uiPriority w:val="34"/>
    <w:qFormat/>
    <w:rsid w:val="002D733D"/>
    <w:pPr>
      <w:ind w:left="720"/>
      <w:contextualSpacing/>
    </w:pPr>
  </w:style>
  <w:style w:type="paragraph" w:styleId="CommentSubject">
    <w:name w:val="annotation subject"/>
    <w:basedOn w:val="CommentText"/>
    <w:next w:val="CommentText"/>
    <w:link w:val="CommentSubjectChar"/>
    <w:uiPriority w:val="99"/>
    <w:semiHidden/>
    <w:unhideWhenUsed/>
    <w:rsid w:val="007D6CB5"/>
    <w:rPr>
      <w:b/>
      <w:bCs/>
    </w:rPr>
  </w:style>
  <w:style w:type="character" w:customStyle="1" w:styleId="CommentSubjectChar">
    <w:name w:val="Comment Subject Char"/>
    <w:basedOn w:val="CommentTextChar"/>
    <w:link w:val="CommentSubject"/>
    <w:uiPriority w:val="99"/>
    <w:semiHidden/>
    <w:rsid w:val="007D6CB5"/>
    <w:rPr>
      <w:b/>
      <w:bCs/>
      <w:sz w:val="20"/>
      <w:szCs w:val="20"/>
    </w:rPr>
  </w:style>
  <w:style w:type="character" w:customStyle="1" w:styleId="Heading2Char">
    <w:name w:val="Heading 2 Char"/>
    <w:basedOn w:val="DefaultParagraphFont"/>
    <w:link w:val="Heading2"/>
    <w:uiPriority w:val="9"/>
    <w:rsid w:val="000D5899"/>
    <w:rPr>
      <w:rFonts w:asciiTheme="majorHAnsi" w:eastAsiaTheme="majorEastAsia" w:hAnsiTheme="majorHAnsi" w:cstheme="majorBidi"/>
      <w:b/>
      <w:bCs/>
      <w:color w:val="2F5496" w:themeColor="accent1" w:themeShade="BF"/>
      <w:sz w:val="28"/>
      <w:szCs w:val="28"/>
      <w:lang w:val="en-GB"/>
    </w:rPr>
  </w:style>
  <w:style w:type="paragraph" w:styleId="Header">
    <w:name w:val="header"/>
    <w:basedOn w:val="Normal"/>
    <w:link w:val="HeaderChar"/>
    <w:uiPriority w:val="99"/>
    <w:unhideWhenUsed/>
    <w:rsid w:val="000F5C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5CDD"/>
  </w:style>
  <w:style w:type="paragraph" w:styleId="Footer">
    <w:name w:val="footer"/>
    <w:basedOn w:val="Normal"/>
    <w:link w:val="FooterChar"/>
    <w:uiPriority w:val="99"/>
    <w:unhideWhenUsed/>
    <w:rsid w:val="000F5C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5CDD"/>
  </w:style>
  <w:style w:type="character" w:customStyle="1" w:styleId="Heading3Char">
    <w:name w:val="Heading 3 Char"/>
    <w:basedOn w:val="DefaultParagraphFont"/>
    <w:link w:val="Heading3"/>
    <w:uiPriority w:val="9"/>
    <w:rsid w:val="00DB1CE5"/>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rsid w:val="00895B97"/>
    <w:rPr>
      <w:rFonts w:asciiTheme="majorHAnsi" w:eastAsiaTheme="majorEastAsia" w:hAnsiTheme="majorHAnsi" w:cstheme="majorBidi"/>
      <w:i/>
      <w:iCs/>
      <w:color w:val="2F5496" w:themeColor="accent1" w:themeShade="BF"/>
      <w:lang w:val="en-GB"/>
    </w:rPr>
  </w:style>
  <w:style w:type="character" w:styleId="Strong">
    <w:name w:val="Strong"/>
    <w:basedOn w:val="DefaultParagraphFont"/>
    <w:uiPriority w:val="22"/>
    <w:qFormat/>
    <w:rsid w:val="00D54C7A"/>
    <w:rPr>
      <w:b/>
      <w:bCs/>
    </w:rPr>
  </w:style>
  <w:style w:type="character" w:styleId="Hyperlink">
    <w:name w:val="Hyperlink"/>
    <w:basedOn w:val="DefaultParagraphFont"/>
    <w:uiPriority w:val="99"/>
    <w:unhideWhenUsed/>
    <w:rsid w:val="003D59D0"/>
    <w:rPr>
      <w:color w:val="0563C1" w:themeColor="hyperlink"/>
      <w:u w:val="single"/>
    </w:rPr>
  </w:style>
  <w:style w:type="character" w:styleId="FootnoteReference">
    <w:name w:val="footnote reference"/>
    <w:basedOn w:val="DefaultParagraphFont"/>
    <w:uiPriority w:val="99"/>
    <w:unhideWhenUsed/>
    <w:rsid w:val="00091D8C"/>
    <w:rPr>
      <w:vertAlign w:val="superscript"/>
    </w:rPr>
  </w:style>
  <w:style w:type="character" w:customStyle="1" w:styleId="FootnoteTextChar">
    <w:name w:val="Footnote Text Char"/>
    <w:basedOn w:val="DefaultParagraphFont"/>
    <w:link w:val="FootnoteText"/>
    <w:uiPriority w:val="99"/>
    <w:semiHidden/>
    <w:rsid w:val="00091D8C"/>
    <w:rPr>
      <w:rFonts w:ascii="Garamond" w:hAnsi="Garamond" w:cs="Arial"/>
      <w:sz w:val="20"/>
      <w:szCs w:val="20"/>
      <w:lang w:val="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UnresolvedMention">
    <w:name w:val="Unresolved Mention"/>
    <w:basedOn w:val="DefaultParagraphFont"/>
    <w:uiPriority w:val="99"/>
    <w:semiHidden/>
    <w:unhideWhenUsed/>
    <w:rsid w:val="00AA7813"/>
    <w:rPr>
      <w:color w:val="605E5C"/>
      <w:shd w:val="clear" w:color="auto" w:fill="E1DFDD"/>
    </w:rPr>
  </w:style>
  <w:style w:type="table" w:styleId="TableGrid">
    <w:name w:val="Table Grid"/>
    <w:basedOn w:val="TableNormal"/>
    <w:uiPriority w:val="39"/>
    <w:rsid w:val="00D16D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2D0CB5"/>
    <w:rPr>
      <w:color w:val="954F72" w:themeColor="followedHyperlink"/>
      <w:u w:val="single"/>
    </w:rPr>
  </w:style>
  <w:style w:type="paragraph" w:customStyle="1" w:styleId="Default">
    <w:name w:val="Default"/>
    <w:rsid w:val="00803D25"/>
    <w:pPr>
      <w:autoSpaceDE w:val="0"/>
      <w:autoSpaceDN w:val="0"/>
      <w:adjustRightInd w:val="0"/>
      <w:spacing w:after="0" w:line="240" w:lineRule="auto"/>
    </w:pPr>
    <w:rPr>
      <w:rFonts w:ascii="Charis SIL" w:hAnsi="Charis SIL" w:cs="Charis SIL"/>
      <w:color w:val="000000"/>
      <w:sz w:val="24"/>
      <w:szCs w:val="24"/>
    </w:rPr>
  </w:style>
  <w:style w:type="character" w:customStyle="1" w:styleId="title-text">
    <w:name w:val="title-text"/>
    <w:basedOn w:val="DefaultParagraphFont"/>
    <w:rsid w:val="007E6A5E"/>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537DB2"/>
  </w:style>
  <w:style w:type="character" w:customStyle="1" w:styleId="eop">
    <w:name w:val="eop"/>
    <w:basedOn w:val="DefaultParagraphFont"/>
    <w:rsid w:val="00FC62D4"/>
  </w:style>
  <w:style w:type="paragraph" w:styleId="Revision">
    <w:name w:val="Revision"/>
    <w:hidden/>
    <w:uiPriority w:val="99"/>
    <w:semiHidden/>
    <w:rsid w:val="00942220"/>
    <w:pPr>
      <w:spacing w:after="0" w:line="240" w:lineRule="auto"/>
    </w:pPr>
    <w:rPr>
      <w:rFonts w:ascii="Garamond" w:hAnsi="Garamond" w:cs="Arial"/>
      <w:sz w:val="24"/>
      <w:szCs w:val="24"/>
      <w:lang w:val="en-GB"/>
    </w:rPr>
  </w:style>
  <w:style w:type="paragraph" w:styleId="Caption">
    <w:name w:val="caption"/>
    <w:basedOn w:val="Normal"/>
    <w:next w:val="Normal"/>
    <w:uiPriority w:val="35"/>
    <w:unhideWhenUsed/>
    <w:qFormat/>
    <w:rsid w:val="006E1F25"/>
    <w:pPr>
      <w:spacing w:after="200" w:line="240" w:lineRule="auto"/>
    </w:pPr>
    <w:rPr>
      <w:b/>
      <w:bCs/>
      <w:color w:val="44546A" w:themeColor="text2"/>
      <w:sz w:val="18"/>
      <w:szCs w:val="18"/>
    </w:rPr>
  </w:style>
  <w:style w:type="character" w:styleId="Emphasis">
    <w:name w:val="Emphasis"/>
    <w:basedOn w:val="DefaultParagraphFont"/>
    <w:uiPriority w:val="20"/>
    <w:qFormat/>
    <w:rsid w:val="005F44FE"/>
    <w:rPr>
      <w:i/>
      <w:iCs/>
    </w:rPr>
  </w:style>
  <w:style w:type="paragraph" w:styleId="IntenseQuote">
    <w:name w:val="Intense Quote"/>
    <w:basedOn w:val="Normal"/>
    <w:next w:val="Normal"/>
    <w:link w:val="IntenseQuoteChar"/>
    <w:uiPriority w:val="30"/>
    <w:qFormat/>
    <w:rsid w:val="00FD6286"/>
    <w:pPr>
      <w:pBdr>
        <w:top w:val="single" w:sz="4" w:space="10" w:color="4472C4" w:themeColor="accent1"/>
        <w:bottom w:val="single" w:sz="4" w:space="10" w:color="4472C4" w:themeColor="accent1"/>
      </w:pBdr>
      <w:spacing w:before="240" w:after="240" w:line="276" w:lineRule="auto"/>
      <w:ind w:left="862" w:right="862"/>
      <w:jc w:val="center"/>
    </w:pPr>
    <w:rPr>
      <w:rFonts w:eastAsia="Garamond" w:cs="Garamond"/>
      <w:i/>
      <w:iCs/>
      <w:color w:val="4472C4" w:themeColor="accent1"/>
      <w:sz w:val="22"/>
      <w:szCs w:val="22"/>
      <w:lang w:val="nb-NO" w:eastAsia="nb-NO"/>
    </w:rPr>
  </w:style>
  <w:style w:type="character" w:customStyle="1" w:styleId="IntenseQuoteChar">
    <w:name w:val="Intense Quote Char"/>
    <w:basedOn w:val="DefaultParagraphFont"/>
    <w:link w:val="IntenseQuote"/>
    <w:uiPriority w:val="30"/>
    <w:rsid w:val="00FD6286"/>
    <w:rPr>
      <w:rFonts w:ascii="Garamond" w:eastAsia="Garamond" w:hAnsi="Garamond" w:cs="Garamond"/>
      <w:i/>
      <w:iCs/>
      <w:color w:val="4472C4" w:themeColor="accent1"/>
      <w:lang w:eastAsia="nb-NO"/>
    </w:rPr>
  </w:style>
  <w:style w:type="character" w:customStyle="1" w:styleId="ListParagraphChar">
    <w:name w:val="List Paragraph Char"/>
    <w:basedOn w:val="DefaultParagraphFont"/>
    <w:link w:val="ListParagraph"/>
    <w:uiPriority w:val="34"/>
    <w:rsid w:val="004423B4"/>
    <w:rPr>
      <w:rFonts w:ascii="Garamond" w:hAnsi="Garamond" w:cs="Arial"/>
      <w:sz w:val="24"/>
      <w:szCs w:val="24"/>
      <w:lang w:val="en-GB"/>
    </w:rPr>
  </w:style>
  <w:style w:type="paragraph" w:customStyle="1" w:styleId="StyleLinespacing15lines">
    <w:name w:val="Style Line spacing:  1.5 lines"/>
    <w:basedOn w:val="Normal"/>
    <w:rsid w:val="00327FD6"/>
    <w:pPr>
      <w:spacing w:after="0" w:line="240" w:lineRule="auto"/>
    </w:pPr>
    <w:rPr>
      <w:rFonts w:ascii="Times New Roman" w:eastAsia="Times New Roman" w:hAnsi="Times New Roman" w:cs="Times New Roman"/>
      <w:sz w:val="20"/>
      <w:szCs w:val="20"/>
      <w:lang w:val="en-CA" w:eastAsia="en-CA"/>
    </w:rPr>
  </w:style>
  <w:style w:type="character" w:customStyle="1" w:styleId="markedcontent">
    <w:name w:val="markedcontent"/>
    <w:basedOn w:val="DefaultParagraphFont"/>
    <w:rsid w:val="00773DE1"/>
  </w:style>
  <w:style w:type="character" w:customStyle="1" w:styleId="cf01">
    <w:name w:val="cf01"/>
    <w:basedOn w:val="DefaultParagraphFont"/>
    <w:rsid w:val="005258C0"/>
    <w:rPr>
      <w:rFonts w:ascii="Segoe UI" w:hAnsi="Segoe UI" w:cs="Segoe UI" w:hint="default"/>
      <w:color w:val="0000F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60963">
      <w:bodyDiv w:val="1"/>
      <w:marLeft w:val="0"/>
      <w:marRight w:val="0"/>
      <w:marTop w:val="0"/>
      <w:marBottom w:val="0"/>
      <w:divBdr>
        <w:top w:val="none" w:sz="0" w:space="0" w:color="auto"/>
        <w:left w:val="none" w:sz="0" w:space="0" w:color="auto"/>
        <w:bottom w:val="none" w:sz="0" w:space="0" w:color="auto"/>
        <w:right w:val="none" w:sz="0" w:space="0" w:color="auto"/>
      </w:divBdr>
    </w:div>
    <w:div w:id="83840168">
      <w:bodyDiv w:val="1"/>
      <w:marLeft w:val="0"/>
      <w:marRight w:val="0"/>
      <w:marTop w:val="0"/>
      <w:marBottom w:val="0"/>
      <w:divBdr>
        <w:top w:val="none" w:sz="0" w:space="0" w:color="auto"/>
        <w:left w:val="none" w:sz="0" w:space="0" w:color="auto"/>
        <w:bottom w:val="none" w:sz="0" w:space="0" w:color="auto"/>
        <w:right w:val="none" w:sz="0" w:space="0" w:color="auto"/>
      </w:divBdr>
      <w:divsChild>
        <w:div w:id="1772580111">
          <w:marLeft w:val="360"/>
          <w:marRight w:val="0"/>
          <w:marTop w:val="120"/>
          <w:marBottom w:val="120"/>
          <w:divBdr>
            <w:top w:val="none" w:sz="0" w:space="0" w:color="auto"/>
            <w:left w:val="none" w:sz="0" w:space="0" w:color="auto"/>
            <w:bottom w:val="none" w:sz="0" w:space="0" w:color="auto"/>
            <w:right w:val="none" w:sz="0" w:space="0" w:color="auto"/>
          </w:divBdr>
        </w:div>
      </w:divsChild>
    </w:div>
    <w:div w:id="213154476">
      <w:bodyDiv w:val="1"/>
      <w:marLeft w:val="0"/>
      <w:marRight w:val="0"/>
      <w:marTop w:val="0"/>
      <w:marBottom w:val="0"/>
      <w:divBdr>
        <w:top w:val="none" w:sz="0" w:space="0" w:color="auto"/>
        <w:left w:val="none" w:sz="0" w:space="0" w:color="auto"/>
        <w:bottom w:val="none" w:sz="0" w:space="0" w:color="auto"/>
        <w:right w:val="none" w:sz="0" w:space="0" w:color="auto"/>
      </w:divBdr>
      <w:divsChild>
        <w:div w:id="1097679807">
          <w:marLeft w:val="0"/>
          <w:marRight w:val="0"/>
          <w:marTop w:val="0"/>
          <w:marBottom w:val="0"/>
          <w:divBdr>
            <w:top w:val="single" w:sz="2" w:space="0" w:color="auto"/>
            <w:left w:val="single" w:sz="2" w:space="0" w:color="auto"/>
            <w:bottom w:val="single" w:sz="6" w:space="0" w:color="auto"/>
            <w:right w:val="single" w:sz="2" w:space="0" w:color="auto"/>
          </w:divBdr>
          <w:divsChild>
            <w:div w:id="71976533">
              <w:marLeft w:val="0"/>
              <w:marRight w:val="0"/>
              <w:marTop w:val="100"/>
              <w:marBottom w:val="100"/>
              <w:divBdr>
                <w:top w:val="single" w:sz="2" w:space="0" w:color="D9D9E3"/>
                <w:left w:val="single" w:sz="2" w:space="0" w:color="D9D9E3"/>
                <w:bottom w:val="single" w:sz="2" w:space="0" w:color="D9D9E3"/>
                <w:right w:val="single" w:sz="2" w:space="0" w:color="D9D9E3"/>
              </w:divBdr>
              <w:divsChild>
                <w:div w:id="1484813757">
                  <w:marLeft w:val="0"/>
                  <w:marRight w:val="0"/>
                  <w:marTop w:val="0"/>
                  <w:marBottom w:val="0"/>
                  <w:divBdr>
                    <w:top w:val="single" w:sz="2" w:space="0" w:color="D9D9E3"/>
                    <w:left w:val="single" w:sz="2" w:space="0" w:color="D9D9E3"/>
                    <w:bottom w:val="single" w:sz="2" w:space="0" w:color="D9D9E3"/>
                    <w:right w:val="single" w:sz="2" w:space="0" w:color="D9D9E3"/>
                  </w:divBdr>
                  <w:divsChild>
                    <w:div w:id="126093942">
                      <w:marLeft w:val="0"/>
                      <w:marRight w:val="0"/>
                      <w:marTop w:val="0"/>
                      <w:marBottom w:val="0"/>
                      <w:divBdr>
                        <w:top w:val="single" w:sz="2" w:space="0" w:color="D9D9E3"/>
                        <w:left w:val="single" w:sz="2" w:space="0" w:color="D9D9E3"/>
                        <w:bottom w:val="single" w:sz="2" w:space="0" w:color="D9D9E3"/>
                        <w:right w:val="single" w:sz="2" w:space="0" w:color="D9D9E3"/>
                      </w:divBdr>
                      <w:divsChild>
                        <w:div w:id="1059480750">
                          <w:marLeft w:val="0"/>
                          <w:marRight w:val="0"/>
                          <w:marTop w:val="0"/>
                          <w:marBottom w:val="0"/>
                          <w:divBdr>
                            <w:top w:val="single" w:sz="2" w:space="0" w:color="D9D9E3"/>
                            <w:left w:val="single" w:sz="2" w:space="0" w:color="D9D9E3"/>
                            <w:bottom w:val="single" w:sz="2" w:space="0" w:color="D9D9E3"/>
                            <w:right w:val="single" w:sz="2" w:space="0" w:color="D9D9E3"/>
                          </w:divBdr>
                          <w:divsChild>
                            <w:div w:id="11721431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67548815">
      <w:bodyDiv w:val="1"/>
      <w:marLeft w:val="0"/>
      <w:marRight w:val="0"/>
      <w:marTop w:val="0"/>
      <w:marBottom w:val="0"/>
      <w:divBdr>
        <w:top w:val="none" w:sz="0" w:space="0" w:color="auto"/>
        <w:left w:val="none" w:sz="0" w:space="0" w:color="auto"/>
        <w:bottom w:val="none" w:sz="0" w:space="0" w:color="auto"/>
        <w:right w:val="none" w:sz="0" w:space="0" w:color="auto"/>
      </w:divBdr>
    </w:div>
    <w:div w:id="381636804">
      <w:bodyDiv w:val="1"/>
      <w:marLeft w:val="0"/>
      <w:marRight w:val="0"/>
      <w:marTop w:val="0"/>
      <w:marBottom w:val="0"/>
      <w:divBdr>
        <w:top w:val="none" w:sz="0" w:space="0" w:color="auto"/>
        <w:left w:val="none" w:sz="0" w:space="0" w:color="auto"/>
        <w:bottom w:val="none" w:sz="0" w:space="0" w:color="auto"/>
        <w:right w:val="none" w:sz="0" w:space="0" w:color="auto"/>
      </w:divBdr>
      <w:divsChild>
        <w:div w:id="85151659">
          <w:marLeft w:val="1080"/>
          <w:marRight w:val="0"/>
          <w:marTop w:val="120"/>
          <w:marBottom w:val="120"/>
          <w:divBdr>
            <w:top w:val="none" w:sz="0" w:space="0" w:color="auto"/>
            <w:left w:val="none" w:sz="0" w:space="0" w:color="auto"/>
            <w:bottom w:val="none" w:sz="0" w:space="0" w:color="auto"/>
            <w:right w:val="none" w:sz="0" w:space="0" w:color="auto"/>
          </w:divBdr>
        </w:div>
        <w:div w:id="147750294">
          <w:marLeft w:val="1080"/>
          <w:marRight w:val="0"/>
          <w:marTop w:val="120"/>
          <w:marBottom w:val="120"/>
          <w:divBdr>
            <w:top w:val="none" w:sz="0" w:space="0" w:color="auto"/>
            <w:left w:val="none" w:sz="0" w:space="0" w:color="auto"/>
            <w:bottom w:val="none" w:sz="0" w:space="0" w:color="auto"/>
            <w:right w:val="none" w:sz="0" w:space="0" w:color="auto"/>
          </w:divBdr>
        </w:div>
        <w:div w:id="548030854">
          <w:marLeft w:val="360"/>
          <w:marRight w:val="0"/>
          <w:marTop w:val="120"/>
          <w:marBottom w:val="120"/>
          <w:divBdr>
            <w:top w:val="none" w:sz="0" w:space="0" w:color="auto"/>
            <w:left w:val="none" w:sz="0" w:space="0" w:color="auto"/>
            <w:bottom w:val="none" w:sz="0" w:space="0" w:color="auto"/>
            <w:right w:val="none" w:sz="0" w:space="0" w:color="auto"/>
          </w:divBdr>
        </w:div>
        <w:div w:id="822357426">
          <w:marLeft w:val="1080"/>
          <w:marRight w:val="0"/>
          <w:marTop w:val="120"/>
          <w:marBottom w:val="120"/>
          <w:divBdr>
            <w:top w:val="none" w:sz="0" w:space="0" w:color="auto"/>
            <w:left w:val="none" w:sz="0" w:space="0" w:color="auto"/>
            <w:bottom w:val="none" w:sz="0" w:space="0" w:color="auto"/>
            <w:right w:val="none" w:sz="0" w:space="0" w:color="auto"/>
          </w:divBdr>
        </w:div>
        <w:div w:id="1463691205">
          <w:marLeft w:val="360"/>
          <w:marRight w:val="0"/>
          <w:marTop w:val="120"/>
          <w:marBottom w:val="120"/>
          <w:divBdr>
            <w:top w:val="none" w:sz="0" w:space="0" w:color="auto"/>
            <w:left w:val="none" w:sz="0" w:space="0" w:color="auto"/>
            <w:bottom w:val="none" w:sz="0" w:space="0" w:color="auto"/>
            <w:right w:val="none" w:sz="0" w:space="0" w:color="auto"/>
          </w:divBdr>
        </w:div>
        <w:div w:id="2098474788">
          <w:marLeft w:val="1080"/>
          <w:marRight w:val="0"/>
          <w:marTop w:val="120"/>
          <w:marBottom w:val="120"/>
          <w:divBdr>
            <w:top w:val="none" w:sz="0" w:space="0" w:color="auto"/>
            <w:left w:val="none" w:sz="0" w:space="0" w:color="auto"/>
            <w:bottom w:val="none" w:sz="0" w:space="0" w:color="auto"/>
            <w:right w:val="none" w:sz="0" w:space="0" w:color="auto"/>
          </w:divBdr>
        </w:div>
      </w:divsChild>
    </w:div>
    <w:div w:id="433016791">
      <w:bodyDiv w:val="1"/>
      <w:marLeft w:val="0"/>
      <w:marRight w:val="0"/>
      <w:marTop w:val="0"/>
      <w:marBottom w:val="0"/>
      <w:divBdr>
        <w:top w:val="none" w:sz="0" w:space="0" w:color="auto"/>
        <w:left w:val="none" w:sz="0" w:space="0" w:color="auto"/>
        <w:bottom w:val="none" w:sz="0" w:space="0" w:color="auto"/>
        <w:right w:val="none" w:sz="0" w:space="0" w:color="auto"/>
      </w:divBdr>
    </w:div>
    <w:div w:id="480193073">
      <w:bodyDiv w:val="1"/>
      <w:marLeft w:val="0"/>
      <w:marRight w:val="0"/>
      <w:marTop w:val="0"/>
      <w:marBottom w:val="0"/>
      <w:divBdr>
        <w:top w:val="none" w:sz="0" w:space="0" w:color="auto"/>
        <w:left w:val="none" w:sz="0" w:space="0" w:color="auto"/>
        <w:bottom w:val="none" w:sz="0" w:space="0" w:color="auto"/>
        <w:right w:val="none" w:sz="0" w:space="0" w:color="auto"/>
      </w:divBdr>
    </w:div>
    <w:div w:id="517233315">
      <w:bodyDiv w:val="1"/>
      <w:marLeft w:val="0"/>
      <w:marRight w:val="0"/>
      <w:marTop w:val="0"/>
      <w:marBottom w:val="0"/>
      <w:divBdr>
        <w:top w:val="none" w:sz="0" w:space="0" w:color="auto"/>
        <w:left w:val="none" w:sz="0" w:space="0" w:color="auto"/>
        <w:bottom w:val="none" w:sz="0" w:space="0" w:color="auto"/>
        <w:right w:val="none" w:sz="0" w:space="0" w:color="auto"/>
      </w:divBdr>
      <w:divsChild>
        <w:div w:id="309748313">
          <w:marLeft w:val="0"/>
          <w:marRight w:val="0"/>
          <w:marTop w:val="0"/>
          <w:marBottom w:val="0"/>
          <w:divBdr>
            <w:top w:val="none" w:sz="0" w:space="0" w:color="auto"/>
            <w:left w:val="none" w:sz="0" w:space="0" w:color="auto"/>
            <w:bottom w:val="none" w:sz="0" w:space="0" w:color="auto"/>
            <w:right w:val="none" w:sz="0" w:space="0" w:color="auto"/>
          </w:divBdr>
          <w:divsChild>
            <w:div w:id="1982685728">
              <w:marLeft w:val="0"/>
              <w:marRight w:val="0"/>
              <w:marTop w:val="0"/>
              <w:marBottom w:val="0"/>
              <w:divBdr>
                <w:top w:val="none" w:sz="0" w:space="0" w:color="auto"/>
                <w:left w:val="none" w:sz="0" w:space="0" w:color="auto"/>
                <w:bottom w:val="none" w:sz="0" w:space="0" w:color="auto"/>
                <w:right w:val="none" w:sz="0" w:space="0" w:color="auto"/>
              </w:divBdr>
              <w:divsChild>
                <w:div w:id="115051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971328">
      <w:bodyDiv w:val="1"/>
      <w:marLeft w:val="0"/>
      <w:marRight w:val="0"/>
      <w:marTop w:val="0"/>
      <w:marBottom w:val="0"/>
      <w:divBdr>
        <w:top w:val="none" w:sz="0" w:space="0" w:color="auto"/>
        <w:left w:val="none" w:sz="0" w:space="0" w:color="auto"/>
        <w:bottom w:val="none" w:sz="0" w:space="0" w:color="auto"/>
        <w:right w:val="none" w:sz="0" w:space="0" w:color="auto"/>
      </w:divBdr>
    </w:div>
    <w:div w:id="811599850">
      <w:bodyDiv w:val="1"/>
      <w:marLeft w:val="0"/>
      <w:marRight w:val="0"/>
      <w:marTop w:val="0"/>
      <w:marBottom w:val="0"/>
      <w:divBdr>
        <w:top w:val="none" w:sz="0" w:space="0" w:color="auto"/>
        <w:left w:val="none" w:sz="0" w:space="0" w:color="auto"/>
        <w:bottom w:val="none" w:sz="0" w:space="0" w:color="auto"/>
        <w:right w:val="none" w:sz="0" w:space="0" w:color="auto"/>
      </w:divBdr>
      <w:divsChild>
        <w:div w:id="2056465415">
          <w:marLeft w:val="1080"/>
          <w:marRight w:val="0"/>
          <w:marTop w:val="120"/>
          <w:marBottom w:val="120"/>
          <w:divBdr>
            <w:top w:val="none" w:sz="0" w:space="0" w:color="auto"/>
            <w:left w:val="none" w:sz="0" w:space="0" w:color="auto"/>
            <w:bottom w:val="none" w:sz="0" w:space="0" w:color="auto"/>
            <w:right w:val="none" w:sz="0" w:space="0" w:color="auto"/>
          </w:divBdr>
        </w:div>
      </w:divsChild>
    </w:div>
    <w:div w:id="851801058">
      <w:bodyDiv w:val="1"/>
      <w:marLeft w:val="0"/>
      <w:marRight w:val="0"/>
      <w:marTop w:val="0"/>
      <w:marBottom w:val="0"/>
      <w:divBdr>
        <w:top w:val="none" w:sz="0" w:space="0" w:color="auto"/>
        <w:left w:val="none" w:sz="0" w:space="0" w:color="auto"/>
        <w:bottom w:val="none" w:sz="0" w:space="0" w:color="auto"/>
        <w:right w:val="none" w:sz="0" w:space="0" w:color="auto"/>
      </w:divBdr>
    </w:div>
    <w:div w:id="874737706">
      <w:bodyDiv w:val="1"/>
      <w:marLeft w:val="0"/>
      <w:marRight w:val="0"/>
      <w:marTop w:val="0"/>
      <w:marBottom w:val="0"/>
      <w:divBdr>
        <w:top w:val="none" w:sz="0" w:space="0" w:color="auto"/>
        <w:left w:val="none" w:sz="0" w:space="0" w:color="auto"/>
        <w:bottom w:val="none" w:sz="0" w:space="0" w:color="auto"/>
        <w:right w:val="none" w:sz="0" w:space="0" w:color="auto"/>
      </w:divBdr>
    </w:div>
    <w:div w:id="1029450301">
      <w:bodyDiv w:val="1"/>
      <w:marLeft w:val="0"/>
      <w:marRight w:val="0"/>
      <w:marTop w:val="0"/>
      <w:marBottom w:val="0"/>
      <w:divBdr>
        <w:top w:val="none" w:sz="0" w:space="0" w:color="auto"/>
        <w:left w:val="none" w:sz="0" w:space="0" w:color="auto"/>
        <w:bottom w:val="none" w:sz="0" w:space="0" w:color="auto"/>
        <w:right w:val="none" w:sz="0" w:space="0" w:color="auto"/>
      </w:divBdr>
      <w:divsChild>
        <w:div w:id="383522808">
          <w:marLeft w:val="360"/>
          <w:marRight w:val="0"/>
          <w:marTop w:val="200"/>
          <w:marBottom w:val="120"/>
          <w:divBdr>
            <w:top w:val="none" w:sz="0" w:space="0" w:color="auto"/>
            <w:left w:val="none" w:sz="0" w:space="0" w:color="auto"/>
            <w:bottom w:val="none" w:sz="0" w:space="0" w:color="auto"/>
            <w:right w:val="none" w:sz="0" w:space="0" w:color="auto"/>
          </w:divBdr>
        </w:div>
        <w:div w:id="650868299">
          <w:marLeft w:val="1080"/>
          <w:marRight w:val="0"/>
          <w:marTop w:val="100"/>
          <w:marBottom w:val="120"/>
          <w:divBdr>
            <w:top w:val="none" w:sz="0" w:space="0" w:color="auto"/>
            <w:left w:val="none" w:sz="0" w:space="0" w:color="auto"/>
            <w:bottom w:val="none" w:sz="0" w:space="0" w:color="auto"/>
            <w:right w:val="none" w:sz="0" w:space="0" w:color="auto"/>
          </w:divBdr>
        </w:div>
        <w:div w:id="808985594">
          <w:marLeft w:val="1080"/>
          <w:marRight w:val="0"/>
          <w:marTop w:val="100"/>
          <w:marBottom w:val="120"/>
          <w:divBdr>
            <w:top w:val="none" w:sz="0" w:space="0" w:color="auto"/>
            <w:left w:val="none" w:sz="0" w:space="0" w:color="auto"/>
            <w:bottom w:val="none" w:sz="0" w:space="0" w:color="auto"/>
            <w:right w:val="none" w:sz="0" w:space="0" w:color="auto"/>
          </w:divBdr>
        </w:div>
        <w:div w:id="837303157">
          <w:marLeft w:val="1080"/>
          <w:marRight w:val="0"/>
          <w:marTop w:val="100"/>
          <w:marBottom w:val="120"/>
          <w:divBdr>
            <w:top w:val="none" w:sz="0" w:space="0" w:color="auto"/>
            <w:left w:val="none" w:sz="0" w:space="0" w:color="auto"/>
            <w:bottom w:val="none" w:sz="0" w:space="0" w:color="auto"/>
            <w:right w:val="none" w:sz="0" w:space="0" w:color="auto"/>
          </w:divBdr>
        </w:div>
        <w:div w:id="957223496">
          <w:marLeft w:val="360"/>
          <w:marRight w:val="0"/>
          <w:marTop w:val="200"/>
          <w:marBottom w:val="120"/>
          <w:divBdr>
            <w:top w:val="none" w:sz="0" w:space="0" w:color="auto"/>
            <w:left w:val="none" w:sz="0" w:space="0" w:color="auto"/>
            <w:bottom w:val="none" w:sz="0" w:space="0" w:color="auto"/>
            <w:right w:val="none" w:sz="0" w:space="0" w:color="auto"/>
          </w:divBdr>
        </w:div>
        <w:div w:id="1177578297">
          <w:marLeft w:val="1080"/>
          <w:marRight w:val="0"/>
          <w:marTop w:val="100"/>
          <w:marBottom w:val="120"/>
          <w:divBdr>
            <w:top w:val="none" w:sz="0" w:space="0" w:color="auto"/>
            <w:left w:val="none" w:sz="0" w:space="0" w:color="auto"/>
            <w:bottom w:val="none" w:sz="0" w:space="0" w:color="auto"/>
            <w:right w:val="none" w:sz="0" w:space="0" w:color="auto"/>
          </w:divBdr>
        </w:div>
        <w:div w:id="1279218384">
          <w:marLeft w:val="360"/>
          <w:marRight w:val="0"/>
          <w:marTop w:val="100"/>
          <w:marBottom w:val="120"/>
          <w:divBdr>
            <w:top w:val="none" w:sz="0" w:space="0" w:color="auto"/>
            <w:left w:val="none" w:sz="0" w:space="0" w:color="auto"/>
            <w:bottom w:val="none" w:sz="0" w:space="0" w:color="auto"/>
            <w:right w:val="none" w:sz="0" w:space="0" w:color="auto"/>
          </w:divBdr>
        </w:div>
        <w:div w:id="2029788120">
          <w:marLeft w:val="1080"/>
          <w:marRight w:val="0"/>
          <w:marTop w:val="100"/>
          <w:marBottom w:val="120"/>
          <w:divBdr>
            <w:top w:val="none" w:sz="0" w:space="0" w:color="auto"/>
            <w:left w:val="none" w:sz="0" w:space="0" w:color="auto"/>
            <w:bottom w:val="none" w:sz="0" w:space="0" w:color="auto"/>
            <w:right w:val="none" w:sz="0" w:space="0" w:color="auto"/>
          </w:divBdr>
        </w:div>
      </w:divsChild>
    </w:div>
    <w:div w:id="1043214264">
      <w:bodyDiv w:val="1"/>
      <w:marLeft w:val="0"/>
      <w:marRight w:val="0"/>
      <w:marTop w:val="0"/>
      <w:marBottom w:val="0"/>
      <w:divBdr>
        <w:top w:val="none" w:sz="0" w:space="0" w:color="auto"/>
        <w:left w:val="none" w:sz="0" w:space="0" w:color="auto"/>
        <w:bottom w:val="none" w:sz="0" w:space="0" w:color="auto"/>
        <w:right w:val="none" w:sz="0" w:space="0" w:color="auto"/>
      </w:divBdr>
    </w:div>
    <w:div w:id="1095637571">
      <w:bodyDiv w:val="1"/>
      <w:marLeft w:val="0"/>
      <w:marRight w:val="0"/>
      <w:marTop w:val="0"/>
      <w:marBottom w:val="0"/>
      <w:divBdr>
        <w:top w:val="none" w:sz="0" w:space="0" w:color="auto"/>
        <w:left w:val="none" w:sz="0" w:space="0" w:color="auto"/>
        <w:bottom w:val="none" w:sz="0" w:space="0" w:color="auto"/>
        <w:right w:val="none" w:sz="0" w:space="0" w:color="auto"/>
      </w:divBdr>
    </w:div>
    <w:div w:id="1130128041">
      <w:bodyDiv w:val="1"/>
      <w:marLeft w:val="0"/>
      <w:marRight w:val="0"/>
      <w:marTop w:val="0"/>
      <w:marBottom w:val="0"/>
      <w:divBdr>
        <w:top w:val="none" w:sz="0" w:space="0" w:color="auto"/>
        <w:left w:val="none" w:sz="0" w:space="0" w:color="auto"/>
        <w:bottom w:val="none" w:sz="0" w:space="0" w:color="auto"/>
        <w:right w:val="none" w:sz="0" w:space="0" w:color="auto"/>
      </w:divBdr>
      <w:divsChild>
        <w:div w:id="156189239">
          <w:marLeft w:val="1080"/>
          <w:marRight w:val="0"/>
          <w:marTop w:val="120"/>
          <w:marBottom w:val="120"/>
          <w:divBdr>
            <w:top w:val="none" w:sz="0" w:space="0" w:color="auto"/>
            <w:left w:val="none" w:sz="0" w:space="0" w:color="auto"/>
            <w:bottom w:val="none" w:sz="0" w:space="0" w:color="auto"/>
            <w:right w:val="none" w:sz="0" w:space="0" w:color="auto"/>
          </w:divBdr>
        </w:div>
        <w:div w:id="425611164">
          <w:marLeft w:val="1080"/>
          <w:marRight w:val="0"/>
          <w:marTop w:val="120"/>
          <w:marBottom w:val="120"/>
          <w:divBdr>
            <w:top w:val="none" w:sz="0" w:space="0" w:color="auto"/>
            <w:left w:val="none" w:sz="0" w:space="0" w:color="auto"/>
            <w:bottom w:val="none" w:sz="0" w:space="0" w:color="auto"/>
            <w:right w:val="none" w:sz="0" w:space="0" w:color="auto"/>
          </w:divBdr>
        </w:div>
        <w:div w:id="903101107">
          <w:marLeft w:val="360"/>
          <w:marRight w:val="0"/>
          <w:marTop w:val="120"/>
          <w:marBottom w:val="120"/>
          <w:divBdr>
            <w:top w:val="none" w:sz="0" w:space="0" w:color="auto"/>
            <w:left w:val="none" w:sz="0" w:space="0" w:color="auto"/>
            <w:bottom w:val="none" w:sz="0" w:space="0" w:color="auto"/>
            <w:right w:val="none" w:sz="0" w:space="0" w:color="auto"/>
          </w:divBdr>
        </w:div>
        <w:div w:id="920331995">
          <w:marLeft w:val="1080"/>
          <w:marRight w:val="0"/>
          <w:marTop w:val="120"/>
          <w:marBottom w:val="120"/>
          <w:divBdr>
            <w:top w:val="none" w:sz="0" w:space="0" w:color="auto"/>
            <w:left w:val="none" w:sz="0" w:space="0" w:color="auto"/>
            <w:bottom w:val="none" w:sz="0" w:space="0" w:color="auto"/>
            <w:right w:val="none" w:sz="0" w:space="0" w:color="auto"/>
          </w:divBdr>
        </w:div>
        <w:div w:id="1246186310">
          <w:marLeft w:val="1080"/>
          <w:marRight w:val="0"/>
          <w:marTop w:val="120"/>
          <w:marBottom w:val="120"/>
          <w:divBdr>
            <w:top w:val="none" w:sz="0" w:space="0" w:color="auto"/>
            <w:left w:val="none" w:sz="0" w:space="0" w:color="auto"/>
            <w:bottom w:val="none" w:sz="0" w:space="0" w:color="auto"/>
            <w:right w:val="none" w:sz="0" w:space="0" w:color="auto"/>
          </w:divBdr>
        </w:div>
      </w:divsChild>
    </w:div>
    <w:div w:id="1213885404">
      <w:bodyDiv w:val="1"/>
      <w:marLeft w:val="0"/>
      <w:marRight w:val="0"/>
      <w:marTop w:val="0"/>
      <w:marBottom w:val="0"/>
      <w:divBdr>
        <w:top w:val="none" w:sz="0" w:space="0" w:color="auto"/>
        <w:left w:val="none" w:sz="0" w:space="0" w:color="auto"/>
        <w:bottom w:val="none" w:sz="0" w:space="0" w:color="auto"/>
        <w:right w:val="none" w:sz="0" w:space="0" w:color="auto"/>
      </w:divBdr>
      <w:divsChild>
        <w:div w:id="796066758">
          <w:marLeft w:val="0"/>
          <w:marRight w:val="0"/>
          <w:marTop w:val="0"/>
          <w:marBottom w:val="0"/>
          <w:divBdr>
            <w:top w:val="none" w:sz="0" w:space="0" w:color="auto"/>
            <w:left w:val="none" w:sz="0" w:space="0" w:color="auto"/>
            <w:bottom w:val="none" w:sz="0" w:space="0" w:color="auto"/>
            <w:right w:val="none" w:sz="0" w:space="0" w:color="auto"/>
          </w:divBdr>
          <w:divsChild>
            <w:div w:id="189484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034187">
      <w:bodyDiv w:val="1"/>
      <w:marLeft w:val="0"/>
      <w:marRight w:val="0"/>
      <w:marTop w:val="0"/>
      <w:marBottom w:val="0"/>
      <w:divBdr>
        <w:top w:val="none" w:sz="0" w:space="0" w:color="auto"/>
        <w:left w:val="none" w:sz="0" w:space="0" w:color="auto"/>
        <w:bottom w:val="none" w:sz="0" w:space="0" w:color="auto"/>
        <w:right w:val="none" w:sz="0" w:space="0" w:color="auto"/>
      </w:divBdr>
      <w:divsChild>
        <w:div w:id="21515260">
          <w:marLeft w:val="360"/>
          <w:marRight w:val="0"/>
          <w:marTop w:val="120"/>
          <w:marBottom w:val="0"/>
          <w:divBdr>
            <w:top w:val="none" w:sz="0" w:space="0" w:color="auto"/>
            <w:left w:val="none" w:sz="0" w:space="0" w:color="auto"/>
            <w:bottom w:val="none" w:sz="0" w:space="0" w:color="auto"/>
            <w:right w:val="none" w:sz="0" w:space="0" w:color="auto"/>
          </w:divBdr>
        </w:div>
        <w:div w:id="320424788">
          <w:marLeft w:val="360"/>
          <w:marRight w:val="0"/>
          <w:marTop w:val="120"/>
          <w:marBottom w:val="0"/>
          <w:divBdr>
            <w:top w:val="none" w:sz="0" w:space="0" w:color="auto"/>
            <w:left w:val="none" w:sz="0" w:space="0" w:color="auto"/>
            <w:bottom w:val="none" w:sz="0" w:space="0" w:color="auto"/>
            <w:right w:val="none" w:sz="0" w:space="0" w:color="auto"/>
          </w:divBdr>
        </w:div>
        <w:div w:id="628171853">
          <w:marLeft w:val="1080"/>
          <w:marRight w:val="0"/>
          <w:marTop w:val="120"/>
          <w:marBottom w:val="0"/>
          <w:divBdr>
            <w:top w:val="none" w:sz="0" w:space="0" w:color="auto"/>
            <w:left w:val="none" w:sz="0" w:space="0" w:color="auto"/>
            <w:bottom w:val="none" w:sz="0" w:space="0" w:color="auto"/>
            <w:right w:val="none" w:sz="0" w:space="0" w:color="auto"/>
          </w:divBdr>
        </w:div>
        <w:div w:id="909116962">
          <w:marLeft w:val="1080"/>
          <w:marRight w:val="0"/>
          <w:marTop w:val="120"/>
          <w:marBottom w:val="0"/>
          <w:divBdr>
            <w:top w:val="none" w:sz="0" w:space="0" w:color="auto"/>
            <w:left w:val="none" w:sz="0" w:space="0" w:color="auto"/>
            <w:bottom w:val="none" w:sz="0" w:space="0" w:color="auto"/>
            <w:right w:val="none" w:sz="0" w:space="0" w:color="auto"/>
          </w:divBdr>
        </w:div>
        <w:div w:id="1783765603">
          <w:marLeft w:val="1080"/>
          <w:marRight w:val="0"/>
          <w:marTop w:val="120"/>
          <w:marBottom w:val="0"/>
          <w:divBdr>
            <w:top w:val="none" w:sz="0" w:space="0" w:color="auto"/>
            <w:left w:val="none" w:sz="0" w:space="0" w:color="auto"/>
            <w:bottom w:val="none" w:sz="0" w:space="0" w:color="auto"/>
            <w:right w:val="none" w:sz="0" w:space="0" w:color="auto"/>
          </w:divBdr>
        </w:div>
        <w:div w:id="2078043690">
          <w:marLeft w:val="1080"/>
          <w:marRight w:val="0"/>
          <w:marTop w:val="120"/>
          <w:marBottom w:val="0"/>
          <w:divBdr>
            <w:top w:val="none" w:sz="0" w:space="0" w:color="auto"/>
            <w:left w:val="none" w:sz="0" w:space="0" w:color="auto"/>
            <w:bottom w:val="none" w:sz="0" w:space="0" w:color="auto"/>
            <w:right w:val="none" w:sz="0" w:space="0" w:color="auto"/>
          </w:divBdr>
        </w:div>
      </w:divsChild>
    </w:div>
    <w:div w:id="1760826721">
      <w:bodyDiv w:val="1"/>
      <w:marLeft w:val="0"/>
      <w:marRight w:val="0"/>
      <w:marTop w:val="0"/>
      <w:marBottom w:val="0"/>
      <w:divBdr>
        <w:top w:val="none" w:sz="0" w:space="0" w:color="auto"/>
        <w:left w:val="none" w:sz="0" w:space="0" w:color="auto"/>
        <w:bottom w:val="none" w:sz="0" w:space="0" w:color="auto"/>
        <w:right w:val="none" w:sz="0" w:space="0" w:color="auto"/>
      </w:divBdr>
    </w:div>
    <w:div w:id="1783721477">
      <w:bodyDiv w:val="1"/>
      <w:marLeft w:val="0"/>
      <w:marRight w:val="0"/>
      <w:marTop w:val="0"/>
      <w:marBottom w:val="0"/>
      <w:divBdr>
        <w:top w:val="none" w:sz="0" w:space="0" w:color="auto"/>
        <w:left w:val="none" w:sz="0" w:space="0" w:color="auto"/>
        <w:bottom w:val="none" w:sz="0" w:space="0" w:color="auto"/>
        <w:right w:val="none" w:sz="0" w:space="0" w:color="auto"/>
      </w:divBdr>
      <w:divsChild>
        <w:div w:id="1830363716">
          <w:marLeft w:val="0"/>
          <w:marRight w:val="0"/>
          <w:marTop w:val="0"/>
          <w:marBottom w:val="0"/>
          <w:divBdr>
            <w:top w:val="single" w:sz="2" w:space="0" w:color="auto"/>
            <w:left w:val="single" w:sz="2" w:space="0" w:color="auto"/>
            <w:bottom w:val="single" w:sz="6" w:space="0" w:color="auto"/>
            <w:right w:val="single" w:sz="2" w:space="0" w:color="auto"/>
          </w:divBdr>
          <w:divsChild>
            <w:div w:id="356078924">
              <w:marLeft w:val="0"/>
              <w:marRight w:val="0"/>
              <w:marTop w:val="100"/>
              <w:marBottom w:val="100"/>
              <w:divBdr>
                <w:top w:val="single" w:sz="2" w:space="0" w:color="D9D9E3"/>
                <w:left w:val="single" w:sz="2" w:space="0" w:color="D9D9E3"/>
                <w:bottom w:val="single" w:sz="2" w:space="0" w:color="D9D9E3"/>
                <w:right w:val="single" w:sz="2" w:space="0" w:color="D9D9E3"/>
              </w:divBdr>
              <w:divsChild>
                <w:div w:id="493374757">
                  <w:marLeft w:val="0"/>
                  <w:marRight w:val="0"/>
                  <w:marTop w:val="0"/>
                  <w:marBottom w:val="0"/>
                  <w:divBdr>
                    <w:top w:val="single" w:sz="2" w:space="0" w:color="D9D9E3"/>
                    <w:left w:val="single" w:sz="2" w:space="0" w:color="D9D9E3"/>
                    <w:bottom w:val="single" w:sz="2" w:space="0" w:color="D9D9E3"/>
                    <w:right w:val="single" w:sz="2" w:space="0" w:color="D9D9E3"/>
                  </w:divBdr>
                  <w:divsChild>
                    <w:div w:id="1933775954">
                      <w:marLeft w:val="0"/>
                      <w:marRight w:val="0"/>
                      <w:marTop w:val="0"/>
                      <w:marBottom w:val="0"/>
                      <w:divBdr>
                        <w:top w:val="single" w:sz="2" w:space="0" w:color="D9D9E3"/>
                        <w:left w:val="single" w:sz="2" w:space="0" w:color="D9D9E3"/>
                        <w:bottom w:val="single" w:sz="2" w:space="0" w:color="D9D9E3"/>
                        <w:right w:val="single" w:sz="2" w:space="0" w:color="D9D9E3"/>
                      </w:divBdr>
                      <w:divsChild>
                        <w:div w:id="124859195">
                          <w:marLeft w:val="0"/>
                          <w:marRight w:val="0"/>
                          <w:marTop w:val="0"/>
                          <w:marBottom w:val="0"/>
                          <w:divBdr>
                            <w:top w:val="single" w:sz="2" w:space="0" w:color="D9D9E3"/>
                            <w:left w:val="single" w:sz="2" w:space="0" w:color="D9D9E3"/>
                            <w:bottom w:val="single" w:sz="2" w:space="0" w:color="D9D9E3"/>
                            <w:right w:val="single" w:sz="2" w:space="0" w:color="D9D9E3"/>
                          </w:divBdr>
                          <w:divsChild>
                            <w:div w:id="2063834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70152268">
      <w:bodyDiv w:val="1"/>
      <w:marLeft w:val="0"/>
      <w:marRight w:val="0"/>
      <w:marTop w:val="0"/>
      <w:marBottom w:val="0"/>
      <w:divBdr>
        <w:top w:val="none" w:sz="0" w:space="0" w:color="auto"/>
        <w:left w:val="none" w:sz="0" w:space="0" w:color="auto"/>
        <w:bottom w:val="none" w:sz="0" w:space="0" w:color="auto"/>
        <w:right w:val="none" w:sz="0" w:space="0" w:color="auto"/>
      </w:divBdr>
      <w:divsChild>
        <w:div w:id="2113015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doi.org/10.1109/TEM.2022.3173175"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riksrevisionen.se/download/18.72018eee166eda46d0ca9ddb/1542826157452/RiR_2018_30_ANPASSAD.pdf" TargetMode="External"/><Relationship Id="rId2" Type="http://schemas.openxmlformats.org/officeDocument/2006/relationships/customXml" Target="../customXml/item2.xml"/><Relationship Id="rId16" Type="http://schemas.openxmlformats.org/officeDocument/2006/relationships/hyperlink" Target="https://www.regjeringen.no/globalassets/upload/fin/vedlegg/okstyring/rundskriv/faste/r_108_2023.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4180BE97C3854DBB03C753D1B88843"/>
        <w:category>
          <w:name w:val="General"/>
          <w:gallery w:val="placeholder"/>
        </w:category>
        <w:types>
          <w:type w:val="bbPlcHdr"/>
        </w:types>
        <w:behaviors>
          <w:behavior w:val="content"/>
        </w:behaviors>
        <w:guid w:val="{81AC64E0-AB17-C54B-97F7-39035D95D23B}"/>
      </w:docPartPr>
      <w:docPartBody>
        <w:p w:rsidR="00FE2011" w:rsidRDefault="00CF7EC7" w:rsidP="00CF7EC7">
          <w:pPr>
            <w:pStyle w:val="BB4180BE97C3854DBB03C753D1B88843"/>
          </w:pPr>
          <w:r w:rsidRPr="004A70D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604020202020204"/>
    <w:charset w:val="00"/>
    <w:family w:val="swiss"/>
    <w:pitch w:val="variable"/>
    <w:sig w:usb0="E4002EFF" w:usb1="C000E47F" w:usb2="00000009" w:usb3="00000000" w:csb0="000001FF" w:csb1="00000000"/>
  </w:font>
  <w:font w:name="Charis SIL">
    <w:altName w:val="Calibri"/>
    <w:panose1 w:val="020B0604020202020204"/>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EC7"/>
    <w:rsid w:val="000455D1"/>
    <w:rsid w:val="0016163E"/>
    <w:rsid w:val="001745A9"/>
    <w:rsid w:val="0020071A"/>
    <w:rsid w:val="002C2D71"/>
    <w:rsid w:val="00375FC1"/>
    <w:rsid w:val="004428A2"/>
    <w:rsid w:val="005A2293"/>
    <w:rsid w:val="0066418C"/>
    <w:rsid w:val="00672E8F"/>
    <w:rsid w:val="00677FEA"/>
    <w:rsid w:val="00721C67"/>
    <w:rsid w:val="00797ED5"/>
    <w:rsid w:val="00837C2F"/>
    <w:rsid w:val="008B3444"/>
    <w:rsid w:val="008C5B09"/>
    <w:rsid w:val="008D02D1"/>
    <w:rsid w:val="00951E63"/>
    <w:rsid w:val="009B1B23"/>
    <w:rsid w:val="00A756F2"/>
    <w:rsid w:val="00AA2105"/>
    <w:rsid w:val="00BA41C3"/>
    <w:rsid w:val="00BB5FC7"/>
    <w:rsid w:val="00BC278F"/>
    <w:rsid w:val="00CF6646"/>
    <w:rsid w:val="00CF7EC7"/>
    <w:rsid w:val="00D16545"/>
    <w:rsid w:val="00D8544B"/>
    <w:rsid w:val="00E55F82"/>
    <w:rsid w:val="00E57FEA"/>
    <w:rsid w:val="00E96616"/>
    <w:rsid w:val="00EC17A7"/>
    <w:rsid w:val="00EF117D"/>
    <w:rsid w:val="00F00F1F"/>
    <w:rsid w:val="00F25DC6"/>
    <w:rsid w:val="00F8332C"/>
    <w:rsid w:val="00FE2011"/>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5B09"/>
    <w:rPr>
      <w:color w:val="808080"/>
    </w:rPr>
  </w:style>
  <w:style w:type="paragraph" w:customStyle="1" w:styleId="BB4180BE97C3854DBB03C753D1B88843">
    <w:name w:val="BB4180BE97C3854DBB03C753D1B88843"/>
    <w:rsid w:val="00CF7E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9478C487D0CD4C9A8676C7877E4FEF" ma:contentTypeVersion="8" ma:contentTypeDescription="Create a new document." ma:contentTypeScope="" ma:versionID="ed1a27851126b3e3ea740d8145423cc1">
  <xsd:schema xmlns:xsd="http://www.w3.org/2001/XMLSchema" xmlns:xs="http://www.w3.org/2001/XMLSchema" xmlns:p="http://schemas.microsoft.com/office/2006/metadata/properties" xmlns:ns2="3cc8587b-a0ba-4aca-90a0-728f845899a9" xmlns:ns3="64a0886e-19b3-4ba9-b59c-77a80a17f314" targetNamespace="http://schemas.microsoft.com/office/2006/metadata/properties" ma:root="true" ma:fieldsID="1097f69dd64579d78ad58ab1424a32cb" ns2:_="" ns3:_="">
    <xsd:import namespace="3cc8587b-a0ba-4aca-90a0-728f845899a9"/>
    <xsd:import namespace="64a0886e-19b3-4ba9-b59c-77a80a17f3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c8587b-a0ba-4aca-90a0-728f84589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a0886e-19b3-4ba9-b59c-77a80a17f31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68A09-27D9-4DF9-B63D-85C909241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c8587b-a0ba-4aca-90a0-728f845899a9"/>
    <ds:schemaRef ds:uri="64a0886e-19b3-4ba9-b59c-77a80a17f3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B590E7-C60A-4A15-85FC-691D089B7A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5B92AF-E1EB-4FD2-9366-6556BEA73416}">
  <ds:schemaRefs>
    <ds:schemaRef ds:uri="http://schemas.microsoft.com/sharepoint/v3/contenttype/forms"/>
  </ds:schemaRefs>
</ds:datastoreItem>
</file>

<file path=customXml/itemProps4.xml><?xml version="1.0" encoding="utf-8"?>
<ds:datastoreItem xmlns:ds="http://schemas.openxmlformats.org/officeDocument/2006/customXml" ds:itemID="{A9C651AC-EF0F-48F6-868B-A7D7C4646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.~WRD0001</Template>
  <TotalTime>0</TotalTime>
  <Pages>29</Pages>
  <Words>13311</Words>
  <Characters>75875</Characters>
  <Application>Microsoft Office Word</Application>
  <DocSecurity>0</DocSecurity>
  <Lines>632</Lines>
  <Paragraphs>178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 Holst Volden</dc:creator>
  <cp:keywords/>
  <dc:description/>
  <cp:lastModifiedBy>Bjørn Andersen</cp:lastModifiedBy>
  <cp:revision>1080</cp:revision>
  <cp:lastPrinted>2024-02-02T01:10:00Z</cp:lastPrinted>
  <dcterms:created xsi:type="dcterms:W3CDTF">2023-11-11T03:22:00Z</dcterms:created>
  <dcterms:modified xsi:type="dcterms:W3CDTF">2024-05-29T05:04:00Z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0x010100FC9478C487D0CD4C9A8676C7877E4FEF</vt:lpwstr>
  </property>
  <property fmtid="{D5CDD505-2E9C-101B-9397-08002B2CF9AE}" pid="3" name="GrammarlyDocumentId">
    <vt:lpwstr>8d083004fc14eacb390dfc01908baae7c03712c558d0c4d7b8f11163c1421249</vt:lpwstr>
  </property>
</Properties>
</file>