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E0900" w14:textId="77777777" w:rsidR="00605E0B" w:rsidRPr="00A772DB" w:rsidRDefault="00605E0B" w:rsidP="00605E0B">
      <w:pPr>
        <w:jc w:val="center"/>
        <w:rPr>
          <w:bCs/>
          <w:i/>
          <w:lang w:val="en-GB"/>
        </w:rPr>
      </w:pPr>
    </w:p>
    <w:p w14:paraId="3EB07B8F" w14:textId="77777777" w:rsidR="00385CAE" w:rsidRPr="00385CAE" w:rsidRDefault="00385CAE" w:rsidP="00385CAE">
      <w:pPr>
        <w:jc w:val="center"/>
        <w:rPr>
          <w:bCs/>
          <w:i/>
          <w:lang w:val="en-GB"/>
        </w:rPr>
      </w:pPr>
    </w:p>
    <w:p w14:paraId="1380E0D6" w14:textId="77777777" w:rsidR="00385CAE" w:rsidRPr="00385CAE" w:rsidRDefault="00385CAE" w:rsidP="00385CAE">
      <w:pPr>
        <w:jc w:val="center"/>
        <w:rPr>
          <w:bCs/>
          <w:i/>
          <w:lang w:val="en-GB"/>
        </w:rPr>
      </w:pPr>
    </w:p>
    <w:p w14:paraId="523E3AF2" w14:textId="50E7104C" w:rsidR="00385CAE" w:rsidRPr="00385CAE" w:rsidRDefault="002C4168" w:rsidP="00385CAE">
      <w:pPr>
        <w:jc w:val="center"/>
        <w:rPr>
          <w:bCs/>
          <w:i/>
          <w:lang w:val="en-GB"/>
        </w:rPr>
      </w:pPr>
      <w:r>
        <w:rPr>
          <w:bCs/>
          <w:i/>
          <w:lang w:val="en-GB"/>
        </w:rPr>
        <w:t>*</w:t>
      </w:r>
      <w:r w:rsidR="00385CAE" w:rsidRPr="00385CAE">
        <w:rPr>
          <w:bCs/>
          <w:i/>
          <w:lang w:val="en-GB"/>
        </w:rPr>
        <w:t xml:space="preserve"> World Review of Entrepreneurship, Management and Sustainable Development * </w:t>
      </w:r>
    </w:p>
    <w:p w14:paraId="38684183" w14:textId="77777777" w:rsidR="00385CAE" w:rsidRPr="00385CAE" w:rsidRDefault="00385CAE" w:rsidP="00385CAE">
      <w:pPr>
        <w:jc w:val="center"/>
        <w:rPr>
          <w:bCs/>
          <w:i/>
          <w:lang w:val="en-GB"/>
        </w:rPr>
      </w:pPr>
    </w:p>
    <w:p w14:paraId="12A61223" w14:textId="77777777" w:rsidR="00385CAE" w:rsidRPr="00385CAE" w:rsidRDefault="00385CAE" w:rsidP="00385CAE">
      <w:pPr>
        <w:jc w:val="center"/>
        <w:rPr>
          <w:bCs/>
          <w:i/>
          <w:lang w:val="en-GB"/>
        </w:rPr>
      </w:pPr>
    </w:p>
    <w:p w14:paraId="419B4E63" w14:textId="77777777" w:rsidR="00385CAE" w:rsidRPr="00A772DB" w:rsidRDefault="00385CAE" w:rsidP="00385CAE">
      <w:pPr>
        <w:jc w:val="center"/>
        <w:rPr>
          <w:b/>
          <w:sz w:val="32"/>
          <w:szCs w:val="32"/>
          <w:lang w:val="en-GB"/>
        </w:rPr>
      </w:pPr>
      <w:r w:rsidRPr="00A772DB">
        <w:rPr>
          <w:b/>
          <w:sz w:val="32"/>
          <w:szCs w:val="32"/>
          <w:lang w:val="en-GB"/>
        </w:rPr>
        <w:t>Green Innovation in Recycling, -</w:t>
      </w:r>
    </w:p>
    <w:p w14:paraId="7E1B0008" w14:textId="77777777" w:rsidR="00385CAE" w:rsidRPr="00A772DB" w:rsidRDefault="00385CAE" w:rsidP="00385CAE">
      <w:pPr>
        <w:jc w:val="center"/>
        <w:rPr>
          <w:b/>
          <w:sz w:val="32"/>
          <w:szCs w:val="32"/>
          <w:lang w:val="en-GB"/>
        </w:rPr>
      </w:pPr>
    </w:p>
    <w:p w14:paraId="6CDD2B77" w14:textId="77777777" w:rsidR="00385CAE" w:rsidRPr="00A772DB" w:rsidRDefault="00385CAE" w:rsidP="00385CAE">
      <w:pPr>
        <w:jc w:val="center"/>
        <w:rPr>
          <w:szCs w:val="24"/>
          <w:lang w:val="en-GB"/>
        </w:rPr>
      </w:pPr>
      <w:r w:rsidRPr="00A772DB">
        <w:rPr>
          <w:b/>
          <w:szCs w:val="24"/>
          <w:lang w:val="en-GB"/>
        </w:rPr>
        <w:t>A Preliminary Analysis of Reversed Logistics in Norway.</w:t>
      </w:r>
    </w:p>
    <w:p w14:paraId="15BBD783" w14:textId="500D7AF7" w:rsidR="00385CAE" w:rsidRPr="00385CAE" w:rsidRDefault="00385CAE" w:rsidP="00385CAE">
      <w:pPr>
        <w:rPr>
          <w:bCs/>
          <w:i/>
          <w:lang w:val="en-GB"/>
        </w:rPr>
      </w:pPr>
    </w:p>
    <w:p w14:paraId="624766B3" w14:textId="77777777" w:rsidR="00385CAE" w:rsidRPr="00385CAE" w:rsidRDefault="00385CAE" w:rsidP="00385CAE">
      <w:pPr>
        <w:jc w:val="center"/>
        <w:rPr>
          <w:bCs/>
          <w:i/>
          <w:lang w:val="en-GB"/>
        </w:rPr>
      </w:pPr>
    </w:p>
    <w:p w14:paraId="683BBE03" w14:textId="77777777" w:rsidR="00385CAE" w:rsidRPr="00385CAE" w:rsidRDefault="00385CAE" w:rsidP="00385CAE">
      <w:pPr>
        <w:jc w:val="center"/>
        <w:rPr>
          <w:b/>
          <w:bCs/>
          <w:i/>
          <w:lang w:val="en-GB"/>
        </w:rPr>
      </w:pPr>
      <w:r w:rsidRPr="00385CAE">
        <w:rPr>
          <w:b/>
          <w:bCs/>
          <w:i/>
          <w:lang w:val="en-GB"/>
        </w:rPr>
        <w:t>Bente Flygansvær</w:t>
      </w:r>
    </w:p>
    <w:p w14:paraId="56F562E3" w14:textId="77777777" w:rsidR="00385CAE" w:rsidRPr="00385CAE" w:rsidRDefault="00385CAE" w:rsidP="00385CAE">
      <w:pPr>
        <w:jc w:val="center"/>
        <w:rPr>
          <w:b/>
          <w:bCs/>
          <w:i/>
          <w:lang w:val="en-GB"/>
        </w:rPr>
      </w:pPr>
      <w:bookmarkStart w:id="0" w:name="_Hlk510603302"/>
      <w:r w:rsidRPr="00385CAE">
        <w:rPr>
          <w:b/>
          <w:bCs/>
          <w:i/>
          <w:lang w:val="en-GB"/>
        </w:rPr>
        <w:t>BI Norwegian Business School</w:t>
      </w:r>
    </w:p>
    <w:p w14:paraId="1EDF8A97" w14:textId="77777777" w:rsidR="00385CAE" w:rsidRPr="00385CAE" w:rsidRDefault="00385CAE" w:rsidP="00385CAE">
      <w:pPr>
        <w:jc w:val="center"/>
        <w:rPr>
          <w:b/>
          <w:bCs/>
          <w:i/>
          <w:lang w:val="en-GB"/>
        </w:rPr>
      </w:pPr>
      <w:r w:rsidRPr="00385CAE">
        <w:rPr>
          <w:b/>
          <w:bCs/>
          <w:i/>
          <w:lang w:val="en-GB"/>
        </w:rPr>
        <w:t xml:space="preserve">Department of </w:t>
      </w:r>
      <w:bookmarkEnd w:id="0"/>
      <w:r w:rsidRPr="00385CAE">
        <w:rPr>
          <w:b/>
          <w:bCs/>
          <w:i/>
          <w:lang w:val="en-GB"/>
        </w:rPr>
        <w:t>Accounting Auditing and Business Analytics</w:t>
      </w:r>
    </w:p>
    <w:p w14:paraId="00D47A75" w14:textId="77777777" w:rsidR="00385CAE" w:rsidRPr="00385CAE" w:rsidRDefault="00385CAE" w:rsidP="00385CAE">
      <w:pPr>
        <w:jc w:val="center"/>
        <w:rPr>
          <w:b/>
          <w:bCs/>
          <w:i/>
          <w:lang w:val="en-GB"/>
        </w:rPr>
      </w:pPr>
      <w:r w:rsidRPr="00385CAE">
        <w:rPr>
          <w:b/>
          <w:bCs/>
          <w:i/>
          <w:lang w:val="en-GB"/>
        </w:rPr>
        <w:t xml:space="preserve">Phone +4746410467  </w:t>
      </w:r>
    </w:p>
    <w:p w14:paraId="7B8DF699" w14:textId="6D915FDF" w:rsidR="00385CAE" w:rsidRPr="00385CAE" w:rsidRDefault="00385CAE" w:rsidP="00385CAE">
      <w:pPr>
        <w:jc w:val="center"/>
        <w:rPr>
          <w:b/>
          <w:bCs/>
          <w:i/>
          <w:lang w:val="en-GB"/>
        </w:rPr>
      </w:pPr>
      <w:r w:rsidRPr="00385CAE">
        <w:rPr>
          <w:b/>
          <w:bCs/>
          <w:i/>
          <w:lang w:val="en-GB"/>
        </w:rPr>
        <w:t xml:space="preserve">E-mail  </w:t>
      </w:r>
      <w:hyperlink r:id="rId7" w:history="1">
        <w:r w:rsidRPr="00294B8B">
          <w:rPr>
            <w:rStyle w:val="Hyperlink"/>
            <w:lang w:val="en-GB"/>
          </w:rPr>
          <w:t>bente.flygansvaer@bi.no</w:t>
        </w:r>
      </w:hyperlink>
    </w:p>
    <w:p w14:paraId="103A39F4" w14:textId="77777777" w:rsidR="00385CAE" w:rsidRPr="00385CAE" w:rsidRDefault="00385CAE" w:rsidP="00385CAE">
      <w:pPr>
        <w:jc w:val="center"/>
        <w:rPr>
          <w:b/>
          <w:bCs/>
          <w:i/>
          <w:lang w:val="en-GB"/>
        </w:rPr>
      </w:pPr>
    </w:p>
    <w:p w14:paraId="24CE0E8C" w14:textId="77777777" w:rsidR="00385CAE" w:rsidRPr="00385CAE" w:rsidRDefault="00385CAE" w:rsidP="00385CAE">
      <w:pPr>
        <w:jc w:val="center"/>
        <w:rPr>
          <w:b/>
          <w:bCs/>
          <w:i/>
          <w:lang w:val="en-GB"/>
        </w:rPr>
      </w:pPr>
      <w:r w:rsidRPr="00385CAE">
        <w:rPr>
          <w:b/>
          <w:bCs/>
          <w:i/>
          <w:lang w:val="en-GB"/>
        </w:rPr>
        <w:t>Robert Dahlstrom</w:t>
      </w:r>
    </w:p>
    <w:p w14:paraId="1010E096" w14:textId="77777777" w:rsidR="00385CAE" w:rsidRPr="00385CAE" w:rsidRDefault="00385CAE" w:rsidP="00385CAE">
      <w:pPr>
        <w:jc w:val="center"/>
        <w:rPr>
          <w:b/>
          <w:bCs/>
          <w:i/>
          <w:lang w:val="en-GB"/>
        </w:rPr>
      </w:pPr>
      <w:r w:rsidRPr="00385CAE">
        <w:rPr>
          <w:b/>
          <w:bCs/>
          <w:i/>
          <w:lang w:val="en-GB"/>
        </w:rPr>
        <w:t>Farmer School of Business</w:t>
      </w:r>
    </w:p>
    <w:p w14:paraId="72849828" w14:textId="77777777" w:rsidR="00385CAE" w:rsidRPr="00385CAE" w:rsidRDefault="00385CAE" w:rsidP="00385CAE">
      <w:pPr>
        <w:jc w:val="center"/>
        <w:rPr>
          <w:b/>
          <w:bCs/>
          <w:i/>
          <w:lang w:val="en-GB"/>
        </w:rPr>
      </w:pPr>
      <w:r w:rsidRPr="00385CAE">
        <w:rPr>
          <w:b/>
          <w:bCs/>
          <w:i/>
          <w:lang w:val="en-GB"/>
        </w:rPr>
        <w:t>Miami University</w:t>
      </w:r>
    </w:p>
    <w:p w14:paraId="63CE232D" w14:textId="77777777" w:rsidR="00385CAE" w:rsidRPr="00385CAE" w:rsidRDefault="00385CAE" w:rsidP="00385CAE">
      <w:pPr>
        <w:jc w:val="center"/>
        <w:rPr>
          <w:b/>
          <w:bCs/>
          <w:i/>
          <w:lang w:val="en-GB"/>
        </w:rPr>
      </w:pPr>
      <w:r w:rsidRPr="00385CAE">
        <w:rPr>
          <w:b/>
          <w:bCs/>
          <w:i/>
          <w:lang w:val="en-GB"/>
        </w:rPr>
        <w:t>Oxford, Ohio U.S.A.</w:t>
      </w:r>
    </w:p>
    <w:p w14:paraId="76285DDF" w14:textId="77777777" w:rsidR="00385CAE" w:rsidRPr="00385CAE" w:rsidRDefault="00385CAE" w:rsidP="00385CAE">
      <w:pPr>
        <w:jc w:val="center"/>
        <w:rPr>
          <w:b/>
          <w:bCs/>
          <w:i/>
          <w:lang w:val="en-GB"/>
        </w:rPr>
      </w:pPr>
      <w:r w:rsidRPr="00385CAE">
        <w:rPr>
          <w:b/>
          <w:bCs/>
          <w:i/>
          <w:lang w:val="en-GB"/>
        </w:rPr>
        <w:t>Phone</w:t>
      </w:r>
      <w:r w:rsidRPr="00385CAE">
        <w:rPr>
          <w:b/>
          <w:bCs/>
          <w:i/>
          <w:lang w:val="en-GB"/>
        </w:rPr>
        <w:tab/>
        <w:t>(513) 529-2097</w:t>
      </w:r>
    </w:p>
    <w:p w14:paraId="05A61CC4" w14:textId="75C082F4" w:rsidR="00385CAE" w:rsidRDefault="00385CAE" w:rsidP="00385CAE">
      <w:pPr>
        <w:jc w:val="center"/>
        <w:rPr>
          <w:b/>
          <w:bCs/>
          <w:i/>
          <w:lang w:val="en-GB"/>
        </w:rPr>
      </w:pPr>
      <w:r w:rsidRPr="00385CAE">
        <w:rPr>
          <w:b/>
          <w:bCs/>
          <w:i/>
          <w:lang w:val="en-GB"/>
        </w:rPr>
        <w:t>E-mail</w:t>
      </w:r>
      <w:r w:rsidRPr="00385CAE">
        <w:rPr>
          <w:b/>
          <w:bCs/>
          <w:i/>
          <w:lang w:val="en-GB"/>
        </w:rPr>
        <w:tab/>
      </w:r>
      <w:hyperlink r:id="rId8" w:history="1">
        <w:r w:rsidRPr="00294B8B">
          <w:rPr>
            <w:rStyle w:val="Hyperlink"/>
            <w:lang w:val="en-GB"/>
          </w:rPr>
          <w:t>dahlstrf@muohio.edu</w:t>
        </w:r>
      </w:hyperlink>
    </w:p>
    <w:p w14:paraId="756CBABB" w14:textId="4942FDF3" w:rsidR="00385CAE" w:rsidRDefault="00385CAE" w:rsidP="00385CAE">
      <w:pPr>
        <w:jc w:val="center"/>
        <w:rPr>
          <w:b/>
          <w:bCs/>
          <w:i/>
          <w:lang w:val="en-GB"/>
        </w:rPr>
      </w:pPr>
      <w:r>
        <w:rPr>
          <w:b/>
          <w:bCs/>
          <w:i/>
          <w:lang w:val="en-GB"/>
        </w:rPr>
        <w:t>&amp;</w:t>
      </w:r>
    </w:p>
    <w:p w14:paraId="704498F1" w14:textId="77777777" w:rsidR="00385CAE" w:rsidRPr="00385CAE" w:rsidRDefault="00385CAE" w:rsidP="00385CAE">
      <w:pPr>
        <w:jc w:val="center"/>
        <w:rPr>
          <w:b/>
          <w:bCs/>
          <w:i/>
          <w:lang w:val="en-GB"/>
        </w:rPr>
      </w:pPr>
      <w:r w:rsidRPr="00385CAE">
        <w:rPr>
          <w:b/>
          <w:bCs/>
          <w:i/>
          <w:lang w:val="en-GB"/>
        </w:rPr>
        <w:t>BI Norwegian Business School</w:t>
      </w:r>
    </w:p>
    <w:p w14:paraId="2DD76F06" w14:textId="4B4A1863" w:rsidR="00385CAE" w:rsidRPr="00385CAE" w:rsidRDefault="00385CAE" w:rsidP="00385CAE">
      <w:pPr>
        <w:jc w:val="center"/>
        <w:rPr>
          <w:bCs/>
          <w:lang w:val="en-GB"/>
        </w:rPr>
      </w:pPr>
      <w:r w:rsidRPr="00385CAE">
        <w:rPr>
          <w:b/>
          <w:bCs/>
          <w:i/>
          <w:lang w:val="en-GB"/>
        </w:rPr>
        <w:t>Department of</w:t>
      </w:r>
      <w:r>
        <w:rPr>
          <w:b/>
          <w:bCs/>
          <w:i/>
          <w:lang w:val="en-GB"/>
        </w:rPr>
        <w:t xml:space="preserve"> Marketing</w:t>
      </w:r>
    </w:p>
    <w:p w14:paraId="3CCAFCFE" w14:textId="77777777" w:rsidR="00385CAE" w:rsidRPr="00385CAE" w:rsidRDefault="00385CAE" w:rsidP="00385CAE">
      <w:pPr>
        <w:jc w:val="center"/>
        <w:rPr>
          <w:b/>
          <w:bCs/>
          <w:i/>
          <w:lang w:val="en-GB"/>
        </w:rPr>
      </w:pPr>
    </w:p>
    <w:p w14:paraId="52585E82" w14:textId="77777777" w:rsidR="00385CAE" w:rsidRPr="00385CAE" w:rsidRDefault="00385CAE" w:rsidP="00385CAE">
      <w:pPr>
        <w:jc w:val="center"/>
        <w:rPr>
          <w:b/>
          <w:bCs/>
          <w:i/>
          <w:lang w:val="en-GB"/>
        </w:rPr>
      </w:pPr>
      <w:r w:rsidRPr="00385CAE">
        <w:rPr>
          <w:b/>
          <w:bCs/>
          <w:i/>
          <w:lang w:val="en-GB"/>
        </w:rPr>
        <w:t>Arne Nygaard</w:t>
      </w:r>
    </w:p>
    <w:p w14:paraId="232E90F2" w14:textId="77777777" w:rsidR="00385CAE" w:rsidRPr="00385CAE" w:rsidRDefault="00385CAE" w:rsidP="00385CAE">
      <w:pPr>
        <w:jc w:val="center"/>
        <w:rPr>
          <w:b/>
          <w:bCs/>
          <w:i/>
          <w:lang w:val="en-GB"/>
        </w:rPr>
      </w:pPr>
      <w:r w:rsidRPr="00385CAE">
        <w:rPr>
          <w:b/>
          <w:bCs/>
          <w:i/>
          <w:lang w:val="en-GB"/>
        </w:rPr>
        <w:t>Professor of Marketing,</w:t>
      </w:r>
    </w:p>
    <w:p w14:paraId="4C7B6716" w14:textId="77777777" w:rsidR="00385CAE" w:rsidRPr="00385CAE" w:rsidRDefault="00385CAE" w:rsidP="00385CAE">
      <w:pPr>
        <w:jc w:val="center"/>
        <w:rPr>
          <w:b/>
          <w:bCs/>
          <w:i/>
          <w:lang w:val="en-GB"/>
        </w:rPr>
      </w:pPr>
      <w:proofErr w:type="spellStart"/>
      <w:r w:rsidRPr="00385CAE">
        <w:rPr>
          <w:b/>
          <w:bCs/>
          <w:i/>
          <w:lang w:val="en-GB"/>
        </w:rPr>
        <w:t>Kristiania</w:t>
      </w:r>
      <w:proofErr w:type="spellEnd"/>
      <w:r w:rsidRPr="00385CAE">
        <w:rPr>
          <w:b/>
          <w:bCs/>
          <w:i/>
          <w:lang w:val="en-GB"/>
        </w:rPr>
        <w:t xml:space="preserve"> University College</w:t>
      </w:r>
    </w:p>
    <w:p w14:paraId="352E824C" w14:textId="77777777" w:rsidR="00385CAE" w:rsidRPr="00385CAE" w:rsidRDefault="00385CAE" w:rsidP="00385CAE">
      <w:pPr>
        <w:jc w:val="center"/>
        <w:rPr>
          <w:b/>
          <w:bCs/>
          <w:i/>
          <w:lang w:val="nb-NO"/>
        </w:rPr>
      </w:pPr>
      <w:r w:rsidRPr="00385CAE">
        <w:rPr>
          <w:b/>
          <w:bCs/>
          <w:i/>
          <w:lang w:val="nb-NO"/>
        </w:rPr>
        <w:t>Postboks 1155 Sentrum</w:t>
      </w:r>
    </w:p>
    <w:p w14:paraId="54496624" w14:textId="77777777" w:rsidR="00385CAE" w:rsidRPr="00385CAE" w:rsidRDefault="00385CAE" w:rsidP="00385CAE">
      <w:pPr>
        <w:jc w:val="center"/>
        <w:rPr>
          <w:b/>
          <w:bCs/>
          <w:i/>
          <w:lang w:val="nb-NO"/>
        </w:rPr>
      </w:pPr>
      <w:proofErr w:type="spellStart"/>
      <w:r w:rsidRPr="00385CAE">
        <w:rPr>
          <w:b/>
          <w:bCs/>
          <w:i/>
          <w:lang w:val="nb-NO"/>
        </w:rPr>
        <w:t>Kirkegaten</w:t>
      </w:r>
      <w:proofErr w:type="spellEnd"/>
      <w:r w:rsidRPr="00385CAE">
        <w:rPr>
          <w:b/>
          <w:bCs/>
          <w:i/>
          <w:lang w:val="nb-NO"/>
        </w:rPr>
        <w:t xml:space="preserve"> 24-26, 0107 Oslo, Norway</w:t>
      </w:r>
    </w:p>
    <w:p w14:paraId="1EE04653" w14:textId="77777777" w:rsidR="00385CAE" w:rsidRPr="00385CAE" w:rsidRDefault="00385CAE" w:rsidP="00385CAE">
      <w:pPr>
        <w:jc w:val="center"/>
        <w:rPr>
          <w:b/>
          <w:bCs/>
          <w:i/>
          <w:lang w:val="nb-NO"/>
        </w:rPr>
      </w:pPr>
      <w:r w:rsidRPr="00385CAE">
        <w:rPr>
          <w:b/>
          <w:bCs/>
          <w:i/>
          <w:lang w:val="nb-NO"/>
        </w:rPr>
        <w:t>Phone 952 43 656</w:t>
      </w:r>
    </w:p>
    <w:p w14:paraId="3E27FB6D" w14:textId="19EC9EDA" w:rsidR="00385CAE" w:rsidRPr="00385CAE" w:rsidRDefault="00385CAE" w:rsidP="00385CAE">
      <w:pPr>
        <w:jc w:val="center"/>
        <w:rPr>
          <w:b/>
          <w:bCs/>
          <w:i/>
          <w:lang w:val="en-GB"/>
        </w:rPr>
      </w:pPr>
      <w:r w:rsidRPr="00385CAE">
        <w:rPr>
          <w:b/>
          <w:bCs/>
          <w:i/>
          <w:lang w:val="en-GB"/>
        </w:rPr>
        <w:t xml:space="preserve">E-mail </w:t>
      </w:r>
      <w:hyperlink r:id="rId9" w:history="1">
        <w:r w:rsidRPr="00294B8B">
          <w:rPr>
            <w:rStyle w:val="Hyperlink"/>
            <w:lang w:val="en-GB"/>
          </w:rPr>
          <w:t>arne.nygaard@kristiania.no</w:t>
        </w:r>
      </w:hyperlink>
    </w:p>
    <w:p w14:paraId="3EDB0A02" w14:textId="77777777" w:rsidR="00385CAE" w:rsidRPr="00385CAE" w:rsidRDefault="00385CAE" w:rsidP="00385CAE">
      <w:pPr>
        <w:jc w:val="center"/>
        <w:rPr>
          <w:b/>
          <w:bCs/>
          <w:i/>
          <w:lang w:val="en-GB"/>
        </w:rPr>
      </w:pPr>
      <w:bookmarkStart w:id="1" w:name="_Hlk510603317"/>
      <w:r w:rsidRPr="00385CAE">
        <w:rPr>
          <w:b/>
          <w:bCs/>
          <w:i/>
          <w:lang w:val="en-GB"/>
        </w:rPr>
        <w:t>&amp;</w:t>
      </w:r>
    </w:p>
    <w:bookmarkEnd w:id="1"/>
    <w:p w14:paraId="741BC258" w14:textId="77777777" w:rsidR="00385CAE" w:rsidRPr="00385CAE" w:rsidRDefault="00385CAE" w:rsidP="00385CAE">
      <w:pPr>
        <w:jc w:val="center"/>
        <w:rPr>
          <w:b/>
          <w:bCs/>
          <w:i/>
          <w:lang w:val="en-GB"/>
        </w:rPr>
      </w:pPr>
      <w:r w:rsidRPr="00385CAE">
        <w:rPr>
          <w:b/>
          <w:bCs/>
          <w:i/>
          <w:lang w:val="en-GB"/>
        </w:rPr>
        <w:t>Norwegian University of Science and Technology (NTNU)</w:t>
      </w:r>
    </w:p>
    <w:p w14:paraId="67FB9F14" w14:textId="77777777" w:rsidR="00385CAE" w:rsidRPr="00385CAE" w:rsidRDefault="00385CAE" w:rsidP="00385CAE">
      <w:pPr>
        <w:jc w:val="center"/>
        <w:rPr>
          <w:b/>
          <w:bCs/>
          <w:i/>
          <w:lang w:val="en-GB"/>
        </w:rPr>
      </w:pPr>
      <w:proofErr w:type="spellStart"/>
      <w:r w:rsidRPr="00385CAE">
        <w:rPr>
          <w:b/>
          <w:bCs/>
          <w:i/>
          <w:lang w:val="en-GB"/>
        </w:rPr>
        <w:t>Teknologivegen</w:t>
      </w:r>
      <w:proofErr w:type="spellEnd"/>
      <w:r w:rsidRPr="00385CAE">
        <w:rPr>
          <w:b/>
          <w:bCs/>
          <w:i/>
          <w:lang w:val="en-GB"/>
        </w:rPr>
        <w:t xml:space="preserve"> 22, 2815 </w:t>
      </w:r>
      <w:proofErr w:type="spellStart"/>
      <w:r w:rsidRPr="00385CAE">
        <w:rPr>
          <w:b/>
          <w:bCs/>
          <w:i/>
          <w:lang w:val="en-GB"/>
        </w:rPr>
        <w:t>Gjøvik</w:t>
      </w:r>
      <w:proofErr w:type="spellEnd"/>
      <w:r w:rsidRPr="00385CAE">
        <w:rPr>
          <w:b/>
          <w:bCs/>
          <w:i/>
          <w:lang w:val="en-GB"/>
        </w:rPr>
        <w:t>, Norway</w:t>
      </w:r>
    </w:p>
    <w:p w14:paraId="3B12BEDF" w14:textId="77777777" w:rsidR="00385CAE" w:rsidRPr="00385CAE" w:rsidRDefault="00385CAE" w:rsidP="00385CAE">
      <w:pPr>
        <w:jc w:val="center"/>
        <w:rPr>
          <w:b/>
          <w:bCs/>
          <w:i/>
          <w:lang w:val="en-GB"/>
        </w:rPr>
      </w:pPr>
    </w:p>
    <w:p w14:paraId="59314D79" w14:textId="77777777" w:rsidR="00385CAE" w:rsidRPr="00385CAE" w:rsidRDefault="00385CAE" w:rsidP="00385CAE">
      <w:pPr>
        <w:jc w:val="center"/>
        <w:rPr>
          <w:b/>
          <w:bCs/>
          <w:i/>
          <w:lang w:val="en-GB"/>
        </w:rPr>
      </w:pPr>
    </w:p>
    <w:p w14:paraId="73BAF8F4" w14:textId="207B7C8A" w:rsidR="00385CAE" w:rsidRPr="00385CAE" w:rsidRDefault="00385CAE" w:rsidP="002C4168">
      <w:pPr>
        <w:rPr>
          <w:b/>
          <w:bCs/>
          <w:i/>
          <w:lang w:val="en-GB"/>
        </w:rPr>
      </w:pPr>
    </w:p>
    <w:p w14:paraId="66ED92AA" w14:textId="77777777" w:rsidR="00385CAE" w:rsidRPr="00385CAE" w:rsidRDefault="00385CAE" w:rsidP="00385CAE">
      <w:pPr>
        <w:jc w:val="center"/>
        <w:rPr>
          <w:b/>
          <w:bCs/>
          <w:i/>
          <w:lang w:val="en-GB"/>
        </w:rPr>
      </w:pPr>
    </w:p>
    <w:p w14:paraId="43205E7F" w14:textId="77777777" w:rsidR="00385CAE" w:rsidRPr="00385CAE" w:rsidRDefault="00385CAE" w:rsidP="00385CAE">
      <w:pPr>
        <w:jc w:val="center"/>
        <w:rPr>
          <w:b/>
          <w:bCs/>
          <w:i/>
          <w:lang w:val="en-GB"/>
        </w:rPr>
      </w:pPr>
    </w:p>
    <w:p w14:paraId="6CCBF5B0" w14:textId="34E04B1E" w:rsidR="00385CAE" w:rsidRPr="00385CAE" w:rsidRDefault="00385CAE" w:rsidP="00385CAE">
      <w:pPr>
        <w:jc w:val="center"/>
        <w:rPr>
          <w:b/>
          <w:bCs/>
          <w:i/>
          <w:lang w:val="en-GB"/>
        </w:rPr>
      </w:pPr>
      <w:r w:rsidRPr="00385CAE">
        <w:rPr>
          <w:b/>
          <w:bCs/>
          <w:i/>
          <w:lang w:val="en-GB"/>
        </w:rPr>
        <w:t xml:space="preserve">ACKNOWLEDGEMENTS:   The authors are listed at random as they contributed equally to the development of this article.  We acknowledge Olga Masliak, Marius Glorvigen, </w:t>
      </w:r>
      <w:proofErr w:type="spellStart"/>
      <w:r w:rsidRPr="00385CAE">
        <w:rPr>
          <w:b/>
          <w:bCs/>
          <w:i/>
          <w:lang w:val="en-GB"/>
        </w:rPr>
        <w:t>Renas</w:t>
      </w:r>
      <w:proofErr w:type="spellEnd"/>
      <w:r w:rsidRPr="00385CAE">
        <w:rPr>
          <w:b/>
          <w:bCs/>
          <w:i/>
          <w:lang w:val="en-GB"/>
        </w:rPr>
        <w:t xml:space="preserve"> and Per Halvard Øveren for technical support, advice and assistance.</w:t>
      </w:r>
      <w:r w:rsidR="00E075BD">
        <w:rPr>
          <w:b/>
          <w:bCs/>
          <w:i/>
          <w:lang w:val="en-GB"/>
        </w:rPr>
        <w:t xml:space="preserve"> We </w:t>
      </w:r>
      <w:r w:rsidR="00A22C7C">
        <w:rPr>
          <w:b/>
          <w:bCs/>
          <w:i/>
          <w:lang w:val="en-GB"/>
        </w:rPr>
        <w:t>appreciate</w:t>
      </w:r>
      <w:r w:rsidR="00E075BD">
        <w:rPr>
          <w:b/>
          <w:bCs/>
          <w:i/>
          <w:lang w:val="en-GB"/>
        </w:rPr>
        <w:t xml:space="preserve"> the valuable comments</w:t>
      </w:r>
      <w:r w:rsidR="00A22C7C">
        <w:rPr>
          <w:b/>
          <w:bCs/>
          <w:i/>
          <w:lang w:val="en-GB"/>
        </w:rPr>
        <w:t>, questions and suggestions</w:t>
      </w:r>
      <w:r w:rsidR="00E075BD">
        <w:rPr>
          <w:b/>
          <w:bCs/>
          <w:i/>
          <w:lang w:val="en-GB"/>
        </w:rPr>
        <w:t xml:space="preserve"> from the editor Leo-Paul Dana and the reviewers.</w:t>
      </w:r>
    </w:p>
    <w:p w14:paraId="316C2EE0" w14:textId="77777777" w:rsidR="00605E0B" w:rsidRPr="00385CAE" w:rsidRDefault="00605E0B" w:rsidP="00605E0B">
      <w:pPr>
        <w:jc w:val="center"/>
        <w:rPr>
          <w:b/>
          <w:bCs/>
          <w:i/>
          <w:lang w:val="en-GB"/>
        </w:rPr>
      </w:pPr>
    </w:p>
    <w:p w14:paraId="5351F002" w14:textId="77777777" w:rsidR="002C4168" w:rsidRDefault="002C4168" w:rsidP="00385CAE">
      <w:pPr>
        <w:spacing w:after="160" w:line="259" w:lineRule="auto"/>
        <w:rPr>
          <w:bCs/>
          <w:i/>
          <w:lang w:val="en-GB"/>
        </w:rPr>
      </w:pPr>
    </w:p>
    <w:p w14:paraId="1E4F141B" w14:textId="6ED743D3" w:rsidR="00605E0B" w:rsidRPr="00A772DB" w:rsidRDefault="00605E0B" w:rsidP="00385CAE">
      <w:pPr>
        <w:spacing w:after="160" w:line="259" w:lineRule="auto"/>
        <w:rPr>
          <w:b/>
          <w:bCs/>
          <w:i/>
          <w:lang w:val="en-GB"/>
        </w:rPr>
      </w:pPr>
      <w:r w:rsidRPr="00A772DB">
        <w:rPr>
          <w:bCs/>
          <w:i/>
          <w:lang w:val="en-GB"/>
        </w:rPr>
        <w:t xml:space="preserve">* World Review of Entrepreneurship, Management and Sustainable Development * </w:t>
      </w:r>
    </w:p>
    <w:p w14:paraId="5AC30348" w14:textId="77777777" w:rsidR="00605E0B" w:rsidRPr="00A772DB" w:rsidRDefault="00605E0B" w:rsidP="00605E0B">
      <w:pPr>
        <w:rPr>
          <w:lang w:val="en-GB"/>
        </w:rPr>
      </w:pPr>
    </w:p>
    <w:p w14:paraId="0661D932" w14:textId="77777777" w:rsidR="00605E0B" w:rsidRPr="00A772DB" w:rsidRDefault="00605E0B" w:rsidP="00605E0B">
      <w:pPr>
        <w:rPr>
          <w:lang w:val="en-GB"/>
        </w:rPr>
      </w:pPr>
    </w:p>
    <w:p w14:paraId="0C2799AD" w14:textId="1A6BF9F5" w:rsidR="00586492" w:rsidRPr="00A772DB" w:rsidRDefault="00605E0B" w:rsidP="00605E0B">
      <w:pPr>
        <w:jc w:val="center"/>
        <w:rPr>
          <w:b/>
          <w:sz w:val="32"/>
          <w:szCs w:val="32"/>
          <w:lang w:val="en-GB"/>
        </w:rPr>
      </w:pPr>
      <w:bookmarkStart w:id="2" w:name="_Hlk510603148"/>
      <w:r w:rsidRPr="00A772DB">
        <w:rPr>
          <w:b/>
          <w:sz w:val="32"/>
          <w:szCs w:val="32"/>
          <w:lang w:val="en-GB"/>
        </w:rPr>
        <w:t xml:space="preserve">Green Innovation in </w:t>
      </w:r>
      <w:r w:rsidR="00D61FDF" w:rsidRPr="00A772DB">
        <w:rPr>
          <w:b/>
          <w:sz w:val="32"/>
          <w:szCs w:val="32"/>
          <w:lang w:val="en-GB"/>
        </w:rPr>
        <w:t xml:space="preserve">Recycling, </w:t>
      </w:r>
      <w:r w:rsidR="00DB304A" w:rsidRPr="00A772DB">
        <w:rPr>
          <w:b/>
          <w:sz w:val="32"/>
          <w:szCs w:val="32"/>
          <w:lang w:val="en-GB"/>
        </w:rPr>
        <w:t>-</w:t>
      </w:r>
    </w:p>
    <w:p w14:paraId="09B5CF6A" w14:textId="77777777" w:rsidR="00D34DA7" w:rsidRPr="00A772DB" w:rsidRDefault="00D34DA7" w:rsidP="00605E0B">
      <w:pPr>
        <w:jc w:val="center"/>
        <w:rPr>
          <w:b/>
          <w:sz w:val="32"/>
          <w:szCs w:val="32"/>
          <w:lang w:val="en-GB"/>
        </w:rPr>
      </w:pPr>
    </w:p>
    <w:p w14:paraId="72D60630" w14:textId="07479F47" w:rsidR="00605E0B" w:rsidRPr="00A772DB" w:rsidRDefault="00DB304A" w:rsidP="00605E0B">
      <w:pPr>
        <w:jc w:val="center"/>
        <w:rPr>
          <w:szCs w:val="24"/>
          <w:lang w:val="en-GB"/>
        </w:rPr>
      </w:pPr>
      <w:r w:rsidRPr="00A772DB">
        <w:rPr>
          <w:b/>
          <w:szCs w:val="24"/>
          <w:lang w:val="en-GB"/>
        </w:rPr>
        <w:t xml:space="preserve">A </w:t>
      </w:r>
      <w:r w:rsidR="00D34DA7" w:rsidRPr="00A772DB">
        <w:rPr>
          <w:b/>
          <w:szCs w:val="24"/>
          <w:lang w:val="en-GB"/>
        </w:rPr>
        <w:t>Preliminary Analysis</w:t>
      </w:r>
      <w:r w:rsidR="00D61FDF" w:rsidRPr="00A772DB">
        <w:rPr>
          <w:b/>
          <w:szCs w:val="24"/>
          <w:lang w:val="en-GB"/>
        </w:rPr>
        <w:t xml:space="preserve"> </w:t>
      </w:r>
      <w:r w:rsidR="00A404A1" w:rsidRPr="00A772DB">
        <w:rPr>
          <w:b/>
          <w:szCs w:val="24"/>
          <w:lang w:val="en-GB"/>
        </w:rPr>
        <w:t>of Reversed</w:t>
      </w:r>
      <w:r w:rsidR="00605E0B" w:rsidRPr="00A772DB">
        <w:rPr>
          <w:b/>
          <w:szCs w:val="24"/>
          <w:lang w:val="en-GB"/>
        </w:rPr>
        <w:t xml:space="preserve"> Logistics</w:t>
      </w:r>
      <w:r w:rsidR="00D61FDF" w:rsidRPr="00A772DB">
        <w:rPr>
          <w:b/>
          <w:szCs w:val="24"/>
          <w:lang w:val="en-GB"/>
        </w:rPr>
        <w:t xml:space="preserve"> in Norway</w:t>
      </w:r>
      <w:r w:rsidR="00605E0B" w:rsidRPr="00A772DB">
        <w:rPr>
          <w:b/>
          <w:szCs w:val="24"/>
          <w:lang w:val="en-GB"/>
        </w:rPr>
        <w:t>.</w:t>
      </w:r>
    </w:p>
    <w:bookmarkEnd w:id="2"/>
    <w:p w14:paraId="17B85407" w14:textId="77777777" w:rsidR="00605E0B" w:rsidRPr="00A772DB" w:rsidRDefault="00605E0B" w:rsidP="00605E0B">
      <w:pPr>
        <w:rPr>
          <w:b/>
          <w:lang w:val="en-GB"/>
        </w:rPr>
      </w:pPr>
    </w:p>
    <w:p w14:paraId="157C5C4C" w14:textId="77777777" w:rsidR="00605E0B" w:rsidRPr="00A772DB" w:rsidRDefault="00605E0B" w:rsidP="00605E0B">
      <w:pPr>
        <w:rPr>
          <w:b/>
          <w:lang w:val="en-GB"/>
        </w:rPr>
      </w:pPr>
    </w:p>
    <w:p w14:paraId="30E4937E" w14:textId="77777777" w:rsidR="00605E0B" w:rsidRPr="00A772DB" w:rsidRDefault="00605E0B" w:rsidP="00605E0B">
      <w:pPr>
        <w:spacing w:line="480" w:lineRule="auto"/>
        <w:rPr>
          <w:b/>
          <w:lang w:val="en-GB"/>
        </w:rPr>
      </w:pPr>
      <w:r w:rsidRPr="00A772DB">
        <w:rPr>
          <w:b/>
          <w:lang w:val="en-GB"/>
        </w:rPr>
        <w:t>Abstract</w:t>
      </w:r>
    </w:p>
    <w:p w14:paraId="4BFB1A85" w14:textId="6D730B1B" w:rsidR="00605E0B" w:rsidRPr="00A772DB" w:rsidRDefault="00605E0B" w:rsidP="00605E0B">
      <w:pPr>
        <w:spacing w:line="480" w:lineRule="auto"/>
        <w:rPr>
          <w:b/>
          <w:lang w:val="en-GB"/>
        </w:rPr>
      </w:pPr>
      <w:r w:rsidRPr="00A772DB">
        <w:rPr>
          <w:lang w:val="en-GB"/>
        </w:rPr>
        <w:t xml:space="preserve">There has been an exponential growth of new electronic products in the global consumer market. New electronic consumer products generate a growing need for new methods, processes and entrepreneurship in recycling. In this study, we examine </w:t>
      </w:r>
      <w:r w:rsidR="00DD2B05" w:rsidRPr="00A772DB">
        <w:rPr>
          <w:lang w:val="en-GB"/>
        </w:rPr>
        <w:t xml:space="preserve">how </w:t>
      </w:r>
      <w:r w:rsidRPr="00A772DB">
        <w:rPr>
          <w:lang w:val="en-GB"/>
        </w:rPr>
        <w:t>entrepreneurs involved in the recycling of electronic products</w:t>
      </w:r>
      <w:r w:rsidR="00595891" w:rsidRPr="00A772DB">
        <w:rPr>
          <w:lang w:val="en-GB"/>
        </w:rPr>
        <w:t xml:space="preserve"> innovate to create a more sustainable circular economy</w:t>
      </w:r>
      <w:r w:rsidRPr="00A772DB">
        <w:rPr>
          <w:lang w:val="en-GB"/>
        </w:rPr>
        <w:t xml:space="preserve">. </w:t>
      </w:r>
      <w:r w:rsidR="00726F39" w:rsidRPr="00A772DB">
        <w:rPr>
          <w:lang w:val="en-GB"/>
        </w:rPr>
        <w:t xml:space="preserve">The recycling system must take care of </w:t>
      </w:r>
      <w:r w:rsidR="00595891" w:rsidRPr="00A772DB">
        <w:rPr>
          <w:lang w:val="en-GB"/>
        </w:rPr>
        <w:t>e</w:t>
      </w:r>
      <w:r w:rsidRPr="00A772DB">
        <w:rPr>
          <w:lang w:val="en-GB"/>
        </w:rPr>
        <w:t xml:space="preserve">lectronics </w:t>
      </w:r>
      <w:r w:rsidR="008A2008" w:rsidRPr="00A772DB">
        <w:rPr>
          <w:lang w:val="en-GB"/>
        </w:rPr>
        <w:t xml:space="preserve">that </w:t>
      </w:r>
      <w:r w:rsidRPr="00A772DB">
        <w:rPr>
          <w:lang w:val="en-GB"/>
        </w:rPr>
        <w:t xml:space="preserve">contains hazardous materials. Also, a recycling system should prevent the waste of potentially useful materials. Thus, entrepreneurship is crucial </w:t>
      </w:r>
      <w:r w:rsidR="00672C0C" w:rsidRPr="00A772DB">
        <w:rPr>
          <w:lang w:val="en-GB"/>
        </w:rPr>
        <w:t>to</w:t>
      </w:r>
      <w:r w:rsidRPr="00A772DB">
        <w:rPr>
          <w:lang w:val="en-GB"/>
        </w:rPr>
        <w:t xml:space="preserve"> improve the handling of toxic </w:t>
      </w:r>
      <w:r w:rsidR="00595891" w:rsidRPr="00A772DB">
        <w:rPr>
          <w:lang w:val="en-GB"/>
        </w:rPr>
        <w:t>material</w:t>
      </w:r>
      <w:r w:rsidRPr="00A772DB">
        <w:rPr>
          <w:lang w:val="en-GB"/>
        </w:rPr>
        <w:t xml:space="preserve"> and processing technology</w:t>
      </w:r>
      <w:r w:rsidR="008A2008" w:rsidRPr="00A772DB">
        <w:rPr>
          <w:lang w:val="en-GB"/>
        </w:rPr>
        <w:t xml:space="preserve"> to reuse valuable elements</w:t>
      </w:r>
      <w:r w:rsidRPr="00A772DB">
        <w:rPr>
          <w:lang w:val="en-GB"/>
        </w:rPr>
        <w:t xml:space="preserve">. Innovation therefore is essential </w:t>
      </w:r>
      <w:r w:rsidR="008A2008" w:rsidRPr="00A772DB">
        <w:rPr>
          <w:lang w:val="en-GB"/>
        </w:rPr>
        <w:t>to</w:t>
      </w:r>
      <w:r w:rsidRPr="00A772DB">
        <w:rPr>
          <w:lang w:val="en-GB"/>
        </w:rPr>
        <w:t xml:space="preserve"> facilitate a sustainable recycling process. In this study, we analyse </w:t>
      </w:r>
      <w:r w:rsidR="008A2008" w:rsidRPr="00A772DB">
        <w:rPr>
          <w:lang w:val="en-GB"/>
        </w:rPr>
        <w:t>entrepreneurial innovation</w:t>
      </w:r>
      <w:r w:rsidRPr="00A772DB">
        <w:rPr>
          <w:lang w:val="en-GB"/>
        </w:rPr>
        <w:t xml:space="preserve"> in the light of the organisational structure of the recycling system. Following a study of 108 recycling entrepreneurs, competition and specific investments are found to be important factors that drive the sustainable innovation </w:t>
      </w:r>
      <w:r w:rsidR="008A2008" w:rsidRPr="00A772DB">
        <w:rPr>
          <w:lang w:val="en-GB"/>
        </w:rPr>
        <w:t>that</w:t>
      </w:r>
      <w:r w:rsidRPr="00A772DB">
        <w:rPr>
          <w:lang w:val="en-GB"/>
        </w:rPr>
        <w:t xml:space="preserve"> make Norway one of the countries with the highest recycling rates</w:t>
      </w:r>
      <w:r w:rsidR="00AE2A51" w:rsidRPr="00A772DB">
        <w:rPr>
          <w:lang w:val="en-GB"/>
        </w:rPr>
        <w:t xml:space="preserve"> of electronic and electric waste</w:t>
      </w:r>
      <w:r w:rsidRPr="00A772DB">
        <w:rPr>
          <w:lang w:val="en-GB"/>
        </w:rPr>
        <w:t xml:space="preserve">. </w:t>
      </w:r>
    </w:p>
    <w:p w14:paraId="0454BAD9" w14:textId="5C9F1021" w:rsidR="00605E0B" w:rsidRPr="00A772DB" w:rsidRDefault="00605E0B" w:rsidP="00605E0B">
      <w:pPr>
        <w:spacing w:line="480" w:lineRule="auto"/>
        <w:rPr>
          <w:lang w:val="en-GB"/>
        </w:rPr>
      </w:pPr>
    </w:p>
    <w:p w14:paraId="4190BFE5" w14:textId="10A6FE44" w:rsidR="00605E0B" w:rsidRPr="00A772DB" w:rsidRDefault="00A73B91" w:rsidP="00605E0B">
      <w:pPr>
        <w:spacing w:line="480" w:lineRule="auto"/>
        <w:rPr>
          <w:lang w:val="en-GB"/>
        </w:rPr>
      </w:pPr>
      <w:r w:rsidRPr="00A772DB">
        <w:rPr>
          <w:lang w:val="en-GB"/>
        </w:rPr>
        <w:t>Keywords: Electronics industry; Sustainable entrepreneurship; Circular systems; Ecological innovation; Reverse logistics; Reverse d</w:t>
      </w:r>
      <w:r w:rsidR="00605E0B" w:rsidRPr="00A772DB">
        <w:rPr>
          <w:lang w:val="en-GB"/>
        </w:rPr>
        <w:t>istribution</w:t>
      </w:r>
      <w:r w:rsidRPr="00A772DB">
        <w:rPr>
          <w:lang w:val="en-GB"/>
        </w:rPr>
        <w:t xml:space="preserve">; Competition; Specific investments; Competitive advantage; </w:t>
      </w:r>
      <w:r w:rsidR="00A36919" w:rsidRPr="00A772DB">
        <w:rPr>
          <w:lang w:val="en-GB"/>
        </w:rPr>
        <w:t xml:space="preserve">Electrical and electronic equipment waste (WEEE); </w:t>
      </w:r>
      <w:r w:rsidRPr="00A772DB">
        <w:rPr>
          <w:lang w:val="en-GB"/>
        </w:rPr>
        <w:t xml:space="preserve">Corporate </w:t>
      </w:r>
      <w:r w:rsidR="00A36919" w:rsidRPr="00A772DB">
        <w:rPr>
          <w:lang w:val="en-GB"/>
        </w:rPr>
        <w:t>entrepreneurship.</w:t>
      </w:r>
    </w:p>
    <w:p w14:paraId="691E7C58" w14:textId="77777777" w:rsidR="00605E0B" w:rsidRPr="00A772DB" w:rsidRDefault="00605E0B" w:rsidP="00605E0B">
      <w:pPr>
        <w:spacing w:line="480" w:lineRule="auto"/>
        <w:rPr>
          <w:lang w:val="en-GB"/>
        </w:rPr>
      </w:pPr>
    </w:p>
    <w:p w14:paraId="51953919" w14:textId="77777777" w:rsidR="00605E0B" w:rsidRPr="00A772DB" w:rsidRDefault="00605E0B" w:rsidP="00605E0B">
      <w:pPr>
        <w:spacing w:line="480" w:lineRule="auto"/>
        <w:rPr>
          <w:lang w:val="en-GB"/>
        </w:rPr>
      </w:pPr>
    </w:p>
    <w:p w14:paraId="28FA51E8" w14:textId="7C7EB539" w:rsidR="00605E0B" w:rsidRPr="00A772DB" w:rsidRDefault="00E075BD" w:rsidP="00A73B91">
      <w:pPr>
        <w:spacing w:after="200" w:line="480" w:lineRule="auto"/>
        <w:rPr>
          <w:lang w:val="en-GB"/>
        </w:rPr>
      </w:pPr>
      <w:r>
        <w:rPr>
          <w:b/>
          <w:lang w:val="en-GB"/>
        </w:rPr>
        <w:t>1</w:t>
      </w:r>
      <w:r>
        <w:rPr>
          <w:b/>
          <w:lang w:val="en-GB"/>
        </w:rPr>
        <w:tab/>
      </w:r>
      <w:r w:rsidR="00605E0B" w:rsidRPr="00A772DB">
        <w:rPr>
          <w:b/>
          <w:lang w:val="en-GB"/>
        </w:rPr>
        <w:t>Introduction</w:t>
      </w:r>
      <w:r w:rsidR="00A60B40" w:rsidRPr="00A772DB">
        <w:rPr>
          <w:b/>
          <w:lang w:val="en-GB"/>
        </w:rPr>
        <w:t xml:space="preserve"> </w:t>
      </w:r>
    </w:p>
    <w:p w14:paraId="63082DF6" w14:textId="2CAEBBEF" w:rsidR="008A6BDC" w:rsidRPr="00A772DB" w:rsidRDefault="008A6BDC" w:rsidP="00605E0B">
      <w:pPr>
        <w:spacing w:line="480" w:lineRule="auto"/>
        <w:rPr>
          <w:lang w:val="en-GB"/>
        </w:rPr>
      </w:pPr>
      <w:r w:rsidRPr="00A772DB">
        <w:rPr>
          <w:lang w:val="en-GB"/>
        </w:rPr>
        <w:t>Reverse logistics should facilitate handling of toxic material in electronic and electric products (WEEE). Furthermore, reverse logistics must improve recycling of valuable components and elements to avoid disposal. Preferably, the reverse logistics systems should improve reuse and recycling as sustainable alternatives to energy recovery or disposal (figure 1).</w:t>
      </w:r>
      <w:r w:rsidR="00E25138" w:rsidRPr="00A772DB">
        <w:rPr>
          <w:lang w:val="en-GB"/>
        </w:rPr>
        <w:t xml:space="preserve"> The entrepreneurship and innovation to move up the waste pyramid are paramount to a sustainable reversed logistics system. This article analyses and discuss the impact of specific investments in technology and knowledge </w:t>
      </w:r>
      <w:r w:rsidR="00F50239" w:rsidRPr="00A772DB">
        <w:rPr>
          <w:lang w:val="en-GB"/>
        </w:rPr>
        <w:t>to</w:t>
      </w:r>
      <w:r w:rsidR="00E25138" w:rsidRPr="00A772DB">
        <w:rPr>
          <w:lang w:val="en-GB"/>
        </w:rPr>
        <w:t xml:space="preserve"> recycle and reuse as much of WEEE as possible. Innovation to move up in the waste pyramid (figure 1) </w:t>
      </w:r>
      <w:r w:rsidR="00F50239">
        <w:rPr>
          <w:lang w:val="en-GB"/>
        </w:rPr>
        <w:t>decreases</w:t>
      </w:r>
      <w:r w:rsidR="00E25138" w:rsidRPr="00A772DB">
        <w:rPr>
          <w:lang w:val="en-GB"/>
        </w:rPr>
        <w:t xml:space="preserve"> the greenhouse effects, reduce pollution, preserves valuable materials and ultimately reduce the ecological footprint for generations to come.</w:t>
      </w:r>
    </w:p>
    <w:p w14:paraId="4A63C899" w14:textId="167DC738" w:rsidR="00552CF3" w:rsidRPr="00A772DB" w:rsidRDefault="00552CF3" w:rsidP="00605E0B">
      <w:pPr>
        <w:spacing w:line="480" w:lineRule="auto"/>
        <w:rPr>
          <w:lang w:val="en-GB"/>
        </w:rPr>
      </w:pPr>
    </w:p>
    <w:p w14:paraId="3A400FC8" w14:textId="77777777" w:rsidR="00552CF3" w:rsidRPr="00A772DB" w:rsidRDefault="00552CF3" w:rsidP="00552CF3">
      <w:pPr>
        <w:pBdr>
          <w:bottom w:val="single" w:sz="12" w:space="1" w:color="auto"/>
        </w:pBdr>
        <w:spacing w:line="480" w:lineRule="auto"/>
        <w:jc w:val="center"/>
        <w:rPr>
          <w:lang w:val="en-GB"/>
        </w:rPr>
      </w:pPr>
    </w:p>
    <w:p w14:paraId="46AA462B" w14:textId="77777777" w:rsidR="00552CF3" w:rsidRPr="00A772DB" w:rsidRDefault="00552CF3" w:rsidP="00552CF3">
      <w:pPr>
        <w:spacing w:line="480" w:lineRule="auto"/>
        <w:jc w:val="center"/>
        <w:rPr>
          <w:lang w:val="en-GB"/>
        </w:rPr>
      </w:pPr>
      <w:r w:rsidRPr="00A772DB">
        <w:rPr>
          <w:lang w:val="en-GB"/>
        </w:rPr>
        <w:t>Insert Figure 1 about here</w:t>
      </w:r>
    </w:p>
    <w:p w14:paraId="725073FA" w14:textId="0D52C9A6" w:rsidR="00552CF3" w:rsidRPr="00A772DB" w:rsidRDefault="00552CF3" w:rsidP="00552CF3">
      <w:pPr>
        <w:spacing w:line="480" w:lineRule="auto"/>
        <w:rPr>
          <w:lang w:val="en-GB"/>
        </w:rPr>
      </w:pPr>
      <w:r w:rsidRPr="00A772DB">
        <w:rPr>
          <w:lang w:val="en-GB"/>
        </w:rPr>
        <w:t>______________________________________________________________________________</w:t>
      </w:r>
    </w:p>
    <w:p w14:paraId="35E9D7ED" w14:textId="68B775A1" w:rsidR="00552CF3" w:rsidRPr="00A772DB" w:rsidRDefault="00552CF3" w:rsidP="00605E0B">
      <w:pPr>
        <w:spacing w:line="480" w:lineRule="auto"/>
        <w:rPr>
          <w:lang w:val="en-GB"/>
        </w:rPr>
      </w:pPr>
    </w:p>
    <w:p w14:paraId="61288691" w14:textId="724E1ACD" w:rsidR="00552CF3" w:rsidRPr="00A772DB" w:rsidRDefault="00552CF3" w:rsidP="00605E0B">
      <w:pPr>
        <w:spacing w:line="480" w:lineRule="auto"/>
        <w:rPr>
          <w:lang w:val="en-GB"/>
        </w:rPr>
      </w:pPr>
    </w:p>
    <w:p w14:paraId="396722CF" w14:textId="15A80793" w:rsidR="00552CF3" w:rsidRPr="00A772DB" w:rsidRDefault="00552CF3" w:rsidP="00605E0B">
      <w:pPr>
        <w:spacing w:line="480" w:lineRule="auto"/>
        <w:rPr>
          <w:lang w:val="en-GB"/>
        </w:rPr>
      </w:pPr>
    </w:p>
    <w:p w14:paraId="6A376100" w14:textId="2BE58682" w:rsidR="00552CF3" w:rsidRPr="00A772DB" w:rsidRDefault="00552CF3" w:rsidP="00605E0B">
      <w:pPr>
        <w:spacing w:line="480" w:lineRule="auto"/>
        <w:rPr>
          <w:lang w:val="en-GB"/>
        </w:rPr>
      </w:pPr>
    </w:p>
    <w:p w14:paraId="1F65F7AE" w14:textId="763DB1F6" w:rsidR="00552CF3" w:rsidRPr="00A772DB" w:rsidRDefault="00552CF3" w:rsidP="00605E0B">
      <w:pPr>
        <w:spacing w:line="480" w:lineRule="auto"/>
        <w:rPr>
          <w:lang w:val="en-GB"/>
        </w:rPr>
      </w:pPr>
    </w:p>
    <w:p w14:paraId="37E11D28" w14:textId="77777777" w:rsidR="00552CF3" w:rsidRPr="00A772DB" w:rsidRDefault="00552CF3" w:rsidP="00605E0B">
      <w:pPr>
        <w:spacing w:line="480" w:lineRule="auto"/>
        <w:rPr>
          <w:lang w:val="en-GB"/>
        </w:rPr>
      </w:pPr>
    </w:p>
    <w:p w14:paraId="239BC258" w14:textId="77777777" w:rsidR="008A6BDC" w:rsidRPr="00A772DB" w:rsidRDefault="008A6BDC" w:rsidP="00605E0B">
      <w:pPr>
        <w:spacing w:line="480" w:lineRule="auto"/>
        <w:rPr>
          <w:lang w:val="en-GB"/>
        </w:rPr>
      </w:pPr>
    </w:p>
    <w:p w14:paraId="7E2647AC" w14:textId="3E6C9047" w:rsidR="00361C6C" w:rsidRPr="00A772DB" w:rsidRDefault="00605E0B" w:rsidP="00605E0B">
      <w:pPr>
        <w:spacing w:line="480" w:lineRule="auto"/>
        <w:rPr>
          <w:lang w:val="en-GB"/>
        </w:rPr>
      </w:pPr>
      <w:r w:rsidRPr="00A772DB">
        <w:rPr>
          <w:lang w:val="en-GB"/>
        </w:rPr>
        <w:t xml:space="preserve">Global warming, biological diversity, waste and pollution are modern-day issues discussed in every boardroom. The same issues are important management challenges in the consumer electronics industry. </w:t>
      </w:r>
      <w:proofErr w:type="spellStart"/>
      <w:r w:rsidRPr="00A772DB">
        <w:rPr>
          <w:lang w:val="en-GB"/>
        </w:rPr>
        <w:t>Sthiannopkao</w:t>
      </w:r>
      <w:proofErr w:type="spellEnd"/>
      <w:r w:rsidRPr="00A772DB">
        <w:rPr>
          <w:lang w:val="en-GB"/>
        </w:rPr>
        <w:t xml:space="preserve"> and Wong (2012) estimate a growth in electrical and electronic equipment waste of 5-10% each year in the years to come. Today, WEEE is one of the fastest growing waste streams in the EU and grows at 3-5% each year (Eurostat, 2016). Electronic products may contain potentially harmful substances like lead, cadmium, beryllium, mercury, dioxins, fluids, ammonia, asbestos or brominated flame retardants. WEEE may contain about 1000 hazardous substances that represent threats to health and the environment. At the same time, WEEE represents an interesting commercial market opportunity because of the valuable raw materials that recycling may re-supply back into the market. A </w:t>
      </w:r>
      <w:r w:rsidR="00F70839" w:rsidRPr="00A772DB">
        <w:rPr>
          <w:lang w:val="en-GB"/>
        </w:rPr>
        <w:t>ton</w:t>
      </w:r>
      <w:r w:rsidRPr="00A772DB">
        <w:rPr>
          <w:lang w:val="en-GB"/>
        </w:rPr>
        <w:t xml:space="preserve"> of ore from a gold mine generates ca. 5 grams (0.18 ounce) of gold on average, whereas a </w:t>
      </w:r>
      <w:r w:rsidR="00F70839" w:rsidRPr="00A772DB">
        <w:rPr>
          <w:lang w:val="en-GB"/>
        </w:rPr>
        <w:t>ton</w:t>
      </w:r>
      <w:r w:rsidRPr="00A772DB">
        <w:rPr>
          <w:lang w:val="en-GB"/>
        </w:rPr>
        <w:t xml:space="preserve"> of mobile phones can produce 150 grams (5.3 ounces) (Yoshikawa, 2008). </w:t>
      </w:r>
      <w:r w:rsidR="00B50732" w:rsidRPr="00A772DB">
        <w:rPr>
          <w:lang w:val="en-GB"/>
        </w:rPr>
        <w:t xml:space="preserve">In Norway, the electronics recycling company </w:t>
      </w:r>
      <w:proofErr w:type="spellStart"/>
      <w:r w:rsidR="00B50732" w:rsidRPr="00A772DB">
        <w:rPr>
          <w:lang w:val="en-GB"/>
        </w:rPr>
        <w:t>Renas</w:t>
      </w:r>
      <w:proofErr w:type="spellEnd"/>
      <w:r w:rsidR="00B50732" w:rsidRPr="00A772DB">
        <w:rPr>
          <w:lang w:val="en-GB"/>
        </w:rPr>
        <w:t xml:space="preserve"> </w:t>
      </w:r>
      <w:r w:rsidR="00F50239">
        <w:rPr>
          <w:lang w:val="en-GB"/>
        </w:rPr>
        <w:t xml:space="preserve">is the empirical setting for this investigation. The company </w:t>
      </w:r>
      <w:r w:rsidR="00B50732" w:rsidRPr="00A772DB">
        <w:rPr>
          <w:lang w:val="en-GB"/>
        </w:rPr>
        <w:t>collected more than 60 000 tons of electronic waste in 2016 and 14 kg of pure gold was extracted from the waste (</w:t>
      </w:r>
      <w:proofErr w:type="spellStart"/>
      <w:r w:rsidR="00B50732" w:rsidRPr="00A772DB">
        <w:rPr>
          <w:lang w:val="en-GB"/>
        </w:rPr>
        <w:t>Renas</w:t>
      </w:r>
      <w:proofErr w:type="spellEnd"/>
      <w:r w:rsidR="00B50732" w:rsidRPr="00A772DB">
        <w:rPr>
          <w:lang w:val="en-GB"/>
        </w:rPr>
        <w:t xml:space="preserve"> annual report 2016). In a new smart </w:t>
      </w:r>
      <w:r w:rsidR="005B6662" w:rsidRPr="00A772DB">
        <w:rPr>
          <w:lang w:val="en-GB"/>
        </w:rPr>
        <w:t>phone,</w:t>
      </w:r>
      <w:r w:rsidR="00B50732" w:rsidRPr="00A772DB">
        <w:rPr>
          <w:lang w:val="en-GB"/>
        </w:rPr>
        <w:t xml:space="preserve"> it might be more than 40 different metals. But the continuous variation, technological complexity and new products confronts the recycling companies</w:t>
      </w:r>
      <w:r w:rsidR="00F50239">
        <w:rPr>
          <w:lang w:val="en-GB"/>
        </w:rPr>
        <w:t xml:space="preserve"> like </w:t>
      </w:r>
      <w:proofErr w:type="spellStart"/>
      <w:r w:rsidR="00F50239">
        <w:rPr>
          <w:lang w:val="en-GB"/>
        </w:rPr>
        <w:t>Renas</w:t>
      </w:r>
      <w:proofErr w:type="spellEnd"/>
      <w:r w:rsidR="00F50239">
        <w:rPr>
          <w:lang w:val="en-GB"/>
        </w:rPr>
        <w:t xml:space="preserve"> and its franchisee collectors</w:t>
      </w:r>
      <w:r w:rsidR="00B50732" w:rsidRPr="00A772DB">
        <w:rPr>
          <w:lang w:val="en-GB"/>
        </w:rPr>
        <w:t xml:space="preserve"> with new challenges </w:t>
      </w:r>
      <w:r w:rsidR="00F70839" w:rsidRPr="00A772DB">
        <w:rPr>
          <w:lang w:val="en-GB"/>
        </w:rPr>
        <w:t>to</w:t>
      </w:r>
      <w:r w:rsidR="00B50732" w:rsidRPr="00A772DB">
        <w:rPr>
          <w:lang w:val="en-GB"/>
        </w:rPr>
        <w:t xml:space="preserve"> identify and collect metals for reuse back into the value chains. </w:t>
      </w:r>
    </w:p>
    <w:p w14:paraId="436117AF" w14:textId="77777777" w:rsidR="00361C6C" w:rsidRPr="00A772DB" w:rsidRDefault="00361C6C" w:rsidP="00605E0B">
      <w:pPr>
        <w:spacing w:line="480" w:lineRule="auto"/>
        <w:rPr>
          <w:lang w:val="en-GB"/>
        </w:rPr>
      </w:pPr>
    </w:p>
    <w:p w14:paraId="2624F026" w14:textId="48F42A9F" w:rsidR="00605E0B" w:rsidRPr="00A772DB" w:rsidRDefault="00605E0B" w:rsidP="00605E0B">
      <w:pPr>
        <w:spacing w:line="480" w:lineRule="auto"/>
        <w:rPr>
          <w:lang w:val="en-GB"/>
        </w:rPr>
      </w:pPr>
      <w:r w:rsidRPr="00A772DB">
        <w:rPr>
          <w:lang w:val="en-GB"/>
        </w:rPr>
        <w:t xml:space="preserve">Consequently, EU regulations promote collection and recycling operations through Council Directive 2002/96/EC on WEEE that has been in force since February 2003. The EU system should recommend collection operations so that consumers can return electronic waste free of charge. Therefore, development of sustainable entrepreneurship is the crucial change process that </w:t>
      </w:r>
      <w:r w:rsidRPr="00A772DB">
        <w:rPr>
          <w:lang w:val="en-GB"/>
        </w:rPr>
        <w:lastRenderedPageBreak/>
        <w:t>t</w:t>
      </w:r>
      <w:r w:rsidR="00FF7F11" w:rsidRPr="00A772DB">
        <w:rPr>
          <w:lang w:val="en-GB"/>
        </w:rPr>
        <w:t xml:space="preserve">ransforms used </w:t>
      </w:r>
      <w:r w:rsidRPr="00A772DB">
        <w:rPr>
          <w:lang w:val="en-GB"/>
        </w:rPr>
        <w:t>products back into the circular product life cycles</w:t>
      </w:r>
      <w:r w:rsidR="00BD05E3" w:rsidRPr="00A772DB">
        <w:rPr>
          <w:lang w:val="en-GB"/>
        </w:rPr>
        <w:t xml:space="preserve"> (Tilley and Parrish, 2006).</w:t>
      </w:r>
      <w:r w:rsidRPr="00A772DB">
        <w:rPr>
          <w:lang w:val="en-GB"/>
        </w:rPr>
        <w:t xml:space="preserve"> Corporate entrepreneurship is a crucial capacity that has the inherent potential to create necessary change in the new sustainable circular economy. The existing recycling industry is an important change agent that increases the level of sustainability as well as protects society from toxic hazards. Corporate entrepreneurship should generate improved products through research, development and ideas that ultimately augment sustainable performance in established business organisations, throughout the product life cycle. The capacity to accept risk, innovate, bring new products to the market and achieve first mover advantages ultimately drives this change (</w:t>
      </w:r>
      <w:proofErr w:type="spellStart"/>
      <w:r w:rsidRPr="00A772DB">
        <w:rPr>
          <w:lang w:val="en-GB"/>
        </w:rPr>
        <w:t>Barringer</w:t>
      </w:r>
      <w:proofErr w:type="spellEnd"/>
      <w:r w:rsidRPr="00A772DB">
        <w:rPr>
          <w:lang w:val="en-GB"/>
        </w:rPr>
        <w:t xml:space="preserve"> and </w:t>
      </w:r>
      <w:proofErr w:type="spellStart"/>
      <w:r w:rsidRPr="00A772DB">
        <w:rPr>
          <w:lang w:val="en-GB"/>
        </w:rPr>
        <w:t>Bluedorn</w:t>
      </w:r>
      <w:proofErr w:type="spellEnd"/>
      <w:r w:rsidRPr="00A772DB">
        <w:rPr>
          <w:lang w:val="en-GB"/>
        </w:rPr>
        <w:t>, 1999). Although there has been strong growth in reverse logistics systems that recycle products, this context remains under-explored in research</w:t>
      </w:r>
      <w:r w:rsidR="007913E3" w:rsidRPr="00A772DB">
        <w:rPr>
          <w:lang w:val="en-GB"/>
        </w:rPr>
        <w:t xml:space="preserve"> (</w:t>
      </w:r>
      <w:proofErr w:type="spellStart"/>
      <w:r w:rsidR="007913E3" w:rsidRPr="00A772DB">
        <w:rPr>
          <w:lang w:val="en-GB"/>
        </w:rPr>
        <w:t>Acaccia</w:t>
      </w:r>
      <w:proofErr w:type="spellEnd"/>
      <w:r w:rsidR="007913E3" w:rsidRPr="00A772DB">
        <w:rPr>
          <w:lang w:val="en-GB"/>
        </w:rPr>
        <w:t>, et al., 2007)</w:t>
      </w:r>
      <w:r w:rsidRPr="00A772DB">
        <w:rPr>
          <w:lang w:val="en-GB"/>
        </w:rPr>
        <w:t xml:space="preserve">. Reverse logistics is ‘the process of moving goods from their typical </w:t>
      </w:r>
      <w:r w:rsidR="00B27C56" w:rsidRPr="00A772DB">
        <w:rPr>
          <w:lang w:val="en-GB"/>
        </w:rPr>
        <w:t>destination</w:t>
      </w:r>
      <w:r w:rsidRPr="00A772DB">
        <w:rPr>
          <w:lang w:val="en-GB"/>
        </w:rPr>
        <w:t xml:space="preserve"> for the purpose of capturing value, or proper disposal’ (Hawks, 2006). Reverse logistics thus involves ‘activities related to returns avoidance, gatekeeping, disposal and all other after-market supply chain issues’ (</w:t>
      </w:r>
      <w:proofErr w:type="spellStart"/>
      <w:r w:rsidRPr="00A772DB">
        <w:rPr>
          <w:lang w:val="en-GB"/>
        </w:rPr>
        <w:t>Tibben</w:t>
      </w:r>
      <w:r w:rsidRPr="00A772DB">
        <w:rPr>
          <w:rFonts w:ascii="Cambria Math" w:hAnsi="Cambria Math" w:cs="Cambria Math"/>
          <w:lang w:val="en-GB"/>
        </w:rPr>
        <w:t>‐</w:t>
      </w:r>
      <w:r w:rsidRPr="00A772DB">
        <w:rPr>
          <w:lang w:val="en-GB"/>
        </w:rPr>
        <w:t>Lembke</w:t>
      </w:r>
      <w:proofErr w:type="spellEnd"/>
      <w:r w:rsidRPr="00A772DB">
        <w:rPr>
          <w:lang w:val="en-GB"/>
        </w:rPr>
        <w:t xml:space="preserve"> and Rogers, 2002). The significant costs and increased impact of a growing electronics market associated with reversed logistics adds entrepreneurial focus to this complex part of the value chain. We suspect that the growing number of new electronic products in the market require new innovative recycling processes. </w:t>
      </w:r>
    </w:p>
    <w:p w14:paraId="721DA47D" w14:textId="77777777" w:rsidR="00605E0B" w:rsidRPr="00A772DB" w:rsidRDefault="00605E0B" w:rsidP="00605E0B">
      <w:pPr>
        <w:spacing w:line="480" w:lineRule="auto"/>
        <w:rPr>
          <w:lang w:val="en-GB"/>
        </w:rPr>
      </w:pPr>
    </w:p>
    <w:p w14:paraId="763C4292" w14:textId="52FF840D" w:rsidR="00605E0B" w:rsidRPr="00A772DB" w:rsidRDefault="00ED7D55" w:rsidP="00605E0B">
      <w:pPr>
        <w:spacing w:line="480" w:lineRule="auto"/>
        <w:rPr>
          <w:b/>
          <w:lang w:val="en-GB"/>
        </w:rPr>
      </w:pPr>
      <w:r>
        <w:rPr>
          <w:b/>
          <w:lang w:val="en-GB"/>
        </w:rPr>
        <w:t>1.1</w:t>
      </w:r>
      <w:r>
        <w:rPr>
          <w:b/>
          <w:lang w:val="en-GB"/>
        </w:rPr>
        <w:tab/>
      </w:r>
      <w:r w:rsidR="00605E0B" w:rsidRPr="00A772DB">
        <w:rPr>
          <w:b/>
          <w:lang w:val="en-GB"/>
        </w:rPr>
        <w:t xml:space="preserve">Green </w:t>
      </w:r>
      <w:r w:rsidR="00DB5CA1" w:rsidRPr="00A772DB">
        <w:rPr>
          <w:b/>
          <w:lang w:val="en-GB"/>
        </w:rPr>
        <w:t xml:space="preserve">Entrepreneurship and </w:t>
      </w:r>
      <w:r w:rsidR="00605E0B" w:rsidRPr="00A772DB">
        <w:rPr>
          <w:b/>
          <w:lang w:val="en-GB"/>
        </w:rPr>
        <w:t>Innovation</w:t>
      </w:r>
    </w:p>
    <w:p w14:paraId="19FB0268" w14:textId="560C78DA" w:rsidR="00DB5CA1" w:rsidRPr="00A772DB" w:rsidRDefault="00605E0B" w:rsidP="00605E0B">
      <w:pPr>
        <w:spacing w:line="480" w:lineRule="auto"/>
        <w:rPr>
          <w:lang w:val="en-GB"/>
        </w:rPr>
      </w:pPr>
      <w:r w:rsidRPr="00A772DB">
        <w:rPr>
          <w:lang w:val="en-GB"/>
        </w:rPr>
        <w:t xml:space="preserve">Green innovation is a sustainable idea, device or method that continuously </w:t>
      </w:r>
      <w:r w:rsidR="00FF7F11" w:rsidRPr="00A772DB">
        <w:rPr>
          <w:lang w:val="en-GB"/>
        </w:rPr>
        <w:t>combine</w:t>
      </w:r>
      <w:r w:rsidRPr="00A772DB">
        <w:rPr>
          <w:lang w:val="en-GB"/>
        </w:rPr>
        <w:t xml:space="preserve"> social, environmental and economic impact and performance (Chr</w:t>
      </w:r>
      <w:r w:rsidR="00B27C56">
        <w:rPr>
          <w:lang w:val="en-GB"/>
        </w:rPr>
        <w:t xml:space="preserve">istensen and </w:t>
      </w:r>
      <w:proofErr w:type="spellStart"/>
      <w:r w:rsidR="00B27C56">
        <w:rPr>
          <w:lang w:val="en-GB"/>
        </w:rPr>
        <w:t>Overdorf</w:t>
      </w:r>
      <w:proofErr w:type="spellEnd"/>
      <w:r w:rsidR="00B27C56">
        <w:rPr>
          <w:lang w:val="en-GB"/>
        </w:rPr>
        <w:t>, 2000). Sustainable innovation embodies</w:t>
      </w:r>
      <w:r w:rsidR="00B27C56" w:rsidRPr="00A772DB">
        <w:rPr>
          <w:lang w:val="en-GB"/>
        </w:rPr>
        <w:t xml:space="preserve"> </w:t>
      </w:r>
      <w:r w:rsidRPr="00A772DB">
        <w:rPr>
          <w:lang w:val="en-GB"/>
        </w:rPr>
        <w:t xml:space="preserve">the creative destruction of obsolete and dysfunctional technology that hurt economic growth, welfare (Schumpeter, 1943) and quality of life in </w:t>
      </w:r>
      <w:r w:rsidR="00B27C56">
        <w:rPr>
          <w:lang w:val="en-GB"/>
        </w:rPr>
        <w:t>general. Green innovation</w:t>
      </w:r>
      <w:r w:rsidRPr="00A772DB">
        <w:rPr>
          <w:lang w:val="en-GB"/>
        </w:rPr>
        <w:t xml:space="preserve">, though, is not only based on the actions of each individual firm in a network. </w:t>
      </w:r>
      <w:r w:rsidRPr="00A772DB">
        <w:rPr>
          <w:lang w:val="en-GB"/>
        </w:rPr>
        <w:lastRenderedPageBreak/>
        <w:t xml:space="preserve">Green innovation is a network response throughout the product lifecycle that confronts </w:t>
      </w:r>
      <w:r w:rsidR="001900A2">
        <w:rPr>
          <w:lang w:val="en-GB"/>
        </w:rPr>
        <w:t xml:space="preserve">and replace </w:t>
      </w:r>
      <w:r w:rsidRPr="00A772DB">
        <w:rPr>
          <w:lang w:val="en-GB"/>
        </w:rPr>
        <w:t xml:space="preserve">obsolete and unsustainable conventional technology (Stark, 2006). Reversed logistics is a crucial part of the circular economy within the product lifecycle. Green innovation is driven by the growth of new products consumed in the market. New consumer products lead to new environmental risks, changed technological systems and methods. Reversed logistics therefore </w:t>
      </w:r>
      <w:r w:rsidR="0007405A" w:rsidRPr="00A772DB">
        <w:rPr>
          <w:lang w:val="en-GB"/>
        </w:rPr>
        <w:t>must</w:t>
      </w:r>
      <w:r w:rsidRPr="00A772DB">
        <w:rPr>
          <w:lang w:val="en-GB"/>
        </w:rPr>
        <w:t xml:space="preserve"> constantly find new ways t</w:t>
      </w:r>
      <w:r w:rsidR="004846E9">
        <w:rPr>
          <w:lang w:val="en-GB"/>
        </w:rPr>
        <w:t>o recycle new products. The i</w:t>
      </w:r>
      <w:r w:rsidRPr="00A772DB">
        <w:rPr>
          <w:lang w:val="en-GB"/>
        </w:rPr>
        <w:t xml:space="preserve">nnovation in green recycling methods </w:t>
      </w:r>
      <w:r w:rsidR="004846E9">
        <w:rPr>
          <w:lang w:val="en-GB"/>
        </w:rPr>
        <w:t xml:space="preserve">that makes it possible to move up in the recycling pyramid (figure 1) therefore </w:t>
      </w:r>
      <w:r w:rsidRPr="00A772DB">
        <w:rPr>
          <w:lang w:val="en-GB"/>
        </w:rPr>
        <w:t>is essential</w:t>
      </w:r>
      <w:r w:rsidR="004846E9">
        <w:rPr>
          <w:lang w:val="en-GB"/>
        </w:rPr>
        <w:t>. However, t</w:t>
      </w:r>
      <w:r w:rsidRPr="00A772DB">
        <w:rPr>
          <w:lang w:val="en-GB"/>
        </w:rPr>
        <w:t xml:space="preserve">he shorter life cycle of electric </w:t>
      </w:r>
      <w:r w:rsidR="004846E9">
        <w:rPr>
          <w:lang w:val="en-GB"/>
        </w:rPr>
        <w:t xml:space="preserve">and electronic </w:t>
      </w:r>
      <w:r w:rsidRPr="00A772DB">
        <w:rPr>
          <w:lang w:val="en-GB"/>
        </w:rPr>
        <w:t xml:space="preserve">consumer products constantly challenges the established value chains. New electronic </w:t>
      </w:r>
      <w:r w:rsidR="004846E9">
        <w:rPr>
          <w:lang w:val="en-GB"/>
        </w:rPr>
        <w:t xml:space="preserve">and electric </w:t>
      </w:r>
      <w:r w:rsidRPr="00A772DB">
        <w:rPr>
          <w:lang w:val="en-GB"/>
        </w:rPr>
        <w:t xml:space="preserve">consumer products </w:t>
      </w:r>
      <w:r w:rsidR="00A87855">
        <w:rPr>
          <w:lang w:val="en-GB"/>
        </w:rPr>
        <w:t>(</w:t>
      </w:r>
      <w:r w:rsidR="004846E9">
        <w:rPr>
          <w:lang w:val="en-GB"/>
        </w:rPr>
        <w:t>EE) create a need for innovation of</w:t>
      </w:r>
      <w:r w:rsidRPr="00A772DB">
        <w:rPr>
          <w:lang w:val="en-GB"/>
        </w:rPr>
        <w:t xml:space="preserve"> new recycling methods and techniques. Emerging green technology </w:t>
      </w:r>
      <w:r w:rsidR="00C72C35" w:rsidRPr="00A772DB">
        <w:rPr>
          <w:lang w:val="en-GB"/>
        </w:rPr>
        <w:t xml:space="preserve">provided by the recycling system </w:t>
      </w:r>
      <w:r w:rsidRPr="00A772DB">
        <w:rPr>
          <w:lang w:val="en-GB"/>
        </w:rPr>
        <w:t>replaces obsolete products and methods</w:t>
      </w:r>
      <w:r w:rsidR="00C72C35" w:rsidRPr="00A772DB">
        <w:rPr>
          <w:lang w:val="en-GB"/>
        </w:rPr>
        <w:t xml:space="preserve"> manifested by the traditional linear “take-make-waste” – industrial </w:t>
      </w:r>
      <w:r w:rsidR="003E74E7" w:rsidRPr="00A772DB">
        <w:rPr>
          <w:lang w:val="en-GB"/>
        </w:rPr>
        <w:t>models (</w:t>
      </w:r>
      <w:proofErr w:type="spellStart"/>
      <w:r w:rsidRPr="00A772DB">
        <w:rPr>
          <w:lang w:val="en-GB"/>
        </w:rPr>
        <w:t>Min</w:t>
      </w:r>
      <w:r w:rsidR="00FF7F11" w:rsidRPr="00A772DB">
        <w:rPr>
          <w:lang w:val="en-GB"/>
        </w:rPr>
        <w:t>t</w:t>
      </w:r>
      <w:r w:rsidRPr="00A772DB">
        <w:rPr>
          <w:lang w:val="en-GB"/>
        </w:rPr>
        <w:t>zberg</w:t>
      </w:r>
      <w:proofErr w:type="spellEnd"/>
      <w:r w:rsidRPr="00A772DB">
        <w:rPr>
          <w:lang w:val="en-GB"/>
        </w:rPr>
        <w:t>, 1978).</w:t>
      </w:r>
      <w:r w:rsidR="00FF3C46" w:rsidRPr="00A772DB">
        <w:rPr>
          <w:lang w:val="en-GB"/>
        </w:rPr>
        <w:t xml:space="preserve"> </w:t>
      </w:r>
      <w:r w:rsidR="004846E9">
        <w:rPr>
          <w:lang w:val="en-GB"/>
        </w:rPr>
        <w:t xml:space="preserve"> Thus, d</w:t>
      </w:r>
      <w:r w:rsidRPr="00A772DB">
        <w:rPr>
          <w:lang w:val="en-GB"/>
        </w:rPr>
        <w:t xml:space="preserve">isruptive and sustainable technological change ultimately alters the philosophy of business models (Christensen and </w:t>
      </w:r>
      <w:proofErr w:type="spellStart"/>
      <w:r w:rsidRPr="00A772DB">
        <w:rPr>
          <w:lang w:val="en-GB"/>
        </w:rPr>
        <w:t>Overdorf</w:t>
      </w:r>
      <w:proofErr w:type="spellEnd"/>
      <w:r w:rsidRPr="00A772DB">
        <w:rPr>
          <w:lang w:val="en-GB"/>
        </w:rPr>
        <w:t>, 2000)</w:t>
      </w:r>
      <w:r w:rsidR="00DB5CA1" w:rsidRPr="00A772DB">
        <w:rPr>
          <w:lang w:val="en-GB"/>
        </w:rPr>
        <w:t>.</w:t>
      </w:r>
    </w:p>
    <w:p w14:paraId="353FDF1D" w14:textId="4F6E45A6" w:rsidR="00605E0B" w:rsidRPr="00A772DB" w:rsidRDefault="00605E0B" w:rsidP="00DB5CA1">
      <w:pPr>
        <w:spacing w:line="480" w:lineRule="auto"/>
        <w:jc w:val="center"/>
        <w:rPr>
          <w:lang w:val="en-GB"/>
        </w:rPr>
      </w:pPr>
      <w:r w:rsidRPr="00A772DB">
        <w:rPr>
          <w:lang w:val="en-GB"/>
        </w:rPr>
        <w:t>.</w:t>
      </w:r>
    </w:p>
    <w:p w14:paraId="6E5F3825" w14:textId="5A90C1C7" w:rsidR="00605E0B" w:rsidRPr="00A772DB" w:rsidRDefault="00DB5CA1" w:rsidP="00605E0B">
      <w:pPr>
        <w:spacing w:line="480" w:lineRule="auto"/>
        <w:rPr>
          <w:lang w:val="en-GB"/>
        </w:rPr>
      </w:pPr>
      <w:r w:rsidRPr="00A772DB">
        <w:rPr>
          <w:lang w:val="en-GB"/>
        </w:rPr>
        <w:t>Figure 1 exhibits the recycling pyramid where the most preferable and sustainable option is either to reduce consumption or to reuse products</w:t>
      </w:r>
      <w:r w:rsidR="004846E9">
        <w:rPr>
          <w:lang w:val="en-GB"/>
        </w:rPr>
        <w:t>.</w:t>
      </w:r>
      <w:r w:rsidR="00AC2FC3">
        <w:rPr>
          <w:lang w:val="en-GB"/>
        </w:rPr>
        <w:t xml:space="preserve"> T</w:t>
      </w:r>
      <w:r w:rsidRPr="00A772DB">
        <w:rPr>
          <w:lang w:val="en-GB"/>
        </w:rPr>
        <w:t xml:space="preserve">he least favourable alternative is to dispose products into landfills. </w:t>
      </w:r>
      <w:r w:rsidR="008F3366" w:rsidRPr="00A772DB">
        <w:rPr>
          <w:lang w:val="en-GB"/>
        </w:rPr>
        <w:t>E</w:t>
      </w:r>
      <w:r w:rsidR="001230DA" w:rsidRPr="00A772DB">
        <w:rPr>
          <w:lang w:val="en-GB"/>
        </w:rPr>
        <w:t xml:space="preserve">ntrepreneurship in recycling </w:t>
      </w:r>
      <w:r w:rsidR="008F3366" w:rsidRPr="00A772DB">
        <w:rPr>
          <w:lang w:val="en-GB"/>
        </w:rPr>
        <w:t>is needed to achieve a more sustainable step upward in the pyramid</w:t>
      </w:r>
      <w:r w:rsidR="00A35ED3" w:rsidRPr="00A772DB">
        <w:rPr>
          <w:lang w:val="en-GB"/>
        </w:rPr>
        <w:t xml:space="preserve"> </w:t>
      </w:r>
      <w:r w:rsidR="0007405A" w:rsidRPr="00A772DB">
        <w:rPr>
          <w:lang w:val="en-GB"/>
        </w:rPr>
        <w:t>to</w:t>
      </w:r>
      <w:r w:rsidR="00A35ED3" w:rsidRPr="00A772DB">
        <w:rPr>
          <w:lang w:val="en-GB"/>
        </w:rPr>
        <w:t xml:space="preserve"> </w:t>
      </w:r>
      <w:r w:rsidR="003E74E7" w:rsidRPr="00A772DB">
        <w:rPr>
          <w:lang w:val="en-GB"/>
        </w:rPr>
        <w:t>reuse resources back into the value chain</w:t>
      </w:r>
      <w:r w:rsidR="008F3366" w:rsidRPr="00A772DB">
        <w:rPr>
          <w:lang w:val="en-GB"/>
        </w:rPr>
        <w:t xml:space="preserve">. </w:t>
      </w:r>
      <w:r w:rsidR="003E74E7" w:rsidRPr="00A772DB">
        <w:rPr>
          <w:lang w:val="en-GB"/>
        </w:rPr>
        <w:t xml:space="preserve">The recycling company </w:t>
      </w:r>
      <w:proofErr w:type="spellStart"/>
      <w:r w:rsidR="003E74E7" w:rsidRPr="00A772DB">
        <w:rPr>
          <w:lang w:val="en-GB"/>
        </w:rPr>
        <w:t>Renas</w:t>
      </w:r>
      <w:proofErr w:type="spellEnd"/>
      <w:r w:rsidR="003E74E7" w:rsidRPr="00A772DB">
        <w:rPr>
          <w:lang w:val="en-GB"/>
        </w:rPr>
        <w:t xml:space="preserve">, the empirical context in this study recycled 97 % of </w:t>
      </w:r>
      <w:r w:rsidR="00063244" w:rsidRPr="00A772DB">
        <w:rPr>
          <w:lang w:val="en-GB"/>
        </w:rPr>
        <w:t>EE waste in 2016</w:t>
      </w:r>
      <w:r w:rsidR="006D242E" w:rsidRPr="00A772DB">
        <w:rPr>
          <w:lang w:val="en-GB"/>
        </w:rPr>
        <w:t xml:space="preserve"> (</w:t>
      </w:r>
      <w:proofErr w:type="spellStart"/>
      <w:r w:rsidR="006D242E" w:rsidRPr="00A772DB">
        <w:rPr>
          <w:lang w:val="en-GB"/>
        </w:rPr>
        <w:t>Renas</w:t>
      </w:r>
      <w:proofErr w:type="spellEnd"/>
      <w:r w:rsidR="006D242E" w:rsidRPr="00A772DB">
        <w:rPr>
          <w:lang w:val="en-GB"/>
        </w:rPr>
        <w:t xml:space="preserve"> annual report).</w:t>
      </w:r>
      <w:r w:rsidR="00063244" w:rsidRPr="00A772DB">
        <w:rPr>
          <w:lang w:val="en-GB"/>
        </w:rPr>
        <w:t xml:space="preserve"> Metals like iron, </w:t>
      </w:r>
      <w:r w:rsidR="00AC2FC3" w:rsidRPr="00A772DB">
        <w:rPr>
          <w:lang w:val="en-GB"/>
        </w:rPr>
        <w:t>aluminium</w:t>
      </w:r>
      <w:r w:rsidR="00063244" w:rsidRPr="00A772DB">
        <w:rPr>
          <w:lang w:val="en-GB"/>
        </w:rPr>
        <w:t xml:space="preserve">, lead, copper and gold went back into the value chain to produce new products instead of ending up in a </w:t>
      </w:r>
      <w:r w:rsidR="00364DE6" w:rsidRPr="00A772DB">
        <w:rPr>
          <w:lang w:val="en-GB"/>
        </w:rPr>
        <w:t>disposal</w:t>
      </w:r>
      <w:r w:rsidR="00063244" w:rsidRPr="00A772DB">
        <w:rPr>
          <w:lang w:val="en-GB"/>
        </w:rPr>
        <w:t>.</w:t>
      </w:r>
      <w:r w:rsidR="0076741B" w:rsidRPr="00A772DB">
        <w:rPr>
          <w:lang w:val="en-GB"/>
        </w:rPr>
        <w:t xml:space="preserve"> </w:t>
      </w:r>
      <w:r w:rsidR="0007405A" w:rsidRPr="00A772DB">
        <w:rPr>
          <w:lang w:val="en-GB"/>
        </w:rPr>
        <w:t>To</w:t>
      </w:r>
      <w:r w:rsidR="0076741B" w:rsidRPr="00A772DB">
        <w:rPr>
          <w:lang w:val="en-GB"/>
        </w:rPr>
        <w:t xml:space="preserve"> achieve a continuous</w:t>
      </w:r>
      <w:r w:rsidR="005B67E8" w:rsidRPr="00A772DB">
        <w:rPr>
          <w:lang w:val="en-GB"/>
        </w:rPr>
        <w:t xml:space="preserve"> preferable</w:t>
      </w:r>
      <w:r w:rsidR="0076741B" w:rsidRPr="00A772DB">
        <w:rPr>
          <w:lang w:val="en-GB"/>
        </w:rPr>
        <w:t xml:space="preserve"> high recycling percentage</w:t>
      </w:r>
      <w:r w:rsidR="005B67E8" w:rsidRPr="00A772DB">
        <w:rPr>
          <w:lang w:val="en-GB"/>
        </w:rPr>
        <w:t xml:space="preserve"> (figure 1)</w:t>
      </w:r>
      <w:r w:rsidR="0076741B" w:rsidRPr="00A772DB">
        <w:rPr>
          <w:lang w:val="en-GB"/>
        </w:rPr>
        <w:t xml:space="preserve">, the company, its collectors and </w:t>
      </w:r>
      <w:r w:rsidR="005B67E8" w:rsidRPr="00A772DB">
        <w:rPr>
          <w:lang w:val="en-GB"/>
        </w:rPr>
        <w:t>re-</w:t>
      </w:r>
      <w:r w:rsidR="0076741B" w:rsidRPr="00A772DB">
        <w:rPr>
          <w:lang w:val="en-GB"/>
        </w:rPr>
        <w:t xml:space="preserve">processing system must develop its competence and innovate methods to process new </w:t>
      </w:r>
      <w:r w:rsidR="00AC2FC3">
        <w:rPr>
          <w:lang w:val="en-GB"/>
        </w:rPr>
        <w:t>WE</w:t>
      </w:r>
      <w:r w:rsidR="0076741B" w:rsidRPr="00A772DB">
        <w:rPr>
          <w:lang w:val="en-GB"/>
        </w:rPr>
        <w:t>EE</w:t>
      </w:r>
      <w:r w:rsidR="00AC2FC3">
        <w:rPr>
          <w:lang w:val="en-GB"/>
        </w:rPr>
        <w:t>-</w:t>
      </w:r>
      <w:r w:rsidR="0076741B" w:rsidRPr="00A772DB">
        <w:rPr>
          <w:lang w:val="en-GB"/>
        </w:rPr>
        <w:t xml:space="preserve"> products and components.</w:t>
      </w:r>
    </w:p>
    <w:p w14:paraId="55F9DC43" w14:textId="77777777" w:rsidR="00605E0B" w:rsidRPr="00A772DB" w:rsidRDefault="00605E0B" w:rsidP="00605E0B">
      <w:pPr>
        <w:spacing w:line="480" w:lineRule="auto"/>
        <w:rPr>
          <w:highlight w:val="yellow"/>
          <w:lang w:val="en-GB"/>
        </w:rPr>
      </w:pPr>
    </w:p>
    <w:p w14:paraId="0B9288FB" w14:textId="4494B494" w:rsidR="0050647C" w:rsidRPr="00A772DB" w:rsidRDefault="00ED7D55" w:rsidP="00605E0B">
      <w:pPr>
        <w:spacing w:line="480" w:lineRule="auto"/>
        <w:rPr>
          <w:b/>
          <w:lang w:val="en-GB"/>
        </w:rPr>
      </w:pPr>
      <w:r>
        <w:rPr>
          <w:b/>
          <w:lang w:val="en-GB"/>
        </w:rPr>
        <w:t>1.2</w:t>
      </w:r>
      <w:r>
        <w:rPr>
          <w:b/>
          <w:lang w:val="en-GB"/>
        </w:rPr>
        <w:tab/>
      </w:r>
      <w:r w:rsidR="00605E0B" w:rsidRPr="00A772DB">
        <w:rPr>
          <w:b/>
          <w:lang w:val="en-GB"/>
        </w:rPr>
        <w:t xml:space="preserve">Waste </w:t>
      </w:r>
      <w:r w:rsidR="0062796F" w:rsidRPr="00A772DB">
        <w:rPr>
          <w:b/>
          <w:lang w:val="en-GB"/>
        </w:rPr>
        <w:t>Management and E</w:t>
      </w:r>
      <w:r w:rsidR="005376A6" w:rsidRPr="00A772DB">
        <w:rPr>
          <w:b/>
          <w:lang w:val="en-GB"/>
        </w:rPr>
        <w:t>ntrepreneurship</w:t>
      </w:r>
    </w:p>
    <w:p w14:paraId="676C31C3" w14:textId="1F4142C7" w:rsidR="008333C9" w:rsidRPr="00A772DB" w:rsidRDefault="008333C9" w:rsidP="00605E0B">
      <w:pPr>
        <w:spacing w:line="480" w:lineRule="auto"/>
        <w:rPr>
          <w:lang w:val="en-GB"/>
        </w:rPr>
      </w:pPr>
    </w:p>
    <w:p w14:paraId="25AB9EA4" w14:textId="4E5ADBEC" w:rsidR="008333C9" w:rsidRPr="00A772DB" w:rsidRDefault="008333C9" w:rsidP="00605E0B">
      <w:pPr>
        <w:spacing w:line="480" w:lineRule="auto"/>
        <w:rPr>
          <w:lang w:val="en-GB"/>
        </w:rPr>
      </w:pPr>
      <w:r w:rsidRPr="00A772DB">
        <w:rPr>
          <w:lang w:val="en-GB"/>
        </w:rPr>
        <w:t>The economic growth and high GNP per capita in Norway combined with a rapid technological development have increased the waste load. Simultaneously, and partly caused by the same driving factors there is a short life cycle of electronic products. In 2016 recycling systems collected about 146 000 tons of WEEE, representing 28 kilos electronic and electric waste per person (</w:t>
      </w:r>
      <w:proofErr w:type="spellStart"/>
      <w:r w:rsidR="003116D8">
        <w:rPr>
          <w:lang w:val="en-GB"/>
        </w:rPr>
        <w:t>Renas</w:t>
      </w:r>
      <w:proofErr w:type="spellEnd"/>
      <w:r w:rsidR="003116D8">
        <w:rPr>
          <w:lang w:val="en-GB"/>
        </w:rPr>
        <w:t>, 2017</w:t>
      </w:r>
      <w:r w:rsidR="005376A6" w:rsidRPr="00A772DB">
        <w:rPr>
          <w:lang w:val="en-GB"/>
        </w:rPr>
        <w:t>).</w:t>
      </w:r>
    </w:p>
    <w:p w14:paraId="7A46D7B7" w14:textId="77777777" w:rsidR="008333C9" w:rsidRPr="00A772DB" w:rsidRDefault="008333C9" w:rsidP="00605E0B">
      <w:pPr>
        <w:spacing w:line="480" w:lineRule="auto"/>
        <w:rPr>
          <w:lang w:val="en-GB"/>
        </w:rPr>
      </w:pPr>
    </w:p>
    <w:p w14:paraId="7720ABFF" w14:textId="43B12126" w:rsidR="00605E0B" w:rsidRPr="00A772DB" w:rsidRDefault="00605E0B" w:rsidP="006509DD">
      <w:pPr>
        <w:spacing w:line="480" w:lineRule="auto"/>
        <w:ind w:firstLine="720"/>
        <w:rPr>
          <w:lang w:val="en-GB"/>
        </w:rPr>
      </w:pPr>
      <w:r w:rsidRPr="00A772DB">
        <w:rPr>
          <w:lang w:val="en-GB"/>
        </w:rPr>
        <w:t>Because of the increased number of electronic</w:t>
      </w:r>
      <w:r w:rsidR="00AC2FC3">
        <w:rPr>
          <w:lang w:val="en-GB"/>
        </w:rPr>
        <w:t xml:space="preserve"> and electric</w:t>
      </w:r>
      <w:r w:rsidRPr="00A772DB">
        <w:rPr>
          <w:lang w:val="en-GB"/>
        </w:rPr>
        <w:t xml:space="preserve"> consumer products</w:t>
      </w:r>
      <w:r w:rsidR="00AC2FC3">
        <w:rPr>
          <w:lang w:val="en-GB"/>
        </w:rPr>
        <w:t xml:space="preserve"> </w:t>
      </w:r>
      <w:r w:rsidRPr="00A772DB">
        <w:rPr>
          <w:lang w:val="en-GB"/>
        </w:rPr>
        <w:t xml:space="preserve">and their shorter life cycles, waste management is driven by changes in both technological factors and consumer preferences. </w:t>
      </w:r>
      <w:r w:rsidR="00765C7B" w:rsidRPr="00A772DB">
        <w:rPr>
          <w:lang w:val="en-GB"/>
        </w:rPr>
        <w:t>T</w:t>
      </w:r>
      <w:r w:rsidRPr="00A772DB">
        <w:rPr>
          <w:lang w:val="en-GB"/>
        </w:rPr>
        <w:t xml:space="preserve">he collection and distribution of waste is a complex, yet essential, part of the recycling system. To collect, store, separate and transport </w:t>
      </w:r>
      <w:r w:rsidR="00AC2FC3">
        <w:rPr>
          <w:lang w:val="en-GB"/>
        </w:rPr>
        <w:t>WEEE</w:t>
      </w:r>
      <w:r w:rsidR="006509DD">
        <w:rPr>
          <w:lang w:val="en-GB"/>
        </w:rPr>
        <w:t xml:space="preserve"> to the recycling facility is a</w:t>
      </w:r>
      <w:r w:rsidRPr="00A772DB">
        <w:rPr>
          <w:lang w:val="en-GB"/>
        </w:rPr>
        <w:t xml:space="preserve"> </w:t>
      </w:r>
      <w:r w:rsidR="00AC2FC3">
        <w:rPr>
          <w:lang w:val="en-GB"/>
        </w:rPr>
        <w:t>complex</w:t>
      </w:r>
      <w:r w:rsidRPr="00A772DB">
        <w:rPr>
          <w:lang w:val="en-GB"/>
        </w:rPr>
        <w:t xml:space="preserve"> process in the sustainable recycling system. Waste treatment in reversed logistics combines recovery and disposal operations. Waste recovery </w:t>
      </w:r>
      <w:r w:rsidR="00AC2FC3">
        <w:rPr>
          <w:lang w:val="en-GB"/>
        </w:rPr>
        <w:t>operations</w:t>
      </w:r>
      <w:r w:rsidRPr="00A772DB">
        <w:rPr>
          <w:lang w:val="en-GB"/>
        </w:rPr>
        <w:t xml:space="preserve"> produce material that replaces other components. Alternatively, disposal is produced when this is not possible. Recycling operations recover and transform waste into new usage in the value chain. Reverse logistics is a unique set of methods reflecting contextual characteristics of the industry. Therefore, the technology that processes end-of-life </w:t>
      </w:r>
      <w:r w:rsidR="00AC2FC3">
        <w:rPr>
          <w:lang w:val="en-GB"/>
        </w:rPr>
        <w:t>WEEE-</w:t>
      </w:r>
      <w:r w:rsidRPr="00A772DB">
        <w:rPr>
          <w:lang w:val="en-GB"/>
        </w:rPr>
        <w:t xml:space="preserve">products should be different from other reversed logistics channels. Moreover, the development and innovation of unique and specific technology and knowledge (Williamson, 1985) is </w:t>
      </w:r>
      <w:r w:rsidR="00546B1B">
        <w:rPr>
          <w:lang w:val="en-GB"/>
        </w:rPr>
        <w:t>crucial</w:t>
      </w:r>
      <w:r w:rsidRPr="00A772DB">
        <w:rPr>
          <w:lang w:val="en-GB"/>
        </w:rPr>
        <w:t xml:space="preserve"> to </w:t>
      </w:r>
      <w:r w:rsidR="00546B1B">
        <w:rPr>
          <w:lang w:val="en-GB"/>
        </w:rPr>
        <w:t xml:space="preserve">innovation and ultimately </w:t>
      </w:r>
      <w:r w:rsidRPr="00A772DB">
        <w:rPr>
          <w:lang w:val="en-GB"/>
        </w:rPr>
        <w:t xml:space="preserve">industry performance. Throughout the reversed distribution channel, there </w:t>
      </w:r>
      <w:r w:rsidR="00D50D44" w:rsidRPr="00A772DB">
        <w:rPr>
          <w:lang w:val="en-GB"/>
        </w:rPr>
        <w:t>must</w:t>
      </w:r>
      <w:r w:rsidRPr="00A772DB">
        <w:rPr>
          <w:lang w:val="en-GB"/>
        </w:rPr>
        <w:t xml:space="preserve"> be strong coordination between companies to orchestrate the process of transportation, warehousing, inventory control and recycling (Zeng, 2013). The coordination of the inter-organisational </w:t>
      </w:r>
      <w:r w:rsidRPr="00A772DB">
        <w:rPr>
          <w:lang w:val="en-GB"/>
        </w:rPr>
        <w:lastRenderedPageBreak/>
        <w:t xml:space="preserve">structure of the reverse logistics system seems to produce better service levels and decreased distribution costs (Flygansvær, Gadde and Haugland, 2008). Governance mechanisms in reversed logistics coordinate the distribution process that manages human capital, information and the flow of materials (Aitken and Harrison, 2013). The </w:t>
      </w:r>
      <w:r w:rsidR="00E06B39" w:rsidRPr="00A772DB">
        <w:rPr>
          <w:lang w:val="en-GB"/>
        </w:rPr>
        <w:t xml:space="preserve">organization of the </w:t>
      </w:r>
      <w:r w:rsidRPr="00A772DB">
        <w:rPr>
          <w:lang w:val="en-GB"/>
        </w:rPr>
        <w:t xml:space="preserve">reversed logistics system </w:t>
      </w:r>
      <w:r w:rsidR="00FF75ED" w:rsidRPr="00A772DB">
        <w:rPr>
          <w:lang w:val="en-GB"/>
        </w:rPr>
        <w:t>should facilitate</w:t>
      </w:r>
      <w:r w:rsidRPr="00A772DB">
        <w:rPr>
          <w:lang w:val="en-GB"/>
        </w:rPr>
        <w:t xml:space="preserve"> sustainable change. </w:t>
      </w:r>
      <w:r w:rsidR="00FF75ED" w:rsidRPr="00A772DB">
        <w:rPr>
          <w:lang w:val="en-GB"/>
        </w:rPr>
        <w:t>Hence, t</w:t>
      </w:r>
      <w:r w:rsidRPr="00A772DB">
        <w:rPr>
          <w:lang w:val="en-GB"/>
        </w:rPr>
        <w:t xml:space="preserve">he reversed logistics system </w:t>
      </w:r>
      <w:r w:rsidR="00FF75ED" w:rsidRPr="00A772DB">
        <w:rPr>
          <w:lang w:val="en-GB"/>
        </w:rPr>
        <w:t xml:space="preserve">is faced by the dynamic need for </w:t>
      </w:r>
      <w:r w:rsidRPr="00A772DB">
        <w:rPr>
          <w:lang w:val="en-GB"/>
        </w:rPr>
        <w:t xml:space="preserve">innovations co-created between the collectors and the recycling units. The co-creation of new innovations might result from either cooperative efforts or technology rooted in the inter-organisational system. Both factors promote entrepreneurial drives that facilitate innovations. The growth in new </w:t>
      </w:r>
      <w:r w:rsidR="00A87855">
        <w:rPr>
          <w:lang w:val="en-GB"/>
        </w:rPr>
        <w:t>EE</w:t>
      </w:r>
      <w:r w:rsidR="003A0F1C">
        <w:rPr>
          <w:lang w:val="en-GB"/>
        </w:rPr>
        <w:t>-</w:t>
      </w:r>
      <w:r w:rsidRPr="00A772DB">
        <w:rPr>
          <w:lang w:val="en-GB"/>
        </w:rPr>
        <w:t xml:space="preserve"> products, combined with the shorter life cycle of a consumer product, affects the business environment of the recycling system. In this study, we investigate the relationship between 156 electronic waste collectors and 15 reprocessing units, organised into the same franchise system by one franchisor representing importers of consumer electronics</w:t>
      </w:r>
      <w:r w:rsidR="003A0F1C">
        <w:rPr>
          <w:lang w:val="en-GB"/>
        </w:rPr>
        <w:t xml:space="preserve"> (figure 2)</w:t>
      </w:r>
      <w:r w:rsidRPr="00A772DB">
        <w:rPr>
          <w:lang w:val="en-GB"/>
        </w:rPr>
        <w:t>.</w:t>
      </w:r>
    </w:p>
    <w:p w14:paraId="3B7358D6" w14:textId="77777777" w:rsidR="00605E0B" w:rsidRPr="00A772DB" w:rsidRDefault="00605E0B" w:rsidP="00605E0B">
      <w:pPr>
        <w:spacing w:line="480" w:lineRule="auto"/>
        <w:rPr>
          <w:lang w:val="en-GB"/>
        </w:rPr>
      </w:pPr>
    </w:p>
    <w:p w14:paraId="5323E5AE" w14:textId="77777777" w:rsidR="00605E0B" w:rsidRPr="00A772DB" w:rsidRDefault="00605E0B" w:rsidP="00605E0B">
      <w:pPr>
        <w:spacing w:line="480" w:lineRule="auto"/>
        <w:rPr>
          <w:lang w:val="en-GB"/>
        </w:rPr>
      </w:pPr>
    </w:p>
    <w:p w14:paraId="232F192F" w14:textId="6DFE4D03" w:rsidR="00605E0B" w:rsidRPr="00A772DB" w:rsidRDefault="00D7552B" w:rsidP="00605E0B">
      <w:pPr>
        <w:pBdr>
          <w:top w:val="single" w:sz="6" w:space="1" w:color="auto"/>
          <w:bottom w:val="single" w:sz="6" w:space="1" w:color="auto"/>
        </w:pBdr>
        <w:spacing w:line="480" w:lineRule="auto"/>
        <w:jc w:val="center"/>
        <w:rPr>
          <w:lang w:val="en-GB"/>
        </w:rPr>
      </w:pPr>
      <w:r w:rsidRPr="00A772DB">
        <w:rPr>
          <w:lang w:val="en-GB"/>
        </w:rPr>
        <w:t>Figure 2</w:t>
      </w:r>
      <w:r w:rsidR="00605E0B" w:rsidRPr="00A772DB">
        <w:rPr>
          <w:lang w:val="en-GB"/>
        </w:rPr>
        <w:t xml:space="preserve"> in about here</w:t>
      </w:r>
    </w:p>
    <w:p w14:paraId="60E5D2CD" w14:textId="5F05B3C8" w:rsidR="00605E0B" w:rsidRPr="00A772DB" w:rsidRDefault="00605E0B" w:rsidP="00605E0B">
      <w:pPr>
        <w:spacing w:line="480" w:lineRule="auto"/>
        <w:rPr>
          <w:lang w:val="en-GB"/>
        </w:rPr>
      </w:pPr>
      <w:r w:rsidRPr="00A772DB">
        <w:rPr>
          <w:lang w:val="en-GB"/>
        </w:rPr>
        <w:t xml:space="preserve"> </w:t>
      </w:r>
    </w:p>
    <w:p w14:paraId="6BD4DB2F" w14:textId="278C0FB6" w:rsidR="00605E0B" w:rsidRDefault="00605E0B" w:rsidP="00605E0B">
      <w:pPr>
        <w:spacing w:line="480" w:lineRule="auto"/>
        <w:rPr>
          <w:lang w:val="en-GB"/>
        </w:rPr>
      </w:pPr>
    </w:p>
    <w:p w14:paraId="43438193" w14:textId="3DB04B87" w:rsidR="003A0F1C" w:rsidRDefault="003A0F1C" w:rsidP="00605E0B">
      <w:pPr>
        <w:spacing w:line="480" w:lineRule="auto"/>
        <w:rPr>
          <w:lang w:val="en-GB"/>
        </w:rPr>
      </w:pPr>
    </w:p>
    <w:p w14:paraId="2F4E4E57" w14:textId="242836D0" w:rsidR="003A0F1C" w:rsidRDefault="003A0F1C" w:rsidP="00605E0B">
      <w:pPr>
        <w:spacing w:line="480" w:lineRule="auto"/>
        <w:rPr>
          <w:lang w:val="en-GB"/>
        </w:rPr>
      </w:pPr>
    </w:p>
    <w:p w14:paraId="35CB8FFF" w14:textId="2BA7DBDD" w:rsidR="003A0F1C" w:rsidRDefault="003A0F1C" w:rsidP="00605E0B">
      <w:pPr>
        <w:spacing w:line="480" w:lineRule="auto"/>
        <w:rPr>
          <w:lang w:val="en-GB"/>
        </w:rPr>
      </w:pPr>
    </w:p>
    <w:p w14:paraId="61AA6EC5" w14:textId="61F9EFBD" w:rsidR="003A0F1C" w:rsidRDefault="003A0F1C" w:rsidP="00605E0B">
      <w:pPr>
        <w:spacing w:line="480" w:lineRule="auto"/>
        <w:rPr>
          <w:lang w:val="en-GB"/>
        </w:rPr>
      </w:pPr>
    </w:p>
    <w:p w14:paraId="0A568C91" w14:textId="7581AAA3" w:rsidR="003A0F1C" w:rsidRDefault="003A0F1C" w:rsidP="00605E0B">
      <w:pPr>
        <w:spacing w:line="480" w:lineRule="auto"/>
        <w:rPr>
          <w:lang w:val="en-GB"/>
        </w:rPr>
      </w:pPr>
    </w:p>
    <w:p w14:paraId="0A7C3424" w14:textId="77777777" w:rsidR="00ED7D55" w:rsidRPr="00A772DB" w:rsidRDefault="00ED7D55" w:rsidP="00605E0B">
      <w:pPr>
        <w:spacing w:line="480" w:lineRule="auto"/>
        <w:rPr>
          <w:lang w:val="en-GB"/>
        </w:rPr>
      </w:pPr>
    </w:p>
    <w:p w14:paraId="5FE99CAC" w14:textId="5D2B41D4" w:rsidR="00605E0B" w:rsidRPr="00A772DB" w:rsidRDefault="00ED7D55" w:rsidP="00605E0B">
      <w:pPr>
        <w:spacing w:line="480" w:lineRule="auto"/>
        <w:rPr>
          <w:b/>
          <w:lang w:val="en-GB"/>
        </w:rPr>
      </w:pPr>
      <w:r>
        <w:rPr>
          <w:b/>
          <w:lang w:val="en-GB"/>
        </w:rPr>
        <w:lastRenderedPageBreak/>
        <w:t>2</w:t>
      </w:r>
      <w:r>
        <w:rPr>
          <w:b/>
          <w:lang w:val="en-GB"/>
        </w:rPr>
        <w:tab/>
      </w:r>
      <w:r w:rsidR="00605E0B" w:rsidRPr="00A772DB">
        <w:rPr>
          <w:b/>
          <w:lang w:val="en-GB"/>
        </w:rPr>
        <w:t>Innovation and Sustainable Change</w:t>
      </w:r>
    </w:p>
    <w:p w14:paraId="202C6367" w14:textId="77777777" w:rsidR="00605E0B" w:rsidRPr="00A772DB" w:rsidRDefault="00605E0B" w:rsidP="00605E0B">
      <w:pPr>
        <w:spacing w:line="480" w:lineRule="auto"/>
        <w:rPr>
          <w:lang w:val="en-GB"/>
        </w:rPr>
      </w:pPr>
    </w:p>
    <w:p w14:paraId="61EE35FD" w14:textId="17014C26" w:rsidR="00605E0B" w:rsidRPr="00A772DB" w:rsidRDefault="00ED7D55" w:rsidP="00605E0B">
      <w:pPr>
        <w:spacing w:line="480" w:lineRule="auto"/>
        <w:rPr>
          <w:b/>
          <w:lang w:val="en-GB"/>
        </w:rPr>
      </w:pPr>
      <w:r>
        <w:rPr>
          <w:b/>
          <w:lang w:val="en-GB"/>
        </w:rPr>
        <w:t>2.1</w:t>
      </w:r>
      <w:r>
        <w:rPr>
          <w:b/>
          <w:lang w:val="en-GB"/>
        </w:rPr>
        <w:tab/>
      </w:r>
      <w:r w:rsidR="00B22577" w:rsidRPr="00A772DB">
        <w:rPr>
          <w:b/>
          <w:lang w:val="en-GB"/>
        </w:rPr>
        <w:t>Specific I</w:t>
      </w:r>
      <w:r w:rsidR="00605E0B" w:rsidRPr="00A772DB">
        <w:rPr>
          <w:b/>
          <w:lang w:val="en-GB"/>
        </w:rPr>
        <w:t>nvestments</w:t>
      </w:r>
      <w:r w:rsidR="00F250B5" w:rsidRPr="00A772DB">
        <w:rPr>
          <w:b/>
          <w:lang w:val="en-GB"/>
        </w:rPr>
        <w:t xml:space="preserve"> </w:t>
      </w:r>
    </w:p>
    <w:p w14:paraId="4C06FF78" w14:textId="698FC4BB" w:rsidR="00B22577" w:rsidRPr="00A772DB" w:rsidRDefault="00B22577" w:rsidP="00605E0B">
      <w:pPr>
        <w:spacing w:line="480" w:lineRule="auto"/>
        <w:rPr>
          <w:lang w:val="en-GB"/>
        </w:rPr>
      </w:pPr>
      <w:r w:rsidRPr="00A772DB">
        <w:rPr>
          <w:lang w:val="en-GB"/>
        </w:rPr>
        <w:t xml:space="preserve">Investments in competence and technology that are specifically directed to the application of new products and services are </w:t>
      </w:r>
      <w:r w:rsidR="003A0F1C">
        <w:rPr>
          <w:lang w:val="en-GB"/>
        </w:rPr>
        <w:t>necessity</w:t>
      </w:r>
      <w:r w:rsidR="003A0F1C" w:rsidRPr="00A772DB">
        <w:rPr>
          <w:lang w:val="en-GB"/>
        </w:rPr>
        <w:t xml:space="preserve"> </w:t>
      </w:r>
      <w:r w:rsidRPr="00A772DB">
        <w:rPr>
          <w:lang w:val="en-GB"/>
        </w:rPr>
        <w:t>in an industry expose</w:t>
      </w:r>
      <w:r w:rsidR="003A0F1C">
        <w:rPr>
          <w:lang w:val="en-GB"/>
        </w:rPr>
        <w:t>d</w:t>
      </w:r>
      <w:r w:rsidRPr="00A772DB">
        <w:rPr>
          <w:lang w:val="en-GB"/>
        </w:rPr>
        <w:t xml:space="preserve"> to continuous complexity and change. But these specific investments can be related to intra-organizational </w:t>
      </w:r>
      <w:r w:rsidR="00990AF5" w:rsidRPr="00A772DB">
        <w:rPr>
          <w:lang w:val="en-GB"/>
        </w:rPr>
        <w:t>technology within the franchise system</w:t>
      </w:r>
      <w:r w:rsidR="003A0F1C">
        <w:rPr>
          <w:lang w:val="en-GB"/>
        </w:rPr>
        <w:t xml:space="preserve"> coordinated by the franchisor (</w:t>
      </w:r>
      <w:proofErr w:type="spellStart"/>
      <w:r w:rsidR="003A0F1C">
        <w:rPr>
          <w:lang w:val="en-GB"/>
        </w:rPr>
        <w:t>Renas</w:t>
      </w:r>
      <w:proofErr w:type="spellEnd"/>
      <w:r w:rsidR="003A0F1C">
        <w:rPr>
          <w:lang w:val="en-GB"/>
        </w:rPr>
        <w:t>)</w:t>
      </w:r>
      <w:r w:rsidR="00990AF5" w:rsidRPr="00A772DB">
        <w:rPr>
          <w:lang w:val="en-GB"/>
        </w:rPr>
        <w:t>. Alternatively, the specific investments in knowledge and technology might also be related to the inter-organisational cooperation with the reprocessing units</w:t>
      </w:r>
      <w:r w:rsidR="003A0F1C">
        <w:rPr>
          <w:lang w:val="en-GB"/>
        </w:rPr>
        <w:t xml:space="preserve"> (figure 2)</w:t>
      </w:r>
      <w:r w:rsidR="00990AF5" w:rsidRPr="00A772DB">
        <w:rPr>
          <w:lang w:val="en-GB"/>
        </w:rPr>
        <w:t>. In this study, we would like to investigate where the collectors prefer to allocate their specific investments to achieve innovation.</w:t>
      </w:r>
    </w:p>
    <w:p w14:paraId="77F97BB5" w14:textId="77777777" w:rsidR="00990AF5" w:rsidRPr="00A772DB" w:rsidRDefault="00990AF5" w:rsidP="00605E0B">
      <w:pPr>
        <w:spacing w:line="480" w:lineRule="auto"/>
        <w:rPr>
          <w:lang w:val="en-GB"/>
        </w:rPr>
      </w:pPr>
    </w:p>
    <w:p w14:paraId="406742AA" w14:textId="62A591EA" w:rsidR="00990AF5" w:rsidRPr="00A772DB" w:rsidRDefault="00ED7D55" w:rsidP="00605E0B">
      <w:pPr>
        <w:spacing w:line="480" w:lineRule="auto"/>
        <w:rPr>
          <w:b/>
          <w:lang w:val="en-GB"/>
        </w:rPr>
      </w:pPr>
      <w:r>
        <w:rPr>
          <w:b/>
          <w:lang w:val="en-GB"/>
        </w:rPr>
        <w:t>2.2</w:t>
      </w:r>
      <w:r>
        <w:rPr>
          <w:b/>
          <w:lang w:val="en-GB"/>
        </w:rPr>
        <w:tab/>
      </w:r>
      <w:r w:rsidR="00990AF5" w:rsidRPr="00A772DB">
        <w:rPr>
          <w:b/>
          <w:lang w:val="en-GB"/>
        </w:rPr>
        <w:t>Intra-Organizational Specific Investments in the Franchise System</w:t>
      </w:r>
    </w:p>
    <w:p w14:paraId="0A9A275F" w14:textId="13560023" w:rsidR="00605E0B" w:rsidRPr="00A772DB" w:rsidRDefault="00605E0B" w:rsidP="00605E0B">
      <w:pPr>
        <w:spacing w:line="480" w:lineRule="auto"/>
        <w:rPr>
          <w:lang w:val="en-GB"/>
        </w:rPr>
      </w:pPr>
      <w:r w:rsidRPr="00A772DB">
        <w:rPr>
          <w:lang w:val="en-GB"/>
        </w:rPr>
        <w:t xml:space="preserve">Research and development of new recycling technology in reversed distribution chains leads to unique assets with little or no outside value to the relationship between the parties. The risks </w:t>
      </w:r>
      <w:r w:rsidR="0029325F" w:rsidRPr="00A772DB">
        <w:rPr>
          <w:lang w:val="en-GB"/>
        </w:rPr>
        <w:t>associated to</w:t>
      </w:r>
      <w:r w:rsidRPr="00A772DB">
        <w:rPr>
          <w:lang w:val="en-GB"/>
        </w:rPr>
        <w:t xml:space="preserve"> such specific investments makes it crucial to safeguard </w:t>
      </w:r>
      <w:r w:rsidR="00267C65">
        <w:rPr>
          <w:lang w:val="en-GB"/>
        </w:rPr>
        <w:t xml:space="preserve">both </w:t>
      </w:r>
      <w:r w:rsidR="00A87855">
        <w:rPr>
          <w:lang w:val="en-GB"/>
        </w:rPr>
        <w:t>party’s</w:t>
      </w:r>
      <w:r w:rsidRPr="00A772DB">
        <w:rPr>
          <w:lang w:val="en-GB"/>
        </w:rPr>
        <w:t xml:space="preserve"> interests</w:t>
      </w:r>
      <w:r w:rsidR="0029325F" w:rsidRPr="00A772DB">
        <w:rPr>
          <w:lang w:val="en-GB"/>
        </w:rPr>
        <w:t xml:space="preserve"> against behavioural opportunism</w:t>
      </w:r>
      <w:r w:rsidR="00267C65">
        <w:rPr>
          <w:lang w:val="en-GB"/>
        </w:rPr>
        <w:t xml:space="preserve"> (Williamson, 1985)</w:t>
      </w:r>
      <w:r w:rsidRPr="00A772DB">
        <w:rPr>
          <w:lang w:val="en-GB"/>
        </w:rPr>
        <w:t>.</w:t>
      </w:r>
      <w:r w:rsidR="0029325F" w:rsidRPr="00A772DB">
        <w:rPr>
          <w:lang w:val="en-GB"/>
        </w:rPr>
        <w:t xml:space="preserve"> Post-contractual opportunism is a systemic risk related to franchise systems</w:t>
      </w:r>
      <w:r w:rsidR="00267C65">
        <w:rPr>
          <w:lang w:val="en-GB"/>
        </w:rPr>
        <w:t xml:space="preserve"> </w:t>
      </w:r>
      <w:r w:rsidR="0029325F" w:rsidRPr="00A772DB">
        <w:rPr>
          <w:lang w:val="en-GB"/>
        </w:rPr>
        <w:t>that is the empirical context (Dahlstrom and Nygaard, 1999).</w:t>
      </w:r>
      <w:r w:rsidRPr="00A772DB">
        <w:rPr>
          <w:lang w:val="en-GB"/>
        </w:rPr>
        <w:t xml:space="preserve"> A governance structure that secures </w:t>
      </w:r>
      <w:r w:rsidR="00C34277" w:rsidRPr="00A772DB">
        <w:rPr>
          <w:lang w:val="en-GB"/>
        </w:rPr>
        <w:t>both sides of the relationship tend to</w:t>
      </w:r>
      <w:r w:rsidRPr="00A772DB">
        <w:rPr>
          <w:lang w:val="en-GB"/>
        </w:rPr>
        <w:t xml:space="preserve"> </w:t>
      </w:r>
      <w:r w:rsidR="00C34277" w:rsidRPr="00A772DB">
        <w:rPr>
          <w:lang w:val="en-GB"/>
        </w:rPr>
        <w:t xml:space="preserve">foster </w:t>
      </w:r>
      <w:r w:rsidRPr="00A772DB">
        <w:rPr>
          <w:lang w:val="en-GB"/>
        </w:rPr>
        <w:t xml:space="preserve">specific technology that </w:t>
      </w:r>
      <w:r w:rsidR="00C34277" w:rsidRPr="00A772DB">
        <w:rPr>
          <w:lang w:val="en-GB"/>
        </w:rPr>
        <w:t xml:space="preserve">generates </w:t>
      </w:r>
      <w:r w:rsidRPr="00A772DB">
        <w:rPr>
          <w:lang w:val="en-GB"/>
        </w:rPr>
        <w:t xml:space="preserve">innovation (Williamson, 1985). The </w:t>
      </w:r>
      <w:r w:rsidR="008C065B" w:rsidRPr="00A772DB">
        <w:rPr>
          <w:lang w:val="en-GB"/>
        </w:rPr>
        <w:t>organis</w:t>
      </w:r>
      <w:r w:rsidR="00C34277" w:rsidRPr="00A772DB">
        <w:rPr>
          <w:lang w:val="en-GB"/>
        </w:rPr>
        <w:t xml:space="preserve">ational </w:t>
      </w:r>
      <w:r w:rsidRPr="00A772DB">
        <w:rPr>
          <w:lang w:val="en-GB"/>
        </w:rPr>
        <w:t xml:space="preserve">protection of both parties’ economic interests </w:t>
      </w:r>
      <w:r w:rsidR="00267C65">
        <w:rPr>
          <w:lang w:val="en-GB"/>
        </w:rPr>
        <w:t>facilitates</w:t>
      </w:r>
      <w:r w:rsidRPr="00A772DB">
        <w:rPr>
          <w:lang w:val="en-GB"/>
        </w:rPr>
        <w:t xml:space="preserve"> co-creation in research and development. Williamson (1985) emphasises the strong incentives in a quasi-integrated bilateral relationship that strengthen the entrepreneurial drive. Corporations therefore establish long-term relationships with small businesses</w:t>
      </w:r>
      <w:r w:rsidR="008C065B" w:rsidRPr="00A772DB">
        <w:rPr>
          <w:lang w:val="en-GB"/>
        </w:rPr>
        <w:t xml:space="preserve"> like franchisees,</w:t>
      </w:r>
      <w:r w:rsidRPr="00A772DB">
        <w:rPr>
          <w:lang w:val="en-GB"/>
        </w:rPr>
        <w:t xml:space="preserve"> that nurture the innovative organisational culture that is difficult to achieve in larger </w:t>
      </w:r>
      <w:r w:rsidR="008C065B" w:rsidRPr="00A772DB">
        <w:rPr>
          <w:lang w:val="en-GB"/>
        </w:rPr>
        <w:t xml:space="preserve">and more bureaucratic </w:t>
      </w:r>
      <w:r w:rsidRPr="00A772DB">
        <w:rPr>
          <w:lang w:val="en-GB"/>
        </w:rPr>
        <w:t xml:space="preserve">corporations. </w:t>
      </w:r>
      <w:r w:rsidR="008C065B" w:rsidRPr="00A772DB">
        <w:rPr>
          <w:lang w:val="en-GB"/>
        </w:rPr>
        <w:t>Also</w:t>
      </w:r>
      <w:r w:rsidRPr="00A772DB">
        <w:rPr>
          <w:lang w:val="en-GB"/>
        </w:rPr>
        <w:t xml:space="preserve">, there </w:t>
      </w:r>
      <w:r w:rsidR="008C065B" w:rsidRPr="00A772DB">
        <w:rPr>
          <w:lang w:val="en-GB"/>
        </w:rPr>
        <w:t>must</w:t>
      </w:r>
      <w:r w:rsidRPr="00A772DB">
        <w:rPr>
          <w:lang w:val="en-GB"/>
        </w:rPr>
        <w:t xml:space="preserve"> be a strong commitment to </w:t>
      </w:r>
      <w:r w:rsidRPr="00A772DB">
        <w:rPr>
          <w:lang w:val="en-GB"/>
        </w:rPr>
        <w:lastRenderedPageBreak/>
        <w:t xml:space="preserve">sharing the resulting outcome. Sustainable technology in reversed logistics is an integrated </w:t>
      </w:r>
      <w:r w:rsidR="00267C65">
        <w:rPr>
          <w:lang w:val="en-GB"/>
        </w:rPr>
        <w:t>operation</w:t>
      </w:r>
      <w:r w:rsidRPr="00A772DB">
        <w:rPr>
          <w:lang w:val="en-GB"/>
        </w:rPr>
        <w:t xml:space="preserve"> of an established vertical distribution channel. Access to knowledge </w:t>
      </w:r>
      <w:r w:rsidR="00577CCE">
        <w:rPr>
          <w:lang w:val="en-GB"/>
        </w:rPr>
        <w:t>and competence development is a</w:t>
      </w:r>
      <w:r w:rsidRPr="00A772DB">
        <w:rPr>
          <w:lang w:val="en-GB"/>
        </w:rPr>
        <w:t xml:space="preserve"> </w:t>
      </w:r>
      <w:r w:rsidR="00267C65">
        <w:rPr>
          <w:lang w:val="en-GB"/>
        </w:rPr>
        <w:t>basic</w:t>
      </w:r>
      <w:r w:rsidR="00267C65" w:rsidRPr="00A772DB">
        <w:rPr>
          <w:lang w:val="en-GB"/>
        </w:rPr>
        <w:t xml:space="preserve"> </w:t>
      </w:r>
      <w:r w:rsidRPr="00A772DB">
        <w:rPr>
          <w:lang w:val="en-GB"/>
        </w:rPr>
        <w:t xml:space="preserve">stepping stone to achieving sustainable technological change and improved recycling systems. The learning process is a know-how investment that affects entrepreneurship </w:t>
      </w:r>
      <w:r w:rsidR="00577CCE">
        <w:rPr>
          <w:lang w:val="en-GB"/>
        </w:rPr>
        <w:t xml:space="preserve">and ultimately innovation of services and products </w:t>
      </w:r>
      <w:r w:rsidRPr="00A772DB">
        <w:rPr>
          <w:lang w:val="en-GB"/>
        </w:rPr>
        <w:t>(Phan et al., 2009).</w:t>
      </w:r>
      <w:r w:rsidR="008C065B" w:rsidRPr="00A772DB">
        <w:rPr>
          <w:lang w:val="en-GB"/>
        </w:rPr>
        <w:t xml:space="preserve"> </w:t>
      </w:r>
      <w:r w:rsidRPr="00A772DB">
        <w:rPr>
          <w:lang w:val="en-GB"/>
        </w:rPr>
        <w:t xml:space="preserve">These specific investments in technology </w:t>
      </w:r>
      <w:r w:rsidR="00577CCE">
        <w:rPr>
          <w:lang w:val="en-GB"/>
        </w:rPr>
        <w:t xml:space="preserve">and competence </w:t>
      </w:r>
      <w:r w:rsidRPr="00A772DB">
        <w:rPr>
          <w:lang w:val="en-GB"/>
        </w:rPr>
        <w:t>with other firms are costly for other firms to reproduce. Therefore, we hypothesise that:</w:t>
      </w:r>
    </w:p>
    <w:p w14:paraId="56E50FAC" w14:textId="77777777" w:rsidR="00605E0B" w:rsidRPr="00A772DB" w:rsidRDefault="00605E0B" w:rsidP="00605E0B">
      <w:pPr>
        <w:spacing w:line="480" w:lineRule="auto"/>
        <w:rPr>
          <w:lang w:val="en-GB"/>
        </w:rPr>
      </w:pPr>
    </w:p>
    <w:p w14:paraId="2C97211D" w14:textId="0A698767" w:rsidR="00605E0B" w:rsidRPr="00A772DB" w:rsidRDefault="00605E0B" w:rsidP="00605E0B">
      <w:pPr>
        <w:spacing w:line="480" w:lineRule="auto"/>
        <w:rPr>
          <w:lang w:val="en-GB"/>
        </w:rPr>
      </w:pPr>
      <w:r w:rsidRPr="00A772DB">
        <w:rPr>
          <w:lang w:val="en-GB"/>
        </w:rPr>
        <w:t xml:space="preserve">H1: The higher the level of intra-organisational specific investments within the </w:t>
      </w:r>
      <w:r w:rsidR="00A56FA7" w:rsidRPr="00A772DB">
        <w:rPr>
          <w:lang w:val="en-GB"/>
        </w:rPr>
        <w:t>franchise system</w:t>
      </w:r>
      <w:r w:rsidRPr="00A772DB">
        <w:rPr>
          <w:lang w:val="en-GB"/>
        </w:rPr>
        <w:t>, the hig</w:t>
      </w:r>
      <w:r w:rsidR="00813F6E" w:rsidRPr="00A772DB">
        <w:rPr>
          <w:lang w:val="en-GB"/>
        </w:rPr>
        <w:t xml:space="preserve">her the level of </w:t>
      </w:r>
      <w:r w:rsidR="00FC2394" w:rsidRPr="00A772DB">
        <w:rPr>
          <w:lang w:val="en-GB"/>
        </w:rPr>
        <w:t xml:space="preserve">collector </w:t>
      </w:r>
      <w:r w:rsidR="00813F6E" w:rsidRPr="00A772DB">
        <w:rPr>
          <w:lang w:val="en-GB"/>
        </w:rPr>
        <w:t>innovation</w:t>
      </w:r>
      <w:r w:rsidRPr="00A772DB">
        <w:rPr>
          <w:lang w:val="en-GB"/>
        </w:rPr>
        <w:t>.</w:t>
      </w:r>
    </w:p>
    <w:p w14:paraId="3CDE1107" w14:textId="77777777" w:rsidR="00605E0B" w:rsidRPr="00A772DB" w:rsidRDefault="00605E0B" w:rsidP="00605E0B">
      <w:pPr>
        <w:spacing w:line="480" w:lineRule="auto"/>
        <w:rPr>
          <w:lang w:val="en-GB"/>
        </w:rPr>
      </w:pPr>
    </w:p>
    <w:p w14:paraId="2E401BED" w14:textId="77777777" w:rsidR="00605E0B" w:rsidRPr="00A772DB" w:rsidRDefault="00605E0B" w:rsidP="00605E0B">
      <w:pPr>
        <w:spacing w:line="480" w:lineRule="auto"/>
        <w:rPr>
          <w:lang w:val="en-GB"/>
        </w:rPr>
      </w:pPr>
    </w:p>
    <w:p w14:paraId="6C7C1987" w14:textId="12CB1348" w:rsidR="00605E0B" w:rsidRPr="00A772DB" w:rsidRDefault="00ED7D55" w:rsidP="00605E0B">
      <w:pPr>
        <w:spacing w:line="480" w:lineRule="auto"/>
        <w:rPr>
          <w:b/>
          <w:lang w:val="en-GB"/>
        </w:rPr>
      </w:pPr>
      <w:r>
        <w:rPr>
          <w:b/>
          <w:lang w:val="en-GB"/>
        </w:rPr>
        <w:t>2.3</w:t>
      </w:r>
      <w:r>
        <w:rPr>
          <w:b/>
          <w:lang w:val="en-GB"/>
        </w:rPr>
        <w:tab/>
      </w:r>
      <w:r w:rsidR="00605E0B" w:rsidRPr="00A772DB">
        <w:rPr>
          <w:b/>
          <w:lang w:val="en-GB"/>
        </w:rPr>
        <w:t>Specific Investments</w:t>
      </w:r>
      <w:r w:rsidR="00A56FA7" w:rsidRPr="00A772DB">
        <w:rPr>
          <w:b/>
          <w:lang w:val="en-GB"/>
        </w:rPr>
        <w:t xml:space="preserve"> </w:t>
      </w:r>
      <w:r w:rsidR="00840838">
        <w:rPr>
          <w:b/>
          <w:lang w:val="en-GB"/>
        </w:rPr>
        <w:t xml:space="preserve">in </w:t>
      </w:r>
      <w:r w:rsidR="00A56FA7" w:rsidRPr="00A772DB">
        <w:rPr>
          <w:b/>
          <w:lang w:val="en-GB"/>
        </w:rPr>
        <w:t xml:space="preserve">the Collector and Reprocessing </w:t>
      </w:r>
      <w:r w:rsidR="00840838">
        <w:rPr>
          <w:b/>
          <w:lang w:val="en-GB"/>
        </w:rPr>
        <w:t>Relationship</w:t>
      </w:r>
    </w:p>
    <w:p w14:paraId="0807DC3D" w14:textId="77777777" w:rsidR="00A56FA7" w:rsidRPr="00A772DB" w:rsidRDefault="00A56FA7" w:rsidP="00605E0B">
      <w:pPr>
        <w:spacing w:line="480" w:lineRule="auto"/>
        <w:rPr>
          <w:b/>
          <w:lang w:val="en-GB"/>
        </w:rPr>
      </w:pPr>
    </w:p>
    <w:p w14:paraId="6FEC465A" w14:textId="2CDEF3CD" w:rsidR="00605E0B" w:rsidRPr="00A772DB" w:rsidRDefault="00605E0B" w:rsidP="00605E0B">
      <w:pPr>
        <w:spacing w:line="480" w:lineRule="auto"/>
        <w:rPr>
          <w:lang w:val="en-GB"/>
        </w:rPr>
      </w:pPr>
      <w:r w:rsidRPr="00A772DB">
        <w:rPr>
          <w:lang w:val="en-GB"/>
        </w:rPr>
        <w:t xml:space="preserve">Furthermore, investment of know-how within a business-to- business relationship may be necessary to gain competitive advantages relative to other firms (Porter, 1991). </w:t>
      </w:r>
      <w:r w:rsidR="00DF2F5E" w:rsidRPr="00A772DB">
        <w:rPr>
          <w:lang w:val="en-GB"/>
        </w:rPr>
        <w:t xml:space="preserve">Here, we </w:t>
      </w:r>
      <w:r w:rsidR="0006473A" w:rsidRPr="00A772DB">
        <w:rPr>
          <w:lang w:val="en-GB"/>
        </w:rPr>
        <w:t>analyse</w:t>
      </w:r>
      <w:r w:rsidR="00DF2F5E" w:rsidRPr="00A772DB">
        <w:rPr>
          <w:lang w:val="en-GB"/>
        </w:rPr>
        <w:t xml:space="preserve"> the </w:t>
      </w:r>
      <w:r w:rsidR="00CB15F2" w:rsidRPr="00A772DB">
        <w:rPr>
          <w:lang w:val="en-GB"/>
        </w:rPr>
        <w:t>context of inter-organizational relationship between collectors and the recycling company</w:t>
      </w:r>
      <w:r w:rsidR="00DF2F5E" w:rsidRPr="00A772DB">
        <w:rPr>
          <w:lang w:val="en-GB"/>
        </w:rPr>
        <w:t>.</w:t>
      </w:r>
      <w:r w:rsidR="00CB15F2" w:rsidRPr="00A772DB">
        <w:rPr>
          <w:lang w:val="en-GB"/>
        </w:rPr>
        <w:t xml:space="preserve"> </w:t>
      </w:r>
      <w:r w:rsidRPr="00A772DB">
        <w:rPr>
          <w:lang w:val="en-GB"/>
        </w:rPr>
        <w:t xml:space="preserve">Co-production </w:t>
      </w:r>
      <w:r w:rsidR="00DF2F5E" w:rsidRPr="00A772DB">
        <w:rPr>
          <w:lang w:val="en-GB"/>
        </w:rPr>
        <w:t xml:space="preserve">of knowledge within this inter-organizational structure </w:t>
      </w:r>
      <w:r w:rsidRPr="00A772DB">
        <w:rPr>
          <w:lang w:val="en-GB"/>
        </w:rPr>
        <w:t xml:space="preserve">is crucial </w:t>
      </w:r>
      <w:r w:rsidR="00CB15F2" w:rsidRPr="00A772DB">
        <w:rPr>
          <w:lang w:val="en-GB"/>
        </w:rPr>
        <w:t>to</w:t>
      </w:r>
      <w:r w:rsidRPr="00A772DB">
        <w:rPr>
          <w:lang w:val="en-GB"/>
        </w:rPr>
        <w:t xml:space="preserve"> provide new </w:t>
      </w:r>
      <w:r w:rsidR="00DF2F5E" w:rsidRPr="00A772DB">
        <w:rPr>
          <w:lang w:val="en-GB"/>
        </w:rPr>
        <w:t>procedures, technologies and reuse of elements from the recycling system</w:t>
      </w:r>
      <w:r w:rsidRPr="00A772DB">
        <w:rPr>
          <w:lang w:val="en-GB"/>
        </w:rPr>
        <w:t xml:space="preserve">. This </w:t>
      </w:r>
      <w:r w:rsidR="00840838">
        <w:rPr>
          <w:lang w:val="en-GB"/>
        </w:rPr>
        <w:t>technology and competence</w:t>
      </w:r>
      <w:r w:rsidRPr="00A772DB">
        <w:rPr>
          <w:lang w:val="en-GB"/>
        </w:rPr>
        <w:t xml:space="preserve"> is unique to the relationship (Williamson, 1985). Larger corporations </w:t>
      </w:r>
      <w:r w:rsidR="00840838">
        <w:rPr>
          <w:lang w:val="en-GB"/>
        </w:rPr>
        <w:t>often</w:t>
      </w:r>
      <w:r w:rsidRPr="00A772DB">
        <w:rPr>
          <w:lang w:val="en-GB"/>
        </w:rPr>
        <w:t xml:space="preserve"> quasi-integrate R&amp;D operations </w:t>
      </w:r>
      <w:r w:rsidR="00CB15F2" w:rsidRPr="00A772DB">
        <w:rPr>
          <w:lang w:val="en-GB"/>
        </w:rPr>
        <w:t>to</w:t>
      </w:r>
      <w:r w:rsidRPr="00A772DB">
        <w:rPr>
          <w:lang w:val="en-GB"/>
        </w:rPr>
        <w:t xml:space="preserve"> nurture an</w:t>
      </w:r>
      <w:r w:rsidR="00840838">
        <w:rPr>
          <w:lang w:val="en-GB"/>
        </w:rPr>
        <w:t>d motivate innovation</w:t>
      </w:r>
      <w:r w:rsidRPr="00A772DB">
        <w:rPr>
          <w:lang w:val="en-GB"/>
        </w:rPr>
        <w:t xml:space="preserve">. Specific investments often develop in interaction between </w:t>
      </w:r>
      <w:r w:rsidR="00840838">
        <w:rPr>
          <w:lang w:val="en-GB"/>
        </w:rPr>
        <w:t xml:space="preserve">parties </w:t>
      </w:r>
      <w:r w:rsidRPr="00A772DB">
        <w:rPr>
          <w:lang w:val="en-GB"/>
        </w:rPr>
        <w:t xml:space="preserve">and create the environment for </w:t>
      </w:r>
      <w:r w:rsidR="00840838">
        <w:rPr>
          <w:lang w:val="en-GB"/>
        </w:rPr>
        <w:t>inter-organisational</w:t>
      </w:r>
      <w:r w:rsidRPr="00A772DB">
        <w:rPr>
          <w:lang w:val="en-GB"/>
        </w:rPr>
        <w:t xml:space="preserve"> entrepreneurship. Both human capital theory (Becker, 1964) and resource-based theory (Montgomery, 1995) consistently predict that co-production of specific entrepreneurial </w:t>
      </w:r>
      <w:r w:rsidRPr="00A772DB">
        <w:rPr>
          <w:lang w:val="en-GB"/>
        </w:rPr>
        <w:lastRenderedPageBreak/>
        <w:t>competence promotes innovation (</w:t>
      </w:r>
      <w:proofErr w:type="spellStart"/>
      <w:r w:rsidRPr="00A772DB">
        <w:rPr>
          <w:lang w:val="en-GB"/>
        </w:rPr>
        <w:t>Bosma</w:t>
      </w:r>
      <w:proofErr w:type="spellEnd"/>
      <w:r w:rsidRPr="00A772DB">
        <w:rPr>
          <w:lang w:val="en-GB"/>
        </w:rPr>
        <w:t xml:space="preserve"> et al., 2004). Therefore, we provide a hypothesis to further </w:t>
      </w:r>
      <w:r w:rsidR="00237858">
        <w:rPr>
          <w:lang w:val="en-GB"/>
        </w:rPr>
        <w:t>explore</w:t>
      </w:r>
      <w:r w:rsidRPr="00A772DB">
        <w:rPr>
          <w:lang w:val="en-GB"/>
        </w:rPr>
        <w:t xml:space="preserve"> how a specific </w:t>
      </w:r>
      <w:r w:rsidR="00237858">
        <w:rPr>
          <w:lang w:val="en-GB"/>
        </w:rPr>
        <w:t xml:space="preserve">technology and </w:t>
      </w:r>
      <w:r w:rsidRPr="00A772DB">
        <w:rPr>
          <w:lang w:val="en-GB"/>
        </w:rPr>
        <w:t xml:space="preserve">competence </w:t>
      </w:r>
      <w:r w:rsidR="00237858">
        <w:rPr>
          <w:lang w:val="en-GB"/>
        </w:rPr>
        <w:t>within relationships affect</w:t>
      </w:r>
      <w:r w:rsidRPr="00A772DB">
        <w:rPr>
          <w:lang w:val="en-GB"/>
        </w:rPr>
        <w:t xml:space="preserve"> inno</w:t>
      </w:r>
      <w:r w:rsidR="000B6F6C" w:rsidRPr="00A772DB">
        <w:rPr>
          <w:lang w:val="en-GB"/>
        </w:rPr>
        <w:t>vation</w:t>
      </w:r>
      <w:r w:rsidRPr="00A772DB">
        <w:rPr>
          <w:lang w:val="en-GB"/>
        </w:rPr>
        <w:t>:</w:t>
      </w:r>
    </w:p>
    <w:p w14:paraId="5653E3B4" w14:textId="77777777" w:rsidR="00605E0B" w:rsidRPr="00A772DB" w:rsidRDefault="00605E0B" w:rsidP="00605E0B">
      <w:pPr>
        <w:spacing w:line="480" w:lineRule="auto"/>
        <w:rPr>
          <w:lang w:val="en-GB"/>
        </w:rPr>
      </w:pPr>
    </w:p>
    <w:p w14:paraId="6B5357B7" w14:textId="77777777" w:rsidR="00605E0B" w:rsidRPr="00A772DB" w:rsidRDefault="00605E0B" w:rsidP="00605E0B">
      <w:pPr>
        <w:spacing w:line="480" w:lineRule="auto"/>
        <w:rPr>
          <w:lang w:val="en-GB"/>
        </w:rPr>
      </w:pPr>
    </w:p>
    <w:p w14:paraId="7758F3D3" w14:textId="758B37A2" w:rsidR="00605E0B" w:rsidRPr="00A772DB" w:rsidRDefault="00605E0B" w:rsidP="00605E0B">
      <w:pPr>
        <w:spacing w:line="480" w:lineRule="auto"/>
        <w:rPr>
          <w:lang w:val="en-GB"/>
        </w:rPr>
      </w:pPr>
      <w:r w:rsidRPr="00A772DB">
        <w:rPr>
          <w:lang w:val="en-GB"/>
        </w:rPr>
        <w:t>H2: The higher the level of inter-organisational specific investments, the hig</w:t>
      </w:r>
      <w:r w:rsidR="000B6F6C" w:rsidRPr="00A772DB">
        <w:rPr>
          <w:lang w:val="en-GB"/>
        </w:rPr>
        <w:t>her the level of innovation</w:t>
      </w:r>
      <w:r w:rsidRPr="00A772DB">
        <w:rPr>
          <w:lang w:val="en-GB"/>
        </w:rPr>
        <w:t xml:space="preserve"> in collector organisations.</w:t>
      </w:r>
    </w:p>
    <w:p w14:paraId="2A8ED8AB" w14:textId="77777777" w:rsidR="00605E0B" w:rsidRPr="00A772DB" w:rsidRDefault="00605E0B" w:rsidP="00605E0B">
      <w:pPr>
        <w:spacing w:line="480" w:lineRule="auto"/>
        <w:rPr>
          <w:lang w:val="en-GB"/>
        </w:rPr>
      </w:pPr>
    </w:p>
    <w:p w14:paraId="6D44178B" w14:textId="77777777" w:rsidR="00A73B91" w:rsidRPr="00A772DB" w:rsidRDefault="00A73B91" w:rsidP="00605E0B">
      <w:pPr>
        <w:spacing w:line="480" w:lineRule="auto"/>
        <w:rPr>
          <w:lang w:val="en-GB"/>
        </w:rPr>
      </w:pPr>
    </w:p>
    <w:p w14:paraId="34B8C7F0" w14:textId="68265D0E" w:rsidR="00605E0B" w:rsidRPr="00A772DB" w:rsidRDefault="00ED7D55" w:rsidP="00605E0B">
      <w:pPr>
        <w:spacing w:line="480" w:lineRule="auto"/>
        <w:rPr>
          <w:b/>
          <w:lang w:val="en-GB"/>
        </w:rPr>
      </w:pPr>
      <w:r>
        <w:rPr>
          <w:b/>
          <w:lang w:val="en-GB"/>
        </w:rPr>
        <w:t>2.4</w:t>
      </w:r>
      <w:r>
        <w:rPr>
          <w:b/>
          <w:lang w:val="en-GB"/>
        </w:rPr>
        <w:tab/>
      </w:r>
      <w:r w:rsidR="00605E0B" w:rsidRPr="00A772DB">
        <w:rPr>
          <w:b/>
          <w:lang w:val="en-GB"/>
        </w:rPr>
        <w:t>Competitive Intensity and Innovations</w:t>
      </w:r>
    </w:p>
    <w:p w14:paraId="2FDB1715" w14:textId="26C63645" w:rsidR="00605E0B" w:rsidRPr="00A772DB" w:rsidRDefault="00605E0B" w:rsidP="00605E0B">
      <w:pPr>
        <w:spacing w:line="480" w:lineRule="auto"/>
        <w:rPr>
          <w:lang w:val="en-GB"/>
        </w:rPr>
      </w:pPr>
      <w:r w:rsidRPr="00A772DB">
        <w:rPr>
          <w:lang w:val="en-GB"/>
        </w:rPr>
        <w:t>Competition should significantly affect corporate entrepreneurship and innovation (Porter, 1980). The intensity of competition promotes, nurtures and drives corporate entrepreneurship. Entrepreneurship might involve innovation of new business models, organisational structures, new products, industries or differentiation of existing products. Competitive intensity increases the motivation to change technology, products, markets or business models (Ireland et al., 2009). Management is motivated by competition that directs attention to the effective use of time and resources. Hart (1983) suggests that competitive intensity curbs opportunistic behaviour and managerial slack in the organisation. Consequently, competition control</w:t>
      </w:r>
      <w:r w:rsidR="00237858">
        <w:rPr>
          <w:lang w:val="en-GB"/>
        </w:rPr>
        <w:t>s</w:t>
      </w:r>
      <w:r w:rsidRPr="00A772DB">
        <w:rPr>
          <w:lang w:val="en-GB"/>
        </w:rPr>
        <w:t xml:space="preserve"> agency problems</w:t>
      </w:r>
      <w:r w:rsidR="00FF7F11" w:rsidRPr="00A772DB">
        <w:rPr>
          <w:lang w:val="en-GB"/>
        </w:rPr>
        <w:t xml:space="preserve"> that cause opportunism</w:t>
      </w:r>
      <w:r w:rsidR="00237858">
        <w:rPr>
          <w:lang w:val="en-GB"/>
        </w:rPr>
        <w:t>.</w:t>
      </w:r>
      <w:r w:rsidRPr="00A772DB">
        <w:rPr>
          <w:lang w:val="en-GB"/>
        </w:rPr>
        <w:t xml:space="preserve"> </w:t>
      </w:r>
      <w:r w:rsidR="00237858">
        <w:rPr>
          <w:lang w:val="en-GB"/>
        </w:rPr>
        <w:t>Competitive intensity</w:t>
      </w:r>
      <w:r w:rsidRPr="00A772DB">
        <w:rPr>
          <w:lang w:val="en-GB"/>
        </w:rPr>
        <w:t xml:space="preserve"> force</w:t>
      </w:r>
      <w:r w:rsidR="00237858">
        <w:rPr>
          <w:lang w:val="en-GB"/>
        </w:rPr>
        <w:t>s</w:t>
      </w:r>
      <w:r w:rsidRPr="00A772DB">
        <w:rPr>
          <w:lang w:val="en-GB"/>
        </w:rPr>
        <w:t xml:space="preserve"> management focus on innovation as a response to the competitive environment (</w:t>
      </w:r>
      <w:proofErr w:type="spellStart"/>
      <w:r w:rsidRPr="00A772DB">
        <w:rPr>
          <w:lang w:val="en-GB"/>
        </w:rPr>
        <w:t>Machlup</w:t>
      </w:r>
      <w:proofErr w:type="spellEnd"/>
      <w:r w:rsidRPr="00A772DB">
        <w:rPr>
          <w:lang w:val="en-GB"/>
        </w:rPr>
        <w:t>, 1967). Less competitive drive creates a culture of opportunism, shirking and free riding (Nygaard and Myrtveit, 2000). Shirking and opportunism subsequently lead to lesser innovation and performance. Furthermore, higher competitive intensity also reduces the need for managerial monitoring of the cooperation between the two parties.</w:t>
      </w:r>
      <w:r w:rsidR="005B32FA" w:rsidRPr="00A772DB">
        <w:rPr>
          <w:lang w:val="en-GB"/>
        </w:rPr>
        <w:t xml:space="preserve"> Furthermore, competition nurture the exchange of knowledge and new ideas among the </w:t>
      </w:r>
      <w:r w:rsidR="005B32FA" w:rsidRPr="00A772DB">
        <w:rPr>
          <w:lang w:val="en-GB"/>
        </w:rPr>
        <w:lastRenderedPageBreak/>
        <w:t>competitors in the market (Ingram and Inman, 1996).  Consequently, w</w:t>
      </w:r>
      <w:r w:rsidRPr="00A772DB">
        <w:rPr>
          <w:lang w:val="en-GB"/>
        </w:rPr>
        <w:t>e assume that co</w:t>
      </w:r>
      <w:r w:rsidR="005B32FA" w:rsidRPr="00A772DB">
        <w:rPr>
          <w:lang w:val="en-GB"/>
        </w:rPr>
        <w:t>mpetitive intensity affects</w:t>
      </w:r>
      <w:r w:rsidRPr="00A772DB">
        <w:rPr>
          <w:lang w:val="en-GB"/>
        </w:rPr>
        <w:t xml:space="preserve"> the level of innovation:</w:t>
      </w:r>
    </w:p>
    <w:p w14:paraId="031152C1" w14:textId="77777777" w:rsidR="00605E0B" w:rsidRPr="00A772DB" w:rsidRDefault="00605E0B" w:rsidP="00605E0B">
      <w:pPr>
        <w:spacing w:line="480" w:lineRule="auto"/>
        <w:rPr>
          <w:lang w:val="en-GB"/>
        </w:rPr>
      </w:pPr>
    </w:p>
    <w:p w14:paraId="0772925C" w14:textId="1F419337" w:rsidR="00605E0B" w:rsidRPr="00A772DB" w:rsidRDefault="00605E0B" w:rsidP="00605E0B">
      <w:pPr>
        <w:spacing w:line="480" w:lineRule="auto"/>
        <w:rPr>
          <w:lang w:val="en-GB"/>
        </w:rPr>
      </w:pPr>
      <w:r w:rsidRPr="00A772DB">
        <w:rPr>
          <w:lang w:val="en-GB"/>
        </w:rPr>
        <w:t>H3: The more intense the competition, the higher the le</w:t>
      </w:r>
      <w:r w:rsidR="000B6F6C" w:rsidRPr="00A772DB">
        <w:rPr>
          <w:lang w:val="en-GB"/>
        </w:rPr>
        <w:t>vel of collector innovation</w:t>
      </w:r>
      <w:r w:rsidRPr="00A772DB">
        <w:rPr>
          <w:lang w:val="en-GB"/>
        </w:rPr>
        <w:t>.</w:t>
      </w:r>
    </w:p>
    <w:p w14:paraId="51659210" w14:textId="1AB297AE" w:rsidR="00605E0B" w:rsidRPr="00A772DB" w:rsidRDefault="00605E0B" w:rsidP="00605E0B">
      <w:pPr>
        <w:spacing w:line="480" w:lineRule="auto"/>
        <w:rPr>
          <w:lang w:val="en-GB"/>
        </w:rPr>
      </w:pPr>
    </w:p>
    <w:p w14:paraId="50719C24" w14:textId="2E9C3E9A" w:rsidR="00A73B91" w:rsidRPr="00A772DB" w:rsidRDefault="00A73B91" w:rsidP="00605E0B">
      <w:pPr>
        <w:spacing w:line="480" w:lineRule="auto"/>
        <w:rPr>
          <w:lang w:val="en-GB"/>
        </w:rPr>
      </w:pPr>
    </w:p>
    <w:p w14:paraId="3B1A56A3" w14:textId="2E7AA0D8" w:rsidR="00A73B91" w:rsidRPr="00A772DB" w:rsidRDefault="00A73B91" w:rsidP="00605E0B">
      <w:pPr>
        <w:spacing w:line="480" w:lineRule="auto"/>
        <w:rPr>
          <w:lang w:val="en-GB"/>
        </w:rPr>
      </w:pPr>
    </w:p>
    <w:p w14:paraId="31794953" w14:textId="77777777" w:rsidR="00A73B91" w:rsidRPr="00A772DB" w:rsidRDefault="00A73B91" w:rsidP="00605E0B">
      <w:pPr>
        <w:spacing w:line="480" w:lineRule="auto"/>
        <w:rPr>
          <w:lang w:val="en-GB"/>
        </w:rPr>
      </w:pPr>
    </w:p>
    <w:p w14:paraId="40A143F5" w14:textId="7E51B17B" w:rsidR="00605E0B" w:rsidRPr="00A772DB" w:rsidRDefault="00ED7D55" w:rsidP="00605E0B">
      <w:pPr>
        <w:spacing w:line="480" w:lineRule="auto"/>
        <w:rPr>
          <w:b/>
          <w:lang w:val="en-GB"/>
        </w:rPr>
      </w:pPr>
      <w:r>
        <w:rPr>
          <w:b/>
          <w:lang w:val="en-GB"/>
        </w:rPr>
        <w:t>3</w:t>
      </w:r>
      <w:r>
        <w:rPr>
          <w:b/>
          <w:lang w:val="en-GB"/>
        </w:rPr>
        <w:tab/>
      </w:r>
      <w:r w:rsidR="00605E0B" w:rsidRPr="00A772DB">
        <w:rPr>
          <w:b/>
          <w:lang w:val="en-GB"/>
        </w:rPr>
        <w:t>Methodology</w:t>
      </w:r>
    </w:p>
    <w:p w14:paraId="2E4F9DAC" w14:textId="514A686A" w:rsidR="00E437CE" w:rsidRPr="00A772DB" w:rsidRDefault="00BD462E" w:rsidP="00605E0B">
      <w:pPr>
        <w:spacing w:line="480" w:lineRule="auto"/>
        <w:rPr>
          <w:lang w:val="en-GB"/>
        </w:rPr>
      </w:pPr>
      <w:r>
        <w:rPr>
          <w:lang w:val="en-GB"/>
        </w:rPr>
        <w:t>The</w:t>
      </w:r>
      <w:r w:rsidR="00605E0B" w:rsidRPr="00A772DB">
        <w:rPr>
          <w:lang w:val="en-GB"/>
        </w:rPr>
        <w:t xml:space="preserve"> logistics collector company represents the Elec</w:t>
      </w:r>
      <w:r>
        <w:rPr>
          <w:lang w:val="en-GB"/>
        </w:rPr>
        <w:t>trical and Electronic (EE) industry</w:t>
      </w:r>
      <w:r w:rsidR="00605E0B" w:rsidRPr="00A772DB">
        <w:rPr>
          <w:lang w:val="en-GB"/>
        </w:rPr>
        <w:t xml:space="preserve">. A membership </w:t>
      </w:r>
      <w:r>
        <w:rPr>
          <w:lang w:val="en-GB"/>
        </w:rPr>
        <w:t>requires</w:t>
      </w:r>
      <w:r w:rsidRPr="00A772DB">
        <w:rPr>
          <w:lang w:val="en-GB"/>
        </w:rPr>
        <w:t xml:space="preserve"> </w:t>
      </w:r>
      <w:r w:rsidR="00605E0B" w:rsidRPr="00A772DB">
        <w:rPr>
          <w:lang w:val="en-GB"/>
        </w:rPr>
        <w:t>that the EE-company delegates its producer responsibility to the recycling company. Norwegian law</w:t>
      </w:r>
      <w:r w:rsidR="00FF7F11" w:rsidRPr="00A772DB">
        <w:rPr>
          <w:lang w:val="en-GB"/>
        </w:rPr>
        <w:t xml:space="preserve"> promotes</w:t>
      </w:r>
      <w:r w:rsidR="00605E0B" w:rsidRPr="00A772DB">
        <w:rPr>
          <w:lang w:val="en-GB"/>
        </w:rPr>
        <w:t xml:space="preserve"> producer responsibility that is established as a part of, and implies </w:t>
      </w:r>
      <w:r w:rsidR="00F70839" w:rsidRPr="00A772DB">
        <w:rPr>
          <w:lang w:val="en-GB"/>
        </w:rPr>
        <w:t>many</w:t>
      </w:r>
      <w:r w:rsidR="00605E0B" w:rsidRPr="00A772DB">
        <w:rPr>
          <w:lang w:val="en-GB"/>
        </w:rPr>
        <w:t xml:space="preserve"> obligations</w:t>
      </w:r>
      <w:r>
        <w:rPr>
          <w:lang w:val="en-GB"/>
        </w:rPr>
        <w:t>, i.e. to develop recycling technology and competence</w:t>
      </w:r>
      <w:r w:rsidR="00605E0B" w:rsidRPr="00A772DB">
        <w:rPr>
          <w:lang w:val="en-GB"/>
        </w:rPr>
        <w:t>.</w:t>
      </w:r>
      <w:r w:rsidR="0061091C" w:rsidRPr="00A772DB">
        <w:rPr>
          <w:lang w:val="en-GB"/>
        </w:rPr>
        <w:t xml:space="preserve"> Thus, the Norwegian context might nurture entrepreneurial sustainability</w:t>
      </w:r>
      <w:r w:rsidR="00605E0B" w:rsidRPr="00A772DB">
        <w:rPr>
          <w:lang w:val="en-GB"/>
        </w:rPr>
        <w:t xml:space="preserve"> </w:t>
      </w:r>
      <w:r w:rsidR="004A6B27">
        <w:rPr>
          <w:lang w:val="en-GB"/>
        </w:rPr>
        <w:t>(Dana</w:t>
      </w:r>
      <w:r w:rsidR="0061091C" w:rsidRPr="00A772DB">
        <w:rPr>
          <w:lang w:val="en-GB"/>
        </w:rPr>
        <w:t xml:space="preserve">, 2017). </w:t>
      </w:r>
      <w:r w:rsidR="00605E0B" w:rsidRPr="00A772DB">
        <w:rPr>
          <w:lang w:val="en-GB"/>
        </w:rPr>
        <w:t>The main legal obligation is to ensure that the producer (or importer) takes responsibility for their products when they are defined as being at end-of-life, and that they make sure that EE-equipment is recycled and that no hazardous materials or substances are released into the environment. The Norwegian government has defined an end-of-life collection level goal fixed at 80% for WEEE (Waste Electrical and Electronic Equipment). When the recycling companies take on this responsibility for their members, they charge a membership fee, and use this funding to buy services from the recycling industry (or reclamatio</w:t>
      </w:r>
      <w:r w:rsidR="0036228C" w:rsidRPr="00A772DB">
        <w:rPr>
          <w:lang w:val="en-GB"/>
        </w:rPr>
        <w:t>n</w:t>
      </w:r>
      <w:r w:rsidR="00605E0B" w:rsidRPr="00A772DB">
        <w:rPr>
          <w:lang w:val="en-GB"/>
        </w:rPr>
        <w:t xml:space="preserve">). Services include </w:t>
      </w:r>
      <w:r w:rsidR="000B6F6C" w:rsidRPr="00A772DB">
        <w:rPr>
          <w:lang w:val="en-GB"/>
        </w:rPr>
        <w:t>many</w:t>
      </w:r>
      <w:r w:rsidR="00605E0B" w:rsidRPr="00A772DB">
        <w:rPr>
          <w:lang w:val="en-GB"/>
        </w:rPr>
        <w:t xml:space="preserve"> reclamation activities like collection, accumulation, sorting, handling, transportation, dismantling and recycling. </w:t>
      </w:r>
      <w:r w:rsidR="00EB3217" w:rsidRPr="00A772DB">
        <w:rPr>
          <w:lang w:val="en-GB"/>
        </w:rPr>
        <w:t>The recycling company RENAS recycled 97% of all electronic equipment waste in 2016 (RENAS, Environment Report 2016).</w:t>
      </w:r>
      <w:r w:rsidR="00175106" w:rsidRPr="00A772DB">
        <w:rPr>
          <w:lang w:val="en-GB"/>
        </w:rPr>
        <w:t xml:space="preserve"> Only 1.3% of the waste went to landfill the same year.</w:t>
      </w:r>
    </w:p>
    <w:p w14:paraId="31EF7E86" w14:textId="77777777" w:rsidR="00E437CE" w:rsidRPr="00A772DB" w:rsidRDefault="00E437CE" w:rsidP="00605E0B">
      <w:pPr>
        <w:spacing w:line="480" w:lineRule="auto"/>
        <w:rPr>
          <w:lang w:val="en-GB"/>
        </w:rPr>
      </w:pPr>
    </w:p>
    <w:p w14:paraId="21893C4F" w14:textId="478E0E9B" w:rsidR="00605E0B" w:rsidRPr="00A772DB" w:rsidRDefault="00605E0B" w:rsidP="00605E0B">
      <w:pPr>
        <w:spacing w:line="480" w:lineRule="auto"/>
        <w:ind w:firstLine="720"/>
        <w:rPr>
          <w:lang w:val="en-GB"/>
        </w:rPr>
      </w:pPr>
      <w:r w:rsidRPr="00A772DB">
        <w:rPr>
          <w:lang w:val="en-GB"/>
        </w:rPr>
        <w:t>The collector company is an actor in the recovery network that performs a selection of these activities, including collection, accumulation, sorting, handling and transportation. The collectors’ task is to identify users of EE-equipment, and ensure that these products enter the recovery network when they are defined as waste (at end-of-life). The recycling company</w:t>
      </w:r>
      <w:r w:rsidR="00BD462E">
        <w:rPr>
          <w:lang w:val="en-GB"/>
        </w:rPr>
        <w:t xml:space="preserve"> </w:t>
      </w:r>
      <w:proofErr w:type="spellStart"/>
      <w:r w:rsidR="00BD462E">
        <w:rPr>
          <w:lang w:val="en-GB"/>
        </w:rPr>
        <w:t>Renas</w:t>
      </w:r>
      <w:proofErr w:type="spellEnd"/>
      <w:r w:rsidRPr="00A772DB">
        <w:rPr>
          <w:lang w:val="en-GB"/>
        </w:rPr>
        <w:t xml:space="preserve"> has issued contracts to </w:t>
      </w:r>
      <w:r w:rsidR="00A9749A" w:rsidRPr="00A772DB">
        <w:rPr>
          <w:lang w:val="en-GB"/>
        </w:rPr>
        <w:t>many</w:t>
      </w:r>
      <w:r w:rsidRPr="00A772DB">
        <w:rPr>
          <w:lang w:val="en-GB"/>
        </w:rPr>
        <w:t xml:space="preserve"> collectors, as this network of agents </w:t>
      </w:r>
      <w:r w:rsidR="00A87B98" w:rsidRPr="00A772DB">
        <w:rPr>
          <w:lang w:val="en-GB"/>
        </w:rPr>
        <w:t>must</w:t>
      </w:r>
      <w:r w:rsidRPr="00A772DB">
        <w:rPr>
          <w:lang w:val="en-GB"/>
        </w:rPr>
        <w:t xml:space="preserve"> be represented throughout the entire country</w:t>
      </w:r>
      <w:r w:rsidR="00BD462E">
        <w:rPr>
          <w:lang w:val="en-GB"/>
        </w:rPr>
        <w:t xml:space="preserve"> like a franchise system</w:t>
      </w:r>
      <w:r w:rsidRPr="00A772DB">
        <w:rPr>
          <w:lang w:val="en-GB"/>
        </w:rPr>
        <w:t xml:space="preserve">. The franchise contracts are standard across agents. The terms include compensation (a fixed price per </w:t>
      </w:r>
      <w:r w:rsidR="00A87B98" w:rsidRPr="00A772DB">
        <w:rPr>
          <w:lang w:val="en-GB"/>
        </w:rPr>
        <w:t>ton</w:t>
      </w:r>
      <w:r w:rsidRPr="00A772DB">
        <w:rPr>
          <w:lang w:val="en-GB"/>
        </w:rPr>
        <w:t xml:space="preserve"> of collected WEEE) and covers areas like the quality of handling, equipment for accumulation, collection and transportation, standards for the collection site locations, and how to provide information to the final user of EE-equipment. Following these terms, the agents </w:t>
      </w:r>
      <w:r w:rsidR="00A87B98" w:rsidRPr="00A772DB">
        <w:rPr>
          <w:lang w:val="en-GB"/>
        </w:rPr>
        <w:t>can</w:t>
      </w:r>
      <w:r w:rsidRPr="00A772DB">
        <w:rPr>
          <w:lang w:val="en-GB"/>
        </w:rPr>
        <w:t xml:space="preserve"> compete against each other for volumes, and the effectiveness and efficiency of their operations will determine their earnings.</w:t>
      </w:r>
    </w:p>
    <w:p w14:paraId="28DB5474" w14:textId="2F540656" w:rsidR="00605E0B" w:rsidRPr="00A772DB" w:rsidRDefault="00605E0B" w:rsidP="00605E0B">
      <w:pPr>
        <w:spacing w:line="480" w:lineRule="auto"/>
        <w:ind w:firstLine="720"/>
        <w:rPr>
          <w:lang w:val="en-GB"/>
        </w:rPr>
      </w:pPr>
      <w:r w:rsidRPr="00A772DB">
        <w:rPr>
          <w:lang w:val="en-GB"/>
        </w:rPr>
        <w:t xml:space="preserve">We gathered data from a franchise network of countrywide businesses that collect, process and recycle consumer </w:t>
      </w:r>
      <w:r w:rsidR="00BD462E">
        <w:rPr>
          <w:lang w:val="en-GB"/>
        </w:rPr>
        <w:t>WEEE</w:t>
      </w:r>
      <w:r w:rsidRPr="00A772DB">
        <w:rPr>
          <w:lang w:val="en-GB"/>
        </w:rPr>
        <w:t xml:space="preserve"> (Glorvigen and Masliak, 2015). We invited 156 small and medium-sized collector franchisees to participate in the study. Both the collector companies and the recycling companies in the system employ their environmental knowledge</w:t>
      </w:r>
      <w:r w:rsidR="00693366">
        <w:rPr>
          <w:lang w:val="en-GB"/>
        </w:rPr>
        <w:t xml:space="preserve"> and technology</w:t>
      </w:r>
      <w:r w:rsidRPr="00A772DB">
        <w:rPr>
          <w:lang w:val="en-GB"/>
        </w:rPr>
        <w:t xml:space="preserve">. The entrepreneurship in the application of </w:t>
      </w:r>
      <w:r w:rsidR="0036228C" w:rsidRPr="00A772DB">
        <w:rPr>
          <w:lang w:val="en-GB"/>
        </w:rPr>
        <w:t>industry and technological</w:t>
      </w:r>
      <w:r w:rsidRPr="00A772DB">
        <w:rPr>
          <w:lang w:val="en-GB"/>
        </w:rPr>
        <w:t xml:space="preserve"> experience with toxic elements and the processing technology are vital knowledge to all firms in this industry. The entrepreneurial evolution of the collection and processing business focuses on separation and supply of </w:t>
      </w:r>
      <w:r w:rsidR="00693366">
        <w:rPr>
          <w:lang w:val="en-GB"/>
        </w:rPr>
        <w:t>WEEE</w:t>
      </w:r>
      <w:r w:rsidRPr="00A772DB">
        <w:rPr>
          <w:lang w:val="en-GB"/>
        </w:rPr>
        <w:t xml:space="preserve">. The empirical setting is a franchise system </w:t>
      </w:r>
      <w:r w:rsidR="00693366">
        <w:rPr>
          <w:lang w:val="en-GB"/>
        </w:rPr>
        <w:t>(</w:t>
      </w:r>
      <w:proofErr w:type="spellStart"/>
      <w:r w:rsidR="00693366">
        <w:rPr>
          <w:lang w:val="en-GB"/>
        </w:rPr>
        <w:t>Renas</w:t>
      </w:r>
      <w:proofErr w:type="spellEnd"/>
      <w:r w:rsidR="00693366">
        <w:rPr>
          <w:lang w:val="en-GB"/>
        </w:rPr>
        <w:t xml:space="preserve">) </w:t>
      </w:r>
      <w:r w:rsidRPr="00A772DB">
        <w:rPr>
          <w:lang w:val="en-GB"/>
        </w:rPr>
        <w:t xml:space="preserve">owned by competing companies operating in the </w:t>
      </w:r>
      <w:r w:rsidR="00693366">
        <w:rPr>
          <w:lang w:val="en-GB"/>
        </w:rPr>
        <w:t>WEEE</w:t>
      </w:r>
      <w:r w:rsidRPr="00A772DB">
        <w:rPr>
          <w:lang w:val="en-GB"/>
        </w:rPr>
        <w:t xml:space="preserve"> market in Norway and the franchisee collector </w:t>
      </w:r>
      <w:r w:rsidR="00693366">
        <w:rPr>
          <w:lang w:val="en-GB"/>
        </w:rPr>
        <w:t>firms</w:t>
      </w:r>
      <w:r w:rsidRPr="00A772DB">
        <w:rPr>
          <w:lang w:val="en-GB"/>
        </w:rPr>
        <w:t xml:space="preserve"> that comp</w:t>
      </w:r>
      <w:r w:rsidR="00693366">
        <w:rPr>
          <w:lang w:val="en-GB"/>
        </w:rPr>
        <w:t>ete in the same market (figure 2</w:t>
      </w:r>
      <w:r w:rsidRPr="00A772DB">
        <w:rPr>
          <w:lang w:val="en-GB"/>
        </w:rPr>
        <w:t xml:space="preserve">). The </w:t>
      </w:r>
      <w:r w:rsidR="00693366">
        <w:rPr>
          <w:lang w:val="en-GB"/>
        </w:rPr>
        <w:t xml:space="preserve">franchise </w:t>
      </w:r>
      <w:r w:rsidRPr="00A772DB">
        <w:rPr>
          <w:lang w:val="en-GB"/>
        </w:rPr>
        <w:t>company</w:t>
      </w:r>
      <w:r w:rsidR="00693366">
        <w:rPr>
          <w:lang w:val="en-GB"/>
        </w:rPr>
        <w:t xml:space="preserve"> </w:t>
      </w:r>
      <w:proofErr w:type="spellStart"/>
      <w:r w:rsidR="00693366">
        <w:rPr>
          <w:lang w:val="en-GB"/>
        </w:rPr>
        <w:t>Renas</w:t>
      </w:r>
      <w:proofErr w:type="spellEnd"/>
      <w:r w:rsidRPr="00A772DB">
        <w:rPr>
          <w:lang w:val="en-GB"/>
        </w:rPr>
        <w:t xml:space="preserve"> delegates market collection operations to the 156 franchise units that are the empirical setting for this investigation. The franchise</w:t>
      </w:r>
      <w:r w:rsidR="00693366">
        <w:rPr>
          <w:lang w:val="en-GB"/>
        </w:rPr>
        <w:t>e</w:t>
      </w:r>
      <w:r w:rsidRPr="00A772DB">
        <w:rPr>
          <w:lang w:val="en-GB"/>
        </w:rPr>
        <w:t xml:space="preserve"> units are profit dependent outlets that collect electronic waste and prepare products for </w:t>
      </w:r>
      <w:r w:rsidRPr="00A772DB">
        <w:rPr>
          <w:lang w:val="en-GB"/>
        </w:rPr>
        <w:lastRenderedPageBreak/>
        <w:t>recycling. The collecting companies face competition both for volume and location of WEEE. In the sample, there are 156 franchisee collector-companies that interact with 15 reprocessing companies that recycle the electronic products. The relationship between the collecting firms and the reprocessing units varies</w:t>
      </w:r>
      <w:r w:rsidR="00693366">
        <w:rPr>
          <w:lang w:val="en-GB"/>
        </w:rPr>
        <w:t xml:space="preserve"> (figure 2)</w:t>
      </w:r>
      <w:r w:rsidRPr="00A772DB">
        <w:rPr>
          <w:lang w:val="en-GB"/>
        </w:rPr>
        <w:t xml:space="preserve"> in terms of cooperation, coordination, integration and competition. We therefore assume that the empirical setting offers sufficient variation to test the presented hypotheses. </w:t>
      </w:r>
    </w:p>
    <w:p w14:paraId="0143B100" w14:textId="0188F922" w:rsidR="00605E0B" w:rsidRPr="00A772DB" w:rsidRDefault="00605E0B" w:rsidP="00605E0B">
      <w:pPr>
        <w:spacing w:line="480" w:lineRule="auto"/>
        <w:ind w:firstLine="720"/>
        <w:rPr>
          <w:lang w:val="en-GB"/>
        </w:rPr>
      </w:pPr>
      <w:r w:rsidRPr="00A772DB">
        <w:rPr>
          <w:lang w:val="en-GB"/>
        </w:rPr>
        <w:t>An industry group of experts supported, guided and advised us through the data gathering process. They guided and controlled the face validity of the survey questions prior to the sampling procedure. The collector franchisee companies were contacted through an online software system (</w:t>
      </w:r>
      <w:hyperlink r:id="rId10" w:history="1">
        <w:r w:rsidRPr="00A772DB">
          <w:rPr>
            <w:rStyle w:val="Hyperlink"/>
            <w:lang w:val="en-GB"/>
          </w:rPr>
          <w:t>www.qualtrics.com</w:t>
        </w:r>
      </w:hyperlink>
      <w:r w:rsidRPr="00A772DB">
        <w:rPr>
          <w:lang w:val="en-GB"/>
        </w:rPr>
        <w:t xml:space="preserve">). The manager of the collector company was the key informant. </w:t>
      </w:r>
      <w:r w:rsidR="00A87855" w:rsidRPr="00A772DB">
        <w:rPr>
          <w:lang w:val="en-GB"/>
        </w:rPr>
        <w:t>To</w:t>
      </w:r>
      <w:r w:rsidRPr="00A772DB">
        <w:rPr>
          <w:lang w:val="en-GB"/>
        </w:rPr>
        <w:t xml:space="preserve"> increase the response </w:t>
      </w:r>
      <w:r w:rsidR="00693366" w:rsidRPr="00A772DB">
        <w:rPr>
          <w:lang w:val="en-GB"/>
        </w:rPr>
        <w:t>rate,</w:t>
      </w:r>
      <w:r w:rsidRPr="00A772DB">
        <w:rPr>
          <w:lang w:val="en-GB"/>
        </w:rPr>
        <w:t xml:space="preserve"> we contacted the no-response managers by phone and achieved 108 responding franchisees with complete survey response (68 %).</w:t>
      </w:r>
    </w:p>
    <w:p w14:paraId="1CE9EBB9" w14:textId="77777777" w:rsidR="00605E0B" w:rsidRPr="00A772DB" w:rsidRDefault="00605E0B" w:rsidP="00605E0B">
      <w:pPr>
        <w:spacing w:line="480" w:lineRule="auto"/>
        <w:rPr>
          <w:lang w:val="en-GB"/>
        </w:rPr>
      </w:pPr>
    </w:p>
    <w:p w14:paraId="5504DDD1" w14:textId="77777777" w:rsidR="00605E0B" w:rsidRPr="00A772DB" w:rsidRDefault="00605E0B" w:rsidP="00605E0B">
      <w:pPr>
        <w:spacing w:line="480" w:lineRule="auto"/>
        <w:rPr>
          <w:lang w:val="en-GB"/>
        </w:rPr>
      </w:pPr>
    </w:p>
    <w:p w14:paraId="36BE7674" w14:textId="77777777" w:rsidR="00605E0B" w:rsidRPr="00A772DB" w:rsidRDefault="00605E0B" w:rsidP="00605E0B">
      <w:pPr>
        <w:spacing w:line="480" w:lineRule="auto"/>
        <w:rPr>
          <w:lang w:val="en-GB"/>
        </w:rPr>
      </w:pPr>
    </w:p>
    <w:p w14:paraId="43D301EE" w14:textId="78C46E03" w:rsidR="00605E0B" w:rsidRPr="00A772DB" w:rsidRDefault="00ED7D55" w:rsidP="00605E0B">
      <w:pPr>
        <w:spacing w:line="480" w:lineRule="auto"/>
        <w:rPr>
          <w:b/>
          <w:lang w:val="en-GB"/>
        </w:rPr>
      </w:pPr>
      <w:r>
        <w:rPr>
          <w:b/>
          <w:lang w:val="en-GB"/>
        </w:rPr>
        <w:t>3.1</w:t>
      </w:r>
      <w:r>
        <w:rPr>
          <w:b/>
          <w:lang w:val="en-GB"/>
        </w:rPr>
        <w:tab/>
      </w:r>
      <w:r w:rsidR="00605E0B" w:rsidRPr="00A772DB">
        <w:rPr>
          <w:b/>
          <w:lang w:val="en-GB"/>
        </w:rPr>
        <w:t>Analysis and Results</w:t>
      </w:r>
    </w:p>
    <w:p w14:paraId="10FDCD5F" w14:textId="0DA8671A" w:rsidR="00605E0B" w:rsidRPr="00A772DB" w:rsidRDefault="00605E0B" w:rsidP="00605E0B">
      <w:pPr>
        <w:spacing w:line="480" w:lineRule="auto"/>
        <w:rPr>
          <w:lang w:val="en-GB"/>
        </w:rPr>
      </w:pPr>
      <w:r w:rsidRPr="00A772DB">
        <w:rPr>
          <w:lang w:val="en-GB"/>
        </w:rPr>
        <w:t xml:space="preserve">The empirical context is a franchise system owned by the consumer electronics chains in the Norwegian market that have franchisee collector units that supply used products to the recycling system. It is a </w:t>
      </w:r>
      <w:r w:rsidRPr="00A772DB">
        <w:rPr>
          <w:i/>
          <w:lang w:val="en-GB"/>
        </w:rPr>
        <w:t>ceteris paribus</w:t>
      </w:r>
      <w:r w:rsidRPr="00A772DB">
        <w:rPr>
          <w:lang w:val="en-GB"/>
        </w:rPr>
        <w:t xml:space="preserve"> setting for empirical analyses of recycling, where the business environment is relatively stable</w:t>
      </w:r>
      <w:r w:rsidR="003C4093" w:rsidRPr="003C4093">
        <w:t xml:space="preserve"> </w:t>
      </w:r>
      <w:r w:rsidR="003C4093">
        <w:t>(</w:t>
      </w:r>
      <w:r w:rsidR="003C4093">
        <w:rPr>
          <w:lang w:val="en-GB"/>
        </w:rPr>
        <w:t xml:space="preserve">Reve and Stern, </w:t>
      </w:r>
      <w:r w:rsidR="003C4093" w:rsidRPr="003C4093">
        <w:rPr>
          <w:lang w:val="en-GB"/>
        </w:rPr>
        <w:t>1986</w:t>
      </w:r>
      <w:r w:rsidR="003C4093">
        <w:rPr>
          <w:lang w:val="en-GB"/>
        </w:rPr>
        <w:t>)</w:t>
      </w:r>
      <w:r w:rsidRPr="00A772DB">
        <w:rPr>
          <w:lang w:val="en-GB"/>
        </w:rPr>
        <w:t>. We present the measurement model in the appendix. All constructs had satisfactory Cronbach’s alpha above the &gt;0.7 level, as can be seen in the enclosed appendix (</w:t>
      </w:r>
      <w:proofErr w:type="spellStart"/>
      <w:r w:rsidRPr="00A772DB">
        <w:rPr>
          <w:lang w:val="en-GB"/>
        </w:rPr>
        <w:t>Nunnally</w:t>
      </w:r>
      <w:proofErr w:type="spellEnd"/>
      <w:r w:rsidRPr="00A772DB">
        <w:rPr>
          <w:lang w:val="en-GB"/>
        </w:rPr>
        <w:t xml:space="preserve">, 1978). </w:t>
      </w:r>
      <w:r w:rsidR="00693366">
        <w:rPr>
          <w:lang w:val="en-GB"/>
        </w:rPr>
        <w:t>Intra-organisational specific i</w:t>
      </w:r>
      <w:r w:rsidRPr="00A772DB">
        <w:rPr>
          <w:lang w:val="en-GB"/>
        </w:rPr>
        <w:t xml:space="preserve">nvestment was measured by five items borrowed from John and </w:t>
      </w:r>
      <w:proofErr w:type="spellStart"/>
      <w:r w:rsidRPr="00A772DB">
        <w:rPr>
          <w:lang w:val="en-GB"/>
        </w:rPr>
        <w:t>Weitz</w:t>
      </w:r>
      <w:proofErr w:type="spellEnd"/>
      <w:r w:rsidRPr="00A772DB">
        <w:rPr>
          <w:lang w:val="en-GB"/>
        </w:rPr>
        <w:t xml:space="preserve"> (1988) and Anderson (1982). </w:t>
      </w:r>
      <w:r w:rsidR="00693366">
        <w:rPr>
          <w:lang w:val="en-GB"/>
        </w:rPr>
        <w:t>Inter-organisational s</w:t>
      </w:r>
      <w:r w:rsidRPr="00A772DB">
        <w:rPr>
          <w:lang w:val="en-GB"/>
        </w:rPr>
        <w:t xml:space="preserve">pecific </w:t>
      </w:r>
      <w:r w:rsidR="00693366">
        <w:rPr>
          <w:lang w:val="en-GB"/>
        </w:rPr>
        <w:t>investments</w:t>
      </w:r>
      <w:r w:rsidRPr="00A772DB">
        <w:rPr>
          <w:lang w:val="en-GB"/>
        </w:rPr>
        <w:t xml:space="preserve"> </w:t>
      </w:r>
      <w:r w:rsidR="00E705C3" w:rsidRPr="00A772DB">
        <w:rPr>
          <w:lang w:val="en-GB"/>
        </w:rPr>
        <w:t>were</w:t>
      </w:r>
      <w:r w:rsidRPr="00A772DB">
        <w:rPr>
          <w:lang w:val="en-GB"/>
        </w:rPr>
        <w:t xml:space="preserve"> measured by five items from John and </w:t>
      </w:r>
      <w:proofErr w:type="spellStart"/>
      <w:r w:rsidRPr="00A772DB">
        <w:rPr>
          <w:lang w:val="en-GB"/>
        </w:rPr>
        <w:t>Weitz</w:t>
      </w:r>
      <w:proofErr w:type="spellEnd"/>
      <w:r w:rsidRPr="00A772DB">
        <w:rPr>
          <w:lang w:val="en-GB"/>
        </w:rPr>
        <w:t xml:space="preserve"> (1988) and </w:t>
      </w:r>
      <w:r w:rsidRPr="00A772DB">
        <w:rPr>
          <w:lang w:val="en-GB"/>
        </w:rPr>
        <w:lastRenderedPageBreak/>
        <w:t xml:space="preserve">Anderson (1982). Competitive intensity was measured by four items from </w:t>
      </w:r>
      <w:proofErr w:type="spellStart"/>
      <w:r w:rsidRPr="00A772DB">
        <w:rPr>
          <w:lang w:val="en-GB"/>
        </w:rPr>
        <w:t>Narver</w:t>
      </w:r>
      <w:proofErr w:type="spellEnd"/>
      <w:r w:rsidRPr="00A772DB">
        <w:rPr>
          <w:lang w:val="en-GB"/>
        </w:rPr>
        <w:t xml:space="preserve"> and Slater (1994). Innovation was measured by two items from </w:t>
      </w:r>
      <w:proofErr w:type="spellStart"/>
      <w:r w:rsidRPr="00A772DB">
        <w:rPr>
          <w:lang w:val="en-GB"/>
        </w:rPr>
        <w:t>Barringer</w:t>
      </w:r>
      <w:proofErr w:type="spellEnd"/>
      <w:r w:rsidRPr="00A772DB">
        <w:rPr>
          <w:lang w:val="en-GB"/>
        </w:rPr>
        <w:t xml:space="preserve"> and </w:t>
      </w:r>
      <w:proofErr w:type="spellStart"/>
      <w:r w:rsidRPr="00A772DB">
        <w:rPr>
          <w:lang w:val="en-GB"/>
        </w:rPr>
        <w:t>Bluedorn</w:t>
      </w:r>
      <w:proofErr w:type="spellEnd"/>
      <w:r w:rsidRPr="00A772DB">
        <w:rPr>
          <w:lang w:val="en-GB"/>
        </w:rPr>
        <w:t xml:space="preserve"> (1999). Table 1 exhibits the descriptive data from the model variables and the correlations among the scales.</w:t>
      </w:r>
    </w:p>
    <w:p w14:paraId="73BC7B0B" w14:textId="77777777" w:rsidR="00605E0B" w:rsidRPr="00A772DB" w:rsidRDefault="00605E0B" w:rsidP="00605E0B">
      <w:pPr>
        <w:spacing w:line="480" w:lineRule="auto"/>
        <w:rPr>
          <w:lang w:val="en-GB"/>
        </w:rPr>
      </w:pPr>
    </w:p>
    <w:p w14:paraId="20C9446B" w14:textId="77777777" w:rsidR="00605E0B" w:rsidRPr="00A772DB" w:rsidRDefault="00605E0B" w:rsidP="00605E0B">
      <w:pPr>
        <w:spacing w:line="480" w:lineRule="auto"/>
        <w:rPr>
          <w:lang w:val="en-GB"/>
        </w:rPr>
      </w:pPr>
    </w:p>
    <w:p w14:paraId="6452743E" w14:textId="77777777" w:rsidR="00605E0B" w:rsidRPr="00A772DB" w:rsidRDefault="00605E0B" w:rsidP="00605E0B">
      <w:pPr>
        <w:pBdr>
          <w:top w:val="single" w:sz="6" w:space="1" w:color="auto"/>
          <w:bottom w:val="single" w:sz="6" w:space="1" w:color="auto"/>
        </w:pBdr>
        <w:spacing w:line="480" w:lineRule="auto"/>
        <w:jc w:val="center"/>
        <w:rPr>
          <w:lang w:val="en-GB"/>
        </w:rPr>
      </w:pPr>
      <w:r w:rsidRPr="00A772DB">
        <w:rPr>
          <w:lang w:val="en-GB"/>
        </w:rPr>
        <w:t>Table 1 in about here</w:t>
      </w:r>
    </w:p>
    <w:p w14:paraId="4A425147" w14:textId="77777777" w:rsidR="00605E0B" w:rsidRPr="00A772DB" w:rsidRDefault="00605E0B" w:rsidP="00605E0B">
      <w:pPr>
        <w:spacing w:line="480" w:lineRule="auto"/>
        <w:rPr>
          <w:lang w:val="en-GB"/>
        </w:rPr>
      </w:pPr>
      <w:r w:rsidRPr="00A772DB">
        <w:rPr>
          <w:lang w:val="en-GB"/>
        </w:rPr>
        <w:t xml:space="preserve">                              </w:t>
      </w:r>
    </w:p>
    <w:p w14:paraId="6D34FA11" w14:textId="05B84232" w:rsidR="00605E0B" w:rsidRPr="00A772DB" w:rsidRDefault="00605E0B" w:rsidP="00605E0B">
      <w:pPr>
        <w:spacing w:line="480" w:lineRule="auto"/>
        <w:rPr>
          <w:highlight w:val="yellow"/>
          <w:lang w:val="en-GB"/>
        </w:rPr>
      </w:pPr>
    </w:p>
    <w:p w14:paraId="08D02294" w14:textId="77777777" w:rsidR="00A73B91" w:rsidRPr="00A772DB" w:rsidRDefault="00A73B91" w:rsidP="00605E0B">
      <w:pPr>
        <w:spacing w:line="480" w:lineRule="auto"/>
        <w:rPr>
          <w:highlight w:val="yellow"/>
          <w:lang w:val="en-GB"/>
        </w:rPr>
      </w:pPr>
    </w:p>
    <w:p w14:paraId="1B21958C" w14:textId="0ABFCB39" w:rsidR="00605E0B" w:rsidRPr="00A772DB" w:rsidRDefault="00605E0B" w:rsidP="00605E0B">
      <w:pPr>
        <w:spacing w:line="480" w:lineRule="auto"/>
        <w:rPr>
          <w:lang w:val="en-GB"/>
        </w:rPr>
      </w:pPr>
      <w:r w:rsidRPr="00A772DB">
        <w:rPr>
          <w:lang w:val="en-GB"/>
        </w:rPr>
        <w:t xml:space="preserve">The model test is summarised in Table 2. The </w:t>
      </w:r>
      <w:r w:rsidR="00C049C3" w:rsidRPr="00A772DB">
        <w:rPr>
          <w:lang w:val="en-GB"/>
        </w:rPr>
        <w:t>model</w:t>
      </w:r>
      <w:r w:rsidRPr="00A772DB">
        <w:rPr>
          <w:lang w:val="en-GB"/>
        </w:rPr>
        <w:t xml:space="preserve"> that explain innovation </w:t>
      </w:r>
      <w:r w:rsidR="00C049C3" w:rsidRPr="00A772DB">
        <w:rPr>
          <w:lang w:val="en-GB"/>
        </w:rPr>
        <w:t>is significant</w:t>
      </w:r>
      <w:r w:rsidR="0092170B" w:rsidRPr="00A772DB">
        <w:rPr>
          <w:lang w:val="en-GB"/>
        </w:rPr>
        <w:t xml:space="preserve"> </w:t>
      </w:r>
      <w:r w:rsidR="006F2FE6">
        <w:rPr>
          <w:lang w:val="en-GB"/>
        </w:rPr>
        <w:t>(F-Value= 4.9</w:t>
      </w:r>
      <w:r w:rsidR="00C049C3" w:rsidRPr="00A772DB">
        <w:rPr>
          <w:lang w:val="en-GB"/>
        </w:rPr>
        <w:t>**, p&lt;0.05)</w:t>
      </w:r>
      <w:r w:rsidRPr="00A772DB">
        <w:rPr>
          <w:lang w:val="en-GB"/>
        </w:rPr>
        <w:t xml:space="preserve">. Hypothesis 1 suggested that </w:t>
      </w:r>
      <w:r w:rsidR="006F2FE6">
        <w:rPr>
          <w:lang w:val="en-GB"/>
        </w:rPr>
        <w:t xml:space="preserve">intra-organisational </w:t>
      </w:r>
      <w:r w:rsidRPr="00A772DB">
        <w:rPr>
          <w:lang w:val="en-GB"/>
        </w:rPr>
        <w:t xml:space="preserve">specific investments affected the level of innovation. We found that the hypothesis is supported (β = .258, p&lt;.05). Hypothesis 2, suggesting that </w:t>
      </w:r>
      <w:r w:rsidR="00C049C3" w:rsidRPr="00A772DB">
        <w:rPr>
          <w:lang w:val="en-GB"/>
        </w:rPr>
        <w:t>inter-organisational</w:t>
      </w:r>
      <w:r w:rsidRPr="00A772DB">
        <w:rPr>
          <w:lang w:val="en-GB"/>
        </w:rPr>
        <w:t xml:space="preserve">-specific investment affected innovation, was not supported in the statistical model. </w:t>
      </w:r>
      <w:r w:rsidR="00C049C3" w:rsidRPr="00A772DB">
        <w:rPr>
          <w:lang w:val="en-GB"/>
        </w:rPr>
        <w:t>The test of h</w:t>
      </w:r>
      <w:r w:rsidRPr="00A772DB">
        <w:rPr>
          <w:lang w:val="en-GB"/>
        </w:rPr>
        <w:t xml:space="preserve">ypothesis 3, </w:t>
      </w:r>
      <w:r w:rsidR="00C049C3" w:rsidRPr="00A772DB">
        <w:rPr>
          <w:lang w:val="en-GB"/>
        </w:rPr>
        <w:t>indicates</w:t>
      </w:r>
      <w:r w:rsidRPr="00A772DB">
        <w:rPr>
          <w:lang w:val="en-GB"/>
        </w:rPr>
        <w:t xml:space="preserve"> </w:t>
      </w:r>
      <w:r w:rsidR="00C049C3" w:rsidRPr="00A772DB">
        <w:rPr>
          <w:lang w:val="en-GB"/>
        </w:rPr>
        <w:t>that competitive intensity affects innovation</w:t>
      </w:r>
      <w:r w:rsidRPr="00A772DB">
        <w:rPr>
          <w:lang w:val="en-GB"/>
        </w:rPr>
        <w:t xml:space="preserve"> (β = .173, p&lt;.10). </w:t>
      </w:r>
    </w:p>
    <w:p w14:paraId="7272EA88" w14:textId="77777777" w:rsidR="00605E0B" w:rsidRPr="00A772DB" w:rsidRDefault="00605E0B" w:rsidP="00605E0B">
      <w:pPr>
        <w:spacing w:line="480" w:lineRule="auto"/>
        <w:rPr>
          <w:lang w:val="en-GB"/>
        </w:rPr>
      </w:pPr>
    </w:p>
    <w:p w14:paraId="3D9C58F8" w14:textId="77777777" w:rsidR="00605E0B" w:rsidRPr="00A772DB" w:rsidRDefault="00605E0B" w:rsidP="00605E0B">
      <w:pPr>
        <w:spacing w:line="480" w:lineRule="auto"/>
        <w:rPr>
          <w:highlight w:val="yellow"/>
          <w:lang w:val="en-GB"/>
        </w:rPr>
      </w:pPr>
    </w:p>
    <w:p w14:paraId="320DFBC9" w14:textId="77777777" w:rsidR="00605E0B" w:rsidRPr="00A772DB" w:rsidRDefault="00605E0B" w:rsidP="00605E0B">
      <w:pPr>
        <w:pBdr>
          <w:top w:val="single" w:sz="6" w:space="1" w:color="auto"/>
          <w:bottom w:val="single" w:sz="6" w:space="1" w:color="auto"/>
        </w:pBdr>
        <w:spacing w:line="480" w:lineRule="auto"/>
        <w:jc w:val="center"/>
        <w:rPr>
          <w:lang w:val="en-GB"/>
        </w:rPr>
      </w:pPr>
      <w:r w:rsidRPr="00A772DB">
        <w:rPr>
          <w:lang w:val="en-GB"/>
        </w:rPr>
        <w:t>Table 2 in about here</w:t>
      </w:r>
    </w:p>
    <w:p w14:paraId="5D8111C1" w14:textId="625224F2" w:rsidR="00605E0B" w:rsidRDefault="00605E0B" w:rsidP="00605E0B">
      <w:pPr>
        <w:spacing w:line="480" w:lineRule="auto"/>
        <w:rPr>
          <w:lang w:val="en-GB"/>
        </w:rPr>
      </w:pPr>
    </w:p>
    <w:p w14:paraId="04603EDF" w14:textId="0C409F3F" w:rsidR="006F2FE6" w:rsidRDefault="006F2FE6" w:rsidP="00605E0B">
      <w:pPr>
        <w:spacing w:line="480" w:lineRule="auto"/>
        <w:rPr>
          <w:lang w:val="en-GB"/>
        </w:rPr>
      </w:pPr>
    </w:p>
    <w:p w14:paraId="2629ED35" w14:textId="5A9D6A46" w:rsidR="00127C83" w:rsidRDefault="00127C83" w:rsidP="00605E0B">
      <w:pPr>
        <w:spacing w:line="480" w:lineRule="auto"/>
        <w:rPr>
          <w:lang w:val="en-GB"/>
        </w:rPr>
      </w:pPr>
    </w:p>
    <w:p w14:paraId="6402E6C1" w14:textId="77777777" w:rsidR="00127C83" w:rsidRPr="00A772DB" w:rsidRDefault="00127C83" w:rsidP="00605E0B">
      <w:pPr>
        <w:spacing w:line="480" w:lineRule="auto"/>
        <w:rPr>
          <w:lang w:val="en-GB"/>
        </w:rPr>
      </w:pPr>
      <w:bookmarkStart w:id="3" w:name="_GoBack"/>
      <w:bookmarkEnd w:id="3"/>
    </w:p>
    <w:p w14:paraId="3B92FABF" w14:textId="77777777" w:rsidR="00605E0B" w:rsidRPr="00A772DB" w:rsidRDefault="00605E0B" w:rsidP="00605E0B">
      <w:pPr>
        <w:spacing w:line="480" w:lineRule="auto"/>
        <w:rPr>
          <w:lang w:val="en-GB"/>
        </w:rPr>
      </w:pPr>
    </w:p>
    <w:p w14:paraId="10AA3EDE" w14:textId="7807A0CC" w:rsidR="00605E0B" w:rsidRPr="00A772DB" w:rsidRDefault="00ED7D55" w:rsidP="00605E0B">
      <w:pPr>
        <w:spacing w:line="480" w:lineRule="auto"/>
        <w:rPr>
          <w:b/>
          <w:lang w:val="en-GB"/>
        </w:rPr>
      </w:pPr>
      <w:r>
        <w:rPr>
          <w:b/>
          <w:lang w:val="en-GB"/>
        </w:rPr>
        <w:lastRenderedPageBreak/>
        <w:t>4</w:t>
      </w:r>
      <w:r>
        <w:rPr>
          <w:b/>
          <w:lang w:val="en-GB"/>
        </w:rPr>
        <w:tab/>
      </w:r>
      <w:r w:rsidR="00605E0B" w:rsidRPr="00A772DB">
        <w:rPr>
          <w:b/>
          <w:lang w:val="en-GB"/>
        </w:rPr>
        <w:t>Discussion</w:t>
      </w:r>
    </w:p>
    <w:p w14:paraId="6E3A7714" w14:textId="5C754CD0" w:rsidR="00605E0B" w:rsidRPr="00A772DB" w:rsidRDefault="00605E0B" w:rsidP="00605E0B">
      <w:pPr>
        <w:spacing w:line="480" w:lineRule="auto"/>
        <w:rPr>
          <w:lang w:val="en-GB"/>
        </w:rPr>
      </w:pPr>
      <w:r w:rsidRPr="00A772DB">
        <w:rPr>
          <w:lang w:val="en-GB"/>
        </w:rPr>
        <w:t xml:space="preserve">This empirical investigation explores the explanatory factors behind innovation in </w:t>
      </w:r>
      <w:r w:rsidR="006F2FE6">
        <w:rPr>
          <w:lang w:val="en-GB"/>
        </w:rPr>
        <w:t xml:space="preserve">the </w:t>
      </w:r>
      <w:r w:rsidRPr="00A772DB">
        <w:rPr>
          <w:lang w:val="en-GB"/>
        </w:rPr>
        <w:t>reverse</w:t>
      </w:r>
      <w:r w:rsidR="006F2FE6">
        <w:rPr>
          <w:lang w:val="en-GB"/>
        </w:rPr>
        <w:t>d logistics industry in Norway</w:t>
      </w:r>
      <w:r w:rsidRPr="00A772DB">
        <w:rPr>
          <w:lang w:val="en-GB"/>
        </w:rPr>
        <w:t>. Our findings indicate that a combination of knowledge-driven strategy i</w:t>
      </w:r>
      <w:r w:rsidR="0036228C" w:rsidRPr="00A772DB">
        <w:rPr>
          <w:lang w:val="en-GB"/>
        </w:rPr>
        <w:t>n</w:t>
      </w:r>
      <w:r w:rsidRPr="00A772DB">
        <w:rPr>
          <w:lang w:val="en-GB"/>
        </w:rPr>
        <w:t xml:space="preserve"> system technology know-how and competitive intensity affect innovation in recycling. Therefore, both internal and external forces influence entrepreneurial strategies in the recycling business. Our findings underscore the crucial im</w:t>
      </w:r>
      <w:r w:rsidR="006F2FE6">
        <w:rPr>
          <w:lang w:val="en-GB"/>
        </w:rPr>
        <w:t>portance of system-related intra</w:t>
      </w:r>
      <w:r w:rsidRPr="00A772DB">
        <w:rPr>
          <w:lang w:val="en-GB"/>
        </w:rPr>
        <w:t xml:space="preserve">-organisational technological knowledge that stimulates innovation. Our study emphasises the value of specific investments in the </w:t>
      </w:r>
      <w:r w:rsidR="0036228C" w:rsidRPr="00A772DB">
        <w:rPr>
          <w:lang w:val="en-GB"/>
        </w:rPr>
        <w:t xml:space="preserve">technological </w:t>
      </w:r>
      <w:r w:rsidRPr="00A772DB">
        <w:rPr>
          <w:lang w:val="en-GB"/>
        </w:rPr>
        <w:t xml:space="preserve">in the company. </w:t>
      </w:r>
      <w:r w:rsidR="006F2FE6">
        <w:rPr>
          <w:lang w:val="en-GB"/>
        </w:rPr>
        <w:t xml:space="preserve">Investments in </w:t>
      </w:r>
      <w:r w:rsidR="0036228C" w:rsidRPr="00A772DB">
        <w:rPr>
          <w:lang w:val="en-GB"/>
        </w:rPr>
        <w:t>t</w:t>
      </w:r>
      <w:r w:rsidRPr="00A772DB">
        <w:rPr>
          <w:lang w:val="en-GB"/>
        </w:rPr>
        <w:t>echnology</w:t>
      </w:r>
      <w:r w:rsidR="006F2FE6">
        <w:rPr>
          <w:lang w:val="en-GB"/>
        </w:rPr>
        <w:t xml:space="preserve"> and competence</w:t>
      </w:r>
      <w:r w:rsidRPr="00A772DB">
        <w:rPr>
          <w:lang w:val="en-GB"/>
        </w:rPr>
        <w:t xml:space="preserve"> increased innovation</w:t>
      </w:r>
      <w:r w:rsidR="006F2FE6">
        <w:rPr>
          <w:lang w:val="en-GB"/>
        </w:rPr>
        <w:t xml:space="preserve"> inside the company</w:t>
      </w:r>
      <w:r w:rsidRPr="00A772DB">
        <w:rPr>
          <w:lang w:val="en-GB"/>
        </w:rPr>
        <w:t xml:space="preserve">. </w:t>
      </w:r>
      <w:r w:rsidR="006F2FE6">
        <w:rPr>
          <w:lang w:val="en-GB"/>
        </w:rPr>
        <w:t>Furthermore</w:t>
      </w:r>
      <w:r w:rsidRPr="00A772DB">
        <w:rPr>
          <w:lang w:val="en-GB"/>
        </w:rPr>
        <w:t xml:space="preserve">, competitive advantages achieved through technology may promote better </w:t>
      </w:r>
      <w:r w:rsidR="009972F4">
        <w:rPr>
          <w:lang w:val="en-GB"/>
        </w:rPr>
        <w:t xml:space="preserve">market </w:t>
      </w:r>
      <w:r w:rsidRPr="00A772DB">
        <w:rPr>
          <w:lang w:val="en-GB"/>
        </w:rPr>
        <w:t xml:space="preserve">performance. The increase in new </w:t>
      </w:r>
      <w:r w:rsidR="009972F4">
        <w:rPr>
          <w:lang w:val="en-GB"/>
        </w:rPr>
        <w:t>EE</w:t>
      </w:r>
      <w:r w:rsidRPr="00A772DB">
        <w:rPr>
          <w:lang w:val="en-GB"/>
        </w:rPr>
        <w:t xml:space="preserve"> consumer products entails the need for more innovative recycling solutions. This study focuses on specific investments in know-how (Williamson, 1985), within a context where the principal </w:t>
      </w:r>
      <w:r w:rsidR="009972F4">
        <w:rPr>
          <w:lang w:val="en-GB"/>
        </w:rPr>
        <w:t>company (</w:t>
      </w:r>
      <w:proofErr w:type="spellStart"/>
      <w:r w:rsidR="009972F4">
        <w:rPr>
          <w:lang w:val="en-GB"/>
        </w:rPr>
        <w:t>Renas</w:t>
      </w:r>
      <w:proofErr w:type="spellEnd"/>
      <w:r w:rsidR="009972F4">
        <w:rPr>
          <w:lang w:val="en-GB"/>
        </w:rPr>
        <w:t xml:space="preserve">) </w:t>
      </w:r>
      <w:r w:rsidRPr="00A772DB">
        <w:rPr>
          <w:lang w:val="en-GB"/>
        </w:rPr>
        <w:t>is a non-profit franchisor company owned by the importers o</w:t>
      </w:r>
      <w:r w:rsidR="009972F4">
        <w:rPr>
          <w:lang w:val="en-GB"/>
        </w:rPr>
        <w:t>f consumer electronics (Figure 2</w:t>
      </w:r>
      <w:r w:rsidRPr="00A772DB">
        <w:rPr>
          <w:lang w:val="en-GB"/>
        </w:rPr>
        <w:t>). The franchisor’s relationships with the collectors are implicit, yet based on a common cultural framework of commitment to sustainable management</w:t>
      </w:r>
      <w:r w:rsidR="009115A1" w:rsidRPr="00A772DB">
        <w:rPr>
          <w:lang w:val="en-GB"/>
        </w:rPr>
        <w:t xml:space="preserve"> and marketing (Basile, et al., 2016)</w:t>
      </w:r>
      <w:r w:rsidR="009972F4">
        <w:rPr>
          <w:lang w:val="en-GB"/>
        </w:rPr>
        <w:t>. T</w:t>
      </w:r>
      <w:r w:rsidRPr="00A772DB">
        <w:rPr>
          <w:lang w:val="en-GB"/>
        </w:rPr>
        <w:t>he reversed specific distribution technology probably shifts the managerial attention from linear (take, make, dispose) to circular strategy (cradle to cradle) (</w:t>
      </w:r>
      <w:proofErr w:type="spellStart"/>
      <w:r w:rsidRPr="00A772DB">
        <w:rPr>
          <w:lang w:val="en-GB"/>
        </w:rPr>
        <w:t>Stahel</w:t>
      </w:r>
      <w:proofErr w:type="spellEnd"/>
      <w:r w:rsidRPr="00A772DB">
        <w:rPr>
          <w:lang w:val="en-GB"/>
        </w:rPr>
        <w:t>, 2010).</w:t>
      </w:r>
      <w:r w:rsidR="009972F4">
        <w:rPr>
          <w:lang w:val="en-GB"/>
        </w:rPr>
        <w:t xml:space="preserve"> Finally, the conventional wisdom that competition drives innovation was supported by our data. It indicates that the incentives produced by external competitive pressures influence the recycling system.</w:t>
      </w:r>
    </w:p>
    <w:p w14:paraId="53F72F74" w14:textId="6E34217A" w:rsidR="00605E0B" w:rsidRDefault="00605E0B" w:rsidP="00605E0B">
      <w:pPr>
        <w:spacing w:line="480" w:lineRule="auto"/>
        <w:rPr>
          <w:lang w:val="en-GB"/>
        </w:rPr>
      </w:pPr>
    </w:p>
    <w:p w14:paraId="60F529B9" w14:textId="14B9855D" w:rsidR="009972F4" w:rsidRDefault="009972F4" w:rsidP="00605E0B">
      <w:pPr>
        <w:spacing w:line="480" w:lineRule="auto"/>
        <w:rPr>
          <w:lang w:val="en-GB"/>
        </w:rPr>
      </w:pPr>
    </w:p>
    <w:p w14:paraId="2C3DFED4" w14:textId="77777777" w:rsidR="009972F4" w:rsidRPr="00A772DB" w:rsidRDefault="009972F4" w:rsidP="00605E0B">
      <w:pPr>
        <w:spacing w:line="480" w:lineRule="auto"/>
        <w:rPr>
          <w:lang w:val="en-GB"/>
        </w:rPr>
      </w:pPr>
    </w:p>
    <w:p w14:paraId="4CE45247" w14:textId="77777777" w:rsidR="00605E0B" w:rsidRPr="00A772DB" w:rsidRDefault="00605E0B" w:rsidP="00605E0B">
      <w:pPr>
        <w:spacing w:line="480" w:lineRule="auto"/>
        <w:rPr>
          <w:lang w:val="en-GB"/>
        </w:rPr>
      </w:pPr>
    </w:p>
    <w:p w14:paraId="6E353F2A" w14:textId="77777777" w:rsidR="00605E0B" w:rsidRPr="00A772DB" w:rsidRDefault="00605E0B" w:rsidP="00605E0B">
      <w:pPr>
        <w:spacing w:line="480" w:lineRule="auto"/>
        <w:rPr>
          <w:lang w:val="en-GB"/>
        </w:rPr>
      </w:pPr>
    </w:p>
    <w:p w14:paraId="0BC51224" w14:textId="2F1B5F95" w:rsidR="00605E0B" w:rsidRPr="00A772DB" w:rsidRDefault="00ED7D55" w:rsidP="00605E0B">
      <w:pPr>
        <w:spacing w:line="480" w:lineRule="auto"/>
        <w:rPr>
          <w:b/>
          <w:lang w:val="en-GB"/>
        </w:rPr>
      </w:pPr>
      <w:r>
        <w:rPr>
          <w:b/>
          <w:lang w:val="en-GB"/>
        </w:rPr>
        <w:lastRenderedPageBreak/>
        <w:t>4.1</w:t>
      </w:r>
      <w:r>
        <w:rPr>
          <w:b/>
          <w:lang w:val="en-GB"/>
        </w:rPr>
        <w:tab/>
      </w:r>
      <w:r w:rsidR="00605E0B" w:rsidRPr="00A772DB">
        <w:rPr>
          <w:b/>
          <w:lang w:val="en-GB"/>
        </w:rPr>
        <w:t>Limitations</w:t>
      </w:r>
    </w:p>
    <w:p w14:paraId="2255A780" w14:textId="7C8D0077" w:rsidR="00605E0B" w:rsidRPr="00A772DB" w:rsidRDefault="00605E0B" w:rsidP="00605E0B">
      <w:pPr>
        <w:spacing w:line="480" w:lineRule="auto"/>
        <w:rPr>
          <w:lang w:val="en-GB"/>
        </w:rPr>
      </w:pPr>
      <w:r w:rsidRPr="00A772DB">
        <w:rPr>
          <w:lang w:val="en-GB"/>
        </w:rPr>
        <w:t xml:space="preserve">Our research has several weaknesses. We have applied a descriptive design that does not reveal the true causal structure in the theoretical model. Neither have we presented comparative data that could have indicated causal structures. Time asymmetry could have examined the relationship between relational and specific aspects of management decisions and the level of innovation. </w:t>
      </w:r>
      <w:r w:rsidR="00E12D4C" w:rsidRPr="00A772DB">
        <w:rPr>
          <w:lang w:val="en-GB"/>
        </w:rPr>
        <w:t>Unfortunately,</w:t>
      </w:r>
      <w:r w:rsidRPr="00A772DB">
        <w:rPr>
          <w:lang w:val="en-GB"/>
        </w:rPr>
        <w:t xml:space="preserve"> we only had access to cross-sectional survey data. We therefore had no opportunities to analyse the time asymmetry in the data </w:t>
      </w:r>
      <w:r w:rsidR="00A87B98" w:rsidRPr="00A772DB">
        <w:rPr>
          <w:lang w:val="en-GB"/>
        </w:rPr>
        <w:t>to</w:t>
      </w:r>
      <w:r w:rsidRPr="00A772DB">
        <w:rPr>
          <w:lang w:val="en-GB"/>
        </w:rPr>
        <w:t xml:space="preserve"> reveal causal structures. The relationship between specific investments and inno</w:t>
      </w:r>
      <w:r w:rsidR="009972F4">
        <w:rPr>
          <w:lang w:val="en-GB"/>
        </w:rPr>
        <w:t>vation might be problematic. P</w:t>
      </w:r>
      <w:r w:rsidR="00A87B98" w:rsidRPr="00A772DB">
        <w:rPr>
          <w:lang w:val="en-GB"/>
        </w:rPr>
        <w:t>rotect</w:t>
      </w:r>
      <w:r w:rsidR="009972F4">
        <w:rPr>
          <w:lang w:val="en-GB"/>
        </w:rPr>
        <w:t>ion of</w:t>
      </w:r>
      <w:r w:rsidR="00A87B98" w:rsidRPr="00A772DB">
        <w:rPr>
          <w:lang w:val="en-GB"/>
        </w:rPr>
        <w:t xml:space="preserve"> </w:t>
      </w:r>
      <w:r w:rsidRPr="00A772DB">
        <w:rPr>
          <w:lang w:val="en-GB"/>
        </w:rPr>
        <w:t xml:space="preserve">these assets is not necessary safeguarded through contracts and integrated control regimes. In other words, the process of investing in relationship-specific competence or assets might be caused by </w:t>
      </w:r>
      <w:r w:rsidR="0036228C" w:rsidRPr="00A772DB">
        <w:rPr>
          <w:lang w:val="en-GB"/>
        </w:rPr>
        <w:t xml:space="preserve">relational </w:t>
      </w:r>
      <w:r w:rsidRPr="00A772DB">
        <w:rPr>
          <w:lang w:val="en-GB"/>
        </w:rPr>
        <w:t xml:space="preserve">trust. </w:t>
      </w:r>
      <w:r w:rsidR="00A87B98" w:rsidRPr="00A772DB">
        <w:rPr>
          <w:lang w:val="en-GB"/>
        </w:rPr>
        <w:t>To</w:t>
      </w:r>
      <w:r w:rsidR="007E76C8">
        <w:rPr>
          <w:lang w:val="en-GB"/>
        </w:rPr>
        <w:t xml:space="preserve"> further explore</w:t>
      </w:r>
      <w:r w:rsidRPr="00A772DB">
        <w:rPr>
          <w:lang w:val="en-GB"/>
        </w:rPr>
        <w:t xml:space="preserve"> the causal structure between specificity and inter-organisational structure, we need longitudinal and experimental data. The research also was based on data from key individual informants. This might produce biased data (Van </w:t>
      </w:r>
      <w:proofErr w:type="spellStart"/>
      <w:r w:rsidRPr="00A772DB">
        <w:rPr>
          <w:lang w:val="en-GB"/>
        </w:rPr>
        <w:t>Bruggen</w:t>
      </w:r>
      <w:proofErr w:type="spellEnd"/>
      <w:r w:rsidRPr="00A772DB">
        <w:rPr>
          <w:lang w:val="en-GB"/>
        </w:rPr>
        <w:t xml:space="preserve"> et al., 2002). Multiple informants from each company may perhaps have mitigated this problem</w:t>
      </w:r>
      <w:r w:rsidR="00363429" w:rsidRPr="00363429">
        <w:t xml:space="preserve"> </w:t>
      </w:r>
      <w:r w:rsidR="00363429">
        <w:rPr>
          <w:lang w:val="en-GB"/>
        </w:rPr>
        <w:t xml:space="preserve">Kumar, et al., </w:t>
      </w:r>
      <w:r w:rsidR="00363429" w:rsidRPr="00363429">
        <w:rPr>
          <w:lang w:val="en-GB"/>
        </w:rPr>
        <w:t>1993</w:t>
      </w:r>
      <w:r w:rsidR="00363429">
        <w:rPr>
          <w:lang w:val="en-GB"/>
        </w:rPr>
        <w:t>)</w:t>
      </w:r>
      <w:r w:rsidRPr="00A772DB">
        <w:rPr>
          <w:lang w:val="en-GB"/>
        </w:rPr>
        <w:t>. The validity of this investigation should inspire other studies in other contexts and settings with lon</w:t>
      </w:r>
      <w:r w:rsidR="003C027A" w:rsidRPr="00A772DB">
        <w:rPr>
          <w:lang w:val="en-GB"/>
        </w:rPr>
        <w:t xml:space="preserve">gitudinal and experimental data </w:t>
      </w:r>
      <w:r w:rsidR="006A5145" w:rsidRPr="00A772DB">
        <w:rPr>
          <w:lang w:val="en-GB"/>
        </w:rPr>
        <w:t>(Haugland, et al.</w:t>
      </w:r>
      <w:r w:rsidR="004B0993">
        <w:rPr>
          <w:lang w:val="en-GB"/>
        </w:rPr>
        <w:t>,</w:t>
      </w:r>
      <w:r w:rsidR="006A5145" w:rsidRPr="00A772DB">
        <w:rPr>
          <w:lang w:val="en-GB"/>
        </w:rPr>
        <w:t xml:space="preserve"> 2007).</w:t>
      </w:r>
    </w:p>
    <w:p w14:paraId="4B07AAB9" w14:textId="77777777" w:rsidR="00605E0B" w:rsidRPr="00A772DB" w:rsidRDefault="00605E0B" w:rsidP="00605E0B">
      <w:pPr>
        <w:spacing w:line="480" w:lineRule="auto"/>
        <w:rPr>
          <w:lang w:val="en-GB"/>
        </w:rPr>
      </w:pPr>
    </w:p>
    <w:p w14:paraId="002D5127" w14:textId="77777777" w:rsidR="00605E0B" w:rsidRPr="00A772DB" w:rsidRDefault="00605E0B" w:rsidP="00605E0B">
      <w:pPr>
        <w:spacing w:line="480" w:lineRule="auto"/>
        <w:rPr>
          <w:lang w:val="en-GB"/>
        </w:rPr>
      </w:pPr>
    </w:p>
    <w:p w14:paraId="658F05C1" w14:textId="73B50774" w:rsidR="00605E0B" w:rsidRPr="00A772DB" w:rsidRDefault="00ED7D55" w:rsidP="00605E0B">
      <w:pPr>
        <w:spacing w:line="480" w:lineRule="auto"/>
        <w:rPr>
          <w:b/>
          <w:lang w:val="en-GB"/>
        </w:rPr>
      </w:pPr>
      <w:r>
        <w:rPr>
          <w:b/>
          <w:lang w:val="en-GB"/>
        </w:rPr>
        <w:t>4.2</w:t>
      </w:r>
      <w:r>
        <w:rPr>
          <w:b/>
          <w:lang w:val="en-GB"/>
        </w:rPr>
        <w:tab/>
      </w:r>
      <w:r w:rsidR="00605E0B" w:rsidRPr="00A772DB">
        <w:rPr>
          <w:b/>
          <w:lang w:val="en-GB"/>
        </w:rPr>
        <w:t>Managerial and Research Implications</w:t>
      </w:r>
    </w:p>
    <w:p w14:paraId="3ADCACFC" w14:textId="65F3984E" w:rsidR="00605E0B" w:rsidRPr="00A772DB" w:rsidRDefault="00605E0B" w:rsidP="00605E0B">
      <w:pPr>
        <w:spacing w:line="480" w:lineRule="auto"/>
        <w:rPr>
          <w:lang w:val="en-GB"/>
        </w:rPr>
      </w:pPr>
      <w:r w:rsidRPr="00A772DB">
        <w:rPr>
          <w:lang w:val="en-GB"/>
        </w:rPr>
        <w:t>The study underlines the central effect of building competence into the relationship. The complexity and time needed to build system knowledge has a significant effect on the level of innovation in the company. Our data indicate that leadership attention should be focused on vitalisation of the system’s technology</w:t>
      </w:r>
      <w:r w:rsidR="007E76C8">
        <w:rPr>
          <w:lang w:val="en-GB"/>
        </w:rPr>
        <w:t xml:space="preserve"> and competence</w:t>
      </w:r>
      <w:r w:rsidRPr="00A772DB">
        <w:rPr>
          <w:lang w:val="en-GB"/>
        </w:rPr>
        <w:t xml:space="preserve"> through intra-organisational knowledge</w:t>
      </w:r>
      <w:r w:rsidR="007E76C8">
        <w:rPr>
          <w:lang w:val="en-GB"/>
        </w:rPr>
        <w:t xml:space="preserve"> within the franchise system</w:t>
      </w:r>
      <w:r w:rsidRPr="00A772DB">
        <w:rPr>
          <w:lang w:val="en-GB"/>
        </w:rPr>
        <w:t>. Relationship investments</w:t>
      </w:r>
      <w:r w:rsidR="007E76C8">
        <w:rPr>
          <w:lang w:val="en-GB"/>
        </w:rPr>
        <w:t xml:space="preserve"> through inter-organisational specific </w:t>
      </w:r>
      <w:r w:rsidR="007E76C8">
        <w:rPr>
          <w:lang w:val="en-GB"/>
        </w:rPr>
        <w:lastRenderedPageBreak/>
        <w:t>capital</w:t>
      </w:r>
      <w:r w:rsidRPr="00A772DB">
        <w:rPr>
          <w:lang w:val="en-GB"/>
        </w:rPr>
        <w:t xml:space="preserve">, however, have no effect on entrepreneurial innovation. Although </w:t>
      </w:r>
      <w:r w:rsidR="007E76C8">
        <w:rPr>
          <w:lang w:val="en-GB"/>
        </w:rPr>
        <w:t xml:space="preserve">such </w:t>
      </w:r>
      <w:r w:rsidRPr="00A772DB">
        <w:rPr>
          <w:lang w:val="en-GB"/>
        </w:rPr>
        <w:t>relationships do not have any statistical connection to innovation, they still might be an important cultural aspect of the struggle to produce entrepreneurship in the organisations serving the sustainable recycling network. The managerial capacity to follow and analyse the competitive environment in this growing recycling industry is pivotal. Our research emphasises that innovation is closely related to competitive intensity. Competitive strategies therefore are essential to achieving long-term survival. Further research should look at explicit contractual aspects like incentives, ownership and other organisational structures (</w:t>
      </w:r>
      <w:proofErr w:type="spellStart"/>
      <w:r w:rsidRPr="00A772DB">
        <w:rPr>
          <w:lang w:val="en-GB"/>
        </w:rPr>
        <w:t>Eisenhardt</w:t>
      </w:r>
      <w:proofErr w:type="spellEnd"/>
      <w:r w:rsidRPr="00A772DB">
        <w:rPr>
          <w:lang w:val="en-GB"/>
        </w:rPr>
        <w:t xml:space="preserve">, 1989). Other factors like norms, culture, trust and power might influence both the sustainable innovation climate and economic results. Furthermore, our context offered a stable and homogeneous empirical setting. However, the inquiry focused on the Norwegian model of reversed distribution that might be biased relative to other countries or markets. This area therefore needs more comparative </w:t>
      </w:r>
      <w:r w:rsidR="007E76C8">
        <w:rPr>
          <w:lang w:val="en-GB"/>
        </w:rPr>
        <w:t xml:space="preserve">and </w:t>
      </w:r>
      <w:r w:rsidRPr="00A772DB">
        <w:rPr>
          <w:lang w:val="en-GB"/>
        </w:rPr>
        <w:t>international research. The Norwegian model that we investigated here, however, is the most successful worldwide model in terms of the rate of recycling.</w:t>
      </w:r>
    </w:p>
    <w:p w14:paraId="43121AB3" w14:textId="389BF639" w:rsidR="00095AC4" w:rsidRPr="00A772DB" w:rsidRDefault="00095AC4" w:rsidP="00605E0B">
      <w:pPr>
        <w:spacing w:line="480" w:lineRule="auto"/>
        <w:rPr>
          <w:lang w:val="en-GB"/>
        </w:rPr>
      </w:pPr>
    </w:p>
    <w:p w14:paraId="5241B2BC" w14:textId="501AA5C1" w:rsidR="00095AC4" w:rsidRPr="00A772DB" w:rsidRDefault="00095AC4" w:rsidP="00605E0B">
      <w:pPr>
        <w:spacing w:line="480" w:lineRule="auto"/>
        <w:rPr>
          <w:lang w:val="en-GB"/>
        </w:rPr>
      </w:pPr>
    </w:p>
    <w:p w14:paraId="2955C125" w14:textId="3B78DDFE" w:rsidR="00095AC4" w:rsidRPr="00A772DB" w:rsidRDefault="00095AC4" w:rsidP="00605E0B">
      <w:pPr>
        <w:spacing w:line="480" w:lineRule="auto"/>
        <w:rPr>
          <w:lang w:val="en-GB"/>
        </w:rPr>
      </w:pPr>
    </w:p>
    <w:p w14:paraId="26E928C6" w14:textId="196270F3" w:rsidR="00095AC4" w:rsidRPr="00A772DB" w:rsidRDefault="00095AC4" w:rsidP="00605E0B">
      <w:pPr>
        <w:spacing w:line="480" w:lineRule="auto"/>
        <w:rPr>
          <w:lang w:val="en-GB"/>
        </w:rPr>
      </w:pPr>
    </w:p>
    <w:p w14:paraId="7093C73B" w14:textId="6261C1FA" w:rsidR="00095AC4" w:rsidRPr="00A772DB" w:rsidRDefault="00095AC4" w:rsidP="00605E0B">
      <w:pPr>
        <w:spacing w:line="480" w:lineRule="auto"/>
        <w:rPr>
          <w:lang w:val="en-GB"/>
        </w:rPr>
      </w:pPr>
    </w:p>
    <w:p w14:paraId="5B5B7261" w14:textId="607462CB" w:rsidR="00095AC4" w:rsidRPr="00A772DB" w:rsidRDefault="00095AC4" w:rsidP="00605E0B">
      <w:pPr>
        <w:spacing w:line="480" w:lineRule="auto"/>
        <w:rPr>
          <w:lang w:val="en-GB"/>
        </w:rPr>
      </w:pPr>
    </w:p>
    <w:p w14:paraId="6BFEE9D9" w14:textId="77777777" w:rsidR="00095AC4" w:rsidRPr="00A772DB" w:rsidRDefault="00095AC4" w:rsidP="00605E0B">
      <w:pPr>
        <w:spacing w:line="480" w:lineRule="auto"/>
        <w:rPr>
          <w:lang w:val="en-GB"/>
        </w:rPr>
      </w:pPr>
    </w:p>
    <w:p w14:paraId="3EE508AD" w14:textId="77777777" w:rsidR="00605E0B" w:rsidRPr="00A772DB" w:rsidRDefault="00605E0B" w:rsidP="00605E0B">
      <w:pPr>
        <w:spacing w:line="480" w:lineRule="auto"/>
        <w:rPr>
          <w:lang w:val="en-GB"/>
        </w:rPr>
      </w:pPr>
    </w:p>
    <w:p w14:paraId="738AB979" w14:textId="77777777" w:rsidR="00605E0B" w:rsidRPr="00A772DB" w:rsidRDefault="00605E0B" w:rsidP="00605E0B">
      <w:pPr>
        <w:spacing w:line="480" w:lineRule="auto"/>
        <w:rPr>
          <w:lang w:val="en-GB"/>
        </w:rPr>
      </w:pPr>
    </w:p>
    <w:p w14:paraId="2BFA54FD" w14:textId="77777777" w:rsidR="00605E0B" w:rsidRPr="00A772DB" w:rsidRDefault="00605E0B" w:rsidP="00605E0B">
      <w:pPr>
        <w:spacing w:line="480" w:lineRule="auto"/>
        <w:rPr>
          <w:lang w:val="en-GB"/>
        </w:rPr>
      </w:pPr>
    </w:p>
    <w:p w14:paraId="3D9B3578" w14:textId="77777777" w:rsidR="00605E0B" w:rsidRPr="00A772DB" w:rsidRDefault="00605E0B" w:rsidP="00605E0B">
      <w:pPr>
        <w:spacing w:line="480" w:lineRule="auto"/>
        <w:rPr>
          <w:lang w:val="en-GB"/>
        </w:rPr>
      </w:pPr>
    </w:p>
    <w:p w14:paraId="065F01FB" w14:textId="1A832EEB" w:rsidR="00605E0B" w:rsidRPr="00A772DB" w:rsidRDefault="00ED7D55" w:rsidP="00605E0B">
      <w:pPr>
        <w:spacing w:line="480" w:lineRule="auto"/>
        <w:rPr>
          <w:b/>
          <w:lang w:val="en-GB"/>
        </w:rPr>
      </w:pPr>
      <w:r>
        <w:rPr>
          <w:b/>
          <w:lang w:val="en-GB"/>
        </w:rPr>
        <w:t>5</w:t>
      </w:r>
      <w:r>
        <w:rPr>
          <w:b/>
          <w:lang w:val="en-GB"/>
        </w:rPr>
        <w:tab/>
      </w:r>
      <w:r w:rsidR="00605E0B" w:rsidRPr="00A772DB">
        <w:rPr>
          <w:b/>
          <w:lang w:val="en-GB"/>
        </w:rPr>
        <w:t>Conclusion</w:t>
      </w:r>
    </w:p>
    <w:p w14:paraId="6FFAD928" w14:textId="2B9031AF" w:rsidR="00D91B90" w:rsidRPr="00A772DB" w:rsidRDefault="00605E0B" w:rsidP="00605E0B">
      <w:pPr>
        <w:spacing w:line="480" w:lineRule="auto"/>
        <w:rPr>
          <w:lang w:val="en-GB"/>
        </w:rPr>
      </w:pPr>
      <w:r w:rsidRPr="00A772DB">
        <w:rPr>
          <w:lang w:val="en-GB"/>
        </w:rPr>
        <w:t>In</w:t>
      </w:r>
      <w:r w:rsidR="006C3BE3" w:rsidRPr="00A772DB">
        <w:rPr>
          <w:lang w:val="en-GB"/>
        </w:rPr>
        <w:t xml:space="preserve">novation through </w:t>
      </w:r>
      <w:r w:rsidRPr="00A772DB">
        <w:rPr>
          <w:lang w:val="en-GB"/>
        </w:rPr>
        <w:t>technology</w:t>
      </w:r>
      <w:r w:rsidR="006C3BE3" w:rsidRPr="00A772DB">
        <w:rPr>
          <w:lang w:val="en-GB"/>
        </w:rPr>
        <w:t xml:space="preserve"> and knowledge</w:t>
      </w:r>
      <w:r w:rsidRPr="00A772DB">
        <w:rPr>
          <w:lang w:val="en-GB"/>
        </w:rPr>
        <w:t xml:space="preserve"> is crucial for achieving </w:t>
      </w:r>
      <w:r w:rsidR="000B6F6C" w:rsidRPr="00A772DB">
        <w:rPr>
          <w:lang w:val="en-GB"/>
        </w:rPr>
        <w:t>economic growth</w:t>
      </w:r>
      <w:r w:rsidRPr="00A772DB">
        <w:rPr>
          <w:lang w:val="en-GB"/>
        </w:rPr>
        <w:t xml:space="preserve"> as well as for protecting the environment and people. Specific investments </w:t>
      </w:r>
      <w:r w:rsidR="00035FA9" w:rsidRPr="00A772DB">
        <w:rPr>
          <w:lang w:val="en-GB"/>
        </w:rPr>
        <w:t>in knowledge and technology</w:t>
      </w:r>
      <w:r w:rsidR="006C3BE3" w:rsidRPr="00A772DB">
        <w:rPr>
          <w:lang w:val="en-GB"/>
        </w:rPr>
        <w:t xml:space="preserve"> within the</w:t>
      </w:r>
      <w:r w:rsidR="00035FA9" w:rsidRPr="00A772DB">
        <w:rPr>
          <w:lang w:val="en-GB"/>
        </w:rPr>
        <w:t xml:space="preserve"> </w:t>
      </w:r>
      <w:r w:rsidR="006C3BE3" w:rsidRPr="00A772DB">
        <w:rPr>
          <w:lang w:val="en-GB"/>
        </w:rPr>
        <w:t xml:space="preserve">franchise system have significant effects. In contrast, our study revealed </w:t>
      </w:r>
      <w:r w:rsidRPr="00A772DB">
        <w:rPr>
          <w:lang w:val="en-GB"/>
        </w:rPr>
        <w:t xml:space="preserve">little or no </w:t>
      </w:r>
      <w:r w:rsidR="006C3BE3" w:rsidRPr="00A772DB">
        <w:rPr>
          <w:lang w:val="en-GB"/>
        </w:rPr>
        <w:t xml:space="preserve">effect of </w:t>
      </w:r>
      <w:r w:rsidRPr="00A772DB">
        <w:rPr>
          <w:lang w:val="en-GB"/>
        </w:rPr>
        <w:t>specific</w:t>
      </w:r>
      <w:r w:rsidR="006C3BE3" w:rsidRPr="00A772DB">
        <w:rPr>
          <w:lang w:val="en-GB"/>
        </w:rPr>
        <w:t xml:space="preserve"> knowledge related</w:t>
      </w:r>
      <w:r w:rsidRPr="00A772DB">
        <w:rPr>
          <w:lang w:val="en-GB"/>
        </w:rPr>
        <w:t xml:space="preserve"> to the inter-</w:t>
      </w:r>
      <w:r w:rsidR="004A7133" w:rsidRPr="00A772DB">
        <w:rPr>
          <w:lang w:val="en-GB"/>
        </w:rPr>
        <w:t>organisational context</w:t>
      </w:r>
      <w:r w:rsidR="006C3BE3" w:rsidRPr="00A772DB">
        <w:rPr>
          <w:lang w:val="en-GB"/>
        </w:rPr>
        <w:t xml:space="preserve"> between the collector and the reprocessing units</w:t>
      </w:r>
      <w:r w:rsidR="00035FA9" w:rsidRPr="00A772DB">
        <w:rPr>
          <w:lang w:val="en-GB"/>
        </w:rPr>
        <w:t xml:space="preserve">. </w:t>
      </w:r>
      <w:r w:rsidR="004A7133" w:rsidRPr="00A772DB">
        <w:rPr>
          <w:lang w:val="en-GB"/>
        </w:rPr>
        <w:t>O</w:t>
      </w:r>
      <w:r w:rsidRPr="00A772DB">
        <w:rPr>
          <w:lang w:val="en-GB"/>
        </w:rPr>
        <w:t xml:space="preserve">ur findings indicate that transaction specific assets are important strategic factors in reaching environmental goals. </w:t>
      </w:r>
      <w:r w:rsidR="00D91B90" w:rsidRPr="00A772DB">
        <w:rPr>
          <w:lang w:val="en-GB"/>
        </w:rPr>
        <w:t xml:space="preserve">Consistent with the transaction cost theory, specific investments thrive in intra-organizational </w:t>
      </w:r>
      <w:r w:rsidR="00E54EA4" w:rsidRPr="00A772DB">
        <w:rPr>
          <w:lang w:val="en-GB"/>
        </w:rPr>
        <w:t>structures (Williamson, 1985). In inter-organizational contexts like the relationship be</w:t>
      </w:r>
      <w:r w:rsidR="007E76C8">
        <w:rPr>
          <w:lang w:val="en-GB"/>
        </w:rPr>
        <w:t>t</w:t>
      </w:r>
      <w:r w:rsidR="00E54EA4" w:rsidRPr="00A772DB">
        <w:rPr>
          <w:lang w:val="en-GB"/>
        </w:rPr>
        <w:t>ween the collector and the reprocessing units, there are more difficult to safeguard specific investments in technology and knowledge.</w:t>
      </w:r>
      <w:r w:rsidR="007E76C8">
        <w:rPr>
          <w:lang w:val="en-GB"/>
        </w:rPr>
        <w:t xml:space="preserve"> Consequently, our investigation did not identify effects of specific capital in inter-organisational structures.</w:t>
      </w:r>
    </w:p>
    <w:p w14:paraId="05DBB54E" w14:textId="79161BBE" w:rsidR="00605E0B" w:rsidRPr="00A772DB" w:rsidRDefault="00605E0B" w:rsidP="00D91B90">
      <w:pPr>
        <w:spacing w:line="480" w:lineRule="auto"/>
        <w:ind w:firstLine="720"/>
        <w:rPr>
          <w:lang w:val="en-GB"/>
        </w:rPr>
      </w:pPr>
      <w:r w:rsidRPr="00A772DB">
        <w:rPr>
          <w:lang w:val="en-GB"/>
        </w:rPr>
        <w:t>Furthermore, this study emphasises the impact of competition on innovation. Competitive intensity drives the level of innovation. Porter (1985, p. 207) points out that ‘innovation grows out of pressure and challenge’ that is embedded in the competitive situation. The findings show that competition promotes sustai</w:t>
      </w:r>
      <w:r w:rsidR="00FA2C99" w:rsidRPr="00A772DB">
        <w:rPr>
          <w:lang w:val="en-GB"/>
        </w:rPr>
        <w:t>nable innovation and entrepreneurship</w:t>
      </w:r>
      <w:r w:rsidRPr="00A772DB">
        <w:rPr>
          <w:lang w:val="en-GB"/>
        </w:rPr>
        <w:t>.</w:t>
      </w:r>
    </w:p>
    <w:p w14:paraId="58C730E0" w14:textId="77777777" w:rsidR="00605E0B" w:rsidRPr="00A772DB" w:rsidRDefault="00605E0B" w:rsidP="00605E0B">
      <w:pPr>
        <w:spacing w:line="480" w:lineRule="auto"/>
        <w:rPr>
          <w:lang w:val="en-GB"/>
        </w:rPr>
      </w:pPr>
    </w:p>
    <w:p w14:paraId="6CAADC69" w14:textId="77777777" w:rsidR="00605E0B" w:rsidRPr="00A772DB" w:rsidRDefault="00605E0B" w:rsidP="00605E0B">
      <w:pPr>
        <w:spacing w:after="200" w:line="276" w:lineRule="auto"/>
        <w:rPr>
          <w:lang w:val="en-GB"/>
        </w:rPr>
      </w:pPr>
      <w:r w:rsidRPr="00A772DB">
        <w:rPr>
          <w:lang w:val="en-GB"/>
        </w:rPr>
        <w:br w:type="page"/>
      </w:r>
    </w:p>
    <w:p w14:paraId="71D69C95" w14:textId="77777777" w:rsidR="00605E0B" w:rsidRPr="00A772DB" w:rsidRDefault="00605E0B" w:rsidP="00605E0B">
      <w:pPr>
        <w:spacing w:line="480" w:lineRule="auto"/>
        <w:rPr>
          <w:lang w:val="en-GB"/>
        </w:rPr>
      </w:pPr>
    </w:p>
    <w:p w14:paraId="5141E475" w14:textId="77777777" w:rsidR="00605E0B" w:rsidRPr="00A772DB" w:rsidRDefault="00605E0B" w:rsidP="00605E0B">
      <w:pPr>
        <w:spacing w:after="200" w:line="276" w:lineRule="auto"/>
        <w:rPr>
          <w:lang w:val="en-GB"/>
        </w:rPr>
      </w:pPr>
      <w:r w:rsidRPr="00A772DB">
        <w:rPr>
          <w:b/>
          <w:lang w:val="en-GB"/>
        </w:rPr>
        <w:t>References</w:t>
      </w:r>
    </w:p>
    <w:p w14:paraId="67E63EBC" w14:textId="77777777" w:rsidR="00605E0B" w:rsidRPr="00A772DB" w:rsidRDefault="00605E0B" w:rsidP="00605E0B">
      <w:pPr>
        <w:spacing w:line="480" w:lineRule="auto"/>
        <w:rPr>
          <w:lang w:val="en-GB"/>
        </w:rPr>
      </w:pPr>
    </w:p>
    <w:p w14:paraId="6DE633FE" w14:textId="518FD416" w:rsidR="007913E3" w:rsidRPr="00A772DB" w:rsidRDefault="006F7BC7" w:rsidP="00605E0B">
      <w:pPr>
        <w:pStyle w:val="Litteratur"/>
        <w:spacing w:line="360" w:lineRule="atLeast"/>
      </w:pPr>
      <w:bookmarkStart w:id="4" w:name="_Hlk508110002"/>
      <w:bookmarkStart w:id="5" w:name="_Hlk481695553"/>
      <w:proofErr w:type="spellStart"/>
      <w:r w:rsidRPr="00A772DB">
        <w:t>Acaccia</w:t>
      </w:r>
      <w:proofErr w:type="spellEnd"/>
      <w:r w:rsidRPr="00A772DB">
        <w:t xml:space="preserve">, G. M., </w:t>
      </w:r>
      <w:proofErr w:type="spellStart"/>
      <w:r w:rsidRPr="00A772DB">
        <w:t>M</w:t>
      </w:r>
      <w:r w:rsidR="0029325F" w:rsidRPr="00A772DB">
        <w:t>ichelini</w:t>
      </w:r>
      <w:proofErr w:type="spellEnd"/>
      <w:r w:rsidR="0029325F" w:rsidRPr="00A772DB">
        <w:t xml:space="preserve">, R. C., </w:t>
      </w:r>
      <w:proofErr w:type="spellStart"/>
      <w:r w:rsidR="0029325F" w:rsidRPr="00A772DB">
        <w:t>Penzo</w:t>
      </w:r>
      <w:proofErr w:type="spellEnd"/>
      <w:r w:rsidR="0029325F" w:rsidRPr="00A772DB">
        <w:t>, L. P., and</w:t>
      </w:r>
      <w:r w:rsidRPr="00A772DB">
        <w:t xml:space="preserve"> </w:t>
      </w:r>
      <w:proofErr w:type="spellStart"/>
      <w:r w:rsidRPr="00A772DB">
        <w:t>Qualich</w:t>
      </w:r>
      <w:proofErr w:type="spellEnd"/>
      <w:r w:rsidRPr="00A772DB">
        <w:t>, N. (2007)</w:t>
      </w:r>
      <w:bookmarkEnd w:id="4"/>
      <w:r w:rsidRPr="00A772DB">
        <w:t xml:space="preserve">. Reverse logistics and resource recovery: modelling car dismantling facilities. </w:t>
      </w:r>
      <w:r w:rsidRPr="00A772DB">
        <w:rPr>
          <w:i/>
        </w:rPr>
        <w:t>World Review of Entrepreneurship, Management and Sustainable Development</w:t>
      </w:r>
      <w:r w:rsidRPr="00A772DB">
        <w:t>, 3(3-4), 284-301.</w:t>
      </w:r>
    </w:p>
    <w:p w14:paraId="07019129" w14:textId="7D1D63F0" w:rsidR="00605E0B" w:rsidRPr="00A772DB" w:rsidRDefault="00605E0B" w:rsidP="00605E0B">
      <w:pPr>
        <w:pStyle w:val="Litteratur"/>
        <w:spacing w:line="360" w:lineRule="atLeast"/>
      </w:pPr>
      <w:r w:rsidRPr="00A772DB">
        <w:t>Aitk</w:t>
      </w:r>
      <w:r w:rsidR="00E755F0" w:rsidRPr="00A772DB">
        <w:t xml:space="preserve">en, J. and Harrison, A. (2013) </w:t>
      </w:r>
      <w:r w:rsidRPr="00A772DB">
        <w:t>Supply governance structure</w:t>
      </w:r>
      <w:r w:rsidR="00E755F0" w:rsidRPr="00A772DB">
        <w:t>s for reverse logistics systems</w:t>
      </w:r>
      <w:r w:rsidRPr="00A772DB">
        <w:t xml:space="preserve">, </w:t>
      </w:r>
      <w:r w:rsidRPr="00A772DB">
        <w:rPr>
          <w:i/>
        </w:rPr>
        <w:t>International Journal of Operations &amp; Production Management</w:t>
      </w:r>
      <w:r w:rsidRPr="00A772DB">
        <w:t>, Vol. 33 No. 6, pp.745-764.</w:t>
      </w:r>
    </w:p>
    <w:p w14:paraId="622A83B8" w14:textId="77777777" w:rsidR="00605E0B" w:rsidRPr="00A772DB" w:rsidRDefault="00605E0B" w:rsidP="00605E0B">
      <w:pPr>
        <w:pStyle w:val="Litteratur"/>
        <w:spacing w:line="360" w:lineRule="atLeast"/>
      </w:pPr>
      <w:r w:rsidRPr="00A772DB">
        <w:t xml:space="preserve">Anderson, E. (1982) </w:t>
      </w:r>
      <w:r w:rsidRPr="00A772DB">
        <w:rPr>
          <w:i/>
        </w:rPr>
        <w:t>Contracting the Selling Function: The Salesperson as Outside Agent or Employee</w:t>
      </w:r>
      <w:r w:rsidRPr="00A772DB">
        <w:t>. Unpublished PhD thesis, University of California, Los Angeles.</w:t>
      </w:r>
    </w:p>
    <w:p w14:paraId="140C2208" w14:textId="2A8C995D" w:rsidR="00605E0B" w:rsidRPr="00A772DB" w:rsidRDefault="00605E0B" w:rsidP="00605E0B">
      <w:pPr>
        <w:pStyle w:val="Litteratur"/>
        <w:spacing w:line="360" w:lineRule="atLeast"/>
      </w:pPr>
      <w:proofErr w:type="spellStart"/>
      <w:r w:rsidRPr="00A772DB">
        <w:t>Barringer</w:t>
      </w:r>
      <w:proofErr w:type="spellEnd"/>
      <w:r w:rsidRPr="00A772DB">
        <w:t xml:space="preserve">, B.R. and </w:t>
      </w:r>
      <w:proofErr w:type="spellStart"/>
      <w:r w:rsidRPr="00A772DB">
        <w:t>Bluedorn</w:t>
      </w:r>
      <w:proofErr w:type="spellEnd"/>
      <w:r w:rsidRPr="00A772DB">
        <w:t xml:space="preserve">, A.C. (1999) The relationship between corporate factor affecting motivation market organizational facilitation and support and strategic management, </w:t>
      </w:r>
      <w:r w:rsidRPr="00A772DB">
        <w:rPr>
          <w:i/>
        </w:rPr>
        <w:t>Strategic Management Journal</w:t>
      </w:r>
      <w:r w:rsidRPr="00A772DB">
        <w:t>, Vol. 20 No. 5, pp.421-444.</w:t>
      </w:r>
    </w:p>
    <w:p w14:paraId="6CB76B13" w14:textId="1B253B25" w:rsidR="00CD63BD" w:rsidRPr="00A772DB" w:rsidRDefault="00430470" w:rsidP="00605E0B">
      <w:pPr>
        <w:pStyle w:val="Litteratur"/>
        <w:spacing w:line="360" w:lineRule="atLeast"/>
      </w:pPr>
      <w:bookmarkStart w:id="6" w:name="_Hlk508108038"/>
      <w:r w:rsidRPr="00A772DB">
        <w:t>Basile</w:t>
      </w:r>
      <w:bookmarkEnd w:id="6"/>
      <w:r w:rsidRPr="00A772DB">
        <w:t xml:space="preserve">, G., </w:t>
      </w:r>
      <w:proofErr w:type="spellStart"/>
      <w:r w:rsidRPr="00A772DB">
        <w:t>Scozzese</w:t>
      </w:r>
      <w:proofErr w:type="spellEnd"/>
      <w:r w:rsidRPr="00A772DB">
        <w:t xml:space="preserve">, G., and </w:t>
      </w:r>
      <w:proofErr w:type="spellStart"/>
      <w:r w:rsidRPr="00A772DB">
        <w:t>Ferri</w:t>
      </w:r>
      <w:proofErr w:type="spellEnd"/>
      <w:r w:rsidRPr="00A772DB">
        <w:t xml:space="preserve">, M. A. (2016). Marketing and management: a complex adaptive system view. </w:t>
      </w:r>
      <w:r w:rsidRPr="00A772DB">
        <w:rPr>
          <w:i/>
        </w:rPr>
        <w:t>World Review of Entrepreneurship, Management and Sustainable Development</w:t>
      </w:r>
      <w:r w:rsidRPr="00A772DB">
        <w:t>, 12(2-3), 134-148.</w:t>
      </w:r>
    </w:p>
    <w:p w14:paraId="30824DDF" w14:textId="77777777" w:rsidR="00605E0B" w:rsidRPr="00A772DB" w:rsidRDefault="00605E0B" w:rsidP="00605E0B">
      <w:pPr>
        <w:pStyle w:val="Litteratur"/>
        <w:spacing w:line="360" w:lineRule="atLeast"/>
      </w:pPr>
      <w:r w:rsidRPr="00A772DB">
        <w:t xml:space="preserve">Becker, G. (1964) </w:t>
      </w:r>
      <w:r w:rsidRPr="00A772DB">
        <w:rPr>
          <w:i/>
        </w:rPr>
        <w:t>Human Capital: A Theoretical and Empirical Analysis, with Special Reference to Education</w:t>
      </w:r>
      <w:r w:rsidRPr="00A772DB">
        <w:t>,</w:t>
      </w:r>
      <w:r w:rsidRPr="00A772DB">
        <w:rPr>
          <w:i/>
        </w:rPr>
        <w:t xml:space="preserve"> </w:t>
      </w:r>
      <w:r w:rsidRPr="00A772DB">
        <w:t>3</w:t>
      </w:r>
      <w:r w:rsidRPr="00A772DB">
        <w:rPr>
          <w:vertAlign w:val="superscript"/>
        </w:rPr>
        <w:t>rd</w:t>
      </w:r>
      <w:r w:rsidRPr="00A772DB">
        <w:t xml:space="preserve"> ed., The University of Chicago Press, Chicago.</w:t>
      </w:r>
    </w:p>
    <w:p w14:paraId="1241E824" w14:textId="5E25BA31" w:rsidR="00605E0B" w:rsidRPr="00A772DB" w:rsidRDefault="0029325F" w:rsidP="00605E0B">
      <w:pPr>
        <w:pStyle w:val="Litteratur"/>
        <w:spacing w:line="360" w:lineRule="atLeast"/>
      </w:pPr>
      <w:proofErr w:type="spellStart"/>
      <w:r w:rsidRPr="00A772DB">
        <w:t>Bosma</w:t>
      </w:r>
      <w:proofErr w:type="spellEnd"/>
      <w:r w:rsidRPr="00A772DB">
        <w:t>, N.</w:t>
      </w:r>
      <w:r w:rsidR="00605E0B" w:rsidRPr="00A772DB">
        <w:t xml:space="preserve"> van </w:t>
      </w:r>
      <w:proofErr w:type="spellStart"/>
      <w:r w:rsidR="00605E0B" w:rsidRPr="00A772DB">
        <w:t>Praag</w:t>
      </w:r>
      <w:proofErr w:type="spellEnd"/>
      <w:r w:rsidR="00605E0B" w:rsidRPr="00A772DB">
        <w:t xml:space="preserve">, M., </w:t>
      </w:r>
      <w:proofErr w:type="spellStart"/>
      <w:r w:rsidR="00605E0B" w:rsidRPr="00A772DB">
        <w:t>Thurik</w:t>
      </w:r>
      <w:proofErr w:type="spellEnd"/>
      <w:r w:rsidR="00605E0B" w:rsidRPr="00A772DB">
        <w:t xml:space="preserve">, R. and de Wit, G. (2004) The value of human and social capital investments for the business performance of </w:t>
      </w:r>
      <w:proofErr w:type="spellStart"/>
      <w:r w:rsidR="00605E0B" w:rsidRPr="00A772DB">
        <w:t>startups</w:t>
      </w:r>
      <w:proofErr w:type="spellEnd"/>
      <w:r w:rsidR="00605E0B" w:rsidRPr="00A772DB">
        <w:t xml:space="preserve">, </w:t>
      </w:r>
      <w:r w:rsidR="00605E0B" w:rsidRPr="00A772DB">
        <w:rPr>
          <w:i/>
        </w:rPr>
        <w:t>Small Business Economics</w:t>
      </w:r>
      <w:r w:rsidR="00605E0B" w:rsidRPr="00A772DB">
        <w:t>, October 2004, Vol. 23 No. 3, pp.227–236.</w:t>
      </w:r>
    </w:p>
    <w:p w14:paraId="05737204" w14:textId="200B108F" w:rsidR="00605E0B" w:rsidRPr="00A772DB" w:rsidRDefault="00605E0B" w:rsidP="00605E0B">
      <w:pPr>
        <w:pStyle w:val="Litteratur"/>
        <w:spacing w:line="360" w:lineRule="atLeast"/>
      </w:pPr>
      <w:r w:rsidRPr="00A772DB">
        <w:t xml:space="preserve">Christensen, C.M. and </w:t>
      </w:r>
      <w:proofErr w:type="spellStart"/>
      <w:r w:rsidR="00E755F0" w:rsidRPr="00A772DB">
        <w:t>Overdorf</w:t>
      </w:r>
      <w:proofErr w:type="spellEnd"/>
      <w:r w:rsidR="00E755F0" w:rsidRPr="00A772DB">
        <w:t xml:space="preserve">, M. (2000) </w:t>
      </w:r>
      <w:r w:rsidRPr="00A772DB">
        <w:t>Meeting the C</w:t>
      </w:r>
      <w:r w:rsidR="00E755F0" w:rsidRPr="00A772DB">
        <w:t>hallenge of Disruptive Change</w:t>
      </w:r>
      <w:r w:rsidRPr="00A772DB">
        <w:t xml:space="preserve">, </w:t>
      </w:r>
      <w:r w:rsidRPr="00A772DB">
        <w:rPr>
          <w:i/>
        </w:rPr>
        <w:t>Harvard Business Review</w:t>
      </w:r>
      <w:r w:rsidRPr="00A772DB">
        <w:t>, March–April 2000, Vol. 78 No. 2, pp.66–76.</w:t>
      </w:r>
    </w:p>
    <w:p w14:paraId="339C5A2A" w14:textId="5CA8B48B" w:rsidR="00EF04F6" w:rsidRDefault="0029325F" w:rsidP="00EF04F6">
      <w:pPr>
        <w:pStyle w:val="Litteratur"/>
        <w:spacing w:line="360" w:lineRule="atLeast"/>
      </w:pPr>
      <w:r w:rsidRPr="00A772DB">
        <w:t xml:space="preserve">Dahlstrom, R. and Nygaard, A. (1999). An empirical investigation of ex post transaction costs in franchised distribution channels. </w:t>
      </w:r>
      <w:r w:rsidRPr="00A772DB">
        <w:rPr>
          <w:i/>
        </w:rPr>
        <w:t>Journal of marketing Research</w:t>
      </w:r>
      <w:r w:rsidRPr="00A772DB">
        <w:t xml:space="preserve">, </w:t>
      </w:r>
      <w:r w:rsidR="00EF04F6">
        <w:t>Vol. 36, No 2, pp.</w:t>
      </w:r>
      <w:r w:rsidRPr="00A772DB">
        <w:t>160-170.</w:t>
      </w:r>
    </w:p>
    <w:p w14:paraId="449C6D9D" w14:textId="7BEFA510" w:rsidR="00EF04F6" w:rsidRPr="00A772DB" w:rsidRDefault="00EF04F6" w:rsidP="00EF04F6">
      <w:pPr>
        <w:pStyle w:val="Litteratur"/>
        <w:spacing w:line="360" w:lineRule="atLeast"/>
      </w:pPr>
      <w:r>
        <w:t>Dana, L.</w:t>
      </w:r>
      <w:r w:rsidRPr="00B35355">
        <w:t xml:space="preserve"> (2017). Entrepreneurship in Western Europe: a contextual perspective. World Scientific</w:t>
      </w:r>
      <w:r>
        <w:t xml:space="preserve">, </w:t>
      </w:r>
      <w:r w:rsidRPr="00C477CD">
        <w:rPr>
          <w:lang w:val="en-US"/>
        </w:rPr>
        <w:t>Mont</w:t>
      </w:r>
      <w:r>
        <w:rPr>
          <w:lang w:val="en-US"/>
        </w:rPr>
        <w:t>pellier Business School, France</w:t>
      </w:r>
      <w:r>
        <w:t>.</w:t>
      </w:r>
    </w:p>
    <w:p w14:paraId="38E9BB20" w14:textId="6B8DF0AF" w:rsidR="00605E0B" w:rsidRPr="00A772DB" w:rsidRDefault="00605E0B" w:rsidP="00605E0B">
      <w:pPr>
        <w:pStyle w:val="Litteratur"/>
        <w:spacing w:line="360" w:lineRule="atLeast"/>
      </w:pPr>
      <w:proofErr w:type="spellStart"/>
      <w:r w:rsidRPr="00A772DB">
        <w:t>Eisen</w:t>
      </w:r>
      <w:r w:rsidR="00E755F0" w:rsidRPr="00A772DB">
        <w:t>hardt</w:t>
      </w:r>
      <w:proofErr w:type="spellEnd"/>
      <w:r w:rsidR="00E755F0" w:rsidRPr="00A772DB">
        <w:t xml:space="preserve">, K.M. (1989) </w:t>
      </w:r>
      <w:r w:rsidRPr="00A772DB">
        <w:t>Agency t</w:t>
      </w:r>
      <w:r w:rsidR="00E755F0" w:rsidRPr="00A772DB">
        <w:t>heory: an assessment and review</w:t>
      </w:r>
      <w:r w:rsidRPr="00A772DB">
        <w:t xml:space="preserve">, </w:t>
      </w:r>
      <w:r w:rsidRPr="00A772DB">
        <w:rPr>
          <w:i/>
        </w:rPr>
        <w:t>Academy of Management Review</w:t>
      </w:r>
      <w:r w:rsidRPr="00A772DB">
        <w:t>, Vol. 14 No. 1, pp.57-74.</w:t>
      </w:r>
    </w:p>
    <w:p w14:paraId="79BC92E3" w14:textId="4D6BC7E2" w:rsidR="00605E0B" w:rsidRPr="00A772DB" w:rsidRDefault="00605E0B" w:rsidP="00605E0B">
      <w:pPr>
        <w:pStyle w:val="Litteratur"/>
        <w:spacing w:line="360" w:lineRule="atLeast"/>
      </w:pPr>
      <w:r w:rsidRPr="00A772DB">
        <w:lastRenderedPageBreak/>
        <w:t xml:space="preserve">European Commission (2016) </w:t>
      </w:r>
      <w:r w:rsidRPr="00A772DB">
        <w:rPr>
          <w:i/>
        </w:rPr>
        <w:t>Waste Electrical &amp; Electronic Equipment (WEEE)</w:t>
      </w:r>
      <w:r w:rsidRPr="00A772DB">
        <w:t xml:space="preserve"> </w:t>
      </w:r>
      <w:hyperlink r:id="rId11" w:history="1">
        <w:r w:rsidRPr="00A772DB">
          <w:t>http://ec.europa.eu/environment/index_en.htm</w:t>
        </w:r>
      </w:hyperlink>
      <w:r w:rsidR="00FB4DEC">
        <w:t xml:space="preserve"> (accessed 9 June 2016).</w:t>
      </w:r>
    </w:p>
    <w:p w14:paraId="525C0D9E" w14:textId="4C045332" w:rsidR="00605E0B" w:rsidRPr="00A772DB" w:rsidRDefault="00605E0B" w:rsidP="00605E0B">
      <w:pPr>
        <w:pStyle w:val="Litteratur"/>
        <w:spacing w:line="360" w:lineRule="atLeast"/>
      </w:pPr>
      <w:r w:rsidRPr="00A772DB">
        <w:t>European statistics, Eurostat (2016) European Commission, Environmental Data Centre on Waste (</w:t>
      </w:r>
      <w:hyperlink r:id="rId12" w:history="1">
        <w:r w:rsidRPr="00A772DB">
          <w:t>http://ec.europa.eu/eurostat/web/waste/overview</w:t>
        </w:r>
      </w:hyperlink>
      <w:r w:rsidRPr="00A772DB">
        <w:t>)</w:t>
      </w:r>
      <w:r w:rsidR="00FB4DEC">
        <w:t xml:space="preserve"> </w:t>
      </w:r>
      <w:r w:rsidR="00FB4DEC">
        <w:t xml:space="preserve">(accessed </w:t>
      </w:r>
      <w:r w:rsidR="00FB4DEC">
        <w:t>5 February</w:t>
      </w:r>
      <w:r w:rsidR="00FB4DEC">
        <w:t xml:space="preserve"> 2</w:t>
      </w:r>
      <w:r w:rsidR="00FB4DEC">
        <w:t>01</w:t>
      </w:r>
      <w:r w:rsidR="00347C46">
        <w:t>8</w:t>
      </w:r>
      <w:r w:rsidR="00FB4DEC">
        <w:t>)</w:t>
      </w:r>
      <w:r w:rsidRPr="00A772DB">
        <w:t>.</w:t>
      </w:r>
    </w:p>
    <w:p w14:paraId="37AE658A" w14:textId="240AA0A4" w:rsidR="00605E0B" w:rsidRDefault="00605E0B" w:rsidP="002042AC">
      <w:pPr>
        <w:pStyle w:val="Litteratur"/>
        <w:spacing w:line="360" w:lineRule="atLeast"/>
      </w:pPr>
      <w:r w:rsidRPr="00A772DB">
        <w:t xml:space="preserve">Council Directive 2002/96/EC of 27 January 2003 on waste electrical and electronic equipment (WEEE). </w:t>
      </w:r>
    </w:p>
    <w:p w14:paraId="387A23FE" w14:textId="4B81CC22" w:rsidR="00605E0B" w:rsidRPr="00A772DB" w:rsidRDefault="00605E0B" w:rsidP="00605E0B">
      <w:pPr>
        <w:pStyle w:val="Litteratur"/>
        <w:spacing w:line="360" w:lineRule="atLeast"/>
      </w:pPr>
      <w:r w:rsidRPr="00A772DB">
        <w:t xml:space="preserve">Flygansvær, B., Gadde, L.E. and Haugland, S.A. (2008) Coordinated action in reverse distribution systems, </w:t>
      </w:r>
      <w:r w:rsidRPr="00A772DB">
        <w:rPr>
          <w:i/>
        </w:rPr>
        <w:t>International Journal of Physical Distribution &amp; Logistics Management</w:t>
      </w:r>
      <w:r w:rsidRPr="00A772DB">
        <w:t>, Vol. 38 No. 1, pp. 5-20.</w:t>
      </w:r>
    </w:p>
    <w:p w14:paraId="40C39E57" w14:textId="42FE3CCA" w:rsidR="00605E0B" w:rsidRPr="00A772DB" w:rsidRDefault="00605E0B" w:rsidP="00605E0B">
      <w:pPr>
        <w:pStyle w:val="Litteratur"/>
        <w:spacing w:line="360" w:lineRule="atLeast"/>
      </w:pPr>
      <w:r w:rsidRPr="00A772DB">
        <w:t xml:space="preserve">Glorvigen, M. and Masliak, O. (2015) </w:t>
      </w:r>
      <w:r w:rsidRPr="00A772DB">
        <w:rPr>
          <w:i/>
        </w:rPr>
        <w:t>Inter-Organizational Relationship in RENAS Reverse Distribution System</w:t>
      </w:r>
      <w:r w:rsidRPr="00A772DB">
        <w:t>. Master thesis, BI Norwegian Business School</w:t>
      </w:r>
      <w:r w:rsidR="0036228C" w:rsidRPr="00A772DB">
        <w:t>, Oslo, Norway.</w:t>
      </w:r>
    </w:p>
    <w:p w14:paraId="2B9E4BFE" w14:textId="1E2910AE" w:rsidR="00605E0B" w:rsidRPr="00A772DB" w:rsidRDefault="00E755F0" w:rsidP="00605E0B">
      <w:pPr>
        <w:pStyle w:val="Litteratur"/>
        <w:spacing w:line="360" w:lineRule="atLeast"/>
      </w:pPr>
      <w:r w:rsidRPr="00A772DB">
        <w:t xml:space="preserve">Hart, O. (1983) </w:t>
      </w:r>
      <w:r w:rsidR="00605E0B" w:rsidRPr="00A772DB">
        <w:t>The market mechanism as an i</w:t>
      </w:r>
      <w:r w:rsidRPr="00A772DB">
        <w:t>ncentive scheme</w:t>
      </w:r>
      <w:r w:rsidR="00605E0B" w:rsidRPr="00A772DB">
        <w:t xml:space="preserve">, </w:t>
      </w:r>
      <w:r w:rsidR="00605E0B" w:rsidRPr="00A772DB">
        <w:rPr>
          <w:i/>
        </w:rPr>
        <w:t>Bell Journal of Economics</w:t>
      </w:r>
      <w:r w:rsidR="00605E0B" w:rsidRPr="00A772DB">
        <w:t xml:space="preserve">, </w:t>
      </w:r>
      <w:r w:rsidR="008A0C3B">
        <w:t xml:space="preserve">Autumn, </w:t>
      </w:r>
      <w:r w:rsidR="00605E0B" w:rsidRPr="00A772DB">
        <w:t>Vol. 14, pp.366-82.</w:t>
      </w:r>
    </w:p>
    <w:p w14:paraId="035D6EFD" w14:textId="77777777" w:rsidR="004445F5" w:rsidRDefault="006A5145" w:rsidP="004445F5">
      <w:pPr>
        <w:pStyle w:val="Litteratur"/>
        <w:spacing w:line="360" w:lineRule="atLeast"/>
      </w:pPr>
      <w:r w:rsidRPr="00A772DB">
        <w:t xml:space="preserve">Haugland, S. A., Myrtveit, I., and Nygaard, A. (2007). Market orientation and performance in the service industry: A data envelopment analysis. </w:t>
      </w:r>
      <w:r w:rsidRPr="00A772DB">
        <w:rPr>
          <w:i/>
        </w:rPr>
        <w:t>Journal of Business Research</w:t>
      </w:r>
      <w:r w:rsidRPr="00A772DB">
        <w:t>, 60(11), 1191-1197.</w:t>
      </w:r>
    </w:p>
    <w:p w14:paraId="215AF21B" w14:textId="77777777" w:rsidR="00A069AC" w:rsidRDefault="00605E0B" w:rsidP="00A069AC">
      <w:pPr>
        <w:pStyle w:val="Litteratur"/>
        <w:spacing w:line="360" w:lineRule="atLeast"/>
      </w:pPr>
      <w:r w:rsidRPr="00A772DB">
        <w:t>Hawks, K.</w:t>
      </w:r>
      <w:r w:rsidR="00E755F0" w:rsidRPr="00A772DB">
        <w:t xml:space="preserve"> (2006) </w:t>
      </w:r>
      <w:r w:rsidRPr="00A772DB">
        <w:t xml:space="preserve">What is Reverse </w:t>
      </w:r>
      <w:r w:rsidR="006A5145" w:rsidRPr="00A772DB">
        <w:t>Logistics?</w:t>
      </w:r>
      <w:r w:rsidRPr="00A772DB">
        <w:t xml:space="preserve"> </w:t>
      </w:r>
      <w:r w:rsidRPr="00A772DB">
        <w:rPr>
          <w:i/>
        </w:rPr>
        <w:t>Reverse Logistics Magazine</w:t>
      </w:r>
      <w:r w:rsidRPr="00A772DB">
        <w:t>, Winter/Spring</w:t>
      </w:r>
      <w:r w:rsidR="004445F5">
        <w:t xml:space="preserve">, </w:t>
      </w:r>
      <w:r w:rsidR="004445F5">
        <w:rPr>
          <w:lang w:val="en-US"/>
        </w:rPr>
        <w:t>Georgia,</w:t>
      </w:r>
      <w:r w:rsidR="004445F5" w:rsidRPr="00971BDA">
        <w:rPr>
          <w:lang w:val="en-US"/>
        </w:rPr>
        <w:t xml:space="preserve"> USA</w:t>
      </w:r>
      <w:r w:rsidR="004445F5">
        <w:t>.</w:t>
      </w:r>
      <w:bookmarkStart w:id="7" w:name="_Hlk509484781"/>
    </w:p>
    <w:p w14:paraId="72D627B0" w14:textId="315057DA" w:rsidR="00605E0B" w:rsidRPr="00A772DB" w:rsidRDefault="00E92576" w:rsidP="00A069AC">
      <w:pPr>
        <w:pStyle w:val="Litteratur"/>
        <w:spacing w:line="360" w:lineRule="atLeast"/>
      </w:pPr>
      <w:r w:rsidRPr="00A772DB">
        <w:t xml:space="preserve">Ingram, P. and Inman, C. (1996). </w:t>
      </w:r>
      <w:bookmarkEnd w:id="7"/>
      <w:r w:rsidRPr="00A772DB">
        <w:t xml:space="preserve">Institutions, intergroup competition, and the evolution of hotel populations around Niagara Falls. </w:t>
      </w:r>
      <w:r w:rsidRPr="00A772DB">
        <w:rPr>
          <w:i/>
        </w:rPr>
        <w:t>Administrative Science Quarterly</w:t>
      </w:r>
      <w:r w:rsidRPr="00A772DB">
        <w:t xml:space="preserve">, </w:t>
      </w:r>
      <w:r w:rsidR="00A069AC" w:rsidRPr="00971BDA">
        <w:rPr>
          <w:lang w:val="en-US"/>
        </w:rPr>
        <w:t>Vol. 41, No. 4</w:t>
      </w:r>
      <w:r w:rsidR="00A069AC">
        <w:t xml:space="preserve">, pp. </w:t>
      </w:r>
      <w:r w:rsidRPr="00A772DB">
        <w:t>629-658.</w:t>
      </w:r>
    </w:p>
    <w:p w14:paraId="1CBD71AB" w14:textId="40E1CFA2" w:rsidR="00605E0B" w:rsidRPr="00A772DB" w:rsidRDefault="00605E0B" w:rsidP="00605E0B">
      <w:pPr>
        <w:pStyle w:val="Litteratur"/>
        <w:spacing w:line="360" w:lineRule="atLeast"/>
      </w:pPr>
      <w:r w:rsidRPr="00A772DB">
        <w:t xml:space="preserve">Ireland, R.D., </w:t>
      </w:r>
      <w:proofErr w:type="spellStart"/>
      <w:r w:rsidRPr="00A772DB">
        <w:t>Covin</w:t>
      </w:r>
      <w:proofErr w:type="spellEnd"/>
      <w:r w:rsidRPr="00A772DB">
        <w:t xml:space="preserve">, J.G. and </w:t>
      </w:r>
      <w:proofErr w:type="spellStart"/>
      <w:r w:rsidRPr="00A772DB">
        <w:t>Kuratko</w:t>
      </w:r>
      <w:proofErr w:type="spellEnd"/>
      <w:r w:rsidRPr="00A772DB">
        <w:t xml:space="preserve">, D.F. (2009) Conceptualizing corporate entrepreneurship strategy, </w:t>
      </w:r>
      <w:r w:rsidRPr="00A772DB">
        <w:rPr>
          <w:i/>
        </w:rPr>
        <w:t>Entrepreneurship Theory and Practice</w:t>
      </w:r>
      <w:r w:rsidRPr="00A772DB">
        <w:t xml:space="preserve">, Vol. 33, </w:t>
      </w:r>
      <w:r w:rsidR="00A069AC">
        <w:t xml:space="preserve">No. 1, </w:t>
      </w:r>
      <w:r w:rsidRPr="00A772DB">
        <w:t>pp.19–46.</w:t>
      </w:r>
    </w:p>
    <w:p w14:paraId="2ABE61CC" w14:textId="348AA224" w:rsidR="00605E0B" w:rsidRDefault="00605E0B" w:rsidP="00605E0B">
      <w:pPr>
        <w:pStyle w:val="Litteratur"/>
        <w:spacing w:line="360" w:lineRule="atLeast"/>
      </w:pPr>
      <w:r w:rsidRPr="00A772DB">
        <w:t xml:space="preserve">John, G. and </w:t>
      </w:r>
      <w:proofErr w:type="spellStart"/>
      <w:r w:rsidRPr="00A772DB">
        <w:t>Weitz</w:t>
      </w:r>
      <w:proofErr w:type="spellEnd"/>
      <w:r w:rsidRPr="00A772DB">
        <w:t xml:space="preserve">, B. (1988) Forward integration into distribution: an empirical test of transaction cost analysis, </w:t>
      </w:r>
      <w:r w:rsidRPr="00A772DB">
        <w:rPr>
          <w:i/>
        </w:rPr>
        <w:t>Journal of Law, Economics and Organization</w:t>
      </w:r>
      <w:r w:rsidRPr="00A772DB">
        <w:t>, Vol. 4 No. 2, pp.337-335.</w:t>
      </w:r>
    </w:p>
    <w:p w14:paraId="457AFCE5" w14:textId="2987F9E2" w:rsidR="00363429" w:rsidRPr="00A772DB" w:rsidRDefault="00363429" w:rsidP="00605E0B">
      <w:pPr>
        <w:pStyle w:val="Litteratur"/>
        <w:spacing w:line="360" w:lineRule="atLeast"/>
      </w:pPr>
      <w:bookmarkStart w:id="8" w:name="_Hlk509579817"/>
      <w:r w:rsidRPr="00385CAE">
        <w:rPr>
          <w:lang w:val="en-US"/>
        </w:rPr>
        <w:t>Kumar, N., Stern, L. W., and Anderson, J. C. (1993</w:t>
      </w:r>
      <w:bookmarkEnd w:id="8"/>
      <w:r w:rsidRPr="00385CAE">
        <w:rPr>
          <w:lang w:val="en-US"/>
        </w:rPr>
        <w:t xml:space="preserve">). </w:t>
      </w:r>
      <w:r w:rsidRPr="00363429">
        <w:t xml:space="preserve">Conducting </w:t>
      </w:r>
      <w:proofErr w:type="spellStart"/>
      <w:r w:rsidRPr="00363429">
        <w:t>interorganizational</w:t>
      </w:r>
      <w:proofErr w:type="spellEnd"/>
      <w:r w:rsidRPr="00363429">
        <w:t xml:space="preserve"> research using key informants. </w:t>
      </w:r>
      <w:r w:rsidRPr="00363429">
        <w:rPr>
          <w:i/>
        </w:rPr>
        <w:t>Academy of management journal</w:t>
      </w:r>
      <w:r w:rsidRPr="00363429">
        <w:t>, 36(6), 1633-1651.</w:t>
      </w:r>
    </w:p>
    <w:p w14:paraId="64BA9D2F" w14:textId="16EF60BE" w:rsidR="00605E0B" w:rsidRPr="00A772DB" w:rsidRDefault="00E755F0" w:rsidP="00605E0B">
      <w:pPr>
        <w:pStyle w:val="Litteratur"/>
        <w:spacing w:line="360" w:lineRule="atLeast"/>
      </w:pPr>
      <w:proofErr w:type="spellStart"/>
      <w:r w:rsidRPr="00A772DB">
        <w:t>Machlup</w:t>
      </w:r>
      <w:proofErr w:type="spellEnd"/>
      <w:r w:rsidRPr="00A772DB">
        <w:t xml:space="preserve">, F. (1967) </w:t>
      </w:r>
      <w:r w:rsidR="00605E0B" w:rsidRPr="00A772DB">
        <w:t xml:space="preserve">Theories of the firm: </w:t>
      </w:r>
      <w:proofErr w:type="spellStart"/>
      <w:r w:rsidR="00605E0B" w:rsidRPr="00A772DB">
        <w:t>marg</w:t>
      </w:r>
      <w:r w:rsidRPr="00A772DB">
        <w:t>inalist</w:t>
      </w:r>
      <w:proofErr w:type="spellEnd"/>
      <w:r w:rsidRPr="00A772DB">
        <w:t xml:space="preserve">, </w:t>
      </w:r>
      <w:proofErr w:type="spellStart"/>
      <w:r w:rsidRPr="00A772DB">
        <w:t>behavioral</w:t>
      </w:r>
      <w:proofErr w:type="spellEnd"/>
      <w:r w:rsidRPr="00A772DB">
        <w:t>, managerial</w:t>
      </w:r>
      <w:r w:rsidR="00605E0B" w:rsidRPr="00A772DB">
        <w:t xml:space="preserve">, </w:t>
      </w:r>
      <w:r w:rsidR="00605E0B" w:rsidRPr="00A772DB">
        <w:rPr>
          <w:i/>
        </w:rPr>
        <w:t>American Economic Review</w:t>
      </w:r>
      <w:r w:rsidR="00605E0B" w:rsidRPr="00A772DB">
        <w:t xml:space="preserve">, Vol. 57, </w:t>
      </w:r>
      <w:r w:rsidR="007468F6">
        <w:t xml:space="preserve">No. 1, </w:t>
      </w:r>
      <w:r w:rsidR="00605E0B" w:rsidRPr="00A772DB">
        <w:t>pp.1-33.</w:t>
      </w:r>
    </w:p>
    <w:p w14:paraId="662CF840" w14:textId="2885233B" w:rsidR="00605E0B" w:rsidRPr="00A772DB" w:rsidRDefault="00605E0B" w:rsidP="00605E0B">
      <w:pPr>
        <w:pStyle w:val="Litteratur"/>
        <w:spacing w:line="360" w:lineRule="atLeast"/>
      </w:pPr>
      <w:proofErr w:type="spellStart"/>
      <w:r w:rsidRPr="00A772DB">
        <w:t>Mintzberg</w:t>
      </w:r>
      <w:proofErr w:type="spellEnd"/>
      <w:r w:rsidRPr="00A772DB">
        <w:t xml:space="preserve">, M. (1978) </w:t>
      </w:r>
      <w:r w:rsidR="00E755F0" w:rsidRPr="00A772DB">
        <w:t>Patterns in Strategy Formation</w:t>
      </w:r>
      <w:r w:rsidRPr="00A772DB">
        <w:t xml:space="preserve">, </w:t>
      </w:r>
      <w:r w:rsidRPr="00A772DB">
        <w:rPr>
          <w:i/>
        </w:rPr>
        <w:t>Management Science</w:t>
      </w:r>
      <w:r w:rsidRPr="00A772DB">
        <w:t xml:space="preserve">, Vol. 24 No. 9, pp.934-948.  </w:t>
      </w:r>
    </w:p>
    <w:p w14:paraId="663CA9D5" w14:textId="30D54C49" w:rsidR="00605E0B" w:rsidRPr="00A772DB" w:rsidRDefault="00605E0B" w:rsidP="00605E0B">
      <w:pPr>
        <w:pStyle w:val="Litteratur"/>
        <w:spacing w:line="360" w:lineRule="atLeast"/>
      </w:pPr>
      <w:r w:rsidRPr="00A772DB">
        <w:lastRenderedPageBreak/>
        <w:t>Montgomery, C.A. (1995</w:t>
      </w:r>
      <w:r w:rsidR="00D84382" w:rsidRPr="00A772DB">
        <w:t xml:space="preserve">), </w:t>
      </w:r>
      <w:r w:rsidRPr="00A772DB">
        <w:t>Of Diamonds and Rust: A New Look at Resources,</w:t>
      </w:r>
      <w:r w:rsidR="00D84382" w:rsidRPr="00A772DB">
        <w:t xml:space="preserve"> in Montgomery, C.A. (Ed.),</w:t>
      </w:r>
      <w:r w:rsidR="00D84382" w:rsidRPr="00A772DB">
        <w:rPr>
          <w:i/>
        </w:rPr>
        <w:t xml:space="preserve"> </w:t>
      </w:r>
      <w:r w:rsidRPr="00A772DB">
        <w:rPr>
          <w:i/>
        </w:rPr>
        <w:t>Resource-Based and Evolutionary Theories of the Firm: Towards a Synthesis</w:t>
      </w:r>
      <w:r w:rsidRPr="00A772DB">
        <w:t xml:space="preserve">, Springer </w:t>
      </w:r>
      <w:r w:rsidR="00D84382" w:rsidRPr="00A772DB">
        <w:t xml:space="preserve">International Publishing </w:t>
      </w:r>
      <w:r w:rsidR="002042AC" w:rsidRPr="00A772DB">
        <w:t>AG, pp.</w:t>
      </w:r>
      <w:r w:rsidRPr="00A772DB">
        <w:t>251-268.</w:t>
      </w:r>
    </w:p>
    <w:p w14:paraId="404C3083" w14:textId="661485E2" w:rsidR="00605E0B" w:rsidRPr="00A772DB" w:rsidRDefault="00605E0B" w:rsidP="00605E0B">
      <w:pPr>
        <w:pStyle w:val="Litteratur"/>
        <w:spacing w:line="360" w:lineRule="atLeast"/>
      </w:pPr>
      <w:proofErr w:type="spellStart"/>
      <w:r w:rsidRPr="00A772DB">
        <w:t>Nunnally</w:t>
      </w:r>
      <w:proofErr w:type="spellEnd"/>
      <w:r w:rsidRPr="00A772DB">
        <w:t xml:space="preserve">, J.C. (1978) </w:t>
      </w:r>
      <w:r w:rsidRPr="00A772DB">
        <w:rPr>
          <w:i/>
        </w:rPr>
        <w:t xml:space="preserve">Psychometric </w:t>
      </w:r>
      <w:r w:rsidR="002042AC" w:rsidRPr="00A772DB">
        <w:rPr>
          <w:i/>
        </w:rPr>
        <w:t>Theory</w:t>
      </w:r>
      <w:r w:rsidR="002042AC" w:rsidRPr="00A772DB">
        <w:t>, 2</w:t>
      </w:r>
      <w:r w:rsidRPr="00A772DB">
        <w:rPr>
          <w:vertAlign w:val="superscript"/>
        </w:rPr>
        <w:t>nd</w:t>
      </w:r>
      <w:r w:rsidRPr="00A772DB">
        <w:t xml:space="preserve"> ed., McGraw Hill, New York. </w:t>
      </w:r>
    </w:p>
    <w:p w14:paraId="45EDED27" w14:textId="204279CD" w:rsidR="00605E0B" w:rsidRPr="00A772DB" w:rsidRDefault="00605E0B" w:rsidP="00605E0B">
      <w:pPr>
        <w:pStyle w:val="Litteratur"/>
        <w:spacing w:line="360" w:lineRule="atLeast"/>
      </w:pPr>
      <w:r w:rsidRPr="00A772DB">
        <w:t>Nygaard, A. and Myrtveit, I. (2000)</w:t>
      </w:r>
      <w:r w:rsidR="00E755F0" w:rsidRPr="00A772DB">
        <w:t xml:space="preserve"> </w:t>
      </w:r>
      <w:r w:rsidRPr="00A772DB">
        <w:t xml:space="preserve">Moral hazard, competition and contract design: empirical evidence from managerial, franchised and entrepreneurial businesses in Norway. </w:t>
      </w:r>
      <w:r w:rsidRPr="00A772DB">
        <w:rPr>
          <w:i/>
        </w:rPr>
        <w:t>Applied Economics</w:t>
      </w:r>
      <w:r w:rsidRPr="00A772DB">
        <w:t xml:space="preserve">, Vol. 32 No. 3, pp. 349-356. </w:t>
      </w:r>
    </w:p>
    <w:p w14:paraId="53AFC9A8" w14:textId="3A0F7D0B" w:rsidR="00605E0B" w:rsidRPr="00A772DB" w:rsidRDefault="00605E0B" w:rsidP="00605E0B">
      <w:pPr>
        <w:pStyle w:val="Litteratur"/>
        <w:spacing w:line="360" w:lineRule="atLeast"/>
      </w:pPr>
      <w:proofErr w:type="spellStart"/>
      <w:r w:rsidRPr="00A772DB">
        <w:t>Phana</w:t>
      </w:r>
      <w:proofErr w:type="spellEnd"/>
      <w:r w:rsidRPr="00A772DB">
        <w:t xml:space="preserve">, P.H., Wright, M., </w:t>
      </w:r>
      <w:proofErr w:type="spellStart"/>
      <w:r w:rsidRPr="00A772DB">
        <w:t>Ucbasarand</w:t>
      </w:r>
      <w:proofErr w:type="spellEnd"/>
      <w:r w:rsidRPr="00A772DB">
        <w:t xml:space="preserve">, D. and Wee-Liang, T. (2009) Corporate entrepreneurship: current research and future directions, </w:t>
      </w:r>
      <w:r w:rsidRPr="00A772DB">
        <w:rPr>
          <w:i/>
        </w:rPr>
        <w:t>Journal of Business Venturing</w:t>
      </w:r>
      <w:r w:rsidRPr="00A772DB">
        <w:t>, Vol. 24 No. 3, pp.197–205.</w:t>
      </w:r>
    </w:p>
    <w:p w14:paraId="19D81FBB" w14:textId="77777777" w:rsidR="00605E0B" w:rsidRPr="00A772DB" w:rsidRDefault="00605E0B" w:rsidP="00605E0B">
      <w:pPr>
        <w:pStyle w:val="Litteratur"/>
        <w:spacing w:line="360" w:lineRule="atLeast"/>
      </w:pPr>
      <w:r w:rsidRPr="00A772DB">
        <w:t xml:space="preserve">Porter, M.E. (1980) </w:t>
      </w:r>
      <w:r w:rsidRPr="00A772DB">
        <w:rPr>
          <w:i/>
        </w:rPr>
        <w:t xml:space="preserve">Competitive Strategy: Techniques for </w:t>
      </w:r>
      <w:proofErr w:type="spellStart"/>
      <w:r w:rsidRPr="00A772DB">
        <w:rPr>
          <w:i/>
        </w:rPr>
        <w:t>Analyzing</w:t>
      </w:r>
      <w:proofErr w:type="spellEnd"/>
      <w:r w:rsidRPr="00A772DB">
        <w:rPr>
          <w:i/>
        </w:rPr>
        <w:t xml:space="preserve"> Industries and Competitors</w:t>
      </w:r>
      <w:r w:rsidRPr="00A772DB">
        <w:t>, Free Press, New York.</w:t>
      </w:r>
    </w:p>
    <w:p w14:paraId="1345F96A" w14:textId="77777777" w:rsidR="00605E0B" w:rsidRPr="00A772DB" w:rsidRDefault="00605E0B" w:rsidP="00605E0B">
      <w:pPr>
        <w:pStyle w:val="Litteratur"/>
        <w:spacing w:line="360" w:lineRule="atLeast"/>
      </w:pPr>
      <w:r w:rsidRPr="00A772DB">
        <w:t xml:space="preserve">Porter, M.E. (1985) </w:t>
      </w:r>
      <w:r w:rsidRPr="00A772DB">
        <w:rPr>
          <w:i/>
        </w:rPr>
        <w:t>Competitive Advantage</w:t>
      </w:r>
      <w:r w:rsidRPr="00A772DB">
        <w:t>, Free Press, New York.</w:t>
      </w:r>
    </w:p>
    <w:p w14:paraId="7E7E1EFC" w14:textId="697D68A7" w:rsidR="00605E0B" w:rsidRPr="00A772DB" w:rsidRDefault="00605E0B" w:rsidP="00605E0B">
      <w:pPr>
        <w:pStyle w:val="Litteratur"/>
        <w:spacing w:line="360" w:lineRule="atLeast"/>
      </w:pPr>
      <w:r w:rsidRPr="00A772DB">
        <w:t>Porter, M.E. (1991)</w:t>
      </w:r>
      <w:r w:rsidR="00E755F0" w:rsidRPr="00A772DB">
        <w:t xml:space="preserve"> </w:t>
      </w:r>
      <w:r w:rsidRPr="00A772DB">
        <w:t>Towar</w:t>
      </w:r>
      <w:r w:rsidR="00E755F0" w:rsidRPr="00A772DB">
        <w:t>ds a dynamic theory of strategy</w:t>
      </w:r>
      <w:r w:rsidRPr="00A772DB">
        <w:t xml:space="preserve">, </w:t>
      </w:r>
      <w:r w:rsidRPr="00A772DB">
        <w:rPr>
          <w:i/>
        </w:rPr>
        <w:t>Strategic Management Journal</w:t>
      </w:r>
      <w:r w:rsidRPr="00A772DB">
        <w:t>, Vol. 12 No. S2, pp. 95-117.</w:t>
      </w:r>
    </w:p>
    <w:p w14:paraId="72AB8994" w14:textId="5E1D94D0" w:rsidR="00354874" w:rsidRDefault="00354874" w:rsidP="00354874">
      <w:pPr>
        <w:pStyle w:val="Litteratur"/>
        <w:spacing w:line="360" w:lineRule="atLeast"/>
      </w:pPr>
      <w:proofErr w:type="spellStart"/>
      <w:r>
        <w:t>Renas</w:t>
      </w:r>
      <w:proofErr w:type="spellEnd"/>
      <w:r>
        <w:t xml:space="preserve"> (2016</w:t>
      </w:r>
      <w:r w:rsidRPr="00A772DB">
        <w:t xml:space="preserve">) </w:t>
      </w:r>
      <w:proofErr w:type="spellStart"/>
      <w:r>
        <w:rPr>
          <w:i/>
        </w:rPr>
        <w:t>Miljø</w:t>
      </w:r>
      <w:proofErr w:type="spellEnd"/>
      <w:r>
        <w:rPr>
          <w:i/>
        </w:rPr>
        <w:t>-rapport</w:t>
      </w:r>
      <w:r>
        <w:t>,</w:t>
      </w:r>
      <w:r w:rsidRPr="00A772DB">
        <w:t xml:space="preserve"> Oslo.</w:t>
      </w:r>
    </w:p>
    <w:p w14:paraId="65AD1F5E" w14:textId="77777777" w:rsidR="00354874" w:rsidRDefault="00E03229" w:rsidP="00354874">
      <w:pPr>
        <w:pStyle w:val="Litteratur"/>
        <w:spacing w:line="360" w:lineRule="atLeast"/>
      </w:pPr>
      <w:proofErr w:type="spellStart"/>
      <w:r w:rsidRPr="00A772DB">
        <w:t>Renas</w:t>
      </w:r>
      <w:proofErr w:type="spellEnd"/>
      <w:r w:rsidRPr="00A772DB">
        <w:t xml:space="preserve"> (2017) </w:t>
      </w:r>
      <w:r w:rsidRPr="00A772DB">
        <w:rPr>
          <w:i/>
        </w:rPr>
        <w:t>Annual Report 2016</w:t>
      </w:r>
      <w:r w:rsidRPr="00A772DB">
        <w:t>. Oslo.</w:t>
      </w:r>
      <w:bookmarkStart w:id="9" w:name="_Hlk509580268"/>
    </w:p>
    <w:p w14:paraId="6066F905" w14:textId="69FC9526" w:rsidR="003C4093" w:rsidRPr="00185281" w:rsidRDefault="003C4093" w:rsidP="00185281">
      <w:pPr>
        <w:pStyle w:val="Litteratur"/>
        <w:spacing w:line="360" w:lineRule="atLeast"/>
        <w:rPr>
          <w:lang w:val="en-US"/>
        </w:rPr>
      </w:pPr>
      <w:r w:rsidRPr="003C4093">
        <w:rPr>
          <w:lang w:val="en-US"/>
        </w:rPr>
        <w:t>Reve, T., and Stern, L. W. (1986</w:t>
      </w:r>
      <w:bookmarkEnd w:id="9"/>
      <w:r w:rsidRPr="003C4093">
        <w:rPr>
          <w:lang w:val="en-US"/>
        </w:rPr>
        <w:t xml:space="preserve">). </w:t>
      </w:r>
      <w:r w:rsidRPr="003C4093">
        <w:t xml:space="preserve">The relationship between </w:t>
      </w:r>
      <w:proofErr w:type="spellStart"/>
      <w:r w:rsidRPr="003C4093">
        <w:t>interorganizational</w:t>
      </w:r>
      <w:proofErr w:type="spellEnd"/>
      <w:r w:rsidRPr="003C4093">
        <w:t xml:space="preserve"> form, transaction climate, and economic performance in vertical </w:t>
      </w:r>
      <w:proofErr w:type="spellStart"/>
      <w:r w:rsidRPr="003C4093">
        <w:t>interfirm</w:t>
      </w:r>
      <w:proofErr w:type="spellEnd"/>
      <w:r w:rsidRPr="003C4093">
        <w:t xml:space="preserve"> dyads. </w:t>
      </w:r>
      <w:r w:rsidRPr="003C4093">
        <w:rPr>
          <w:i/>
        </w:rPr>
        <w:t>Marketing channels: Relationships and performance</w:t>
      </w:r>
      <w:r w:rsidRPr="003C4093">
        <w:t xml:space="preserve">, </w:t>
      </w:r>
      <w:r w:rsidR="00354874">
        <w:t xml:space="preserve">pp. </w:t>
      </w:r>
      <w:r w:rsidRPr="003C4093">
        <w:t>75-102</w:t>
      </w:r>
      <w:r w:rsidR="00354874">
        <w:t xml:space="preserve">, </w:t>
      </w:r>
      <w:r w:rsidR="00354874" w:rsidRPr="00F9615F">
        <w:rPr>
          <w:lang w:val="en-US"/>
        </w:rPr>
        <w:t>Lexington Books</w:t>
      </w:r>
      <w:r w:rsidR="00354874">
        <w:rPr>
          <w:lang w:val="en-US"/>
        </w:rPr>
        <w:t>,</w:t>
      </w:r>
      <w:r w:rsidR="00354874">
        <w:rPr>
          <w:lang w:val="en-US"/>
        </w:rPr>
        <w:t xml:space="preserve"> </w:t>
      </w:r>
      <w:r w:rsidR="00354874" w:rsidRPr="00F9615F">
        <w:rPr>
          <w:lang w:val="en-US"/>
        </w:rPr>
        <w:t>Lexington, MA</w:t>
      </w:r>
      <w:r w:rsidR="00354874">
        <w:rPr>
          <w:lang w:val="en-US"/>
        </w:rPr>
        <w:t xml:space="preserve">, </w:t>
      </w:r>
      <w:r w:rsidR="00354874">
        <w:rPr>
          <w:rFonts w:ascii="Arial" w:hAnsi="Arial" w:cs="Arial"/>
          <w:lang w:val="en-US"/>
        </w:rPr>
        <w:t>ISBN 0-669-13158-X.</w:t>
      </w:r>
    </w:p>
    <w:p w14:paraId="4777B4B0" w14:textId="4EC6B8D0" w:rsidR="00605E0B" w:rsidRPr="00A772DB" w:rsidRDefault="00605E0B" w:rsidP="00605E0B">
      <w:pPr>
        <w:pStyle w:val="Litteratur"/>
        <w:spacing w:line="360" w:lineRule="atLeast"/>
      </w:pPr>
      <w:r w:rsidRPr="00A772DB">
        <w:t xml:space="preserve">Schumpeter, J.A. (1943) </w:t>
      </w:r>
      <w:r w:rsidRPr="00A772DB">
        <w:rPr>
          <w:i/>
        </w:rPr>
        <w:t>Capitalism, Socialism, and Democracy</w:t>
      </w:r>
      <w:r w:rsidRPr="00A772DB">
        <w:t>, 6</w:t>
      </w:r>
      <w:r w:rsidRPr="00A772DB">
        <w:rPr>
          <w:vertAlign w:val="superscript"/>
        </w:rPr>
        <w:t>th</w:t>
      </w:r>
      <w:r w:rsidRPr="00A772DB">
        <w:t xml:space="preserve"> ed., Routledge</w:t>
      </w:r>
      <w:r w:rsidR="00D84382" w:rsidRPr="00A772DB">
        <w:t>- Taylor &amp; Francis Group, London, UK</w:t>
      </w:r>
      <w:r w:rsidRPr="00A772DB">
        <w:t>.</w:t>
      </w:r>
    </w:p>
    <w:p w14:paraId="565BA99D" w14:textId="4A6F776B" w:rsidR="00605E0B" w:rsidRPr="00A772DB" w:rsidRDefault="00605E0B" w:rsidP="00605E0B">
      <w:pPr>
        <w:pStyle w:val="Litteratur"/>
        <w:spacing w:line="360" w:lineRule="atLeast"/>
      </w:pPr>
      <w:r w:rsidRPr="00A772DB">
        <w:t xml:space="preserve">Slater, S. and </w:t>
      </w:r>
      <w:proofErr w:type="spellStart"/>
      <w:r w:rsidRPr="00A772DB">
        <w:t>Narver</w:t>
      </w:r>
      <w:proofErr w:type="spellEnd"/>
      <w:r w:rsidRPr="00A772DB">
        <w:t xml:space="preserve">, J. (1994) Does Competitive Environment Moderate the Market Orientation-Performance </w:t>
      </w:r>
      <w:r w:rsidR="006241A3" w:rsidRPr="00A772DB">
        <w:t>Relationship?</w:t>
      </w:r>
      <w:r w:rsidRPr="00A772DB">
        <w:t xml:space="preserve"> </w:t>
      </w:r>
      <w:r w:rsidRPr="00A772DB">
        <w:rPr>
          <w:i/>
        </w:rPr>
        <w:t>Journal of Marketing</w:t>
      </w:r>
      <w:r w:rsidRPr="00A772DB">
        <w:t>, Vol. 58 No. 1, pp.46-55.</w:t>
      </w:r>
    </w:p>
    <w:p w14:paraId="1586D889" w14:textId="77777777" w:rsidR="00605E0B" w:rsidRPr="00A772DB" w:rsidRDefault="00605E0B" w:rsidP="00605E0B">
      <w:pPr>
        <w:pStyle w:val="Litteratur"/>
        <w:spacing w:line="360" w:lineRule="atLeast"/>
      </w:pPr>
      <w:proofErr w:type="spellStart"/>
      <w:r w:rsidRPr="00A772DB">
        <w:t>Stahel</w:t>
      </w:r>
      <w:proofErr w:type="spellEnd"/>
      <w:r w:rsidRPr="00A772DB">
        <w:t xml:space="preserve">, W. (2010) </w:t>
      </w:r>
      <w:r w:rsidRPr="00A772DB">
        <w:rPr>
          <w:i/>
        </w:rPr>
        <w:t>The Performance Economy</w:t>
      </w:r>
      <w:r w:rsidRPr="00A772DB">
        <w:t>, Palgrave Macmillan, UK.</w:t>
      </w:r>
    </w:p>
    <w:p w14:paraId="712DB3D8" w14:textId="503C301C" w:rsidR="00605E0B" w:rsidRPr="00A772DB" w:rsidRDefault="00605E0B" w:rsidP="00605E0B">
      <w:pPr>
        <w:pStyle w:val="Litteratur"/>
        <w:spacing w:line="360" w:lineRule="atLeast"/>
      </w:pPr>
      <w:r w:rsidRPr="00A772DB">
        <w:t xml:space="preserve">Stark, J. (2006) </w:t>
      </w:r>
      <w:r w:rsidRPr="00A772DB">
        <w:rPr>
          <w:i/>
        </w:rPr>
        <w:t>Global Product: Strategy, Product Lifecycle Management and the Billion Customer Question</w:t>
      </w:r>
      <w:r w:rsidR="004E526C">
        <w:t>, Springer, London.</w:t>
      </w:r>
    </w:p>
    <w:p w14:paraId="01594887" w14:textId="11FC008D" w:rsidR="00605E0B" w:rsidRPr="00A772DB" w:rsidRDefault="00605E0B" w:rsidP="00605E0B">
      <w:pPr>
        <w:pStyle w:val="Litteratur"/>
        <w:spacing w:line="360" w:lineRule="atLeast"/>
      </w:pPr>
      <w:proofErr w:type="spellStart"/>
      <w:r w:rsidRPr="00A772DB">
        <w:t>Sthiannopkao</w:t>
      </w:r>
      <w:proofErr w:type="spellEnd"/>
      <w:r w:rsidRPr="00A772DB">
        <w:t>, S. and Wong, M.H. (2012)</w:t>
      </w:r>
      <w:r w:rsidR="00E755F0" w:rsidRPr="00A772DB">
        <w:t xml:space="preserve"> </w:t>
      </w:r>
      <w:r w:rsidRPr="00A772DB">
        <w:t>Handling e-waste in developed and developing countries: initiativ</w:t>
      </w:r>
      <w:r w:rsidR="00E755F0" w:rsidRPr="00A772DB">
        <w:t>es, practices, and consequences</w:t>
      </w:r>
      <w:r w:rsidRPr="00A772DB">
        <w:t xml:space="preserve">, </w:t>
      </w:r>
      <w:r w:rsidRPr="00A772DB">
        <w:rPr>
          <w:i/>
        </w:rPr>
        <w:t>Science of the Total Environment</w:t>
      </w:r>
      <w:r w:rsidRPr="00A772DB">
        <w:t xml:space="preserve">, </w:t>
      </w:r>
      <w:r w:rsidR="004E526C">
        <w:t xml:space="preserve">October, Vol. 40, </w:t>
      </w:r>
      <w:r w:rsidRPr="00A772DB">
        <w:t>pp.1147-1153.</w:t>
      </w:r>
    </w:p>
    <w:p w14:paraId="59401B9D" w14:textId="163233DB" w:rsidR="00605E0B" w:rsidRPr="00A772DB" w:rsidRDefault="00605E0B" w:rsidP="00605E0B">
      <w:pPr>
        <w:pStyle w:val="Litteratur"/>
        <w:spacing w:line="360" w:lineRule="atLeast"/>
      </w:pPr>
      <w:proofErr w:type="spellStart"/>
      <w:r w:rsidRPr="00A772DB">
        <w:lastRenderedPageBreak/>
        <w:t>Tibben-Lembke</w:t>
      </w:r>
      <w:proofErr w:type="spellEnd"/>
      <w:r w:rsidR="00E755F0" w:rsidRPr="00A772DB">
        <w:t xml:space="preserve">, R.S. and Rogers, D.S. (2002) </w:t>
      </w:r>
      <w:r w:rsidRPr="00A772DB">
        <w:t>Differences between forward and reverse lo</w:t>
      </w:r>
      <w:r w:rsidR="00E755F0" w:rsidRPr="00A772DB">
        <w:t>gistics in a retail environment</w:t>
      </w:r>
      <w:r w:rsidRPr="00A772DB">
        <w:rPr>
          <w:i/>
        </w:rPr>
        <w:t>, Supply Chain Management: An International Journal</w:t>
      </w:r>
      <w:r w:rsidRPr="00A772DB">
        <w:t xml:space="preserve">, Vol. 7 No. 5, pp.271–282. </w:t>
      </w:r>
    </w:p>
    <w:p w14:paraId="65B85B35" w14:textId="55741402" w:rsidR="00B15968" w:rsidRPr="00A772DB" w:rsidRDefault="00B15968" w:rsidP="00605E0B">
      <w:pPr>
        <w:pStyle w:val="Litteratur"/>
        <w:spacing w:line="360" w:lineRule="atLeast"/>
      </w:pPr>
      <w:r w:rsidRPr="00A772DB">
        <w:t xml:space="preserve">Tilley, F., &amp; Parrish, B. D. (2006). From poles to wholes: facilitating an integrated approach to sustainable entrepreneurship. </w:t>
      </w:r>
      <w:r w:rsidRPr="00A772DB">
        <w:rPr>
          <w:i/>
        </w:rPr>
        <w:t>World review of entrepreneurship, management and sustainable development</w:t>
      </w:r>
      <w:r w:rsidRPr="00A772DB">
        <w:t>, 2(4), 281-294.</w:t>
      </w:r>
    </w:p>
    <w:p w14:paraId="0B703533" w14:textId="12CC2A5C" w:rsidR="00605E0B" w:rsidRPr="00A772DB" w:rsidRDefault="00605E0B" w:rsidP="00605E0B">
      <w:pPr>
        <w:pStyle w:val="Litteratur"/>
        <w:spacing w:line="360" w:lineRule="atLeast"/>
      </w:pPr>
      <w:r w:rsidRPr="00A772DB">
        <w:t xml:space="preserve">Van </w:t>
      </w:r>
      <w:proofErr w:type="spellStart"/>
      <w:r w:rsidRPr="00A772DB">
        <w:t>Bruggen</w:t>
      </w:r>
      <w:proofErr w:type="spellEnd"/>
      <w:r w:rsidRPr="00A772DB">
        <w:t xml:space="preserve">, G.H., </w:t>
      </w:r>
      <w:proofErr w:type="spellStart"/>
      <w:r w:rsidRPr="00A772DB">
        <w:t>Lilien</w:t>
      </w:r>
      <w:proofErr w:type="spellEnd"/>
      <w:r w:rsidRPr="00A772DB">
        <w:t xml:space="preserve">, G.L. and </w:t>
      </w:r>
      <w:proofErr w:type="spellStart"/>
      <w:r w:rsidRPr="00A772DB">
        <w:t>Kacker</w:t>
      </w:r>
      <w:proofErr w:type="spellEnd"/>
      <w:r w:rsidRPr="00A772DB">
        <w:t xml:space="preserve">, M. (2002) Informants in organizational marketing research: why use multiple informants and how to aggregate responses, </w:t>
      </w:r>
      <w:r w:rsidRPr="00A772DB">
        <w:rPr>
          <w:i/>
        </w:rPr>
        <w:t>Journal of Marketing Research</w:t>
      </w:r>
      <w:r w:rsidRPr="00A772DB">
        <w:t>, Vol. 39 No. 4, pp.469-478.</w:t>
      </w:r>
    </w:p>
    <w:p w14:paraId="6AB59854" w14:textId="77777777" w:rsidR="00605E0B" w:rsidRPr="00A772DB" w:rsidRDefault="00605E0B" w:rsidP="00605E0B">
      <w:pPr>
        <w:pStyle w:val="Litteratur"/>
        <w:spacing w:line="360" w:lineRule="atLeast"/>
      </w:pPr>
      <w:r w:rsidRPr="00A772DB">
        <w:t xml:space="preserve">Williamson, O.E. (1985) </w:t>
      </w:r>
      <w:r w:rsidRPr="00A772DB">
        <w:rPr>
          <w:i/>
        </w:rPr>
        <w:t>The Economic Institutions of Capitalism</w:t>
      </w:r>
      <w:r w:rsidRPr="00A772DB">
        <w:t xml:space="preserve">, Free Press, New York. </w:t>
      </w:r>
    </w:p>
    <w:p w14:paraId="53A1AE33" w14:textId="1C3C4CBF" w:rsidR="00605E0B" w:rsidRPr="00A772DB" w:rsidRDefault="00605E0B" w:rsidP="00605E0B">
      <w:pPr>
        <w:pStyle w:val="Litteratur"/>
        <w:spacing w:line="360" w:lineRule="atLeast"/>
      </w:pPr>
      <w:r w:rsidRPr="00A772DB">
        <w:t>Yoshikawa, M. (2008)</w:t>
      </w:r>
      <w:r w:rsidR="00E755F0" w:rsidRPr="00A772DB">
        <w:t xml:space="preserve"> </w:t>
      </w:r>
      <w:r w:rsidRPr="00A772DB">
        <w:t xml:space="preserve">Urban miners look for precious metals in cell phones, Technology News, </w:t>
      </w:r>
      <w:r w:rsidRPr="00A772DB">
        <w:rPr>
          <w:i/>
        </w:rPr>
        <w:t>Reuters</w:t>
      </w:r>
      <w:r w:rsidRPr="00A772DB">
        <w:t>.</w:t>
      </w:r>
    </w:p>
    <w:p w14:paraId="7CA4B2A4" w14:textId="7E6024B0" w:rsidR="00605E0B" w:rsidRPr="00A772DB" w:rsidRDefault="00605E0B" w:rsidP="00605E0B">
      <w:pPr>
        <w:pStyle w:val="Litteratur"/>
        <w:spacing w:line="360" w:lineRule="atLeast"/>
      </w:pPr>
      <w:r w:rsidRPr="00A772DB">
        <w:t xml:space="preserve">Zeng, </w:t>
      </w:r>
      <w:r w:rsidR="006241A3" w:rsidRPr="00A772DB">
        <w:t>A.Z. (</w:t>
      </w:r>
      <w:r w:rsidR="00E755F0" w:rsidRPr="00A772DB">
        <w:t xml:space="preserve">2013) </w:t>
      </w:r>
      <w:r w:rsidRPr="00A772DB">
        <w:t>Coordination mechanisms for a three-stage reverse supply chain</w:t>
      </w:r>
      <w:r w:rsidR="00E755F0" w:rsidRPr="00A772DB">
        <w:t xml:space="preserve"> to increase profitable returns</w:t>
      </w:r>
      <w:r w:rsidRPr="00A772DB">
        <w:t xml:space="preserve">, </w:t>
      </w:r>
      <w:r w:rsidRPr="00A772DB">
        <w:rPr>
          <w:i/>
        </w:rPr>
        <w:t>Naval Research Logistics</w:t>
      </w:r>
      <w:r w:rsidRPr="00A772DB">
        <w:t>, Vol. 60 No. 1, pp.31-45.</w:t>
      </w:r>
    </w:p>
    <w:bookmarkEnd w:id="5"/>
    <w:p w14:paraId="55662ECB" w14:textId="77777777" w:rsidR="00605E0B" w:rsidRPr="00A772DB" w:rsidRDefault="00605E0B" w:rsidP="00605E0B">
      <w:pPr>
        <w:spacing w:line="480" w:lineRule="auto"/>
        <w:rPr>
          <w:lang w:val="en-GB"/>
        </w:rPr>
      </w:pPr>
    </w:p>
    <w:p w14:paraId="4C1E0D45" w14:textId="77777777" w:rsidR="00605E0B" w:rsidRPr="00A772DB" w:rsidRDefault="00605E0B" w:rsidP="00605E0B">
      <w:pPr>
        <w:spacing w:line="480" w:lineRule="auto"/>
        <w:rPr>
          <w:lang w:val="en-GB"/>
        </w:rPr>
      </w:pPr>
    </w:p>
    <w:p w14:paraId="37EFDCA5" w14:textId="77777777" w:rsidR="00605E0B" w:rsidRPr="00A772DB" w:rsidRDefault="00605E0B" w:rsidP="00605E0B">
      <w:pPr>
        <w:spacing w:after="200" w:line="480" w:lineRule="auto"/>
        <w:rPr>
          <w:lang w:val="en-GB"/>
        </w:rPr>
      </w:pPr>
      <w:r w:rsidRPr="00A772DB">
        <w:rPr>
          <w:lang w:val="en-GB"/>
        </w:rPr>
        <w:br w:type="page"/>
      </w:r>
    </w:p>
    <w:p w14:paraId="07F071D9" w14:textId="77777777" w:rsidR="00605E0B" w:rsidRPr="00A772DB" w:rsidRDefault="00605E0B" w:rsidP="00605E0B">
      <w:pPr>
        <w:autoSpaceDE w:val="0"/>
        <w:autoSpaceDN w:val="0"/>
        <w:adjustRightInd w:val="0"/>
        <w:spacing w:line="480" w:lineRule="auto"/>
        <w:jc w:val="center"/>
        <w:rPr>
          <w:b/>
          <w:bCs/>
          <w:lang w:val="en-GB"/>
        </w:rPr>
      </w:pPr>
      <w:r w:rsidRPr="00A772DB">
        <w:rPr>
          <w:b/>
          <w:bCs/>
          <w:lang w:val="en-GB"/>
        </w:rPr>
        <w:lastRenderedPageBreak/>
        <w:t>Table 1</w:t>
      </w:r>
    </w:p>
    <w:p w14:paraId="2E4C4562" w14:textId="77777777" w:rsidR="00605E0B" w:rsidRPr="00A772DB" w:rsidRDefault="00605E0B" w:rsidP="00605E0B">
      <w:pPr>
        <w:spacing w:line="480" w:lineRule="auto"/>
        <w:jc w:val="center"/>
        <w:rPr>
          <w:b/>
          <w:bCs/>
          <w:lang w:val="en-GB"/>
        </w:rPr>
      </w:pPr>
      <w:r w:rsidRPr="00A772DB">
        <w:rPr>
          <w:b/>
          <w:bCs/>
          <w:lang w:val="en-GB"/>
        </w:rPr>
        <w:t>Correlation matrix for the measurement scales</w:t>
      </w:r>
    </w:p>
    <w:p w14:paraId="3F0E993E" w14:textId="77777777" w:rsidR="00605E0B" w:rsidRPr="00A772DB" w:rsidRDefault="00605E0B" w:rsidP="00605E0B">
      <w:pPr>
        <w:autoSpaceDE w:val="0"/>
        <w:autoSpaceDN w:val="0"/>
        <w:adjustRightInd w:val="0"/>
        <w:spacing w:line="480" w:lineRule="auto"/>
        <w:rPr>
          <w:lang w:val="en-GB" w:eastAsia="nb-NO"/>
        </w:rPr>
      </w:pPr>
    </w:p>
    <w:tbl>
      <w:tblPr>
        <w:tblW w:w="64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63"/>
        <w:gridCol w:w="2524"/>
        <w:gridCol w:w="1250"/>
        <w:gridCol w:w="814"/>
        <w:gridCol w:w="810"/>
        <w:gridCol w:w="928"/>
      </w:tblGrid>
      <w:tr w:rsidR="001B7ECB" w:rsidRPr="00A772DB" w14:paraId="4303E0BA" w14:textId="77777777" w:rsidTr="001B7ECB">
        <w:trPr>
          <w:cantSplit/>
          <w:trHeight w:val="584"/>
          <w:tblHeader/>
          <w:jc w:val="center"/>
        </w:trPr>
        <w:tc>
          <w:tcPr>
            <w:tcW w:w="0" w:type="auto"/>
            <w:tcBorders>
              <w:top w:val="single" w:sz="4" w:space="0" w:color="auto"/>
              <w:left w:val="nil"/>
              <w:bottom w:val="single" w:sz="4" w:space="0" w:color="auto"/>
              <w:right w:val="nil"/>
            </w:tcBorders>
            <w:shd w:val="clear" w:color="auto" w:fill="FFFFFF"/>
          </w:tcPr>
          <w:p w14:paraId="2E19B4CB" w14:textId="77777777" w:rsidR="001B7ECB" w:rsidRPr="00A772DB" w:rsidRDefault="001B7ECB" w:rsidP="001230DA">
            <w:pPr>
              <w:autoSpaceDE w:val="0"/>
              <w:autoSpaceDN w:val="0"/>
              <w:adjustRightInd w:val="0"/>
              <w:spacing w:line="480" w:lineRule="auto"/>
              <w:rPr>
                <w:sz w:val="20"/>
                <w:lang w:val="en-GB" w:eastAsia="nb-NO"/>
              </w:rPr>
            </w:pPr>
          </w:p>
        </w:tc>
        <w:tc>
          <w:tcPr>
            <w:tcW w:w="24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B399E59" w14:textId="77777777" w:rsidR="001B7ECB" w:rsidRPr="00A772DB" w:rsidRDefault="001B7ECB" w:rsidP="001230DA">
            <w:pPr>
              <w:autoSpaceDE w:val="0"/>
              <w:autoSpaceDN w:val="0"/>
              <w:adjustRightInd w:val="0"/>
              <w:spacing w:line="480" w:lineRule="auto"/>
              <w:rPr>
                <w:sz w:val="20"/>
                <w:lang w:val="en-GB" w:eastAsia="nb-NO"/>
              </w:rPr>
            </w:pPr>
          </w:p>
        </w:tc>
        <w:tc>
          <w:tcPr>
            <w:tcW w:w="1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C7C8490"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1</w:t>
            </w:r>
          </w:p>
        </w:tc>
        <w:tc>
          <w:tcPr>
            <w:tcW w:w="81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2FF6660D"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2</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AB5BD1E"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3</w:t>
            </w:r>
          </w:p>
        </w:tc>
        <w:tc>
          <w:tcPr>
            <w:tcW w:w="92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4924EACF"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4</w:t>
            </w:r>
          </w:p>
        </w:tc>
      </w:tr>
      <w:tr w:rsidR="001B7ECB" w:rsidRPr="00A772DB" w14:paraId="454F047A" w14:textId="77777777" w:rsidTr="001B7ECB">
        <w:trPr>
          <w:cantSplit/>
          <w:trHeight w:val="603"/>
          <w:tblHeader/>
          <w:jc w:val="center"/>
        </w:trPr>
        <w:tc>
          <w:tcPr>
            <w:tcW w:w="0" w:type="auto"/>
            <w:tcBorders>
              <w:top w:val="single" w:sz="4" w:space="0" w:color="auto"/>
              <w:left w:val="nil"/>
              <w:bottom w:val="nil"/>
              <w:right w:val="nil"/>
            </w:tcBorders>
            <w:shd w:val="clear" w:color="auto" w:fill="FFFFFF"/>
          </w:tcPr>
          <w:p w14:paraId="06D10E40"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1</w:t>
            </w:r>
          </w:p>
        </w:tc>
        <w:tc>
          <w:tcPr>
            <w:tcW w:w="2477" w:type="dxa"/>
            <w:tcBorders>
              <w:top w:val="single" w:sz="4" w:space="0" w:color="auto"/>
              <w:left w:val="nil"/>
              <w:bottom w:val="nil"/>
              <w:right w:val="nil"/>
            </w:tcBorders>
            <w:shd w:val="clear" w:color="auto" w:fill="FFFFFF"/>
            <w:tcMar>
              <w:top w:w="30" w:type="dxa"/>
              <w:left w:w="30" w:type="dxa"/>
              <w:bottom w:w="30" w:type="dxa"/>
              <w:right w:w="30" w:type="dxa"/>
            </w:tcMar>
          </w:tcPr>
          <w:p w14:paraId="1D1C5617"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Intra-</w:t>
            </w:r>
            <w:proofErr w:type="spellStart"/>
            <w:r w:rsidRPr="00A772DB">
              <w:rPr>
                <w:color w:val="000000"/>
                <w:sz w:val="20"/>
                <w:lang w:val="en-GB" w:eastAsia="nb-NO"/>
              </w:rPr>
              <w:t>Org.Spec</w:t>
            </w:r>
            <w:proofErr w:type="spellEnd"/>
            <w:r w:rsidRPr="00A772DB">
              <w:rPr>
                <w:color w:val="000000"/>
                <w:sz w:val="20"/>
                <w:lang w:val="en-GB" w:eastAsia="nb-NO"/>
              </w:rPr>
              <w:t>.</w:t>
            </w:r>
          </w:p>
        </w:tc>
        <w:tc>
          <w:tcPr>
            <w:tcW w:w="12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31F639B"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1</w:t>
            </w:r>
          </w:p>
        </w:tc>
        <w:tc>
          <w:tcPr>
            <w:tcW w:w="81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463D1470" w14:textId="77777777" w:rsidR="001B7ECB" w:rsidRPr="00A772DB" w:rsidRDefault="001B7ECB" w:rsidP="001230DA">
            <w:pPr>
              <w:autoSpaceDE w:val="0"/>
              <w:autoSpaceDN w:val="0"/>
              <w:adjustRightInd w:val="0"/>
              <w:spacing w:line="480" w:lineRule="auto"/>
              <w:rPr>
                <w:color w:val="000000"/>
                <w:sz w:val="20"/>
                <w:lang w:val="en-GB" w:eastAsia="nb-NO"/>
              </w:rPr>
            </w:pPr>
          </w:p>
        </w:tc>
        <w:tc>
          <w:tcPr>
            <w:tcW w:w="81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045F271" w14:textId="77777777" w:rsidR="001B7ECB" w:rsidRPr="00A772DB" w:rsidRDefault="001B7ECB" w:rsidP="001230DA">
            <w:pPr>
              <w:autoSpaceDE w:val="0"/>
              <w:autoSpaceDN w:val="0"/>
              <w:adjustRightInd w:val="0"/>
              <w:spacing w:line="480" w:lineRule="auto"/>
              <w:rPr>
                <w:color w:val="000000"/>
                <w:sz w:val="20"/>
                <w:lang w:val="en-GB" w:eastAsia="nb-NO"/>
              </w:rPr>
            </w:pPr>
          </w:p>
        </w:tc>
        <w:tc>
          <w:tcPr>
            <w:tcW w:w="92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672A628" w14:textId="77777777" w:rsidR="001B7ECB" w:rsidRPr="00A772DB" w:rsidRDefault="001B7ECB" w:rsidP="001230DA">
            <w:pPr>
              <w:autoSpaceDE w:val="0"/>
              <w:autoSpaceDN w:val="0"/>
              <w:adjustRightInd w:val="0"/>
              <w:spacing w:line="480" w:lineRule="auto"/>
              <w:rPr>
                <w:color w:val="000000"/>
                <w:sz w:val="20"/>
                <w:lang w:val="en-GB" w:eastAsia="nb-NO"/>
              </w:rPr>
            </w:pPr>
          </w:p>
        </w:tc>
      </w:tr>
      <w:tr w:rsidR="001B7ECB" w:rsidRPr="00A772DB" w14:paraId="57D967F9" w14:textId="77777777" w:rsidTr="001B7ECB">
        <w:trPr>
          <w:cantSplit/>
          <w:trHeight w:val="584"/>
          <w:tblHeader/>
          <w:jc w:val="center"/>
        </w:trPr>
        <w:tc>
          <w:tcPr>
            <w:tcW w:w="0" w:type="auto"/>
            <w:tcBorders>
              <w:top w:val="nil"/>
              <w:left w:val="nil"/>
              <w:bottom w:val="nil"/>
              <w:right w:val="nil"/>
            </w:tcBorders>
            <w:shd w:val="clear" w:color="auto" w:fill="FFFFFF"/>
          </w:tcPr>
          <w:p w14:paraId="036B97A9"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2</w:t>
            </w:r>
          </w:p>
        </w:tc>
        <w:tc>
          <w:tcPr>
            <w:tcW w:w="2477" w:type="dxa"/>
            <w:tcBorders>
              <w:top w:val="nil"/>
              <w:left w:val="nil"/>
              <w:bottom w:val="nil"/>
              <w:right w:val="nil"/>
            </w:tcBorders>
            <w:shd w:val="clear" w:color="auto" w:fill="FFFFFF"/>
            <w:tcMar>
              <w:top w:w="30" w:type="dxa"/>
              <w:left w:w="30" w:type="dxa"/>
              <w:bottom w:w="30" w:type="dxa"/>
              <w:right w:w="30" w:type="dxa"/>
            </w:tcMar>
          </w:tcPr>
          <w:p w14:paraId="51A5F1FB"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Inter-</w:t>
            </w:r>
            <w:proofErr w:type="spellStart"/>
            <w:r w:rsidRPr="00A772DB">
              <w:rPr>
                <w:color w:val="000000"/>
                <w:sz w:val="20"/>
                <w:lang w:val="en-GB" w:eastAsia="nb-NO"/>
              </w:rPr>
              <w:t>Org.Spec</w:t>
            </w:r>
            <w:proofErr w:type="spellEnd"/>
            <w:r w:rsidRPr="00A772DB">
              <w:rPr>
                <w:color w:val="000000"/>
                <w:sz w:val="20"/>
                <w:lang w:val="en-GB" w:eastAsia="nb-NO"/>
              </w:rPr>
              <w:t>.</w:t>
            </w:r>
          </w:p>
        </w:tc>
        <w:tc>
          <w:tcPr>
            <w:tcW w:w="1250" w:type="dxa"/>
            <w:tcBorders>
              <w:top w:val="nil"/>
              <w:left w:val="nil"/>
              <w:bottom w:val="nil"/>
              <w:right w:val="nil"/>
            </w:tcBorders>
            <w:shd w:val="clear" w:color="auto" w:fill="FFFFFF"/>
            <w:tcMar>
              <w:top w:w="30" w:type="dxa"/>
              <w:left w:w="30" w:type="dxa"/>
              <w:bottom w:w="30" w:type="dxa"/>
              <w:right w:w="30" w:type="dxa"/>
            </w:tcMar>
            <w:vAlign w:val="center"/>
          </w:tcPr>
          <w:p w14:paraId="6640FDE0" w14:textId="6E9C591B" w:rsidR="001B7ECB" w:rsidRPr="00A772DB" w:rsidRDefault="001B7ECB" w:rsidP="00A54F22">
            <w:pPr>
              <w:autoSpaceDE w:val="0"/>
              <w:autoSpaceDN w:val="0"/>
              <w:adjustRightInd w:val="0"/>
              <w:spacing w:line="480" w:lineRule="auto"/>
              <w:rPr>
                <w:color w:val="000000"/>
                <w:sz w:val="20"/>
                <w:lang w:val="en-GB" w:eastAsia="nb-NO"/>
              </w:rPr>
            </w:pPr>
            <w:r w:rsidRPr="00A772DB">
              <w:rPr>
                <w:color w:val="000000"/>
                <w:sz w:val="20"/>
                <w:lang w:val="en-GB" w:eastAsia="nb-NO"/>
              </w:rPr>
              <w:t>0.69</w:t>
            </w:r>
          </w:p>
        </w:tc>
        <w:tc>
          <w:tcPr>
            <w:tcW w:w="814" w:type="dxa"/>
            <w:tcBorders>
              <w:top w:val="nil"/>
              <w:left w:val="nil"/>
              <w:bottom w:val="nil"/>
              <w:right w:val="nil"/>
            </w:tcBorders>
            <w:shd w:val="clear" w:color="auto" w:fill="FFFFFF"/>
            <w:tcMar>
              <w:top w:w="30" w:type="dxa"/>
              <w:left w:w="30" w:type="dxa"/>
              <w:bottom w:w="30" w:type="dxa"/>
              <w:right w:w="30" w:type="dxa"/>
            </w:tcMar>
            <w:vAlign w:val="center"/>
          </w:tcPr>
          <w:p w14:paraId="66587674"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1</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6AC5388C" w14:textId="77777777" w:rsidR="001B7ECB" w:rsidRPr="00A772DB" w:rsidRDefault="001B7ECB" w:rsidP="001230DA">
            <w:pPr>
              <w:autoSpaceDE w:val="0"/>
              <w:autoSpaceDN w:val="0"/>
              <w:adjustRightInd w:val="0"/>
              <w:spacing w:line="480" w:lineRule="auto"/>
              <w:jc w:val="right"/>
              <w:rPr>
                <w:color w:val="000000"/>
                <w:sz w:val="20"/>
                <w:lang w:val="en-GB" w:eastAsia="nb-NO"/>
              </w:rPr>
            </w:pPr>
          </w:p>
        </w:tc>
        <w:tc>
          <w:tcPr>
            <w:tcW w:w="928" w:type="dxa"/>
            <w:tcBorders>
              <w:top w:val="nil"/>
              <w:left w:val="nil"/>
              <w:bottom w:val="nil"/>
              <w:right w:val="nil"/>
            </w:tcBorders>
            <w:shd w:val="clear" w:color="auto" w:fill="FFFFFF"/>
            <w:tcMar>
              <w:top w:w="30" w:type="dxa"/>
              <w:left w:w="30" w:type="dxa"/>
              <w:bottom w:w="30" w:type="dxa"/>
              <w:right w:w="30" w:type="dxa"/>
            </w:tcMar>
            <w:vAlign w:val="center"/>
          </w:tcPr>
          <w:p w14:paraId="2B174F18" w14:textId="77777777" w:rsidR="001B7ECB" w:rsidRPr="00A772DB" w:rsidRDefault="001B7ECB" w:rsidP="001230DA">
            <w:pPr>
              <w:autoSpaceDE w:val="0"/>
              <w:autoSpaceDN w:val="0"/>
              <w:adjustRightInd w:val="0"/>
              <w:spacing w:line="480" w:lineRule="auto"/>
              <w:jc w:val="right"/>
              <w:rPr>
                <w:color w:val="000000"/>
                <w:sz w:val="20"/>
                <w:lang w:val="en-GB" w:eastAsia="nb-NO"/>
              </w:rPr>
            </w:pPr>
          </w:p>
        </w:tc>
      </w:tr>
      <w:tr w:rsidR="001B7ECB" w:rsidRPr="00A772DB" w14:paraId="1F3B586F" w14:textId="77777777" w:rsidTr="001B7ECB">
        <w:trPr>
          <w:cantSplit/>
          <w:trHeight w:val="603"/>
          <w:tblHeader/>
          <w:jc w:val="center"/>
        </w:trPr>
        <w:tc>
          <w:tcPr>
            <w:tcW w:w="0" w:type="auto"/>
            <w:tcBorders>
              <w:top w:val="nil"/>
              <w:left w:val="nil"/>
              <w:bottom w:val="nil"/>
              <w:right w:val="nil"/>
            </w:tcBorders>
            <w:shd w:val="clear" w:color="auto" w:fill="FFFFFF"/>
          </w:tcPr>
          <w:p w14:paraId="4A7693F2"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3</w:t>
            </w:r>
          </w:p>
        </w:tc>
        <w:tc>
          <w:tcPr>
            <w:tcW w:w="2477" w:type="dxa"/>
            <w:tcBorders>
              <w:top w:val="nil"/>
              <w:left w:val="nil"/>
              <w:bottom w:val="nil"/>
              <w:right w:val="nil"/>
            </w:tcBorders>
            <w:shd w:val="clear" w:color="auto" w:fill="FFFFFF"/>
            <w:tcMar>
              <w:top w:w="30" w:type="dxa"/>
              <w:left w:w="30" w:type="dxa"/>
              <w:bottom w:w="30" w:type="dxa"/>
              <w:right w:w="30" w:type="dxa"/>
            </w:tcMar>
          </w:tcPr>
          <w:p w14:paraId="4216989C"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Competition</w:t>
            </w:r>
          </w:p>
        </w:tc>
        <w:tc>
          <w:tcPr>
            <w:tcW w:w="1250" w:type="dxa"/>
            <w:tcBorders>
              <w:top w:val="nil"/>
              <w:left w:val="nil"/>
              <w:bottom w:val="nil"/>
              <w:right w:val="nil"/>
            </w:tcBorders>
            <w:shd w:val="clear" w:color="auto" w:fill="FFFFFF"/>
            <w:tcMar>
              <w:top w:w="30" w:type="dxa"/>
              <w:left w:w="30" w:type="dxa"/>
              <w:bottom w:w="30" w:type="dxa"/>
              <w:right w:w="30" w:type="dxa"/>
            </w:tcMar>
            <w:vAlign w:val="center"/>
          </w:tcPr>
          <w:p w14:paraId="77E96F83" w14:textId="5F958640" w:rsidR="001B7ECB" w:rsidRPr="00A772DB" w:rsidRDefault="001B7ECB" w:rsidP="00A54F22">
            <w:pPr>
              <w:autoSpaceDE w:val="0"/>
              <w:autoSpaceDN w:val="0"/>
              <w:adjustRightInd w:val="0"/>
              <w:spacing w:line="480" w:lineRule="auto"/>
              <w:rPr>
                <w:color w:val="000000"/>
                <w:sz w:val="20"/>
                <w:lang w:val="en-GB" w:eastAsia="nb-NO"/>
              </w:rPr>
            </w:pPr>
            <w:r w:rsidRPr="00A772DB">
              <w:rPr>
                <w:color w:val="000000"/>
                <w:sz w:val="20"/>
                <w:lang w:val="en-GB" w:eastAsia="nb-NO"/>
              </w:rPr>
              <w:t>0.25</w:t>
            </w:r>
          </w:p>
        </w:tc>
        <w:tc>
          <w:tcPr>
            <w:tcW w:w="814" w:type="dxa"/>
            <w:tcBorders>
              <w:top w:val="nil"/>
              <w:left w:val="nil"/>
              <w:bottom w:val="nil"/>
              <w:right w:val="nil"/>
            </w:tcBorders>
            <w:shd w:val="clear" w:color="auto" w:fill="FFFFFF"/>
            <w:tcMar>
              <w:top w:w="30" w:type="dxa"/>
              <w:left w:w="30" w:type="dxa"/>
              <w:bottom w:w="30" w:type="dxa"/>
              <w:right w:w="30" w:type="dxa"/>
            </w:tcMar>
            <w:vAlign w:val="center"/>
          </w:tcPr>
          <w:p w14:paraId="5167E26F"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0.07</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1966A141"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1</w:t>
            </w:r>
          </w:p>
        </w:tc>
        <w:tc>
          <w:tcPr>
            <w:tcW w:w="928" w:type="dxa"/>
            <w:tcBorders>
              <w:top w:val="nil"/>
              <w:left w:val="nil"/>
              <w:bottom w:val="nil"/>
              <w:right w:val="nil"/>
            </w:tcBorders>
            <w:shd w:val="clear" w:color="auto" w:fill="FFFFFF"/>
            <w:tcMar>
              <w:top w:w="30" w:type="dxa"/>
              <w:left w:w="30" w:type="dxa"/>
              <w:bottom w:w="30" w:type="dxa"/>
              <w:right w:w="30" w:type="dxa"/>
            </w:tcMar>
            <w:vAlign w:val="center"/>
          </w:tcPr>
          <w:p w14:paraId="114507CB" w14:textId="77777777" w:rsidR="001B7ECB" w:rsidRPr="00A772DB" w:rsidRDefault="001B7ECB" w:rsidP="001230DA">
            <w:pPr>
              <w:autoSpaceDE w:val="0"/>
              <w:autoSpaceDN w:val="0"/>
              <w:adjustRightInd w:val="0"/>
              <w:spacing w:line="480" w:lineRule="auto"/>
              <w:jc w:val="right"/>
              <w:rPr>
                <w:color w:val="000000"/>
                <w:sz w:val="20"/>
                <w:lang w:val="en-GB" w:eastAsia="nb-NO"/>
              </w:rPr>
            </w:pPr>
          </w:p>
        </w:tc>
      </w:tr>
      <w:tr w:rsidR="001B7ECB" w:rsidRPr="00A772DB" w14:paraId="345D0861" w14:textId="77777777" w:rsidTr="001B7ECB">
        <w:trPr>
          <w:cantSplit/>
          <w:trHeight w:val="603"/>
          <w:tblHeader/>
          <w:jc w:val="center"/>
        </w:trPr>
        <w:tc>
          <w:tcPr>
            <w:tcW w:w="0" w:type="auto"/>
            <w:tcBorders>
              <w:top w:val="nil"/>
              <w:left w:val="nil"/>
              <w:bottom w:val="nil"/>
              <w:right w:val="nil"/>
            </w:tcBorders>
            <w:shd w:val="clear" w:color="auto" w:fill="FFFFFF"/>
          </w:tcPr>
          <w:p w14:paraId="42BC4F99"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4</w:t>
            </w:r>
          </w:p>
        </w:tc>
        <w:tc>
          <w:tcPr>
            <w:tcW w:w="2477" w:type="dxa"/>
            <w:tcBorders>
              <w:top w:val="nil"/>
              <w:left w:val="nil"/>
              <w:bottom w:val="nil"/>
              <w:right w:val="nil"/>
            </w:tcBorders>
            <w:shd w:val="clear" w:color="auto" w:fill="FFFFFF"/>
            <w:tcMar>
              <w:top w:w="30" w:type="dxa"/>
              <w:left w:w="30" w:type="dxa"/>
              <w:bottom w:w="30" w:type="dxa"/>
              <w:right w:w="30" w:type="dxa"/>
            </w:tcMar>
          </w:tcPr>
          <w:p w14:paraId="4D46800A"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Innovation</w:t>
            </w:r>
          </w:p>
        </w:tc>
        <w:tc>
          <w:tcPr>
            <w:tcW w:w="1250" w:type="dxa"/>
            <w:tcBorders>
              <w:top w:val="nil"/>
              <w:left w:val="nil"/>
              <w:bottom w:val="nil"/>
              <w:right w:val="nil"/>
            </w:tcBorders>
            <w:shd w:val="clear" w:color="auto" w:fill="FFFFFF"/>
            <w:tcMar>
              <w:top w:w="30" w:type="dxa"/>
              <w:left w:w="30" w:type="dxa"/>
              <w:bottom w:w="30" w:type="dxa"/>
              <w:right w:w="30" w:type="dxa"/>
            </w:tcMar>
            <w:vAlign w:val="center"/>
          </w:tcPr>
          <w:p w14:paraId="24AAE935" w14:textId="1A166900" w:rsidR="001B7ECB" w:rsidRPr="00A772DB" w:rsidRDefault="001B7ECB" w:rsidP="00A54F22">
            <w:pPr>
              <w:autoSpaceDE w:val="0"/>
              <w:autoSpaceDN w:val="0"/>
              <w:adjustRightInd w:val="0"/>
              <w:spacing w:line="480" w:lineRule="auto"/>
              <w:rPr>
                <w:color w:val="000000"/>
                <w:sz w:val="20"/>
                <w:lang w:val="en-GB" w:eastAsia="nb-NO"/>
              </w:rPr>
            </w:pPr>
            <w:r w:rsidRPr="00A772DB">
              <w:rPr>
                <w:color w:val="000000"/>
                <w:sz w:val="20"/>
                <w:lang w:val="en-GB" w:eastAsia="nb-NO"/>
              </w:rPr>
              <w:t>0.32</w:t>
            </w:r>
          </w:p>
        </w:tc>
        <w:tc>
          <w:tcPr>
            <w:tcW w:w="814" w:type="dxa"/>
            <w:tcBorders>
              <w:top w:val="nil"/>
              <w:left w:val="nil"/>
              <w:bottom w:val="nil"/>
              <w:right w:val="nil"/>
            </w:tcBorders>
            <w:shd w:val="clear" w:color="auto" w:fill="FFFFFF"/>
            <w:tcMar>
              <w:top w:w="30" w:type="dxa"/>
              <w:left w:w="30" w:type="dxa"/>
              <w:bottom w:w="30" w:type="dxa"/>
              <w:right w:w="30" w:type="dxa"/>
            </w:tcMar>
            <w:vAlign w:val="center"/>
          </w:tcPr>
          <w:p w14:paraId="4BC16D78" w14:textId="76C8C4C7" w:rsidR="001B7ECB" w:rsidRPr="00A772DB" w:rsidRDefault="001B7ECB" w:rsidP="00A54F22">
            <w:pPr>
              <w:autoSpaceDE w:val="0"/>
              <w:autoSpaceDN w:val="0"/>
              <w:adjustRightInd w:val="0"/>
              <w:spacing w:line="480" w:lineRule="auto"/>
              <w:rPr>
                <w:color w:val="000000"/>
                <w:sz w:val="20"/>
                <w:lang w:val="en-GB" w:eastAsia="nb-NO"/>
              </w:rPr>
            </w:pPr>
            <w:r w:rsidRPr="00A772DB">
              <w:rPr>
                <w:color w:val="000000"/>
                <w:sz w:val="20"/>
                <w:lang w:val="en-GB" w:eastAsia="nb-NO"/>
              </w:rPr>
              <w:t>0.22</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56917EEA" w14:textId="67E87A5E" w:rsidR="001B7ECB" w:rsidRPr="00A772DB" w:rsidRDefault="001B7ECB" w:rsidP="00A54F22">
            <w:pPr>
              <w:autoSpaceDE w:val="0"/>
              <w:autoSpaceDN w:val="0"/>
              <w:adjustRightInd w:val="0"/>
              <w:spacing w:line="480" w:lineRule="auto"/>
              <w:rPr>
                <w:color w:val="000000"/>
                <w:sz w:val="20"/>
                <w:lang w:val="en-GB" w:eastAsia="nb-NO"/>
              </w:rPr>
            </w:pPr>
            <w:r w:rsidRPr="00A772DB">
              <w:rPr>
                <w:color w:val="000000"/>
                <w:sz w:val="20"/>
                <w:lang w:val="en-GB" w:eastAsia="nb-NO"/>
              </w:rPr>
              <w:t>0.23</w:t>
            </w:r>
          </w:p>
        </w:tc>
        <w:tc>
          <w:tcPr>
            <w:tcW w:w="928" w:type="dxa"/>
            <w:tcBorders>
              <w:top w:val="nil"/>
              <w:left w:val="nil"/>
              <w:bottom w:val="nil"/>
              <w:right w:val="nil"/>
            </w:tcBorders>
            <w:shd w:val="clear" w:color="auto" w:fill="FFFFFF"/>
            <w:tcMar>
              <w:top w:w="30" w:type="dxa"/>
              <w:left w:w="30" w:type="dxa"/>
              <w:bottom w:w="30" w:type="dxa"/>
              <w:right w:w="30" w:type="dxa"/>
            </w:tcMar>
            <w:vAlign w:val="center"/>
          </w:tcPr>
          <w:p w14:paraId="26BECD8C"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1</w:t>
            </w:r>
          </w:p>
        </w:tc>
      </w:tr>
      <w:tr w:rsidR="001B7ECB" w:rsidRPr="00A772DB" w14:paraId="09B9E85B" w14:textId="77777777" w:rsidTr="001B7ECB">
        <w:trPr>
          <w:cantSplit/>
          <w:trHeight w:val="584"/>
          <w:tblHeader/>
          <w:jc w:val="center"/>
        </w:trPr>
        <w:tc>
          <w:tcPr>
            <w:tcW w:w="2687" w:type="dxa"/>
            <w:gridSpan w:val="2"/>
            <w:tcBorders>
              <w:top w:val="single" w:sz="4" w:space="0" w:color="auto"/>
              <w:left w:val="nil"/>
              <w:bottom w:val="nil"/>
              <w:right w:val="nil"/>
            </w:tcBorders>
            <w:shd w:val="clear" w:color="auto" w:fill="FFFFFF"/>
          </w:tcPr>
          <w:p w14:paraId="6B872C30" w14:textId="77777777" w:rsidR="001B7ECB" w:rsidRPr="00A772DB" w:rsidRDefault="001B7ECB" w:rsidP="001230DA">
            <w:pPr>
              <w:autoSpaceDE w:val="0"/>
              <w:autoSpaceDN w:val="0"/>
              <w:adjustRightInd w:val="0"/>
              <w:spacing w:line="480" w:lineRule="auto"/>
              <w:rPr>
                <w:b/>
                <w:color w:val="000000"/>
                <w:sz w:val="20"/>
                <w:lang w:val="en-GB" w:eastAsia="nb-NO"/>
              </w:rPr>
            </w:pPr>
            <w:r w:rsidRPr="00A772DB">
              <w:rPr>
                <w:b/>
                <w:color w:val="000000"/>
                <w:sz w:val="20"/>
                <w:lang w:val="en-GB" w:eastAsia="nb-NO"/>
              </w:rPr>
              <w:t>Descriptive statistics:</w:t>
            </w:r>
          </w:p>
        </w:tc>
        <w:tc>
          <w:tcPr>
            <w:tcW w:w="12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BB72AF1" w14:textId="77777777" w:rsidR="001B7ECB" w:rsidRPr="00A772DB" w:rsidRDefault="001B7ECB" w:rsidP="001230DA">
            <w:pPr>
              <w:autoSpaceDE w:val="0"/>
              <w:autoSpaceDN w:val="0"/>
              <w:adjustRightInd w:val="0"/>
              <w:spacing w:line="480" w:lineRule="auto"/>
              <w:rPr>
                <w:color w:val="000000"/>
                <w:sz w:val="20"/>
                <w:lang w:val="en-GB" w:eastAsia="nb-NO"/>
              </w:rPr>
            </w:pPr>
          </w:p>
        </w:tc>
        <w:tc>
          <w:tcPr>
            <w:tcW w:w="81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CF742FA" w14:textId="77777777" w:rsidR="001B7ECB" w:rsidRPr="00A772DB" w:rsidRDefault="001B7ECB" w:rsidP="001230DA">
            <w:pPr>
              <w:autoSpaceDE w:val="0"/>
              <w:autoSpaceDN w:val="0"/>
              <w:adjustRightInd w:val="0"/>
              <w:spacing w:line="480" w:lineRule="auto"/>
              <w:rPr>
                <w:color w:val="000000"/>
                <w:sz w:val="20"/>
                <w:lang w:val="en-GB" w:eastAsia="nb-NO"/>
              </w:rPr>
            </w:pPr>
          </w:p>
        </w:tc>
        <w:tc>
          <w:tcPr>
            <w:tcW w:w="81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4D17273" w14:textId="77777777" w:rsidR="001B7ECB" w:rsidRPr="00A772DB" w:rsidRDefault="001B7ECB" w:rsidP="001230DA">
            <w:pPr>
              <w:autoSpaceDE w:val="0"/>
              <w:autoSpaceDN w:val="0"/>
              <w:adjustRightInd w:val="0"/>
              <w:spacing w:line="480" w:lineRule="auto"/>
              <w:rPr>
                <w:color w:val="000000"/>
                <w:sz w:val="20"/>
                <w:lang w:val="en-GB" w:eastAsia="nb-NO"/>
              </w:rPr>
            </w:pPr>
          </w:p>
        </w:tc>
        <w:tc>
          <w:tcPr>
            <w:tcW w:w="92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220628B" w14:textId="77777777" w:rsidR="001B7ECB" w:rsidRPr="00A772DB" w:rsidRDefault="001B7ECB" w:rsidP="001230DA">
            <w:pPr>
              <w:autoSpaceDE w:val="0"/>
              <w:autoSpaceDN w:val="0"/>
              <w:adjustRightInd w:val="0"/>
              <w:spacing w:line="480" w:lineRule="auto"/>
              <w:rPr>
                <w:color w:val="000000"/>
                <w:sz w:val="20"/>
                <w:lang w:val="en-GB" w:eastAsia="nb-NO"/>
              </w:rPr>
            </w:pPr>
          </w:p>
        </w:tc>
      </w:tr>
      <w:tr w:rsidR="001B7ECB" w:rsidRPr="00A772DB" w14:paraId="6AEA8C5D" w14:textId="77777777" w:rsidTr="001B7ECB">
        <w:trPr>
          <w:cantSplit/>
          <w:trHeight w:val="603"/>
          <w:tblHeader/>
          <w:jc w:val="center"/>
        </w:trPr>
        <w:tc>
          <w:tcPr>
            <w:tcW w:w="2687" w:type="dxa"/>
            <w:gridSpan w:val="2"/>
            <w:tcBorders>
              <w:top w:val="nil"/>
              <w:left w:val="nil"/>
              <w:bottom w:val="nil"/>
              <w:right w:val="nil"/>
            </w:tcBorders>
            <w:shd w:val="clear" w:color="auto" w:fill="FFFFFF"/>
          </w:tcPr>
          <w:p w14:paraId="3C139B03"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Mean value</w:t>
            </w:r>
          </w:p>
        </w:tc>
        <w:tc>
          <w:tcPr>
            <w:tcW w:w="1250" w:type="dxa"/>
            <w:tcBorders>
              <w:top w:val="nil"/>
              <w:left w:val="nil"/>
              <w:bottom w:val="nil"/>
              <w:right w:val="nil"/>
            </w:tcBorders>
            <w:shd w:val="clear" w:color="auto" w:fill="FFFFFF"/>
            <w:tcMar>
              <w:top w:w="30" w:type="dxa"/>
              <w:left w:w="30" w:type="dxa"/>
              <w:bottom w:w="30" w:type="dxa"/>
              <w:right w:w="30" w:type="dxa"/>
            </w:tcMar>
            <w:vAlign w:val="center"/>
          </w:tcPr>
          <w:p w14:paraId="572EA585"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3.31</w:t>
            </w:r>
          </w:p>
        </w:tc>
        <w:tc>
          <w:tcPr>
            <w:tcW w:w="814" w:type="dxa"/>
            <w:tcBorders>
              <w:top w:val="nil"/>
              <w:left w:val="nil"/>
              <w:bottom w:val="nil"/>
              <w:right w:val="nil"/>
            </w:tcBorders>
            <w:shd w:val="clear" w:color="auto" w:fill="FFFFFF"/>
            <w:tcMar>
              <w:top w:w="30" w:type="dxa"/>
              <w:left w:w="30" w:type="dxa"/>
              <w:bottom w:w="30" w:type="dxa"/>
              <w:right w:w="30" w:type="dxa"/>
            </w:tcMar>
            <w:vAlign w:val="center"/>
          </w:tcPr>
          <w:p w14:paraId="3390BA95"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3.24</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5252A2BF"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3.78</w:t>
            </w:r>
          </w:p>
        </w:tc>
        <w:tc>
          <w:tcPr>
            <w:tcW w:w="928" w:type="dxa"/>
            <w:tcBorders>
              <w:top w:val="nil"/>
              <w:left w:val="nil"/>
              <w:bottom w:val="nil"/>
              <w:right w:val="nil"/>
            </w:tcBorders>
            <w:shd w:val="clear" w:color="auto" w:fill="FFFFFF"/>
            <w:tcMar>
              <w:top w:w="30" w:type="dxa"/>
              <w:left w:w="30" w:type="dxa"/>
              <w:bottom w:w="30" w:type="dxa"/>
              <w:right w:w="30" w:type="dxa"/>
            </w:tcMar>
            <w:vAlign w:val="center"/>
          </w:tcPr>
          <w:p w14:paraId="473A5134"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3.07</w:t>
            </w:r>
          </w:p>
        </w:tc>
      </w:tr>
      <w:tr w:rsidR="001B7ECB" w:rsidRPr="00A772DB" w14:paraId="003ED9D0" w14:textId="77777777" w:rsidTr="001B7ECB">
        <w:trPr>
          <w:cantSplit/>
          <w:trHeight w:val="584"/>
          <w:tblHeader/>
          <w:jc w:val="center"/>
        </w:trPr>
        <w:tc>
          <w:tcPr>
            <w:tcW w:w="2687" w:type="dxa"/>
            <w:gridSpan w:val="2"/>
            <w:tcBorders>
              <w:top w:val="nil"/>
              <w:left w:val="nil"/>
              <w:bottom w:val="nil"/>
              <w:right w:val="nil"/>
            </w:tcBorders>
            <w:shd w:val="clear" w:color="auto" w:fill="FFFFFF"/>
          </w:tcPr>
          <w:p w14:paraId="4317B642"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St. deviation</w:t>
            </w:r>
          </w:p>
        </w:tc>
        <w:tc>
          <w:tcPr>
            <w:tcW w:w="1250" w:type="dxa"/>
            <w:tcBorders>
              <w:top w:val="nil"/>
              <w:left w:val="nil"/>
              <w:bottom w:val="nil"/>
              <w:right w:val="nil"/>
            </w:tcBorders>
            <w:shd w:val="clear" w:color="auto" w:fill="FFFFFF"/>
            <w:tcMar>
              <w:top w:w="30" w:type="dxa"/>
              <w:left w:w="30" w:type="dxa"/>
              <w:bottom w:w="30" w:type="dxa"/>
              <w:right w:w="30" w:type="dxa"/>
            </w:tcMar>
            <w:vAlign w:val="center"/>
          </w:tcPr>
          <w:p w14:paraId="7FB7E028"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 xml:space="preserve">  0.66</w:t>
            </w:r>
          </w:p>
        </w:tc>
        <w:tc>
          <w:tcPr>
            <w:tcW w:w="814" w:type="dxa"/>
            <w:tcBorders>
              <w:top w:val="nil"/>
              <w:left w:val="nil"/>
              <w:bottom w:val="nil"/>
              <w:right w:val="nil"/>
            </w:tcBorders>
            <w:shd w:val="clear" w:color="auto" w:fill="FFFFFF"/>
            <w:tcMar>
              <w:top w:w="30" w:type="dxa"/>
              <w:left w:w="30" w:type="dxa"/>
              <w:bottom w:w="30" w:type="dxa"/>
              <w:right w:w="30" w:type="dxa"/>
            </w:tcMar>
            <w:vAlign w:val="center"/>
          </w:tcPr>
          <w:p w14:paraId="4C1F6B19"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 xml:space="preserve">  0.61</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6C5C6EA1"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 xml:space="preserve">  0.74</w:t>
            </w:r>
          </w:p>
        </w:tc>
        <w:tc>
          <w:tcPr>
            <w:tcW w:w="928" w:type="dxa"/>
            <w:tcBorders>
              <w:top w:val="nil"/>
              <w:left w:val="nil"/>
              <w:bottom w:val="nil"/>
              <w:right w:val="nil"/>
            </w:tcBorders>
            <w:shd w:val="clear" w:color="auto" w:fill="FFFFFF"/>
            <w:tcMar>
              <w:top w:w="30" w:type="dxa"/>
              <w:left w:w="30" w:type="dxa"/>
              <w:bottom w:w="30" w:type="dxa"/>
              <w:right w:w="30" w:type="dxa"/>
            </w:tcMar>
            <w:vAlign w:val="center"/>
          </w:tcPr>
          <w:p w14:paraId="310CFA72"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 xml:space="preserve">  0.92</w:t>
            </w:r>
          </w:p>
        </w:tc>
      </w:tr>
      <w:tr w:rsidR="001B7ECB" w:rsidRPr="00A772DB" w14:paraId="7134EF05" w14:textId="77777777" w:rsidTr="001B7ECB">
        <w:trPr>
          <w:cantSplit/>
          <w:trHeight w:val="603"/>
          <w:tblHeader/>
          <w:jc w:val="center"/>
        </w:trPr>
        <w:tc>
          <w:tcPr>
            <w:tcW w:w="2687" w:type="dxa"/>
            <w:gridSpan w:val="2"/>
            <w:tcBorders>
              <w:top w:val="nil"/>
              <w:left w:val="nil"/>
              <w:bottom w:val="nil"/>
              <w:right w:val="nil"/>
            </w:tcBorders>
            <w:shd w:val="clear" w:color="auto" w:fill="FFFFFF"/>
          </w:tcPr>
          <w:p w14:paraId="0636AC66"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Skewness</w:t>
            </w:r>
          </w:p>
        </w:tc>
        <w:tc>
          <w:tcPr>
            <w:tcW w:w="1250" w:type="dxa"/>
            <w:tcBorders>
              <w:top w:val="nil"/>
              <w:left w:val="nil"/>
              <w:bottom w:val="nil"/>
              <w:right w:val="nil"/>
            </w:tcBorders>
            <w:shd w:val="clear" w:color="auto" w:fill="FFFFFF"/>
            <w:tcMar>
              <w:top w:w="30" w:type="dxa"/>
              <w:left w:w="30" w:type="dxa"/>
              <w:bottom w:w="30" w:type="dxa"/>
              <w:right w:w="30" w:type="dxa"/>
            </w:tcMar>
            <w:vAlign w:val="center"/>
          </w:tcPr>
          <w:p w14:paraId="7A80827E"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-0.18</w:t>
            </w:r>
          </w:p>
        </w:tc>
        <w:tc>
          <w:tcPr>
            <w:tcW w:w="814" w:type="dxa"/>
            <w:tcBorders>
              <w:top w:val="nil"/>
              <w:left w:val="nil"/>
              <w:bottom w:val="nil"/>
              <w:right w:val="nil"/>
            </w:tcBorders>
            <w:shd w:val="clear" w:color="auto" w:fill="FFFFFF"/>
            <w:tcMar>
              <w:top w:w="30" w:type="dxa"/>
              <w:left w:w="30" w:type="dxa"/>
              <w:bottom w:w="30" w:type="dxa"/>
              <w:right w:w="30" w:type="dxa"/>
            </w:tcMar>
            <w:vAlign w:val="center"/>
          </w:tcPr>
          <w:p w14:paraId="2F1B2840"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-0.02</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3FE3F857"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 xml:space="preserve"> -0.44</w:t>
            </w:r>
          </w:p>
        </w:tc>
        <w:tc>
          <w:tcPr>
            <w:tcW w:w="928" w:type="dxa"/>
            <w:tcBorders>
              <w:top w:val="nil"/>
              <w:left w:val="nil"/>
              <w:bottom w:val="nil"/>
              <w:right w:val="nil"/>
            </w:tcBorders>
            <w:shd w:val="clear" w:color="auto" w:fill="FFFFFF"/>
            <w:tcMar>
              <w:top w:w="30" w:type="dxa"/>
              <w:left w:w="30" w:type="dxa"/>
              <w:bottom w:w="30" w:type="dxa"/>
              <w:right w:w="30" w:type="dxa"/>
            </w:tcMar>
            <w:vAlign w:val="center"/>
          </w:tcPr>
          <w:p w14:paraId="27BAFA53"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-0.50</w:t>
            </w:r>
          </w:p>
        </w:tc>
      </w:tr>
      <w:tr w:rsidR="001B7ECB" w:rsidRPr="00A772DB" w14:paraId="0DA2131E" w14:textId="77777777" w:rsidTr="001B7ECB">
        <w:trPr>
          <w:cantSplit/>
          <w:trHeight w:val="584"/>
          <w:tblHeader/>
          <w:jc w:val="center"/>
        </w:trPr>
        <w:tc>
          <w:tcPr>
            <w:tcW w:w="2687" w:type="dxa"/>
            <w:gridSpan w:val="2"/>
            <w:tcBorders>
              <w:top w:val="nil"/>
              <w:left w:val="nil"/>
              <w:bottom w:val="single" w:sz="4" w:space="0" w:color="auto"/>
              <w:right w:val="nil"/>
            </w:tcBorders>
            <w:shd w:val="clear" w:color="auto" w:fill="FFFFFF"/>
          </w:tcPr>
          <w:p w14:paraId="16C281CA"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Kurtosis</w:t>
            </w:r>
          </w:p>
        </w:tc>
        <w:tc>
          <w:tcPr>
            <w:tcW w:w="12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3EF9D64F"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-0.37</w:t>
            </w:r>
          </w:p>
        </w:tc>
        <w:tc>
          <w:tcPr>
            <w:tcW w:w="814"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119F69D2"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-0.37</w:t>
            </w:r>
          </w:p>
        </w:tc>
        <w:tc>
          <w:tcPr>
            <w:tcW w:w="8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BAB5DF4"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 xml:space="preserve">   0.18</w:t>
            </w:r>
          </w:p>
        </w:tc>
        <w:tc>
          <w:tcPr>
            <w:tcW w:w="928"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68402A1D" w14:textId="77777777" w:rsidR="001B7ECB" w:rsidRPr="00A772DB" w:rsidRDefault="001B7ECB" w:rsidP="001230DA">
            <w:pPr>
              <w:autoSpaceDE w:val="0"/>
              <w:autoSpaceDN w:val="0"/>
              <w:adjustRightInd w:val="0"/>
              <w:spacing w:line="480" w:lineRule="auto"/>
              <w:rPr>
                <w:color w:val="000000"/>
                <w:sz w:val="20"/>
                <w:lang w:val="en-GB" w:eastAsia="nb-NO"/>
              </w:rPr>
            </w:pPr>
            <w:r w:rsidRPr="00A772DB">
              <w:rPr>
                <w:color w:val="000000"/>
                <w:sz w:val="20"/>
                <w:lang w:val="en-GB" w:eastAsia="nb-NO"/>
              </w:rPr>
              <w:t xml:space="preserve">  0.08</w:t>
            </w:r>
          </w:p>
        </w:tc>
      </w:tr>
    </w:tbl>
    <w:p w14:paraId="08B16B43" w14:textId="77777777" w:rsidR="00605E0B" w:rsidRPr="00A772DB" w:rsidRDefault="00605E0B" w:rsidP="00605E0B">
      <w:pPr>
        <w:autoSpaceDE w:val="0"/>
        <w:autoSpaceDN w:val="0"/>
        <w:adjustRightInd w:val="0"/>
        <w:spacing w:line="480" w:lineRule="auto"/>
        <w:rPr>
          <w:rFonts w:eastAsiaTheme="minorEastAsia"/>
          <w:szCs w:val="24"/>
          <w:lang w:val="en-GB" w:eastAsia="zh-CN"/>
        </w:rPr>
      </w:pPr>
    </w:p>
    <w:p w14:paraId="196C9181" w14:textId="77777777" w:rsidR="00605E0B" w:rsidRPr="00A772DB" w:rsidRDefault="00605E0B" w:rsidP="00605E0B">
      <w:pPr>
        <w:spacing w:line="480" w:lineRule="auto"/>
        <w:rPr>
          <w:lang w:val="en-GB"/>
        </w:rPr>
      </w:pPr>
    </w:p>
    <w:p w14:paraId="7516C31F" w14:textId="77777777" w:rsidR="00605E0B" w:rsidRPr="00A772DB" w:rsidRDefault="00605E0B" w:rsidP="00605E0B">
      <w:pPr>
        <w:autoSpaceDE w:val="0"/>
        <w:autoSpaceDN w:val="0"/>
        <w:adjustRightInd w:val="0"/>
        <w:spacing w:line="480" w:lineRule="auto"/>
        <w:rPr>
          <w:lang w:val="en-GB" w:eastAsia="nb-NO"/>
        </w:rPr>
      </w:pPr>
    </w:p>
    <w:p w14:paraId="0548847C" w14:textId="410424E2" w:rsidR="00605E0B" w:rsidRDefault="00605E0B" w:rsidP="00605E0B">
      <w:pPr>
        <w:spacing w:after="200" w:line="480" w:lineRule="auto"/>
        <w:rPr>
          <w:lang w:val="en-GB"/>
        </w:rPr>
      </w:pPr>
      <w:r w:rsidRPr="00A772DB">
        <w:rPr>
          <w:lang w:val="en-GB"/>
        </w:rPr>
        <w:br w:type="page"/>
      </w:r>
    </w:p>
    <w:p w14:paraId="5707C220" w14:textId="6792067C" w:rsidR="004748C2" w:rsidRDefault="004748C2" w:rsidP="00605E0B">
      <w:pPr>
        <w:spacing w:after="200" w:line="480" w:lineRule="auto"/>
        <w:rPr>
          <w:lang w:val="en-GB"/>
        </w:rPr>
      </w:pPr>
    </w:p>
    <w:p w14:paraId="680FAA72" w14:textId="616E7C25" w:rsidR="004748C2" w:rsidRDefault="00016A51" w:rsidP="00016A51">
      <w:pPr>
        <w:spacing w:after="200" w:line="480" w:lineRule="auto"/>
        <w:jc w:val="center"/>
        <w:rPr>
          <w:lang w:val="en-GB"/>
        </w:rPr>
      </w:pPr>
      <w:r>
        <w:rPr>
          <w:lang w:val="en-GB"/>
        </w:rPr>
        <w:t>Table 2</w:t>
      </w:r>
    </w:p>
    <w:p w14:paraId="669D7E17" w14:textId="3274638E" w:rsidR="00016A51" w:rsidRPr="00A772DB" w:rsidRDefault="00016A51" w:rsidP="00016A51">
      <w:pPr>
        <w:spacing w:after="200" w:line="480" w:lineRule="auto"/>
        <w:jc w:val="center"/>
        <w:rPr>
          <w:lang w:val="en-GB"/>
        </w:rPr>
      </w:pPr>
      <w:r>
        <w:rPr>
          <w:lang w:val="en-GB"/>
        </w:rPr>
        <w:t>Structural Model Test</w:t>
      </w:r>
    </w:p>
    <w:tbl>
      <w:tblPr>
        <w:tblW w:w="921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2738"/>
        <w:gridCol w:w="1300"/>
        <w:gridCol w:w="2441"/>
      </w:tblGrid>
      <w:tr w:rsidR="00EC56EF" w:rsidRPr="00A772DB" w14:paraId="4781E340" w14:textId="77777777" w:rsidTr="009A0496">
        <w:trPr>
          <w:cantSplit/>
          <w:trHeight w:val="520"/>
          <w:jc w:val="center"/>
        </w:trPr>
        <w:tc>
          <w:tcPr>
            <w:tcW w:w="5474" w:type="dxa"/>
            <w:gridSpan w:val="2"/>
            <w:tcBorders>
              <w:top w:val="nil"/>
              <w:left w:val="nil"/>
              <w:bottom w:val="nil"/>
              <w:right w:val="nil"/>
            </w:tcBorders>
          </w:tcPr>
          <w:p w14:paraId="58C871BD" w14:textId="77777777" w:rsidR="00EC56EF" w:rsidRPr="00A772DB" w:rsidRDefault="00EC56EF" w:rsidP="001230DA">
            <w:pPr>
              <w:spacing w:line="480" w:lineRule="auto"/>
              <w:rPr>
                <w:sz w:val="16"/>
                <w:szCs w:val="16"/>
                <w:lang w:val="en-GB"/>
              </w:rPr>
            </w:pPr>
          </w:p>
        </w:tc>
        <w:tc>
          <w:tcPr>
            <w:tcW w:w="3741" w:type="dxa"/>
            <w:gridSpan w:val="2"/>
            <w:tcBorders>
              <w:top w:val="nil"/>
              <w:left w:val="nil"/>
              <w:right w:val="nil"/>
            </w:tcBorders>
          </w:tcPr>
          <w:p w14:paraId="1CC038E7" w14:textId="39221E5D" w:rsidR="00EC56EF" w:rsidRPr="00A772DB" w:rsidRDefault="0032417E" w:rsidP="009A0496">
            <w:pPr>
              <w:spacing w:line="480" w:lineRule="auto"/>
              <w:rPr>
                <w:sz w:val="16"/>
                <w:szCs w:val="16"/>
                <w:lang w:val="en-GB"/>
              </w:rPr>
            </w:pPr>
            <w:r w:rsidRPr="00A772DB">
              <w:rPr>
                <w:sz w:val="16"/>
                <w:szCs w:val="16"/>
                <w:lang w:val="en-GB"/>
              </w:rPr>
              <w:t xml:space="preserve">                  </w:t>
            </w:r>
            <w:r w:rsidR="00EC56EF" w:rsidRPr="00A772DB">
              <w:rPr>
                <w:sz w:val="16"/>
                <w:szCs w:val="16"/>
                <w:lang w:val="en-GB"/>
              </w:rPr>
              <w:t>Innovation</w:t>
            </w:r>
          </w:p>
        </w:tc>
      </w:tr>
      <w:tr w:rsidR="00EC56EF" w:rsidRPr="00A772DB" w14:paraId="6E0E9F69" w14:textId="77777777" w:rsidTr="009A0496">
        <w:trPr>
          <w:cantSplit/>
          <w:trHeight w:val="499"/>
          <w:jc w:val="center"/>
        </w:trPr>
        <w:tc>
          <w:tcPr>
            <w:tcW w:w="5474" w:type="dxa"/>
            <w:gridSpan w:val="2"/>
            <w:tcBorders>
              <w:top w:val="nil"/>
              <w:left w:val="nil"/>
              <w:bottom w:val="nil"/>
              <w:right w:val="nil"/>
            </w:tcBorders>
          </w:tcPr>
          <w:p w14:paraId="5CF7D97A" w14:textId="77777777" w:rsidR="00EC56EF" w:rsidRPr="00A772DB" w:rsidRDefault="00EC56EF" w:rsidP="001230DA">
            <w:pPr>
              <w:spacing w:line="480" w:lineRule="auto"/>
              <w:rPr>
                <w:sz w:val="16"/>
                <w:szCs w:val="16"/>
                <w:lang w:val="en-GB"/>
              </w:rPr>
            </w:pPr>
          </w:p>
        </w:tc>
        <w:tc>
          <w:tcPr>
            <w:tcW w:w="1300" w:type="dxa"/>
            <w:tcBorders>
              <w:top w:val="nil"/>
              <w:left w:val="nil"/>
              <w:bottom w:val="nil"/>
              <w:right w:val="nil"/>
            </w:tcBorders>
          </w:tcPr>
          <w:p w14:paraId="2B5F053F" w14:textId="77777777" w:rsidR="00EC56EF" w:rsidRPr="00A772DB" w:rsidRDefault="00EC56EF" w:rsidP="001230DA">
            <w:pPr>
              <w:spacing w:line="480" w:lineRule="auto"/>
              <w:jc w:val="center"/>
              <w:rPr>
                <w:sz w:val="16"/>
                <w:szCs w:val="16"/>
                <w:lang w:val="en-GB"/>
              </w:rPr>
            </w:pPr>
            <w:r w:rsidRPr="00A772DB">
              <w:rPr>
                <w:sz w:val="16"/>
                <w:szCs w:val="16"/>
                <w:lang w:val="en-GB"/>
              </w:rPr>
              <w:t>coefficient</w:t>
            </w:r>
          </w:p>
        </w:tc>
        <w:tc>
          <w:tcPr>
            <w:tcW w:w="2441" w:type="dxa"/>
            <w:tcBorders>
              <w:top w:val="nil"/>
              <w:left w:val="nil"/>
              <w:bottom w:val="nil"/>
              <w:right w:val="nil"/>
            </w:tcBorders>
          </w:tcPr>
          <w:p w14:paraId="77591940" w14:textId="6684A900" w:rsidR="00EC56EF" w:rsidRPr="00A772DB" w:rsidRDefault="00EC56EF" w:rsidP="009A0496">
            <w:pPr>
              <w:spacing w:line="480" w:lineRule="auto"/>
              <w:rPr>
                <w:sz w:val="16"/>
                <w:szCs w:val="16"/>
                <w:lang w:val="en-GB"/>
              </w:rPr>
            </w:pPr>
            <w:r w:rsidRPr="00A772DB">
              <w:rPr>
                <w:sz w:val="16"/>
                <w:szCs w:val="16"/>
                <w:lang w:val="en-GB"/>
              </w:rPr>
              <w:t>(T- value</w:t>
            </w:r>
            <w:r w:rsidR="009A0496" w:rsidRPr="00A772DB">
              <w:rPr>
                <w:sz w:val="16"/>
                <w:szCs w:val="16"/>
                <w:lang w:val="en-GB"/>
              </w:rPr>
              <w:t>, p-values</w:t>
            </w:r>
            <w:r w:rsidRPr="00A772DB">
              <w:rPr>
                <w:sz w:val="16"/>
                <w:szCs w:val="16"/>
                <w:lang w:val="en-GB"/>
              </w:rPr>
              <w:t>)</w:t>
            </w:r>
          </w:p>
        </w:tc>
      </w:tr>
      <w:tr w:rsidR="00EC56EF" w:rsidRPr="00A772DB" w14:paraId="75F08E1A" w14:textId="77777777" w:rsidTr="009A0496">
        <w:trPr>
          <w:cantSplit/>
          <w:trHeight w:val="520"/>
          <w:jc w:val="center"/>
        </w:trPr>
        <w:tc>
          <w:tcPr>
            <w:tcW w:w="5474" w:type="dxa"/>
            <w:gridSpan w:val="2"/>
            <w:tcBorders>
              <w:top w:val="nil"/>
              <w:left w:val="nil"/>
              <w:bottom w:val="nil"/>
              <w:right w:val="nil"/>
            </w:tcBorders>
          </w:tcPr>
          <w:p w14:paraId="42066E43" w14:textId="77777777" w:rsidR="00EC56EF" w:rsidRPr="00A772DB" w:rsidRDefault="00EC56EF" w:rsidP="001230DA">
            <w:pPr>
              <w:spacing w:line="480" w:lineRule="auto"/>
              <w:rPr>
                <w:sz w:val="16"/>
                <w:szCs w:val="16"/>
                <w:u w:val="single"/>
                <w:lang w:val="en-GB"/>
              </w:rPr>
            </w:pPr>
            <w:r w:rsidRPr="00A772DB">
              <w:rPr>
                <w:sz w:val="16"/>
                <w:szCs w:val="16"/>
                <w:lang w:val="en-GB"/>
              </w:rPr>
              <w:t>Independent Variables</w:t>
            </w:r>
          </w:p>
        </w:tc>
        <w:tc>
          <w:tcPr>
            <w:tcW w:w="1300" w:type="dxa"/>
            <w:tcBorders>
              <w:top w:val="nil"/>
              <w:left w:val="nil"/>
              <w:bottom w:val="nil"/>
              <w:right w:val="nil"/>
            </w:tcBorders>
          </w:tcPr>
          <w:p w14:paraId="0BC0E892" w14:textId="77777777" w:rsidR="00EC56EF" w:rsidRPr="00A772DB" w:rsidRDefault="00EC56EF" w:rsidP="001230DA">
            <w:pPr>
              <w:spacing w:line="480" w:lineRule="auto"/>
              <w:jc w:val="center"/>
              <w:rPr>
                <w:sz w:val="16"/>
                <w:szCs w:val="16"/>
                <w:lang w:val="en-GB"/>
              </w:rPr>
            </w:pPr>
          </w:p>
        </w:tc>
        <w:tc>
          <w:tcPr>
            <w:tcW w:w="2441" w:type="dxa"/>
            <w:tcBorders>
              <w:top w:val="nil"/>
              <w:left w:val="nil"/>
              <w:bottom w:val="nil"/>
              <w:right w:val="nil"/>
            </w:tcBorders>
          </w:tcPr>
          <w:p w14:paraId="02A6CF8E" w14:textId="77777777" w:rsidR="00EC56EF" w:rsidRPr="00A772DB" w:rsidRDefault="00EC56EF" w:rsidP="009A0496">
            <w:pPr>
              <w:spacing w:line="480" w:lineRule="auto"/>
              <w:rPr>
                <w:sz w:val="16"/>
                <w:szCs w:val="16"/>
                <w:lang w:val="en-GB"/>
              </w:rPr>
            </w:pPr>
          </w:p>
        </w:tc>
      </w:tr>
      <w:tr w:rsidR="00EC56EF" w:rsidRPr="00A772DB" w14:paraId="322C79AC" w14:textId="77777777" w:rsidTr="009A0496">
        <w:trPr>
          <w:cantSplit/>
          <w:trHeight w:val="499"/>
          <w:jc w:val="center"/>
        </w:trPr>
        <w:tc>
          <w:tcPr>
            <w:tcW w:w="5474" w:type="dxa"/>
            <w:gridSpan w:val="2"/>
            <w:tcBorders>
              <w:top w:val="nil"/>
              <w:left w:val="nil"/>
              <w:bottom w:val="nil"/>
              <w:right w:val="nil"/>
            </w:tcBorders>
          </w:tcPr>
          <w:p w14:paraId="28885FED" w14:textId="77777777" w:rsidR="00EC56EF" w:rsidRPr="00A772DB" w:rsidRDefault="00EC56EF" w:rsidP="001230DA">
            <w:pPr>
              <w:spacing w:line="480" w:lineRule="auto"/>
              <w:rPr>
                <w:sz w:val="16"/>
                <w:szCs w:val="16"/>
                <w:lang w:val="en-GB"/>
              </w:rPr>
            </w:pPr>
          </w:p>
        </w:tc>
        <w:tc>
          <w:tcPr>
            <w:tcW w:w="1300" w:type="dxa"/>
            <w:tcBorders>
              <w:top w:val="nil"/>
              <w:left w:val="nil"/>
              <w:bottom w:val="nil"/>
              <w:right w:val="nil"/>
            </w:tcBorders>
          </w:tcPr>
          <w:p w14:paraId="12D4D0E8" w14:textId="77777777" w:rsidR="00EC56EF" w:rsidRPr="00A772DB" w:rsidRDefault="00EC56EF" w:rsidP="001230DA">
            <w:pPr>
              <w:spacing w:line="480" w:lineRule="auto"/>
              <w:jc w:val="center"/>
              <w:rPr>
                <w:sz w:val="16"/>
                <w:szCs w:val="16"/>
                <w:lang w:val="en-GB"/>
              </w:rPr>
            </w:pPr>
          </w:p>
        </w:tc>
        <w:tc>
          <w:tcPr>
            <w:tcW w:w="2441" w:type="dxa"/>
            <w:tcBorders>
              <w:top w:val="nil"/>
              <w:left w:val="nil"/>
              <w:bottom w:val="nil"/>
              <w:right w:val="nil"/>
            </w:tcBorders>
          </w:tcPr>
          <w:p w14:paraId="095F048A" w14:textId="77777777" w:rsidR="00EC56EF" w:rsidRPr="00A772DB" w:rsidRDefault="00EC56EF" w:rsidP="009A0496">
            <w:pPr>
              <w:spacing w:line="480" w:lineRule="auto"/>
              <w:rPr>
                <w:sz w:val="16"/>
                <w:szCs w:val="16"/>
                <w:lang w:val="en-GB"/>
              </w:rPr>
            </w:pPr>
          </w:p>
        </w:tc>
      </w:tr>
      <w:tr w:rsidR="00EC56EF" w:rsidRPr="00A772DB" w14:paraId="0457462B" w14:textId="77777777" w:rsidTr="009A0496">
        <w:trPr>
          <w:cantSplit/>
          <w:trHeight w:val="520"/>
          <w:jc w:val="center"/>
        </w:trPr>
        <w:tc>
          <w:tcPr>
            <w:tcW w:w="5474" w:type="dxa"/>
            <w:gridSpan w:val="2"/>
            <w:tcBorders>
              <w:top w:val="nil"/>
              <w:left w:val="nil"/>
              <w:bottom w:val="nil"/>
              <w:right w:val="nil"/>
            </w:tcBorders>
          </w:tcPr>
          <w:p w14:paraId="6F448536" w14:textId="6836C926" w:rsidR="00EC56EF" w:rsidRPr="00A772DB" w:rsidRDefault="00EC56EF" w:rsidP="001230DA">
            <w:pPr>
              <w:spacing w:line="480" w:lineRule="auto"/>
              <w:rPr>
                <w:sz w:val="16"/>
                <w:szCs w:val="16"/>
                <w:lang w:val="en-GB"/>
              </w:rPr>
            </w:pPr>
            <w:r w:rsidRPr="00A772DB">
              <w:rPr>
                <w:sz w:val="16"/>
                <w:szCs w:val="16"/>
                <w:lang w:val="en-GB"/>
              </w:rPr>
              <w:t>Intra-Org. Specific investments</w:t>
            </w:r>
          </w:p>
        </w:tc>
        <w:tc>
          <w:tcPr>
            <w:tcW w:w="1300" w:type="dxa"/>
            <w:tcBorders>
              <w:top w:val="nil"/>
              <w:left w:val="nil"/>
              <w:bottom w:val="nil"/>
              <w:right w:val="nil"/>
            </w:tcBorders>
          </w:tcPr>
          <w:p w14:paraId="32B75EA1" w14:textId="3BEEA739" w:rsidR="00EC56EF" w:rsidRPr="00A772DB" w:rsidRDefault="009A0496" w:rsidP="001230DA">
            <w:pPr>
              <w:spacing w:line="480" w:lineRule="auto"/>
              <w:jc w:val="center"/>
              <w:rPr>
                <w:sz w:val="16"/>
                <w:szCs w:val="16"/>
                <w:lang w:val="en-GB"/>
              </w:rPr>
            </w:pPr>
            <w:r w:rsidRPr="00A772DB">
              <w:rPr>
                <w:sz w:val="16"/>
                <w:szCs w:val="16"/>
                <w:lang w:val="en-GB"/>
              </w:rPr>
              <w:t>0.26</w:t>
            </w:r>
          </w:p>
        </w:tc>
        <w:tc>
          <w:tcPr>
            <w:tcW w:w="2441" w:type="dxa"/>
            <w:tcBorders>
              <w:top w:val="nil"/>
              <w:left w:val="nil"/>
              <w:bottom w:val="nil"/>
              <w:right w:val="nil"/>
            </w:tcBorders>
          </w:tcPr>
          <w:p w14:paraId="3FB623A0" w14:textId="2646D684" w:rsidR="00EC56EF" w:rsidRPr="00A772DB" w:rsidRDefault="00EC56EF" w:rsidP="009A0496">
            <w:pPr>
              <w:spacing w:line="480" w:lineRule="auto"/>
              <w:rPr>
                <w:sz w:val="16"/>
                <w:szCs w:val="16"/>
                <w:lang w:val="en-GB"/>
              </w:rPr>
            </w:pPr>
            <w:r w:rsidRPr="00A772DB">
              <w:rPr>
                <w:sz w:val="16"/>
                <w:szCs w:val="16"/>
                <w:lang w:val="en-GB"/>
              </w:rPr>
              <w:t>1.94**</w:t>
            </w:r>
            <w:r w:rsidR="009A0496" w:rsidRPr="00A772DB">
              <w:rPr>
                <w:sz w:val="16"/>
                <w:szCs w:val="16"/>
                <w:lang w:val="en-GB"/>
              </w:rPr>
              <w:t xml:space="preserve"> </w:t>
            </w:r>
            <w:r w:rsidRPr="00A772DB">
              <w:rPr>
                <w:sz w:val="16"/>
                <w:szCs w:val="16"/>
                <w:lang w:val="en-GB"/>
              </w:rPr>
              <w:t xml:space="preserve"> (p=0.05)</w:t>
            </w:r>
          </w:p>
        </w:tc>
      </w:tr>
      <w:tr w:rsidR="00EC56EF" w:rsidRPr="00A772DB" w14:paraId="6DA1229B" w14:textId="77777777" w:rsidTr="009A0496">
        <w:trPr>
          <w:cantSplit/>
          <w:trHeight w:val="499"/>
          <w:jc w:val="center"/>
        </w:trPr>
        <w:tc>
          <w:tcPr>
            <w:tcW w:w="5474" w:type="dxa"/>
            <w:gridSpan w:val="2"/>
            <w:tcBorders>
              <w:top w:val="nil"/>
              <w:left w:val="nil"/>
              <w:bottom w:val="nil"/>
              <w:right w:val="nil"/>
            </w:tcBorders>
          </w:tcPr>
          <w:p w14:paraId="232B8384" w14:textId="77777777" w:rsidR="00EC56EF" w:rsidRPr="00A772DB" w:rsidRDefault="00EC56EF" w:rsidP="001230DA">
            <w:pPr>
              <w:spacing w:line="480" w:lineRule="auto"/>
              <w:rPr>
                <w:sz w:val="16"/>
                <w:szCs w:val="16"/>
                <w:lang w:val="en-GB"/>
              </w:rPr>
            </w:pPr>
          </w:p>
        </w:tc>
        <w:tc>
          <w:tcPr>
            <w:tcW w:w="1300" w:type="dxa"/>
            <w:tcBorders>
              <w:top w:val="nil"/>
              <w:left w:val="nil"/>
              <w:bottom w:val="nil"/>
              <w:right w:val="nil"/>
            </w:tcBorders>
          </w:tcPr>
          <w:p w14:paraId="576112A7" w14:textId="77777777" w:rsidR="00EC56EF" w:rsidRPr="00A772DB" w:rsidRDefault="00EC56EF" w:rsidP="001230DA">
            <w:pPr>
              <w:spacing w:line="480" w:lineRule="auto"/>
              <w:jc w:val="center"/>
              <w:rPr>
                <w:sz w:val="16"/>
                <w:szCs w:val="16"/>
                <w:lang w:val="en-GB"/>
              </w:rPr>
            </w:pPr>
          </w:p>
        </w:tc>
        <w:tc>
          <w:tcPr>
            <w:tcW w:w="2441" w:type="dxa"/>
            <w:tcBorders>
              <w:top w:val="nil"/>
              <w:left w:val="nil"/>
              <w:bottom w:val="nil"/>
              <w:right w:val="nil"/>
            </w:tcBorders>
          </w:tcPr>
          <w:p w14:paraId="4215773F" w14:textId="77777777" w:rsidR="00EC56EF" w:rsidRPr="00A772DB" w:rsidRDefault="00EC56EF" w:rsidP="009A0496">
            <w:pPr>
              <w:spacing w:line="480" w:lineRule="auto"/>
              <w:rPr>
                <w:sz w:val="16"/>
                <w:szCs w:val="16"/>
                <w:lang w:val="en-GB"/>
              </w:rPr>
            </w:pPr>
          </w:p>
        </w:tc>
      </w:tr>
      <w:tr w:rsidR="00EC56EF" w:rsidRPr="00A772DB" w14:paraId="677D2657" w14:textId="77777777" w:rsidTr="009A0496">
        <w:trPr>
          <w:cantSplit/>
          <w:trHeight w:val="520"/>
          <w:jc w:val="center"/>
        </w:trPr>
        <w:tc>
          <w:tcPr>
            <w:tcW w:w="5474" w:type="dxa"/>
            <w:gridSpan w:val="2"/>
            <w:tcBorders>
              <w:top w:val="nil"/>
              <w:left w:val="nil"/>
              <w:bottom w:val="nil"/>
              <w:right w:val="nil"/>
            </w:tcBorders>
          </w:tcPr>
          <w:p w14:paraId="59B9958F" w14:textId="35E482A9" w:rsidR="00EC56EF" w:rsidRPr="00A772DB" w:rsidRDefault="00EC56EF" w:rsidP="001230DA">
            <w:pPr>
              <w:spacing w:line="480" w:lineRule="auto"/>
              <w:rPr>
                <w:sz w:val="16"/>
                <w:szCs w:val="16"/>
                <w:lang w:val="en-GB"/>
              </w:rPr>
            </w:pPr>
            <w:r w:rsidRPr="00A772DB">
              <w:rPr>
                <w:sz w:val="16"/>
                <w:szCs w:val="16"/>
                <w:lang w:val="en-GB"/>
              </w:rPr>
              <w:t>Inter-Org. Specific investments</w:t>
            </w:r>
          </w:p>
        </w:tc>
        <w:tc>
          <w:tcPr>
            <w:tcW w:w="1300" w:type="dxa"/>
            <w:tcBorders>
              <w:top w:val="nil"/>
              <w:left w:val="nil"/>
              <w:bottom w:val="nil"/>
              <w:right w:val="nil"/>
            </w:tcBorders>
          </w:tcPr>
          <w:p w14:paraId="3FAB7587" w14:textId="77777777" w:rsidR="00EC56EF" w:rsidRPr="00A772DB" w:rsidRDefault="00EC56EF" w:rsidP="001230DA">
            <w:pPr>
              <w:spacing w:line="480" w:lineRule="auto"/>
              <w:jc w:val="center"/>
              <w:rPr>
                <w:sz w:val="16"/>
                <w:szCs w:val="16"/>
                <w:lang w:val="en-GB"/>
              </w:rPr>
            </w:pPr>
            <w:r w:rsidRPr="00A772DB">
              <w:rPr>
                <w:sz w:val="16"/>
                <w:szCs w:val="16"/>
                <w:lang w:val="en-GB"/>
              </w:rPr>
              <w:t>0.33</w:t>
            </w:r>
          </w:p>
        </w:tc>
        <w:tc>
          <w:tcPr>
            <w:tcW w:w="2441" w:type="dxa"/>
            <w:tcBorders>
              <w:top w:val="nil"/>
              <w:left w:val="nil"/>
              <w:bottom w:val="nil"/>
              <w:right w:val="nil"/>
            </w:tcBorders>
          </w:tcPr>
          <w:p w14:paraId="2FC88912" w14:textId="424353FB" w:rsidR="00EC56EF" w:rsidRPr="00A772DB" w:rsidRDefault="00EC56EF" w:rsidP="009A0496">
            <w:pPr>
              <w:spacing w:line="480" w:lineRule="auto"/>
              <w:rPr>
                <w:sz w:val="16"/>
                <w:szCs w:val="16"/>
                <w:lang w:val="en-GB"/>
              </w:rPr>
            </w:pPr>
            <w:r w:rsidRPr="00A772DB">
              <w:rPr>
                <w:sz w:val="16"/>
                <w:szCs w:val="16"/>
                <w:lang w:val="en-GB"/>
              </w:rPr>
              <w:t>0.255</w:t>
            </w:r>
            <w:r w:rsidR="009A0496" w:rsidRPr="00A772DB">
              <w:rPr>
                <w:sz w:val="16"/>
                <w:szCs w:val="16"/>
                <w:lang w:val="en-GB"/>
              </w:rPr>
              <w:t xml:space="preserve">  (p=0.8)</w:t>
            </w:r>
          </w:p>
        </w:tc>
      </w:tr>
      <w:tr w:rsidR="00EC56EF" w:rsidRPr="00A772DB" w14:paraId="54721EBB" w14:textId="77777777" w:rsidTr="009A0496">
        <w:trPr>
          <w:cantSplit/>
          <w:trHeight w:val="499"/>
          <w:jc w:val="center"/>
        </w:trPr>
        <w:tc>
          <w:tcPr>
            <w:tcW w:w="5474" w:type="dxa"/>
            <w:gridSpan w:val="2"/>
            <w:tcBorders>
              <w:top w:val="nil"/>
              <w:left w:val="nil"/>
              <w:bottom w:val="nil"/>
              <w:right w:val="nil"/>
            </w:tcBorders>
          </w:tcPr>
          <w:p w14:paraId="4734BE1B" w14:textId="77777777" w:rsidR="00EC56EF" w:rsidRPr="00A772DB" w:rsidRDefault="00EC56EF" w:rsidP="001230DA">
            <w:pPr>
              <w:spacing w:line="480" w:lineRule="auto"/>
              <w:rPr>
                <w:sz w:val="16"/>
                <w:szCs w:val="16"/>
                <w:lang w:val="en-GB"/>
              </w:rPr>
            </w:pPr>
          </w:p>
        </w:tc>
        <w:tc>
          <w:tcPr>
            <w:tcW w:w="1300" w:type="dxa"/>
            <w:tcBorders>
              <w:top w:val="nil"/>
              <w:left w:val="nil"/>
              <w:bottom w:val="nil"/>
              <w:right w:val="nil"/>
            </w:tcBorders>
          </w:tcPr>
          <w:p w14:paraId="4D6DFE3B" w14:textId="77777777" w:rsidR="00EC56EF" w:rsidRPr="00A772DB" w:rsidRDefault="00EC56EF" w:rsidP="001230DA">
            <w:pPr>
              <w:spacing w:line="480" w:lineRule="auto"/>
              <w:jc w:val="center"/>
              <w:rPr>
                <w:sz w:val="16"/>
                <w:szCs w:val="16"/>
                <w:lang w:val="en-GB"/>
              </w:rPr>
            </w:pPr>
          </w:p>
        </w:tc>
        <w:tc>
          <w:tcPr>
            <w:tcW w:w="2441" w:type="dxa"/>
            <w:tcBorders>
              <w:top w:val="nil"/>
              <w:left w:val="nil"/>
              <w:bottom w:val="nil"/>
              <w:right w:val="nil"/>
            </w:tcBorders>
          </w:tcPr>
          <w:p w14:paraId="0FBEF0E8" w14:textId="77777777" w:rsidR="00EC56EF" w:rsidRPr="00A772DB" w:rsidRDefault="00EC56EF" w:rsidP="009A0496">
            <w:pPr>
              <w:spacing w:line="480" w:lineRule="auto"/>
              <w:rPr>
                <w:sz w:val="16"/>
                <w:szCs w:val="16"/>
                <w:lang w:val="en-GB"/>
              </w:rPr>
            </w:pPr>
          </w:p>
        </w:tc>
      </w:tr>
      <w:tr w:rsidR="00EC56EF" w:rsidRPr="00A772DB" w14:paraId="3A626A3F" w14:textId="77777777" w:rsidTr="009A0496">
        <w:trPr>
          <w:cantSplit/>
          <w:trHeight w:val="520"/>
          <w:jc w:val="center"/>
        </w:trPr>
        <w:tc>
          <w:tcPr>
            <w:tcW w:w="5474" w:type="dxa"/>
            <w:gridSpan w:val="2"/>
            <w:tcBorders>
              <w:top w:val="nil"/>
              <w:left w:val="nil"/>
              <w:bottom w:val="nil"/>
              <w:right w:val="nil"/>
            </w:tcBorders>
          </w:tcPr>
          <w:p w14:paraId="3911D68F" w14:textId="77777777" w:rsidR="00EC56EF" w:rsidRPr="00A772DB" w:rsidRDefault="00EC56EF" w:rsidP="001230DA">
            <w:pPr>
              <w:spacing w:line="480" w:lineRule="auto"/>
              <w:rPr>
                <w:sz w:val="16"/>
                <w:szCs w:val="16"/>
                <w:lang w:val="en-GB"/>
              </w:rPr>
            </w:pPr>
            <w:r w:rsidRPr="00A772DB">
              <w:rPr>
                <w:sz w:val="16"/>
                <w:szCs w:val="16"/>
                <w:lang w:val="en-GB"/>
              </w:rPr>
              <w:t>Competition</w:t>
            </w:r>
          </w:p>
        </w:tc>
        <w:tc>
          <w:tcPr>
            <w:tcW w:w="1300" w:type="dxa"/>
            <w:tcBorders>
              <w:top w:val="nil"/>
              <w:left w:val="nil"/>
              <w:bottom w:val="nil"/>
              <w:right w:val="nil"/>
            </w:tcBorders>
          </w:tcPr>
          <w:p w14:paraId="7C60F1A1" w14:textId="14BF569F" w:rsidR="00EC56EF" w:rsidRPr="00A772DB" w:rsidRDefault="009A0496" w:rsidP="001230DA">
            <w:pPr>
              <w:spacing w:line="480" w:lineRule="auto"/>
              <w:jc w:val="center"/>
              <w:rPr>
                <w:sz w:val="16"/>
                <w:szCs w:val="16"/>
                <w:lang w:val="en-GB"/>
              </w:rPr>
            </w:pPr>
            <w:r w:rsidRPr="00A772DB">
              <w:rPr>
                <w:sz w:val="16"/>
                <w:szCs w:val="16"/>
                <w:lang w:val="en-GB"/>
              </w:rPr>
              <w:t>0.17</w:t>
            </w:r>
          </w:p>
        </w:tc>
        <w:tc>
          <w:tcPr>
            <w:tcW w:w="2441" w:type="dxa"/>
            <w:tcBorders>
              <w:top w:val="nil"/>
              <w:left w:val="nil"/>
              <w:bottom w:val="nil"/>
              <w:right w:val="nil"/>
            </w:tcBorders>
          </w:tcPr>
          <w:p w14:paraId="2E22AAD8" w14:textId="34681093" w:rsidR="00EC56EF" w:rsidRPr="00A772DB" w:rsidRDefault="00EC56EF" w:rsidP="009A0496">
            <w:pPr>
              <w:spacing w:line="480" w:lineRule="auto"/>
              <w:rPr>
                <w:sz w:val="16"/>
                <w:szCs w:val="16"/>
                <w:lang w:val="en-GB"/>
              </w:rPr>
            </w:pPr>
            <w:r w:rsidRPr="00A772DB">
              <w:rPr>
                <w:sz w:val="16"/>
                <w:szCs w:val="16"/>
                <w:lang w:val="en-GB"/>
              </w:rPr>
              <w:t>1.77*</w:t>
            </w:r>
            <w:r w:rsidR="009A0496" w:rsidRPr="00A772DB">
              <w:rPr>
                <w:sz w:val="16"/>
                <w:szCs w:val="16"/>
                <w:lang w:val="en-GB"/>
              </w:rPr>
              <w:t xml:space="preserve"> (p=0.08)</w:t>
            </w:r>
          </w:p>
        </w:tc>
      </w:tr>
      <w:tr w:rsidR="00EC56EF" w:rsidRPr="00A772DB" w14:paraId="08E8041D" w14:textId="77777777" w:rsidTr="009A0496">
        <w:trPr>
          <w:cantSplit/>
          <w:trHeight w:val="499"/>
          <w:jc w:val="center"/>
        </w:trPr>
        <w:tc>
          <w:tcPr>
            <w:tcW w:w="5474" w:type="dxa"/>
            <w:gridSpan w:val="2"/>
            <w:tcBorders>
              <w:top w:val="nil"/>
              <w:left w:val="nil"/>
              <w:bottom w:val="nil"/>
              <w:right w:val="nil"/>
            </w:tcBorders>
          </w:tcPr>
          <w:p w14:paraId="6C92C262" w14:textId="77777777" w:rsidR="00EC56EF" w:rsidRPr="00A772DB" w:rsidRDefault="00EC56EF" w:rsidP="001230DA">
            <w:pPr>
              <w:spacing w:line="480" w:lineRule="auto"/>
              <w:rPr>
                <w:sz w:val="16"/>
                <w:szCs w:val="16"/>
                <w:lang w:val="en-GB"/>
              </w:rPr>
            </w:pPr>
          </w:p>
        </w:tc>
        <w:tc>
          <w:tcPr>
            <w:tcW w:w="1300" w:type="dxa"/>
            <w:tcBorders>
              <w:top w:val="nil"/>
              <w:left w:val="nil"/>
              <w:bottom w:val="nil"/>
              <w:right w:val="nil"/>
            </w:tcBorders>
          </w:tcPr>
          <w:p w14:paraId="55381F17" w14:textId="77777777" w:rsidR="00EC56EF" w:rsidRPr="00A772DB" w:rsidRDefault="00EC56EF" w:rsidP="001230DA">
            <w:pPr>
              <w:spacing w:line="480" w:lineRule="auto"/>
              <w:jc w:val="center"/>
              <w:rPr>
                <w:sz w:val="16"/>
                <w:szCs w:val="16"/>
                <w:lang w:val="en-GB"/>
              </w:rPr>
            </w:pPr>
          </w:p>
        </w:tc>
        <w:tc>
          <w:tcPr>
            <w:tcW w:w="2441" w:type="dxa"/>
            <w:tcBorders>
              <w:top w:val="nil"/>
              <w:left w:val="nil"/>
              <w:bottom w:val="nil"/>
              <w:right w:val="nil"/>
            </w:tcBorders>
          </w:tcPr>
          <w:p w14:paraId="650D8800" w14:textId="77777777" w:rsidR="00EC56EF" w:rsidRPr="00A772DB" w:rsidRDefault="00EC56EF" w:rsidP="009A0496">
            <w:pPr>
              <w:spacing w:line="480" w:lineRule="auto"/>
              <w:rPr>
                <w:sz w:val="16"/>
                <w:szCs w:val="16"/>
                <w:lang w:val="en-GB"/>
              </w:rPr>
            </w:pPr>
          </w:p>
        </w:tc>
      </w:tr>
      <w:tr w:rsidR="00EC56EF" w:rsidRPr="00A772DB" w14:paraId="1FEFD648" w14:textId="77777777" w:rsidTr="009A0496">
        <w:trPr>
          <w:cantSplit/>
          <w:trHeight w:val="520"/>
          <w:jc w:val="center"/>
        </w:trPr>
        <w:tc>
          <w:tcPr>
            <w:tcW w:w="2736" w:type="dxa"/>
            <w:tcBorders>
              <w:top w:val="single" w:sz="4" w:space="0" w:color="auto"/>
              <w:left w:val="nil"/>
              <w:bottom w:val="nil"/>
              <w:right w:val="nil"/>
            </w:tcBorders>
          </w:tcPr>
          <w:p w14:paraId="47F29118" w14:textId="77777777" w:rsidR="00EC56EF" w:rsidRPr="00A772DB" w:rsidRDefault="00EC56EF" w:rsidP="001230DA">
            <w:pPr>
              <w:spacing w:line="480" w:lineRule="auto"/>
              <w:jc w:val="right"/>
              <w:rPr>
                <w:sz w:val="16"/>
                <w:szCs w:val="16"/>
                <w:lang w:val="en-GB"/>
              </w:rPr>
            </w:pPr>
            <w:r w:rsidRPr="00A772DB">
              <w:rPr>
                <w:sz w:val="16"/>
                <w:szCs w:val="16"/>
                <w:lang w:val="en-GB"/>
              </w:rPr>
              <w:t xml:space="preserve">Summary Statistics </w:t>
            </w:r>
          </w:p>
        </w:tc>
        <w:tc>
          <w:tcPr>
            <w:tcW w:w="2737" w:type="dxa"/>
            <w:tcBorders>
              <w:top w:val="single" w:sz="4" w:space="0" w:color="auto"/>
              <w:left w:val="nil"/>
              <w:bottom w:val="nil"/>
              <w:right w:val="nil"/>
            </w:tcBorders>
          </w:tcPr>
          <w:p w14:paraId="3FB52747" w14:textId="28408F7D" w:rsidR="00EC56EF" w:rsidRPr="00A772DB" w:rsidRDefault="00B95A9D" w:rsidP="001230DA">
            <w:pPr>
              <w:spacing w:line="480" w:lineRule="auto"/>
              <w:jc w:val="right"/>
              <w:rPr>
                <w:sz w:val="16"/>
                <w:szCs w:val="16"/>
                <w:lang w:val="en-GB"/>
              </w:rPr>
            </w:pPr>
            <w:r w:rsidRPr="00A772DB">
              <w:rPr>
                <w:sz w:val="16"/>
                <w:szCs w:val="16"/>
                <w:lang w:val="en-GB"/>
              </w:rPr>
              <w:t xml:space="preserve">Adj. </w:t>
            </w:r>
            <w:r w:rsidR="00EC56EF" w:rsidRPr="00A772DB">
              <w:rPr>
                <w:sz w:val="16"/>
                <w:szCs w:val="16"/>
                <w:lang w:val="en-GB"/>
              </w:rPr>
              <w:t>r</w:t>
            </w:r>
            <w:r w:rsidR="00EC56EF" w:rsidRPr="00A772DB">
              <w:rPr>
                <w:sz w:val="16"/>
                <w:szCs w:val="16"/>
                <w:vertAlign w:val="superscript"/>
                <w:lang w:val="en-GB"/>
              </w:rPr>
              <w:t>2</w:t>
            </w:r>
          </w:p>
        </w:tc>
        <w:tc>
          <w:tcPr>
            <w:tcW w:w="3741" w:type="dxa"/>
            <w:gridSpan w:val="2"/>
            <w:tcBorders>
              <w:top w:val="single" w:sz="4" w:space="0" w:color="auto"/>
              <w:left w:val="nil"/>
              <w:bottom w:val="nil"/>
              <w:right w:val="nil"/>
            </w:tcBorders>
          </w:tcPr>
          <w:p w14:paraId="23B0954D" w14:textId="77777777" w:rsidR="00EC56EF" w:rsidRPr="00A772DB" w:rsidRDefault="00EC56EF" w:rsidP="001230DA">
            <w:pPr>
              <w:spacing w:line="480" w:lineRule="auto"/>
              <w:jc w:val="center"/>
              <w:rPr>
                <w:sz w:val="16"/>
                <w:szCs w:val="16"/>
                <w:lang w:val="en-GB"/>
              </w:rPr>
            </w:pPr>
            <w:r w:rsidRPr="00A772DB">
              <w:rPr>
                <w:sz w:val="16"/>
                <w:szCs w:val="16"/>
                <w:lang w:val="en-GB"/>
              </w:rPr>
              <w:t>0.104</w:t>
            </w:r>
          </w:p>
        </w:tc>
      </w:tr>
      <w:tr w:rsidR="00EC56EF" w:rsidRPr="00A772DB" w14:paraId="5A577837" w14:textId="77777777" w:rsidTr="009A0496">
        <w:trPr>
          <w:cantSplit/>
          <w:trHeight w:val="499"/>
          <w:jc w:val="center"/>
        </w:trPr>
        <w:tc>
          <w:tcPr>
            <w:tcW w:w="5474" w:type="dxa"/>
            <w:gridSpan w:val="2"/>
            <w:tcBorders>
              <w:top w:val="nil"/>
              <w:left w:val="nil"/>
              <w:bottom w:val="nil"/>
              <w:right w:val="nil"/>
            </w:tcBorders>
          </w:tcPr>
          <w:p w14:paraId="4EFC4273" w14:textId="77777777" w:rsidR="00EC56EF" w:rsidRPr="00A772DB" w:rsidRDefault="00EC56EF" w:rsidP="001230DA">
            <w:pPr>
              <w:spacing w:line="480" w:lineRule="auto"/>
              <w:jc w:val="right"/>
              <w:rPr>
                <w:sz w:val="16"/>
                <w:szCs w:val="16"/>
                <w:lang w:val="en-GB"/>
              </w:rPr>
            </w:pPr>
            <w:r w:rsidRPr="00A772DB">
              <w:rPr>
                <w:sz w:val="16"/>
                <w:szCs w:val="16"/>
                <w:lang w:val="en-GB"/>
              </w:rPr>
              <w:t>F-Value</w:t>
            </w:r>
          </w:p>
        </w:tc>
        <w:tc>
          <w:tcPr>
            <w:tcW w:w="3741" w:type="dxa"/>
            <w:gridSpan w:val="2"/>
            <w:tcBorders>
              <w:top w:val="nil"/>
              <w:left w:val="nil"/>
              <w:bottom w:val="nil"/>
              <w:right w:val="nil"/>
            </w:tcBorders>
          </w:tcPr>
          <w:p w14:paraId="3E8E1BC1" w14:textId="77777777" w:rsidR="00EC56EF" w:rsidRPr="00A772DB" w:rsidRDefault="00EC56EF" w:rsidP="001230DA">
            <w:pPr>
              <w:spacing w:line="480" w:lineRule="auto"/>
              <w:jc w:val="center"/>
              <w:rPr>
                <w:sz w:val="16"/>
                <w:szCs w:val="16"/>
                <w:lang w:val="en-GB"/>
              </w:rPr>
            </w:pPr>
            <w:r w:rsidRPr="00A772DB">
              <w:rPr>
                <w:sz w:val="16"/>
                <w:szCs w:val="16"/>
                <w:lang w:val="en-GB"/>
              </w:rPr>
              <w:t>4.923**</w:t>
            </w:r>
          </w:p>
        </w:tc>
      </w:tr>
    </w:tbl>
    <w:p w14:paraId="68ABBA9B" w14:textId="77777777" w:rsidR="00605E0B" w:rsidRPr="00A772DB" w:rsidRDefault="00605E0B" w:rsidP="00605E0B">
      <w:pPr>
        <w:spacing w:line="480" w:lineRule="auto"/>
        <w:ind w:firstLine="720"/>
        <w:rPr>
          <w:b/>
          <w:sz w:val="10"/>
          <w:lang w:val="en-GB"/>
        </w:rPr>
      </w:pPr>
    </w:p>
    <w:p w14:paraId="1F22CA57" w14:textId="77777777" w:rsidR="00605E0B" w:rsidRPr="00A772DB" w:rsidRDefault="00605E0B" w:rsidP="00605E0B">
      <w:pPr>
        <w:spacing w:line="480" w:lineRule="auto"/>
        <w:rPr>
          <w:b/>
          <w:sz w:val="10"/>
          <w:lang w:val="en-GB"/>
        </w:rPr>
      </w:pPr>
    </w:p>
    <w:p w14:paraId="64BDB7B4" w14:textId="77777777" w:rsidR="00D96C9B" w:rsidRPr="00D53728" w:rsidRDefault="00605E0B" w:rsidP="00605E0B">
      <w:pPr>
        <w:spacing w:line="480" w:lineRule="auto"/>
        <w:rPr>
          <w:b/>
          <w:sz w:val="16"/>
          <w:lang w:val="en-GB"/>
        </w:rPr>
      </w:pPr>
      <w:r w:rsidRPr="00D53728">
        <w:rPr>
          <w:b/>
          <w:sz w:val="16"/>
          <w:lang w:val="en-GB"/>
        </w:rPr>
        <w:t>**. Correlation is significant at the 0.05 level.</w:t>
      </w:r>
      <w:r w:rsidRPr="00D53728">
        <w:rPr>
          <w:sz w:val="36"/>
          <w:lang w:val="en-GB"/>
        </w:rPr>
        <w:t xml:space="preserve"> </w:t>
      </w:r>
      <w:r w:rsidRPr="00D53728">
        <w:rPr>
          <w:b/>
          <w:sz w:val="16"/>
          <w:lang w:val="en-GB"/>
        </w:rPr>
        <w:t>*. Correlation is significant at the 0.10 level. </w:t>
      </w:r>
    </w:p>
    <w:p w14:paraId="350BA71F" w14:textId="77777777" w:rsidR="00D96C9B" w:rsidRDefault="00D96C9B" w:rsidP="00605E0B">
      <w:pPr>
        <w:spacing w:line="480" w:lineRule="auto"/>
        <w:rPr>
          <w:b/>
          <w:sz w:val="10"/>
          <w:lang w:val="en-GB"/>
        </w:rPr>
      </w:pPr>
    </w:p>
    <w:p w14:paraId="17B5220B" w14:textId="77777777" w:rsidR="00D96C9B" w:rsidRDefault="00D96C9B" w:rsidP="00605E0B">
      <w:pPr>
        <w:spacing w:line="480" w:lineRule="auto"/>
        <w:rPr>
          <w:b/>
          <w:sz w:val="10"/>
          <w:lang w:val="en-GB"/>
        </w:rPr>
      </w:pPr>
    </w:p>
    <w:p w14:paraId="1FE6D7E7" w14:textId="41263BB6" w:rsidR="00605E0B" w:rsidRDefault="00605E0B" w:rsidP="00D96C9B">
      <w:pPr>
        <w:spacing w:line="480" w:lineRule="auto"/>
        <w:jc w:val="both"/>
        <w:rPr>
          <w:b/>
          <w:sz w:val="10"/>
          <w:lang w:val="en-GB"/>
        </w:rPr>
      </w:pPr>
      <w:r w:rsidRPr="00A772DB">
        <w:rPr>
          <w:b/>
          <w:sz w:val="10"/>
          <w:lang w:val="en-GB"/>
        </w:rPr>
        <w:br w:type="page"/>
      </w:r>
    </w:p>
    <w:p w14:paraId="72CD97F2" w14:textId="6CA1418C" w:rsidR="00D96C9B" w:rsidRPr="00D96C9B" w:rsidRDefault="00D96C9B" w:rsidP="00D96C9B">
      <w:pPr>
        <w:spacing w:line="480" w:lineRule="auto"/>
        <w:jc w:val="both"/>
        <w:rPr>
          <w:i/>
          <w:szCs w:val="24"/>
          <w:lang w:val="en-GB"/>
        </w:rPr>
      </w:pPr>
      <w:r w:rsidRPr="00D96C9B">
        <w:rPr>
          <w:i/>
          <w:szCs w:val="24"/>
          <w:lang w:val="en-GB"/>
        </w:rPr>
        <w:lastRenderedPageBreak/>
        <w:t>Appendix 1 The measurement model and reliability measures.</w:t>
      </w:r>
    </w:p>
    <w:p w14:paraId="69F3A815" w14:textId="77777777" w:rsidR="00D96C9B" w:rsidRPr="00D96C9B" w:rsidRDefault="00D96C9B" w:rsidP="00D96C9B">
      <w:pPr>
        <w:spacing w:line="480" w:lineRule="auto"/>
        <w:jc w:val="both"/>
        <w:rPr>
          <w:b/>
          <w:szCs w:val="24"/>
          <w:lang w:val="en-GB"/>
        </w:rPr>
      </w:pPr>
    </w:p>
    <w:tbl>
      <w:tblPr>
        <w:tblStyle w:val="TableGrid"/>
        <w:tblpPr w:leftFromText="141" w:rightFromText="141" w:tblpY="-400"/>
        <w:tblW w:w="0" w:type="auto"/>
        <w:tblLook w:val="04A0" w:firstRow="1" w:lastRow="0" w:firstColumn="1" w:lastColumn="0" w:noHBand="0" w:noVBand="1"/>
      </w:tblPr>
      <w:tblGrid>
        <w:gridCol w:w="4700"/>
        <w:gridCol w:w="4696"/>
      </w:tblGrid>
      <w:tr w:rsidR="00605E0B" w:rsidRPr="00A772DB" w14:paraId="4F37EA25" w14:textId="77777777" w:rsidTr="00EC56EF">
        <w:tc>
          <w:tcPr>
            <w:tcW w:w="4700" w:type="dxa"/>
          </w:tcPr>
          <w:p w14:paraId="75F57C47" w14:textId="578B6330" w:rsidR="00605E0B" w:rsidRPr="00A772DB" w:rsidRDefault="00605E0B" w:rsidP="001230DA">
            <w:pPr>
              <w:spacing w:after="174"/>
              <w:jc w:val="center"/>
              <w:rPr>
                <w:b/>
                <w:sz w:val="16"/>
                <w:szCs w:val="16"/>
                <w:lang w:val="en-GB"/>
              </w:rPr>
            </w:pPr>
            <w:r w:rsidRPr="00A772DB">
              <w:rPr>
                <w:b/>
                <w:sz w:val="16"/>
                <w:szCs w:val="16"/>
                <w:lang w:val="en-GB"/>
              </w:rPr>
              <w:t>SCALE ITEMS</w:t>
            </w:r>
            <w:r w:rsidR="00F8368E" w:rsidRPr="00A772DB">
              <w:rPr>
                <w:b/>
                <w:sz w:val="16"/>
                <w:szCs w:val="16"/>
                <w:lang w:val="en-GB"/>
              </w:rPr>
              <w:t xml:space="preserve"> Likert 5-point scales </w:t>
            </w:r>
          </w:p>
        </w:tc>
        <w:tc>
          <w:tcPr>
            <w:tcW w:w="4696" w:type="dxa"/>
          </w:tcPr>
          <w:p w14:paraId="65AD94F2" w14:textId="77777777" w:rsidR="00605E0B" w:rsidRPr="00A772DB" w:rsidRDefault="00605E0B" w:rsidP="001230DA">
            <w:pPr>
              <w:spacing w:after="174"/>
              <w:jc w:val="center"/>
              <w:rPr>
                <w:b/>
                <w:sz w:val="16"/>
                <w:szCs w:val="16"/>
                <w:lang w:val="en-GB"/>
              </w:rPr>
            </w:pPr>
            <w:r w:rsidRPr="00A772DB">
              <w:rPr>
                <w:b/>
                <w:sz w:val="16"/>
                <w:szCs w:val="16"/>
                <w:lang w:val="en-GB"/>
              </w:rPr>
              <w:t>Cronbach’s Alpha</w:t>
            </w:r>
          </w:p>
        </w:tc>
      </w:tr>
      <w:tr w:rsidR="00605E0B" w:rsidRPr="00A772DB" w14:paraId="6A682028" w14:textId="77777777" w:rsidTr="00EC56EF">
        <w:trPr>
          <w:trHeight w:val="3101"/>
        </w:trPr>
        <w:tc>
          <w:tcPr>
            <w:tcW w:w="4700" w:type="dxa"/>
          </w:tcPr>
          <w:p w14:paraId="50D2EB1A" w14:textId="77777777" w:rsidR="00F8368E" w:rsidRPr="00A772DB" w:rsidRDefault="00605E0B" w:rsidP="001230DA">
            <w:pPr>
              <w:spacing w:after="174"/>
              <w:rPr>
                <w:sz w:val="16"/>
                <w:szCs w:val="16"/>
                <w:lang w:val="en-GB"/>
              </w:rPr>
            </w:pPr>
            <w:r w:rsidRPr="00A772DB">
              <w:rPr>
                <w:b/>
                <w:sz w:val="16"/>
                <w:szCs w:val="16"/>
                <w:u w:val="single"/>
                <w:lang w:val="en-GB"/>
              </w:rPr>
              <w:t>Intra-</w:t>
            </w:r>
            <w:proofErr w:type="spellStart"/>
            <w:proofErr w:type="gramStart"/>
            <w:r w:rsidRPr="00A772DB">
              <w:rPr>
                <w:b/>
                <w:sz w:val="16"/>
                <w:szCs w:val="16"/>
                <w:u w:val="single"/>
                <w:lang w:val="en-GB"/>
              </w:rPr>
              <w:t>Or.Specificity</w:t>
            </w:r>
            <w:proofErr w:type="spellEnd"/>
            <w:proofErr w:type="gramEnd"/>
            <w:r w:rsidRPr="00A772DB">
              <w:rPr>
                <w:b/>
                <w:sz w:val="16"/>
                <w:szCs w:val="16"/>
                <w:u w:val="single"/>
                <w:lang w:val="en-GB"/>
              </w:rPr>
              <w:t xml:space="preserve"> </w:t>
            </w:r>
            <w:r w:rsidRPr="00A772DB">
              <w:rPr>
                <w:sz w:val="16"/>
                <w:szCs w:val="16"/>
                <w:lang w:val="en-GB"/>
              </w:rPr>
              <w:t xml:space="preserve">(John and </w:t>
            </w:r>
            <w:proofErr w:type="spellStart"/>
            <w:r w:rsidRPr="00A772DB">
              <w:rPr>
                <w:sz w:val="16"/>
                <w:szCs w:val="16"/>
                <w:lang w:val="en-GB"/>
              </w:rPr>
              <w:t>Weitz</w:t>
            </w:r>
            <w:proofErr w:type="spellEnd"/>
            <w:r w:rsidRPr="00A772DB">
              <w:rPr>
                <w:sz w:val="16"/>
                <w:szCs w:val="16"/>
                <w:lang w:val="en-GB"/>
              </w:rPr>
              <w:t xml:space="preserve"> 1988; Anderson 1982)</w:t>
            </w:r>
            <w:r w:rsidR="00F8368E" w:rsidRPr="00A772DB">
              <w:rPr>
                <w:sz w:val="16"/>
                <w:szCs w:val="16"/>
                <w:lang w:val="en-GB"/>
              </w:rPr>
              <w:t xml:space="preserve"> </w:t>
            </w:r>
          </w:p>
          <w:p w14:paraId="2F1E6C4D" w14:textId="17D66820" w:rsidR="00605E0B" w:rsidRPr="00A772DB" w:rsidRDefault="00F8368E" w:rsidP="001230DA">
            <w:pPr>
              <w:spacing w:after="174"/>
              <w:rPr>
                <w:sz w:val="16"/>
                <w:szCs w:val="16"/>
                <w:lang w:val="en-GB"/>
              </w:rPr>
            </w:pPr>
            <w:r w:rsidRPr="00A772DB">
              <w:rPr>
                <w:sz w:val="16"/>
                <w:szCs w:val="16"/>
                <w:lang w:val="en-GB"/>
              </w:rPr>
              <w:t xml:space="preserve">To what extent do you agree? Strongly </w:t>
            </w:r>
            <w:r w:rsidR="00C77621" w:rsidRPr="00A772DB">
              <w:rPr>
                <w:sz w:val="16"/>
                <w:szCs w:val="16"/>
                <w:lang w:val="en-GB"/>
              </w:rPr>
              <w:t>Disagree (1)</w:t>
            </w:r>
            <w:r w:rsidRPr="00A772DB">
              <w:rPr>
                <w:sz w:val="16"/>
                <w:szCs w:val="16"/>
                <w:lang w:val="en-GB"/>
              </w:rPr>
              <w:t xml:space="preserve"> – Strongly </w:t>
            </w:r>
            <w:r w:rsidR="00C77621" w:rsidRPr="00A772DB">
              <w:rPr>
                <w:sz w:val="16"/>
                <w:szCs w:val="16"/>
                <w:lang w:val="en-GB"/>
              </w:rPr>
              <w:t>Agree (5)</w:t>
            </w:r>
          </w:p>
          <w:p w14:paraId="3D2D9E2A" w14:textId="77777777" w:rsidR="00605E0B" w:rsidRPr="00A772DB" w:rsidRDefault="00605E0B" w:rsidP="001230DA">
            <w:pPr>
              <w:spacing w:after="174"/>
              <w:rPr>
                <w:sz w:val="16"/>
                <w:szCs w:val="16"/>
                <w:lang w:val="en-GB"/>
              </w:rPr>
            </w:pPr>
            <w:r w:rsidRPr="00A772DB">
              <w:rPr>
                <w:sz w:val="16"/>
                <w:szCs w:val="16"/>
                <w:lang w:val="en-GB"/>
              </w:rPr>
              <w:t>We dedicate considerable time to learning the system within the company (Name)</w:t>
            </w:r>
          </w:p>
          <w:p w14:paraId="1A198315" w14:textId="77777777" w:rsidR="00605E0B" w:rsidRPr="00A772DB" w:rsidRDefault="00605E0B" w:rsidP="001230DA">
            <w:pPr>
              <w:spacing w:after="174"/>
              <w:rPr>
                <w:sz w:val="16"/>
                <w:szCs w:val="16"/>
                <w:lang w:val="en-GB"/>
              </w:rPr>
            </w:pPr>
            <w:r w:rsidRPr="00A772DB">
              <w:rPr>
                <w:sz w:val="16"/>
                <w:szCs w:val="16"/>
                <w:lang w:val="en-GB"/>
              </w:rPr>
              <w:t>We invest a lot of time in learning about the company (Name) operating procedures</w:t>
            </w:r>
          </w:p>
          <w:p w14:paraId="5FC67D97" w14:textId="77777777" w:rsidR="00605E0B" w:rsidRPr="00A772DB" w:rsidRDefault="00605E0B" w:rsidP="001230DA">
            <w:pPr>
              <w:spacing w:after="174"/>
              <w:rPr>
                <w:sz w:val="16"/>
                <w:szCs w:val="16"/>
                <w:lang w:val="en-GB"/>
              </w:rPr>
            </w:pPr>
            <w:r w:rsidRPr="00A772DB">
              <w:rPr>
                <w:sz w:val="16"/>
                <w:szCs w:val="16"/>
                <w:lang w:val="en-GB"/>
              </w:rPr>
              <w:t>Their (Name) recycling operations take considerable time to learn</w:t>
            </w:r>
          </w:p>
          <w:p w14:paraId="5CCCF633" w14:textId="77777777" w:rsidR="00605E0B" w:rsidRPr="00A772DB" w:rsidRDefault="00605E0B" w:rsidP="001230DA">
            <w:pPr>
              <w:spacing w:after="174"/>
              <w:rPr>
                <w:sz w:val="16"/>
                <w:szCs w:val="16"/>
                <w:lang w:val="en-GB"/>
              </w:rPr>
            </w:pPr>
            <w:r w:rsidRPr="00A772DB">
              <w:rPr>
                <w:sz w:val="16"/>
                <w:szCs w:val="16"/>
                <w:lang w:val="en-GB"/>
              </w:rPr>
              <w:t>Their (Name) operations are complicated</w:t>
            </w:r>
          </w:p>
          <w:p w14:paraId="3E0DF565" w14:textId="77777777" w:rsidR="00605E0B" w:rsidRPr="00A772DB" w:rsidRDefault="00605E0B" w:rsidP="001230DA">
            <w:pPr>
              <w:spacing w:after="174"/>
              <w:rPr>
                <w:sz w:val="16"/>
                <w:szCs w:val="16"/>
                <w:lang w:val="en-GB"/>
              </w:rPr>
            </w:pPr>
            <w:r w:rsidRPr="00A772DB">
              <w:rPr>
                <w:sz w:val="16"/>
                <w:szCs w:val="16"/>
                <w:lang w:val="en-GB"/>
              </w:rPr>
              <w:t>A new employee must invest heavily to learn about their operations</w:t>
            </w:r>
          </w:p>
        </w:tc>
        <w:tc>
          <w:tcPr>
            <w:tcW w:w="4696" w:type="dxa"/>
          </w:tcPr>
          <w:p w14:paraId="388BE8A0" w14:textId="77777777" w:rsidR="00605E0B" w:rsidRPr="00A772DB" w:rsidRDefault="00605E0B" w:rsidP="001230DA">
            <w:pPr>
              <w:spacing w:after="174"/>
              <w:jc w:val="center"/>
              <w:rPr>
                <w:sz w:val="16"/>
                <w:szCs w:val="16"/>
                <w:lang w:val="en-GB"/>
              </w:rPr>
            </w:pPr>
            <w:r w:rsidRPr="00A772DB">
              <w:rPr>
                <w:sz w:val="16"/>
                <w:szCs w:val="16"/>
                <w:lang w:val="en-GB"/>
              </w:rPr>
              <w:t>0.83</w:t>
            </w:r>
          </w:p>
        </w:tc>
      </w:tr>
      <w:tr w:rsidR="00605E0B" w:rsidRPr="00A772DB" w14:paraId="03DADB61" w14:textId="77777777" w:rsidTr="00EC56EF">
        <w:tc>
          <w:tcPr>
            <w:tcW w:w="4700" w:type="dxa"/>
          </w:tcPr>
          <w:p w14:paraId="37A69D29" w14:textId="36BEE297" w:rsidR="00605E0B" w:rsidRPr="00A772DB" w:rsidRDefault="00605E0B" w:rsidP="001230DA">
            <w:pPr>
              <w:spacing w:after="174"/>
              <w:rPr>
                <w:sz w:val="16"/>
                <w:szCs w:val="16"/>
                <w:lang w:val="en-GB"/>
              </w:rPr>
            </w:pPr>
            <w:r w:rsidRPr="00A772DB">
              <w:rPr>
                <w:b/>
                <w:sz w:val="16"/>
                <w:szCs w:val="16"/>
                <w:u w:val="single"/>
                <w:lang w:val="en-GB"/>
              </w:rPr>
              <w:t>Inter-</w:t>
            </w:r>
            <w:proofErr w:type="spellStart"/>
            <w:r w:rsidRPr="00A772DB">
              <w:rPr>
                <w:b/>
                <w:sz w:val="16"/>
                <w:szCs w:val="16"/>
                <w:u w:val="single"/>
                <w:lang w:val="en-GB"/>
              </w:rPr>
              <w:t>Org.Specificity</w:t>
            </w:r>
            <w:proofErr w:type="spellEnd"/>
            <w:r w:rsidRPr="00A772DB">
              <w:rPr>
                <w:b/>
                <w:sz w:val="16"/>
                <w:szCs w:val="16"/>
                <w:u w:val="single"/>
                <w:lang w:val="en-GB"/>
              </w:rPr>
              <w:t xml:space="preserve"> </w:t>
            </w:r>
            <w:r w:rsidRPr="00A772DB">
              <w:rPr>
                <w:sz w:val="16"/>
                <w:szCs w:val="16"/>
                <w:lang w:val="en-GB"/>
              </w:rPr>
              <w:t xml:space="preserve">(John and </w:t>
            </w:r>
            <w:proofErr w:type="spellStart"/>
            <w:r w:rsidRPr="00A772DB">
              <w:rPr>
                <w:sz w:val="16"/>
                <w:szCs w:val="16"/>
                <w:lang w:val="en-GB"/>
              </w:rPr>
              <w:t>Weitz</w:t>
            </w:r>
            <w:proofErr w:type="spellEnd"/>
            <w:r w:rsidRPr="00A772DB">
              <w:rPr>
                <w:sz w:val="16"/>
                <w:szCs w:val="16"/>
                <w:lang w:val="en-GB"/>
              </w:rPr>
              <w:t xml:space="preserve"> 1988; Anderson 1982)</w:t>
            </w:r>
          </w:p>
          <w:p w14:paraId="09B14F4A" w14:textId="0C7EC3D0" w:rsidR="00C77621" w:rsidRPr="00A772DB" w:rsidRDefault="00C77621" w:rsidP="001230DA">
            <w:pPr>
              <w:spacing w:after="174"/>
              <w:rPr>
                <w:sz w:val="16"/>
                <w:szCs w:val="16"/>
                <w:lang w:val="en-GB"/>
              </w:rPr>
            </w:pPr>
            <w:r w:rsidRPr="00A772DB">
              <w:rPr>
                <w:sz w:val="16"/>
                <w:szCs w:val="16"/>
                <w:lang w:val="en-GB"/>
              </w:rPr>
              <w:t>To what extent do you agree? Strongly Disagree (1) – Strongly Agree (5)</w:t>
            </w:r>
          </w:p>
          <w:p w14:paraId="0DE806B0" w14:textId="140472B5" w:rsidR="00605E0B" w:rsidRPr="00A772DB" w:rsidRDefault="00605E0B" w:rsidP="001230DA">
            <w:pPr>
              <w:spacing w:after="174"/>
              <w:rPr>
                <w:sz w:val="16"/>
                <w:szCs w:val="16"/>
                <w:lang w:val="en-GB"/>
              </w:rPr>
            </w:pPr>
            <w:r w:rsidRPr="00A772DB">
              <w:rPr>
                <w:sz w:val="16"/>
                <w:szCs w:val="16"/>
                <w:lang w:val="en-GB"/>
              </w:rPr>
              <w:t>We dedicate considerable time to learning the system within the recycling company (Name)</w:t>
            </w:r>
          </w:p>
          <w:p w14:paraId="19554AC8" w14:textId="77777777" w:rsidR="00605E0B" w:rsidRPr="00A772DB" w:rsidRDefault="00605E0B" w:rsidP="001230DA">
            <w:pPr>
              <w:spacing w:after="174"/>
              <w:rPr>
                <w:sz w:val="16"/>
                <w:szCs w:val="16"/>
                <w:lang w:val="en-GB"/>
              </w:rPr>
            </w:pPr>
            <w:r w:rsidRPr="00A772DB">
              <w:rPr>
                <w:sz w:val="16"/>
                <w:szCs w:val="16"/>
                <w:lang w:val="en-GB"/>
              </w:rPr>
              <w:t>We invest a lot of time in learning about the recycling company (Name) operating procedures</w:t>
            </w:r>
          </w:p>
          <w:p w14:paraId="7822A103" w14:textId="77777777" w:rsidR="00605E0B" w:rsidRPr="00A772DB" w:rsidRDefault="00605E0B" w:rsidP="001230DA">
            <w:pPr>
              <w:spacing w:after="174"/>
              <w:rPr>
                <w:sz w:val="16"/>
                <w:szCs w:val="16"/>
                <w:lang w:val="en-GB"/>
              </w:rPr>
            </w:pPr>
            <w:r w:rsidRPr="00A772DB">
              <w:rPr>
                <w:sz w:val="16"/>
                <w:szCs w:val="16"/>
                <w:lang w:val="en-GB"/>
              </w:rPr>
              <w:t>The recycling company`s (Name) recycling operations take considerable time to learn</w:t>
            </w:r>
          </w:p>
          <w:p w14:paraId="6387DF6E" w14:textId="77777777" w:rsidR="00605E0B" w:rsidRPr="00A772DB" w:rsidRDefault="00605E0B" w:rsidP="001230DA">
            <w:pPr>
              <w:spacing w:after="174"/>
              <w:rPr>
                <w:sz w:val="16"/>
                <w:szCs w:val="16"/>
                <w:lang w:val="en-GB"/>
              </w:rPr>
            </w:pPr>
            <w:r w:rsidRPr="00A772DB">
              <w:rPr>
                <w:sz w:val="16"/>
                <w:szCs w:val="16"/>
                <w:lang w:val="en-GB"/>
              </w:rPr>
              <w:t>Their recycling company`s (Name) operations are complicated</w:t>
            </w:r>
          </w:p>
          <w:p w14:paraId="6E937C2A" w14:textId="77777777" w:rsidR="00605E0B" w:rsidRPr="00A772DB" w:rsidRDefault="00605E0B" w:rsidP="001230DA">
            <w:pPr>
              <w:spacing w:after="174"/>
              <w:rPr>
                <w:sz w:val="16"/>
                <w:szCs w:val="16"/>
                <w:lang w:val="en-GB"/>
              </w:rPr>
            </w:pPr>
            <w:r w:rsidRPr="00A772DB">
              <w:rPr>
                <w:sz w:val="16"/>
                <w:szCs w:val="16"/>
                <w:lang w:val="en-GB"/>
              </w:rPr>
              <w:t>A new employee must invest heavily to learn about the operations of the recycling company</w:t>
            </w:r>
          </w:p>
        </w:tc>
        <w:tc>
          <w:tcPr>
            <w:tcW w:w="4696" w:type="dxa"/>
          </w:tcPr>
          <w:p w14:paraId="2B0F451B" w14:textId="77777777" w:rsidR="00605E0B" w:rsidRPr="00A772DB" w:rsidRDefault="00605E0B" w:rsidP="001230DA">
            <w:pPr>
              <w:spacing w:after="174"/>
              <w:jc w:val="center"/>
              <w:rPr>
                <w:sz w:val="16"/>
                <w:szCs w:val="16"/>
                <w:lang w:val="en-GB"/>
              </w:rPr>
            </w:pPr>
            <w:r w:rsidRPr="00A772DB">
              <w:rPr>
                <w:sz w:val="16"/>
                <w:szCs w:val="16"/>
                <w:lang w:val="en-GB"/>
              </w:rPr>
              <w:t>0.81</w:t>
            </w:r>
          </w:p>
        </w:tc>
      </w:tr>
      <w:tr w:rsidR="00605E0B" w:rsidRPr="00A772DB" w14:paraId="75A6EA95" w14:textId="77777777" w:rsidTr="00EC56EF">
        <w:tc>
          <w:tcPr>
            <w:tcW w:w="4700" w:type="dxa"/>
          </w:tcPr>
          <w:p w14:paraId="683B393F" w14:textId="7CE863CF" w:rsidR="00F8368E" w:rsidRPr="00185281" w:rsidRDefault="00605E0B" w:rsidP="001230DA">
            <w:pPr>
              <w:spacing w:after="174"/>
              <w:rPr>
                <w:b/>
                <w:sz w:val="16"/>
                <w:szCs w:val="16"/>
                <w:u w:val="single"/>
                <w:lang w:val="en-GB"/>
              </w:rPr>
            </w:pPr>
            <w:r w:rsidRPr="00185281">
              <w:rPr>
                <w:b/>
                <w:sz w:val="16"/>
                <w:szCs w:val="16"/>
                <w:u w:val="single"/>
                <w:lang w:val="en-GB"/>
              </w:rPr>
              <w:t xml:space="preserve">Competitive intensity  </w:t>
            </w:r>
            <w:proofErr w:type="gramStart"/>
            <w:r w:rsidRPr="00185281">
              <w:rPr>
                <w:b/>
                <w:sz w:val="16"/>
                <w:szCs w:val="16"/>
                <w:u w:val="single"/>
                <w:lang w:val="en-GB"/>
              </w:rPr>
              <w:t xml:space="preserve">  </w:t>
            </w:r>
            <w:r w:rsidR="00185281" w:rsidRPr="00185281">
              <w:rPr>
                <w:sz w:val="16"/>
                <w:szCs w:val="16"/>
              </w:rPr>
              <w:t xml:space="preserve"> </w:t>
            </w:r>
            <w:r w:rsidR="00185281">
              <w:rPr>
                <w:sz w:val="16"/>
                <w:szCs w:val="16"/>
              </w:rPr>
              <w:t>(</w:t>
            </w:r>
            <w:proofErr w:type="gramEnd"/>
            <w:r w:rsidR="00185281" w:rsidRPr="00185281">
              <w:rPr>
                <w:sz w:val="16"/>
                <w:szCs w:val="16"/>
              </w:rPr>
              <w:t xml:space="preserve">Slater and </w:t>
            </w:r>
            <w:proofErr w:type="spellStart"/>
            <w:r w:rsidR="00185281" w:rsidRPr="00185281">
              <w:rPr>
                <w:sz w:val="16"/>
                <w:szCs w:val="16"/>
              </w:rPr>
              <w:t>Narver</w:t>
            </w:r>
            <w:proofErr w:type="spellEnd"/>
            <w:r w:rsidR="00185281" w:rsidRPr="00185281">
              <w:rPr>
                <w:sz w:val="16"/>
                <w:szCs w:val="16"/>
              </w:rPr>
              <w:t>,</w:t>
            </w:r>
            <w:r w:rsidR="00185281">
              <w:rPr>
                <w:sz w:val="16"/>
                <w:szCs w:val="16"/>
              </w:rPr>
              <w:t xml:space="preserve"> </w:t>
            </w:r>
            <w:r w:rsidR="00185281" w:rsidRPr="00185281">
              <w:rPr>
                <w:sz w:val="16"/>
                <w:szCs w:val="16"/>
              </w:rPr>
              <w:t xml:space="preserve">1994) </w:t>
            </w:r>
            <w:r w:rsidRPr="00185281">
              <w:rPr>
                <w:b/>
                <w:sz w:val="16"/>
                <w:szCs w:val="16"/>
                <w:u w:val="single"/>
                <w:lang w:val="en-GB"/>
              </w:rPr>
              <w:t xml:space="preserve">         </w:t>
            </w:r>
          </w:p>
          <w:p w14:paraId="6DB1DEAD" w14:textId="3387BA57" w:rsidR="00C77621" w:rsidRPr="00185281" w:rsidRDefault="00C77621" w:rsidP="001230DA">
            <w:pPr>
              <w:spacing w:after="174"/>
              <w:rPr>
                <w:sz w:val="16"/>
                <w:szCs w:val="16"/>
                <w:lang w:val="en-GB"/>
              </w:rPr>
            </w:pPr>
            <w:r w:rsidRPr="00185281">
              <w:rPr>
                <w:sz w:val="16"/>
                <w:szCs w:val="16"/>
                <w:lang w:val="en-GB"/>
              </w:rPr>
              <w:t>To what extent do you agree? Strongly Disagree (1) – Strongly Agree (5)</w:t>
            </w:r>
          </w:p>
          <w:p w14:paraId="7C943301" w14:textId="766A7906" w:rsidR="00605E0B" w:rsidRPr="00A772DB" w:rsidRDefault="00605E0B" w:rsidP="001230DA">
            <w:pPr>
              <w:spacing w:after="174"/>
              <w:rPr>
                <w:sz w:val="16"/>
                <w:szCs w:val="16"/>
                <w:lang w:val="en-GB"/>
              </w:rPr>
            </w:pPr>
            <w:r w:rsidRPr="00A772DB">
              <w:rPr>
                <w:sz w:val="16"/>
                <w:szCs w:val="16"/>
                <w:lang w:val="en-GB"/>
              </w:rPr>
              <w:t>Competition in our industry is hard</w:t>
            </w:r>
          </w:p>
          <w:p w14:paraId="5C75B31C" w14:textId="77777777" w:rsidR="00605E0B" w:rsidRPr="00A772DB" w:rsidRDefault="00605E0B" w:rsidP="001230DA">
            <w:pPr>
              <w:spacing w:after="174"/>
              <w:rPr>
                <w:sz w:val="16"/>
                <w:szCs w:val="16"/>
                <w:lang w:val="en-GB"/>
              </w:rPr>
            </w:pPr>
            <w:r w:rsidRPr="00A772DB">
              <w:rPr>
                <w:sz w:val="16"/>
                <w:szCs w:val="16"/>
                <w:lang w:val="en-GB"/>
              </w:rPr>
              <w:t>There are many price wars in our industry</w:t>
            </w:r>
          </w:p>
          <w:p w14:paraId="2A651BDB" w14:textId="77777777" w:rsidR="00605E0B" w:rsidRPr="00A772DB" w:rsidRDefault="00605E0B" w:rsidP="001230DA">
            <w:pPr>
              <w:spacing w:after="174"/>
              <w:rPr>
                <w:sz w:val="16"/>
                <w:szCs w:val="16"/>
                <w:lang w:val="en-GB"/>
              </w:rPr>
            </w:pPr>
            <w:r w:rsidRPr="00A772DB">
              <w:rPr>
                <w:sz w:val="16"/>
                <w:szCs w:val="16"/>
                <w:lang w:val="en-GB"/>
              </w:rPr>
              <w:t>Everything one company offers is easily copied by the others in the market</w:t>
            </w:r>
          </w:p>
          <w:p w14:paraId="03EA5C81" w14:textId="77777777" w:rsidR="00605E0B" w:rsidRPr="00A772DB" w:rsidRDefault="00605E0B" w:rsidP="001230DA">
            <w:pPr>
              <w:spacing w:after="174"/>
              <w:rPr>
                <w:sz w:val="16"/>
                <w:szCs w:val="16"/>
                <w:lang w:val="en-GB"/>
              </w:rPr>
            </w:pPr>
            <w:r w:rsidRPr="00A772DB">
              <w:rPr>
                <w:sz w:val="16"/>
                <w:szCs w:val="16"/>
                <w:lang w:val="en-GB"/>
              </w:rPr>
              <w:t>Strong price competition characterises our industry</w:t>
            </w:r>
          </w:p>
        </w:tc>
        <w:tc>
          <w:tcPr>
            <w:tcW w:w="4696" w:type="dxa"/>
          </w:tcPr>
          <w:p w14:paraId="50EB8054" w14:textId="77777777" w:rsidR="00605E0B" w:rsidRPr="00A772DB" w:rsidRDefault="00605E0B" w:rsidP="001230DA">
            <w:pPr>
              <w:spacing w:after="174"/>
              <w:jc w:val="center"/>
              <w:rPr>
                <w:sz w:val="16"/>
                <w:szCs w:val="16"/>
                <w:lang w:val="en-GB"/>
              </w:rPr>
            </w:pPr>
            <w:r w:rsidRPr="00A772DB">
              <w:rPr>
                <w:sz w:val="16"/>
                <w:szCs w:val="16"/>
                <w:lang w:val="en-GB"/>
              </w:rPr>
              <w:t>0.87</w:t>
            </w:r>
          </w:p>
        </w:tc>
      </w:tr>
      <w:tr w:rsidR="00605E0B" w:rsidRPr="00A772DB" w14:paraId="16CF7DBC" w14:textId="77777777" w:rsidTr="00EC56EF">
        <w:tc>
          <w:tcPr>
            <w:tcW w:w="4700" w:type="dxa"/>
          </w:tcPr>
          <w:p w14:paraId="1F824EB1" w14:textId="6908266F" w:rsidR="00605E0B" w:rsidRPr="00A772DB" w:rsidRDefault="00605E0B" w:rsidP="001230DA">
            <w:pPr>
              <w:spacing w:after="174"/>
              <w:rPr>
                <w:sz w:val="16"/>
                <w:szCs w:val="16"/>
                <w:lang w:val="en-GB"/>
              </w:rPr>
            </w:pPr>
            <w:r w:rsidRPr="00A772DB">
              <w:rPr>
                <w:b/>
                <w:sz w:val="16"/>
                <w:szCs w:val="16"/>
                <w:u w:val="single"/>
                <w:lang w:val="en-GB"/>
              </w:rPr>
              <w:t>Innovation</w:t>
            </w:r>
            <w:r w:rsidRPr="00A772DB">
              <w:rPr>
                <w:sz w:val="16"/>
                <w:szCs w:val="16"/>
                <w:lang w:val="en-GB"/>
              </w:rPr>
              <w:t xml:space="preserve"> (</w:t>
            </w:r>
            <w:proofErr w:type="spellStart"/>
            <w:r w:rsidRPr="00A772DB">
              <w:rPr>
                <w:sz w:val="16"/>
                <w:szCs w:val="16"/>
                <w:lang w:val="en-GB"/>
              </w:rPr>
              <w:t>Barringer</w:t>
            </w:r>
            <w:proofErr w:type="spellEnd"/>
            <w:r w:rsidRPr="00A772DB">
              <w:rPr>
                <w:sz w:val="16"/>
                <w:szCs w:val="16"/>
                <w:lang w:val="en-GB"/>
              </w:rPr>
              <w:t xml:space="preserve"> and </w:t>
            </w:r>
            <w:proofErr w:type="spellStart"/>
            <w:r w:rsidRPr="00A772DB">
              <w:rPr>
                <w:sz w:val="16"/>
                <w:szCs w:val="16"/>
                <w:lang w:val="en-GB"/>
              </w:rPr>
              <w:t>Bluedorn</w:t>
            </w:r>
            <w:proofErr w:type="spellEnd"/>
            <w:r w:rsidRPr="00A772DB">
              <w:rPr>
                <w:sz w:val="16"/>
                <w:szCs w:val="16"/>
                <w:lang w:val="en-GB"/>
              </w:rPr>
              <w:t xml:space="preserve"> 1999)  </w:t>
            </w:r>
          </w:p>
          <w:p w14:paraId="78B76223" w14:textId="15161635" w:rsidR="00C77621" w:rsidRPr="00A772DB" w:rsidRDefault="00C77621" w:rsidP="001230DA">
            <w:pPr>
              <w:spacing w:after="174"/>
              <w:rPr>
                <w:sz w:val="16"/>
                <w:szCs w:val="16"/>
                <w:lang w:val="en-GB"/>
              </w:rPr>
            </w:pPr>
            <w:r w:rsidRPr="00A772DB">
              <w:rPr>
                <w:sz w:val="16"/>
                <w:szCs w:val="16"/>
                <w:lang w:val="en-GB"/>
              </w:rPr>
              <w:t xml:space="preserve">How many products and services have your company introduced to the market the last five years? </w:t>
            </w:r>
          </w:p>
          <w:p w14:paraId="651199D1" w14:textId="57078370" w:rsidR="00605E0B" w:rsidRPr="00A772DB" w:rsidRDefault="00C77621" w:rsidP="001230DA">
            <w:pPr>
              <w:spacing w:after="174"/>
              <w:rPr>
                <w:sz w:val="16"/>
                <w:szCs w:val="16"/>
                <w:lang w:val="en-GB"/>
              </w:rPr>
            </w:pPr>
            <w:r w:rsidRPr="00A772DB">
              <w:rPr>
                <w:sz w:val="16"/>
                <w:szCs w:val="16"/>
                <w:lang w:val="en-GB"/>
              </w:rPr>
              <w:t xml:space="preserve">None (1) </w:t>
            </w:r>
            <w:r w:rsidR="00605E0B" w:rsidRPr="00A772DB">
              <w:rPr>
                <w:sz w:val="16"/>
                <w:szCs w:val="16"/>
                <w:lang w:val="en-GB"/>
              </w:rPr>
              <w:t xml:space="preserve">or many </w:t>
            </w:r>
            <w:r w:rsidRPr="00A772DB">
              <w:rPr>
                <w:sz w:val="16"/>
                <w:szCs w:val="16"/>
                <w:lang w:val="en-GB"/>
              </w:rPr>
              <w:t xml:space="preserve">(5) </w:t>
            </w:r>
            <w:r w:rsidR="00605E0B" w:rsidRPr="00A772DB">
              <w:rPr>
                <w:sz w:val="16"/>
                <w:szCs w:val="16"/>
                <w:lang w:val="en-GB"/>
              </w:rPr>
              <w:t>new lines of products or services</w:t>
            </w:r>
          </w:p>
          <w:p w14:paraId="6F46C5A2" w14:textId="4B1E3EB6" w:rsidR="00605E0B" w:rsidRPr="00A772DB" w:rsidRDefault="00605E0B" w:rsidP="001230DA">
            <w:pPr>
              <w:spacing w:after="174"/>
              <w:rPr>
                <w:sz w:val="16"/>
                <w:szCs w:val="16"/>
                <w:lang w:val="en-GB"/>
              </w:rPr>
            </w:pPr>
            <w:r w:rsidRPr="00A772DB">
              <w:rPr>
                <w:sz w:val="16"/>
                <w:szCs w:val="16"/>
                <w:lang w:val="en-GB"/>
              </w:rPr>
              <w:t>Minor</w:t>
            </w:r>
            <w:r w:rsidR="00C77621" w:rsidRPr="00A772DB">
              <w:rPr>
                <w:sz w:val="16"/>
                <w:szCs w:val="16"/>
                <w:lang w:val="en-GB"/>
              </w:rPr>
              <w:t xml:space="preserve"> (1)</w:t>
            </w:r>
            <w:r w:rsidRPr="00A772DB">
              <w:rPr>
                <w:sz w:val="16"/>
                <w:szCs w:val="16"/>
                <w:lang w:val="en-GB"/>
              </w:rPr>
              <w:t xml:space="preserve"> or dramatic changes</w:t>
            </w:r>
            <w:r w:rsidR="00C77621" w:rsidRPr="00A772DB">
              <w:rPr>
                <w:sz w:val="16"/>
                <w:szCs w:val="16"/>
                <w:lang w:val="en-GB"/>
              </w:rPr>
              <w:t xml:space="preserve"> (5)</w:t>
            </w:r>
            <w:r w:rsidRPr="00A772DB">
              <w:rPr>
                <w:sz w:val="16"/>
                <w:szCs w:val="16"/>
                <w:lang w:val="en-GB"/>
              </w:rPr>
              <w:t xml:space="preserve"> in our products or services</w:t>
            </w:r>
          </w:p>
        </w:tc>
        <w:tc>
          <w:tcPr>
            <w:tcW w:w="4696" w:type="dxa"/>
          </w:tcPr>
          <w:p w14:paraId="0918C879" w14:textId="77777777" w:rsidR="00605E0B" w:rsidRPr="00A772DB" w:rsidRDefault="00605E0B" w:rsidP="001230DA">
            <w:pPr>
              <w:spacing w:after="174"/>
              <w:jc w:val="center"/>
              <w:rPr>
                <w:sz w:val="16"/>
                <w:szCs w:val="16"/>
                <w:lang w:val="en-GB"/>
              </w:rPr>
            </w:pPr>
            <w:r w:rsidRPr="00A772DB">
              <w:rPr>
                <w:sz w:val="16"/>
                <w:szCs w:val="16"/>
                <w:lang w:val="en-GB"/>
              </w:rPr>
              <w:t>0.86</w:t>
            </w:r>
          </w:p>
        </w:tc>
      </w:tr>
    </w:tbl>
    <w:p w14:paraId="25355E09" w14:textId="77777777" w:rsidR="00605E0B" w:rsidRPr="00A772DB" w:rsidRDefault="00605E0B" w:rsidP="00605E0B">
      <w:pPr>
        <w:spacing w:after="200"/>
        <w:rPr>
          <w:sz w:val="16"/>
          <w:szCs w:val="16"/>
          <w:lang w:val="en-GB"/>
        </w:rPr>
      </w:pPr>
    </w:p>
    <w:p w14:paraId="0B653752" w14:textId="77777777" w:rsidR="00605E0B" w:rsidRPr="00A772DB" w:rsidRDefault="00605E0B" w:rsidP="00605E0B">
      <w:pPr>
        <w:spacing w:after="200" w:line="276" w:lineRule="auto"/>
        <w:rPr>
          <w:sz w:val="16"/>
          <w:szCs w:val="16"/>
          <w:lang w:val="en-GB"/>
        </w:rPr>
      </w:pPr>
      <w:r w:rsidRPr="00A772DB">
        <w:rPr>
          <w:sz w:val="16"/>
          <w:szCs w:val="16"/>
          <w:lang w:val="en-GB"/>
        </w:rPr>
        <w:br w:type="page"/>
      </w:r>
    </w:p>
    <w:p w14:paraId="552CB09C" w14:textId="2326D6DA" w:rsidR="00EA4E68" w:rsidRPr="00A772DB" w:rsidRDefault="00730B98" w:rsidP="00EA4E68">
      <w:pPr>
        <w:rPr>
          <w:lang w:val="en-GB"/>
        </w:rPr>
      </w:pPr>
      <w:r w:rsidRPr="00A772DB">
        <w:rPr>
          <w:noProof/>
          <w:lang w:val="nb-NO" w:eastAsia="nb-NO"/>
        </w:rPr>
        <w:lastRenderedPageBreak/>
        <w:drawing>
          <wp:inline distT="0" distB="0" distL="0" distR="0" wp14:anchorId="6A89D4DA" wp14:editId="75FF30FD">
            <wp:extent cx="5972810" cy="3126623"/>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2810" cy="3126623"/>
                    </a:xfrm>
                    <a:prstGeom prst="rect">
                      <a:avLst/>
                    </a:prstGeom>
                    <a:noFill/>
                  </pic:spPr>
                </pic:pic>
              </a:graphicData>
            </a:graphic>
          </wp:inline>
        </w:drawing>
      </w:r>
    </w:p>
    <w:p w14:paraId="2E802378" w14:textId="1FACCC57" w:rsidR="00EA4E68" w:rsidRPr="00A772DB" w:rsidRDefault="00D7552B" w:rsidP="00EA4E68">
      <w:pPr>
        <w:rPr>
          <w:i/>
          <w:lang w:val="en-GB"/>
        </w:rPr>
      </w:pPr>
      <w:r w:rsidRPr="00A772DB">
        <w:rPr>
          <w:i/>
          <w:lang w:val="en-GB"/>
        </w:rPr>
        <w:t>Figure 1</w:t>
      </w:r>
      <w:r w:rsidR="00730B98" w:rsidRPr="00A772DB">
        <w:rPr>
          <w:i/>
          <w:lang w:val="en-GB"/>
        </w:rPr>
        <w:t>. E</w:t>
      </w:r>
      <w:r w:rsidR="00EA4E68" w:rsidRPr="00A772DB">
        <w:rPr>
          <w:i/>
          <w:lang w:val="en-GB"/>
        </w:rPr>
        <w:t xml:space="preserve">ntrepreneurship and innovation </w:t>
      </w:r>
      <w:r w:rsidR="00730B98" w:rsidRPr="00A772DB">
        <w:rPr>
          <w:i/>
          <w:lang w:val="en-GB"/>
        </w:rPr>
        <w:t xml:space="preserve">to move up </w:t>
      </w:r>
      <w:r w:rsidR="00EA4E68" w:rsidRPr="00A772DB">
        <w:rPr>
          <w:i/>
          <w:lang w:val="en-GB"/>
        </w:rPr>
        <w:t>in the recycling pyramid.</w:t>
      </w:r>
    </w:p>
    <w:p w14:paraId="7738CC11" w14:textId="38640309" w:rsidR="001208C3" w:rsidRPr="00A772DB" w:rsidRDefault="001208C3">
      <w:pPr>
        <w:spacing w:after="160" w:line="259" w:lineRule="auto"/>
        <w:rPr>
          <w:lang w:val="en-GB"/>
        </w:rPr>
      </w:pPr>
      <w:r w:rsidRPr="00A772DB">
        <w:rPr>
          <w:lang w:val="en-GB"/>
        </w:rPr>
        <w:br w:type="page"/>
      </w:r>
    </w:p>
    <w:p w14:paraId="6FD55066" w14:textId="6289250F" w:rsidR="00EA4E68" w:rsidRPr="00A772DB" w:rsidRDefault="00757761">
      <w:pPr>
        <w:rPr>
          <w:lang w:val="en-GB"/>
        </w:rPr>
      </w:pPr>
      <w:r w:rsidRPr="00A772DB">
        <w:rPr>
          <w:noProof/>
          <w:sz w:val="16"/>
          <w:szCs w:val="16"/>
          <w:lang w:val="nb-NO" w:eastAsia="nb-NO"/>
        </w:rPr>
        <w:lastRenderedPageBreak/>
        <w:drawing>
          <wp:inline distT="0" distB="0" distL="0" distR="0" wp14:anchorId="42E0A3DC" wp14:editId="3EFAFE1F">
            <wp:extent cx="4400550" cy="3458051"/>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5865" cy="3462227"/>
                    </a:xfrm>
                    <a:prstGeom prst="rect">
                      <a:avLst/>
                    </a:prstGeom>
                    <a:noFill/>
                  </pic:spPr>
                </pic:pic>
              </a:graphicData>
            </a:graphic>
          </wp:inline>
        </w:drawing>
      </w:r>
    </w:p>
    <w:p w14:paraId="18AB7B78" w14:textId="7D6CB470" w:rsidR="00757761" w:rsidRPr="00A772DB" w:rsidRDefault="00757761" w:rsidP="00757761">
      <w:pPr>
        <w:rPr>
          <w:i/>
          <w:lang w:val="en-GB"/>
        </w:rPr>
      </w:pPr>
      <w:r w:rsidRPr="00A772DB">
        <w:rPr>
          <w:i/>
          <w:lang w:val="en-GB"/>
        </w:rPr>
        <w:t xml:space="preserve">Figure 2. The organisation of the </w:t>
      </w:r>
      <w:r w:rsidR="00764FF4">
        <w:rPr>
          <w:i/>
          <w:lang w:val="en-GB"/>
        </w:rPr>
        <w:t>system</w:t>
      </w:r>
      <w:r w:rsidRPr="00A772DB">
        <w:rPr>
          <w:i/>
          <w:lang w:val="en-GB"/>
        </w:rPr>
        <w:t xml:space="preserve"> for recycling of electrical and electronic equipment waste (WEEE)</w:t>
      </w:r>
      <w:r w:rsidR="00016A51">
        <w:rPr>
          <w:i/>
          <w:lang w:val="en-GB"/>
        </w:rPr>
        <w:t xml:space="preserve"> in </w:t>
      </w:r>
      <w:proofErr w:type="spellStart"/>
      <w:r w:rsidR="00016A51">
        <w:rPr>
          <w:i/>
          <w:lang w:val="en-GB"/>
        </w:rPr>
        <w:t>Renas</w:t>
      </w:r>
      <w:proofErr w:type="spellEnd"/>
      <w:r w:rsidR="00016A51">
        <w:rPr>
          <w:i/>
          <w:lang w:val="en-GB"/>
        </w:rPr>
        <w:t xml:space="preserve"> (franchisor)</w:t>
      </w:r>
      <w:r w:rsidRPr="00A772DB">
        <w:rPr>
          <w:i/>
          <w:lang w:val="en-GB"/>
        </w:rPr>
        <w:t>.</w:t>
      </w:r>
    </w:p>
    <w:p w14:paraId="425F9B72" w14:textId="40C9C2B6" w:rsidR="00757761" w:rsidRPr="00A772DB" w:rsidRDefault="00757761">
      <w:pPr>
        <w:rPr>
          <w:lang w:val="en-GB"/>
        </w:rPr>
      </w:pPr>
    </w:p>
    <w:p w14:paraId="173FA68C" w14:textId="44C72DCD" w:rsidR="004026B3" w:rsidRPr="00A772DB" w:rsidRDefault="004026B3">
      <w:pPr>
        <w:rPr>
          <w:lang w:val="en-GB"/>
        </w:rPr>
      </w:pPr>
    </w:p>
    <w:p w14:paraId="601FFFE4" w14:textId="092DA43F" w:rsidR="004026B3" w:rsidRPr="00A772DB" w:rsidRDefault="004026B3" w:rsidP="00381EE0">
      <w:pPr>
        <w:spacing w:after="160" w:line="259" w:lineRule="auto"/>
        <w:rPr>
          <w:lang w:val="en-GB"/>
        </w:rPr>
      </w:pPr>
    </w:p>
    <w:sectPr w:rsidR="004026B3" w:rsidRPr="00A772DB">
      <w:headerReference w:type="default" r:id="rId15"/>
      <w:footerReference w:type="even" r:id="rId16"/>
      <w:footerReference w:type="defaul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B667D" w14:textId="77777777" w:rsidR="001275BE" w:rsidRDefault="001275BE">
      <w:r>
        <w:separator/>
      </w:r>
    </w:p>
  </w:endnote>
  <w:endnote w:type="continuationSeparator" w:id="0">
    <w:p w14:paraId="0D7C6C45" w14:textId="77777777" w:rsidR="001275BE" w:rsidRDefault="0012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E4CB" w14:textId="77777777" w:rsidR="006F2FE6" w:rsidRDefault="006F2F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6634B6" w14:textId="77777777" w:rsidR="006F2FE6" w:rsidRDefault="006F2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0FDEF" w14:textId="77777777" w:rsidR="006F2FE6" w:rsidRPr="00C871CF" w:rsidRDefault="006F2FE6">
    <w:pPr>
      <w:pStyle w:val="Footer"/>
      <w:jc w:val="center"/>
      <w:rPr>
        <w:lang w:val="nb-NO"/>
      </w:rPr>
    </w:pPr>
    <w:proofErr w:type="spellStart"/>
    <w:r>
      <w:rPr>
        <w:lang w:val="nb-NO"/>
      </w:rPr>
      <w:t>Corporate</w:t>
    </w:r>
    <w:proofErr w:type="spellEnd"/>
    <w:r>
      <w:rPr>
        <w:lang w:val="nb-NO"/>
      </w:rPr>
      <w:t xml:space="preserve"> Green </w:t>
    </w:r>
    <w:proofErr w:type="spellStart"/>
    <w:r>
      <w:rPr>
        <w:lang w:val="nb-NO"/>
      </w:rPr>
      <w:t>Innovation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8C1EE" w14:textId="77777777" w:rsidR="001275BE" w:rsidRDefault="001275BE">
      <w:r>
        <w:separator/>
      </w:r>
    </w:p>
  </w:footnote>
  <w:footnote w:type="continuationSeparator" w:id="0">
    <w:p w14:paraId="125F468B" w14:textId="77777777" w:rsidR="001275BE" w:rsidRDefault="0012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110764"/>
      <w:docPartObj>
        <w:docPartGallery w:val="Page Numbers (Top of Page)"/>
        <w:docPartUnique/>
      </w:docPartObj>
    </w:sdtPr>
    <w:sdtEndPr/>
    <w:sdtContent>
      <w:p w14:paraId="4423A6A5" w14:textId="48ACA0AD" w:rsidR="006F2FE6" w:rsidRDefault="006F2FE6">
        <w:pPr>
          <w:pStyle w:val="Header"/>
          <w:jc w:val="center"/>
        </w:pPr>
        <w:r>
          <w:fldChar w:fldCharType="begin"/>
        </w:r>
        <w:r>
          <w:instrText>PAGE   \* MERGEFORMAT</w:instrText>
        </w:r>
        <w:r>
          <w:fldChar w:fldCharType="separate"/>
        </w:r>
        <w:r w:rsidR="00127C83" w:rsidRPr="00127C83">
          <w:rPr>
            <w:noProof/>
            <w:lang w:val="nb-NO"/>
          </w:rPr>
          <w:t>24</w:t>
        </w:r>
        <w:r>
          <w:fldChar w:fldCharType="end"/>
        </w:r>
      </w:p>
    </w:sdtContent>
  </w:sdt>
  <w:p w14:paraId="26BCE1DB" w14:textId="77777777" w:rsidR="006F2FE6" w:rsidRDefault="006F2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0B"/>
    <w:rsid w:val="00007311"/>
    <w:rsid w:val="00016A51"/>
    <w:rsid w:val="000301F1"/>
    <w:rsid w:val="00035FA9"/>
    <w:rsid w:val="000373F8"/>
    <w:rsid w:val="00063244"/>
    <w:rsid w:val="0006473A"/>
    <w:rsid w:val="00066A26"/>
    <w:rsid w:val="0007405A"/>
    <w:rsid w:val="00095AC4"/>
    <w:rsid w:val="000A276A"/>
    <w:rsid w:val="000B6F6C"/>
    <w:rsid w:val="000F31ED"/>
    <w:rsid w:val="001208C3"/>
    <w:rsid w:val="001230DA"/>
    <w:rsid w:val="001275BE"/>
    <w:rsid w:val="00127C83"/>
    <w:rsid w:val="00131F0C"/>
    <w:rsid w:val="00157F90"/>
    <w:rsid w:val="00165F16"/>
    <w:rsid w:val="00175106"/>
    <w:rsid w:val="00185281"/>
    <w:rsid w:val="001900A2"/>
    <w:rsid w:val="00196F64"/>
    <w:rsid w:val="001B5E3A"/>
    <w:rsid w:val="001B7ECB"/>
    <w:rsid w:val="0020158C"/>
    <w:rsid w:val="002042AC"/>
    <w:rsid w:val="00237858"/>
    <w:rsid w:val="002508CC"/>
    <w:rsid w:val="00267C65"/>
    <w:rsid w:val="00280FFE"/>
    <w:rsid w:val="0029325F"/>
    <w:rsid w:val="002C4168"/>
    <w:rsid w:val="002F14F8"/>
    <w:rsid w:val="002F4830"/>
    <w:rsid w:val="003116D8"/>
    <w:rsid w:val="0032417E"/>
    <w:rsid w:val="00347C46"/>
    <w:rsid w:val="00354874"/>
    <w:rsid w:val="00361C6C"/>
    <w:rsid w:val="0036228C"/>
    <w:rsid w:val="00363429"/>
    <w:rsid w:val="00364DE6"/>
    <w:rsid w:val="00381EE0"/>
    <w:rsid w:val="00385CAE"/>
    <w:rsid w:val="003A0F1C"/>
    <w:rsid w:val="003B3A11"/>
    <w:rsid w:val="003B5575"/>
    <w:rsid w:val="003C027A"/>
    <w:rsid w:val="003C4093"/>
    <w:rsid w:val="003C5CF6"/>
    <w:rsid w:val="003E74E7"/>
    <w:rsid w:val="003F2A2C"/>
    <w:rsid w:val="004026B3"/>
    <w:rsid w:val="00411CAB"/>
    <w:rsid w:val="0041334D"/>
    <w:rsid w:val="004143C3"/>
    <w:rsid w:val="00430470"/>
    <w:rsid w:val="004445F5"/>
    <w:rsid w:val="004748C2"/>
    <w:rsid w:val="004846E9"/>
    <w:rsid w:val="0048510D"/>
    <w:rsid w:val="004A6B27"/>
    <w:rsid w:val="004A7133"/>
    <w:rsid w:val="004B04B6"/>
    <w:rsid w:val="004B0993"/>
    <w:rsid w:val="004B5161"/>
    <w:rsid w:val="004E526C"/>
    <w:rsid w:val="0050647C"/>
    <w:rsid w:val="005376A6"/>
    <w:rsid w:val="00546B1B"/>
    <w:rsid w:val="00552CF3"/>
    <w:rsid w:val="00570048"/>
    <w:rsid w:val="00577CCE"/>
    <w:rsid w:val="00586492"/>
    <w:rsid w:val="00595891"/>
    <w:rsid w:val="005B32FA"/>
    <w:rsid w:val="005B6662"/>
    <w:rsid w:val="005B67E8"/>
    <w:rsid w:val="00605E0B"/>
    <w:rsid w:val="0061091C"/>
    <w:rsid w:val="00624047"/>
    <w:rsid w:val="006241A3"/>
    <w:rsid w:val="0062796F"/>
    <w:rsid w:val="006509DD"/>
    <w:rsid w:val="006715C3"/>
    <w:rsid w:val="00672C0C"/>
    <w:rsid w:val="00693366"/>
    <w:rsid w:val="006A5145"/>
    <w:rsid w:val="006C3BE3"/>
    <w:rsid w:val="006D0875"/>
    <w:rsid w:val="006D242E"/>
    <w:rsid w:val="006D767F"/>
    <w:rsid w:val="006F2FE6"/>
    <w:rsid w:val="006F7BC7"/>
    <w:rsid w:val="007176A3"/>
    <w:rsid w:val="00726F39"/>
    <w:rsid w:val="00730B98"/>
    <w:rsid w:val="007468F6"/>
    <w:rsid w:val="007541E0"/>
    <w:rsid w:val="00757761"/>
    <w:rsid w:val="00764FF4"/>
    <w:rsid w:val="00765C7B"/>
    <w:rsid w:val="0076741B"/>
    <w:rsid w:val="00775F0E"/>
    <w:rsid w:val="007913E3"/>
    <w:rsid w:val="007D0547"/>
    <w:rsid w:val="007E76C8"/>
    <w:rsid w:val="007F097A"/>
    <w:rsid w:val="007F656C"/>
    <w:rsid w:val="00813F6E"/>
    <w:rsid w:val="00831578"/>
    <w:rsid w:val="008333C9"/>
    <w:rsid w:val="00840838"/>
    <w:rsid w:val="00872495"/>
    <w:rsid w:val="008A0C3B"/>
    <w:rsid w:val="008A2008"/>
    <w:rsid w:val="008A6BDC"/>
    <w:rsid w:val="008B2A9A"/>
    <w:rsid w:val="008B652A"/>
    <w:rsid w:val="008C065B"/>
    <w:rsid w:val="008F3366"/>
    <w:rsid w:val="009115A1"/>
    <w:rsid w:val="0092170B"/>
    <w:rsid w:val="00951708"/>
    <w:rsid w:val="00962430"/>
    <w:rsid w:val="00967609"/>
    <w:rsid w:val="009839CA"/>
    <w:rsid w:val="009865A8"/>
    <w:rsid w:val="00990AF5"/>
    <w:rsid w:val="009972F4"/>
    <w:rsid w:val="009A0164"/>
    <w:rsid w:val="009A0496"/>
    <w:rsid w:val="009B71E4"/>
    <w:rsid w:val="00A069AC"/>
    <w:rsid w:val="00A22C7C"/>
    <w:rsid w:val="00A35ED3"/>
    <w:rsid w:val="00A36919"/>
    <w:rsid w:val="00A404A1"/>
    <w:rsid w:val="00A439D1"/>
    <w:rsid w:val="00A54F22"/>
    <w:rsid w:val="00A56FA7"/>
    <w:rsid w:val="00A60B40"/>
    <w:rsid w:val="00A7232D"/>
    <w:rsid w:val="00A73B91"/>
    <w:rsid w:val="00A772DB"/>
    <w:rsid w:val="00A87855"/>
    <w:rsid w:val="00A87B98"/>
    <w:rsid w:val="00A9749A"/>
    <w:rsid w:val="00AC2FC3"/>
    <w:rsid w:val="00AE2A51"/>
    <w:rsid w:val="00B15968"/>
    <w:rsid w:val="00B20B75"/>
    <w:rsid w:val="00B22577"/>
    <w:rsid w:val="00B23844"/>
    <w:rsid w:val="00B27C56"/>
    <w:rsid w:val="00B33DBF"/>
    <w:rsid w:val="00B35355"/>
    <w:rsid w:val="00B50732"/>
    <w:rsid w:val="00B95A9D"/>
    <w:rsid w:val="00BA1FFE"/>
    <w:rsid w:val="00BD05E3"/>
    <w:rsid w:val="00BD462E"/>
    <w:rsid w:val="00C049C3"/>
    <w:rsid w:val="00C34277"/>
    <w:rsid w:val="00C72C35"/>
    <w:rsid w:val="00C77621"/>
    <w:rsid w:val="00CB15F2"/>
    <w:rsid w:val="00CD63BD"/>
    <w:rsid w:val="00CE5C3A"/>
    <w:rsid w:val="00D04F7D"/>
    <w:rsid w:val="00D10058"/>
    <w:rsid w:val="00D34DA7"/>
    <w:rsid w:val="00D50D44"/>
    <w:rsid w:val="00D53728"/>
    <w:rsid w:val="00D61FDF"/>
    <w:rsid w:val="00D7552B"/>
    <w:rsid w:val="00D84382"/>
    <w:rsid w:val="00D91B90"/>
    <w:rsid w:val="00D96C9B"/>
    <w:rsid w:val="00DB304A"/>
    <w:rsid w:val="00DB5CA1"/>
    <w:rsid w:val="00DB68D1"/>
    <w:rsid w:val="00DC2E26"/>
    <w:rsid w:val="00DD2B05"/>
    <w:rsid w:val="00DF2F5E"/>
    <w:rsid w:val="00E03229"/>
    <w:rsid w:val="00E06B39"/>
    <w:rsid w:val="00E075BD"/>
    <w:rsid w:val="00E12D4C"/>
    <w:rsid w:val="00E25138"/>
    <w:rsid w:val="00E437CE"/>
    <w:rsid w:val="00E54EA4"/>
    <w:rsid w:val="00E705C3"/>
    <w:rsid w:val="00E72225"/>
    <w:rsid w:val="00E755F0"/>
    <w:rsid w:val="00E75A73"/>
    <w:rsid w:val="00E92576"/>
    <w:rsid w:val="00EA4E68"/>
    <w:rsid w:val="00EB3217"/>
    <w:rsid w:val="00EB41A5"/>
    <w:rsid w:val="00EC56EF"/>
    <w:rsid w:val="00ED73BD"/>
    <w:rsid w:val="00ED7D55"/>
    <w:rsid w:val="00EF04F6"/>
    <w:rsid w:val="00EF66C9"/>
    <w:rsid w:val="00F250B5"/>
    <w:rsid w:val="00F50239"/>
    <w:rsid w:val="00F70839"/>
    <w:rsid w:val="00F8368E"/>
    <w:rsid w:val="00FA2C99"/>
    <w:rsid w:val="00FB4DEC"/>
    <w:rsid w:val="00FC2394"/>
    <w:rsid w:val="00FC75BC"/>
    <w:rsid w:val="00FE284D"/>
    <w:rsid w:val="00FF3C46"/>
    <w:rsid w:val="00FF75ED"/>
    <w:rsid w:val="00FF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501E"/>
  <w15:chartTrackingRefBased/>
  <w15:docId w15:val="{F03C578B-2BD4-47B4-9F00-ADAFD507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CAE"/>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605E0B"/>
    <w:pPr>
      <w:keepNext/>
      <w:spacing w:line="48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E0B"/>
    <w:rPr>
      <w:rFonts w:ascii="Times New Roman" w:eastAsia="Times New Roman" w:hAnsi="Times New Roman" w:cs="Times New Roman"/>
      <w:b/>
      <w:sz w:val="24"/>
      <w:szCs w:val="20"/>
      <w:lang w:val="en-US"/>
    </w:rPr>
  </w:style>
  <w:style w:type="character" w:styleId="Hyperlink">
    <w:name w:val="Hyperlink"/>
    <w:basedOn w:val="DefaultParagraphFont"/>
    <w:rsid w:val="00605E0B"/>
    <w:rPr>
      <w:color w:val="0000FF"/>
      <w:u w:val="single"/>
    </w:rPr>
  </w:style>
  <w:style w:type="paragraph" w:styleId="Footer">
    <w:name w:val="footer"/>
    <w:basedOn w:val="Normal"/>
    <w:link w:val="FooterChar"/>
    <w:uiPriority w:val="99"/>
    <w:rsid w:val="00605E0B"/>
    <w:pPr>
      <w:tabs>
        <w:tab w:val="center" w:pos="4320"/>
        <w:tab w:val="right" w:pos="8640"/>
      </w:tabs>
    </w:pPr>
  </w:style>
  <w:style w:type="character" w:customStyle="1" w:styleId="FooterChar">
    <w:name w:val="Footer Char"/>
    <w:basedOn w:val="DefaultParagraphFont"/>
    <w:link w:val="Footer"/>
    <w:uiPriority w:val="99"/>
    <w:rsid w:val="00605E0B"/>
    <w:rPr>
      <w:rFonts w:ascii="Times New Roman" w:eastAsia="Times New Roman" w:hAnsi="Times New Roman" w:cs="Times New Roman"/>
      <w:sz w:val="24"/>
      <w:szCs w:val="20"/>
      <w:lang w:val="en-US"/>
    </w:rPr>
  </w:style>
  <w:style w:type="character" w:styleId="PageNumber">
    <w:name w:val="page number"/>
    <w:basedOn w:val="DefaultParagraphFont"/>
    <w:rsid w:val="00605E0B"/>
  </w:style>
  <w:style w:type="paragraph" w:styleId="BalloonText">
    <w:name w:val="Balloon Text"/>
    <w:basedOn w:val="Normal"/>
    <w:link w:val="BalloonTextChar"/>
    <w:uiPriority w:val="99"/>
    <w:semiHidden/>
    <w:unhideWhenUsed/>
    <w:rsid w:val="00605E0B"/>
    <w:rPr>
      <w:rFonts w:ascii="Tahoma" w:hAnsi="Tahoma" w:cs="Tahoma"/>
      <w:sz w:val="16"/>
      <w:szCs w:val="16"/>
    </w:rPr>
  </w:style>
  <w:style w:type="character" w:customStyle="1" w:styleId="BalloonTextChar">
    <w:name w:val="Balloon Text Char"/>
    <w:basedOn w:val="DefaultParagraphFont"/>
    <w:link w:val="BalloonText"/>
    <w:uiPriority w:val="99"/>
    <w:semiHidden/>
    <w:rsid w:val="00605E0B"/>
    <w:rPr>
      <w:rFonts w:ascii="Tahoma" w:eastAsia="Times New Roman" w:hAnsi="Tahoma" w:cs="Tahoma"/>
      <w:sz w:val="16"/>
      <w:szCs w:val="16"/>
      <w:lang w:val="en-US"/>
    </w:rPr>
  </w:style>
  <w:style w:type="table" w:styleId="TableGrid">
    <w:name w:val="Table Grid"/>
    <w:basedOn w:val="TableNormal"/>
    <w:uiPriority w:val="59"/>
    <w:rsid w:val="00605E0B"/>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E0B"/>
    <w:pPr>
      <w:tabs>
        <w:tab w:val="center" w:pos="4536"/>
        <w:tab w:val="right" w:pos="9072"/>
      </w:tabs>
    </w:pPr>
  </w:style>
  <w:style w:type="character" w:customStyle="1" w:styleId="HeaderChar">
    <w:name w:val="Header Char"/>
    <w:basedOn w:val="DefaultParagraphFont"/>
    <w:link w:val="Header"/>
    <w:uiPriority w:val="99"/>
    <w:rsid w:val="00605E0B"/>
    <w:rPr>
      <w:rFonts w:ascii="Times New Roman" w:eastAsia="Times New Roman" w:hAnsi="Times New Roman" w:cs="Times New Roman"/>
      <w:sz w:val="24"/>
      <w:szCs w:val="20"/>
      <w:lang w:val="en-US"/>
    </w:rPr>
  </w:style>
  <w:style w:type="paragraph" w:customStyle="1" w:styleId="3CBD5A742C28424DA5172AD252E32316">
    <w:name w:val="3CBD5A742C28424DA5172AD252E32316"/>
    <w:rsid w:val="00605E0B"/>
    <w:pPr>
      <w:spacing w:after="200" w:line="276" w:lineRule="auto"/>
    </w:pPr>
    <w:rPr>
      <w:rFonts w:eastAsiaTheme="minorEastAsia"/>
      <w:lang w:val="nb-NO" w:eastAsia="nb-NO"/>
    </w:rPr>
  </w:style>
  <w:style w:type="paragraph" w:customStyle="1" w:styleId="Litteratur">
    <w:name w:val="Litteratur"/>
    <w:basedOn w:val="Normal"/>
    <w:rsid w:val="00605E0B"/>
    <w:pPr>
      <w:spacing w:after="160"/>
      <w:ind w:left="851" w:hanging="567"/>
    </w:pPr>
    <w:rPr>
      <w:rFonts w:ascii="Palatino" w:hAnsi="Palatino"/>
      <w:sz w:val="20"/>
      <w:lang w:val="en-GB"/>
    </w:rPr>
  </w:style>
  <w:style w:type="paragraph" w:styleId="Subtitle">
    <w:name w:val="Subtitle"/>
    <w:basedOn w:val="Normal"/>
    <w:next w:val="Normal"/>
    <w:link w:val="SubtitleChar"/>
    <w:uiPriority w:val="11"/>
    <w:qFormat/>
    <w:rsid w:val="00605E0B"/>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605E0B"/>
    <w:rPr>
      <w:rFonts w:asciiTheme="majorHAnsi" w:eastAsiaTheme="majorEastAsia" w:hAnsiTheme="majorHAnsi" w:cstheme="majorBidi"/>
      <w:i/>
      <w:iCs/>
      <w:color w:val="4472C4" w:themeColor="accent1"/>
      <w:spacing w:val="15"/>
      <w:sz w:val="24"/>
      <w:szCs w:val="24"/>
      <w:lang w:val="en-US"/>
    </w:rPr>
  </w:style>
  <w:style w:type="character" w:styleId="CommentReference">
    <w:name w:val="annotation reference"/>
    <w:basedOn w:val="DefaultParagraphFont"/>
    <w:uiPriority w:val="99"/>
    <w:semiHidden/>
    <w:unhideWhenUsed/>
    <w:rsid w:val="00605E0B"/>
    <w:rPr>
      <w:sz w:val="16"/>
      <w:szCs w:val="16"/>
    </w:rPr>
  </w:style>
  <w:style w:type="paragraph" w:styleId="CommentText">
    <w:name w:val="annotation text"/>
    <w:basedOn w:val="Normal"/>
    <w:link w:val="CommentTextChar"/>
    <w:uiPriority w:val="99"/>
    <w:semiHidden/>
    <w:unhideWhenUsed/>
    <w:rsid w:val="00605E0B"/>
    <w:rPr>
      <w:sz w:val="20"/>
    </w:rPr>
  </w:style>
  <w:style w:type="character" w:customStyle="1" w:styleId="CommentTextChar">
    <w:name w:val="Comment Text Char"/>
    <w:basedOn w:val="DefaultParagraphFont"/>
    <w:link w:val="CommentText"/>
    <w:uiPriority w:val="99"/>
    <w:semiHidden/>
    <w:rsid w:val="00605E0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05E0B"/>
    <w:rPr>
      <w:b/>
      <w:bCs/>
    </w:rPr>
  </w:style>
  <w:style w:type="character" w:customStyle="1" w:styleId="CommentSubjectChar">
    <w:name w:val="Comment Subject Char"/>
    <w:basedOn w:val="CommentTextChar"/>
    <w:link w:val="CommentSubject"/>
    <w:uiPriority w:val="99"/>
    <w:semiHidden/>
    <w:rsid w:val="00605E0B"/>
    <w:rPr>
      <w:rFonts w:ascii="Times New Roman" w:eastAsia="Times New Roman" w:hAnsi="Times New Roman" w:cs="Times New Roman"/>
      <w:b/>
      <w:bCs/>
      <w:sz w:val="20"/>
      <w:szCs w:val="20"/>
      <w:lang w:val="en-US"/>
    </w:rPr>
  </w:style>
  <w:style w:type="character" w:customStyle="1" w:styleId="UnresolvedMention">
    <w:name w:val="Unresolved Mention"/>
    <w:basedOn w:val="DefaultParagraphFont"/>
    <w:uiPriority w:val="99"/>
    <w:semiHidden/>
    <w:unhideWhenUsed/>
    <w:rsid w:val="00385C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hlstrf@muohio.ed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te.flygansvaer@bi.no" TargetMode="External"/><Relationship Id="rId12" Type="http://schemas.openxmlformats.org/officeDocument/2006/relationships/hyperlink" Target="http://ec.europa.eu/eurostat/web/waste/overvie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c.europa.eu/environment/index_en.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qualtric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rne.nygaard@kristiania.no"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2C605-0E0C-438C-A03A-D72711A9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6524</Words>
  <Characters>34581</Characters>
  <Application>Microsoft Office Word</Application>
  <DocSecurity>0</DocSecurity>
  <Lines>288</Lines>
  <Paragraphs>82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Elliott</dc:creator>
  <cp:keywords/>
  <dc:description/>
  <cp:lastModifiedBy>Flygansvær, Bente Merete</cp:lastModifiedBy>
  <cp:revision>19</cp:revision>
  <cp:lastPrinted>2018-03-19T08:16:00Z</cp:lastPrinted>
  <dcterms:created xsi:type="dcterms:W3CDTF">2018-05-22T22:13:00Z</dcterms:created>
  <dcterms:modified xsi:type="dcterms:W3CDTF">2018-05-23T13:51:00Z</dcterms:modified>
</cp:coreProperties>
</file>