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1D2D" w14:textId="60BACE1C" w:rsidR="009758B9" w:rsidRPr="009758B9" w:rsidRDefault="009758B9" w:rsidP="009758B9">
      <w:pPr>
        <w:pStyle w:val="DissertationStyle"/>
        <w:pBdr>
          <w:bottom w:val="single" w:sz="4" w:space="1" w:color="auto"/>
        </w:pBdr>
        <w:spacing w:after="160" w:line="480" w:lineRule="auto"/>
        <w:rPr>
          <w:sz w:val="28"/>
        </w:rPr>
      </w:pPr>
      <w:bookmarkStart w:id="0" w:name="_Toc512429819"/>
      <w:bookmarkStart w:id="1" w:name="_Toc507764821"/>
      <w:r w:rsidRPr="001340AB">
        <w:rPr>
          <w:sz w:val="28"/>
        </w:rPr>
        <w:t>Does Pregnancy Complication History Improve Cardiovascular Disease Risk Prediction? Findings from the HUNT Study in Norway</w:t>
      </w:r>
      <w:bookmarkEnd w:id="0"/>
    </w:p>
    <w:p w14:paraId="7981DFC3" w14:textId="77777777" w:rsidR="009758B9" w:rsidRDefault="009758B9" w:rsidP="009758B9">
      <w:pPr>
        <w:pStyle w:val="Subtitle1"/>
        <w:jc w:val="center"/>
      </w:pPr>
      <w:bookmarkStart w:id="2" w:name="_Toc512429820"/>
    </w:p>
    <w:p w14:paraId="3AD6C83C" w14:textId="77777777" w:rsidR="009758B9" w:rsidRPr="001340AB" w:rsidRDefault="009758B9" w:rsidP="009758B9">
      <w:pPr>
        <w:pStyle w:val="Subtitle1"/>
        <w:jc w:val="center"/>
      </w:pPr>
      <w:r w:rsidRPr="001340AB">
        <w:t>Abstract</w:t>
      </w:r>
      <w:bookmarkEnd w:id="2"/>
    </w:p>
    <w:p w14:paraId="5CCC6928" w14:textId="77777777" w:rsidR="009758B9" w:rsidRPr="001340AB" w:rsidRDefault="009758B9" w:rsidP="009758B9">
      <w:pPr>
        <w:spacing w:line="480" w:lineRule="auto"/>
        <w:rPr>
          <w:szCs w:val="24"/>
        </w:rPr>
      </w:pPr>
      <w:r w:rsidRPr="001340AB">
        <w:rPr>
          <w:i/>
          <w:szCs w:val="24"/>
        </w:rPr>
        <w:t>Aim:</w:t>
      </w:r>
      <w:r w:rsidRPr="001340AB">
        <w:rPr>
          <w:szCs w:val="24"/>
        </w:rPr>
        <w:t xml:space="preserve"> To evaluate whether history of pregnancy complications (preeclampsia, gestational hypertension, preterm delivery, or small for gestational age (SGA)) improves risk prediction for cardiovascular disease (CVD).</w:t>
      </w:r>
    </w:p>
    <w:p w14:paraId="28EB08B0" w14:textId="77777777" w:rsidR="009758B9" w:rsidRPr="001340AB" w:rsidRDefault="009758B9" w:rsidP="009758B9">
      <w:pPr>
        <w:spacing w:line="480" w:lineRule="auto"/>
        <w:rPr>
          <w:szCs w:val="24"/>
        </w:rPr>
      </w:pPr>
      <w:r w:rsidRPr="001340AB">
        <w:rPr>
          <w:i/>
          <w:szCs w:val="24"/>
        </w:rPr>
        <w:t>Methods and Results:</w:t>
      </w:r>
      <w:r w:rsidRPr="001340AB">
        <w:rPr>
          <w:b/>
          <w:szCs w:val="24"/>
        </w:rPr>
        <w:t xml:space="preserve"> </w:t>
      </w:r>
      <w:r w:rsidRPr="001340AB">
        <w:rPr>
          <w:szCs w:val="24"/>
        </w:rPr>
        <w:t xml:space="preserve">This population-based, prospective cohort study linked data from the HUNT Study, Medical Birth Registry of Norway, validated hospital records, and Norwegian Cause of Death Registry. Using an established CVD risk prediction model (NORRISK 2), we predicted 10-year risk of </w:t>
      </w:r>
      <w:r w:rsidRPr="001340AB">
        <w:t>CVD (nonfatal myocardial infarction, fatal coronary heart disease, nonfatal or fatal stroke)</w:t>
      </w:r>
      <w:r w:rsidRPr="001340AB">
        <w:rPr>
          <w:szCs w:val="24"/>
        </w:rPr>
        <w:t xml:space="preserve"> based on established risk factors (age, systolic blood pressure, total and HDL-cholesterol, smoking, anti-hypertensives, and family history of myocardial infarction). We evaluated whether adding pregnancy complication history improved model fit, calibration, discrimination, and reclassification. Among 18,231 </w:t>
      </w:r>
      <w:r w:rsidRPr="001340AB">
        <w:t xml:space="preserve">women who were parous, </w:t>
      </w:r>
      <w:r w:rsidRPr="001340AB">
        <w:rPr>
          <w:rFonts w:cs="Times New Roman"/>
        </w:rPr>
        <w:t>≥</w:t>
      </w:r>
      <w:r w:rsidRPr="001340AB">
        <w:t>40 years of age, and CVD-free at start of follow-up</w:t>
      </w:r>
      <w:r w:rsidRPr="001340AB">
        <w:rPr>
          <w:szCs w:val="24"/>
        </w:rPr>
        <w:t xml:space="preserve">, 39% had any pregnancy complication history and 5% experienced a CVD event during a median follow-up of 8.2 years. While preeclampsia and SGA were associated with CVD in unadjusted models (HR=1.96, CI: 1.44-2.65 for preeclampsia and HR=1.46, CI: 1.18-1.81 for SGA), only preeclampsia remained associated with CVD after adjusting for established risk factors (HR=1.60, CI: 1.16-2.17). Adding pregnancy complication history to the established prediction model led to </w:t>
      </w:r>
      <w:r w:rsidRPr="001340AB">
        <w:t xml:space="preserve">small improvements in discrimination (C-index </w:t>
      </w:r>
      <w:r w:rsidRPr="001340AB">
        <w:lastRenderedPageBreak/>
        <w:t>difference=0.004, CI: 0.002</w:t>
      </w:r>
      <w:r w:rsidRPr="001340AB">
        <w:rPr>
          <w:szCs w:val="24"/>
        </w:rPr>
        <w:t>-</w:t>
      </w:r>
      <w:r w:rsidRPr="001340AB">
        <w:t>0.006) and reclassification (net reclassification improvement=0.02, CI: 0.002</w:t>
      </w:r>
      <w:r w:rsidRPr="001340AB">
        <w:rPr>
          <w:szCs w:val="24"/>
        </w:rPr>
        <w:t>-</w:t>
      </w:r>
      <w:r w:rsidRPr="001340AB">
        <w:t>0.05).</w:t>
      </w:r>
    </w:p>
    <w:p w14:paraId="5BB903A7" w14:textId="77777777" w:rsidR="009758B9" w:rsidRPr="001340AB" w:rsidRDefault="009758B9" w:rsidP="009758B9">
      <w:pPr>
        <w:spacing w:line="480" w:lineRule="auto"/>
        <w:rPr>
          <w:szCs w:val="24"/>
        </w:rPr>
      </w:pPr>
      <w:r w:rsidRPr="001340AB">
        <w:rPr>
          <w:i/>
          <w:szCs w:val="24"/>
        </w:rPr>
        <w:t>Conclusion:</w:t>
      </w:r>
      <w:r w:rsidRPr="001340AB">
        <w:rPr>
          <w:b/>
          <w:szCs w:val="24"/>
        </w:rPr>
        <w:t xml:space="preserve"> </w:t>
      </w:r>
      <w:r w:rsidRPr="001340AB">
        <w:rPr>
          <w:szCs w:val="24"/>
        </w:rPr>
        <w:t>Preeclampsia independently predicted CVD after controlling for established risk factors; however, adding preeclampsia, gestational hypertension, preterm delivery, and SGA made only small improvements to CVD prediction among this representative sample of parous Norwegian women.</w:t>
      </w:r>
    </w:p>
    <w:p w14:paraId="63CE14F4" w14:textId="77777777" w:rsidR="009758B9" w:rsidRPr="001340AB" w:rsidRDefault="009758B9" w:rsidP="009758B9">
      <w:pPr>
        <w:spacing w:line="480" w:lineRule="auto"/>
        <w:rPr>
          <w:szCs w:val="24"/>
        </w:rPr>
      </w:pPr>
      <w:r w:rsidRPr="001340AB">
        <w:rPr>
          <w:i/>
          <w:szCs w:val="24"/>
        </w:rPr>
        <w:t>Keywords:</w:t>
      </w:r>
      <w:r w:rsidRPr="001340AB">
        <w:rPr>
          <w:szCs w:val="24"/>
        </w:rPr>
        <w:t xml:space="preserve"> prediction, stroke, coronary heart disease, pregnancy, women’s health </w:t>
      </w:r>
    </w:p>
    <w:p w14:paraId="6C07710C" w14:textId="705B3561" w:rsidR="009758B9" w:rsidRPr="001340AB" w:rsidRDefault="009758B9" w:rsidP="009758B9">
      <w:pPr>
        <w:spacing w:line="480" w:lineRule="auto"/>
        <w:rPr>
          <w:b/>
          <w:szCs w:val="24"/>
        </w:rPr>
      </w:pPr>
      <w:bookmarkStart w:id="3" w:name="_Toc512429821"/>
    </w:p>
    <w:p w14:paraId="43B707BF" w14:textId="77777777" w:rsidR="00632D59" w:rsidRDefault="00632D59">
      <w:pPr>
        <w:rPr>
          <w:b/>
          <w:szCs w:val="24"/>
        </w:rPr>
      </w:pPr>
      <w:r>
        <w:rPr>
          <w:szCs w:val="24"/>
        </w:rPr>
        <w:br w:type="page"/>
      </w:r>
    </w:p>
    <w:p w14:paraId="7488BE96" w14:textId="494A554B" w:rsidR="009758B9" w:rsidRPr="001340AB" w:rsidRDefault="009758B9" w:rsidP="009758B9">
      <w:pPr>
        <w:pStyle w:val="Subtitle1"/>
        <w:rPr>
          <w:szCs w:val="24"/>
        </w:rPr>
      </w:pPr>
      <w:r w:rsidRPr="001340AB">
        <w:rPr>
          <w:szCs w:val="24"/>
        </w:rPr>
        <w:lastRenderedPageBreak/>
        <w:t>Introduction</w:t>
      </w:r>
      <w:bookmarkEnd w:id="3"/>
    </w:p>
    <w:p w14:paraId="3D04699E" w14:textId="3678233C" w:rsidR="009758B9" w:rsidRPr="001340AB" w:rsidRDefault="009758B9" w:rsidP="009758B9">
      <w:pPr>
        <w:spacing w:line="480" w:lineRule="auto"/>
        <w:rPr>
          <w:szCs w:val="24"/>
        </w:rPr>
      </w:pPr>
      <w:r w:rsidRPr="001340AB">
        <w:rPr>
          <w:szCs w:val="24"/>
        </w:rPr>
        <w:t>Cardiovascular disease (CVD) is the leading cause of death in women</w:t>
      </w:r>
      <w:r w:rsidRPr="001340AB">
        <w:rPr>
          <w:szCs w:val="24"/>
        </w:rPr>
        <w:fldChar w:fldCharType="begin"/>
      </w:r>
      <w:r w:rsidRPr="001340AB">
        <w:rPr>
          <w:szCs w:val="24"/>
        </w:rPr>
        <w:instrText xml:space="preserve"> ADDIN ZOTERO_ITEM CSL_CITATION {"citationID":"a1so3k2rsvd","properties":{"formattedCitation":"\\super 1\\nosupersub{}","plainCitation":"1","noteIndex":0},"citationItems":[{"id":516,"uris":["http://zotero.org/users/2002240/items/G77827KP"],"uri":["http://zotero.org/users/2002240/items/G77827KP"],"itemData":{"id":516,"type":"webpage","title":"Women's Health","URL":"http://www.who.int/mediacentre/factsheets/fs334/en/","author":[{"literal":"World Health Organization"}],"accessed":{"date-parts":[["2016",10,21]]}}}],"schema":"https://github.com/citation-style-language/schema/raw/master/csl-citation.json"} </w:instrText>
      </w:r>
      <w:r w:rsidRPr="001340AB">
        <w:rPr>
          <w:szCs w:val="24"/>
        </w:rPr>
        <w:fldChar w:fldCharType="separate"/>
      </w:r>
      <w:r w:rsidRPr="008C60A7">
        <w:rPr>
          <w:rFonts w:cs="Times New Roman"/>
          <w:szCs w:val="24"/>
          <w:vertAlign w:val="superscript"/>
        </w:rPr>
        <w:t>1</w:t>
      </w:r>
      <w:r w:rsidRPr="001340AB">
        <w:rPr>
          <w:szCs w:val="24"/>
        </w:rPr>
        <w:fldChar w:fldCharType="end"/>
      </w:r>
      <w:r w:rsidRPr="001340AB">
        <w:rPr>
          <w:szCs w:val="24"/>
        </w:rPr>
        <w:t xml:space="preserve"> and is underdiagnosed in women compared to men</w:t>
      </w:r>
      <w:r w:rsidRPr="001340AB">
        <w:rPr>
          <w:szCs w:val="24"/>
        </w:rPr>
        <w:fldChar w:fldCharType="begin"/>
      </w:r>
      <w:r w:rsidRPr="001340AB">
        <w:rPr>
          <w:szCs w:val="24"/>
        </w:rPr>
        <w:instrText xml:space="preserve"> ADDIN ZOTERO_ITEM CSL_CITATION {"citationID":"a2e5f8s9pld","properties":{"formattedCitation":"\\super 2,3\\nosupersub{}","plainCitation":"2,3","noteIndex":0},"citationItems":[{"id":512,"uris":["http://zotero.org/users/2002240/items/ARUK8MIJ"],"uri":["http://zotero.org/users/2002240/items/ARUK8MIJ"],"itemData":{"id":512,"type":"article-journal","title":"Effectiveness-based guidelines for the prevention of cardiovascular disease in women--2011 update: a guideline from the american heart association","container-title":"Circulation","page":"1243-1262","volume":"123","issue":"11","source":"NCBI PubMed","DOI":"10.1161/CIR.0b013e31820faaf8","ISSN":"1524-4539","note":"PMID: 21325087 \nPMCID: PMC3182143","shortTitle":"Effectiveness-based guidelines for the prevention of cardiovascular disease in women--2011 update","journalAbbreviation":"Circulation","language":"eng","author":[{"family":"Mosca","given":"Lori"},{"family":"Benjamin","given":"Emelia J."},{"family":"Berra","given":"Kathy"},{"family":"Bezanson","given":"Judy L."},{"family":"Dolor","given":"Rowena J."},{"family":"Lloyd-Jones","given":"Donald M."},{"family":"Newby","given":"L. Kristin"},{"family":"Piña","given":"Ileana L."},{"family":"Roger","given":"Véronique L."},{"family":"Shaw","given":"Leslee J."},{"family":"Zhao","given":"Dong"},{"family":"Beckie","given":"Theresa M."},{"family":"Bushnell","given":"Cheryl"},{"family":"D'Armiento","given":"Jeanine"},{"family":"Kris-Etherton","given":"Penny M."},{"family":"Fang","given":"Jing"},{"family":"Ganiats","given":"Theodore G."},{"family":"Gomes","given":"Antoinette S."},{"family":"Gracia","given":"Clarisa R."},{"family":"Haan","given":"Constance K."},{"family":"Jackson","given":"Elizabeth A."},{"family":"Judelson","given":"Debra R."},{"family":"Kelepouris","given":"Ellie"},{"family":"Lavie","given":"Carl J."},{"family":"Moore","given":"Anne"},{"family":"Nussmeier","given":"Nancy A."},{"family":"Ofili","given":"Elizabeth"},{"family":"Oparil","given":"Suzanne"},{"family":"Ouyang","given":"Pamela"},{"family":"Pinn","given":"Vivian W."},{"family":"Sherif","given":"Katherine"},{"family":"Smith","given":"Sidney C."},{"family":"Sopko","given":"George"},{"family":"Chandra-Strobos","given":"Nisha"},{"family":"Urbina","given":"Elaine M."},{"family":"Vaccarino","given":"Viola"},{"family":"Wenger","given":"Nanette K."}],"issued":{"date-parts":[["2011",3,22]]}}},{"id":510,"uris":["http://zotero.org/users/2002240/items/BVP7M4K4"],"uri":["http://zotero.org/users/2002240/items/BVP7M4K4"],"itemData":{"id":510,"type":"article-journal","title":"Insights from the NHLBI-Sponsored Women's Ischemia Syndrome Evaluation (WISE) Study: Part I: gender differences in traditional and novel risk factors, symptom evaluation, and gender-optimized diagnostic strategies","container-title":"Journal of the American College of Cardiology","page":"S4-S20","volume":"47","issue":"3 Suppl","source":"NCBI PubMed","abstract":"Despite a dramatic decline in mortality over the past three decades, coronary heart disease is the leading cause of death and disability in the U.S. Importantly, recent advances in the field of cardiovascular medicine have not led to significant declines in case fatality rates for women when compared to the dramatic declines realized for men. The current review highlights gender-specific issues in ischemic heart disease presentation, evaluation, and outcomes with a special focus on the results published from the National Institutes of Health-National Heart, Lung, and Blood Institute-sponsored Women's Ischemia Syndrome Evaluation (WISE) study. We will present recent evidence on traditional and novel risk markers (e.g., high sensitivity C-reactive protein) as well as gender-specific differences in symptoms and diagnostic approaches. An overview of currently available diagnostic test evidence (including exercise electrocardiography and stress echocardiography and single-photon emission computed tomographic imaging) in symptomatic women will be presented as well as data using innovative imaging techniques such as magnetic resonance subendocardial perfusion, and spectroscopic imaging will also be discussed.","DOI":"10.1016/j.jacc.2005.01.072","ISSN":"1558-3597","note":"PMID: 16458170","shortTitle":"Insights from the NHLBI-Sponsored Women's Ischemia Syndrome Evaluation (WISE) Study","journalAbbreviation":"J. Am. Coll. Cardiol.","language":"eng","author":[{"family":"Shaw","given":"Leslee J."},{"family":"Bairey Merz","given":"C. Noel"},{"family":"Pepine","given":"Carl J."},{"family":"Reis","given":"Steven E."},{"family":"Bittner","given":"Vera"},{"family":"Kelsey","given":"Sheryl F."},{"family":"Olson","given":"Marian"},{"family":"Johnson","given":"B. Delia"},{"family":"Mankad","given":"Sunil"},{"family":"Sharaf","given":"Barry L."},{"family":"Rogers","given":"William J."},{"family":"Wessel","given":"Timothy R."},{"family":"Arant","given":"Christopher B."},{"family":"Pohost","given":"Gerald M."},{"family":"Lerman","given":"Amir"},{"family":"Quyyumi","given":"Arshed A."},{"family":"Sopko","given":"George"},{"literal":"WISE Investigators"}],"issued":{"date-parts":[["2006",2,7]]}}}],"schema":"https://github.com/citation-style-language/schema/raw/master/csl-citation.json"} </w:instrText>
      </w:r>
      <w:r w:rsidRPr="001340AB">
        <w:rPr>
          <w:szCs w:val="24"/>
        </w:rPr>
        <w:fldChar w:fldCharType="separate"/>
      </w:r>
      <w:r w:rsidRPr="008C60A7">
        <w:rPr>
          <w:rFonts w:cs="Times New Roman"/>
          <w:szCs w:val="24"/>
          <w:vertAlign w:val="superscript"/>
        </w:rPr>
        <w:t>2,3</w:t>
      </w:r>
      <w:r w:rsidRPr="001340AB">
        <w:rPr>
          <w:szCs w:val="24"/>
        </w:rPr>
        <w:fldChar w:fldCharType="end"/>
      </w:r>
      <w:r w:rsidRPr="001340AB">
        <w:rPr>
          <w:szCs w:val="24"/>
        </w:rPr>
        <w:t>. CVD risk prediction tools are commonly used to identify individuals at higher risk, allowing physicians to target interventions to patients who would benefit the most. However, clinical guidelines have noted that current tools identify few high risk women prior to age 70 and have called for research to improve sensitivity for younger women</w:t>
      </w:r>
      <w:r w:rsidRPr="001340AB">
        <w:rPr>
          <w:szCs w:val="24"/>
        </w:rPr>
        <w:fldChar w:fldCharType="begin"/>
      </w:r>
      <w:r w:rsidRPr="001340AB">
        <w:rPr>
          <w:szCs w:val="24"/>
        </w:rPr>
        <w:instrText xml:space="preserve"> ADDIN ZOTERO_ITEM CSL_CITATION {"citationID":"a1aidsb4lhd","properties":{"formattedCitation":"\\super 4,5\\nosupersub{}","plainCitation":"4,5","noteIndex":0},"citationItems":[{"id":1173,"uris":["http://zotero.org/users/2002240/items/QJ448WZH"],"uri":["http://zotero.org/users/2002240/items/QJ448WZH"],"itemData":{"id":1173,"type":"article-journal","title":"2013 ACC/AHA guideline on the assessment of cardiovascular risk: a report of the American College of Cardiology/American Heart Association Task Force on Practice Guidelines","container-title":"Journal of the American College of Cardiology","page":"2935-2959","volume":"63","issue":"25 Pt B","source":"PubMed","DOI":"10.1016/j.jacc.2013.11.005","ISSN":"1558-3597","note":"PMID: 24239921","shortTitle":"2013 ACC/AHA guideline on the assessment of cardiovascular risk","journalAbbreviation":"J. Am. Coll. Cardiol.","language":"eng","author":[{"family":"Goff","given":"David C."},{"family":"Lloyd-Jones","given":"Donald M."},{"family":"Bennett","given":"Glen"},{"family":"Coady","given":"Sean"},{"family":"D'Agostino","given":"Ralph B."},{"family":"Gibbons","given":"Raymond"},{"family":"Greenland","given":"Philip"},{"family":"Lackland","given":"Daniel T."},{"family":"Levy","given":"Daniel"},{"family":"O'Donnell","given":"Christopher J."},{"family":"Robinson","given":"Jennifer G."},{"family":"Schwartz","given":"J. Sanford"},{"family":"Shero","given":"Susan T."},{"family":"Smith","given":"Sidney C."},{"family":"Sorlie","given":"Paul"},{"family":"Stone","given":"Neil J."},{"family":"Wilson","given":"Peter W. F."},{"literal":"American College of Cardiology/American Heart Association Task Force on Practice Guidelines"}],"issued":{"date-parts":[["2014",7,1]]}}},{"id":1164,"uris":["http://zotero.org/users/2002240/items/F6JA7KSI"],"uri":["http://zotero.org/users/2002240/items/F6JA7KSI"],"itemData":{"id":1164,"type":"article-journal","title":"2010 ACCF/AHA guideline for assessment of cardiovascular risk in asymptomatic adults: a report of the American College of Cardiology Foundation/American Heart Association Task Force on Practice Guidelines","container-title":"Journal of the American College of Cardiology","page":"e50-103","volume":"56","issue":"25","source":"PubMed","DOI":"10.1016/j.jacc.2010.09.001","ISSN":"1558-3597","note":"PMID: 21144964","shortTitle":"2010 ACCF/AHA guideline for assessment of cardiovascular risk in asymptomatic adults","journalAbbreviation":"J. Am. Coll. Cardiol.","language":"eng","author":[{"family":"Greenland","given":"Philip"},{"family":"Alpert","given":"Joseph S."},{"family":"Beller","given":"George A."},{"family":"Benjamin","given":"Emelia J."},{"family":"Budoff","given":"Matthew J."},{"family":"Fayad","given":"Zahi A."},{"family":"Foster","given":"Elyse"},{"family":"Hlatky","given":"Mark A."},{"family":"Hodgson","given":"John McB"},{"family":"Kushner","given":"Frederick G."},{"family":"Lauer","given":"Michael S."},{"family":"Shaw","given":"Leslee J."},{"family":"Smith","given":"Sidney C."},{"family":"Taylor","given":"Allen J."},{"family":"Weintraub","given":"William S."},{"family":"Wenger","given":"Nanette K."},{"family":"Jacobs","given":"Alice K."},{"family":"Smith","given":"Sidney C."},{"family":"Anderson","given":"Jeffrey L."},{"family":"Albert","given":"Nancy"},{"family":"Buller","given":"Christopher E."},{"family":"Creager","given":"Mark A."},{"family":"Ettinger","given":"Steven M."},{"family":"Guyton","given":"Robert A."},{"family":"Halperin","given":"Jonathan L."},{"family":"Hochman","given":"Judith S."},{"family":"Kushner","given":"Frederick G."},{"family":"Nishimura","given":"Rick"},{"family":"Ohman","given":"E. Magnus"},{"family":"Page","given":"Richard L."},{"family":"Stevenson","given":"William G."},{"family":"Tarkington","given":"Lynn G."},{"family":"Yancy","given":"Clyde W."},{"literal":"American College of Cardiology Foundation"},{"literal":"American Heart Association"}],"issued":{"date-parts":[["2010",12,14]]}}}],"schema":"https://github.com/citation-style-language/schema/raw/master/csl-citation.json"} </w:instrText>
      </w:r>
      <w:r w:rsidRPr="001340AB">
        <w:rPr>
          <w:szCs w:val="24"/>
        </w:rPr>
        <w:fldChar w:fldCharType="separate"/>
      </w:r>
      <w:r w:rsidRPr="008C60A7">
        <w:rPr>
          <w:rFonts w:cs="Times New Roman"/>
          <w:szCs w:val="24"/>
          <w:vertAlign w:val="superscript"/>
        </w:rPr>
        <w:t>4,5</w:t>
      </w:r>
      <w:r w:rsidRPr="001340AB">
        <w:rPr>
          <w:szCs w:val="24"/>
        </w:rPr>
        <w:fldChar w:fldCharType="end"/>
      </w:r>
      <w:r w:rsidRPr="001340AB">
        <w:rPr>
          <w:szCs w:val="24"/>
        </w:rPr>
        <w:t xml:space="preserve">. </w:t>
      </w:r>
    </w:p>
    <w:p w14:paraId="6D54A63E" w14:textId="067222A5" w:rsidR="009758B9" w:rsidRPr="001340AB" w:rsidRDefault="009758B9" w:rsidP="009758B9">
      <w:pPr>
        <w:spacing w:line="480" w:lineRule="auto"/>
        <w:ind w:firstLine="720"/>
        <w:rPr>
          <w:szCs w:val="24"/>
        </w:rPr>
      </w:pPr>
      <w:r w:rsidRPr="001340AB">
        <w:rPr>
          <w:szCs w:val="24"/>
        </w:rPr>
        <w:t>Pregnancy may provide an ideal “window” to predict future cardiovascular health in young women</w:t>
      </w:r>
      <w:r w:rsidRPr="001340AB">
        <w:rPr>
          <w:szCs w:val="24"/>
        </w:rPr>
        <w:fldChar w:fldCharType="begin"/>
      </w:r>
      <w:r w:rsidRPr="001340AB">
        <w:rPr>
          <w:szCs w:val="24"/>
        </w:rPr>
        <w:instrText xml:space="preserve"> ADDIN ZOTERO_ITEM CSL_CITATION {"citationID":"a1hgeh2d54d","properties":{"formattedCitation":"\\super 6,7\\nosupersub{}","plainCitation":"6,7","noteIndex":0},"citationItems":[{"id":2008,"uris":["http://zotero.org/users/2002240/items/H9CXE2DV"],"uri":["http://zotero.org/users/2002240/items/H9CXE2DV"],"itemData":{"id":2008,"type":"article-journal","title":"Pregnancy characteristics and women's future cardiovascular health: an underused opportunity to improve women's health?","container-title":"Epidemiologic Reviews","page":"57-70","volume":"36","source":"PubMed","abstract":"Growing evidence indicates that women with a history of common pregnancy complications, including fetal growth restriction and preterm delivery (often combined as low birth weight), hypertensive disorders of pregnancy, and gestational diabetes, are at increased risk for cardiovascular disease later in life. The purpose of this paper was to review the associations of parity and these 4 pregnancy complications with cardiovascular morbidity and mortality; to review the role of cardiovascular risk factors before, during, and after pregnancy complications in explaining these associations; and to explore the implications of this emerging science for new research and policy. We systematically searched for relevant cohort and case-control studies in Medline through December 2012 and used citation searches for already published reviews to identify new studies. The findings of this review suggest consistent and often strong associations of pregnancy complications with latent and future cardiovascular disease. Many pregnancy complications appear to be preceded by subclinical vascular and metabolic dysfunction, suggesting that the complications may be useful markers of latent high-risk cardiovascular trajectories. With further replication research, these findings would support the utility of these prevalent pregnancy complications in identifying high-risk women for screening, prevention, and treatment of cardiovascular disease, the leading cause of morbidity and mortality among women.","DOI":"10.1093/epirev/mxt006","ISSN":"1478-6729","note":"PMID: 24025350\nPMCID: PMC3873841","shortTitle":"Pregnancy characteristics and women's future cardiovascular health","journalAbbreviation":"Epidemiol Rev","language":"eng","author":[{"family":"Rich-Edwards","given":"Janet W."},{"family":"Fraser","given":"Abigail"},{"family":"Lawlor","given":"Deborah A."},{"family":"Catov","given":"Janet M."}],"issued":{"date-parts":[["2014"]]}}},{"id":1996,"uris":["http://zotero.org/users/2002240/items/U7WV7FXW"],"uri":["http://zotero.org/users/2002240/items/U7WV7FXW"],"itemData":{"id":1996,"type":"article-journal","title":"Do pregnancy complications and CVD share common antecedents?","container-title":"Atherosclerosis. Supplements","page":"3-7","volume":"5","issue":"2","source":"PubMed","abstract":"Considerable data link low birth weight, due to intrauterine growth restriction, to increased offspring risk of vascular disease in later adult life. This is considered to be the result, in part, of programming through fetal nutrition. These data support the hypothesis that pregnancy outcome in terms of birth weight is linked to the infant's subsequent health. In contrast, much less attention has been focused on the relationship between adverse pregnancy outcomes, such as pre-eclampsia, gestational diabetes, pre-term delivery and intrauterine growth restriction, and the mother's subsequent health. Interesting data have accumulated linking the maternal vascular, metabolic and inflammatory complications of pregnancy to an increased risk of vascular disease in later life (Table 1). This paper reviews the emerging evidence to support this fascinating concept, addresses potential mechanisms and discusses potential clinical implications.","DOI":"10.1016/j.atherosclerosissup.2004.03.002","ISSN":"1567-5688","note":"PMID: 15121029","journalAbbreviation":"Atheroscler Suppl","language":"eng","author":[{"family":"Sattar","given":"Naveed"}],"issued":{"date-parts":[["2004",5]]}}}],"schema":"https://github.com/citation-style-language/schema/raw/master/csl-citation.json"} </w:instrText>
      </w:r>
      <w:r w:rsidRPr="001340AB">
        <w:rPr>
          <w:szCs w:val="24"/>
        </w:rPr>
        <w:fldChar w:fldCharType="separate"/>
      </w:r>
      <w:r w:rsidRPr="008C60A7">
        <w:rPr>
          <w:rFonts w:cs="Times New Roman"/>
          <w:szCs w:val="24"/>
          <w:vertAlign w:val="superscript"/>
        </w:rPr>
        <w:t>6,7</w:t>
      </w:r>
      <w:r w:rsidRPr="001340AB">
        <w:rPr>
          <w:szCs w:val="24"/>
        </w:rPr>
        <w:fldChar w:fldCharType="end"/>
      </w:r>
      <w:r w:rsidRPr="001340AB">
        <w:rPr>
          <w:szCs w:val="24"/>
        </w:rPr>
        <w:t>. Emerging evidence suggests that pregnancy complications, including preeclampsia</w:t>
      </w:r>
      <w:r w:rsidRPr="001340AB">
        <w:rPr>
          <w:szCs w:val="24"/>
        </w:rPr>
        <w:fldChar w:fldCharType="begin"/>
      </w:r>
      <w:r w:rsidRPr="001340AB">
        <w:rPr>
          <w:szCs w:val="24"/>
        </w:rPr>
        <w:instrText xml:space="preserve"> ADDIN ZOTERO_ITEM CSL_CITATION {"citationID":"a2icl63dpt8","properties":{"formattedCitation":"\\super 8,9\\nosupersub{}","plainCitation":"8,9","noteIndex":0},"citationItems":[{"id":1759,"uris":["http://zotero.org/groups/465531/items/EW2DD8XN"],"uri":["http://zotero.org/groups/465531/items/EW2DD8XN"],"itemData":{"id":1759,"type":"article-journal","title":"Pre-eclampsia and risk of cardiovascular disease and cancer in later life: systematic review and meta-analysis","container-title":"BMJ","page":"974","volume":"335","issue":"7627","source":"www.bmj.com","abstract":"Objective To quantify the risk of future cardiovascular diseases, cancer, and mortality after pre-eclampsia.\nDesign Systematic review and meta-analysis.\nData sources Embase and Medline without language restrictions, including papers published between 1960 and December 2006, and hand searching of reference lists of relevant articles and reviews for additional reports.\nReview methods Prospective and retrospective cohort studies were included, providing a dataset of 3 488 160 women, with 198 252 affected by pre-eclampsia (exposure group) and 29 495 episodes of cardiovascular disease and cancer (study outcomes).\nResults After pre-eclampsia women have an increased risk of vascular disease. The relative risks (95% confidence intervals) for hypertension were 3.70 (2.70 to 5.05) after 14.1 years weighted mean follow-up, for ischaemic heart disease 2.16 (1.86 to 2.52) after 11.7 years, for stroke 1.81 (1.45 to 2.27) after 10.4 years, and for venous thromboembolism 1.79 (1.37 to 2.33) after 4.7 years. No increase in risk of any cancer was found (0.96, 0.73 to 1.27), including breast cancer (1.04, 0.78 to 1.39) 17 years after pre-eclampsia. Overall mortality after pre-eclampsia was increased: 1.49 (1.05 to 2.14) after 14.5 years.\nConclusions A history of pre-eclampsia should be considered when evaluating risk of cardiovascular disease in women. This association might reflect a common cause for pre-eclampsia and cardiovascular disease, or an effect of pre-eclampsia on disease development, or both. No association was found between pre-eclampsia and future cancer.","DOI":"10.1136/bmj.39335.385301.BE","ISSN":"0959-8138, 1468-5833","note":"PMID: 17975258","shortTitle":"Pre-eclampsia and risk of cardiovascular disease and cancer in later life","journalAbbreviation":"BMJ","language":"en","author":[{"family":"Bellamy","given":"Leanne"},{"family":"Casas","given":"Juan-Pablo"},{"family":"Hingorani","given":"Aroon D."},{"family":"Williams","given":"David J."}],"issued":{"date-parts":[["2007",11,8]]}}},{"id":494,"uris":["http://zotero.org/users/2002240/items/KES34VHB"],"uri":["http://zotero.org/users/2002240/items/KES34VHB"],"itemData":{"id":494,"type":"article-journal","title":"Cardiovascular sequelae of preeclampsia/eclampsia: a systematic review and meta-analyses","container-title":"American Heart Journal","page":"918-930","volume":"156","issue":"5","source":"NCBI PubMed","abstract":"BACKGROUND: Preeclampsia affects 3% to 5% of gestations and eclampsia 0.05% to 0.93%, but their subsequent cardiovascular sequelae are unclear. The aim of this study was to determine if women with a history of preeclampsia/eclampsia are at increased risk of long-term cardiovascular sequelae.\nMETHODS: From Medline and Embase searches, we included case-control and cohort studies that examined cardiac, cerebrovascular or peripheral arterial disease, or cardiovascular mortality&gt;6 weeks postpartum, in women with and without a history of preeclampsia/eclampsia and that controlled for or matched for confounders. Two independent reviewers determined study eligibility and extracted data.\nRESULTS: Five case-control and 10 cohort studies met eligibility criteria, with a total of 116,175 women with and 2,259,576 women without preeclampsia/eclampsia. Most studies focused on women&lt;56 years of age. Relative to women with uncomplicated pregnancies, women with a history of preeclampsia/eclampsia had an increased risk of subsequent cardiac disease in both the case-control studies (odds ratio 2.47, 95% CI 1.22-5.01) and the cohort studies (relative risk [RR] 2.33, 1.95-2.78), as well as an increased risk of cerebrovascular disease (RR 2.03, 1.54-2.67), peripheral arterial disease (RR 1.87, 0.94-3.73), and cardiovascular mortality (RR 2.29, 1.73-3.04). Meta-regression revealed a graded relationship between the severity of preeclampsia/eclampsia and the risk of cardiac disease (mild: RR 2.00, 1.83-2.19, moderate: RR 2.99, 2.51-3.58, severe: RR 5.36, 3.96-7.27, P&lt;.0001).\nCONCLUSIONS: Women with a history of preeclampsia/eclampsia have approximately double the risk of early cardiac, cerebrovascular, and peripheral arterial disease, and cardiovascular mortality. Further research is needed to determine the mechanisms underlying these associations and to identify effective prevention strategies.","DOI":"10.1016/j.ahj.2008.06.042","ISSN":"1097-6744","note":"PMID: 19061708","shortTitle":"Cardiovascular sequelae of preeclampsia/eclampsia","journalAbbreviation":"Am. Heart J.","language":"eng","author":[{"family":"McDonald","given":"Sarah D."},{"family":"Malinowski","given":"Ann"},{"family":"Zhou","given":"Qi"},{"family":"Yusuf","given":"Salim"},{"family":"Devereaux","given":"Philip J."}],"issued":{"date-parts":[["2008",11]]}}}],"schema":"https://github.com/citation-style-language/schema/raw/master/csl-citation.json"} </w:instrText>
      </w:r>
      <w:r w:rsidRPr="001340AB">
        <w:rPr>
          <w:szCs w:val="24"/>
        </w:rPr>
        <w:fldChar w:fldCharType="separate"/>
      </w:r>
      <w:r w:rsidRPr="008C60A7">
        <w:rPr>
          <w:rFonts w:cs="Times New Roman"/>
          <w:szCs w:val="24"/>
          <w:vertAlign w:val="superscript"/>
        </w:rPr>
        <w:t>8,9</w:t>
      </w:r>
      <w:r w:rsidRPr="001340AB">
        <w:rPr>
          <w:szCs w:val="24"/>
        </w:rPr>
        <w:fldChar w:fldCharType="end"/>
      </w:r>
      <w:r w:rsidRPr="001340AB">
        <w:rPr>
          <w:szCs w:val="24"/>
        </w:rPr>
        <w:t>, gestational hypertension</w:t>
      </w:r>
      <w:r w:rsidRPr="001340AB">
        <w:rPr>
          <w:szCs w:val="24"/>
        </w:rPr>
        <w:fldChar w:fldCharType="begin"/>
      </w:r>
      <w:r w:rsidRPr="001340AB">
        <w:rPr>
          <w:szCs w:val="24"/>
        </w:rPr>
        <w:instrText xml:space="preserve"> ADDIN ZOTERO_ITEM CSL_CITATION {"citationID":"FOBo8Cpc","properties":{"formattedCitation":"\\super 10\\nosupersub{}","plainCitation":"10","noteIndex":0},"citationItems":[{"id":2289,"uris":["http://zotero.org/groups/465531/items/UF8Q97AC"],"uri":["http://zotero.org/groups/465531/items/UF8Q97AC"],"itemData":{"id":2289,"type":"article-journal","title":"All Hypertensive Disorders of Pregnancy Increase the Risk of Future Cardiovascular Disease","container-title":"Hypertension","page":"HYPERTENSIONAHA.117.09246","source":"hyper.ahajournals.org","abstract":"Hypertensive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pregnancy.","DOI":"10.1161/HYPERTENSIONAHA.117.09246","ISSN":"0194-911X, 1524-4563","note":"PMID: 28893895","language":"en","author":[{"family":"Tooher","given":"Jane"},{"family":"Thornton","given":"Charlene"},{"family":"Makris","given":"Angela"},{"family":"Ogle","given":"Robert"},{"family":"Korda","given":"Andrew"},{"family":"Hennessy","given":"Annemarie"}],"issued":{"date-parts":[["2017",1,1]]}}}],"schema":"https://github.com/citation-style-language/schema/raw/master/csl-citation.json"} </w:instrText>
      </w:r>
      <w:r w:rsidRPr="001340AB">
        <w:rPr>
          <w:szCs w:val="24"/>
        </w:rPr>
        <w:fldChar w:fldCharType="separate"/>
      </w:r>
      <w:r w:rsidRPr="008C60A7">
        <w:rPr>
          <w:rFonts w:cs="Times New Roman"/>
          <w:szCs w:val="24"/>
          <w:vertAlign w:val="superscript"/>
        </w:rPr>
        <w:t>10</w:t>
      </w:r>
      <w:r w:rsidRPr="001340AB">
        <w:rPr>
          <w:szCs w:val="24"/>
        </w:rPr>
        <w:fldChar w:fldCharType="end"/>
      </w:r>
      <w:r w:rsidRPr="001340AB">
        <w:rPr>
          <w:szCs w:val="24"/>
        </w:rPr>
        <w:t>, preterm delivery</w:t>
      </w:r>
      <w:r w:rsidRPr="001340AB">
        <w:rPr>
          <w:szCs w:val="24"/>
        </w:rPr>
        <w:fldChar w:fldCharType="begin"/>
      </w:r>
      <w:r w:rsidRPr="001340AB">
        <w:rPr>
          <w:szCs w:val="24"/>
        </w:rPr>
        <w:instrText xml:space="preserve"> ADDIN ZOTERO_ITEM CSL_CITATION {"citationID":"O0OMoHMX","properties":{"formattedCitation":"\\super 11,12\\nosupersub{}","plainCitation":"11,12","noteIndex":0},"citationItems":[{"id":2072,"uris":["http://zotero.org/users/2002240/items/NV6Z43U3"],"uri":["http://zotero.org/users/2002240/items/NV6Z43U3"],"itemData":{"id":2072,"type":"article-journal","title":"History of preterm birth and subsequent cardiovascular disease: a systematic review","container-title":"American Journal of Obstetrics and Gynecology","page":"285-297","volume":"210","issue":"4","source":"PubMed","abstract":"A history of preterm birth (PTB) may be an important lifetime risk factor for cardiovascular disease (CVD) in women. We identified all peer-reviewed journal articles that met study criteria (English language, human studies, female, and adults ≥19 years old), that were found in the PubMed/MEDLINE databases, and that were published between Jan. 1, 1995, and Sept. 17, 2012. We summarized 10 studies that assessed the association between having a history of PTB and subsequent CVD morbidity or death. Compared with women who had term deliveries, women with any history of PTB had increased risk of CVD morbidity (variously defined; adjusted hazard ratio [aHR] ranged from 1.2-2.9; 2 studies), ischemic heart disease (aHR, 1.3-2.1; 3 studies), stroke (aHR, 1.7; 1 study), and atherosclerosis (aHR, 4.1; 1 study). Four of 5 studies that examined death showed that women with a history of PTB have twice the risk of CVD death compared with women who had term births. Two studies reported statistically significant higher risk of CVD-related morbidity and death outcomes (variously defined) among women with ≥2 pregnancies that ended in PTBs compared with women who had at least 2 births but which ended in only 1 PTB. Future research is needed to understand the potential impact of enhanced monitoring of CVD risk factors in women with a history of PTB on risk of future CVD risk.","DOI":"10.1016/j.ajog.2013.09.020","ISSN":"1097-6868","note":"PMID: 24055578\nPMCID: PMC4387871","shortTitle":"History of preterm birth and subsequent cardiovascular disease","journalAbbreviation":"Am. J. Obstet. Gynecol.","language":"eng","author":[{"family":"Robbins","given":"Cheryl L."},{"family":"Hutchings","given":"Yalonda"},{"family":"Dietz","given":"Patricia M."},{"family":"Kuklina","given":"Elena V."},{"family":"Callaghan","given":"William M."}],"issued":{"date-parts":[["2014",4]]}}},{"id":2321,"uris":["http://zotero.org/groups/465531/items/ERVH8SI5"],"uri":["http://zotero.org/groups/465531/items/ERVH8SI5"],"itemData":{"id":2321,"type":"article-journal","title":"Preterm Delivery and Future Risk of Maternal Cardiovascular Disease: A Systematic Review and Meta‐Analysis","container-title":"Journal of the American Heart Association","page":"e007809","volume":"7","issue":"2","source":"jaha.ahajournals.org.ezp-prod1.hul.harvard.edu","abstract":"Background Preterm delivery (&lt;37 weeks gestational age) affects 11% of all pregnancies, but data are conflicting whether preterm birth is associated with long‐term adverse maternal cardiovascular outcomes. We aimed to systematically evaluate and summarize the evidence on the relationship between preterm birth and future maternal risk of cardiovascular diseases.\nMethods and Results A systematic search of MEDLINE and EMBASE was performed to identify relevant studies that evaluated the association between preterm birth and future maternal risk of composite cardiovascular disease, coronary heart disease, stroke, and death caused by cardiovascular or coronary heart disease and stroke. We quantified the associations using random effects meta‐analysis. Twenty‐one studies with over 5.8 million women, including over 338 000 women with previous preterm deliveries, were identified. Meta‐analysis of studies that adjusted for potential confounders showed that preterm birth was associated with an increased risk of maternal future cardiovascular disease (risk ratio [RR] 1.43, 95% confidence interval [CI], 1.18, 1.72), cardiovascular disease death (RR 1.78, 95% CI, 1.42, 2.21), coronary heart disease (RR 1.49, 95% CI, 1.38, 1.60), coronary heart disease death (RR 2.10, 95% CI, 1.87, 2.36), and stroke (RR 1.65, 95% CI, 1.51, 1.79). Sensitivity analysis showed that the highest risks occurred when the preterm deliveries occurred before 32 weeks gestation or were medically indicated.\nConclusions Preterm delivery is associated with an increase in future maternal adverse cardiovascular outcomes, including a 2‐fold increase in deaths caused by coronary heart disease. These findings support the assessment of preterm delivery in cardiovascular risk assessment in women.","DOI":"10.1161/JAHA.117.007809","ISSN":"2047-9980, 2047-9980","note":"PMID: 29335319","shortTitle":"Preterm Delivery and Future Risk of Maternal Cardiovascular Disease","language":"en","author":[{"family":"Wu","given":"Pensée"},{"family":"Gulati","given":"Martha"},{"family":"Kwok","given":"Chun Shing"},{"family":"Wong","given":"Chun Wai"},{"family":"Narain","given":"Aditya"},{"family":"O'Brien","given":"Shaughn"},{"family":"Chew‐Graham","given":"Carolyn A."},{"family":"Verma","given":"Ganga"},{"family":"Kadam","given":"Umesh T."},{"family":"Mamas","given":"Mamas A."}],"issued":{"date-parts":[["2018",1,1]]}}}],"schema":"https://github.com/citation-style-language/schema/raw/master/csl-citation.json"} </w:instrText>
      </w:r>
      <w:r w:rsidRPr="001340AB">
        <w:rPr>
          <w:szCs w:val="24"/>
        </w:rPr>
        <w:fldChar w:fldCharType="separate"/>
      </w:r>
      <w:r w:rsidRPr="008C60A7">
        <w:rPr>
          <w:rFonts w:cs="Times New Roman"/>
          <w:szCs w:val="24"/>
          <w:vertAlign w:val="superscript"/>
        </w:rPr>
        <w:t>11,12</w:t>
      </w:r>
      <w:r w:rsidRPr="001340AB">
        <w:rPr>
          <w:szCs w:val="24"/>
        </w:rPr>
        <w:fldChar w:fldCharType="end"/>
      </w:r>
      <w:r w:rsidRPr="001340AB">
        <w:rPr>
          <w:szCs w:val="24"/>
        </w:rPr>
        <w:t>, and delivery of an infant small for gestational age (SGA)</w:t>
      </w:r>
      <w:r w:rsidRPr="001340AB">
        <w:rPr>
          <w:szCs w:val="24"/>
        </w:rPr>
        <w:fldChar w:fldCharType="begin"/>
      </w:r>
      <w:r w:rsidRPr="001340AB">
        <w:rPr>
          <w:szCs w:val="24"/>
        </w:rPr>
        <w:instrText xml:space="preserve"> ADDIN ZOTERO_ITEM CSL_CITATION {"citationID":"ae8ptn4qog","properties":{"formattedCitation":"\\super 13\\uc0\\u8211{}15\\nosupersub{}","plainCitation":"13–15","noteIndex":0},"citationItems":[{"id":2044,"uris":["http://zotero.org/users/2002240/items/R2J4VAS8"],"uri":["http://zotero.org/users/2002240/items/R2J4VAS8"],"itemData":{"id":2044,"type":"article-journal","title":"Offspring birthweight by gestational age and parental cardiovascular mortality: a population-based cohort study","container-title":"BJOG: An International Journal of Obstetrics &amp; Gynaecology","page":"n/a-n/a","source":"Wiley Online Library","abstract":"Objective\n\nTo estimate risk of parental cardiovascular disease mortality by offspring birthweight.\n\n\nDesign\n\nPopulation-based cohort study.\n\n\nSetting and population\n\nNorwegian mothers and fathers with singleton births during 1967–2002 were followed until 2009 by linkage to the Norwegian cause of death registry.\n\n\nMethods\n\nHazard ratios by offspring absolute birthweight in grams and birthweight adjusted for gestational age (z-score) were calculated using Cox regression and adjusted for parental age at delivery and year of first birth. Stratified analyses on preterm and term births were performed.\n\n\nMain outcome measures\n\nMaternal and paternal cardiovascular mortality.\n\n\nResults\n\nWe followed 711 726 mothers and 700 212 fathers and found a strong link between maternal cardiovascular mortality and offspring birthweight but only slight evidence of associations in fathers. Adjusting birthweight for gestational age (by z-score) uncovered an unexpected strong association of large birthweight (z-score &gt; 2.5) with mothers’ cardiovascular mortality (hazard ratio 3.0, 95% CI 2.0–4.6). This risk was apparently restricted to preterm births. In stratified analyses (preterm and term births) hazard ratios for maternal cardiovascular mortality were 1.5 (1.03–2.2) for large preterm babies and 0.9 (0.7–1.2) for large term babies (P-value for interaction = 0.02), using normal weight preterm and term, respectively, as references.\n\n\nConclusion\n\nWomen having large preterm babies are at increased risk of both diabetes and cardiovascular mortality. The birth of a large preterm baby should increase clinical vigilance for onset of diabetes and other cardiovascular disease risk factors.\n\n\nTweetable abstract\n\nBirth of a large preterm baby should increase vigilance for cardiovascular-disease risk factors.","DOI":"10.1111/1471-0528.14522","ISSN":"1471-0528","shortTitle":"Offspring birthweight by gestational age and parental cardiovascular mortality","journalAbbreviation":"BJOG: Int J Obstet Gy","language":"en","author":[{"family":"Morken","given":"N-H"},{"family":"Halland","given":"F"},{"family":"DeRoo","given":"La"},{"family":"Wilcox","given":"Aj"},{"family":"Skjærven","given":"R"}],"issued":{"date-parts":[["2017",2,1]]}}},{"id":2175,"uris":["http://zotero.org/groups/465531/items/LBB95UEZ"],"uri":["http://zotero.org/groups/465531/items/LBB95UEZ"],"itemData":{"id":2175,"type":"article-journal","title":"Fetal growth and later maternal death, cardiovascular disease and diabetes","container-title":"Acta Obstetricia Et Gynecologica Scandinavica","page":"503-510","volume":"91","issue":"4","source":"PubMed","abstract":"OBJECTIVES: Low birthweight of the offspring has been associated with increased risk of early death and ischemic heart disease in the mother. However, other measurements of fetal growth than the basic birthweight are more accurate. We investigated the relation between the standardized birthweight by gestational age and gender and the ponderal index and the mother's subsequent mortality and cardiovascular morbidity.\nDESIGN: Registry-based retrospective cohort study.\nSETTING: Women with a first singleton delivery in Denmark from 1978 to 2007.\nPOPULATION: 782 287 women followed for 14.6 years yielding 11 600 945 person-years.\nMETHODS: Cox proportional hazard models.\nMAIN OUTCOME MEASURES: The primary exposures were variation in the standardized birthweight and ponderal index. The endpoints were subsequent maternal death, hypertension, ischemic heart disease, stroke, thrombosis, and diabetes mellitus.\nRESULTS: The risk-profile for the standardized birthweight and subsequent maternal death had a nadir between -0.5 and -1 SD (HR 0.91; 95%CI 0.83-1.00) and increased with decreasing fetal growth peaking at &lt;-3 SD (HR 2.75; 95%CI 2.37-3.19) compared to the median. The risk-profile for subsequent diabetes mellitus by standardized ponderal index had a nadir between +0.5 to +1 SD (HR 0.82; 95%CI 0.76-0.89) rising with increasing fetal growth and peaking at &gt;+3 SD (HR 17.8; 95%CI 15.0-21.0). The risk-profiles for standardized ponderal index paralleled those for birthweight, but with smaller risk estimates. Adjusting for other pregnancy complications diminished the estimates.\nCONCLUSION: The fetal growth is a marker of subsequent risk for premature death, cardiovascular disease, and diabetes mellitus in the mother.","DOI":"10.1111/j.1600-0412.2011.01355.x","ISSN":"1600-0412","note":"PMID: 22372730","journalAbbreviation":"Acta Obstet Gynecol Scand","language":"eng","author":[{"family":"Lykke","given":"Jacob A."},{"family":"Paidas","given":"Michael J."},{"family":"Triche","given":"Elizabeth W."},{"family":"Langhoff-Roos","given":"Jens"}],"issued":{"date-parts":[["2012",4]]}}},{"id":2177,"uris":["http://zotero.org/groups/465531/items/FXGREBRH"],"uri":["http://zotero.org/groups/465531/items/FXGREBRH"],"itemData":{"id":2177,"type":"article-journal","title":"Offspring birth weight and parental cardiovascular mortality","container-title":"International Journal of Epidemiology","page":"1082-1090","volume":"39","issue":"4","source":"PubMed","abstract":"BACKGROUND: Mothers bearing small offspring are at increased risk of cardiovascular disease (CVD) mortality. The cardiovascular risk for fathers of small offspring is, however, inconclusive. Very few studies with sufficiently large sample sizes have been conducted to specifically differentiate the maternal/paternal CVD risk in association with offspring birth weight in the same population.\nMETHODS: This study followed 1,400,383 primigravida and their spouses with singleton births registered in Taiwan between 1978 and 1987 to the end of 2006. By linking to the mortality registry, the hazards ratio (HR) of parental cardiovascular mortality was measured in relation to lower offspring birth weights.\nRESULTS: The covariate-adjusted HR and 95% confidence interval (CI) of CVD mortality for 1 standard deviation higher offspring birth weight was reduced (HR = 0.89; 95% CI: 0.85-0.94) for mothers, but less obvious for fathers (HR = 0.97; 95% CI: 0.95-1.00). Analyses of the categorical offspring birth weights revealed that the association between bearing low-birth-weight offspring (&lt;2500 g) and CVD mortality was also stronger in mothers (adjusted HR = 1.85; 95% CI: 1.67-2.18) than in fathers (adjusted HR = 1.13; 95% CI: 1.03-1.24). On standardizing the birth weight for gestational age, the observed associations persisted, although these associations were relatively weak.\nCONCLUSIONS: This large cohort analysis confirmed that the bearing of smaller size infants is associated with a stronger elevated risk for CVD mortality in mothers than in fathers. Women who have had a lower birth-weight offspring can be targeted for CVD-prevention measures.","DOI":"10.1093/ije/dyq045","ISSN":"1464-3685","note":"PMID: 20375103","journalAbbreviation":"Int J Epidemiol","language":"eng","author":[{"family":"Li","given":"Chung-Yi"},{"family":"Chen","given":"Hua-Fen"},{"family":"Sung","given":"Fung-Chang"},{"family":"Chen","given":"Chu-Chieh"},{"family":"Lu","given":"Tsung-Hsueh"},{"family":"Yang","given":"Chiang-Hsing"},{"family":"Ko","given":"Ming-Chung"}],"issued":{"date-parts":[["2010",8]]}}}],"schema":"https://github.com/citation-style-language/schema/raw/master/csl-citation.json"} </w:instrText>
      </w:r>
      <w:r w:rsidRPr="001340AB">
        <w:rPr>
          <w:szCs w:val="24"/>
        </w:rPr>
        <w:fldChar w:fldCharType="separate"/>
      </w:r>
      <w:r w:rsidRPr="008C60A7">
        <w:rPr>
          <w:rFonts w:cs="Times New Roman"/>
          <w:szCs w:val="24"/>
          <w:vertAlign w:val="superscript"/>
        </w:rPr>
        <w:t>13–15</w:t>
      </w:r>
      <w:r w:rsidRPr="001340AB">
        <w:rPr>
          <w:szCs w:val="24"/>
        </w:rPr>
        <w:fldChar w:fldCharType="end"/>
      </w:r>
      <w:r w:rsidRPr="001340AB">
        <w:rPr>
          <w:szCs w:val="24"/>
        </w:rPr>
        <w:t>, are associated with future CVD. Associations between pregnancy complications and CVD are likely due to shared etiologic pathways</w:t>
      </w:r>
      <w:r w:rsidRPr="001340AB">
        <w:rPr>
          <w:szCs w:val="24"/>
        </w:rPr>
        <w:fldChar w:fldCharType="begin"/>
      </w:r>
      <w:r w:rsidRPr="001340AB">
        <w:rPr>
          <w:szCs w:val="24"/>
        </w:rPr>
        <w:instrText xml:space="preserve"> ADDIN ZOTERO_ITEM CSL_CITATION {"citationID":"iIgZgFmU","properties":{"formattedCitation":"\\super 7\\nosupersub{}","plainCitation":"7","noteIndex":0},"citationItems":[{"id":1996,"uris":["http://zotero.org/users/2002240/items/U7WV7FXW"],"uri":["http://zotero.org/users/2002240/items/U7WV7FXW"],"itemData":{"id":1996,"type":"article-journal","title":"Do pregnancy complications and CVD share common antecedents?","container-title":"Atherosclerosis. Supplements","page":"3-7","volume":"5","issue":"2","source":"PubMed","abstract":"Considerable data link low birth weight, due to intrauterine growth restriction, to increased offspring risk of vascular disease in later adult life. This is considered to be the result, in part, of programming through fetal nutrition. These data support the hypothesis that pregnancy outcome in terms of birth weight is linked to the infant's subsequent health. In contrast, much less attention has been focused on the relationship between adverse pregnancy outcomes, such as pre-eclampsia, gestational diabetes, pre-term delivery and intrauterine growth restriction, and the mother's subsequent health. Interesting data have accumulated linking the maternal vascular, metabolic and inflammatory complications of pregnancy to an increased risk of vascular disease in later life (Table 1). This paper reviews the emerging evidence to support this fascinating concept, addresses potential mechanisms and discusses potential clinical implications.","DOI":"10.1016/j.atherosclerosissup.2004.03.002","ISSN":"1567-5688","note":"PMID: 15121029","journalAbbreviation":"Atheroscler Suppl","language":"eng","author":[{"family":"Sattar","given":"Naveed"}],"issued":{"date-parts":[["2004",5]]}}}],"schema":"https://github.com/citation-style-language/schema/raw/master/csl-citation.json"} </w:instrText>
      </w:r>
      <w:r w:rsidRPr="001340AB">
        <w:rPr>
          <w:szCs w:val="24"/>
        </w:rPr>
        <w:fldChar w:fldCharType="separate"/>
      </w:r>
      <w:r w:rsidRPr="008C60A7">
        <w:rPr>
          <w:rFonts w:cs="Times New Roman"/>
          <w:szCs w:val="24"/>
          <w:vertAlign w:val="superscript"/>
        </w:rPr>
        <w:t>7</w:t>
      </w:r>
      <w:r w:rsidRPr="001340AB">
        <w:rPr>
          <w:szCs w:val="24"/>
        </w:rPr>
        <w:fldChar w:fldCharType="end"/>
      </w:r>
      <w:r w:rsidRPr="001340AB">
        <w:rPr>
          <w:szCs w:val="24"/>
        </w:rPr>
        <w:t xml:space="preserve"> (e.g. metabolic syndrome, vascular dysfunction, and inflammation). </w:t>
      </w:r>
      <w:r w:rsidRPr="006C0C86">
        <w:rPr>
          <w:szCs w:val="24"/>
        </w:rPr>
        <w:t>Current guidelines recommend screening women for pregnancy complications and monitoring cardiovascular risk factors postpartum</w:t>
      </w:r>
      <w:r w:rsidRPr="006C0C86">
        <w:rPr>
          <w:szCs w:val="24"/>
        </w:rPr>
        <w:fldChar w:fldCharType="begin"/>
      </w:r>
      <w:r w:rsidRPr="006C0C86">
        <w:rPr>
          <w:szCs w:val="24"/>
        </w:rPr>
        <w:instrText xml:space="preserve"> ADDIN ZOTERO_ITEM CSL_CITATION {"citationID":"MV8fPmxd","properties":{"formattedCitation":"\\super 2,16,17\\nosupersub{}","plainCitation":"2,16,17","noteIndex":0},"citationItems":[{"id":512,"uris":["http://zotero.org/users/2002240/items/ARUK8MIJ"],"uri":["http://zotero.org/users/2002240/items/ARUK8MIJ"],"itemData":{"id":512,"type":"article-journal","title":"Effectiveness-based guidelines for the prevention of cardiovascular disease in women--2011 update: a guideline from the american heart association","container-title":"Circulation","page":"1243-1262","volume":"123","issue":"11","source":"NCBI PubMed","DOI":"10.1161/CIR.0b013e31820faaf8","ISSN":"1524-4539","note":"PMID: 21325087 \nPMCID: PMC3182143","shortTitle":"Effectiveness-based guidelines for the prevention of cardiovascular disease in women--2011 update","journalAbbreviation":"Circulation","language":"eng","author":[{"family":"Mosca","given":"Lori"},{"family":"Benjamin","given":"Emelia J."},{"family":"Berra","given":"Kathy"},{"family":"Bezanson","given":"Judy L."},{"family":"Dolor","given":"Rowena J."},{"family":"Lloyd-Jones","given":"Donald M."},{"family":"Newby","given":"L. Kristin"},{"family":"Piña","given":"Ileana L."},{"family":"Roger","given":"Véronique L."},{"family":"Shaw","given":"Leslee J."},{"family":"Zhao","given":"Dong"},{"family":"Beckie","given":"Theresa M."},{"family":"Bushnell","given":"Cheryl"},{"family":"D'Armiento","given":"Jeanine"},{"family":"Kris-Etherton","given":"Penny M."},{"family":"Fang","given":"Jing"},{"family":"Ganiats","given":"Theodore G."},{"family":"Gomes","given":"Antoinette S."},{"family":"Gracia","given":"Clarisa R."},{"family":"Haan","given":"Constance K."},{"family":"Jackson","given":"Elizabeth A."},{"family":"Judelson","given":"Debra R."},{"family":"Kelepouris","given":"Ellie"},{"family":"Lavie","given":"Carl J."},{"family":"Moore","given":"Anne"},{"family":"Nussmeier","given":"Nancy A."},{"family":"Ofili","given":"Elizabeth"},{"family":"Oparil","given":"Suzanne"},{"family":"Ouyang","given":"Pamela"},{"family":"Pinn","given":"Vivian W."},{"family":"Sherif","given":"Katherine"},{"family":"Smith","given":"Sidney C."},{"family":"Sopko","given":"George"},{"family":"Chandra-Strobos","given":"Nisha"},{"family":"Urbina","given":"Elaine M."},{"family":"Vaccarino","given":"Viola"},{"family":"Wenger","given":"Nanette K."}],"issued":{"date-parts":[["2011",3,22]]}}},{"id":2376,"uris":["http://zotero.org/groups/465531/items/8GR3MBMR"],"uri":["http://zotero.org/groups/465531/items/8GR3MBMR"],"itemData":{"id":2376,"type":"article-journal","title":"2018 ESC Guidelines for the management of cardiovascular diseases during pregnancy","container-title":"European Heart Journal","page":"3165-3241","volume":"39","issue":"34","source":"PubMed","DOI":"10.1093/eurheartj/ehy340","ISSN":"1522-9645","note":"PMID: 30165544","journalAbbreviation":"Eur. Heart J.","language":"eng","author":[{"family":"Regitz-Zagrosek","given":"Vera"},{"family":"Roos-Hesselink","given":"Jolien W."},{"family":"Bauersachs","given":"Johann"},{"family":"Blomström-Lundqvist","given":"Carina"},{"family":"Cífková","given":"Renata"},{"family":"De Bonis","given":"Michele"},{"family":"Iung","given":"Bernard"},{"family":"Johnson","given":"Mark Richard"},{"family":"Kintscher","given":"Ulrich"},{"family":"Kranke","given":"Peter"},{"family":"Lang","given":"Irene Marthe"},{"family":"Morais","given":"Joao"},{"family":"Pieper","given":"Petronella G."},{"family":"Presbitero","given":"Patrizia"},{"family":"Price","given":"Susanna"},{"family":"Rosano","given":"Giuseppe M. C."},{"family":"Seeland","given":"Ute"},{"family":"Simoncini","given":"Tommaso"},{"family":"Swan","given":"Lorna"},{"family":"Warnes","given":"Carole A."},{"literal":"ESC Scientific Document Group"}],"issued":{"date-parts":[["2018",9,7]]}}},{"id":2326,"uris":["http://zotero.org/groups/465531/items/XNRB7DZB"],"uri":["http://zotero.org/groups/465531/items/XNRB7DZB"],"itemData":{"id":2326,"type":"article-journal","title":"2016 European Guidelines on cardiovascular disease prevention in clinical practice","container-title":"European Heart Journal","page":"2315-2381","volume":"37","issue":"29","source":"PubMed Central","DOI":"10.1093/eurheartj/ehw106","ISSN":"0195-668X","note":"PMID: 27222591\nPMCID: PMC4986030","journalAbbreviation":"Eur Heart J","author":[{"family":"Piepoli","given":"Massimo F."},{"family":"Hoes","given":"Arno W."},{"family":"Agewall","given":"Stefan"},{"family":"Albus","given":"Christian"},{"family":"Brotons","given":"Carlos"},{"family":"Catapano","given":"Alberico L."},{"family":"Cooney","given":"Marie-Therese"},{"family":"Corrà","given":"Ugo"},{"family":"Cosyns","given":"Bernard"},{"family":"Deaton","given":"Christi"},{"family":"Graham","given":"Ian"},{"family":"Hall","given":"Michael Stephen"},{"family":"Hobbs","given":"F. D. Richard"},{"family":"Løchen","given":"Maja-Lisa"},{"family":"Löllgen","given":"Herbert"},{"family":"Marques-Vidal","given":"Pedro"},{"family":"Perk","given":"Joep"},{"family":"Prescott","given":"Eva"},{"family":"Redon","given":"Josep"},{"family":"Richter","given":"Dimitrios J."},{"family":"Sattar","given":"Naveed"},{"family":"Smulders","given":"Yvo"},{"family":"Tiberi","given":"Monica"},{"family":"Worp","given":"H. Bart","non-dropping-particle":"van der"},{"family":"Dis","given":"Ineke","non-dropping-particle":"van"},{"family":"Verschuren","given":"W. M. Monique"}],"issued":{"date-parts":[["2016",8,1]]}}}],"schema":"https://github.com/citation-style-language/schema/raw/master/csl-citation.json"} </w:instrText>
      </w:r>
      <w:r w:rsidRPr="006C0C86">
        <w:rPr>
          <w:szCs w:val="24"/>
        </w:rPr>
        <w:fldChar w:fldCharType="separate"/>
      </w:r>
      <w:r w:rsidRPr="006C0C86">
        <w:rPr>
          <w:rFonts w:cs="Times New Roman"/>
          <w:szCs w:val="24"/>
          <w:vertAlign w:val="superscript"/>
        </w:rPr>
        <w:t>2,16,17</w:t>
      </w:r>
      <w:r w:rsidRPr="006C0C86">
        <w:rPr>
          <w:szCs w:val="24"/>
        </w:rPr>
        <w:fldChar w:fldCharType="end"/>
      </w:r>
      <w:r w:rsidRPr="006C0C86">
        <w:rPr>
          <w:szCs w:val="24"/>
        </w:rPr>
        <w:t>.</w:t>
      </w:r>
      <w:bookmarkStart w:id="4" w:name="_GoBack"/>
      <w:bookmarkEnd w:id="4"/>
      <w:r w:rsidRPr="001340AB">
        <w:rPr>
          <w:szCs w:val="24"/>
        </w:rPr>
        <w:t xml:space="preserve"> Howev</w:t>
      </w:r>
      <w:r>
        <w:rPr>
          <w:szCs w:val="24"/>
        </w:rPr>
        <w:t xml:space="preserve">er, it is unclear whether </w:t>
      </w:r>
      <w:r w:rsidRPr="001340AB">
        <w:rPr>
          <w:szCs w:val="24"/>
        </w:rPr>
        <w:t xml:space="preserve">pregnancy complications </w:t>
      </w:r>
      <w:r>
        <w:rPr>
          <w:szCs w:val="24"/>
        </w:rPr>
        <w:t>also</w:t>
      </w:r>
      <w:r w:rsidRPr="001340AB">
        <w:rPr>
          <w:szCs w:val="24"/>
        </w:rPr>
        <w:t xml:space="preserve"> have utility in predicting CVD above-and-beyond established risk factors already included in prediction models. There is some evidence that pregnancy complications do not lead to large improvements in CVD risk prediction</w:t>
      </w:r>
      <w:r w:rsidRPr="001340AB">
        <w:rPr>
          <w:szCs w:val="24"/>
        </w:rPr>
        <w:fldChar w:fldCharType="begin"/>
      </w:r>
      <w:r>
        <w:rPr>
          <w:szCs w:val="24"/>
        </w:rPr>
        <w:instrText xml:space="preserve"> ADDIN ZOTERO_ITEM CSL_CITATION {"citationID":"q9VEZvh2","properties":{"formattedCitation":"\\super 18,19\\nosupersub{}","plainCitation":"18,19","noteIndex":0},"citationItems":[{"id":2365,"uris":["http://zotero.org/groups/465531/items/FKEUDKRW"],"uri":["http://zotero.org/groups/465531/items/FKEUDKRW"],"itemData":{"id":2365,"type":"article-journal","title":"The value of pregnancy complication history for 10-year cardiovascular disease risk prediction in middle-aged women","container-title":"European Journal of Epidemiology","page":"1003-1010","volume":"33","issue":"10","source":"PubMed","abstract":"Women with a history of hypertensive disorders of pregnancy (HDP; preeclampsia and gestational hypertension) or delivering low birth weight offspring (LBW; &lt; 2500 g) have twice the risk of cardiovascular disease (CVD). We aimed to study the extent to which history of these pregnancy complications improves CVD risk prediction above and beyond conventional predictors. Parous women attended standardized clinical visits in Sweden. Data were linked to registries of deliveries and CVD. Participants were followed for a first CVD event within 10 years from age 50 (n = 7552) and/or 60 years (n = 5360) and the predictive value of each pregnancy complication above and beyond conventional predictors was investigated. History of LBW offspring was associated with increased risk of CVD when added to conventional predictors in women 50 years of age [Hazard ratio 1.68, 95% Confidence interval (CI) 1.19, 2.37] but not at age 60 (age interaction p = 0.04). However, at age 50 years CVD prediction was not further improved by information on LBW offspring, except that a greater proportion of the women who developed CVD were assigned to a higher risk category (categorical net reclassification improvement for events 0.038, 95% CI 0.003, 0.074). History of HDP was not associated with CVD when adjusted for reference model predictors. In conclusion, a history of pregnancy complications can identify women with increased risk of CVD midlife. However, considered with conventional risk factors, history of HDP or having delivered LBW offspring did not meaningfully improve 10-year CVD risk prediction in women age 50 years or older.","DOI":"10.1007/s10654-018-0429-1","ISSN":"1573-7284","note":"PMID: 30062549","journalAbbreviation":"Eur. J. Epidemiol.","language":"eng","author":[{"family":"Timpka","given":"Simon"},{"family":"Fraser","given":"Abigail"},{"family":"Schyman","given":"Tommy"},{"family":"Stuart","given":"Jennifer J."},{"family":"Åsvold","given":"Bjørn Olav"},{"family":"Mogren","given":"Ingrid"},{"family":"Franks","given":"Paul W."},{"family":"Rich-Edwards","given":"Janet W."}],"issued":{"date-parts":[["2018",10]]}}},{"id":2371,"uris":["http://zotero.org/groups/465531/items/32N4RCGS"],"uri":["http://zotero.org/groups/465531/items/32N4RCGS"],"itemData":{"id":2371,"type":"article-journal","title":"Hypertensive Disorders of Pregnancy and 10-Year Cardiovascular Risk Prediction","container-title":"Journal of the American College of Cardiology","page":"1252-1263","volume":"72","issue":"11","source":"PubMed","abstract":"BACKGROUND: Hypertensive disorders of pregnancy (HDP) affect 10% to 15% of women and are associated with a 2-fold increased risk of cardiovascular disease (CVD).\nOBJECTIVES: This study sought to determine whether inclusion of HDP in an established CVD risk score improves prediction of CVD events in women.\nMETHODS: The analysis comprised 106,230 ≤10-year observations contributed by 67,406 women, age ≥40 years, free of prior CVD, with data available on model covariates in the Nurses' Health Study II. Participants were followed up for confirmed myocardial infarction, fatal coronary heart disease, or stroke from 1989 to 2013. We fit an established CVD risk prediction model (Model A: age, total cholesterol and high-density lipoprotein cholesterol, systolic blood pressure, antihypertensive medication use, current smoking, diabetes mellitus) and compared it to the same model plus HDP and parity (Model B); Cox proportional hazards models were used to obtain predicted probabilities for 10-year CVD risk.\nRESULTS: HDP and parity were associated with 10-year CVD risk independent of established CVD risk factors, overall and at ages 40 to 49 years. However, inclusion of HDP and parity in the risk prediction model did not improve discrimination (Model A: C-index = 0.691; Model B: C-index = 0.693; p value for difference = 0.31) or risk reclassification (net reclassification improvement = 0.4%; 95% confidence interval: -0.2 to 1.0%; p = 0.26).\nCONCLUSIONS: In this first test of the clinical utility of HDP and parity in CVD risk prediction, additional inclusion of HDP and parity in an established risk score did not improve discrimination or reclassification in this low-risk population; this might be because of the known associations between HDP and established CVD risk factors in the reference model.","DOI":"10.1016/j.jacc.2018.05.077","ISSN":"1558-3597","note":"PMID: 30190003\nPMCID: PMC6136445","journalAbbreviation":"J. Am. Coll. Cardiol.","language":"eng","author":[{"family":"Stuart","given":"Jennifer J."},{"family":"Tanz","given":"Lauren J."},{"family":"Cook","given":"Nancy R."},{"family":"Spiegelman","given":"Donna"},{"family":"Missmer","given":"Stacey A."},{"family":"Rimm","given":"Eric B."},{"family":"Rexrode","given":"Kathryn M."},{"family":"Mukamal","given":"Kenneth J."},{"family":"Rich-Edwards","given":"Janet W."}],"issued":{"date-parts":[["2018",9,11]]}}}],"schema":"https://github.com/citation-style-language/schema/raw/master/csl-citation.json"} </w:instrText>
      </w:r>
      <w:r w:rsidRPr="001340AB">
        <w:rPr>
          <w:szCs w:val="24"/>
        </w:rPr>
        <w:fldChar w:fldCharType="separate"/>
      </w:r>
      <w:r w:rsidRPr="009D6107">
        <w:rPr>
          <w:rFonts w:cs="Times New Roman"/>
          <w:szCs w:val="24"/>
          <w:vertAlign w:val="superscript"/>
        </w:rPr>
        <w:t>18,19</w:t>
      </w:r>
      <w:r w:rsidRPr="001340AB">
        <w:rPr>
          <w:szCs w:val="24"/>
        </w:rPr>
        <w:fldChar w:fldCharType="end"/>
      </w:r>
      <w:r w:rsidRPr="001340AB">
        <w:rPr>
          <w:szCs w:val="24"/>
        </w:rPr>
        <w:t>. However, only one previous study examined the benefit of adding pregnancy complications to existing CVD prediction models in a clinical setting</w:t>
      </w:r>
      <w:r w:rsidRPr="001340AB">
        <w:rPr>
          <w:szCs w:val="24"/>
        </w:rPr>
        <w:fldChar w:fldCharType="begin"/>
      </w:r>
      <w:r>
        <w:rPr>
          <w:szCs w:val="24"/>
        </w:rPr>
        <w:instrText xml:space="preserve"> ADDIN ZOTERO_ITEM CSL_CITATION {"citationID":"kCCLUFNA","properties":{"formattedCitation":"\\super 18\\nosupersub{}","plainCitation":"18","noteIndex":0},"citationItems":[{"id":2365,"uris":["http://zotero.org/groups/465531/items/FKEUDKRW"],"uri":["http://zotero.org/groups/465531/items/FKEUDKRW"],"itemData":{"id":2365,"type":"article-journal","title":"The value of pregnancy complication history for 10-year cardiovascular disease risk prediction in middle-aged women","container-title":"European Journal of Epidemiology","page":"1003-1010","volume":"33","issue":"10","source":"PubMed","abstract":"Women with a history of hypertensive disorders of pregnancy (HDP; preeclampsia and gestational hypertension) or delivering low birth weight offspring (LBW; &lt; 2500 g) have twice the risk of cardiovascular disease (CVD). We aimed to study the extent to which history of these pregnancy complications improves CVD risk prediction above and beyond conventional predictors. Parous women attended standardized clinical visits in Sweden. Data were linked to registries of deliveries and CVD. Participants were followed for a first CVD event within 10 years from age 50 (n = 7552) and/or 60 years (n = 5360) and the predictive value of each pregnancy complication above and beyond conventional predictors was investigated. History of LBW offspring was associated with increased risk of CVD when added to conventional predictors in women 50 years of age [Hazard ratio 1.68, 95% Confidence interval (CI) 1.19, 2.37] but not at age 60 (age interaction p = 0.04). However, at age 50 years CVD prediction was not further improved by information on LBW offspring, except that a greater proportion of the women who developed CVD were assigned to a higher risk category (categorical net reclassification improvement for events 0.038, 95% CI 0.003, 0.074). History of HDP was not associated with CVD when adjusted for reference model predictors. In conclusion, a history of pregnancy complications can identify women with increased risk of CVD midlife. However, considered with conventional risk factors, history of HDP or having delivered LBW offspring did not meaningfully improve 10-year CVD risk prediction in women age 50 years or older.","DOI":"10.1007/s10654-018-0429-1","ISSN":"1573-7284","note":"PMID: 30062549","journalAbbreviation":"Eur. J. Epidemiol.","language":"eng","author":[{"family":"Timpka","given":"Simon"},{"family":"Fraser","given":"Abigail"},{"family":"Schyman","given":"Tommy"},{"family":"Stuart","given":"Jennifer J."},{"family":"Åsvold","given":"Bjørn Olav"},{"family":"Mogren","given":"Ingrid"},{"family":"Franks","given":"Paul W."},{"family":"Rich-Edwards","given":"Janet W."}],"issued":{"date-parts":[["2018",10]]}}}],"schema":"https://github.com/citation-style-language/schema/raw/master/csl-citation.json"} </w:instrText>
      </w:r>
      <w:r w:rsidRPr="001340AB">
        <w:rPr>
          <w:szCs w:val="24"/>
        </w:rPr>
        <w:fldChar w:fldCharType="separate"/>
      </w:r>
      <w:r w:rsidRPr="009D6107">
        <w:rPr>
          <w:rFonts w:cs="Times New Roman"/>
          <w:szCs w:val="24"/>
          <w:vertAlign w:val="superscript"/>
        </w:rPr>
        <w:t>18</w:t>
      </w:r>
      <w:r w:rsidRPr="001340AB">
        <w:rPr>
          <w:szCs w:val="24"/>
        </w:rPr>
        <w:fldChar w:fldCharType="end"/>
      </w:r>
      <w:r w:rsidRPr="001340AB">
        <w:rPr>
          <w:szCs w:val="24"/>
        </w:rPr>
        <w:t>, and no published studies have examined the benefit of adding history of preterm delivery or SGA to existing models.</w:t>
      </w:r>
    </w:p>
    <w:p w14:paraId="637A7C2D" w14:textId="77777777" w:rsidR="009758B9" w:rsidRDefault="009758B9" w:rsidP="009758B9">
      <w:pPr>
        <w:spacing w:line="480" w:lineRule="auto"/>
        <w:ind w:firstLine="720"/>
        <w:rPr>
          <w:szCs w:val="24"/>
        </w:rPr>
      </w:pPr>
      <w:r w:rsidRPr="001340AB">
        <w:rPr>
          <w:szCs w:val="24"/>
        </w:rPr>
        <w:t xml:space="preserve">Using linked data from the Nord-Trøndelag Health Study (the HUNT Study), the Medical Birth Registry of Norway (MBRN), validated hospital records, and the Norwegian Cause of Death Registry, we evaluated whether adding history of pregnancy complications to the </w:t>
      </w:r>
      <w:r w:rsidRPr="001340AB">
        <w:rPr>
          <w:szCs w:val="24"/>
        </w:rPr>
        <w:lastRenderedPageBreak/>
        <w:t>NORRISK 2 risk prediction model</w:t>
      </w:r>
      <w:r w:rsidRPr="001340AB">
        <w:rPr>
          <w:szCs w:val="24"/>
        </w:rPr>
        <w:fldChar w:fldCharType="begin"/>
      </w:r>
      <w:r>
        <w:rPr>
          <w:szCs w:val="24"/>
        </w:rPr>
        <w:instrText xml:space="preserve"> ADDIN ZOTERO_ITEM CSL_CITATION {"citationID":"a22fmbg19dd","properties":{"formattedCitation":"\\super 20\\nosupersub{}","plainCitation":"20","noteIndex":0},"citationItems":[{"id":2171,"uris":["http://zotero.org/groups/465531/items/3CJSI3IM"],"uri":["http://zotero.org/groups/465531/items/3CJSI3IM"],"itemData":{"id":2171,"type":"article-journal","title":"NORRISK 2: A Norwegian risk model for acute cerebral stroke and myocardial infarction","container-title":"European Journal of Preventive Cardiology","page":"773-782","volume":"24","issue":"7","source":"PubMed","abstract":"Background Guidelines for the prevention of cardiovascular disease recommend the estimation of an individual's total risk. We have developed a new model for the prediction of the 10-year risk of incident acute myocardial infarction or cerebral stroke based on Norwegian data, NORRISK 2. Design The model was based on 10-year follow-up of a large population-based cohort (CONOR) through linkage to the CVDNOR project, a database of cardiovascular disease hospital discharge diagnoses and mortality in Norway in 1994-2009. Methods We used the Fine and Gray regression model to estimate the 10-year risk adjusting for competing risk. The model population consisted of participants in 1994-1999 and the external validation population of participants in 2000-2003. We validated the model by area under the receiver operating characteristic curves, calibration plots and analyses of sensitivity and specificity. Results The model population consisted of 31,445 men and 35,267 women aged 40-79 years with 3658 endpoints in men and 2459 in women. The external validation population consisted of 19,980 men and 19,309 women, of whom 1858 men and 874 women had an endpoint during follow-up. The area under the curve was 0.79 (0.79-0.80) in men and 0.84 (0.83-0.85) in women in the model population and was slightly lower in the external validation population. Calibration plots showed good agreement between observed and predicted risk. The sum of sensitivity and specificity was greatest around the suggested risk thresholds. Conclusion The NORRISK 2 model showed good validity in an external dataset and will be a valuable tool to guide decisions about preventive interventions in people without known previous cardiovascular disease.","DOI":"10.1177/2047487317693949","ISSN":"2047-4881","note":"PMID: 28206819","shortTitle":"NORRISK 2","journalAbbreviation":"Eur J Prev Cardiol","language":"eng","author":[{"family":"Selmer","given":"Randi"},{"family":"Igland","given":"Jannicke"},{"family":"Ariansen","given":"Inger"},{"family":"Tverdal","given":"Aage"},{"family":"Njølstad","given":"Inger"},{"family":"Furu","given":"Kari"},{"family":"Tell","given":"Grethe S."},{"family":"Klemsdal","given":"Tor Ole"}],"issued":{"date-parts":[["2017",5]]}}}],"schema":"https://github.com/citation-style-language/schema/raw/master/csl-citation.json"} </w:instrText>
      </w:r>
      <w:r w:rsidRPr="001340AB">
        <w:rPr>
          <w:szCs w:val="24"/>
        </w:rPr>
        <w:fldChar w:fldCharType="separate"/>
      </w:r>
      <w:r w:rsidRPr="009D6107">
        <w:rPr>
          <w:rFonts w:cs="Times New Roman"/>
          <w:szCs w:val="24"/>
          <w:vertAlign w:val="superscript"/>
        </w:rPr>
        <w:t>20</w:t>
      </w:r>
      <w:r w:rsidRPr="001340AB">
        <w:rPr>
          <w:szCs w:val="24"/>
        </w:rPr>
        <w:fldChar w:fldCharType="end"/>
      </w:r>
      <w:r w:rsidRPr="001340AB">
        <w:rPr>
          <w:szCs w:val="24"/>
        </w:rPr>
        <w:t>, the model currently recommended for use in clinical practice in Norway</w:t>
      </w:r>
      <w:r w:rsidRPr="001340AB">
        <w:rPr>
          <w:szCs w:val="24"/>
        </w:rPr>
        <w:fldChar w:fldCharType="begin"/>
      </w:r>
      <w:r>
        <w:rPr>
          <w:szCs w:val="24"/>
        </w:rPr>
        <w:instrText xml:space="preserve"> ADDIN ZOTERO_ITEM CSL_CITATION {"citationID":"epUCNApe","properties":{"formattedCitation":"\\super 21\\nosupersub{}","plainCitation":"21","noteIndex":0},"citationItems":[{"id":2294,"uris":["http://zotero.org/groups/465531/items/RUGSX5WT"],"uri":["http://zotero.org/groups/465531/items/RUGSX5WT"],"itemData":{"id":2294,"type":"webpage","title":"Nasjonal faglig retningslinje for forebygging av hjerte- og karsykdom","container-title":"Helsedirektoratet.no","URL":"https://helsedirektoratet.no/retningslinjer/forebygging-av-hjerte-og-karsykdom","language":"nb-NO","accessed":{"date-parts":[["2018",5,17]]}}}],"schema":"https://github.com/citation-style-language/schema/raw/master/csl-citation.json"} </w:instrText>
      </w:r>
      <w:r w:rsidRPr="001340AB">
        <w:rPr>
          <w:szCs w:val="24"/>
        </w:rPr>
        <w:fldChar w:fldCharType="separate"/>
      </w:r>
      <w:r w:rsidRPr="009D6107">
        <w:rPr>
          <w:rFonts w:cs="Times New Roman"/>
          <w:szCs w:val="24"/>
          <w:vertAlign w:val="superscript"/>
        </w:rPr>
        <w:t>21</w:t>
      </w:r>
      <w:r w:rsidRPr="001340AB">
        <w:rPr>
          <w:szCs w:val="24"/>
        </w:rPr>
        <w:fldChar w:fldCharType="end"/>
      </w:r>
      <w:r>
        <w:rPr>
          <w:szCs w:val="24"/>
        </w:rPr>
        <w:t>,</w:t>
      </w:r>
      <w:r w:rsidRPr="001340AB">
        <w:rPr>
          <w:szCs w:val="24"/>
        </w:rPr>
        <w:t xml:space="preserve"> improved prediction performance in parous women. </w:t>
      </w:r>
    </w:p>
    <w:p w14:paraId="6CFABAAA" w14:textId="77777777" w:rsidR="009758B9" w:rsidRPr="001340AB" w:rsidRDefault="009758B9" w:rsidP="009758B9">
      <w:pPr>
        <w:spacing w:line="480" w:lineRule="auto"/>
        <w:ind w:firstLine="720"/>
        <w:rPr>
          <w:b/>
          <w:szCs w:val="24"/>
        </w:rPr>
      </w:pPr>
    </w:p>
    <w:p w14:paraId="69D7F04F" w14:textId="77777777" w:rsidR="009758B9" w:rsidRPr="001340AB" w:rsidRDefault="009758B9" w:rsidP="009758B9">
      <w:pPr>
        <w:pStyle w:val="Subtitle1"/>
        <w:rPr>
          <w:szCs w:val="24"/>
        </w:rPr>
      </w:pPr>
      <w:bookmarkStart w:id="5" w:name="_Toc512429822"/>
      <w:r w:rsidRPr="001340AB">
        <w:rPr>
          <w:szCs w:val="24"/>
        </w:rPr>
        <w:t>Methods</w:t>
      </w:r>
      <w:bookmarkEnd w:id="5"/>
    </w:p>
    <w:p w14:paraId="1C2AFDEA" w14:textId="77777777" w:rsidR="009758B9" w:rsidRPr="001340AB" w:rsidRDefault="009758B9" w:rsidP="009758B9">
      <w:pPr>
        <w:spacing w:line="480" w:lineRule="auto"/>
        <w:rPr>
          <w:i/>
          <w:szCs w:val="24"/>
        </w:rPr>
      </w:pPr>
      <w:r w:rsidRPr="001340AB">
        <w:rPr>
          <w:i/>
          <w:szCs w:val="24"/>
        </w:rPr>
        <w:t>Study Population</w:t>
      </w:r>
    </w:p>
    <w:p w14:paraId="385BAD1C" w14:textId="77777777" w:rsidR="009758B9" w:rsidRPr="001340AB" w:rsidRDefault="009758B9" w:rsidP="009758B9">
      <w:pPr>
        <w:widowControl w:val="0"/>
        <w:autoSpaceDE w:val="0"/>
        <w:autoSpaceDN w:val="0"/>
        <w:adjustRightInd w:val="0"/>
        <w:spacing w:line="480" w:lineRule="auto"/>
        <w:rPr>
          <w:bCs/>
          <w:szCs w:val="24"/>
        </w:rPr>
      </w:pPr>
      <w:r w:rsidRPr="001340AB">
        <w:rPr>
          <w:szCs w:val="24"/>
        </w:rPr>
        <w:t>The HUNT Study is an ongoing population-based cohort study of residents in Norway’s Nord-Trøndelag county. Approximately every decade, all county residents 20 years of age and older are invited to participate in an extensive health assessment, including a clinical examination and questionnaires</w:t>
      </w:r>
      <w:r w:rsidRPr="001340AB">
        <w:rPr>
          <w:szCs w:val="24"/>
        </w:rPr>
        <w:fldChar w:fldCharType="begin"/>
      </w:r>
      <w:r>
        <w:rPr>
          <w:szCs w:val="24"/>
        </w:rPr>
        <w:instrText xml:space="preserve"> ADDIN ZOTERO_ITEM CSL_CITATION {"citationID":"a23a7c7045i","properties":{"formattedCitation":"\\super 22\\nosupersub{}","plainCitation":"22","noteIndex":0},"citationItems":[{"id":250,"uris":["http://zotero.org/users/2002240/items/T7Q3QCIN"],"uri":["http://zotero.org/users/2002240/items/T7Q3QCIN"],"itemData":{"id":250,"type":"article-journal","title":"Cohort Profile: The HUNT Study, Norway","container-title":"International Journal of Epidemiology","page":"968-977","volume":"42","issue":"4","source":"ije.oxfordjournals.org.ezp-prod1.hul.harvard.edu","abstract":"The HUNT Study includes large total population-based cohorts from the 1980ies, covering 125 000 Norwegian participants; HUNT1 (1984-86), HUNT2 (1995-97) and HUNT3 (2006-08). The study was primarily set up to address arterial hypertension, diabetes, screening of tuberculosis, and quality of life. However, the scope has expanded over time. In the latest survey a state of the art biobank was established, with availability of biomaterial for decades ahead. The three population based surveys now contribute to important knowledge regarding health related lifestyle, prevalence and incidence of somatic and mental illness and disease, health determinants, and associations between disease phenotypes and genotypes. Every citizen of Nord-Trøndelag County in Norway being 20 years or older, have been invited to all the surveys for adults. Participants may be linked in families and followed up longitudinally between the surveys and in several national health- and other registers covering the total population. The HUNT Study includes data from questionnaires, interviews, clinical measurements and biological samples (blood and urine). The questionnaires included questions on socioeconomic conditions, health related behaviours, symptoms, illnesses and diseases. Data from the HUNT Study are available for researchers who satisfy some basic requirements (www.ntnu.edu/hunt), whether affiliated in Norway or abroad.","DOI":"10.1093/ije/dys095","ISSN":"0300-5771, 1464-3685","note":"PMID: 22879362","shortTitle":"Cohort Profile","journalAbbreviation":"Int. J. Epidemiol.","language":"en","author":[{"family":"Krokstad","given":"S."},{"family":"Langhammer","given":"A."},{"family":"Hveem","given":"K."},{"family":"Holmen","given":"T. L."},{"family":"Midthjell","given":"K."},{"family":"Stene","given":"T. R."},{"family":"Bratberg","given":"G."},{"family":"Heggland","given":"J."},{"family":"Holmen","given":"J."}],"issued":{"date-parts":[["2013",8,1]]}}}],"schema":"https://github.com/citation-style-language/schema/raw/master/csl-citation.json"} </w:instrText>
      </w:r>
      <w:r w:rsidRPr="001340AB">
        <w:rPr>
          <w:szCs w:val="24"/>
        </w:rPr>
        <w:fldChar w:fldCharType="separate"/>
      </w:r>
      <w:r w:rsidRPr="009D6107">
        <w:rPr>
          <w:rFonts w:cs="Times New Roman"/>
          <w:szCs w:val="24"/>
          <w:vertAlign w:val="superscript"/>
        </w:rPr>
        <w:t>22</w:t>
      </w:r>
      <w:r w:rsidRPr="001340AB">
        <w:rPr>
          <w:szCs w:val="24"/>
        </w:rPr>
        <w:fldChar w:fldCharType="end"/>
      </w:r>
      <w:r w:rsidRPr="001340AB">
        <w:rPr>
          <w:szCs w:val="24"/>
        </w:rPr>
        <w:t xml:space="preserve">. Three surveys were completed </w:t>
      </w:r>
      <w:r>
        <w:rPr>
          <w:szCs w:val="24"/>
        </w:rPr>
        <w:t>by</w:t>
      </w:r>
      <w:r w:rsidRPr="001340AB">
        <w:rPr>
          <w:szCs w:val="24"/>
        </w:rPr>
        <w:t xml:space="preserve"> the time of this analysis</w:t>
      </w:r>
      <w:r w:rsidRPr="001340AB">
        <w:rPr>
          <w:bCs/>
          <w:szCs w:val="24"/>
        </w:rPr>
        <w:t>, HUNT1 (1984-86)</w:t>
      </w:r>
      <w:r w:rsidRPr="001340AB">
        <w:rPr>
          <w:bCs/>
          <w:szCs w:val="24"/>
        </w:rPr>
        <w:fldChar w:fldCharType="begin"/>
      </w:r>
      <w:r>
        <w:rPr>
          <w:bCs/>
          <w:szCs w:val="24"/>
        </w:rPr>
        <w:instrText xml:space="preserve"> ADDIN ZOTERO_ITEM CSL_CITATION {"citationID":"SrKVF2ES","properties":{"formattedCitation":"\\super 23\\nosupersub{}","plainCitation":"23","noteIndex":0},"citationItems":[{"id":1755,"uris":["http://zotero.org/groups/465531/items/ABNTBTJH"],"uri":["http://zotero.org/groups/465531/items/ABNTBTJH"],"itemData":{"id":1755,"type":"report","title":"The Nord-Trøndelag health Survey 1984-1986. Purpose, background and methods. Participation, non-participation and frequency distributions","publisher":"Senter for samfunnsmedisinsk forskning, Statens Institutt for folkehelse(SIFF). Helsetjenesteforskning","publisher-place":"Verdal","page":"1-257","event-place":"Verdal","URL":"https://www.ntnu.no/c/document_library/get_file?uuid=4be1f10f-be02-484d-a033-6194748bd5f4&amp;groupId=10304","number":"4","author":[{"family":"Holmen","given":"Jostein"},{"family":"Midthjell","given":"Kristian"},{"family":"Bjartveit","given":"Kjell"},{"family":"Hjort","given":"Peter F."},{"family":"Lund-Larsen","given":"Per G."}],"issued":{"date-parts":[["1990"]]},"accessed":{"date-parts":[["2016",10,14]]}}}],"schema":"https://github.com/citation-style-language/schema/raw/master/csl-citation.json"} </w:instrText>
      </w:r>
      <w:r w:rsidRPr="001340AB">
        <w:rPr>
          <w:bCs/>
          <w:szCs w:val="24"/>
        </w:rPr>
        <w:fldChar w:fldCharType="separate"/>
      </w:r>
      <w:r w:rsidRPr="009D6107">
        <w:rPr>
          <w:rFonts w:cs="Times New Roman"/>
          <w:szCs w:val="24"/>
          <w:vertAlign w:val="superscript"/>
        </w:rPr>
        <w:t>23</w:t>
      </w:r>
      <w:r w:rsidRPr="001340AB">
        <w:rPr>
          <w:bCs/>
          <w:szCs w:val="24"/>
        </w:rPr>
        <w:fldChar w:fldCharType="end"/>
      </w:r>
      <w:r w:rsidRPr="001340AB">
        <w:rPr>
          <w:bCs/>
          <w:szCs w:val="24"/>
        </w:rPr>
        <w:t>, HUNT2 (1995-97)</w:t>
      </w:r>
      <w:r w:rsidRPr="001340AB">
        <w:rPr>
          <w:bCs/>
          <w:szCs w:val="24"/>
        </w:rPr>
        <w:fldChar w:fldCharType="begin"/>
      </w:r>
      <w:r>
        <w:rPr>
          <w:bCs/>
          <w:szCs w:val="24"/>
        </w:rPr>
        <w:instrText xml:space="preserve"> ADDIN ZOTERO_ITEM CSL_CITATION {"citationID":"Ydtpfd9k","properties":{"formattedCitation":"\\super 24\\nosupersub{}","plainCitation":"24","noteIndex":0},"citationItems":[{"id":1362,"uris":["http://zotero.org/groups/465531/items/I6RICDC3"],"uri":["http://zotero.org/groups/465531/items/I6RICDC3"],"itemData":{"id":1362,"type":"article-journal","title":"The Nord-Trøndelag Health Study 1995-97 (HUNT 2): Objectives, contents, methods and participation","page":"19-32","volume":"13","issue":"1","journalAbbreviation":"Norsk Epidemiologi","author":[{"family":"Holmen","given":"Jostein"},{"family":"Midthjell","given":"Kristian"},{"family":"Krüger","given":"Øystein"},{"family":"Langhammer","given":"Arnulf"},{"family":"Holmen","given":"Turid Lingaas"},{"family":"Bratberg","given":"Grete H."},{"family":"Vatten","given":"Lars"},{"family":"Lund-Larsen","given":"Per G."}],"issued":{"date-parts":[["2003"]]}}}],"schema":"https://github.com/citation-style-language/schema/raw/master/csl-citation.json"} </w:instrText>
      </w:r>
      <w:r w:rsidRPr="001340AB">
        <w:rPr>
          <w:bCs/>
          <w:szCs w:val="24"/>
        </w:rPr>
        <w:fldChar w:fldCharType="separate"/>
      </w:r>
      <w:r w:rsidRPr="009D6107">
        <w:rPr>
          <w:rFonts w:cs="Times New Roman"/>
          <w:szCs w:val="24"/>
          <w:vertAlign w:val="superscript"/>
        </w:rPr>
        <w:t>24</w:t>
      </w:r>
      <w:r w:rsidRPr="001340AB">
        <w:rPr>
          <w:bCs/>
          <w:szCs w:val="24"/>
        </w:rPr>
        <w:fldChar w:fldCharType="end"/>
      </w:r>
      <w:r w:rsidRPr="001340AB">
        <w:rPr>
          <w:bCs/>
          <w:szCs w:val="24"/>
        </w:rPr>
        <w:t>, and HUNT3 (2006-08)</w:t>
      </w:r>
      <w:r w:rsidRPr="001340AB">
        <w:rPr>
          <w:bCs/>
          <w:szCs w:val="24"/>
        </w:rPr>
        <w:fldChar w:fldCharType="begin"/>
      </w:r>
      <w:r>
        <w:rPr>
          <w:bCs/>
          <w:szCs w:val="24"/>
        </w:rPr>
        <w:instrText xml:space="preserve"> ADDIN ZOTERO_ITEM CSL_CITATION {"citationID":"eREyvQv1","properties":{"formattedCitation":"\\super 22\\nosupersub{}","plainCitation":"22","noteIndex":0},"citationItems":[{"id":250,"uris":["http://zotero.org/users/2002240/items/T7Q3QCIN"],"uri":["http://zotero.org/users/2002240/items/T7Q3QCIN"],"itemData":{"id":250,"type":"article-journal","title":"Cohort Profile: The HUNT Study, Norway","container-title":"International Journal of Epidemiology","page":"968-977","volume":"42","issue":"4","source":"ije.oxfordjournals.org.ezp-prod1.hul.harvard.edu","abstract":"The HUNT Study includes large total population-based cohorts from the 1980ies, covering 125 000 Norwegian participants; HUNT1 (1984-86), HUNT2 (1995-97) and HUNT3 (2006-08). The study was primarily set up to address arterial hypertension, diabetes, screening of tuberculosis, and quality of life. However, the scope has expanded over time. In the latest survey a state of the art biobank was established, with availability of biomaterial for decades ahead. The three population based surveys now contribute to important knowledge regarding health related lifestyle, prevalence and incidence of somatic and mental illness and disease, health determinants, and associations between disease phenotypes and genotypes. Every citizen of Nord-Trøndelag County in Norway being 20 years or older, have been invited to all the surveys for adults. Participants may be linked in families and followed up longitudinally between the surveys and in several national health- and other registers covering the total population. The HUNT Study includes data from questionnaires, interviews, clinical measurements and biological samples (blood and urine). The questionnaires included questions on socioeconomic conditions, health related behaviours, symptoms, illnesses and diseases. Data from the HUNT Study are available for researchers who satisfy some basic requirements (www.ntnu.edu/hunt), whether affiliated in Norway or abroad.","DOI":"10.1093/ije/dys095","ISSN":"0300-5771, 1464-3685","note":"PMID: 22879362","shortTitle":"Cohort Profile","journalAbbreviation":"Int. J. Epidemiol.","language":"en","author":[{"family":"Krokstad","given":"S."},{"family":"Langhammer","given":"A."},{"family":"Hveem","given":"K."},{"family":"Holmen","given":"T. L."},{"family":"Midthjell","given":"K."},{"family":"Stene","given":"T. R."},{"family":"Bratberg","given":"G."},{"family":"Heggland","given":"J."},{"family":"Holmen","given":"J."}],"issued":{"date-parts":[["2013",8,1]]}}}],"schema":"https://github.com/citation-style-language/schema/raw/master/csl-citation.json"} </w:instrText>
      </w:r>
      <w:r w:rsidRPr="001340AB">
        <w:rPr>
          <w:bCs/>
          <w:szCs w:val="24"/>
        </w:rPr>
        <w:fldChar w:fldCharType="separate"/>
      </w:r>
      <w:r w:rsidRPr="009D6107">
        <w:rPr>
          <w:rFonts w:cs="Times New Roman"/>
          <w:szCs w:val="24"/>
          <w:vertAlign w:val="superscript"/>
        </w:rPr>
        <w:t>22</w:t>
      </w:r>
      <w:r w:rsidRPr="001340AB">
        <w:rPr>
          <w:bCs/>
          <w:szCs w:val="24"/>
        </w:rPr>
        <w:fldChar w:fldCharType="end"/>
      </w:r>
      <w:r w:rsidRPr="001340AB">
        <w:rPr>
          <w:bCs/>
          <w:szCs w:val="24"/>
        </w:rPr>
        <w:t>. Using the national identification number assigned to Norwegian citizens, we linked HUNT data to the MBRN</w:t>
      </w:r>
      <w:r w:rsidRPr="001340AB">
        <w:rPr>
          <w:bCs/>
          <w:szCs w:val="24"/>
        </w:rPr>
        <w:fldChar w:fldCharType="begin"/>
      </w:r>
      <w:r>
        <w:rPr>
          <w:bCs/>
          <w:szCs w:val="24"/>
        </w:rPr>
        <w:instrText xml:space="preserve"> ADDIN ZOTERO_ITEM CSL_CITATION {"citationID":"a1qion0f0np","properties":{"formattedCitation":"\\super 25\\nosupersub{}","plainCitation":"25","noteIndex":0},"citationItems":[{"id":1864,"uris":["http://zotero.org/groups/465531/items/WZJ86F6D"],"uri":["http://zotero.org/groups/465531/items/WZJ86F6D"],"itemData":{"id":1864,"type":"article-journal","title":"The Medical Birth Registry of Norway. Epidemiological research and surveillance throughout 30 years","container-title":"Acta Obstetricia Et Gynecologica Scandinavica","page":"435-439","volume":"79","issue":"6","source":"PubMed","ISSN":"0001-6349","note":"PMID: 10857866","journalAbbreviation":"Acta Obstet Gynecol Scand","language":"eng","author":[{"family":"Irgens","given":"L. M."}],"issued":{"date-parts":[["2000",6]]}}}],"schema":"https://github.com/citation-style-language/schema/raw/master/csl-citation.json"} </w:instrText>
      </w:r>
      <w:r w:rsidRPr="001340AB">
        <w:rPr>
          <w:bCs/>
          <w:szCs w:val="24"/>
        </w:rPr>
        <w:fldChar w:fldCharType="separate"/>
      </w:r>
      <w:r w:rsidRPr="009D6107">
        <w:rPr>
          <w:rFonts w:cs="Times New Roman"/>
          <w:szCs w:val="24"/>
          <w:vertAlign w:val="superscript"/>
        </w:rPr>
        <w:t>25</w:t>
      </w:r>
      <w:r w:rsidRPr="001340AB">
        <w:rPr>
          <w:bCs/>
          <w:szCs w:val="24"/>
        </w:rPr>
        <w:fldChar w:fldCharType="end"/>
      </w:r>
      <w:r w:rsidRPr="001340AB">
        <w:rPr>
          <w:bCs/>
          <w:szCs w:val="24"/>
        </w:rPr>
        <w:t xml:space="preserve"> to capture information about all deliveries that occurred after the birth registry began in 1967.</w:t>
      </w:r>
    </w:p>
    <w:p w14:paraId="300CE05E" w14:textId="25DD8014" w:rsidR="009758B9" w:rsidRPr="001340AB" w:rsidRDefault="009758B9" w:rsidP="009758B9">
      <w:pPr>
        <w:widowControl w:val="0"/>
        <w:autoSpaceDE w:val="0"/>
        <w:autoSpaceDN w:val="0"/>
        <w:adjustRightInd w:val="0"/>
        <w:spacing w:line="480" w:lineRule="auto"/>
        <w:rPr>
          <w:szCs w:val="24"/>
        </w:rPr>
      </w:pPr>
      <w:r w:rsidRPr="001340AB">
        <w:rPr>
          <w:bCs/>
          <w:szCs w:val="24"/>
        </w:rPr>
        <w:tab/>
        <w:t>We restricted this analysis to participants in the HUNT2 and HUNT3 surveys, during which serum samples were collected for all participants, to enable inclusion of lipids in CVD risk prediction models. We identified a total of 27,862 parous women who participated in HUNT2 and/or HUNT3 and had a birth registered in the MBRN (Figure 1). As the NORRISK 2 CVD risk prediction model</w:t>
      </w:r>
      <w:r w:rsidRPr="001340AB">
        <w:rPr>
          <w:bCs/>
          <w:szCs w:val="24"/>
        </w:rPr>
        <w:fldChar w:fldCharType="begin"/>
      </w:r>
      <w:r>
        <w:rPr>
          <w:bCs/>
          <w:szCs w:val="24"/>
        </w:rPr>
        <w:instrText xml:space="preserve"> ADDIN ZOTERO_ITEM CSL_CITATION {"citationID":"8QUmWYIU","properties":{"formattedCitation":"\\super 20\\nosupersub{}","plainCitation":"20","noteIndex":0},"citationItems":[{"id":2171,"uris":["http://zotero.org/groups/465531/items/3CJSI3IM"],"uri":["http://zotero.org/groups/465531/items/3CJSI3IM"],"itemData":{"id":2171,"type":"article-journal","title":"NORRISK 2: A Norwegian risk model for acute cerebral stroke and myocardial infarction","container-title":"European Journal of Preventive Cardiology","page":"773-782","volume":"24","issue":"7","source":"PubMed","abstract":"Background Guidelines for the prevention of cardiovascular disease recommend the estimation of an individual's total risk. We have developed a new model for the prediction of the 10-year risk of incident acute myocardial infarction or cerebral stroke based on Norwegian data, NORRISK 2. Design The model was based on 10-year follow-up of a large population-based cohort (CONOR) through linkage to the CVDNOR project, a database of cardiovascular disease hospital discharge diagnoses and mortality in Norway in 1994-2009. Methods We used the Fine and Gray regression model to estimate the 10-year risk adjusting for competing risk. The model population consisted of participants in 1994-1999 and the external validation population of participants in 2000-2003. We validated the model by area under the receiver operating characteristic curves, calibration plots and analyses of sensitivity and specificity. Results The model population consisted of 31,445 men and 35,267 women aged 40-79 years with 3658 endpoints in men and 2459 in women. The external validation population consisted of 19,980 men and 19,309 women, of whom 1858 men and 874 women had an endpoint during follow-up. The area under the curve was 0.79 (0.79-0.80) in men and 0.84 (0.83-0.85) in women in the model population and was slightly lower in the external validation population. Calibration plots showed good agreement between observed and predicted risk. The sum of sensitivity and specificity was greatest around the suggested risk thresholds. Conclusion The NORRISK 2 model showed good validity in an external dataset and will be a valuable tool to guide decisions about preventive interventions in people without known previous cardiovascular disease.","DOI":"10.1177/2047487317693949","ISSN":"2047-4881","note":"PMID: 28206819","shortTitle":"NORRISK 2","journalAbbreviation":"Eur J Prev Cardiol","language":"eng","author":[{"family":"Selmer","given":"Randi"},{"family":"Igland","given":"Jannicke"},{"family":"Ariansen","given":"Inger"},{"family":"Tverdal","given":"Aage"},{"family":"Njølstad","given":"Inger"},{"family":"Furu","given":"Kari"},{"family":"Tell","given":"Grethe S."},{"family":"Klemsdal","given":"Tor Ole"}],"issued":{"date-parts":[["2017",5]]}}}],"schema":"https://github.com/citation-style-language/schema/raw/master/csl-citation.json"} </w:instrText>
      </w:r>
      <w:r w:rsidRPr="001340AB">
        <w:rPr>
          <w:bCs/>
          <w:szCs w:val="24"/>
        </w:rPr>
        <w:fldChar w:fldCharType="separate"/>
      </w:r>
      <w:r w:rsidRPr="009D6107">
        <w:rPr>
          <w:rFonts w:cs="Times New Roman"/>
          <w:szCs w:val="24"/>
          <w:vertAlign w:val="superscript"/>
        </w:rPr>
        <w:t>20</w:t>
      </w:r>
      <w:r w:rsidRPr="001340AB">
        <w:rPr>
          <w:bCs/>
          <w:szCs w:val="24"/>
        </w:rPr>
        <w:fldChar w:fldCharType="end"/>
      </w:r>
      <w:r w:rsidRPr="001340AB">
        <w:rPr>
          <w:bCs/>
          <w:szCs w:val="24"/>
        </w:rPr>
        <w:t xml:space="preserve"> included only adults </w:t>
      </w:r>
      <w:r>
        <w:rPr>
          <w:bCs/>
          <w:szCs w:val="24"/>
        </w:rPr>
        <w:t xml:space="preserve">ages </w:t>
      </w:r>
      <w:r w:rsidRPr="001340AB">
        <w:rPr>
          <w:bCs/>
          <w:szCs w:val="24"/>
        </w:rPr>
        <w:t>40 years</w:t>
      </w:r>
      <w:r>
        <w:rPr>
          <w:bCs/>
          <w:szCs w:val="24"/>
        </w:rPr>
        <w:t xml:space="preserve"> </w:t>
      </w:r>
      <w:r w:rsidRPr="001340AB">
        <w:rPr>
          <w:bCs/>
          <w:szCs w:val="24"/>
        </w:rPr>
        <w:t xml:space="preserve">and older, we excluded women younger than 40 years at the time of the HUNT exam (n=9,056). We also excluded women with a history of CVD prior to the HUNT exam (n=292). History of CVD was identified through either 1) self-report of myocardial infarction (MI) or stroke via questionnaire during the HUNT exam or any previous HUNT exam (including HUNT1) or 2) validated record of hospitalization for MI or stroke from the start of record collection in 1987 through the date of the HUNT exam. </w:t>
      </w:r>
      <w:r w:rsidRPr="001340AB">
        <w:rPr>
          <w:bCs/>
          <w:szCs w:val="24"/>
        </w:rPr>
        <w:lastRenderedPageBreak/>
        <w:t xml:space="preserve">After additionally excluding women </w:t>
      </w:r>
      <w:r w:rsidRPr="001340AB">
        <w:rPr>
          <w:szCs w:val="24"/>
        </w:rPr>
        <w:t>with incomplete data on covariates used in the NORRISK 2 prediction model</w:t>
      </w:r>
      <w:r w:rsidRPr="001340AB">
        <w:rPr>
          <w:szCs w:val="24"/>
        </w:rPr>
        <w:fldChar w:fldCharType="begin"/>
      </w:r>
      <w:r>
        <w:rPr>
          <w:szCs w:val="24"/>
        </w:rPr>
        <w:instrText xml:space="preserve"> ADDIN ZOTERO_ITEM CSL_CITATION {"citationID":"1ACOQkZp","properties":{"formattedCitation":"\\super 20\\nosupersub{}","plainCitation":"20","noteIndex":0},"citationItems":[{"id":2171,"uris":["http://zotero.org/groups/465531/items/3CJSI3IM"],"uri":["http://zotero.org/groups/465531/items/3CJSI3IM"],"itemData":{"id":2171,"type":"article-journal","title":"NORRISK 2: A Norwegian risk model for acute cerebral stroke and myocardial infarction","container-title":"European Journal of Preventive Cardiology","page":"773-782","volume":"24","issue":"7","source":"PubMed","abstract":"Background Guidelines for the prevention of cardiovascular disease recommend the estimation of an individual's total risk. We have developed a new model for the prediction of the 10-year risk of incident acute myocardial infarction or cerebral stroke based on Norwegian data, NORRISK 2. Design The model was based on 10-year follow-up of a large population-based cohort (CONOR) through linkage to the CVDNOR project, a database of cardiovascular disease hospital discharge diagnoses and mortality in Norway in 1994-2009. Methods We used the Fine and Gray regression model to estimate the 10-year risk adjusting for competing risk. The model population consisted of participants in 1994-1999 and the external validation population of participants in 2000-2003. We validated the model by area under the receiver operating characteristic curves, calibration plots and analyses of sensitivity and specificity. Results The model population consisted of 31,445 men and 35,267 women aged 40-79 years with 3658 endpoints in men and 2459 in women. The external validation population consisted of 19,980 men and 19,309 women, of whom 1858 men and 874 women had an endpoint during follow-up. The area under the curve was 0.79 (0.79-0.80) in men and 0.84 (0.83-0.85) in women in the model population and was slightly lower in the external validation population. Calibration plots showed good agreement between observed and predicted risk. The sum of sensitivity and specificity was greatest around the suggested risk thresholds. Conclusion The NORRISK 2 model showed good validity in an external dataset and will be a valuable tool to guide decisions about preventive interventions in people without known previous cardiovascular disease.","DOI":"10.1177/2047487317693949","ISSN":"2047-4881","note":"PMID: 28206819","shortTitle":"NORRISK 2","journalAbbreviation":"Eur J Prev Cardiol","language":"eng","author":[{"family":"Selmer","given":"Randi"},{"family":"Igland","given":"Jannicke"},{"family":"Ariansen","given":"Inger"},{"family":"Tverdal","given":"Aage"},{"family":"Njølstad","given":"Inger"},{"family":"Furu","given":"Kari"},{"family":"Tell","given":"Grethe S."},{"family":"Klemsdal","given":"Tor Ole"}],"issued":{"date-parts":[["2017",5]]}}}],"schema":"https://github.com/citation-style-language/schema/raw/master/csl-citation.json"} </w:instrText>
      </w:r>
      <w:r w:rsidRPr="001340AB">
        <w:rPr>
          <w:szCs w:val="24"/>
        </w:rPr>
        <w:fldChar w:fldCharType="separate"/>
      </w:r>
      <w:r w:rsidRPr="009D6107">
        <w:rPr>
          <w:rFonts w:cs="Times New Roman"/>
          <w:szCs w:val="24"/>
          <w:vertAlign w:val="superscript"/>
        </w:rPr>
        <w:t>20</w:t>
      </w:r>
      <w:r w:rsidRPr="001340AB">
        <w:rPr>
          <w:szCs w:val="24"/>
        </w:rPr>
        <w:fldChar w:fldCharType="end"/>
      </w:r>
      <w:r w:rsidRPr="001340AB">
        <w:rPr>
          <w:szCs w:val="24"/>
        </w:rPr>
        <w:t xml:space="preserve"> (n=283), the final study population included 18,231 women. All </w:t>
      </w:r>
      <w:r>
        <w:rPr>
          <w:szCs w:val="24"/>
        </w:rPr>
        <w:t xml:space="preserve">HUNT study </w:t>
      </w:r>
      <w:r w:rsidRPr="001340AB">
        <w:rPr>
          <w:szCs w:val="24"/>
        </w:rPr>
        <w:t xml:space="preserve">participants signed an informed consent form permitting use of their data and samples for research. The Central Norway Regional Committee for Medical and Health Research Ethics </w:t>
      </w:r>
      <w:r>
        <w:rPr>
          <w:szCs w:val="24"/>
        </w:rPr>
        <w:t xml:space="preserve">approved this project </w:t>
      </w:r>
      <w:r w:rsidRPr="001340AB">
        <w:rPr>
          <w:szCs w:val="24"/>
        </w:rPr>
        <w:t xml:space="preserve">and </w:t>
      </w:r>
      <w:r>
        <w:rPr>
          <w:szCs w:val="24"/>
        </w:rPr>
        <w:t>the</w:t>
      </w:r>
      <w:r w:rsidRPr="001340AB">
        <w:rPr>
          <w:szCs w:val="24"/>
        </w:rPr>
        <w:t xml:space="preserve"> Harvard T. H. Chan School of Public Health</w:t>
      </w:r>
      <w:r>
        <w:rPr>
          <w:szCs w:val="24"/>
        </w:rPr>
        <w:t xml:space="preserve"> exempted this project from IRB review</w:t>
      </w:r>
      <w:r w:rsidRPr="001340AB">
        <w:rPr>
          <w:szCs w:val="24"/>
        </w:rPr>
        <w:t>.</w:t>
      </w:r>
    </w:p>
    <w:p w14:paraId="79083DC7" w14:textId="77777777" w:rsidR="009758B9" w:rsidRPr="001340AB" w:rsidRDefault="009758B9" w:rsidP="009758B9">
      <w:pPr>
        <w:widowControl w:val="0"/>
        <w:autoSpaceDE w:val="0"/>
        <w:autoSpaceDN w:val="0"/>
        <w:adjustRightInd w:val="0"/>
        <w:spacing w:line="480" w:lineRule="auto"/>
      </w:pPr>
    </w:p>
    <w:p w14:paraId="4C36EE02" w14:textId="77777777" w:rsidR="009758B9" w:rsidRPr="001340AB" w:rsidRDefault="009758B9" w:rsidP="009758B9">
      <w:pPr>
        <w:spacing w:line="480" w:lineRule="auto"/>
        <w:rPr>
          <w:i/>
        </w:rPr>
      </w:pPr>
      <w:r w:rsidRPr="001340AB">
        <w:rPr>
          <w:i/>
        </w:rPr>
        <w:t>Established Cardiovascular Risk Factors</w:t>
      </w:r>
    </w:p>
    <w:p w14:paraId="7255A029" w14:textId="72D7134E" w:rsidR="009758B9" w:rsidRPr="001340AB" w:rsidRDefault="009758B9" w:rsidP="009758B9">
      <w:pPr>
        <w:spacing w:line="480" w:lineRule="auto"/>
      </w:pPr>
      <w:r w:rsidRPr="001340AB">
        <w:t>Established risk factors (including systolic blood pressure, total cholesterol, high density lipoprotein cholesterol (HDL-C), smoking, anti-hypertensive use, and family history of premature MI) were chosen to match the NORRISK 2</w:t>
      </w:r>
      <w:r w:rsidRPr="001340AB">
        <w:fldChar w:fldCharType="begin"/>
      </w:r>
      <w:r>
        <w:instrText xml:space="preserve"> ADDIN ZOTERO_ITEM CSL_CITATION {"citationID":"a1jta6cokp6","properties":{"formattedCitation":"\\super 20\\nosupersub{}","plainCitation":"20","noteIndex":0},"citationItems":[{"id":2171,"uris":["http://zotero.org/groups/465531/items/3CJSI3IM"],"uri":["http://zotero.org/groups/465531/items/3CJSI3IM"],"itemData":{"id":2171,"type":"article-journal","title":"NORRISK 2: A Norwegian risk model for acute cerebral stroke and myocardial infarction","container-title":"European Journal of Preventive Cardiology","page":"773-782","volume":"24","issue":"7","source":"PubMed","abstract":"Background Guidelines for the prevention of cardiovascular disease recommend the estimation of an individual's total risk. We have developed a new model for the prediction of the 10-year risk of incident acute myocardial infarction or cerebral stroke based on Norwegian data, NORRISK 2. Design The model was based on 10-year follow-up of a large population-based cohort (CONOR) through linkage to the CVDNOR project, a database of cardiovascular disease hospital discharge diagnoses and mortality in Norway in 1994-2009. Methods We used the Fine and Gray regression model to estimate the 10-year risk adjusting for competing risk. The model population consisted of participants in 1994-1999 and the external validation population of participants in 2000-2003. We validated the model by area under the receiver operating characteristic curves, calibration plots and analyses of sensitivity and specificity. Results The model population consisted of 31,445 men and 35,267 women aged 40-79 years with 3658 endpoints in men and 2459 in women. The external validation population consisted of 19,980 men and 19,309 women, of whom 1858 men and 874 women had an endpoint during follow-up. The area under the curve was 0.79 (0.79-0.80) in men and 0.84 (0.83-0.85) in women in the model population and was slightly lower in the external validation population. Calibration plots showed good agreement between observed and predicted risk. The sum of sensitivity and specificity was greatest around the suggested risk thresholds. Conclusion The NORRISK 2 model showed good validity in an external dataset and will be a valuable tool to guide decisions about preventive interventions in people without known previous cardiovascular disease.","DOI":"10.1177/2047487317693949","ISSN":"2047-4881","note":"PMID: 28206819","shortTitle":"NORRISK 2","journalAbbreviation":"Eur J Prev Cardiol","language":"eng","author":[{"family":"Selmer","given":"Randi"},{"family":"Igland","given":"Jannicke"},{"family":"Ariansen","given":"Inger"},{"family":"Tverdal","given":"Aage"},{"family":"Njølstad","given":"Inger"},{"family":"Furu","given":"Kari"},{"family":"Tell","given":"Grethe S."},{"family":"Klemsdal","given":"Tor Ole"}],"issued":{"date-parts":[["2017",5]]}}}],"schema":"https://github.com/citation-style-language/schema/raw/master/csl-citation.json"} </w:instrText>
      </w:r>
      <w:r w:rsidRPr="001340AB">
        <w:fldChar w:fldCharType="separate"/>
      </w:r>
      <w:r w:rsidRPr="009D6107">
        <w:rPr>
          <w:rFonts w:cs="Times New Roman"/>
          <w:szCs w:val="24"/>
          <w:vertAlign w:val="superscript"/>
        </w:rPr>
        <w:t>20</w:t>
      </w:r>
      <w:r w:rsidRPr="001340AB">
        <w:fldChar w:fldCharType="end"/>
      </w:r>
      <w:r w:rsidRPr="001340AB">
        <w:t xml:space="preserve"> model to the extent possible. Trained </w:t>
      </w:r>
      <w:r>
        <w:t>HUNT study</w:t>
      </w:r>
      <w:r w:rsidRPr="001340AB">
        <w:t xml:space="preserve"> staff measured systolic blood pressure and collected non-fasting serum samples </w:t>
      </w:r>
      <w:r w:rsidR="00491C70">
        <w:t xml:space="preserve">to </w:t>
      </w:r>
      <w:r w:rsidR="00C94677">
        <w:t>quantify</w:t>
      </w:r>
      <w:r w:rsidRPr="001340AB">
        <w:t xml:space="preserve"> total cholesterol and HDL-C. We defined low HDL-C as &lt;1.3 mmol/L. Supplemental Table 1 includes additional </w:t>
      </w:r>
      <w:r w:rsidR="00491C70">
        <w:t xml:space="preserve">measurement </w:t>
      </w:r>
      <w:r w:rsidRPr="001340AB">
        <w:t xml:space="preserve">details. From the HUNT questionnaires, we identified current daily smoking and current anti-hypertensive use at the time of the HUNT exam as well as family history of premature MI, defined as having a first-degree family member who suffered a MI before the age of 60 years. </w:t>
      </w:r>
    </w:p>
    <w:p w14:paraId="59EE3224" w14:textId="77777777" w:rsidR="009758B9" w:rsidRPr="001340AB" w:rsidRDefault="009758B9" w:rsidP="009758B9">
      <w:pPr>
        <w:spacing w:line="480" w:lineRule="auto"/>
      </w:pPr>
    </w:p>
    <w:p w14:paraId="220662A0" w14:textId="77777777" w:rsidR="009758B9" w:rsidRPr="001340AB" w:rsidRDefault="009758B9" w:rsidP="009758B9">
      <w:pPr>
        <w:spacing w:line="480" w:lineRule="auto"/>
        <w:rPr>
          <w:i/>
        </w:rPr>
      </w:pPr>
      <w:r w:rsidRPr="001340AB">
        <w:rPr>
          <w:i/>
        </w:rPr>
        <w:t>Pregnancy Complications</w:t>
      </w:r>
    </w:p>
    <w:p w14:paraId="6A025BE7" w14:textId="2C17A1FD" w:rsidR="009758B9" w:rsidRPr="001340AB" w:rsidRDefault="009758B9" w:rsidP="009758B9">
      <w:pPr>
        <w:spacing w:line="480" w:lineRule="auto"/>
        <w:rPr>
          <w:bCs/>
        </w:rPr>
      </w:pPr>
      <w:r w:rsidRPr="001340AB">
        <w:rPr>
          <w:bCs/>
        </w:rPr>
        <w:t>We identified pregnancy complication history from the MBRN</w:t>
      </w:r>
      <w:r>
        <w:rPr>
          <w:bCs/>
        </w:rPr>
        <w:t>,</w:t>
      </w:r>
      <w:r w:rsidRPr="001340AB">
        <w:rPr>
          <w:bCs/>
        </w:rPr>
        <w:t xml:space="preserve"> including all pregnancies from 1967 to the time of the HUNT exam. Diagnoses of preeclampsia or gestational hypertension </w:t>
      </w:r>
      <w:r w:rsidRPr="001340AB">
        <w:t>used internationally recommended criteria</w:t>
      </w:r>
      <w:r w:rsidRPr="001340AB">
        <w:fldChar w:fldCharType="begin"/>
      </w:r>
      <w:r>
        <w:instrText xml:space="preserve"> ADDIN ZOTERO_ITEM CSL_CITATION {"citationID":"u3wNGP0J","properties":{"formattedCitation":"\\super 26,27\\nosupersub{}","plainCitation":"26,27","noteIndex":0},"citationItems":[{"id":1738,"uris":["http://zotero.org/groups/465531/items/PSAKBWT7"],"uri":["http://zotero.org/groups/465531/items/PSAKBWT7"],"itemData":{"id":1738,"type":"article-journal","title":"Validity of the diagnosis of pre-eclampsia in the Medical Birth Registry of Norway","container-title":"Acta Obstetricia Et Gynecologica Scandinavica","page":"943-950","volume":"92","issue":"8","source":"PubMed","abstract":"OBJECTIVE: Evaluating the validity of pre-eclampsia registration in the Medical Birth Registry of Norway (MBRN) according to both broader and restricted disease definitions.\nDESIGN: Retrospective nested cohort study.\nSETTING: Multicenter study.\nPOPULATION: In this study, two cohorts of women with pre-eclamptic pregnancies registered in the MBRN were selected. Study group 1 contained 966 pregnancies from 1967 to 2002. Concomitant participation in the Nord-Trøndelag Health Study 2 was required. Study group 2 comprised 1138 pregnancies recorded in 1967-2005, examined as a pre-eclampsia biobank was established.\nMETHODS: Diagnostic criteria vary. The broader criteria for pre-eclampsia, used by the MBRN, are one measurement of hypertension and proteinuria (Criterion A). Criteria used internationally today require two measurements of hypertension and proteinuria (Criterion B). The diagnostic validities in Study groups 1 and 2 were judged against medical records according to Criterion A and B, respectively.\nMAIN OUTCOME MEASURES: Positive predictive value (PPV) and trend analyses.\nRESULTS: The diagnosis was confirmed in 88.3% of pregnancies in Study group 1, and in 63.6% in Study group 2. PPV was high for Study group 1 throughout the period. For Study group 2, results improved significantly after 1986.\nCONCLUSIONS: This study ascertains high PPV of pre-eclampsia in the MBRN using broader traditional criteria, although the PPV decreases through assessment using restricted modern criteria. This illustrates how inclusion of direct measurements may improve registration of complex disorders defined by changing diagnostic criteria.","DOI":"10.1111/aogs.12159","ISSN":"1600-0412","note":"PMID: 23621424","journalAbbreviation":"Acta Obstet Gynecol Scand","language":"eng","author":[{"family":"Thomsen","given":"Liv C. V."},{"family":"Klungsøyr","given":"Kari"},{"family":"Roten","given":"Linda T."},{"family":"Tappert","given":"Christian"},{"family":"Araya","given":"Elisabeth"},{"family":"Baerheim","given":"Gunhild"},{"family":"Tollaksen","given":"Kjersti"},{"family":"Fenstad","given":"Mona H."},{"family":"Macsali","given":"Ferenc"},{"family":"Austgulen","given":"Rigmor"},{"family":"Bjørge","given":"Line"}],"issued":{"date-parts":[["2013",8]]}}},{"id":2272,"uris":["http://zotero.org/groups/465531/items/W6QPSQNY"],"uri":["http://zotero.org/groups/465531/items/W6QPSQNY"],"itemData":{"id":2272,"type":"article-journal","title":"Hypertension in pregnancy. Report of the American College of Obstetricians and Gynecologists’ Task Force on Hypertension in Pregnancy","container-title":"Obstetrics and Gynecology","page":"1122-1131","volume":"122","issue":"5","source":"PubMed","DOI":"10.1097/01.AOG.0000437382.03963.88","ISSN":"1873-233X","note":"PMID: 24150027","journalAbbreviation":"Obstet Gynecol","language":"eng","author":[{"literal":"American College of Obstetricians and Gynecologists"},{"literal":"Task Force on Hypertension in Pregnancy"}],"issued":{"date-parts":[["2013",11]]}}}],"schema":"https://github.com/citation-style-language/schema/raw/master/csl-citation.json"} </w:instrText>
      </w:r>
      <w:r w:rsidRPr="001340AB">
        <w:fldChar w:fldCharType="separate"/>
      </w:r>
      <w:r w:rsidRPr="009D6107">
        <w:rPr>
          <w:rFonts w:cs="Times New Roman"/>
          <w:szCs w:val="24"/>
          <w:vertAlign w:val="superscript"/>
        </w:rPr>
        <w:t>26,27</w:t>
      </w:r>
      <w:r w:rsidRPr="001340AB">
        <w:fldChar w:fldCharType="end"/>
      </w:r>
      <w:r w:rsidRPr="001340AB">
        <w:t>, w</w:t>
      </w:r>
      <w:r w:rsidRPr="001340AB">
        <w:fldChar w:fldCharType="begin"/>
      </w:r>
      <w:r w:rsidRPr="001340AB">
        <w:instrText xml:space="preserve"> ADDIN ZOTERO_ITEM CSL_CITATION {"citationID":"QlX4kc6u","properties":{"formattedCitation":"\\super 24,25\\nosupersub{}","plainCitation":"24,25","dontUpdate":true,"noteIndex":0},"citationItems":[{"id":1738,"uris":["http://zotero.org/groups/465531/items/PSAKBWT7"],"uri":["http://zotero.org/groups/465531/items/PSAKBWT7"],"itemData":{"id":1738,"type":"article-journal","title":"Validity of the diagnosis of pre-eclampsia in the Medical Birth Registry of Norway","container-title":"Acta Obstetricia Et Gynecologica Scandinavica","page":"943-950","volume":"92","issue":"8","source":"PubMed","abstract":"OBJECTIVE: Evaluating the validity of pre-eclampsia registration in the Medical Birth Registry of Norway (MBRN) according to both broader and restricted disease definitions.\nDESIGN: Retrospective nested cohort study.\nSETTING: Multicenter study.\nPOPULATION: In this study, two cohorts of women with pre-eclamptic pregnancies registered in the MBRN were selected. Study group 1 contained 966 pregnancies from 1967 to 2002. Concomitant participation in the Nord-Trøndelag Health Study 2 was required. Study group 2 comprised 1138 pregnancies recorded in 1967-2005, examined as a pre-eclampsia biobank was established.\nMETHODS: Diagnostic criteria vary. The broader criteria for pre-eclampsia, used by the MBRN, are one measurement of hypertension and proteinuria (Criterion A). Criteria used internationally today require two measurements of hypertension and proteinuria (Criterion B). The diagnostic validities in Study groups 1 and 2 were judged against medical records according to Criterion A and B, respectively.\nMAIN OUTCOME MEASURES: Positive predictive value (PPV) and trend analyses.\nRESULTS: The diagnosis was confirmed in 88.3% of pregnancies in Study group 1, and in 63.6% in Study group 2. PPV was high for Study group 1 throughout the period. For Study group 2, results improved significantly after 1986.\nCONCLUSIONS: This study ascertains high PPV of pre-eclampsia in the MBRN using broader traditional criteria, although the PPV decreases through assessment using restricted modern criteria. This illustrates how inclusion of direct measurements may improve registration of complex disorders defined by changing diagnostic criteria.","DOI":"10.1111/aogs.12159","ISSN":"1600-0412","note":"PMID: 23621424","journalAbbreviation":"Acta Obstet Gynecol Scand","language":"eng","author":[{"family":"Thomsen","given":"Liv C. V."},{"family":"Klungsøyr","given":"Kari"},{"family":"Roten","given":"Linda T."},{"family":"Tappert","given":"Christian"},{"family":"Araya","given":"Elisabeth"},{"family":"Baerheim","given":"Gunhild"},{"family":"Tollaksen","given":"Kjersti"},{"family":"Fenstad","given":"Mona H."},{"family":"Macsali","given":"Ferenc"},{"family":"Austgulen","given":"Rigmor"},{"family":"Bjørge","given":"Line"}],"issued":{"date-parts":[["2013",8]]}}},{"id":2272,"uris":["http://zotero.org/groups/465531/items/W6QPSQNY"],"uri":["http://zotero.org/groups/465531/items/W6QPSQNY"],"itemData":{"id":2272,"type":"article-journal","title":"Hypertension in pregnancy. Report of the American College of Obstetricians and Gynecologists’ Task Force on Hypertension in Pregnancy","container-title":"Obstetrics and Gynecology","page":"1122-1131","volume":"122","issue":"5","source":"PubMed","DOI":"10.1097/01.AOG.0000437382.03963.88","ISSN":"1873-233X","note":"PMID: 24150027","journalAbbreviation":"Obstet Gynecol","language":"eng","author":[{"literal":"American College of Obstetricians and Gynecologists"},{"literal":"Task Force on Hypertension in Pregnancy"}],"issued":{"date-parts":[["2013",11]]}}}],"schema":"https://github.com/citation-style-language/schema/raw/master/csl-citation.json"} </w:instrText>
      </w:r>
      <w:r w:rsidRPr="001340AB">
        <w:fldChar w:fldCharType="end"/>
      </w:r>
      <w:r w:rsidRPr="001340AB">
        <w:t>ith g</w:t>
      </w:r>
      <w:r w:rsidRPr="001340AB">
        <w:rPr>
          <w:rFonts w:cs="Times New Roman"/>
        </w:rPr>
        <w:t xml:space="preserve">estational hypertension generally defined as </w:t>
      </w:r>
      <w:r w:rsidRPr="001340AB">
        <w:rPr>
          <w:rFonts w:cs="Times New Roman"/>
          <w:i/>
        </w:rPr>
        <w:t xml:space="preserve">de </w:t>
      </w:r>
      <w:r w:rsidRPr="001340AB">
        <w:rPr>
          <w:rFonts w:cs="Times New Roman"/>
          <w:i/>
        </w:rPr>
        <w:lastRenderedPageBreak/>
        <w:t>novo</w:t>
      </w:r>
      <w:r w:rsidRPr="001340AB">
        <w:rPr>
          <w:rFonts w:cs="Times New Roman"/>
        </w:rPr>
        <w:t xml:space="preserve"> hypertension (≥140 mmHg systolic and/or ≥90 mmHg diastolic) after 20 weeks of gestation, and preeclampsia also requiring proteinuria (300 mg/24 hours or ≥1+ on the dipstick test)</w:t>
      </w:r>
      <w:r w:rsidRPr="001340AB">
        <w:t>. W</w:t>
      </w:r>
      <w:r w:rsidRPr="001340AB">
        <w:rPr>
          <w:bCs/>
        </w:rPr>
        <w:t xml:space="preserve">e identified gestation length based on ultrasound dating where available (2% of deliveries) or last menstrual period and defined preterm delivery as &lt;37 weeks gestation. Multiple gestational pregnancies delivered </w:t>
      </w:r>
      <w:r w:rsidR="00491C70">
        <w:rPr>
          <w:bCs/>
        </w:rPr>
        <w:t>&lt;</w:t>
      </w:r>
      <w:r w:rsidRPr="001340AB">
        <w:rPr>
          <w:bCs/>
        </w:rPr>
        <w:t xml:space="preserve">37 weeks were excluded from the preterm delivery definition. Small for gestational age (SGA) was defined as the lowest </w:t>
      </w:r>
      <w:r w:rsidR="00491C70">
        <w:rPr>
          <w:bCs/>
        </w:rPr>
        <w:t>10%</w:t>
      </w:r>
      <w:r w:rsidRPr="001340AB">
        <w:rPr>
          <w:bCs/>
        </w:rPr>
        <w:t xml:space="preserve"> of birthweights by gestational age and sex observed in the MBRN</w:t>
      </w:r>
      <w:r w:rsidRPr="001340AB">
        <w:rPr>
          <w:bCs/>
        </w:rPr>
        <w:fldChar w:fldCharType="begin"/>
      </w:r>
      <w:r>
        <w:rPr>
          <w:bCs/>
        </w:rPr>
        <w:instrText xml:space="preserve"> ADDIN ZOTERO_ITEM CSL_CITATION {"citationID":"a2b4r989i3n","properties":{"formattedCitation":"\\super 28\\nosupersub{}","plainCitation":"28","noteIndex":0},"citationItems":[{"id":"3SqfOk2N/LzcZwEF5","uris":["http://zotero.org/users/2877337/items/AK5N2TZJ"],"uri":["http://zotero.org/users/2877337/items/AK5N2TZJ"],"itemData":{"id":"KEeBUUOz/8wcIMeNS","type":"article-journal","title":"Birthweight by gestational age in Norway","container-title":"Acta Obstetricia Et Gynecologica Scandinavica","page":"440-449","volume":"79","issue":"6","source":"PubMed","abstract":"OBJECTIVE: To describe birthweight by gestational age in Norway for the period 1967-1998, evaluate secular trends and provide new standards for small for gestational age for 16 to 44 weeks of gestation.\nSUBJECTS AND METHODS: The analyses were based on more than 1.8 million singleton births, covering all births in Norway for a 32 year period. Percentiles for birthweight by gestational age were estimated using smoothed means and standard deviations. In the preterm weeks, means and standard deviations were carefully screened for birthweight-gestational age consistency, adapting a method of Wilcox and Russell. Differences in birthweight by gestational age for stillbirths and livebirths in extremely preterm weeks (16-28) are presented, and the effects of cesarean section are evaluated. We observed a clear increase in birthweight by gestational age for all term weeks, but a decrease for most of the preterm weeks over the same period. This decrease was related to the increase in deliveries by cesarean section.\nCONCLUSIONS: Percentiles for birthweight by gestational age are presented for clinical use, based on a current period 1987-98, covering 20-44 completed gestational weeks. In the final standards we excluded stillbirths, infants born with malformations and cesarean sections. Birthweights in the Scandinavian populations are high and standards from other populations may not be representative, especially for the term weeks. Also, the secular changes demonstrated in this study indicate that old birthweight by gestational age standards need revision, especially due to changes in obstetrical routines influencing preterm data.","ISSN":"0001-6349","note":"PMID: 10857867","journalAbbreviation":"Acta Obstet Gynecol Scand","language":"eng","author":[{"family":"Skjaerven","given":"R."},{"family":"Gjessing","given":"H. K."},{"family":"Bakketeig","given":"L. S."}],"issued":{"date-parts":[["2000",6]]}}}],"schema":"https://github.com/citation-style-language/schema/raw/master/csl-citation.json"} </w:instrText>
      </w:r>
      <w:r w:rsidRPr="001340AB">
        <w:rPr>
          <w:bCs/>
        </w:rPr>
        <w:fldChar w:fldCharType="separate"/>
      </w:r>
      <w:r w:rsidRPr="009D6107">
        <w:rPr>
          <w:rFonts w:cs="Times New Roman"/>
          <w:szCs w:val="24"/>
          <w:vertAlign w:val="superscript"/>
        </w:rPr>
        <w:t>28</w:t>
      </w:r>
      <w:r w:rsidRPr="001340AB">
        <w:rPr>
          <w:bCs/>
        </w:rPr>
        <w:fldChar w:fldCharType="end"/>
      </w:r>
      <w:r w:rsidRPr="001340AB">
        <w:rPr>
          <w:bCs/>
        </w:rPr>
        <w:t>, with percentiles calculated separately for multiple versus single gestational pregnancies. Validation studies within HUNT</w:t>
      </w:r>
      <w:r w:rsidRPr="001340AB">
        <w:rPr>
          <w:bCs/>
        </w:rPr>
        <w:fldChar w:fldCharType="begin"/>
      </w:r>
      <w:r>
        <w:rPr>
          <w:bCs/>
        </w:rPr>
        <w:instrText xml:space="preserve"> ADDIN ZOTERO_ITEM CSL_CITATION {"citationID":"a2enu14vtp","properties":{"formattedCitation":"\\super 26,29\\nosupersub{}","plainCitation":"26,29","noteIndex":0},"citationItems":[{"id":1859,"uris":["http://zotero.org/users/2002240/items/NIHM7WHF"],"uri":["http://zotero.org/users/2002240/items/NIHM7WHF"],"itemData":{"id":1859,"type":"article-journal","title":"Validity of a selection of pregnancy complications in the Medical Birth Registry of Norway","container-title":"Acta Obstetricia Et Gynecologica Scandinavica","page":"519-527","volume":"95","issue":"5","source":"PubMed","abstract":"INTRODUCTION: The validity of information on pregnancy complications in the Medical Birth Registry of Norway (MBRN) is insufficiently studied. The objective was to examine the validity of information on gestational age, birthweight, medically initiated delivery, and gestational hypertension in the MBRN.\nMATERIAL AND METHODS: We randomly sampled MBRN records among women who participated in the population-based HUNT Study in Nord-Trøndelag county and who gave birth during 1967-2012. We estimated the sensitivity, specificity, positive predictive value (PPV) and negative predictive value of information in the MBRN, using hospital records as the reference standard.\nRESULTS: Hospital records were available for 786 out of 797 sampled MBRN records. The PPVs of preterm (&lt;37 weeks of gestation) and early preterm birth (&lt;34 weeks of gestation) were approximately 90%, and the PPVs of low (&lt;2500 g) and high (&gt;4500 g) birthweight were 100%. For medically initiated delivery, the PPV was 28% during 1967-85, but 80% during 1986-2012 and higher among preterm (76%) than among term (51%) births. For gestational hypertension, the PPV was 68%, but 88% of women labeled with gestational hypertension in the MBRN had evidence of gestational hypertension or preeclampsia in hospital records.\nCONCLUSIONS: The validity of information on gestational age and birthweight in the MBRN was very good. For medically initiated delivery, the validity was poor before 1985 and satisfactory thereafter. For gestational hypertension, lack of information in hospital records made the evaluation difficult, but our results suggest that most women labeled with gestational hypertension in the MBRN did have a hypertensive disorder of pregnancy.","DOI":"10.1111/aogs.12868","ISSN":"1600-0412","note":"PMID: 26867143","journalAbbreviation":"Acta Obstet Gynecol Scand","language":"eng","author":[{"family":"Moth","given":"Fredrikke N."},{"family":"Sebastian","given":"Tharani R."},{"family":"Horn","given":"Julie"},{"family":"Rich-Edwards","given":"Janet"},{"family":"Romundstad","given":"Pål R."},{"family":"Åsvold","given":"Bjørn O."}],"issued":{"date-parts":[["2016",5]]}}},{"id":1738,"uris":["http://zotero.org/groups/465531/items/PSAKBWT7"],"uri":["http://zotero.org/groups/465531/items/PSAKBWT7"],"itemData":{"id":1738,"type":"article-journal","title":"Validity of the diagnosis of pre-eclampsia in the Medical Birth Registry of Norway","container-title":"Acta Obstetricia Et Gynecologica Scandinavica","page":"943-950","volume":"92","issue":"8","source":"PubMed","abstract":"OBJECTIVE: Evaluating the validity of pre-eclampsia registration in the Medical Birth Registry of Norway (MBRN) according to both broader and restricted disease definitions.\nDESIGN: Retrospective nested cohort study.\nSETTING: Multicenter study.\nPOPULATION: In this study, two cohorts of women with pre-eclamptic pregnancies registered in the MBRN were selected. Study group 1 contained 966 pregnancies from 1967 to 2002. Concomitant participation in the Nord-Trøndelag Health Study 2 was required. Study group 2 comprised 1138 pregnancies recorded in 1967-2005, examined as a pre-eclampsia biobank was established.\nMETHODS: Diagnostic criteria vary. The broader criteria for pre-eclampsia, used by the MBRN, are one measurement of hypertension and proteinuria (Criterion A). Criteria used internationally today require two measurements of hypertension and proteinuria (Criterion B). The diagnostic validities in Study groups 1 and 2 were judged against medical records according to Criterion A and B, respectively.\nMAIN OUTCOME MEASURES: Positive predictive value (PPV) and trend analyses.\nRESULTS: The diagnosis was confirmed in 88.3% of pregnancies in Study group 1, and in 63.6% in Study group 2. PPV was high for Study group 1 throughout the period. For Study group 2, results improved significantly after 1986.\nCONCLUSIONS: This study ascertains high PPV of pre-eclampsia in the MBRN using broader traditional criteria, although the PPV decreases through assessment using restricted modern criteria. This illustrates how inclusion of direct measurements may improve registration of complex disorders defined by changing diagnostic criteria.","DOI":"10.1111/aogs.12159","ISSN":"1600-0412","note":"PMID: 23621424","journalAbbreviation":"Acta Obstet Gynecol Scand","language":"eng","author":[{"family":"Thomsen","given":"Liv C. V."},{"family":"Klungsøyr","given":"Kari"},{"family":"Roten","given":"Linda T."},{"family":"Tappert","given":"Christian"},{"family":"Araya","given":"Elisabeth"},{"family":"Baerheim","given":"Gunhild"},{"family":"Tollaksen","given":"Kjersti"},{"family":"Fenstad","given":"Mona H."},{"family":"Macsali","given":"Ferenc"},{"family":"Austgulen","given":"Rigmor"},{"family":"Bjørge","given":"Line"}],"issued":{"date-parts":[["2013",8]]}}}],"schema":"https://github.com/citation-style-language/schema/raw/master/csl-citation.json"} </w:instrText>
      </w:r>
      <w:r w:rsidRPr="001340AB">
        <w:rPr>
          <w:bCs/>
        </w:rPr>
        <w:fldChar w:fldCharType="separate"/>
      </w:r>
      <w:r w:rsidRPr="009D6107">
        <w:rPr>
          <w:rFonts w:cs="Times New Roman"/>
          <w:szCs w:val="24"/>
          <w:vertAlign w:val="superscript"/>
        </w:rPr>
        <w:t>26,29</w:t>
      </w:r>
      <w:r w:rsidRPr="001340AB">
        <w:rPr>
          <w:bCs/>
        </w:rPr>
        <w:fldChar w:fldCharType="end"/>
      </w:r>
      <w:r w:rsidRPr="001340AB">
        <w:rPr>
          <w:bCs/>
        </w:rPr>
        <w:t xml:space="preserve"> found positive predictive values</w:t>
      </w:r>
      <w:r w:rsidR="00491C70">
        <w:rPr>
          <w:bCs/>
        </w:rPr>
        <w:t xml:space="preserve"> (PPV)</w:t>
      </w:r>
      <w:r w:rsidRPr="001340AB">
        <w:rPr>
          <w:bCs/>
        </w:rPr>
        <w:t xml:space="preserve"> of 88% for preeclampsia and 93% for preterm delivery. </w:t>
      </w:r>
      <w:r w:rsidR="00491C70">
        <w:rPr>
          <w:bCs/>
        </w:rPr>
        <w:t>G</w:t>
      </w:r>
      <w:r w:rsidRPr="001340AB">
        <w:rPr>
          <w:bCs/>
        </w:rPr>
        <w:t>estational hypertension</w:t>
      </w:r>
      <w:r w:rsidR="00491C70">
        <w:rPr>
          <w:bCs/>
        </w:rPr>
        <w:t>’s PPV</w:t>
      </w:r>
      <w:r w:rsidRPr="001340AB">
        <w:rPr>
          <w:bCs/>
        </w:rPr>
        <w:t xml:space="preserve"> was 68%, due in part to mislabeling of preeclampsia cases as gestational hypertension. Among women classified as gestational </w:t>
      </w:r>
      <w:r w:rsidR="00F71964" w:rsidRPr="001340AB">
        <w:rPr>
          <w:bCs/>
        </w:rPr>
        <w:t>hypertensi</w:t>
      </w:r>
      <w:r w:rsidR="00F71964">
        <w:rPr>
          <w:bCs/>
        </w:rPr>
        <w:t>ves</w:t>
      </w:r>
      <w:r w:rsidRPr="001340AB">
        <w:rPr>
          <w:bCs/>
        </w:rPr>
        <w:t xml:space="preserve">, 88% had a hypertensive disorder of pregnancy (HDP). Although SGA was not included in validation studies, the </w:t>
      </w:r>
      <w:r w:rsidR="00F71964">
        <w:rPr>
          <w:bCs/>
        </w:rPr>
        <w:t>PPV</w:t>
      </w:r>
      <w:r w:rsidRPr="001340AB">
        <w:rPr>
          <w:bCs/>
        </w:rPr>
        <w:t xml:space="preserve"> for low birth weight (&lt;2,500g) in the HUNT study was 100%. Pregnancy complications were analyzed using separate variables indicating whether the women had a history of the complication of interest across any pregnancy.</w:t>
      </w:r>
    </w:p>
    <w:p w14:paraId="778CAD91" w14:textId="77777777" w:rsidR="009758B9" w:rsidRPr="001340AB" w:rsidRDefault="009758B9" w:rsidP="009758B9">
      <w:pPr>
        <w:spacing w:line="480" w:lineRule="auto"/>
        <w:rPr>
          <w:bCs/>
        </w:rPr>
      </w:pPr>
    </w:p>
    <w:p w14:paraId="6AEB8F28" w14:textId="77777777" w:rsidR="009758B9" w:rsidRPr="001340AB" w:rsidRDefault="009758B9" w:rsidP="009758B9">
      <w:pPr>
        <w:spacing w:line="480" w:lineRule="auto"/>
        <w:rPr>
          <w:i/>
        </w:rPr>
      </w:pPr>
      <w:r w:rsidRPr="001340AB">
        <w:rPr>
          <w:i/>
        </w:rPr>
        <w:t>Cardiovascular Endpoints</w:t>
      </w:r>
    </w:p>
    <w:p w14:paraId="69DFD88E" w14:textId="1DE82B90" w:rsidR="009758B9" w:rsidRPr="001340AB" w:rsidRDefault="009758B9" w:rsidP="009758B9">
      <w:pPr>
        <w:spacing w:line="480" w:lineRule="auto"/>
      </w:pPr>
      <w:r w:rsidRPr="001340AB">
        <w:t xml:space="preserve">Consistent with NORRISK 2, we </w:t>
      </w:r>
      <w:r w:rsidR="00F71964">
        <w:t>predicted</w:t>
      </w:r>
      <w:r w:rsidR="00F71964" w:rsidRPr="001340AB">
        <w:t xml:space="preserve"> </w:t>
      </w:r>
      <w:r w:rsidRPr="001340AB">
        <w:t xml:space="preserve">hard CVD endpoints (nonfatal MI, fatal CHD, or nonfatal or fatal stroke). CVD events were captured from the two primary hospitals in Nord-Trøndelag county: Levanger Hospital and Namsos Hospital (Nord-Trøndelag Hospital Trust) from September 1, 1987 (the </w:t>
      </w:r>
      <w:r w:rsidR="00F71964">
        <w:t>beginning</w:t>
      </w:r>
      <w:r w:rsidRPr="001340AB">
        <w:t xml:space="preserve"> of electronic recording) through April 24, 2015. All study participants with at least one cardiovascular diagnosis had their medical records reviewed by one of two experienced cardiologists (B.K., H.D.) to determine the first validated occurrence </w:t>
      </w:r>
      <w:r w:rsidRPr="001340AB">
        <w:lastRenderedPageBreak/>
        <w:t>of MI or stroke. We diagnosed MI using Joint ESC/ACCF/AHA/WHF Task Force</w:t>
      </w:r>
      <w:r w:rsidR="00F71964">
        <w:t xml:space="preserve"> criteria</w:t>
      </w:r>
      <w:r w:rsidRPr="001340AB">
        <w:fldChar w:fldCharType="begin"/>
      </w:r>
      <w:r>
        <w:instrText xml:space="preserve"> ADDIN ZOTERO_ITEM CSL_CITATION {"citationID":"a1i9ep08o3c","properties":{"formattedCitation":"\\super 30\\nosupersub{}","plainCitation":"30","noteIndex":0},"citationItems":[{"id":2167,"uris":["http://zotero.org/groups/465531/items/MV6W48VD"],"uri":["http://zotero.org/groups/465531/items/MV6W48VD"],"itemData":{"id":2167,"type":"article-journal","title":"Third Universal Definition of Myocardial Infarction","container-title":"Circulation","page":"2020-2035","volume":"126","issue":"16","source":"circ.ahajournals.org","abstract":"![Figure][1]&lt;/img&gt;\n\nMyocardial infarction (MI) can be recognised by clinical features, including electrocardiographic (ECG) findings, elevated values of biochemical markers (biomarkers) of myocardial necrosis, and by imaging, or may be defined by pathology. It is a major cause of death and","DOI":"10.1161/CIR.0b013e31826e1058","ISSN":"0009-7322, 1524-4539","note":"PMID: 22923432","language":"en","author":[{"family":"Thygesen","given":"Kristian"},{"family":"Alpert","given":"Joseph S."},{"family":"Jaffe","given":"Allan S."},{"family":"Simoons","given":"Maarten L."},{"family":"Chaitman","given":"Bernard R."},{"family":"White","given":"Harvey D."}],"issued":{"date-parts":[["2012",10,16]]}}}],"schema":"https://github.com/citation-style-language/schema/raw/master/csl-citation.json"} </w:instrText>
      </w:r>
      <w:r w:rsidRPr="001340AB">
        <w:fldChar w:fldCharType="separate"/>
      </w:r>
      <w:r w:rsidRPr="009D6107">
        <w:rPr>
          <w:rFonts w:cs="Times New Roman"/>
          <w:szCs w:val="24"/>
          <w:vertAlign w:val="superscript"/>
        </w:rPr>
        <w:t>30</w:t>
      </w:r>
      <w:r w:rsidRPr="001340AB">
        <w:fldChar w:fldCharType="end"/>
      </w:r>
      <w:r w:rsidRPr="001340AB">
        <w:t xml:space="preserve"> and stroke based on typical symptoms and signs combined with radiological evidence from CT or MRI scans. </w:t>
      </w:r>
      <w:r w:rsidR="00F71964" w:rsidRPr="001340AB">
        <w:t>Supplemental Text 1</w:t>
      </w:r>
      <w:r w:rsidR="00F71964">
        <w:t xml:space="preserve"> includes a</w:t>
      </w:r>
      <w:r w:rsidR="00F71964" w:rsidRPr="001340AB">
        <w:t xml:space="preserve">dditional </w:t>
      </w:r>
      <w:r w:rsidRPr="001340AB">
        <w:t xml:space="preserve">validation process </w:t>
      </w:r>
      <w:r w:rsidR="00F71964">
        <w:t>details</w:t>
      </w:r>
      <w:r w:rsidRPr="001340AB">
        <w:t>. In addition, w</w:t>
      </w:r>
      <w:r w:rsidRPr="001340AB">
        <w:rPr>
          <w:bCs/>
        </w:rPr>
        <w:t xml:space="preserve">e </w:t>
      </w:r>
      <w:r>
        <w:rPr>
          <w:bCs/>
        </w:rPr>
        <w:t>identified</w:t>
      </w:r>
      <w:r w:rsidRPr="001340AB">
        <w:rPr>
          <w:bCs/>
        </w:rPr>
        <w:t xml:space="preserve"> fatal CVD events</w:t>
      </w:r>
      <w:r>
        <w:rPr>
          <w:bCs/>
        </w:rPr>
        <w:t xml:space="preserve"> using </w:t>
      </w:r>
      <w:r w:rsidRPr="001340AB">
        <w:rPr>
          <w:bCs/>
        </w:rPr>
        <w:t>ICD diagnostic codes from the national Cause of Death Registry, which has had mandatory reporting since 1951 (Supplemental Table 2).</w:t>
      </w:r>
    </w:p>
    <w:p w14:paraId="4B83B67F" w14:textId="77777777" w:rsidR="009758B9" w:rsidRPr="001340AB" w:rsidRDefault="009758B9" w:rsidP="009758B9">
      <w:pPr>
        <w:spacing w:line="480" w:lineRule="auto"/>
        <w:rPr>
          <w:b/>
          <w:i/>
        </w:rPr>
      </w:pPr>
    </w:p>
    <w:p w14:paraId="16FD0A18" w14:textId="77777777" w:rsidR="009758B9" w:rsidRPr="001340AB" w:rsidRDefault="009758B9" w:rsidP="009758B9">
      <w:pPr>
        <w:spacing w:line="480" w:lineRule="auto"/>
        <w:rPr>
          <w:i/>
        </w:rPr>
      </w:pPr>
      <w:r w:rsidRPr="001340AB">
        <w:rPr>
          <w:i/>
        </w:rPr>
        <w:t>Statistical Analysis</w:t>
      </w:r>
    </w:p>
    <w:p w14:paraId="0478FA0A" w14:textId="6EDBF745" w:rsidR="009758B9" w:rsidRPr="001340AB" w:rsidRDefault="009758B9" w:rsidP="009758B9">
      <w:pPr>
        <w:spacing w:line="480" w:lineRule="auto"/>
      </w:pPr>
      <w:r w:rsidRPr="001340AB">
        <w:t>We sought to compare an established CVD risk factor model to that same model additionally including history of pregnancy complications. For each of these models, we used the same statistical methods as NORRISK 2</w:t>
      </w:r>
      <w:r w:rsidRPr="001340AB">
        <w:fldChar w:fldCharType="begin"/>
      </w:r>
      <w:r>
        <w:instrText xml:space="preserve"> ADDIN ZOTERO_ITEM CSL_CITATION {"citationID":"bN1HsgmO","properties":{"formattedCitation":"\\super 20\\nosupersub{}","plainCitation":"20","noteIndex":0},"citationItems":[{"id":2171,"uris":["http://zotero.org/groups/465531/items/3CJSI3IM"],"uri":["http://zotero.org/groups/465531/items/3CJSI3IM"],"itemData":{"id":2171,"type":"article-journal","title":"NORRISK 2: A Norwegian risk model for acute cerebral stroke and myocardial infarction","container-title":"European Journal of Preventive Cardiology","page":"773-782","volume":"24","issue":"7","source":"PubMed","abstract":"Background Guidelines for the prevention of cardiovascular disease recommend the estimation of an individual's total risk. We have developed a new model for the prediction of the 10-year risk of incident acute myocardial infarction or cerebral stroke based on Norwegian data, NORRISK 2. Design The model was based on 10-year follow-up of a large population-based cohort (CONOR) through linkage to the CVDNOR project, a database of cardiovascular disease hospital discharge diagnoses and mortality in Norway in 1994-2009. Methods We used the Fine and Gray regression model to estimate the 10-year risk adjusting for competing risk. The model population consisted of participants in 1994-1999 and the external validation population of participants in 2000-2003. We validated the model by area under the receiver operating characteristic curves, calibration plots and analyses of sensitivity and specificity. Results The model population consisted of 31,445 men and 35,267 women aged 40-79 years with 3658 endpoints in men and 2459 in women. The external validation population consisted of 19,980 men and 19,309 women, of whom 1858 men and 874 women had an endpoint during follow-up. The area under the curve was 0.79 (0.79-0.80) in men and 0.84 (0.83-0.85) in women in the model population and was slightly lower in the external validation population. Calibration plots showed good agreement between observed and predicted risk. The sum of sensitivity and specificity was greatest around the suggested risk thresholds. Conclusion The NORRISK 2 model showed good validity in an external dataset and will be a valuable tool to guide decisions about preventive interventions in people without known previous cardiovascular disease.","DOI":"10.1177/2047487317693949","ISSN":"2047-4881","note":"PMID: 28206819","shortTitle":"NORRISK 2","journalAbbreviation":"Eur J Prev Cardiol","language":"eng","author":[{"family":"Selmer","given":"Randi"},{"family":"Igland","given":"Jannicke"},{"family":"Ariansen","given":"Inger"},{"family":"Tverdal","given":"Aage"},{"family":"Njølstad","given":"Inger"},{"family":"Furu","given":"Kari"},{"family":"Tell","given":"Grethe S."},{"family":"Klemsdal","given":"Tor Ole"}],"issued":{"date-parts":[["2017",5]]}}}],"schema":"https://github.com/citation-style-language/schema/raw/master/csl-citation.json"} </w:instrText>
      </w:r>
      <w:r w:rsidRPr="001340AB">
        <w:fldChar w:fldCharType="separate"/>
      </w:r>
      <w:r w:rsidRPr="009D6107">
        <w:rPr>
          <w:rFonts w:cs="Times New Roman"/>
          <w:szCs w:val="24"/>
          <w:vertAlign w:val="superscript"/>
        </w:rPr>
        <w:t>20</w:t>
      </w:r>
      <w:r w:rsidRPr="001340AB">
        <w:fldChar w:fldCharType="end"/>
      </w:r>
      <w:r w:rsidRPr="001340AB">
        <w:t>. We estimated the 10-year risk of CVD using Fine and Gray competing risk models</w:t>
      </w:r>
      <w:r w:rsidRPr="001340AB">
        <w:fldChar w:fldCharType="begin"/>
      </w:r>
      <w:r>
        <w:instrText xml:space="preserve"> ADDIN ZOTERO_ITEM CSL_CITATION {"citationID":"a2cd08bir7s","properties":{"formattedCitation":"\\super 31\\nosupersub{}","plainCitation":"31","noteIndex":0},"citationItems":[{"id":2165,"uris":["http://zotero.org/groups/465531/items/5LTTSXJF"],"uri":["http://zotero.org/groups/465531/items/5LTTSXJF"],"itemData":{"id":2165,"type":"article-journal","title":"A Proportional Hazards Model for the Subdistribution of a Competing Risk","container-title":"Journal of the American Statistical Association","page":"496-509","volume":"94","issue":"446","source":"JSTOR","abstract":"With explanatory covariates, the standard analysis for competing risks data involves modeling the cause-specific hazard functions via a proportional hazards assumption. Unfortunately, the cause-specific hazard function does not have a direct interpretation in terms of survival probabilities for the particular failure type. In recent years many clinicians have begun using the cumulative incidence function, the marginal failure probabilities for a particular cause, which is intuitively appealing and more easily explained to the nonstatistician. The cumulative incidence is especially relevant in cost-effectiveness analyses in which the survival probabilities are needed to determine treatment utility. Previously, authors have considered methods for combining estimates of the cause-specific hazard functions under the proportional hazards formulation. However, these methods do not allow the analyst to directly assess the effect of a covariate on the marginal probability function. In this article we propose a novel semiparametric proportional hazards model for the subdistribution. Using the partial likelihood principle and weighting techniques, we derive estimation and inference procedures for the finite-dimensional regression parameter under a variety of censoring scenarios. We give a uniformly consistent estimator for the predicted cumulative incidence for an individual with certain covariates; confidence intervals and bands can be obtained analytically or with an easy-to-implement simulation technique. To contrast the two approaches, we analyze a dataset from a breast cancer clinical trial under both models.","DOI":"10.2307/2670170","ISSN":"0162-1459","author":[{"family":"Fine","given":"Jason P."},{"family":"Gray","given":"Robert J."}],"issued":{"date-parts":[["1999"]]}}}],"schema":"https://github.com/citation-style-language/schema/raw/master/csl-citation.json"} </w:instrText>
      </w:r>
      <w:r w:rsidRPr="001340AB">
        <w:fldChar w:fldCharType="separate"/>
      </w:r>
      <w:r w:rsidRPr="009D6107">
        <w:rPr>
          <w:rFonts w:cs="Times New Roman"/>
          <w:szCs w:val="24"/>
          <w:vertAlign w:val="superscript"/>
        </w:rPr>
        <w:t>31</w:t>
      </w:r>
      <w:r w:rsidRPr="001340AB">
        <w:fldChar w:fldCharType="end"/>
      </w:r>
      <w:r w:rsidRPr="001340AB">
        <w:t xml:space="preserve">, accounting for deaths from other causes as competing events. Women contributed person-time to the analysis from the index HUNT exam through first CVD event, death from other causes, or censoring at either the end of data collection on April 24, 2015 or emigration from Nord-Trøndelag county. Women who participated in both the HUNT2 and HUNT3 exams </w:t>
      </w:r>
      <w:r w:rsidRPr="001340AB">
        <w:rPr>
          <w:rFonts w:cs="Times New Roman"/>
          <w:szCs w:val="24"/>
        </w:rPr>
        <w:t>(n=8,313)</w:t>
      </w:r>
      <w:r w:rsidRPr="001340AB">
        <w:t xml:space="preserve"> were allowed to contribute two independent (non-overlapping) observations to the analysis as long as they met eligibility criteria at the start of follow-up. These women could contribute an observation with follow-up</w:t>
      </w:r>
      <w:r w:rsidRPr="001340AB">
        <w:rPr>
          <w:rFonts w:cs="Times New Roman"/>
          <w:szCs w:val="24"/>
        </w:rPr>
        <w:t xml:space="preserve"> (i.e. at the time of the exam)</w:t>
      </w:r>
      <w:r w:rsidRPr="001340AB">
        <w:t xml:space="preserve"> from HUNT2 to HUNT3 using risk factor information assessed at the time of HUNT2 and an observation with follow-up from HUNT3 using risk factor information assessed </w:t>
      </w:r>
      <w:r w:rsidR="00632D59">
        <w:t>during</w:t>
      </w:r>
      <w:r w:rsidRPr="001340AB">
        <w:t xml:space="preserve"> HUNT3. Although women could have contributed more than 10 years of follow-up to the analysis based on the timing of exams, we predicted CVD risk at 10 years of follow-up. To account for the correlation in measurements among women who participated in HUNT2 and HUNT3, we used variance estimates which account for repeated measures</w:t>
      </w:r>
      <w:r w:rsidRPr="001340AB">
        <w:fldChar w:fldCharType="begin"/>
      </w:r>
      <w:r>
        <w:instrText xml:space="preserve"> ADDIN ZOTERO_ITEM CSL_CITATION {"citationID":"rIibmILp","properties":{"formattedCitation":"\\super 32\\nosupersub{}","plainCitation":"32","noteIndex":0},"citationItems":[{"id":2357,"uris":["http://zotero.org/groups/465531/items/CJCJGVDW"],"uri":["http://zotero.org/groups/465531/items/CJCJGVDW"],"itemData":{"id":2357,"type":"article-journal","title":"The Robust Inference for the Cox Proportional Hazards Model","container-title":"Journal of the American Statistical Association","page":"1074-1078","volume":"84","issue":"408","source":"JSTOR","abstract":"We derive the asymptotic distribution of the maximum partial likelihood estimator $\\hat\\beta$ for the vector of regression coefficients β under a possibly misspecified Cox proportional hazards model. As in the parametric setting, this estimator $\\hat\\beta$ converges to a well-defined constant vector β*. In addition, the random vector $n^{1/2}(\\hat\\beta - \\beta^\\ast)$ is asymptotically normal with mean 0 and with a covariance matrix that can be consistently estimated. The newly proposed robust covariance matrix estimator is similar to the so-called \"sandwich\" variance estimators that have been extensively studied for parametric cases. For many misspecified Cox models, the asymptotic limit β* or part of it can be interpreted meaningfully. In those circumstances, valid statistical inferences about the corresponding covariate effects can be drawn based on the aforementioned asymptotic theory of $\\hat\\beta$ and the related results for the score statistics. Extensive studies demonstrate that the proposed robust tests and interval estimation procedures are appropriate for practical use. In particular, the robust score tests perform quite well even for small samples. In contrast, the conventional model-based inference procedures often lead to tests with supranominal size and confidence intervals with rather poor coverage probability.","DOI":"10.2307/2290085","ISSN":"0162-1459","author":[{"family":"Lin","given":"D. Y."},{"family":"Wei","given":"L. J."}],"issued":{"date-parts":[["1989"]]}}}],"schema":"https://github.com/citation-style-language/schema/raw/master/csl-citation.json"} </w:instrText>
      </w:r>
      <w:r w:rsidRPr="001340AB">
        <w:fldChar w:fldCharType="separate"/>
      </w:r>
      <w:r w:rsidRPr="009D6107">
        <w:rPr>
          <w:rFonts w:cs="Times New Roman"/>
          <w:szCs w:val="24"/>
          <w:vertAlign w:val="superscript"/>
        </w:rPr>
        <w:t>32</w:t>
      </w:r>
      <w:r w:rsidRPr="001340AB">
        <w:fldChar w:fldCharType="end"/>
      </w:r>
      <w:r w:rsidRPr="001340AB">
        <w:t xml:space="preserve"> (Supplemental Text 2). Some </w:t>
      </w:r>
      <w:r w:rsidRPr="001340AB">
        <w:lastRenderedPageBreak/>
        <w:t xml:space="preserve">pregnancies were missing from the registry due to women giving birth before the start of the birth registry in 1967 (n=4,387 women), and some pregnancies had missing values for gestation length and/or birthweight or pregnancies with Z-scores for birthweight by gestation length that were &gt;4 or &lt;-4, suggesting error during data entry (n=2,042 women). We used multiple imputation to impute pregnancy complications for these pregnancies missing from the registry or with incomplete information in the registry. Supplemental Text 2 </w:t>
      </w:r>
      <w:r>
        <w:t>provides</w:t>
      </w:r>
      <w:r w:rsidRPr="001340AB">
        <w:t xml:space="preserve"> details about multiple imputation methods used.   </w:t>
      </w:r>
    </w:p>
    <w:p w14:paraId="301CF167" w14:textId="77777777" w:rsidR="009758B9" w:rsidRPr="001340AB" w:rsidRDefault="009758B9" w:rsidP="009758B9">
      <w:pPr>
        <w:spacing w:line="480" w:lineRule="auto"/>
      </w:pPr>
      <w:r w:rsidRPr="001340AB">
        <w:tab/>
        <w:t>We calculated measures of model fit, calibration, discrimination, and reclassification because no single measure captures all of the information needed to assess improvement in model performance after adding pregnancy complications</w:t>
      </w:r>
      <w:r w:rsidRPr="001340AB">
        <w:fldChar w:fldCharType="begin"/>
      </w:r>
      <w:r>
        <w:instrText xml:space="preserve"> ADDIN ZOTERO_ITEM CSL_CITATION {"citationID":"a2o99mrvfsn","properties":{"formattedCitation":"\\super 33\\nosupersub{}","plainCitation":"33","noteIndex":0},"citationItems":[{"id":2163,"uris":["http://zotero.org/groups/465531/items/WGIFPMBY"],"uri":["http://zotero.org/groups/465531/items/WGIFPMBY"],"itemData":{"id":2163,"type":"article-journal","title":"Criteria for evaluation of novel markers of cardiovascular risk: a scientific statement from the American Heart Association","container-title":"Circulation","page":"2408-2416","volume":"119","issue":"17","source":"PubMed","abstract":"There is increasing interest in utilizing novel markers of cardiovascular disease risk, and consequently, there is a need to assess the value of their use. This scientific statement reviews current concepts of risk evaluation and proposes standards for the critical appraisal of risk assessment methods. An adequate evaluation of a novel risk marker requires a sound research design, a representative at-risk population, and an adequate number of outcome events. Studies of a novel marker should report the degree to which it adds to the prognostic information provided by standard risk markers. No single statistical measure provides all the information needed to assess a novel marker, so measures of both discrimination and accuracy should be reported. The clinical value of a marker should be assessed by its effect on patient management and outcomes. In general, a novel risk marker should be evaluated in several phases, including initial proof of concept, prospective validation in independent populations, documentation of incremental information when added to standard risk markers, assessment of effects on patient management and outcomes, and ultimately, cost-effectiveness.","DOI":"10.1161/CIRCULATIONAHA.109.192278","ISSN":"1524-4539","note":"PMID: 19364974\nPMCID: PMC2956982","shortTitle":"Criteria for evaluation of novel markers of cardiovascular risk","journalAbbreviation":"Circulation","language":"eng","author":[{"family":"Hlatky","given":"Mark A."},{"family":"Greenland","given":"Philip"},{"family":"Arnett","given":"Donna K."},{"family":"Ballantyne","given":"Christie M."},{"family":"Criqui","given":"Michael H."},{"family":"Elkind","given":"Mitchell S. V."},{"family":"Go","given":"Alan S."},{"family":"Harrell","given":"Frank E."},{"family":"Hong","given":"Yuling"},{"family":"Howard","given":"Barbara V."},{"family":"Howard","given":"Virginia J."},{"family":"Hsue","given":"Priscilla Y."},{"family":"Kramer","given":"Christopher M."},{"family":"McConnell","given":"Joseph P."},{"family":"Normand","given":"Sharon-Lise T."},{"family":"O'Donnell","given":"Christopher J."},{"family":"Smith","given":"Sidney C."},{"family":"Wilson","given":"Peter W. F."},{"literal":"American Heart Association Expert Panel on Subclinical Atherosclerotic Diseases and Emerging Risk Factors and the Stroke Council"}],"issued":{"date-parts":[["2009",5,5]]}}}],"schema":"https://github.com/citation-style-language/schema/raw/master/csl-citation.json"} </w:instrText>
      </w:r>
      <w:r w:rsidRPr="001340AB">
        <w:fldChar w:fldCharType="separate"/>
      </w:r>
      <w:r w:rsidRPr="009D6107">
        <w:rPr>
          <w:rFonts w:cs="Times New Roman"/>
          <w:szCs w:val="24"/>
          <w:vertAlign w:val="superscript"/>
        </w:rPr>
        <w:t>33</w:t>
      </w:r>
      <w:r w:rsidRPr="001340AB">
        <w:fldChar w:fldCharType="end"/>
      </w:r>
      <w:r w:rsidRPr="001340AB">
        <w:t>. Prior to building models, we compared the established risk factors between those with and without a history of pregnancy complications and tested whether there were significant differences using either chi-square tests for categorical measures or t-tests for continuous measures. We then estimated an unadjusted model including only pregnancy complications to confirm their ability to predict CVD endpoints in our population. Next, we identified whether the addition of pregnancy complications to the established risk factor model improved model fit using a Wald test. We assessed model calibration (the equivalence between observed CVD risk and model-predicted CVD risk) for models using the Greenwood-Nam-D’Agostino test for censored survival data</w:t>
      </w:r>
      <w:r w:rsidRPr="001340AB">
        <w:fldChar w:fldCharType="begin"/>
      </w:r>
      <w:r>
        <w:instrText xml:space="preserve"> ADDIN ZOTERO_ITEM CSL_CITATION {"citationID":"a2hairtjefu","properties":{"formattedCitation":"\\super 34\\nosupersub{}","plainCitation":"34","noteIndex":0},"citationItems":[{"id":2200,"uris":["http://zotero.org/groups/465531/items/IZ6ZM2AB"],"uri":["http://zotero.org/groups/465531/items/IZ6ZM2AB"],"itemData":{"id":2200,"type":"article-journal","title":"Tests of calibration and goodness-of-fit in the survival setting","container-title":"Statistics in Medicine","page":"1659-1680","volume":"34","issue":"10","source":"Wiley Online Library","abstract":"To access the calibration of a predictive model in a survival analysis setting, several authors have extended the Hosmer–Lemeshow goodness-of-fit test to survival data. Grønnesby and Borgan developed a test under the proportional hazards assumption, and Nam and D'Agostino developed a nonparametric test that is applicable in a more general survival setting for data with limited censoring. We analyze the performance of the two tests and show that the Grønnesby–Borgan test attains appropriate size in a variety of settings, whereas the Nam-D'Agostino method has a higher than nominal Type 1 error when there is more than trivial censoring. Both tests are sensitive to small cell sizes. We develop a modification of the Nam-D'Agostino test to allow for higher censoring rates. We show that this modified Nam-D'Agostino test has appropriate control of Type 1 error and comparable power to the Grønnesby–Borgan test and is applicable to settings other than proportional hazards. We also discuss the application to small cell sizes. Copyright © 2015 John Wiley &amp; Sons, Ltd.","DOI":"10.1002/sim.6428","ISSN":"1097-0258","journalAbbreviation":"Statist. Med.","language":"en","author":[{"family":"Demler","given":"Olga V."},{"family":"Paynter","given":"Nina P."},{"family":"Cook","given":"Nancy R."}],"issued":{"date-parts":[["2015",5,10]]}}}],"schema":"https://github.com/citation-style-language/schema/raw/master/csl-citation.json"} </w:instrText>
      </w:r>
      <w:r w:rsidRPr="001340AB">
        <w:fldChar w:fldCharType="separate"/>
      </w:r>
      <w:r w:rsidRPr="009D6107">
        <w:rPr>
          <w:rFonts w:cs="Times New Roman"/>
          <w:szCs w:val="24"/>
          <w:vertAlign w:val="superscript"/>
        </w:rPr>
        <w:t>34</w:t>
      </w:r>
      <w:r w:rsidRPr="001340AB">
        <w:fldChar w:fldCharType="end"/>
      </w:r>
      <w:r w:rsidRPr="001340AB">
        <w:t>. We measured model discrimination (the ability to distinguish between CVD cases and non-cases) by obtaining the C-index for each model and comparing the difference between them</w:t>
      </w:r>
      <w:r w:rsidRPr="001340AB">
        <w:fldChar w:fldCharType="begin"/>
      </w:r>
      <w:r>
        <w:instrText xml:space="preserve"> ADDIN ZOTERO_ITEM CSL_CITATION {"citationID":"aign1vo410","properties":{"formattedCitation":"\\super 35\\nosupersub{}","plainCitation":"35","noteIndex":0},"citationItems":[{"id":2198,"uris":["http://zotero.org/groups/465531/items/AASK6IX2"],"uri":["http://zotero.org/groups/465531/items/AASK6IX2"],"itemData":{"id":2198,"type":"article-journal","title":"Overall C as a measure of discrimination in survival analysis: model specific population value and confidence interval estimation","container-title":"Statistics in Medicine","page":"2109-2123","volume":"23","issue":"13","source":"PubMed","abstract":"The assessment of the discrimination ability of a survival analysis model is a problem of considerable theoretical interest and important practical applications. This issue is, however, more complex than evaluating the performance of a linear or logistic regression. Several different measures have been proposed in the biostatistical literature. In this paper we investigate the properties of the overall C index introduced by Harrell as a natural extension of the ROC curve area to survival analysis. We develop the overall C index as a parameter describing the performance of a given model applied to the population under consideration and discuss the statistic used as its sample estimate. We discover a relationship between the overall C and the modified Kendall's tau and construct a confidence interval for our measure based on the asymptotic normality of its estimate. Then we investigate via simulations the length and coverage probability of this interval. Finally, we present a real life example evaluating the performance of a Framingham Heart Study model.","DOI":"10.1002/sim.1802","ISSN":"0277-6715","note":"PMID: 15211606","shortTitle":"Overall C as a measure of discrimination in survival analysis","journalAbbreviation":"Stat Med","language":"eng","author":[{"family":"Pencina","given":"Michael J."},{"family":"D'Agostino","given":"Ralph B."}],"issued":{"date-parts":[["2004",7,15]]}}}],"schema":"https://github.com/citation-style-language/schema/raw/master/csl-citation.json"} </w:instrText>
      </w:r>
      <w:r w:rsidRPr="001340AB">
        <w:fldChar w:fldCharType="separate"/>
      </w:r>
      <w:r w:rsidRPr="009D6107">
        <w:rPr>
          <w:rFonts w:cs="Times New Roman"/>
          <w:szCs w:val="24"/>
          <w:vertAlign w:val="superscript"/>
        </w:rPr>
        <w:t>35</w:t>
      </w:r>
      <w:r w:rsidRPr="001340AB">
        <w:fldChar w:fldCharType="end"/>
      </w:r>
      <w:r w:rsidRPr="001340AB">
        <w:t xml:space="preserve">. The C-index is an extension of the concept of the area under the receiver operating characteristic (ROC) curve but modified to be appropriate for the survival setting. </w:t>
      </w:r>
    </w:p>
    <w:p w14:paraId="6165D6DB" w14:textId="77777777" w:rsidR="009758B9" w:rsidRPr="001340AB" w:rsidRDefault="009758B9" w:rsidP="009758B9">
      <w:pPr>
        <w:spacing w:line="480" w:lineRule="auto"/>
      </w:pPr>
      <w:r w:rsidRPr="001340AB">
        <w:lastRenderedPageBreak/>
        <w:tab/>
        <w:t>A key indicator of improved model performance is if, after adding pregnancy complications, women who went on to have a CVD event were reclassified into higher risk categories while women who did not have an event were reclassified into lower risk categories</w:t>
      </w:r>
      <w:r w:rsidRPr="001340AB">
        <w:fldChar w:fldCharType="begin"/>
      </w:r>
      <w:r>
        <w:instrText xml:space="preserve"> ADDIN ZOTERO_ITEM CSL_CITATION {"citationID":"a26asrcf70l","properties":{"formattedCitation":"\\super 36\\nosupersub{}","plainCitation":"36","noteIndex":0},"citationItems":[{"id":2217,"uris":["http://zotero.org/groups/465531/items/SNMIPJIU"],"uri":["http://zotero.org/groups/465531/items/SNMIPJIU"],"itemData":{"id":2217,"type":"article-journal","title":"Evaluating the added predictive ability of a new marker: from area under the ROC curve to reclassification and beyond","container-title":"Statistics in Medicine","page":"157-172; discussion 207-212","volume":"27","issue":"2","source":"PubMed","abstract":"Identification of key factors associated with the risk of developing cardiovascular disease and quantification of this risk using multivariable prediction algorithms are among the major advances made in preventive cardiology and cardiovascular epidemiology in the 20th century. The ongoing discovery of new risk markers by scientists presents opportunities and challenges for statisticians and clinicians to evaluate these biomarkers and to develop new risk formulations that incorporate them. One of the key questions is how best to assess and quantify the improvement in risk prediction offered by these new models. Demonstration of a statistically significant association of a new biomarker with cardiovascular risk is not enough. Some researchers have advanced that the improvement in the area under the receiver-operating-characteristic curve (AUC) should be the main criterion, whereas others argue that better measures of performance of prediction models are needed. In this paper, we address this question by introducing two new measures, one based on integrated sensitivity and specificity and the other on reclassification tables. These new measures offer incremental information over the AUC. We discuss the properties of these new measures and contrast them with the AUC. We also develop simple asymptotic tests of significance. We illustrate the use of these measures with an example from the Framingham Heart Study. We propose that scientists consider these types of measures in addition to the AUC when assessing the performance of newer biomarkers.","DOI":"10.1002/sim.2929","ISSN":"0277-6715","note":"PMID: 17569110","shortTitle":"Evaluating the added predictive ability of a new marker","journalAbbreviation":"Stat Med","language":"eng","author":[{"family":"Pencina","given":"Michael J."},{"family":"D'Agostino","given":"Ralph B."},{"family":"D'Agostino","given":"Ralph B."},{"family":"Vasan","given":"Ramachandran S."}],"issued":{"date-parts":[["2008",1,30]]}}}],"schema":"https://github.com/citation-style-language/schema/raw/master/csl-citation.json"} </w:instrText>
      </w:r>
      <w:r w:rsidRPr="001340AB">
        <w:fldChar w:fldCharType="separate"/>
      </w:r>
      <w:r w:rsidRPr="009D6107">
        <w:rPr>
          <w:rFonts w:cs="Times New Roman"/>
          <w:szCs w:val="24"/>
          <w:vertAlign w:val="superscript"/>
        </w:rPr>
        <w:t>36</w:t>
      </w:r>
      <w:r w:rsidRPr="001340AB">
        <w:fldChar w:fldCharType="end"/>
      </w:r>
      <w:r w:rsidRPr="001340AB">
        <w:t>. This information is summarized in the net reclassification improvement (NRI) which we calculated overall and separately among women who did and did not go on to have a CVD event, using an extension of the formula for survival data</w:t>
      </w:r>
      <w:r w:rsidRPr="001340AB">
        <w:fldChar w:fldCharType="begin"/>
      </w:r>
      <w:r>
        <w:instrText xml:space="preserve"> ADDIN ZOTERO_ITEM CSL_CITATION {"citationID":"dX8MK1sB","properties":{"formattedCitation":"\\super 37\\nosupersub{}","plainCitation":"37","noteIndex":0},"citationItems":[{"id":2218,"uris":["http://zotero.org/groups/465531/items/UMCS78DV"],"uri":["http://zotero.org/groups/465531/items/UMCS78DV"],"itemData":{"id":2218,"type":"article-journal","title":"Extensions of net reclassification improvement calculations to measure usefulness of new biomarkers","container-title":"Statistics in Medicine","page":"11-21","volume":"30","issue":"1","source":"PubMed","abstract":"Appropriate quantification of added usefulness offered by new markers included in risk prediction algorithms is a problem of active research and debate. Standard methods, including statistical significance and c statistic are useful but not sufficient. Net reclassification improvement (NRI) offers a simple intuitive way of quantifying improvement offered by new markers and has been gaining popularity among researchers. However, several aspects of the NRI have not been studied in sufficient detail. In this paper we propose a prospective formulation for the NRI which offers immediate application to survival and competing risk data as well as allows for easy weighting with observed or perceived costs. We address the issue of the number and choice of categories and their impact on NRI. We contrast category-based NRI with one which is category-free and conclude that NRIs cannot be compared across studies unless they are defined in the same manner. We discuss the impact of differing event rates when models are applied to different samples or definitions of events and durations of follow-up vary between studies. We also show how NRI can be applied to case-control data. The concepts presented in the paper are illustrated in a Framingham Heart Study example. In conclusion, NRI can be readily calculated for survival, competing risk, and case-control data, is more objective and comparable across studies using the category-free version, and can include relative costs for classifications. We recommend that researchers clearly define and justify the choices they make when choosing NRI for their application.","DOI":"10.1002/sim.4085","ISSN":"1097-0258","note":"PMID: 21204120\nPMCID: PMC3341973","journalAbbreviation":"Stat Med","language":"eng","author":[{"family":"Pencina","given":"Michael J."},{"family":"D'Agostino","given":"Ralph B."},{"family":"Steyerberg","given":"Ewout W."}],"issued":{"date-parts":[["2011",1,15]]}}}],"schema":"https://github.com/citation-style-language/schema/raw/master/csl-citation.json"} </w:instrText>
      </w:r>
      <w:r w:rsidRPr="001340AB">
        <w:fldChar w:fldCharType="separate"/>
      </w:r>
      <w:r w:rsidRPr="009D6107">
        <w:rPr>
          <w:rFonts w:cs="Times New Roman"/>
          <w:szCs w:val="24"/>
          <w:vertAlign w:val="superscript"/>
        </w:rPr>
        <w:t>37</w:t>
      </w:r>
      <w:r w:rsidRPr="001340AB">
        <w:fldChar w:fldCharType="end"/>
      </w:r>
      <w:r w:rsidRPr="001340AB">
        <w:t>. To calculate these measures, we stratified women into clinically relevant categories based on their 10-year risk of CVD: low (&lt;5%), intermediate (5-&lt;10%), and high (≥10%). We also calculated the integrated discrimination improvement (IDI)</w:t>
      </w:r>
      <w:r w:rsidRPr="001340AB">
        <w:fldChar w:fldCharType="begin"/>
      </w:r>
      <w:r>
        <w:instrText xml:space="preserve"> ADDIN ZOTERO_ITEM CSL_CITATION {"citationID":"5DJrKGCp","properties":{"formattedCitation":"\\super 36\\nosupersub{}","plainCitation":"36","noteIndex":0},"citationItems":[{"id":2217,"uris":["http://zotero.org/groups/465531/items/SNMIPJIU"],"uri":["http://zotero.org/groups/465531/items/SNMIPJIU"],"itemData":{"id":2217,"type":"article-journal","title":"Evaluating the added predictive ability of a new marker: from area under the ROC curve to reclassification and beyond","container-title":"Statistics in Medicine","page":"157-172; discussion 207-212","volume":"27","issue":"2","source":"PubMed","abstract":"Identification of key factors associated with the risk of developing cardiovascular disease and quantification of this risk using multivariable prediction algorithms are among the major advances made in preventive cardiology and cardiovascular epidemiology in the 20th century. The ongoing discovery of new risk markers by scientists presents opportunities and challenges for statisticians and clinicians to evaluate these biomarkers and to develop new risk formulations that incorporate them. One of the key questions is how best to assess and quantify the improvement in risk prediction offered by these new models. Demonstration of a statistically significant association of a new biomarker with cardiovascular risk is not enough. Some researchers have advanced that the improvement in the area under the receiver-operating-characteristic curve (AUC) should be the main criterion, whereas others argue that better measures of performance of prediction models are needed. In this paper, we address this question by introducing two new measures, one based on integrated sensitivity and specificity and the other on reclassification tables. These new measures offer incremental information over the AUC. We discuss the properties of these new measures and contrast them with the AUC. We also develop simple asymptotic tests of significance. We illustrate the use of these measures with an example from the Framingham Heart Study. We propose that scientists consider these types of measures in addition to the AUC when assessing the performance of newer biomarkers.","DOI":"10.1002/sim.2929","ISSN":"0277-6715","note":"PMID: 17569110","shortTitle":"Evaluating the added predictive ability of a new marker","journalAbbreviation":"Stat Med","language":"eng","author":[{"family":"Pencina","given":"Michael J."},{"family":"D'Agostino","given":"Ralph B."},{"family":"D'Agostino","given":"Ralph B."},{"family":"Vasan","given":"Ramachandran S."}],"issued":{"date-parts":[["2008",1,30]]}}}],"schema":"https://github.com/citation-style-language/schema/raw/master/csl-citation.json"} </w:instrText>
      </w:r>
      <w:r w:rsidRPr="001340AB">
        <w:fldChar w:fldCharType="separate"/>
      </w:r>
      <w:r w:rsidRPr="009D6107">
        <w:rPr>
          <w:rFonts w:cs="Times New Roman"/>
          <w:szCs w:val="24"/>
          <w:vertAlign w:val="superscript"/>
        </w:rPr>
        <w:t>36</w:t>
      </w:r>
      <w:r w:rsidRPr="001340AB">
        <w:fldChar w:fldCharType="end"/>
      </w:r>
      <w:r w:rsidRPr="001340AB">
        <w:t>, which is a related measure of model improvement that does not rely on cut-points to categorize risk. Confidence intervals for discrimination and reclassification measures were calculated using 1,000 bootstraps. All analyses were performed using SAS version 9.4 (SAS Institute Inc., Cary, NC, USA) and used publically available macros to assess prediction performance</w:t>
      </w:r>
      <w:r w:rsidRPr="001340AB">
        <w:fldChar w:fldCharType="begin"/>
      </w:r>
      <w:r>
        <w:instrText xml:space="preserve"> ADDIN ZOTERO_ITEM CSL_CITATION {"citationID":"EV3uYigI","properties":{"formattedCitation":"\\super 38\\nosupersub{}","plainCitation":"38","noteIndex":0},"citationItems":[{"id":2317,"uris":["http://zotero.org/groups/465531/items/ZIXWF2Y9"],"uri":["http://zotero.org/groups/465531/items/ZIXWF2Y9"],"itemData":{"id":2317,"type":"webpage","title":"SAS Macros","URL":"http://ncook.bwh.harvard.edu/sas-macros.html","accessed":{"date-parts":[["2018",5,19]]}}}],"schema":"https://github.com/citation-style-language/schema/raw/master/csl-citation.json"} </w:instrText>
      </w:r>
      <w:r w:rsidRPr="001340AB">
        <w:fldChar w:fldCharType="separate"/>
      </w:r>
      <w:r w:rsidRPr="009D6107">
        <w:rPr>
          <w:rFonts w:cs="Times New Roman"/>
          <w:szCs w:val="24"/>
          <w:vertAlign w:val="superscript"/>
        </w:rPr>
        <w:t>38</w:t>
      </w:r>
      <w:r w:rsidRPr="001340AB">
        <w:fldChar w:fldCharType="end"/>
      </w:r>
      <w:r w:rsidRPr="001340AB">
        <w:t xml:space="preserve">. See Supplemental Text 2 for additional details about prediction performance measures.   </w:t>
      </w:r>
    </w:p>
    <w:p w14:paraId="1AF0729E" w14:textId="77777777" w:rsidR="009758B9" w:rsidRPr="001340AB" w:rsidRDefault="009758B9" w:rsidP="009758B9">
      <w:pPr>
        <w:spacing w:line="480" w:lineRule="auto"/>
      </w:pPr>
    </w:p>
    <w:p w14:paraId="1569CFD3" w14:textId="77777777" w:rsidR="009758B9" w:rsidRPr="001340AB" w:rsidRDefault="009758B9" w:rsidP="009758B9">
      <w:pPr>
        <w:spacing w:line="480" w:lineRule="auto"/>
        <w:rPr>
          <w:i/>
        </w:rPr>
      </w:pPr>
      <w:r w:rsidRPr="001340AB">
        <w:rPr>
          <w:i/>
        </w:rPr>
        <w:t>Additional Analyses</w:t>
      </w:r>
    </w:p>
    <w:p w14:paraId="17567C84" w14:textId="77777777" w:rsidR="009758B9" w:rsidRPr="001340AB" w:rsidRDefault="009758B9" w:rsidP="009758B9">
      <w:pPr>
        <w:spacing w:line="480" w:lineRule="auto"/>
      </w:pPr>
      <w:r w:rsidRPr="001340AB">
        <w:t xml:space="preserve">In post-hoc analyses suggested by reviewers, we included additional terms for recurrent pregnancy complications (i.e. for each pregnancy complication, having experienced the complication during two or more pregnancies) and interaction terms between the pregnancy complications to test alternative parameterizations for modeling pregnancy complication history. As a sensitivity analysis, we also tested the degree of model overfitting to our dataset by adjusted estimates of discrimination and reclassification for model optimism using </w:t>
      </w:r>
      <w:r w:rsidRPr="0057568B">
        <w:t>1,000</w:t>
      </w:r>
      <w:r w:rsidRPr="001340AB">
        <w:t xml:space="preserve"> bootstrap samples</w:t>
      </w:r>
      <w:r w:rsidRPr="001340AB">
        <w:fldChar w:fldCharType="begin"/>
      </w:r>
      <w:r>
        <w:instrText xml:space="preserve"> ADDIN ZOTERO_ITEM CSL_CITATION {"citationID":"alorka3e7u","properties":{"formattedCitation":"\\super 39\\nosupersub{}","plainCitation":"39","noteIndex":0},"citationItems":[{"id":2213,"uris":["http://zotero.org/groups/465531/items/LP5MCYZD"],"uri":["http://zotero.org/groups/465531/items/LP5MCYZD"],"itemData":{"id":2213,"type":"book","title":"Regression Modeling Strategies: With Applications to Linear Models, Logistic Regression, and Survival Analysis","publisher":"Springer","publisher-place":"New York","number-of-pages":"572","source":"Amazon","event-place":"New York","abstract":"Many texts are excellent sources of knowledge about individual statistical tools, but the art of data analysis is about choosing and using multiple tools. Instead of presenting isolated techniques, this text emphasizes problem solving strategies that address the many issues arising when developing multivariable models using real data and not standard textbook examples. It includes imputation methods for dealing with missing data effectively, methods for dealing with nonlinear relationships and for making the estimation of transformations a formal part of the modeling process, methods for dealing with \"too many variables to analyze and not enough observations,\" and powerful model validation techniques based on the bootstrap. This text realistically deals with model uncertainty and its effects on inference to achieve \"safe data mining\".","ISBN":"978-1-4419-2918-1","shortTitle":"Regression Modeling Strategies","language":"English","author":[{"family":"Harrell","given":"Frank E."}],"issued":{"date-parts":[["2010",12,1]]}}}],"schema":"https://github.com/citation-style-language/schema/raw/master/csl-citation.json"} </w:instrText>
      </w:r>
      <w:r w:rsidRPr="001340AB">
        <w:fldChar w:fldCharType="separate"/>
      </w:r>
      <w:r w:rsidRPr="009D6107">
        <w:rPr>
          <w:rFonts w:cs="Times New Roman"/>
          <w:szCs w:val="24"/>
          <w:vertAlign w:val="superscript"/>
        </w:rPr>
        <w:t>39</w:t>
      </w:r>
      <w:r w:rsidRPr="001340AB">
        <w:fldChar w:fldCharType="end"/>
      </w:r>
      <w:r w:rsidRPr="001340AB">
        <w:t>.</w:t>
      </w:r>
    </w:p>
    <w:p w14:paraId="6BF38388" w14:textId="77777777" w:rsidR="009758B9" w:rsidRPr="001340AB" w:rsidRDefault="009758B9" w:rsidP="009758B9">
      <w:pPr>
        <w:spacing w:line="480" w:lineRule="auto"/>
      </w:pPr>
    </w:p>
    <w:p w14:paraId="7809DF5B" w14:textId="77777777" w:rsidR="009758B9" w:rsidRPr="001340AB" w:rsidRDefault="009758B9" w:rsidP="009758B9">
      <w:pPr>
        <w:spacing w:line="480" w:lineRule="auto"/>
        <w:outlineLvl w:val="0"/>
        <w:rPr>
          <w:b/>
        </w:rPr>
      </w:pPr>
    </w:p>
    <w:p w14:paraId="2DCA9614" w14:textId="77777777" w:rsidR="009758B9" w:rsidRPr="001340AB" w:rsidRDefault="009758B9" w:rsidP="009758B9">
      <w:pPr>
        <w:spacing w:line="480" w:lineRule="auto"/>
        <w:outlineLvl w:val="0"/>
        <w:rPr>
          <w:b/>
        </w:rPr>
      </w:pPr>
      <w:r w:rsidRPr="001340AB">
        <w:rPr>
          <w:b/>
        </w:rPr>
        <w:t>Results</w:t>
      </w:r>
    </w:p>
    <w:p w14:paraId="4FEC4605" w14:textId="77777777" w:rsidR="009758B9" w:rsidRPr="001340AB" w:rsidRDefault="009758B9" w:rsidP="009758B9">
      <w:pPr>
        <w:spacing w:line="480" w:lineRule="auto"/>
        <w:outlineLvl w:val="0"/>
      </w:pPr>
      <w:r w:rsidRPr="001340AB">
        <w:t xml:space="preserve">Among 18,231 parous women, 965 (5%) had an incident CVD event during follow-up (median= 8.2 years, interquartile range= 7.4-11.1 years) while 295 (2%) died from other causes. Nonfatal events comprised the majority of incident CVD events (97%) with 5% dying on the day of or within 30 days of the event. Thirty percent of women experienced at least one pregnancy complication based on birth registry records. After imputing pregnancy complications for births not captured in the registry, 39% of women had a history of pregnancy complications </w:t>
      </w:r>
      <w:r w:rsidRPr="001340AB">
        <w:rPr>
          <w:i/>
        </w:rPr>
        <w:t>in any pregnancy</w:t>
      </w:r>
      <w:r w:rsidRPr="001340AB">
        <w:t xml:space="preserve">. In age-standardized comparisons, women with a history of pregnancy complications based on birth registry records had higher systolic blood pressure (p&lt;0.001) and were more likely to smoke (p&lt;0.001), take anti-hypertensives (p&lt;0.001), have low HDL (p=0.006), and have a family history of premature MI (p&lt;0.001) compared to women with no pregnancy complications (Table 1). </w:t>
      </w:r>
    </w:p>
    <w:p w14:paraId="364715F8" w14:textId="77777777" w:rsidR="009758B9" w:rsidRPr="001340AB" w:rsidRDefault="009758B9" w:rsidP="009758B9">
      <w:pPr>
        <w:spacing w:line="480" w:lineRule="auto"/>
        <w:rPr>
          <w:i/>
        </w:rPr>
      </w:pPr>
      <w:r w:rsidRPr="001340AB">
        <w:rPr>
          <w:i/>
        </w:rPr>
        <w:t>Model Fit</w:t>
      </w:r>
    </w:p>
    <w:p w14:paraId="60229100" w14:textId="77777777" w:rsidR="009758B9" w:rsidRPr="001340AB" w:rsidRDefault="009758B9" w:rsidP="009758B9">
      <w:pPr>
        <w:spacing w:line="480" w:lineRule="auto"/>
      </w:pPr>
      <w:r w:rsidRPr="001340AB">
        <w:t>The associations between established risk factors and CVD were similar to those reported in the original NORRISK 2 publication by Selmer et al.</w:t>
      </w:r>
      <w:r w:rsidRPr="001340AB">
        <w:fldChar w:fldCharType="begin"/>
      </w:r>
      <w:r>
        <w:instrText xml:space="preserve"> ADDIN ZOTERO_ITEM CSL_CITATION {"citationID":"aal5faq059","properties":{"formattedCitation":"\\super 20\\nosupersub{}","plainCitation":"20","noteIndex":0},"citationItems":[{"id":2171,"uris":["http://zotero.org/groups/465531/items/3CJSI3IM"],"uri":["http://zotero.org/groups/465531/items/3CJSI3IM"],"itemData":{"id":2171,"type":"article-journal","title":"NORRISK 2: A Norwegian risk model for acute cerebral stroke and myocardial infarction","container-title":"European Journal of Preventive Cardiology","page":"773-782","volume":"24","issue":"7","source":"PubMed","abstract":"Background Guidelines for the prevention of cardiovascular disease recommend the estimation of an individual's total risk. We have developed a new model for the prediction of the 10-year risk of incident acute myocardial infarction or cerebral stroke based on Norwegian data, NORRISK 2. Design The model was based on 10-year follow-up of a large population-based cohort (CONOR) through linkage to the CVDNOR project, a database of cardiovascular disease hospital discharge diagnoses and mortality in Norway in 1994-2009. Methods We used the Fine and Gray regression model to estimate the 10-year risk adjusting for competing risk. The model population consisted of participants in 1994-1999 and the external validation population of participants in 2000-2003. We validated the model by area under the receiver operating characteristic curves, calibration plots and analyses of sensitivity and specificity. Results The model population consisted of 31,445 men and 35,267 women aged 40-79 years with 3658 endpoints in men and 2459 in women. The external validation population consisted of 19,980 men and 19,309 women, of whom 1858 men and 874 women had an endpoint during follow-up. The area under the curve was 0.79 (0.79-0.80) in men and 0.84 (0.83-0.85) in women in the model population and was slightly lower in the external validation population. Calibration plots showed good agreement between observed and predicted risk. The sum of sensitivity and specificity was greatest around the suggested risk thresholds. Conclusion The NORRISK 2 model showed good validity in an external dataset and will be a valuable tool to guide decisions about preventive interventions in people without known previous cardiovascular disease.","DOI":"10.1177/2047487317693949","ISSN":"2047-4881","note":"PMID: 28206819","shortTitle":"NORRISK 2","journalAbbreviation":"Eur J Prev Cardiol","language":"eng","author":[{"family":"Selmer","given":"Randi"},{"family":"Igland","given":"Jannicke"},{"family":"Ariansen","given":"Inger"},{"family":"Tverdal","given":"Aage"},{"family":"Njølstad","given":"Inger"},{"family":"Furu","given":"Kari"},{"family":"Tell","given":"Grethe S."},{"family":"Klemsdal","given":"Tor Ole"}],"issued":{"date-parts":[["2017",5]]}}}],"schema":"https://github.com/citation-style-language/schema/raw/master/csl-citation.json"} </w:instrText>
      </w:r>
      <w:r w:rsidRPr="001340AB">
        <w:fldChar w:fldCharType="separate"/>
      </w:r>
      <w:r w:rsidRPr="009D6107">
        <w:rPr>
          <w:rFonts w:cs="Times New Roman"/>
          <w:szCs w:val="24"/>
          <w:vertAlign w:val="superscript"/>
        </w:rPr>
        <w:t>20</w:t>
      </w:r>
      <w:r w:rsidRPr="001340AB">
        <w:fldChar w:fldCharType="end"/>
      </w:r>
      <w:r w:rsidRPr="001340AB">
        <w:t xml:space="preserve"> (Supplemental Table 3). In unadjusted models including all pregnancy complications, preeclampsia and SGA were independently associated with CVD (HR=1.96, 95% CI: 1.44-2.65 for preeclampsia and HR=1.46, 95% CI: 1.18-1.81 for SGA) (Table 2). After adjusting for the established risk factors only preeclampsia was associated with an increased rate of CVD (HR=1.60, 95% CI: 1.16-2.17). Model fit was improved with the addition of pregnancy complications (</w:t>
      </w:r>
      <w:r>
        <w:t xml:space="preserve">Wald test </w:t>
      </w:r>
      <w:r w:rsidRPr="001340AB">
        <w:t>p=0.04).</w:t>
      </w:r>
    </w:p>
    <w:p w14:paraId="292198E6" w14:textId="77777777" w:rsidR="009758B9" w:rsidRPr="001340AB" w:rsidRDefault="009758B9" w:rsidP="009758B9">
      <w:pPr>
        <w:spacing w:line="480" w:lineRule="auto"/>
      </w:pPr>
    </w:p>
    <w:p w14:paraId="08F3789D" w14:textId="77777777" w:rsidR="009758B9" w:rsidRPr="001340AB" w:rsidRDefault="009758B9" w:rsidP="009758B9">
      <w:pPr>
        <w:spacing w:line="480" w:lineRule="auto"/>
        <w:rPr>
          <w:i/>
        </w:rPr>
      </w:pPr>
    </w:p>
    <w:p w14:paraId="7F66D654" w14:textId="77777777" w:rsidR="009758B9" w:rsidRPr="001340AB" w:rsidRDefault="009758B9" w:rsidP="009758B9">
      <w:pPr>
        <w:spacing w:line="480" w:lineRule="auto"/>
        <w:rPr>
          <w:i/>
        </w:rPr>
      </w:pPr>
      <w:r w:rsidRPr="001340AB">
        <w:rPr>
          <w:i/>
        </w:rPr>
        <w:t>Calibration</w:t>
      </w:r>
    </w:p>
    <w:p w14:paraId="273956AB" w14:textId="77777777" w:rsidR="009758B9" w:rsidRPr="001340AB" w:rsidRDefault="009758B9" w:rsidP="009758B9">
      <w:pPr>
        <w:spacing w:line="480" w:lineRule="auto"/>
      </w:pPr>
      <w:r w:rsidRPr="001340AB">
        <w:t>The established risk factor model was well-calibrated both before (p=0.23 for the null hypothesis of equal observed and predicted risk) and after (p=0.26) the addition of pregnancy complications. A visual depiction of model calibration is provided in Supplemental Figure 1.</w:t>
      </w:r>
    </w:p>
    <w:p w14:paraId="5DBEA53A" w14:textId="77777777" w:rsidR="009758B9" w:rsidRPr="001340AB" w:rsidRDefault="009758B9" w:rsidP="009758B9">
      <w:pPr>
        <w:spacing w:line="480" w:lineRule="auto"/>
      </w:pPr>
    </w:p>
    <w:p w14:paraId="75D58A5E" w14:textId="77777777" w:rsidR="009758B9" w:rsidRPr="001340AB" w:rsidRDefault="009758B9" w:rsidP="009758B9">
      <w:pPr>
        <w:tabs>
          <w:tab w:val="left" w:pos="1980"/>
        </w:tabs>
        <w:spacing w:line="480" w:lineRule="auto"/>
        <w:rPr>
          <w:i/>
        </w:rPr>
      </w:pPr>
      <w:r w:rsidRPr="001340AB">
        <w:rPr>
          <w:i/>
        </w:rPr>
        <w:t>Discrimination</w:t>
      </w:r>
      <w:r w:rsidRPr="001340AB">
        <w:rPr>
          <w:i/>
        </w:rPr>
        <w:tab/>
      </w:r>
    </w:p>
    <w:p w14:paraId="1C2A325C" w14:textId="77777777" w:rsidR="009758B9" w:rsidRPr="001340AB" w:rsidRDefault="009758B9" w:rsidP="009758B9">
      <w:pPr>
        <w:spacing w:line="480" w:lineRule="auto"/>
      </w:pPr>
      <w:r w:rsidRPr="001340AB">
        <w:t>Inclusion of pregnancy complications in the established risk factor model led to a statistically significant but small 0.004 increase in the C-index (95% CI: 0.002, 0.006). This small improvement in discrimination was driven mostly by the inclusion of preeclampsia (Table 3).</w:t>
      </w:r>
    </w:p>
    <w:p w14:paraId="19DAB0CA" w14:textId="77777777" w:rsidR="009758B9" w:rsidRPr="001340AB" w:rsidRDefault="009758B9" w:rsidP="009758B9">
      <w:pPr>
        <w:spacing w:line="480" w:lineRule="auto"/>
      </w:pPr>
    </w:p>
    <w:p w14:paraId="75BD0627" w14:textId="77777777" w:rsidR="009758B9" w:rsidRPr="001340AB" w:rsidRDefault="009758B9" w:rsidP="009758B9">
      <w:pPr>
        <w:spacing w:line="480" w:lineRule="auto"/>
        <w:rPr>
          <w:i/>
        </w:rPr>
      </w:pPr>
      <w:r w:rsidRPr="001340AB">
        <w:rPr>
          <w:i/>
        </w:rPr>
        <w:t>Reclassification of clinical risk categories</w:t>
      </w:r>
    </w:p>
    <w:p w14:paraId="6FA1FF06" w14:textId="77777777" w:rsidR="009758B9" w:rsidRPr="001340AB" w:rsidRDefault="009758B9" w:rsidP="009758B9">
      <w:pPr>
        <w:pStyle w:val="nothing"/>
        <w:spacing w:line="480" w:lineRule="auto"/>
        <w:rPr>
          <w:rFonts w:cstheme="minorBidi"/>
          <w:noProof w:val="0"/>
          <w:szCs w:val="22"/>
        </w:rPr>
      </w:pPr>
      <w:r w:rsidRPr="001340AB">
        <w:rPr>
          <w:rFonts w:cstheme="minorBidi"/>
          <w:noProof w:val="0"/>
          <w:szCs w:val="22"/>
        </w:rPr>
        <w:t xml:space="preserve">Among the 965 women with an incident CVD event during follow-up, 38 were correctly reclassified into a higher risk category after the inclusion of pregnancy complication history while 17 were incorrectly reclassified into a lower risk category (Table 4). This lead to a marginal improvement in reclassification as measured by the NRI </w:t>
      </w:r>
      <w:r w:rsidRPr="001340AB">
        <w:rPr>
          <w:rFonts w:cstheme="minorBidi"/>
          <w:noProof w:val="0"/>
        </w:rPr>
        <w:t>for events (</w:t>
      </w:r>
      <w:r w:rsidRPr="001340AB">
        <w:t xml:space="preserve">0.02, 95% CI: </w:t>
      </w:r>
      <w:r w:rsidRPr="001340AB">
        <w:rPr>
          <w:sz w:val="22"/>
        </w:rPr>
        <w:t>-0.002, 0.04</w:t>
      </w:r>
      <w:r w:rsidRPr="001340AB">
        <w:t xml:space="preserve">). </w:t>
      </w:r>
      <w:r w:rsidRPr="001340AB">
        <w:rPr>
          <w:rFonts w:cstheme="minorBidi"/>
          <w:noProof w:val="0"/>
        </w:rPr>
        <w:t xml:space="preserve">Among the 25,579 observations without a CVD event, 274 were incorrectly reclassified into a higher risk category while 375 were correctly reclassified into a lower risk category, which similarly resulted in a small improvement in reclassification (NRI for non-events=0.004 (95% CI: 0.002, 0.006). Overall, there was a small improvement in reclassification </w:t>
      </w:r>
      <w:r w:rsidRPr="001340AB">
        <w:rPr>
          <w:rFonts w:cstheme="minorBidi"/>
          <w:noProof w:val="0"/>
        </w:rPr>
        <w:lastRenderedPageBreak/>
        <w:t>0.02 (95% CI: 0.002, 0.05)</w:t>
      </w:r>
      <w:r w:rsidRPr="001340AB">
        <w:rPr>
          <w:rFonts w:cstheme="minorBidi"/>
          <w:noProof w:val="0"/>
          <w:szCs w:val="22"/>
        </w:rPr>
        <w:t>. No obvious improvements in reclassification were apparent when examining continuous predicted probabilities (Supplemental Figure 2) and the IDI</w:t>
      </w:r>
      <w:r>
        <w:rPr>
          <w:rFonts w:cstheme="minorBidi"/>
          <w:noProof w:val="0"/>
          <w:szCs w:val="22"/>
        </w:rPr>
        <w:t xml:space="preserve"> (</w:t>
      </w:r>
      <w:r w:rsidRPr="001340AB">
        <w:rPr>
          <w:rFonts w:cstheme="minorBidi"/>
          <w:noProof w:val="0"/>
          <w:szCs w:val="22"/>
        </w:rPr>
        <w:t>-0.0002 (95% CI: -0.001, 0.0007)</w:t>
      </w:r>
      <w:r>
        <w:rPr>
          <w:rFonts w:cstheme="minorBidi"/>
          <w:noProof w:val="0"/>
          <w:szCs w:val="22"/>
        </w:rPr>
        <w:t>)</w:t>
      </w:r>
      <w:r w:rsidRPr="001340AB">
        <w:rPr>
          <w:rFonts w:cstheme="minorBidi"/>
          <w:noProof w:val="0"/>
          <w:szCs w:val="22"/>
        </w:rPr>
        <w:t xml:space="preserve"> did not indicate overall improvement on a continuous scale. Similar small improvements in reclassification were observed when comparing the established risk factor model to a model including preeclampsia history only (Supplemental Table 4) and no impr</w:t>
      </w:r>
      <w:r>
        <w:rPr>
          <w:rFonts w:cstheme="minorBidi"/>
          <w:noProof w:val="0"/>
          <w:szCs w:val="22"/>
        </w:rPr>
        <w:t>ovement in reclassification was</w:t>
      </w:r>
      <w:r w:rsidRPr="001340AB">
        <w:rPr>
          <w:rFonts w:cstheme="minorBidi"/>
          <w:noProof w:val="0"/>
          <w:szCs w:val="22"/>
        </w:rPr>
        <w:t xml:space="preserve"> seen for the other pregnancy complications examined individually.</w:t>
      </w:r>
    </w:p>
    <w:p w14:paraId="34C188EF" w14:textId="77777777" w:rsidR="009758B9" w:rsidRPr="001340AB" w:rsidRDefault="009758B9" w:rsidP="009758B9">
      <w:pPr>
        <w:pStyle w:val="nothing"/>
        <w:spacing w:line="480" w:lineRule="auto"/>
        <w:rPr>
          <w:rFonts w:cstheme="minorBidi"/>
          <w:noProof w:val="0"/>
          <w:szCs w:val="22"/>
        </w:rPr>
      </w:pPr>
    </w:p>
    <w:p w14:paraId="7FAF071F" w14:textId="77777777" w:rsidR="009758B9" w:rsidRPr="001340AB" w:rsidRDefault="009758B9" w:rsidP="009758B9">
      <w:pPr>
        <w:spacing w:line="480" w:lineRule="auto"/>
        <w:rPr>
          <w:i/>
        </w:rPr>
      </w:pPr>
      <w:r w:rsidRPr="001340AB">
        <w:rPr>
          <w:i/>
        </w:rPr>
        <w:t>Additional Analyses</w:t>
      </w:r>
    </w:p>
    <w:p w14:paraId="78B12958" w14:textId="77777777" w:rsidR="009758B9" w:rsidRPr="001340AB" w:rsidRDefault="009758B9" w:rsidP="009758B9">
      <w:pPr>
        <w:spacing w:line="480" w:lineRule="auto"/>
        <w:sectPr w:rsidR="009758B9" w:rsidRPr="001340AB" w:rsidSect="00851EB3">
          <w:footerReference w:type="default" r:id="rId8"/>
          <w:pgSz w:w="12240" w:h="15840"/>
          <w:pgMar w:top="1440" w:right="1440" w:bottom="1440" w:left="1440" w:header="720" w:footer="720" w:gutter="0"/>
          <w:cols w:space="720"/>
          <w:docGrid w:linePitch="360"/>
        </w:sectPr>
      </w:pPr>
      <w:r w:rsidRPr="001340AB">
        <w:t xml:space="preserve">Including additional variables for recurrent pregnancy complications and interactions between pregnancy complications did not lead to substantial improvements in prediction performance compared to models including only a single variable for history of each pregnancy complication (Supplemental Table 5). Estimates were similar after adjusting for optimism (Supplemental Table 6). </w:t>
      </w:r>
    </w:p>
    <w:p w14:paraId="3F8C0330" w14:textId="77777777" w:rsidR="009758B9" w:rsidRPr="001340AB" w:rsidRDefault="009758B9" w:rsidP="009758B9">
      <w:pPr>
        <w:pStyle w:val="Subtitle1"/>
      </w:pPr>
      <w:bookmarkStart w:id="6" w:name="_Toc512429823"/>
      <w:r w:rsidRPr="001340AB">
        <w:lastRenderedPageBreak/>
        <w:t>Discussion</w:t>
      </w:r>
      <w:bookmarkEnd w:id="6"/>
    </w:p>
    <w:p w14:paraId="796329C4" w14:textId="77777777" w:rsidR="009758B9" w:rsidRPr="001340AB" w:rsidRDefault="009758B9" w:rsidP="009758B9">
      <w:pPr>
        <w:spacing w:line="480" w:lineRule="auto"/>
      </w:pPr>
      <w:r>
        <w:t>A</w:t>
      </w:r>
      <w:r w:rsidRPr="001340AB">
        <w:t xml:space="preserve">ddition of pregnancy complication history led to very modest to no improvements in an established cardiovascular risk prediction model recommended for clinical practice in Norway. We observed improvements in model discrimination and reclassification; however, differences were small in magnitude and unlikely to be clinically meaningful. Although preeclampsia and SGA were significant predictors of atherosclerotic CVD events in unadjusted models, only preeclampsia predicted an increased risk of CVD after adjusting for established risk factors. </w:t>
      </w:r>
    </w:p>
    <w:p w14:paraId="6C464288" w14:textId="77777777" w:rsidR="009758B9" w:rsidRPr="001340AB" w:rsidRDefault="009758B9" w:rsidP="009758B9">
      <w:pPr>
        <w:spacing w:line="480" w:lineRule="auto"/>
      </w:pPr>
    </w:p>
    <w:p w14:paraId="5E733ED6" w14:textId="77777777" w:rsidR="009758B9" w:rsidRPr="001340AB" w:rsidRDefault="009758B9" w:rsidP="009758B9">
      <w:pPr>
        <w:spacing w:line="480" w:lineRule="auto"/>
        <w:rPr>
          <w:i/>
        </w:rPr>
      </w:pPr>
      <w:r w:rsidRPr="001340AB">
        <w:rPr>
          <w:i/>
        </w:rPr>
        <w:t>Comparison with Current Literature</w:t>
      </w:r>
    </w:p>
    <w:p w14:paraId="063E7315" w14:textId="77777777" w:rsidR="009758B9" w:rsidRPr="001340AB" w:rsidRDefault="009758B9" w:rsidP="009758B9">
      <w:pPr>
        <w:spacing w:line="480" w:lineRule="auto"/>
        <w:ind w:firstLine="720"/>
      </w:pPr>
      <w:r w:rsidRPr="001340AB">
        <w:t>Previous studies have examined the association between pregnancy complications and CVD</w:t>
      </w:r>
      <w:r w:rsidRPr="001340AB">
        <w:fldChar w:fldCharType="begin"/>
      </w:r>
      <w:r w:rsidRPr="001340AB">
        <w:instrText xml:space="preserve"> ADDIN ZOTERO_ITEM CSL_CITATION {"citationID":"bMcN66eJ","properties":{"formattedCitation":"\\super 8\\uc0\\u8211{}15\\nosupersub{}","plainCitation":"8–15","noteIndex":0},"citationItems":[{"id":1759,"uris":["http://zotero.org/groups/465531/items/EW2DD8XN"],"uri":["http://zotero.org/groups/465531/items/EW2DD8XN"],"itemData":{"id":1759,"type":"article-journal","title":"Pre-eclampsia and risk of cardiovascular disease and cancer in later life: systematic review and meta-analysis","container-title":"BMJ","page":"974","volume":"335","issue":"7627","source":"www.bmj.com","abstract":"Objective To quantify the risk of future cardiovascular diseases, cancer, and mortality after pre-eclampsia.\nDesign Systematic review and meta-analysis.\nData sources Embase and Medline without language restrictions, including papers published between 1960 and December 2006, and hand searching of reference lists of relevant articles and reviews for additional reports.\nReview methods Prospective and retrospective cohort studies were included, providing a dataset of 3 488 160 women, with 198 252 affected by pre-eclampsia (exposure group) and 29 495 episodes of cardiovascular disease and cancer (study outcomes).\nResults After pre-eclampsia women have an increased risk of vascular disease. The relative risks (95% confidence intervals) for hypertension were 3.70 (2.70 to 5.05) after 14.1 years weighted mean follow-up, for ischaemic heart disease 2.16 (1.86 to 2.52) after 11.7 years, for stroke 1.81 (1.45 to 2.27) after 10.4 years, and for venous thromboembolism 1.79 (1.37 to 2.33) after 4.7 years. No increase in risk of any cancer was found (0.96, 0.73 to 1.27), including breast cancer (1.04, 0.78 to 1.39) 17 years after pre-eclampsia. Overall mortality after pre-eclampsia was increased: 1.49 (1.05 to 2.14) after 14.5 years.\nConclusions A history of pre-eclampsia should be considered when evaluating risk of cardiovascular disease in women. This association might reflect a common cause for pre-eclampsia and cardiovascular disease, or an effect of pre-eclampsia on disease development, or both. No association was found between pre-eclampsia and future cancer.","DOI":"10.1136/bmj.39335.385301.BE","ISSN":"0959-8138, 1468-5833","note":"PMID: 17975258","shortTitle":"Pre-eclampsia and risk of cardiovascular disease and cancer in later life","journalAbbreviation":"BMJ","language":"en","author":[{"family":"Bellamy","given":"Leanne"},{"family":"Casas","given":"Juan-Pablo"},{"family":"Hingorani","given":"Aroon D."},{"family":"Williams","given":"David J."}],"issued":{"date-parts":[["2007",11,8]]}}},{"id":494,"uris":["http://zotero.org/users/2002240/items/KES34VHB"],"uri":["http://zotero.org/users/2002240/items/KES34VHB"],"itemData":{"id":494,"type":"article-journal","title":"Cardiovascular sequelae of preeclampsia/eclampsia: a systematic review and meta-analyses","container-title":"American Heart Journal","page":"918-930","volume":"156","issue":"5","source":"NCBI PubMed","abstract":"BACKGROUND: Preeclampsia affects 3% to 5% of gestations and eclampsia 0.05% to 0.93%, but their subsequent cardiovascular sequelae are unclear. The aim of this study was to determine if women with a history of preeclampsia/eclampsia are at increased risk of long-term cardiovascular sequelae.\nMETHODS: From Medline and Embase searches, we included case-control and cohort studies that examined cardiac, cerebrovascular or peripheral arterial disease, or cardiovascular mortality&gt;6 weeks postpartum, in women with and without a history of preeclampsia/eclampsia and that controlled for or matched for confounders. Two independent reviewers determined study eligibility and extracted data.\nRESULTS: Five case-control and 10 cohort studies met eligibility criteria, with a total of 116,175 women with and 2,259,576 women without preeclampsia/eclampsia. Most studies focused on women&lt;56 years of age. Relative to women with uncomplicated pregnancies, women with a history of preeclampsia/eclampsia had an increased risk of subsequent cardiac disease in both the case-control studies (odds ratio 2.47, 95% CI 1.22-5.01) and the cohort studies (relative risk [RR] 2.33, 1.95-2.78), as well as an increased risk of cerebrovascular disease (RR 2.03, 1.54-2.67), peripheral arterial disease (RR 1.87, 0.94-3.73), and cardiovascular mortality (RR 2.29, 1.73-3.04). Meta-regression revealed a graded relationship between the severity of preeclampsia/eclampsia and the risk of cardiac disease (mild: RR 2.00, 1.83-2.19, moderate: RR 2.99, 2.51-3.58, severe: RR 5.36, 3.96-7.27, P&lt;.0001).\nCONCLUSIONS: Women with a history of preeclampsia/eclampsia have approximately double the risk of early cardiac, cerebrovascular, and peripheral arterial disease, and cardiovascular mortality. Further research is needed to determine the mechanisms underlying these associations and to identify effective prevention strategies.","DOI":"10.1016/j.ahj.2008.06.042","ISSN":"1097-6744","note":"PMID: 19061708","shortTitle":"Cardiovascular sequelae of preeclampsia/eclampsia","journalAbbreviation":"Am. Heart J.","language":"eng","author":[{"family":"McDonald","given":"Sarah D."},{"family":"Malinowski","given":"Ann"},{"family":"Zhou","given":"Qi"},{"family":"Yusuf","given":"Salim"},{"family":"Devereaux","given":"Philip J."}],"issued":{"date-parts":[["2008",11]]}}},{"id":2289,"uris":["http://zotero.org/groups/465531/items/UF8Q97AC"],"uri":["http://zotero.org/groups/465531/items/UF8Q97AC"],"itemData":{"id":2289,"type":"article-journal","title":"All Hypertensive Disorders of Pregnancy Increase the Risk of Future Cardiovascular Disease","container-title":"Hypertension","page":"HYPERTENSIONAHA.117.09246","source":"hyper.ahajournals.org","abstract":"Hypertensive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pregnancy.","DOI":"10.1161/HYPERTENSIONAHA.117.09246","ISSN":"0194-911X, 1524-4563","note":"PMID: 28893895","language":"en","author":[{"family":"Tooher","given":"Jane"},{"family":"Thornton","given":"Charlene"},{"family":"Makris","given":"Angela"},{"family":"Ogle","given":"Robert"},{"family":"Korda","given":"Andrew"},{"family":"Hennessy","given":"Annemarie"}],"issued":{"date-parts":[["2017",1,1]]}}},{"id":2072,"uris":["http://zotero.org/users/2002240/items/NV6Z43U3"],"uri":["http://zotero.org/users/2002240/items/NV6Z43U3"],"itemData":{"id":2072,"type":"article-journal","title":"History of preterm birth and subsequent cardiovascular disease: a systematic review","container-title":"American Journal of Obstetrics and Gynecology","page":"285-297","volume":"210","issue":"4","source":"PubMed","abstract":"A history of preterm birth (PTB) may be an important lifetime risk factor for cardiovascular disease (CVD) in women. We identified all peer-reviewed journal articles that met study criteria (English language, human studies, female, and adults ≥19 years old), that were found in the PubMed/MEDLINE databases, and that were published between Jan. 1, 1995, and Sept. 17, 2012. We summarized 10 studies that assessed the association between having a history of PTB and subsequent CVD morbidity or death. Compared with women who had term deliveries, women with any history of PTB had increased risk of CVD morbidity (variously defined; adjusted hazard ratio [aHR] ranged from 1.2-2.9; 2 studies), ischemic heart disease (aHR, 1.3-2.1; 3 studies), stroke (aHR, 1.7; 1 study), and atherosclerosis (aHR, 4.1; 1 study). Four of 5 studies that examined death showed that women with a history of PTB have twice the risk of CVD death compared with women who had term births. Two studies reported statistically significant higher risk of CVD-related morbidity and death outcomes (variously defined) among women with ≥2 pregnancies that ended in PTBs compared with women who had at least 2 births but which ended in only 1 PTB. Future research is needed to understand the potential impact of enhanced monitoring of CVD risk factors in women with a history of PTB on risk of future CVD risk.","DOI":"10.1016/j.ajog.2013.09.020","ISSN":"1097-6868","note":"PMID: 24055578\nPMCID: PMC4387871","shortTitle":"History of preterm birth and subsequent cardiovascular disease","journalAbbreviation":"Am. J. Obstet. Gynecol.","language":"eng","author":[{"family":"Robbins","given":"Cheryl L."},{"family":"Hutchings","given":"Yalonda"},{"family":"Dietz","given":"Patricia M."},{"family":"Kuklina","given":"Elena V."},{"family":"Callaghan","given":"William M."}],"issued":{"date-parts":[["2014",4]]}}},{"id":2321,"uris":["http://zotero.org/groups/465531/items/ERVH8SI5"],"uri":["http://zotero.org/groups/465531/items/ERVH8SI5"],"itemData":{"id":2321,"type":"article-journal","title":"Preterm Delivery and Future Risk of Maternal Cardiovascular Disease: A Systematic Review and Meta‐Analysis","container-title":"Journal of the American Heart Association","page":"e007809","volume":"7","issue":"2","source":"jaha.ahajournals.org.ezp-prod1.hul.harvard.edu","abstract":"Background Preterm delivery (&lt;37 weeks gestational age) affects 11% of all pregnancies, but data are conflicting whether preterm birth is associated with long‐term adverse maternal cardiovascular outcomes. We aimed to systematically evaluate and summarize the evidence on the relationship between preterm birth and future maternal risk of cardiovascular diseases.\nMethods and Results A systematic search of MEDLINE and EMBASE was performed to identify relevant studies that evaluated the association between preterm birth and future maternal risk of composite cardiovascular disease, coronary heart disease, stroke, and death caused by cardiovascular or coronary heart disease and stroke. We quantified the associations using random effects meta‐analysis. Twenty‐one studies with over 5.8 million women, including over 338 000 women with previous preterm deliveries, were identified. Meta‐analysis of studies that adjusted for potential confounders showed that preterm birth was associated with an increased risk of maternal future cardiovascular disease (risk ratio [RR] 1.43, 95% confidence interval [CI], 1.18, 1.72), cardiovascular disease death (RR 1.78, 95% CI, 1.42, 2.21), coronary heart disease (RR 1.49, 95% CI, 1.38, 1.60), coronary heart disease death (RR 2.10, 95% CI, 1.87, 2.36), and stroke (RR 1.65, 95% CI, 1.51, 1.79). Sensitivity analysis showed that the highest risks occurred when the preterm deliveries occurred before 32 weeks gestation or were medically indicated.\nConclusions Preterm delivery is associated with an increase in future maternal adverse cardiovascular outcomes, including a 2‐fold increase in deaths caused by coronary heart disease. These findings support the assessment of preterm delivery in cardiovascular risk assessment in women.","DOI":"10.1161/JAHA.117.007809","ISSN":"2047-9980, 2047-9980","note":"PMID: 29335319","shortTitle":"Preterm Delivery and Future Risk of Maternal Cardiovascular Disease","language":"en","author":[{"family":"Wu","given":"Pensée"},{"family":"Gulati","given":"Martha"},{"family":"Kwok","given":"Chun Shing"},{"family":"Wong","given":"Chun Wai"},{"family":"Narain","given":"Aditya"},{"family":"O'Brien","given":"Shaughn"},{"family":"Chew‐Graham","given":"Carolyn A."},{"family":"Verma","given":"Ganga"},{"family":"Kadam","given":"Umesh T."},{"family":"Mamas","given":"Mamas A."}],"issued":{"date-parts":[["2018",1,1]]}}},{"id":2044,"uris":["http://zotero.org/users/2002240/items/R2J4VAS8"],"uri":["http://zotero.org/users/2002240/items/R2J4VAS8"],"itemData":{"id":2044,"type":"article-journal","title":"Offspring birthweight by gestational age and parental cardiovascular mortality: a population-based cohort study","container-title":"BJOG: An International Journal of Obstetrics &amp; Gynaecology","page":"n/a-n/a","source":"Wiley Online Library","abstract":"Objective\n\nTo estimate risk of parental cardiovascular disease mortality by offspring birthweight.\n\n\nDesign\n\nPopulation-based cohort study.\n\n\nSetting and population\n\nNorwegian mothers and fathers with singleton births during 1967–2002 were followed until 2009 by linkage to the Norwegian cause of death registry.\n\n\nMethods\n\nHazard ratios by offspring absolute birthweight in grams and birthweight adjusted for gestational age (z-score) were calculated using Cox regression and adjusted for parental age at delivery and year of first birth. Stratified analyses on preterm and term births were performed.\n\n\nMain outcome measures\n\nMaternal and paternal cardiovascular mortality.\n\n\nResults\n\nWe followed 711 726 mothers and 700 212 fathers and found a strong link between maternal cardiovascular mortality and offspring birthweight but only slight evidence of associations in fathers. Adjusting birthweight for gestational age (by z-score) uncovered an unexpected strong association of large birthweight (z-score &gt; 2.5) with mothers’ cardiovascular mortality (hazard ratio 3.0, 95% CI 2.0–4.6). This risk was apparently restricted to preterm births. In stratified analyses (preterm and term births) hazard ratios for maternal cardiovascular mortality were 1.5 (1.03–2.2) for large preterm babies and 0.9 (0.7–1.2) for large term babies (P-value for interaction = 0.02), using normal weight preterm and term, respectively, as references.\n\n\nConclusion\n\nWomen having large preterm babies are at increased risk of both diabetes and cardiovascular mortality. The birth of a large preterm baby should increase clinical vigilance for onset of diabetes and other cardiovascular disease risk factors.\n\n\nTweetable abstract\n\nBirth of a large preterm baby should increase vigilance for cardiovascular-disease risk factors.","DOI":"10.1111/1471-0528.14522","ISSN":"1471-0528","shortTitle":"Offspring birthweight by gestational age and parental cardiovascular mortality","journalAbbreviation":"BJOG: Int J Obstet Gy","language":"en","author":[{"family":"Morken","given":"N-H"},{"family":"Halland","given":"F"},{"family":"DeRoo","given":"La"},{"family":"Wilcox","given":"Aj"},{"family":"Skjærven","given":"R"}],"issued":{"date-parts":[["2017",2,1]]}}},{"id":2175,"uris":["http://zotero.org/groups/465531/items/LBB95UEZ"],"uri":["http://zotero.org/groups/465531/items/LBB95UEZ"],"itemData":{"id":2175,"type":"article-journal","title":"Fetal growth and later maternal death, cardiovascular disease and diabetes","container-title":"Acta Obstetricia Et Gynecologica Scandinavica","page":"503-510","volume":"91","issue":"4","source":"PubMed","abstract":"OBJECTIVES: Low birthweight of the offspring has been associated with increased risk of early death and ischemic heart disease in the mother. However, other measurements of fetal growth than the basic birthweight are more accurate. We investigated the relation between the standardized birthweight by gestational age and gender and the ponderal index and the mother's subsequent mortality and cardiovascular morbidity.\nDESIGN: Registry-based retrospective cohort study.\nSETTING: Women with a first singleton delivery in Denmark from 1978 to 2007.\nPOPULATION: 782 287 women followed for 14.6 years yielding 11 600 945 person-years.\nMETHODS: Cox proportional hazard models.\nMAIN OUTCOME MEASURES: The primary exposures were variation in the standardized birthweight and ponderal index. The endpoints were subsequent maternal death, hypertension, ischemic heart disease, stroke, thrombosis, and diabetes mellitus.\nRESULTS: The risk-profile for the standardized birthweight and subsequent maternal death had a nadir between -0.5 and -1 SD (HR 0.91; 95%CI 0.83-1.00) and increased with decreasing fetal growth peaking at &lt;-3 SD (HR 2.75; 95%CI 2.37-3.19) compared to the median. The risk-profile for subsequent diabetes mellitus by standardized ponderal index had a nadir between +0.5 to +1 SD (HR 0.82; 95%CI 0.76-0.89) rising with increasing fetal growth and peaking at &gt;+3 SD (HR 17.8; 95%CI 15.0-21.0). The risk-profiles for standardized ponderal index paralleled those for birthweight, but with smaller risk estimates. Adjusting for other pregnancy complications diminished the estimates.\nCONCLUSION: The fetal growth is a marker of subsequent risk for premature death, cardiovascular disease, and diabetes mellitus in the mother.","DOI":"10.1111/j.1600-0412.2011.01355.x","ISSN":"1600-0412","note":"PMID: 22372730","journalAbbreviation":"Acta Obstet Gynecol Scand","language":"eng","author":[{"family":"Lykke","given":"Jacob A."},{"family":"Paidas","given":"Michael J."},{"family":"Triche","given":"Elizabeth W."},{"family":"Langhoff-Roos","given":"Jens"}],"issued":{"date-parts":[["2012",4]]}}},{"id":2177,"uris":["http://zotero.org/groups/465531/items/FXGREBRH"],"uri":["http://zotero.org/groups/465531/items/FXGREBRH"],"itemData":{"id":2177,"type":"article-journal","title":"Offspring birth weight and parental cardiovascular mortality","container-title":"International Journal of Epidemiology","page":"1082-1090","volume":"39","issue":"4","source":"PubMed","abstract":"BACKGROUND: Mothers bearing small offspring are at increased risk of cardiovascular disease (CVD) mortality. The cardiovascular risk for fathers of small offspring is, however, inconclusive. Very few studies with sufficiently large sample sizes have been conducted to specifically differentiate the maternal/paternal CVD risk in association with offspring birth weight in the same population.\nMETHODS: This study followed 1,400,383 primigravida and their spouses with singleton births registered in Taiwan between 1978 and 1987 to the end of 2006. By linking to the mortality registry, the hazards ratio (HR) of parental cardiovascular mortality was measured in relation to lower offspring birth weights.\nRESULTS: The covariate-adjusted HR and 95% confidence interval (CI) of CVD mortality for 1 standard deviation higher offspring birth weight was reduced (HR = 0.89; 95% CI: 0.85-0.94) for mothers, but less obvious for fathers (HR = 0.97; 95% CI: 0.95-1.00). Analyses of the categorical offspring birth weights revealed that the association between bearing low-birth-weight offspring (&lt;2500 g) and CVD mortality was also stronger in mothers (adjusted HR = 1.85; 95% CI: 1.67-2.18) than in fathers (adjusted HR = 1.13; 95% CI: 1.03-1.24). On standardizing the birth weight for gestational age, the observed associations persisted, although these associations were relatively weak.\nCONCLUSIONS: This large cohort analysis confirmed that the bearing of smaller size infants is associated with a stronger elevated risk for CVD mortality in mothers than in fathers. Women who have had a lower birth-weight offspring can be targeted for CVD-prevention measures.","DOI":"10.1093/ije/dyq045","ISSN":"1464-3685","note":"PMID: 20375103","journalAbbreviation":"Int J Epidemiol","language":"eng","author":[{"family":"Li","given":"Chung-Yi"},{"family":"Chen","given":"Hua-Fen"},{"family":"Sung","given":"Fung-Chang"},{"family":"Chen","given":"Chu-Chieh"},{"family":"Lu","given":"Tsung-Hsueh"},{"family":"Yang","given":"Chiang-Hsing"},{"family":"Ko","given":"Ming-Chung"}],"issued":{"date-parts":[["2010",8]]}}}],"schema":"https://github.com/citation-style-language/schema/raw/master/csl-citation.json"} </w:instrText>
      </w:r>
      <w:r w:rsidRPr="001340AB">
        <w:fldChar w:fldCharType="separate"/>
      </w:r>
      <w:r w:rsidRPr="008C60A7">
        <w:rPr>
          <w:rFonts w:cs="Times New Roman"/>
          <w:szCs w:val="24"/>
          <w:vertAlign w:val="superscript"/>
        </w:rPr>
        <w:t>8–15</w:t>
      </w:r>
      <w:r w:rsidRPr="001340AB">
        <w:fldChar w:fldCharType="end"/>
      </w:r>
      <w:r w:rsidRPr="001340AB">
        <w:t>; however, significant associations do not necessarily translate into improved prediction</w:t>
      </w:r>
      <w:r w:rsidRPr="001340AB">
        <w:fldChar w:fldCharType="begin"/>
      </w:r>
      <w:r>
        <w:instrText xml:space="preserve"> ADDIN ZOTERO_ITEM CSL_CITATION {"citationID":"a2474iah543","properties":{"formattedCitation":"\\super 40\\nosupersub{}","plainCitation":"40","noteIndex":0},"citationItems":[{"id":2215,"uris":["http://zotero.org/groups/465531/items/NSLHQ7EW"],"uri":["http://zotero.org/groups/465531/items/NSLHQ7EW"],"itemData":{"id":2215,"type":"article-journal","title":"Limitations of the Odds Ratio in Gauging the Performance of a Diagnostic, Prognostic, or Screening Marker","container-title":"American Journal of Epidemiology","page":"882-890","volume":"159","issue":"9","source":"academic-oup-com.ezp-prod1.hul.harvard.edu","abstract":"A marker strongly associated with outcome (or disease) is often assumed to be effective for classifying persons according to their current or future outcome. However, for this assumption to be true, the associated odds ratio must be of a magnitude rarely seen in epidemiologic studies. In this paper, an illustration of the relation between odds ratios and receiver operating characteristic curves shows, for example, that a marker with an odds ratio of as high as 3 is in fact a very poor classification tool. If a marker identifies 10% of controls as positive (false positives) and has an odds ratio of 3, then it will correctly identify only 25% of cases as positive (true positives). The authors illustrate that a single measure of association such as an odds ratio does not meaningfully describe a marker’s ability to classify subjects. Appropriate statistical methods for assessing and reporting the classification power of a marker are described. In addition, the serious pitfalls of using more traditional methods based on parameters in logistic regression models are illustrated.","DOI":"10.1093/aje/kwh101","ISSN":"0002-9262","journalAbbreviation":"Am J Epidemiol","language":"en","author":[{"family":"Pepe","given":"Margaret Sullivan"},{"family":"Janes","given":"Holly"},{"family":"Longton","given":"Gary"},{"family":"Leisenring","given":"Wendy"},{"family":"Newcomb","given":"Polly"}],"issued":{"date-parts":[["2004",5,1]]}}}],"schema":"https://github.com/citation-style-language/schema/raw/master/csl-citation.json"} </w:instrText>
      </w:r>
      <w:r w:rsidRPr="001340AB">
        <w:fldChar w:fldCharType="separate"/>
      </w:r>
      <w:r w:rsidRPr="009D6107">
        <w:rPr>
          <w:rFonts w:cs="Times New Roman"/>
          <w:szCs w:val="24"/>
          <w:vertAlign w:val="superscript"/>
        </w:rPr>
        <w:t>40</w:t>
      </w:r>
      <w:r w:rsidRPr="001340AB">
        <w:fldChar w:fldCharType="end"/>
      </w:r>
      <w:r w:rsidRPr="001340AB">
        <w:t>. Only one previous study based on clinical data assessed prediction model performance after adding pregnancy complications and similarly found very modest to no improvement in CVD risk prediction</w:t>
      </w:r>
      <w:r w:rsidRPr="001340AB">
        <w:fldChar w:fldCharType="begin"/>
      </w:r>
      <w:r>
        <w:instrText xml:space="preserve"> ADDIN ZOTERO_ITEM CSL_CITATION {"citationID":"ksOHJOcq","properties":{"formattedCitation":"\\super 18\\nosupersub{}","plainCitation":"18","noteIndex":0},"citationItems":[{"id":2365,"uris":["http://zotero.org/groups/465531/items/FKEUDKRW"],"uri":["http://zotero.org/groups/465531/items/FKEUDKRW"],"itemData":{"id":2365,"type":"article-journal","title":"The value of pregnancy complication history for 10-year cardiovascular disease risk prediction in middle-aged women","container-title":"European Journal of Epidemiology","page":"1003-1010","volume":"33","issue":"10","source":"PubMed","abstract":"Women with a history of hypertensive disorders of pregnancy (HDP; preeclampsia and gestational hypertension) or delivering low birth weight offspring (LBW; &lt; 2500 g) have twice the risk of cardiovascular disease (CVD). We aimed to study the extent to which history of these pregnancy complications improves CVD risk prediction above and beyond conventional predictors. Parous women attended standardized clinical visits in Sweden. Data were linked to registries of deliveries and CVD. Participants were followed for a first CVD event within 10 years from age 50 (n = 7552) and/or 60 years (n = 5360) and the predictive value of each pregnancy complication above and beyond conventional predictors was investigated. History of LBW offspring was associated with increased risk of CVD when added to conventional predictors in women 50 years of age [Hazard ratio 1.68, 95% Confidence interval (CI) 1.19, 2.37] but not at age 60 (age interaction p = 0.04). However, at age 50 years CVD prediction was not further improved by information on LBW offspring, except that a greater proportion of the women who developed CVD were assigned to a higher risk category (categorical net reclassification improvement for events 0.038, 95% CI 0.003, 0.074). History of HDP was not associated with CVD when adjusted for reference model predictors. In conclusion, a history of pregnancy complications can identify women with increased risk of CVD midlife. However, considered with conventional risk factors, history of HDP or having delivered LBW offspring did not meaningfully improve 10-year CVD risk prediction in women age 50 years or older.","DOI":"10.1007/s10654-018-0429-1","ISSN":"1573-7284","note":"PMID: 30062549","journalAbbreviation":"Eur. J. Epidemiol.","language":"eng","author":[{"family":"Timpka","given":"Simon"},{"family":"Fraser","given":"Abigail"},{"family":"Schyman","given":"Tommy"},{"family":"Stuart","given":"Jennifer J."},{"family":"Åsvold","given":"Bjørn Olav"},{"family":"Mogren","given":"Ingrid"},{"family":"Franks","given":"Paul W."},{"family":"Rich-Edwards","given":"Janet W."}],"issued":{"date-parts":[["2018",10]]}}}],"schema":"https://github.com/citation-style-language/schema/raw/master/csl-citation.json"} </w:instrText>
      </w:r>
      <w:r w:rsidRPr="001340AB">
        <w:fldChar w:fldCharType="separate"/>
      </w:r>
      <w:r w:rsidRPr="009D6107">
        <w:rPr>
          <w:rFonts w:cs="Times New Roman"/>
          <w:szCs w:val="24"/>
          <w:vertAlign w:val="superscript"/>
        </w:rPr>
        <w:t>18</w:t>
      </w:r>
      <w:r w:rsidRPr="001340AB">
        <w:fldChar w:fldCharType="end"/>
      </w:r>
      <w:r w:rsidRPr="001340AB">
        <w:t>. Our study expands on this work using a larger general population sample, covering a wider age range, using validated CVD events, and including preterm and SGA history in addition to hypertensive disorders of pregnancy. Our findings are also supported by a recent study based on self-reported data in female nurses, in which previous preeclampsia did not improve CVD risk prediction</w:t>
      </w:r>
      <w:r w:rsidRPr="001340AB">
        <w:fldChar w:fldCharType="begin"/>
      </w:r>
      <w:r>
        <w:instrText xml:space="preserve"> ADDIN ZOTERO_ITEM CSL_CITATION {"citationID":"8Z6Il5f9","properties":{"formattedCitation":"\\super 19\\nosupersub{}","plainCitation":"19","noteIndex":0},"citationItems":[{"id":2371,"uris":["http://zotero.org/groups/465531/items/32N4RCGS"],"uri":["http://zotero.org/groups/465531/items/32N4RCGS"],"itemData":{"id":2371,"type":"article-journal","title":"Hypertensive Disorders of Pregnancy and 10-Year Cardiovascular Risk Prediction","container-title":"Journal of the American College of Cardiology","page":"1252-1263","volume":"72","issue":"11","source":"PubMed","abstract":"BACKGROUND: Hypertensive disorders of pregnancy (HDP) affect 10% to 15% of women and are associated with a 2-fold increased risk of cardiovascular disease (CVD).\nOBJECTIVES: This study sought to determine whether inclusion of HDP in an established CVD risk score improves prediction of CVD events in women.\nMETHODS: The analysis comprised 106,230 ≤10-year observations contributed by 67,406 women, age ≥40 years, free of prior CVD, with data available on model covariates in the Nurses' Health Study II. Participants were followed up for confirmed myocardial infarction, fatal coronary heart disease, or stroke from 1989 to 2013. We fit an established CVD risk prediction model (Model A: age, total cholesterol and high-density lipoprotein cholesterol, systolic blood pressure, antihypertensive medication use, current smoking, diabetes mellitus) and compared it to the same model plus HDP and parity (Model B); Cox proportional hazards models were used to obtain predicted probabilities for 10-year CVD risk.\nRESULTS: HDP and parity were associated with 10-year CVD risk independent of established CVD risk factors, overall and at ages 40 to 49 years. However, inclusion of HDP and parity in the risk prediction model did not improve discrimination (Model A: C-index = 0.691; Model B: C-index = 0.693; p value for difference = 0.31) or risk reclassification (net reclassification improvement = 0.4%; 95% confidence interval: -0.2 to 1.0%; p = 0.26).\nCONCLUSIONS: In this first test of the clinical utility of HDP and parity in CVD risk prediction, additional inclusion of HDP and parity in an established risk score did not improve discrimination or reclassification in this low-risk population; this might be because of the known associations between HDP and established CVD risk factors in the reference model.","DOI":"10.1016/j.jacc.2018.05.077","ISSN":"1558-3597","note":"PMID: 30190003\nPMCID: PMC6136445","journalAbbreviation":"J. Am. Coll. Cardiol.","language":"eng","author":[{"family":"Stuart","given":"Jennifer J."},{"family":"Tanz","given":"Lauren J."},{"family":"Cook","given":"Nancy R."},{"family":"Spiegelman","given":"Donna"},{"family":"Missmer","given":"Stacey A."},{"family":"Rimm","given":"Eric B."},{"family":"Rexrode","given":"Kathryn M."},{"family":"Mukamal","given":"Kenneth J."},{"family":"Rich-Edwards","given":"Janet W."}],"issued":{"date-parts":[["2018",9,11]]}}}],"schema":"https://github.com/citation-style-language/schema/raw/master/csl-citation.json"} </w:instrText>
      </w:r>
      <w:r w:rsidRPr="001340AB">
        <w:fldChar w:fldCharType="separate"/>
      </w:r>
      <w:r w:rsidRPr="009D6107">
        <w:rPr>
          <w:rFonts w:cs="Times New Roman"/>
          <w:szCs w:val="24"/>
          <w:vertAlign w:val="superscript"/>
        </w:rPr>
        <w:t>19</w:t>
      </w:r>
      <w:r w:rsidRPr="001340AB">
        <w:fldChar w:fldCharType="end"/>
      </w:r>
      <w:r w:rsidRPr="001340AB">
        <w:t>.</w:t>
      </w:r>
    </w:p>
    <w:p w14:paraId="24D1B037" w14:textId="77777777" w:rsidR="009758B9" w:rsidRPr="001340AB" w:rsidRDefault="009758B9" w:rsidP="009758B9">
      <w:pPr>
        <w:spacing w:line="480" w:lineRule="auto"/>
        <w:ind w:firstLine="720"/>
      </w:pPr>
      <w:r w:rsidRPr="001340AB">
        <w:t>The goal of this study was to examine the ability of pregnancy complications to predict CVD rather than their associations; however, it is worth noting that the magnitude of observed associations between pregnancy complications and CVD in our study were lower than those reported in previous studies, particularly for preterm, gestational hypertension, and SGA</w:t>
      </w:r>
      <w:r w:rsidRPr="001340AB">
        <w:fldChar w:fldCharType="begin"/>
      </w:r>
      <w:r w:rsidRPr="001340AB">
        <w:instrText xml:space="preserve"> ADDIN ZOTERO_ITEM CSL_CITATION {"citationID":"XSeFI3KH","properties":{"formattedCitation":"\\super 10\\uc0\\u8211{}15\\nosupersub{}","plainCitation":"10–15","noteIndex":0},"citationItems":[{"id":2289,"uris":["http://zotero.org/groups/465531/items/UF8Q97AC"],"uri":["http://zotero.org/groups/465531/items/UF8Q97AC"],"itemData":{"id":2289,"type":"article-journal","title":"All Hypertensive Disorders of Pregnancy Increase the Risk of Future Cardiovascular Disease","container-title":"Hypertension","page":"HYPERTENSIONAHA.117.09246","source":"hyper.ahajournals.org","abstract":"Hypertensive disorders of pregnancy are associated with vascular dysfunction in the pregnancy and an increased risk of long-term cardiovascular disease (CVD) in the mother. What remains to be understood is whether the length, severity of the disease, the treatment of hypertension in pregnancy, or the subtype of hypertensive disorders of pregnancy are significant predictors of future CVD. We undertook a retrospective cohort study to review all women who gave birth at a tertiary hospital in Sydney between the years 1980 and 1989 (n=31 656). A cohort of women was further defined by having hypertension during the antenatal, intrapartum, or postnatal periods (n=4387). Randomly selected records of women (n=1158) with a hypertensive disorder of pregnancy were individually reviewed to collect data on their pregnancy and pregnancy outcomes. The entire cohort then underwent linkage analysis to future CVDs. Women who presented with gestational hypertension were at greater risk of future hypertension and ischemic heart disease compared with the women who were diagnosed with preeclampsia. There was no significant difference between the women who were treated with antihypertensive medication and the women who did not receive antihypertensive medication or the duration of hypertensive disorders of pregnancy and future admission for CVD, although severity of hypertension tracked with increased risk of future hypertension in all groups. This study demonstrated that all women who present with any of the subtypes of hypertensive disorders in pregnancy are at significant risk of future CVD compared with women who remain normotensive during their pregnancy.","DOI":"10.1161/HYPERTENSIONAHA.117.09246","ISSN":"0194-911X, 1524-4563","note":"PMID: 28893895","language":"en","author":[{"family":"Tooher","given":"Jane"},{"family":"Thornton","given":"Charlene"},{"family":"Makris","given":"Angela"},{"family":"Ogle","given":"Robert"},{"family":"Korda","given":"Andrew"},{"family":"Hennessy","given":"Annemarie"}],"issued":{"date-parts":[["2017",1,1]]}}},{"id":2072,"uris":["http://zotero.org/users/2002240/items/NV6Z43U3"],"uri":["http://zotero.org/users/2002240/items/NV6Z43U3"],"itemData":{"id":2072,"type":"article-journal","title":"History of preterm birth and subsequent cardiovascular disease: a systematic review","container-title":"American Journal of Obstetrics and Gynecology","page":"285-297","volume":"210","issue":"4","source":"PubMed","abstract":"A history of preterm birth (PTB) may be an important lifetime risk factor for cardiovascular disease (CVD) in women. We identified all peer-reviewed journal articles that met study criteria (English language, human studies, female, and adults ≥19 years old), that were found in the PubMed/MEDLINE databases, and that were published between Jan. 1, 1995, and Sept. 17, 2012. We summarized 10 studies that assessed the association between having a history of PTB and subsequent CVD morbidity or death. Compared with women who had term deliveries, women with any history of PTB had increased risk of CVD morbidity (variously defined; adjusted hazard ratio [aHR] ranged from 1.2-2.9; 2 studies), ischemic heart disease (aHR, 1.3-2.1; 3 studies), stroke (aHR, 1.7; 1 study), and atherosclerosis (aHR, 4.1; 1 study). Four of 5 studies that examined death showed that women with a history of PTB have twice the risk of CVD death compared with women who had term births. Two studies reported statistically significant higher risk of CVD-related morbidity and death outcomes (variously defined) among women with ≥2 pregnancies that ended in PTBs compared with women who had at least 2 births but which ended in only 1 PTB. Future research is needed to understand the potential impact of enhanced monitoring of CVD risk factors in women with a history of PTB on risk of future CVD risk.","DOI":"10.1016/j.ajog.2013.09.020","ISSN":"1097-6868","note":"PMID: 24055578\nPMCID: PMC4387871","shortTitle":"History of preterm birth and subsequent cardiovascular disease","journalAbbreviation":"Am. J. Obstet. Gynecol.","language":"eng","author":[{"family":"Robbins","given":"Cheryl L."},{"family":"Hutchings","given":"Yalonda"},{"family":"Dietz","given":"Patricia M."},{"family":"Kuklina","given":"Elena V."},{"family":"Callaghan","given":"William M."}],"issued":{"date-parts":[["2014",4]]}}},{"id":2321,"uris":["http://zotero.org/groups/465531/items/ERVH8SI5"],"uri":["http://zotero.org/groups/465531/items/ERVH8SI5"],"itemData":{"id":2321,"type":"article-journal","title":"Preterm Delivery and Future Risk of Maternal Cardiovascular Disease: A Systematic Review and Meta‐Analysis","container-title":"Journal of the American Heart Association","page":"e007809","volume":"7","issue":"2","source":"jaha.ahajournals.org.ezp-prod1.hul.harvard.edu","abstract":"Background Preterm delivery (&lt;37 weeks gestational age) affects 11% of all pregnancies, but data are conflicting whether preterm birth is associated with long‐term adverse maternal cardiovascular outcomes. We aimed to systematically evaluate and summarize the evidence on the relationship between preterm birth and future maternal risk of cardiovascular diseases.\nMethods and Results A systematic search of MEDLINE and EMBASE was performed to identify relevant studies that evaluated the association between preterm birth and future maternal risk of composite cardiovascular disease, coronary heart disease, stroke, and death caused by cardiovascular or coronary heart disease and stroke. We quantified the associations using random effects meta‐analysis. Twenty‐one studies with over 5.8 million women, including over 338 000 women with previous preterm deliveries, were identified. Meta‐analysis of studies that adjusted for potential confounders showed that preterm birth was associated with an increased risk of maternal future cardiovascular disease (risk ratio [RR] 1.43, 95% confidence interval [CI], 1.18, 1.72), cardiovascular disease death (RR 1.78, 95% CI, 1.42, 2.21), coronary heart disease (RR 1.49, 95% CI, 1.38, 1.60), coronary heart disease death (RR 2.10, 95% CI, 1.87, 2.36), and stroke (RR 1.65, 95% CI, 1.51, 1.79). Sensitivity analysis showed that the highest risks occurred when the preterm deliveries occurred before 32 weeks gestation or were medically indicated.\nConclusions Preterm delivery is associated with an increase in future maternal adverse cardiovascular outcomes, including a 2‐fold increase in deaths caused by coronary heart disease. These findings support the assessment of preterm delivery in cardiovascular risk assessment in women.","DOI":"10.1161/JAHA.117.007809","ISSN":"2047-9980, 2047-9980","note":"PMID: 29335319","shortTitle":"Preterm Delivery and Future Risk of Maternal Cardiovascular Disease","language":"en","author":[{"family":"Wu","given":"Pensée"},{"family":"Gulati","given":"Martha"},{"family":"Kwok","given":"Chun Shing"},{"family":"Wong","given":"Chun Wai"},{"family":"Narain","given":"Aditya"},{"family":"O'Brien","given":"Shaughn"},{"family":"Chew‐Graham","given":"Carolyn A."},{"family":"Verma","given":"Ganga"},{"family":"Kadam","given":"Umesh T."},{"family":"Mamas","given":"Mamas A."}],"issued":{"date-parts":[["2018",1,1]]}}},{"id":2044,"uris":["http://zotero.org/users/2002240/items/R2J4VAS8"],"uri":["http://zotero.org/users/2002240/items/R2J4VAS8"],"itemData":{"id":2044,"type":"article-journal","title":"Offspring birthweight by gestational age and parental cardiovascular mortality: a population-based cohort study","container-title":"BJOG: An International Journal of Obstetrics &amp; Gynaecology","page":"n/a-n/a","source":"Wiley Online Library","abstract":"Objective\n\nTo estimate risk of parental cardiovascular disease mortality by offspring birthweight.\n\n\nDesign\n\nPopulation-based cohort study.\n\n\nSetting and population\n\nNorwegian mothers and fathers with singleton births during 1967–2002 were followed until 2009 by linkage to the Norwegian cause of death registry.\n\n\nMethods\n\nHazard ratios by offspring absolute birthweight in grams and birthweight adjusted for gestational age (z-score) were calculated using Cox regression and adjusted for parental age at delivery and year of first birth. Stratified analyses on preterm and term births were performed.\n\n\nMain outcome measures\n\nMaternal and paternal cardiovascular mortality.\n\n\nResults\n\nWe followed 711 726 mothers and 700 212 fathers and found a strong link between maternal cardiovascular mortality and offspring birthweight but only slight evidence of associations in fathers. Adjusting birthweight for gestational age (by z-score) uncovered an unexpected strong association of large birthweight (z-score &gt; 2.5) with mothers’ cardiovascular mortality (hazard ratio 3.0, 95% CI 2.0–4.6). This risk was apparently restricted to preterm births. In stratified analyses (preterm and term births) hazard ratios for maternal cardiovascular mortality were 1.5 (1.03–2.2) for large preterm babies and 0.9 (0.7–1.2) for large term babies (P-value for interaction = 0.02), using normal weight preterm and term, respectively, as references.\n\n\nConclusion\n\nWomen having large preterm babies are at increased risk of both diabetes and cardiovascular mortality. The birth of a large preterm baby should increase clinical vigilance for onset of diabetes and other cardiovascular disease risk factors.\n\n\nTweetable abstract\n\nBirth of a large preterm baby should increase vigilance for cardiovascular-disease risk factors.","DOI":"10.1111/1471-0528.14522","ISSN":"1471-0528","shortTitle":"Offspring birthweight by gestational age and parental cardiovascular mortality","journalAbbreviation":"BJOG: Int J Obstet Gy","language":"en","author":[{"family":"Morken","given":"N-H"},{"family":"Halland","given":"F"},{"family":"DeRoo","given":"La"},{"family":"Wilcox","given":"Aj"},{"family":"Skjærven","given":"R"}],"issued":{"date-parts":[["2017",2,1]]}}},{"id":2175,"uris":["http://zotero.org/groups/465531/items/LBB95UEZ"],"uri":["http://zotero.org/groups/465531/items/LBB95UEZ"],"itemData":{"id":2175,"type":"article-journal","title":"Fetal growth and later maternal death, cardiovascular disease and diabetes","container-title":"Acta Obstetricia Et Gynecologica Scandinavica","page":"503-510","volume":"91","issue":"4","source":"PubMed","abstract":"OBJECTIVES: Low birthweight of the offspring has been associated with increased risk of early death and ischemic heart disease in the mother. However, other measurements of fetal growth than the basic birthweight are more accurate. We investigated the relation between the standardized birthweight by gestational age and gender and the ponderal index and the mother's subsequent mortality and cardiovascular morbidity.\nDESIGN: Registry-based retrospective cohort study.\nSETTING: Women with a first singleton delivery in Denmark from 1978 to 2007.\nPOPULATION: 782 287 women followed for 14.6 years yielding 11 600 945 person-years.\nMETHODS: Cox proportional hazard models.\nMAIN OUTCOME MEASURES: The primary exposures were variation in the standardized birthweight and ponderal index. The endpoints were subsequent maternal death, hypertension, ischemic heart disease, stroke, thrombosis, and diabetes mellitus.\nRESULTS: The risk-profile for the standardized birthweight and subsequent maternal death had a nadir between -0.5 and -1 SD (HR 0.91; 95%CI 0.83-1.00) and increased with decreasing fetal growth peaking at &lt;-3 SD (HR 2.75; 95%CI 2.37-3.19) compared to the median. The risk-profile for subsequent diabetes mellitus by standardized ponderal index had a nadir between +0.5 to +1 SD (HR 0.82; 95%CI 0.76-0.89) rising with increasing fetal growth and peaking at &gt;+3 SD (HR 17.8; 95%CI 15.0-21.0). The risk-profiles for standardized ponderal index paralleled those for birthweight, but with smaller risk estimates. Adjusting for other pregnancy complications diminished the estimates.\nCONCLUSION: The fetal growth is a marker of subsequent risk for premature death, cardiovascular disease, and diabetes mellitus in the mother.","DOI":"10.1111/j.1600-0412.2011.01355.x","ISSN":"1600-0412","note":"PMID: 22372730","journalAbbreviation":"Acta Obstet Gynecol Scand","language":"eng","author":[{"family":"Lykke","given":"Jacob A."},{"family":"Paidas","given":"Michael J."},{"family":"Triche","given":"Elizabeth W."},{"family":"Langhoff-Roos","given":"Jens"}],"issued":{"date-parts":[["2012",4]]}}},{"id":2177,"uris":["http://zotero.org/groups/465531/items/FXGREBRH"],"uri":["http://zotero.org/groups/465531/items/FXGREBRH"],"itemData":{"id":2177,"type":"article-journal","title":"Offspring birth weight and parental cardiovascular mortality","container-title":"International Journal of Epidemiology","page":"1082-1090","volume":"39","issue":"4","source":"PubMed","abstract":"BACKGROUND: Mothers bearing small offspring are at increased risk of cardiovascular disease (CVD) mortality. The cardiovascular risk for fathers of small offspring is, however, inconclusive. Very few studies with sufficiently large sample sizes have been conducted to specifically differentiate the maternal/paternal CVD risk in association with offspring birth weight in the same population.\nMETHODS: This study followed 1,400,383 primigravida and their spouses with singleton births registered in Taiwan between 1978 and 1987 to the end of 2006. By linking to the mortality registry, the hazards ratio (HR) of parental cardiovascular mortality was measured in relation to lower offspring birth weights.\nRESULTS: The covariate-adjusted HR and 95% confidence interval (CI) of CVD mortality for 1 standard deviation higher offspring birth weight was reduced (HR = 0.89; 95% CI: 0.85-0.94) for mothers, but less obvious for fathers (HR = 0.97; 95% CI: 0.95-1.00). Analyses of the categorical offspring birth weights revealed that the association between bearing low-birth-weight offspring (&lt;2500 g) and CVD mortality was also stronger in mothers (adjusted HR = 1.85; 95% CI: 1.67-2.18) than in fathers (adjusted HR = 1.13; 95% CI: 1.03-1.24). On standardizing the birth weight for gestational age, the observed associations persisted, although these associations were relatively weak.\nCONCLUSIONS: This large cohort analysis confirmed that the bearing of smaller size infants is associated with a stronger elevated risk for CVD mortality in mothers than in fathers. Women who have had a lower birth-weight offspring can be targeted for CVD-prevention measures.","DOI":"10.1093/ije/dyq045","ISSN":"1464-3685","note":"PMID: 20375103","journalAbbreviation":"Int J Epidemiol","language":"eng","author":[{"family":"Li","given":"Chung-Yi"},{"family":"Chen","given":"Hua-Fen"},{"family":"Sung","given":"Fung-Chang"},{"family":"Chen","given":"Chu-Chieh"},{"family":"Lu","given":"Tsung-Hsueh"},{"family":"Yang","given":"Chiang-Hsing"},{"family":"Ko","given":"Ming-Chung"}],"issued":{"date-parts":[["2010",8]]}}}],"schema":"https://github.com/citation-style-language/schema/raw/master/csl-citation.json"} </w:instrText>
      </w:r>
      <w:r w:rsidRPr="001340AB">
        <w:fldChar w:fldCharType="separate"/>
      </w:r>
      <w:r w:rsidRPr="008C60A7">
        <w:rPr>
          <w:rFonts w:cs="Times New Roman"/>
          <w:szCs w:val="24"/>
          <w:vertAlign w:val="superscript"/>
        </w:rPr>
        <w:t>10–15</w:t>
      </w:r>
      <w:r w:rsidRPr="001340AB">
        <w:fldChar w:fldCharType="end"/>
      </w:r>
      <w:r w:rsidRPr="001340AB">
        <w:t xml:space="preserve">. </w:t>
      </w:r>
      <w:r w:rsidRPr="001340AB">
        <w:lastRenderedPageBreak/>
        <w:t>This was true even compared to some Norwegian studies</w:t>
      </w:r>
      <w:r w:rsidRPr="001340AB">
        <w:fldChar w:fldCharType="begin"/>
      </w:r>
      <w:r>
        <w:instrText xml:space="preserve"> ADDIN ZOTERO_ITEM CSL_CITATION {"citationID":"kqD1uecG","properties":{"formattedCitation":"\\super 41\\uc0\\u8211{}44\\nosupersub{}","plainCitation":"41–44","noteIndex":0},"citationItems":[{"id":1990,"uris":["http://zotero.org/users/2002240/items/CFNWMZ3K"],"uri":["http://zotero.org/users/2002240/items/CFNWMZ3K"],"itemData":{"id":1990,"type":"article-journal","title":"Duration of pregnancy, even at term, predicts long-term risk of coronary heart disease and stroke mortality in women: a population-based study","container-title":"American Journal of Obstetrics and Gynecology","page":"518.e1-8","volume":"213","issue":"4","source":"PubMed","abstract":"OBJECTIVE: Preterm delivery may predict an increased risk of cardiovascular disease in mothers, providing opportunities for prevention. No study had examined whether gestation length within the term period predicts future CVD, and there are few data segregating spontaneous from medically indicated deliveries.\nSTUDY DESIGN: We used proportional hazards models to predict CVD death by gestation length, adjusted for age, education, and delivery year among 688,662 women with births from 1967 through 1998 in the Medical Birth Registry of Norway. Mothers were traced in the National Cause of Death Registry through 2009; there were 2324 CVD deaths.\nRESULTS: Compared with women who delivered spontaneously at 39-41 weeks' gestation, women who spontaneously delivered earlier had higher risks of CVD death. Hazard ratios were 1.9 at 22-31 weeks, 2.2 at 32-34 weeks, 1.6 at 35-36 weeks, and 1.4 at 37-38 weeks. Risks were higher among women with medically indicated deliveries (hazard ratio, 4.8 at 22-31 weeks, 2.7 at 32-34 weeks, 4.3 at 35-36 weeks, and 1.6 at 37-38 weeks compared with spontaneous deliveries at 39-41 weeks). Neither spontaneous nor indicated delivery after 41 weeks was associated with CVD mortality. Risks were highest with recurrent preterm pregnancies, and for women who delivered only one child, especially if that delivery was preterm.\nCONCLUSION: Women who deliver spontaneously before 37 weeks had a 2-fold increased risk of CVD mortality compared with women who had delivered after 38 weeks. Even women with spontaneous deliveries at early term (37-38 weeks) had a 41% elevated risk of CVD death compared with women delivering at 39-41 weeks.","DOI":"10.1016/j.ajog.2015.06.001","ISSN":"1097-6868","note":"PMID: 26070706","shortTitle":"Duration of pregnancy, even at term, predicts long-term risk of coronary heart disease and stroke mortality in women","journalAbbreviation":"Am. J. Obstet. Gynecol.","language":"eng","author":[{"family":"Rich-Edwards","given":"Janet W."},{"family":"Klungsoyr","given":"Kari"},{"family":"Wilcox","given":"Allen J."},{"family":"Skjaerven","given":"Rolv"}],"issued":{"date-parts":[["2015",10]]}}},{"id":2262,"uris":["http://zotero.org/groups/465531/items/5TF97FDJ"],"uri":["http://zotero.org/groups/465531/items/5TF97FDJ"],"itemData":{"id":2262,"type":"article-journal","title":"Cardiovascular mortality after pre-eclampsia in one child mothers: prospective, population based cohort study","container-title":"BMJ","page":"e7677","volume":"345","source":"www.bmj.com.ezp-prod1.hul.harvard.edu","abstract":"Objective To assess the association of pre-eclampsia with later cardiovascular death in mothers according to their lifetime number of pregnancies, and particularly after only one child.\nDesign Prospective, population based cohort study.\nSetting Medical Birth Registry of Norway.\nParticipants We followed 836 147 Norwegian women with a first singleton birth between 1967 and 2002 for cardiovascular mortality through linkage to the national Cause of Death Registry. About 23 000 women died by 2009, of whom 3891 died from cardiovascular causes. Associations between pre-eclampsia and cardiovascular death were assessed by hazard ratios, estimated by Cox regression analyses. Hazard ratios were adjusted for maternal education (three categories), maternal age at first birth, and year of first birth\nResults The rate of cardiovascular mortality among women with preterm pre-eclampsia was 9.2% after having only one child, falling to 1.1% for those with two or more children. With term pre-eclampsia, the rates were 2.8% and 1.1%, respectively. Women with pre-eclampsia in their first pregnancy had higher rates of cardiovascular death than those who did not have the condition at first birth (adjusted hazard ratio 1.6 (95% confidence interval 1.4 to 2.0) after term pre-eclampsia; 3.7 (2.7 to 4.8) after preterm pre-eclampsia). Among women with only one lifetime pregnancy, the increase in risk of cardiovascular death was higher than for those with two or more children (3.4 (2.6 to 4.6) after term pre-eclampsia; 9.4 (6.5 to 13.7) after preterm pre-eclampsia). The risk of cardiovascular death was only moderately elevated among women with pre-eclamptic first pregnancies who went on to have additional children (1.5 (1.2 to 2.0) after term pre-eclampsia; 2.4 (1.5 to 3.9) after preterm pre-eclampsia). There was little evidence of additional risk after recurrent pre-eclampsia. All cause mortality for women with two or more lifetime births, who had pre-eclampsia in first pregnancy, was not elevated, even with preterm pre-eclampsia in first pregnancy (1.1 (0.87 to 1.14)).\nConclusions Cardiovascular death in women with pre-eclampsia in their first pregnancy is concentrated mainly in women with no additional births. This association might be due to health problems that discourage or prevent further pregnancies rather than to pre-eclampsia itself. As a screening criterion for cardiovascular disease risk, pre-eclampsia is a strong predictor primarily among women with only one child—particularly with preterm pre-eclampsia.","DOI":"10.1136/bmj.e7677","ISSN":"1756-1833","note":"PMID: 23186909","shortTitle":"Cardiovascular mortality after pre-eclampsia in one child mothers","journalAbbreviation":"BMJ","language":"en","author":[{"family":"Skjaerven","given":"Rolv"},{"family":"Wilcox","given":"Allen J."},{"family":"Klungsøyr","given":"Kari"},{"family":"Irgens","given":"Lorentz M."},{"family":"Vikse","given":"Bjørn Egil"},{"family":"Vatten","given":"Lars J."},{"family":"Lie","given":"Rolv Terje"}],"issued":{"date-parts":[["2012",11,27]]}}},{"id":1892,"uris":["http://zotero.org/groups/465531/items/F3KWC6RG"],"uri":["http://zotero.org/groups/465531/items/F3KWC6RG"],"itemData":{"id":1892,"type":"article-journal","title":"Incident Coronary Heart Disease After Preeclampsia: Role of Reduced Fetal Growth, Preterm Delivery, and Parity","container-title":"Journal of the American Heart Association","volume":"6","issue":"3","source":"PubMed","abstract":"BACKGROUND: Preeclampsia is a severe pregnancy disorder often complicated by reduced fetal growth or preterm delivery and is associated with long-term maternal morbidity and mortality. We aimed to assess the association between preeclampsia phenotypes and risk of subsequent coronary heart disease and maternal cardiovascular mortality.\nMETHODS AND RESULTS: Women aged 16 to 49 years who gave birth during 1980-2002 and registered in the Medical Birth Registry of Norway were followed prospectively (1-29 years) for an incident major coronary event and mortality through linkage with the Cardiovascular Disease in Norway 1994-2009 (CVDNOR) project and the Norwegian Cause of Death Registry. Preeclampsia was subdivided based on the presence of a child born small for gestational age or preterm delivery. Among 506 350 women with 1 to 5 singleton births, there were 1275 (0.3%) occurrences of major coronary event, 468 (0.1%) cardiovascular deaths, and 5411 (1.1%) deaths overall. Compared with women without preeclampsia, the hazard ratio (95% CI) for major coronary event was 2.1 (1.73-2.65) after preeclampsia alone, 3.3 (2.37-4.57) after preeclampsia in combination with small for gestational age, and 5.4 (3.74-7.74) after preeclampsia in combination with preterm delivery. Analyses distinguishing women with 1 (n=61 352) or &gt;1 (n=281 069) lifetime pregnancy and analyses with cardiovascular mortality as outcome followed the same pattern.\nCONCLUSIONS: The occurrence of major coronary events was increased among women with preeclampsia and highest for preeclampsia combined with a child born small for gestational age and/or preterm delivery.","DOI":"10.1161/JAHA.116.004158","ISSN":"2047-9980","note":"PMID: 28264858","shortTitle":"Incident Coronary Heart Disease After Preeclampsia","journalAbbreviation":"J Am Heart Assoc","language":"eng","author":[{"family":"Riise","given":"Hilde Kristin Refvik"},{"family":"Sulo","given":"Gerhard"},{"family":"Tell","given":"Grethe S."},{"family":"Igland","given":"Jannicke"},{"family":"Nygård","given":"Ottar"},{"family":"Vollset","given":"Stein Emil"},{"family":"Iversen","given":"Ann-Charlotte"},{"family":"Austgulen","given":"Rigmor"},{"family":"Daltveit","given":"Anne Kjersti"}],"issued":{"date-parts":[["2017",3,6]]}}},{"id":2319,"uris":["http://zotero.org/groups/465531/items/2W68TM7D"],"uri":["http://zotero.org/groups/465531/items/2W68TM7D"],"itemData":{"id":2319,"type":"article-journal","title":"Association Between Gestational Hypertension and Risk of Cardiovascular Disease Among 617 589 Norwegian Women","container-title":"Journal of the American Heart Association","volume":"7","issue":"10","source":"PubMed","abstract":"BACKGROUND: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parity.\nMETHODS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pregnancies.\nCONCLUSIONS: GH was associated with increased risk of subsequent CVD, and the highest risk was observed when GH was combined with small-for-gestational-age infants and/or preterm delivery.","DOI":"10.1161/JAHA.117.008337","ISSN":"2047-9980","note":"PMID: 29755034","journalAbbreviation":"J Am Heart Assoc","language":"eng","author":[{"family":"Riise","given":"Hilde Kristin Refvik"},{"family":"Sulo","given":"Gerhard"},{"family":"Tell","given":"Grethe S."},{"family":"Igland","given":"Jannicke"},{"family":"Nygård","given":"Ottar"},{"family":"Iversen","given":"Ann-Charlotte"},{"family":"Daltveit","given":"Anne Kjersti"}],"issued":{"date-parts":[["2018",5,13]]}}}],"schema":"https://github.com/citation-style-language/schema/raw/master/csl-citation.json"} </w:instrText>
      </w:r>
      <w:r w:rsidRPr="001340AB">
        <w:fldChar w:fldCharType="separate"/>
      </w:r>
      <w:r w:rsidRPr="009D6107">
        <w:rPr>
          <w:rFonts w:cs="Times New Roman"/>
          <w:szCs w:val="24"/>
          <w:vertAlign w:val="superscript"/>
        </w:rPr>
        <w:t>41–44</w:t>
      </w:r>
      <w:r w:rsidRPr="001340AB">
        <w:fldChar w:fldCharType="end"/>
      </w:r>
      <w:r w:rsidRPr="001340AB">
        <w:t>, although one study found similarly small estimates for preterm and SGA</w:t>
      </w:r>
      <w:r w:rsidRPr="001340AB">
        <w:fldChar w:fldCharType="begin"/>
      </w:r>
      <w:r>
        <w:instrText xml:space="preserve"> ADDIN ZOTERO_ITEM CSL_CITATION {"citationID":"of90RDrx","properties":{"formattedCitation":"\\super 44\\nosupersub{}","plainCitation":"44","noteIndex":0},"citationItems":[{"id":2319,"uris":["http://zotero.org/groups/465531/items/2W68TM7D"],"uri":["http://zotero.org/groups/465531/items/2W68TM7D"],"itemData":{"id":2319,"type":"article-journal","title":"Association Between Gestational Hypertension and Risk of Cardiovascular Disease Among 617 589 Norwegian Women","container-title":"Journal of the American Heart Association","volume":"7","issue":"10","source":"PubMed","abstract":"BACKGROUND: Preeclampsia and gestational hypertension (GH) are the most common hypertensive pregnancy disorders. Preeclampsia has been linked to increased risk of cardiovascular disease (CVD), but a similar association for GH has not been established. We aimed to determine the association between GH and subsequent CVD, and explore the additional role of small-for-gestational-age infants, preterm delivery, and parity.\nMETHODS AND RESULTS: Data from the Medical Birth Registry of Norway were linked to the Cardiovascular Disease in Norway project and the Norwegian Cause of Death Registry. Hazard ratios and 95% confidence intervals were computed using Cox proportional hazard regression, comparing women with and without GH during their first and/or second pregnancy. We included all women with a first delivery from 1980 through 2009 (n=617 589) and followed them for a median of 14.3 (quartile 1-quartile 3: 6.9-21.5) years. Women with GH in the first pregnancy had 1.8-fold (95% confidence interval, 1.7-2.0) higher risk of subsequent CVD compared with women without any hypertensive pregnancy disorder. When GH occurred in combination with small-for-gestational-age infants and/or preterm delivery, the hazard ratio was 2.6 (95% confidence interval, 2.3-3.0). When women with GH were compared with women with preeclampsia, the risk of CVD was comparable when the pregnancy complications occurred in either the first or second pregnancy but was significantly higher for preeclampsia without complications when the disorder occurred in both pregnancies.\nCONCLUSIONS: GH was associated with increased risk of subsequent CVD, and the highest risk was observed when GH was combined with small-for-gestational-age infants and/or preterm delivery.","DOI":"10.1161/JAHA.117.008337","ISSN":"2047-9980","note":"PMID: 29755034","journalAbbreviation":"J Am Heart Assoc","language":"eng","author":[{"family":"Riise","given":"Hilde Kristin Refvik"},{"family":"Sulo","given":"Gerhard"},{"family":"Tell","given":"Grethe S."},{"family":"Igland","given":"Jannicke"},{"family":"Nygård","given":"Ottar"},{"family":"Iversen","given":"Ann-Charlotte"},{"family":"Daltveit","given":"Anne Kjersti"}],"issued":{"date-parts":[["2018",5,13]]}}}],"schema":"https://github.com/citation-style-language/schema/raw/master/csl-citation.json"} </w:instrText>
      </w:r>
      <w:r w:rsidRPr="001340AB">
        <w:fldChar w:fldCharType="separate"/>
      </w:r>
      <w:r w:rsidRPr="009D6107">
        <w:rPr>
          <w:rFonts w:cs="Times New Roman"/>
          <w:szCs w:val="24"/>
          <w:vertAlign w:val="superscript"/>
        </w:rPr>
        <w:t>44</w:t>
      </w:r>
      <w:r w:rsidRPr="001340AB">
        <w:fldChar w:fldCharType="end"/>
      </w:r>
      <w:r w:rsidRPr="001340AB">
        <w:t>. Many previous studies were conducted using death registries and associations with pregnancy complications tend to be lower for nonfatal events</w:t>
      </w:r>
      <w:r w:rsidRPr="001340AB">
        <w:fldChar w:fldCharType="begin"/>
      </w:r>
      <w:r w:rsidRPr="001340AB">
        <w:instrText xml:space="preserve"> ADDIN ZOTERO_ITEM CSL_CITATION {"citationID":"a25qpjp37h1","properties":{"formattedCitation":"\\super 8,11\\nosupersub{}","plainCitation":"8,11","noteIndex":0},"citationItems":[{"id":1759,"uris":["http://zotero.org/groups/465531/items/EW2DD8XN"],"uri":["http://zotero.org/groups/465531/items/EW2DD8XN"],"itemData":{"id":1759,"type":"article-journal","title":"Pre-eclampsia and risk of cardiovascular disease and cancer in later life: systematic review and meta-analysis","container-title":"BMJ","page":"974","volume":"335","issue":"7627","source":"www.bmj.com","abstract":"Objective To quantify the risk of future cardiovascular diseases, cancer, and mortality after pre-eclampsia.\nDesign Systematic review and meta-analysis.\nData sources Embase and Medline without language restrictions, including papers published between 1960 and December 2006, and hand searching of reference lists of relevant articles and reviews for additional reports.\nReview methods Prospective and retrospective cohort studies were included, providing a dataset of 3 488 160 women, with 198 252 affected by pre-eclampsia (exposure group) and 29 495 episodes of cardiovascular disease and cancer (study outcomes).\nResults After pre-eclampsia women have an increased risk of vascular disease. The relative risks (95% confidence intervals) for hypertension were 3.70 (2.70 to 5.05) after 14.1 years weighted mean follow-up, for ischaemic heart disease 2.16 (1.86 to 2.52) after 11.7 years, for stroke 1.81 (1.45 to 2.27) after 10.4 years, and for venous thromboembolism 1.79 (1.37 to 2.33) after 4.7 years. No increase in risk of any cancer was found (0.96, 0.73 to 1.27), including breast cancer (1.04, 0.78 to 1.39) 17 years after pre-eclampsia. Overall mortality after pre-eclampsia was increased: 1.49 (1.05 to 2.14) after 14.5 years.\nConclusions A history of pre-eclampsia should be considered when evaluating risk of cardiovascular disease in women. This association might reflect a common cause for pre-eclampsia and cardiovascular disease, or an effect of pre-eclampsia on disease development, or both. No association was found between pre-eclampsia and future cancer.","DOI":"10.1136/bmj.39335.385301.BE","ISSN":"0959-8138, 1468-5833","note":"PMID: 17975258","shortTitle":"Pre-eclampsia and risk of cardiovascular disease and cancer in later life","journalAbbreviation":"BMJ","language":"en","author":[{"family":"Bellamy","given":"Leanne"},{"family":"Casas","given":"Juan-Pablo"},{"family":"Hingorani","given":"Aroon D."},{"family":"Williams","given":"David J."}],"issued":{"date-parts":[["2007",11,8]]}}},{"id":2072,"uris":["http://zotero.org/users/2002240/items/NV6Z43U3"],"uri":["http://zotero.org/users/2002240/items/NV6Z43U3"],"itemData":{"id":2072,"type":"article-journal","title":"History of preterm birth and subsequent cardiovascular disease: a systematic review","container-title":"American Journal of Obstetrics and Gynecology","page":"285-297","volume":"210","issue":"4","source":"PubMed","abstract":"A history of preterm birth (PTB) may be an important lifetime risk factor for cardiovascular disease (CVD) in women. We identified all peer-reviewed journal articles that met study criteria (English language, human studies, female, and adults ≥19 years old), that were found in the PubMed/MEDLINE databases, and that were published between Jan. 1, 1995, and Sept. 17, 2012. We summarized 10 studies that assessed the association between having a history of PTB and subsequent CVD morbidity or death. Compared with women who had term deliveries, women with any history of PTB had increased risk of CVD morbidity (variously defined; adjusted hazard ratio [aHR] ranged from 1.2-2.9; 2 studies), ischemic heart disease (aHR, 1.3-2.1; 3 studies), stroke (aHR, 1.7; 1 study), and atherosclerosis (aHR, 4.1; 1 study). Four of 5 studies that examined death showed that women with a history of PTB have twice the risk of CVD death compared with women who had term births. Two studies reported statistically significant higher risk of CVD-related morbidity and death outcomes (variously defined) among women with ≥2 pregnancies that ended in PTBs compared with women who had at least 2 births but which ended in only 1 PTB. Future research is needed to understand the potential impact of enhanced monitoring of CVD risk factors in women with a history of PTB on risk of future CVD risk.","DOI":"10.1016/j.ajog.2013.09.020","ISSN":"1097-6868","note":"PMID: 24055578\nPMCID: PMC4387871","shortTitle":"History of preterm birth and subsequent cardiovascular disease","journalAbbreviation":"Am. J. Obstet. Gynecol.","language":"eng","author":[{"family":"Robbins","given":"Cheryl L."},{"family":"Hutchings","given":"Yalonda"},{"family":"Dietz","given":"Patricia M."},{"family":"Kuklina","given":"Elena V."},{"family":"Callaghan","given":"William M."}],"issued":{"date-parts":[["2014",4]]}}}],"schema":"https://github.com/citation-style-language/schema/raw/master/csl-citation.json"} </w:instrText>
      </w:r>
      <w:r w:rsidRPr="001340AB">
        <w:fldChar w:fldCharType="separate"/>
      </w:r>
      <w:r w:rsidRPr="008C60A7">
        <w:rPr>
          <w:rFonts w:cs="Times New Roman"/>
          <w:szCs w:val="24"/>
          <w:vertAlign w:val="superscript"/>
        </w:rPr>
        <w:t>8,11</w:t>
      </w:r>
      <w:r w:rsidRPr="001340AB">
        <w:fldChar w:fldCharType="end"/>
      </w:r>
      <w:r w:rsidRPr="001340AB">
        <w:t xml:space="preserve"> which comprised the majority of events included in this study. Most previous studies also began follow-up time immediately after an index birth and there is some evidence that associations between pregnancy complications and CVD are substantially stronger at younger ages</w:t>
      </w:r>
      <w:r w:rsidRPr="001340AB">
        <w:fldChar w:fldCharType="begin"/>
      </w:r>
      <w:r>
        <w:instrText xml:space="preserve"> ADDIN ZOTERO_ITEM CSL_CITATION {"citationID":"a1r28k3opeg","properties":{"formattedCitation":"\\super 45,46\\nosupersub{}","plainCitation":"45,46","noteIndex":0},"citationItems":[{"id":1855,"uris":["http://zotero.org/users/2002240/items/J337CWCT"],"uri":["http://zotero.org/users/2002240/items/J337CWCT"],"itemData":{"id":1855,"type":"article-journal","title":"Pregnancy Complications and Cardiovascular Disease Death: Fifty-Year Follow-Up of the Child Health and Development Studies Pregnancy Cohort","container-title":"Circulation","page":"CIRCULATIONAHA.113.003901","source":"circ.ahajournals.org.ezp-prod1.hul.harvard.edu","abstract":"Background—Few studies have investigated the combination of pregnancy complications that predict risk for cardiovascular disease (CVD) death and how risk changes with age. This report presents a comprehensive investigation of the relation of the occurrence of multiple pregnancy complications to CVD death over 5 decades in a large pregnancy cohort.\nMethods and Results—We examined pregnancy events (1959-1967) and CVD death through 2011 in 14,062 women from the Child Health and Development Studies. CVD death was determined by linkage to California Vital Statistics and National Death Index. Women were a median age of 26 years at enrollment and 66 years in 2011. Pre-existing hypertension (Hazard Ratio, (HR)=3.5; 95% Confidence Interval (CI)=2.4,5.1); glycosuria (HR=4.2; CI=1.3,13.1); late-onset pre-eclampsia (after week 34, HR=2.0; CI=1.2,3.5); and hemoglobin decline over the 2nd and 3rd trimesters (HR=1.7; CI=1.2,2.7) predicted CVD death. Delivery of a small-for-gestation or preterm infant and early-onset pre-eclampsia (by week 34) significantly predicted premature CVD death (p&lt;0.05 for age dependence). Preterm birth combined with hemorrhage, gestational hypertension, or pre-existing hypertension identified women with a 4 to 7-fold increased risk of CVD death. Pre-eclampsia in combination with pre-existing hypertension conferred a significant nearly 6-fold risk compared to a 4-fold risk for pre-existing hypertension alone.\nConclusions—We observed combinations of pregnancy complications that predict high risk of death and two new risk markers, glycosuria and hemoglobin decline. Obstetricians serve as primary care physicians for many young women and can readily use these complications to identify high-risk women to implement early prevention.","DOI":"10.1161/CIRCULATIONAHA.113.003901","ISSN":"0009-7322, 1524-4539","note":"PMID: 26391409","shortTitle":"Pregnancy Complications and Cardiovascular Disease Death","language":"en","author":[{"family":"Cirillo","given":"Piera M."},{"family":"Cohn","given":"Barbara A."}],"issued":{"date-parts":[["2015",9,21]]}}},{"id":2268,"uris":["http://zotero.org/groups/465531/items/ZINNJ2X8"],"uri":["http://zotero.org/groups/465531/items/ZINNJ2X8"],"itemData":{"id":2268,"type":"article-journal","title":"Birth weight of offspring and subsequent cardiovascular mortality of the parents","container-title":"Epidemiology (Cambridge, Mass.)","page":"563-569","volume":"16","issue":"4","source":"PubMed","abstract":"BACKGROUND: Restricted fetal growth has been associated with increased blood pressure, insulin resistance, and cardiovascular disease in later life. These associations may be due to processes during fetal development with long-term consequences for metabolic and cardiovascular function (the fetal origins hypothesis). However, it has also been hypothesized that common genetic factors could underlie both restricted fetal development and disease risk (the fetal insulin hypothesis).\nMETHODS: We have investigated associations between offspring size at birth and parental mortality in a record linkage study including all 783,814 children born in Sweden between 1973 and 1980. The deaths of 10,368 mothers and 22,807 fathers had been recorded by date and causes of death. Data were analyzed using Cox proportional hazards regression models, with parents' age as the time axis.\nRESULTS: Offspring birth weight (adjusted for gestational age) was inversely associated with all-cause mortality and cardiovascular mortality in the parents, with weaker associations for fathers than for mothers. The inverse association between birth weight and cardiovascular disease mortality was greatest for parents who died at younger ages. Cancer and alcohol-related causes of death were also related to offspring birth weight. A sensitivity analysis suggests that confounding by smoking is unlikely to entirely explain the associations.\nCONCLUSION: Associations between offspring birth characteristics and parents' mortality could, at least in part, reflect genetic factors that influence both birth weight and cardiovascular disease risk.","ISSN":"1044-3983","note":"PMID: 15951676","journalAbbreviation":"Epidemiology","language":"eng","author":[{"family":"Smith","given":"George Davey"},{"family":"Sterne","given":"Jonathan"},{"family":"Tynelius","given":"Per"},{"family":"Lawlor","given":"Debbie A."},{"family":"Rasmussen","given":"Finn"}],"issued":{"date-parts":[["2005",7]]}}}],"schema":"https://github.com/citation-style-language/schema/raw/master/csl-citation.json"} </w:instrText>
      </w:r>
      <w:r w:rsidRPr="001340AB">
        <w:fldChar w:fldCharType="separate"/>
      </w:r>
      <w:r w:rsidRPr="009D6107">
        <w:rPr>
          <w:rFonts w:cs="Times New Roman"/>
          <w:szCs w:val="24"/>
          <w:vertAlign w:val="superscript"/>
        </w:rPr>
        <w:t>45,46</w:t>
      </w:r>
      <w:r w:rsidRPr="001340AB">
        <w:fldChar w:fldCharType="end"/>
      </w:r>
      <w:r w:rsidRPr="001340AB">
        <w:t>. In contrast, we started follow-up for CVD events after age 40 (mean=52 years) to mimic clinical settings in which NORRISK 2 is used, which could also contribute to the modest associations seen in our study. In addition, few previous studies have adjusted for established risk factors included in prediction models</w:t>
      </w:r>
      <w:r w:rsidRPr="001340AB">
        <w:fldChar w:fldCharType="begin"/>
      </w:r>
      <w:r w:rsidRPr="001340AB">
        <w:instrText xml:space="preserve"> ADDIN ZOTERO_ITEM CSL_CITATION {"citationID":"mSGa1GWw","properties":{"formattedCitation":"\\super 8,12\\nosupersub{}","plainCitation":"8,12","noteIndex":0},"citationItems":[{"id":1759,"uris":["http://zotero.org/groups/465531/items/EW2DD8XN"],"uri":["http://zotero.org/groups/465531/items/EW2DD8XN"],"itemData":{"id":1759,"type":"article-journal","title":"Pre-eclampsia and risk of cardiovascular disease and cancer in later life: systematic review and meta-analysis","container-title":"BMJ","page":"974","volume":"335","issue":"7627","source":"www.bmj.com","abstract":"Objective To quantify the risk of future cardiovascular diseases, cancer, and mortality after pre-eclampsia.\nDesign Systematic review and meta-analysis.\nData sources Embase and Medline without language restrictions, including papers published between 1960 and December 2006, and hand searching of reference lists of relevant articles and reviews for additional reports.\nReview methods Prospective and retrospective cohort studies were included, providing a dataset of 3 488 160 women, with 198 252 affected by pre-eclampsia (exposure group) and 29 495 episodes of cardiovascular disease and cancer (study outcomes).\nResults After pre-eclampsia women have an increased risk of vascular disease. The relative risks (95% confidence intervals) for hypertension were 3.70 (2.70 to 5.05) after 14.1 years weighted mean follow-up, for ischaemic heart disease 2.16 (1.86 to 2.52) after 11.7 years, for stroke 1.81 (1.45 to 2.27) after 10.4 years, and for venous thromboembolism 1.79 (1.37 to 2.33) after 4.7 years. No increase in risk of any cancer was found (0.96, 0.73 to 1.27), including breast cancer (1.04, 0.78 to 1.39) 17 years after pre-eclampsia. Overall mortality after pre-eclampsia was increased: 1.49 (1.05 to 2.14) after 14.5 years.\nConclusions A history of pre-eclampsia should be considered when evaluating risk of cardiovascular disease in women. This association might reflect a common cause for pre-eclampsia and cardiovascular disease, or an effect of pre-eclampsia on disease development, or both. No association was found between pre-eclampsia and future cancer.","DOI":"10.1136/bmj.39335.385301.BE","ISSN":"0959-8138, 1468-5833","note":"PMID: 17975258","shortTitle":"Pre-eclampsia and risk of cardiovascular disease and cancer in later life","journalAbbreviation":"BMJ","language":"en","author":[{"family":"Bellamy","given":"Leanne"},{"family":"Casas","given":"Juan-Pablo"},{"family":"Hingorani","given":"Aroon D."},{"family":"Williams","given":"David J."}],"issued":{"date-parts":[["2007",11,8]]}}},{"id":2321,"uris":["http://zotero.org/groups/465531/items/ERVH8SI5"],"uri":["http://zotero.org/groups/465531/items/ERVH8SI5"],"itemData":{"id":2321,"type":"article-journal","title":"Preterm Delivery and Future Risk of Maternal Cardiovascular Disease: A Systematic Review and Meta‐Analysis","container-title":"Journal of the American Heart Association","page":"e007809","volume":"7","issue":"2","source":"jaha.ahajournals.org.ezp-prod1.hul.harvard.edu","abstract":"Background Preterm delivery (&lt;37 weeks gestational age) affects 11% of all pregnancies, but data are conflicting whether preterm birth is associated with long‐term adverse maternal cardiovascular outcomes. We aimed to systematically evaluate and summarize the evidence on the relationship between preterm birth and future maternal risk of cardiovascular diseases.\nMethods and Results A systematic search of MEDLINE and EMBASE was performed to identify relevant studies that evaluated the association between preterm birth and future maternal risk of composite cardiovascular disease, coronary heart disease, stroke, and death caused by cardiovascular or coronary heart disease and stroke. We quantified the associations using random effects meta‐analysis. Twenty‐one studies with over 5.8 million women, including over 338 000 women with previous preterm deliveries, were identified. Meta‐analysis of studies that adjusted for potential confounders showed that preterm birth was associated with an increased risk of maternal future cardiovascular disease (risk ratio [RR] 1.43, 95% confidence interval [CI], 1.18, 1.72), cardiovascular disease death (RR 1.78, 95% CI, 1.42, 2.21), coronary heart disease (RR 1.49, 95% CI, 1.38, 1.60), coronary heart disease death (RR 2.10, 95% CI, 1.87, 2.36), and stroke (RR 1.65, 95% CI, 1.51, 1.79). Sensitivity analysis showed that the highest risks occurred when the preterm deliveries occurred before 32 weeks gestation or were medically indicated.\nConclusions Preterm delivery is associated with an increase in future maternal adverse cardiovascular outcomes, including a 2‐fold increase in deaths caused by coronary heart disease. These findings support the assessment of preterm delivery in cardiovascular risk assessment in women.","DOI":"10.1161/JAHA.117.007809","ISSN":"2047-9980, 2047-9980","note":"PMID: 29335319","shortTitle":"Preterm Delivery and Future Risk of Maternal Cardiovascular Disease","language":"en","author":[{"family":"Wu","given":"Pensée"},{"family":"Gulati","given":"Martha"},{"family":"Kwok","given":"Chun Shing"},{"family":"Wong","given":"Chun Wai"},{"family":"Narain","given":"Aditya"},{"family":"O'Brien","given":"Shaughn"},{"family":"Chew‐Graham","given":"Carolyn A."},{"family":"Verma","given":"Ganga"},{"family":"Kadam","given":"Umesh T."},{"family":"Mamas","given":"Mamas A."}],"issued":{"date-parts":[["2018",1,1]]}}}],"schema":"https://github.com/citation-style-language/schema/raw/master/csl-citation.json"} </w:instrText>
      </w:r>
      <w:r w:rsidRPr="001340AB">
        <w:fldChar w:fldCharType="separate"/>
      </w:r>
      <w:r w:rsidRPr="008C60A7">
        <w:rPr>
          <w:rFonts w:cs="Times New Roman"/>
          <w:szCs w:val="24"/>
          <w:vertAlign w:val="superscript"/>
        </w:rPr>
        <w:t>8,12</w:t>
      </w:r>
      <w:r w:rsidRPr="001340AB">
        <w:fldChar w:fldCharType="end"/>
      </w:r>
      <w:r w:rsidRPr="001340AB">
        <w:t>. There is evidence that the association between HDP and CVD is mediated to a substantial degree by CVD risk factors</w:t>
      </w:r>
      <w:r w:rsidRPr="001340AB">
        <w:fldChar w:fldCharType="begin"/>
      </w:r>
      <w:r>
        <w:instrText xml:space="preserve"> ADDIN ZOTERO_ITEM CSL_CITATION {"citationID":"jdy0WKm6","properties":{"formattedCitation":"\\super 47\\nosupersub{}","plainCitation":"47","noteIndex":0},"citationItems":[{"id":2332,"uris":["http://zotero.org/groups/465531/items/JZ8FNETX"],"uri":["http://zotero.org/groups/465531/items/JZ8FNETX"],"itemData":{"id":2332,"type":"paper-conference","title":"Hypertensive disorders in first pregnancy and maternal cardiovascular disease: mediation by postpartum cardiovascular risk factors","publisher-place":"Seattle, Washington","event":"Society for Epidemiologic Research 50th Annual Meeting","event-place":"Seattle, Washington","author":[{"family":"Stuart","given":"Jennifer"},{"family":"Tanz","given":"Lauren"},{"family":"Rimm","given":"Eric"},{"family":"Spiegleman","given":"Donna"},{"family":"Missmer","given":"Stacey"},{"family":"Mukamal","given":"Kenneth"},{"family":"Rich-Edwards","given":"Janet"}],"issued":{"date-parts":[["2017",6,20]]}}}],"schema":"https://github.com/citation-style-language/schema/raw/master/csl-citation.json"} </w:instrText>
      </w:r>
      <w:r w:rsidRPr="001340AB">
        <w:fldChar w:fldCharType="separate"/>
      </w:r>
      <w:r w:rsidRPr="009D6107">
        <w:rPr>
          <w:rFonts w:cs="Times New Roman"/>
          <w:szCs w:val="24"/>
          <w:vertAlign w:val="superscript"/>
        </w:rPr>
        <w:t>47</w:t>
      </w:r>
      <w:r w:rsidRPr="001340AB">
        <w:fldChar w:fldCharType="end"/>
      </w:r>
      <w:r w:rsidRPr="001340AB">
        <w:t>, which may explain why including preeclampsia in the NORRISK 2 model did not substantially improve discrimination or reclassification.</w:t>
      </w:r>
    </w:p>
    <w:p w14:paraId="1B6201AE" w14:textId="77777777" w:rsidR="009758B9" w:rsidRPr="001340AB" w:rsidRDefault="009758B9" w:rsidP="009758B9">
      <w:pPr>
        <w:spacing w:line="480" w:lineRule="auto"/>
        <w:ind w:firstLine="720"/>
        <w:rPr>
          <w:i/>
        </w:rPr>
      </w:pPr>
    </w:p>
    <w:p w14:paraId="19E71F91" w14:textId="77777777" w:rsidR="009758B9" w:rsidRPr="001340AB" w:rsidRDefault="009758B9" w:rsidP="009758B9">
      <w:pPr>
        <w:spacing w:line="480" w:lineRule="auto"/>
        <w:rPr>
          <w:i/>
        </w:rPr>
      </w:pPr>
      <w:r w:rsidRPr="001340AB">
        <w:rPr>
          <w:i/>
        </w:rPr>
        <w:t>Prediction Modeling Choices</w:t>
      </w:r>
    </w:p>
    <w:p w14:paraId="52B2CFB9" w14:textId="77777777" w:rsidR="009758B9" w:rsidRPr="001340AB" w:rsidRDefault="009758B9" w:rsidP="009758B9">
      <w:pPr>
        <w:spacing w:line="480" w:lineRule="auto"/>
        <w:ind w:firstLine="720"/>
      </w:pPr>
      <w:r w:rsidRPr="001340AB">
        <w:t xml:space="preserve">We chose the NORRISK 2 as our established risk factor model because it is currently recommended for clinical practice in Norway and was built using Norwegian data, including HUNT2 data among other sources. All decisions about how to model variables were made </w:t>
      </w:r>
      <w:r w:rsidRPr="001340AB">
        <w:rPr>
          <w:i/>
        </w:rPr>
        <w:t>a priori</w:t>
      </w:r>
      <w:r w:rsidRPr="001340AB">
        <w:t xml:space="preserve">, aligning with NORRISK 2 wherever possible, thus the risk of overfitting the prediction model to our dataset was low. We also confirmed that estimates were similar after adjusting for model optimism. We used identical definitions of model variables, CVD outcomes, and modeling techniques as the NORRISK 2 model with only one exception. NORRISK 2 includes separate variables for one compared to two or more family members with premature MI; </w:t>
      </w:r>
      <w:r w:rsidRPr="001340AB">
        <w:lastRenderedPageBreak/>
        <w:t>however, this level of detail was not collected in HUNT3 so we used a single variable to summarize any family history of premature MI. The NORRISK 2 model is used exclusively in Norway and pregnancy complications may improve model fit more or less using other established risk prediction models</w:t>
      </w:r>
      <w:r>
        <w:t>. H</w:t>
      </w:r>
      <w:r w:rsidRPr="001340AB">
        <w:t>owever, there is substantial overlap in the variables and methods used in NORRISK 2 compared to other commonly used CVD prediction models such as European SCORE</w:t>
      </w:r>
      <w:r w:rsidRPr="001340AB">
        <w:fldChar w:fldCharType="begin"/>
      </w:r>
      <w:r>
        <w:instrText xml:space="preserve"> ADDIN ZOTERO_ITEM CSL_CITATION {"citationID":"a167mt8cknt","properties":{"formattedCitation":"\\super 48\\nosupersub{}","plainCitation":"48","noteIndex":0},"citationItems":[{"id":2211,"uris":["http://zotero.org/groups/465531/items/6R5KZFI6"],"uri":["http://zotero.org/groups/465531/items/6R5KZFI6"],"itemData":{"id":2211,"type":"article-journal","title":"Estimation of ten-year risk of fatal cardiovascular disease in Europe: the SCORE project","container-title":"European Heart Journal","page":"987-1003","volume":"24","issue":"11","source":"academic-oup-com.ezp-prod1.hul.harvard.edu","abstract":"Aims The SCORE project was initiated to develop a risk scoring system for use in the clinical management of cardiovascular risk in European clinical practice.Methods and results The project assembled a pool of datasets from 12 European cohort studies, mainly carried out in general population settings. There were 205 178 persons (88 080 women and 117 098 men) representing 2.7 million person years of follow-up. There were 7934 cardiovascular deaths, of which 5652 were deaths from coronary heart disease. Ten-year risk of fatal cardiovascular disease was calculated using a Weibull model in which age was used as a measure of exposure time to risk rather than as a risk factor. Separate estimation equations were calculated for coronary heart disease and for non-coronary cardiovascular disease. These were calculated for high-risk and low-risk regions of Europe. Two parallel estimation models were developed, one based on total cholesterol and the other on total cholesterol/HDL cholesterol ratio. The risk estimations are displayed graphically in simple risk charts. Predictive value of the risk charts was examined by applying them to persons aged 45–64; areas under ROC curves ranged from 0.71 to 0.84.Conclusions The SCORE risk estimation system offers direct estimation of total fatal cardiovascular risk in a format suited to the constraints of clinical practice.","DOI":"10.1016/S0195-668X(03)00114-3","ISSN":"0195-668X","shortTitle":"Estimation of ten-year risk of fatal cardiovascular disease in Europe","journalAbbreviation":"Eur Heart J","language":"en","author":[{"family":"Conroy","given":"R. M."},{"family":"Pyörälä","given":"K."},{"family":"Fitzgerald","given":"A. P."},{"family":"Sans","given":"S."},{"family":"Menotti","given":"A."},{"family":"De Backer","given":"G."},{"family":"De Bacquer","given":"D."},{"family":"Ducimetière","given":"P."},{"family":"Jousilahti","given":"P."},{"family":"Keil","given":"U."},{"family":"Njølstad","given":"I."},{"family":"Oganov","given":"R. G."},{"family":"Thomsen","given":"T."},{"family":"Tunstall-Pedoe","given":"H."},{"family":"Tverdal","given":"A."},{"family":"Wedel","given":"H."},{"family":"Whincup","given":"P."},{"family":"Wilhelmsen","given":"L."},{"family":"Graham","given":"I. M."}],"issued":{"date-parts":[["2003",6,1]]}}}],"schema":"https://github.com/citation-style-language/schema/raw/master/csl-citation.json"} </w:instrText>
      </w:r>
      <w:r w:rsidRPr="001340AB">
        <w:fldChar w:fldCharType="separate"/>
      </w:r>
      <w:r w:rsidRPr="009D6107">
        <w:rPr>
          <w:rFonts w:cs="Times New Roman"/>
          <w:szCs w:val="24"/>
          <w:vertAlign w:val="superscript"/>
        </w:rPr>
        <w:t>48</w:t>
      </w:r>
      <w:r w:rsidRPr="001340AB">
        <w:fldChar w:fldCharType="end"/>
      </w:r>
      <w:r w:rsidRPr="001340AB">
        <w:t>, Framingham</w:t>
      </w:r>
      <w:r w:rsidRPr="001340AB">
        <w:fldChar w:fldCharType="begin"/>
      </w:r>
      <w:r>
        <w:instrText xml:space="preserve"> ADDIN ZOTERO_ITEM CSL_CITATION {"citationID":"a597usepi","properties":{"formattedCitation":"\\super 49\\nosupersub{}","plainCitation":"49","noteIndex":0},"citationItems":[{"id":2210,"uris":["http://zotero.org/groups/465531/items/Z4EWTIPZ"],"uri":["http://zotero.org/groups/465531/items/Z4EWTIPZ"],"itemData":{"id":2210,"type":"article-journal","title":"General Cardiovascular Risk Profile for Use in Primary Care: The Framingham Heart Study","container-title":"Circulation","page":"743-753","volume":"117","issue":"6","source":"circ.ahajournals.org","abstract":"Background— Separate multivariable risk algorithms are commonly used to assess risk of specific atherosclerotic cardiovascular disease (CVD) events, ie, coronary heart disease, cerebrovascular disease, peripheral vascular disease, and heart failure. The present report presents a single multivariable risk function that predicts risk of developing all CVD and of its constituents.\nMethods and Results— We used Cox proportional-hazards regression to evaluate the risk of developing a first CVD event in 8491 Framingham study participants (mean age, 49 years; 4522 women) who attended a routine examination between 30 and 74 years of age and were free of CVD. Sex-specific multivariable risk functions (“general CVD” algorithms) were derived that incorporated age, total and high-density lipoprotein cholesterol, systolic blood pressure, treatment for hypertension, smoking, and diabetes status. We assessed the performance of the general CVD algorithms for predicting individual CVD events (coronary heart disease, stroke, peripheral artery disease, or heart failure). Over 12 years of follow-up, 1174 participants (456 women) developed a first CVD event. All traditional risk factors evaluated predicted CVD risk (multivariable-adjusted P&lt;0.0001). The general CVD algorithm demonstrated good discrimination (C statistic, 0.763 [men] and 0.793 [women]) and calibration. Simple adjustments to the general CVD risk algorithms allowed estimation of the risks of each CVD component. Two simple risk scores are presented, 1 based on all traditional risk factors and the other based on non–laboratory-based predictors.\nConclusions— A sex-specific multivariable risk factor algorithm can be conveniently used to assess general CVD risk and risk of individual CVD events (coronary, cerebrovascular, and peripheral arterial disease and heart failure). The estimated absolute CVD event rates can be used to quantify risk and to guide preventive care.","DOI":"10.1161/CIRCULATIONAHA.107.699579","ISSN":"0009-7322, 1524-4539","note":"PMID: 18212285","shortTitle":"General Cardiovascular Risk Profile for Use in Primary Care","language":"en","author":[{"family":"D’Agostino","given":"Ralph B."},{"family":"Vasan","given":"Ramachandran S."},{"family":"Pencina","given":"Michael J."},{"family":"Wolf","given":"Philip A."},{"family":"Cobain","given":"Mark"},{"family":"Massaro","given":"Joseph M."},{"family":"Kannel","given":"William B."}],"issued":{"date-parts":[["2008",2,12]]}}}],"schema":"https://github.com/citation-style-language/schema/raw/master/csl-citation.json"} </w:instrText>
      </w:r>
      <w:r w:rsidRPr="001340AB">
        <w:fldChar w:fldCharType="separate"/>
      </w:r>
      <w:r w:rsidRPr="009D6107">
        <w:rPr>
          <w:rFonts w:cs="Times New Roman"/>
          <w:szCs w:val="24"/>
          <w:vertAlign w:val="superscript"/>
        </w:rPr>
        <w:t>49</w:t>
      </w:r>
      <w:r w:rsidRPr="001340AB">
        <w:fldChar w:fldCharType="end"/>
      </w:r>
      <w:r w:rsidRPr="001340AB">
        <w:t>, or Pooled Cohort Risk Equations</w:t>
      </w:r>
      <w:r w:rsidRPr="001340AB">
        <w:fldChar w:fldCharType="begin"/>
      </w:r>
      <w:r w:rsidRPr="001340AB">
        <w:instrText xml:space="preserve"> ADDIN ZOTERO_ITEM CSL_CITATION {"citationID":"a1t3oqipfos","properties":{"formattedCitation":"\\super 4\\nosupersub{}","plainCitation":"4","noteIndex":0},"citationItems":[{"id":1173,"uris":["http://zotero.org/users/2002240/items/QJ448WZH"],"uri":["http://zotero.org/users/2002240/items/QJ448WZH"],"itemData":{"id":1173,"type":"article-journal","title":"2013 ACC/AHA guideline on the assessment of cardiovascular risk: a report of the American College of Cardiology/American Heart Association Task Force on Practice Guidelines","container-title":"Journal of the American College of Cardiology","page":"2935-2959","volume":"63","issue":"25 Pt B","source":"PubMed","DOI":"10.1016/j.jacc.2013.11.005","ISSN":"1558-3597","note":"PMID: 24239921","shortTitle":"2013 ACC/AHA guideline on the assessment of cardiovascular risk","journalAbbreviation":"J. Am. Coll. Cardiol.","language":"eng","author":[{"family":"Goff","given":"David C."},{"family":"Lloyd-Jones","given":"Donald M."},{"family":"Bennett","given":"Glen"},{"family":"Coady","given":"Sean"},{"family":"D'Agostino","given":"Ralph B."},{"family":"Gibbons","given":"Raymond"},{"family":"Greenland","given":"Philip"},{"family":"Lackland","given":"Daniel T."},{"family":"Levy","given":"Daniel"},{"family":"O'Donnell","given":"Christopher J."},{"family":"Robinson","given":"Jennifer G."},{"family":"Schwartz","given":"J. Sanford"},{"family":"Shero","given":"Susan T."},{"family":"Smith","given":"Sidney C."},{"family":"Sorlie","given":"Paul"},{"family":"Stone","given":"Neil J."},{"family":"Wilson","given":"Peter W. F."},{"literal":"American College of Cardiology/American Heart Association Task Force on Practice Guidelines"}],"issued":{"date-parts":[["2014",7,1]]}}}],"schema":"https://github.com/citation-style-language/schema/raw/master/csl-citation.json"} </w:instrText>
      </w:r>
      <w:r w:rsidRPr="001340AB">
        <w:fldChar w:fldCharType="separate"/>
      </w:r>
      <w:r w:rsidRPr="008C60A7">
        <w:rPr>
          <w:rFonts w:cs="Times New Roman"/>
          <w:szCs w:val="24"/>
          <w:vertAlign w:val="superscript"/>
        </w:rPr>
        <w:t>4</w:t>
      </w:r>
      <w:r w:rsidRPr="001340AB">
        <w:fldChar w:fldCharType="end"/>
      </w:r>
      <w:r w:rsidRPr="001340AB">
        <w:t>.</w:t>
      </w:r>
    </w:p>
    <w:p w14:paraId="30D7C213" w14:textId="77777777" w:rsidR="009758B9" w:rsidRPr="001340AB" w:rsidRDefault="009758B9" w:rsidP="009758B9">
      <w:pPr>
        <w:spacing w:line="480" w:lineRule="auto"/>
        <w:ind w:firstLine="720"/>
      </w:pPr>
      <w:r w:rsidRPr="001340AB">
        <w:t xml:space="preserve">Although there are many ways to model pregnancy complication history, we chose </w:t>
      </w:r>
      <w:r w:rsidRPr="001340AB">
        <w:rPr>
          <w:i/>
        </w:rPr>
        <w:t>a priori</w:t>
      </w:r>
      <w:r w:rsidRPr="001340AB">
        <w:t xml:space="preserve"> to include a single variable indicating history of each pregnancy complication because it would be more feasible to implement a similar model in the clinical setting and aid in the interpretation of results. Still, models with alternative parameterizations of pregnancy complications yielded similar results, indicating little benefit </w:t>
      </w:r>
      <w:r>
        <w:t>to</w:t>
      </w:r>
      <w:r w:rsidRPr="001340AB">
        <w:t xml:space="preserve"> increasing model complexity.</w:t>
      </w:r>
    </w:p>
    <w:p w14:paraId="603D32E2" w14:textId="77777777" w:rsidR="009758B9" w:rsidRPr="001340AB" w:rsidRDefault="009758B9" w:rsidP="009758B9">
      <w:pPr>
        <w:spacing w:line="480" w:lineRule="auto"/>
        <w:ind w:firstLine="720"/>
      </w:pPr>
    </w:p>
    <w:p w14:paraId="26D5FC18" w14:textId="77777777" w:rsidR="009758B9" w:rsidRPr="001340AB" w:rsidRDefault="009758B9" w:rsidP="009758B9">
      <w:pPr>
        <w:spacing w:line="480" w:lineRule="auto"/>
        <w:rPr>
          <w:i/>
        </w:rPr>
      </w:pPr>
      <w:r w:rsidRPr="001340AB">
        <w:rPr>
          <w:i/>
        </w:rPr>
        <w:t>Limitations</w:t>
      </w:r>
    </w:p>
    <w:p w14:paraId="7A34DF16" w14:textId="77777777" w:rsidR="009758B9" w:rsidRPr="001340AB" w:rsidRDefault="009758B9" w:rsidP="009758B9">
      <w:pPr>
        <w:spacing w:line="480" w:lineRule="auto"/>
      </w:pPr>
      <w:r w:rsidRPr="001340AB">
        <w:tab/>
        <w:t>While our study location in N</w:t>
      </w:r>
      <w:r w:rsidRPr="001340AB">
        <w:rPr>
          <w:bCs/>
        </w:rPr>
        <w:t>ord-Trøndelag county is fairly representative of Norway</w:t>
      </w:r>
      <w:r w:rsidRPr="001340AB">
        <w:rPr>
          <w:bCs/>
        </w:rPr>
        <w:fldChar w:fldCharType="begin"/>
      </w:r>
      <w:r>
        <w:rPr>
          <w:bCs/>
        </w:rPr>
        <w:instrText xml:space="preserve"> ADDIN ZOTERO_ITEM CSL_CITATION {"citationID":"a1in3mc9ma","properties":{"formattedCitation":"\\super 24\\nosupersub{}","plainCitation":"24","noteIndex":0},"citationItems":[{"id":1362,"uris":["http://zotero.org/groups/465531/items/I6RICDC3"],"uri":["http://zotero.org/groups/465531/items/I6RICDC3"],"itemData":{"id":1362,"type":"article-journal","title":"The Nord-Trøndelag Health Study 1995-97 (HUNT 2): Objectives, contents, methods and participation","page":"19-32","volume":"13","issue":"1","journalAbbreviation":"Norsk Epidemiologi","author":[{"family":"Holmen","given":"Jostein"},{"family":"Midthjell","given":"Kristian"},{"family":"Krüger","given":"Øystein"},{"family":"Langhammer","given":"Arnulf"},{"family":"Holmen","given":"Turid Lingaas"},{"family":"Bratberg","given":"Grete H."},{"family":"Vatten","given":"Lars"},{"family":"Lund-Larsen","given":"Per G."}],"issued":{"date-parts":[["2003"]]}}}],"schema":"https://github.com/citation-style-language/schema/raw/master/csl-citation.json"} </w:instrText>
      </w:r>
      <w:r w:rsidRPr="001340AB">
        <w:rPr>
          <w:bCs/>
        </w:rPr>
        <w:fldChar w:fldCharType="separate"/>
      </w:r>
      <w:r w:rsidRPr="009D6107">
        <w:rPr>
          <w:rFonts w:cs="Times New Roman"/>
          <w:szCs w:val="24"/>
          <w:vertAlign w:val="superscript"/>
        </w:rPr>
        <w:t>24</w:t>
      </w:r>
      <w:r w:rsidRPr="001340AB">
        <w:rPr>
          <w:bCs/>
        </w:rPr>
        <w:fldChar w:fldCharType="end"/>
      </w:r>
      <w:r w:rsidRPr="001340AB">
        <w:rPr>
          <w:bCs/>
        </w:rPr>
        <w:t>, findings may not be generalizable to non-Nordic populations. For example, although smoking rates seen in our study were similar to the female Norwegian average during our study period</w:t>
      </w:r>
      <w:r w:rsidRPr="001340AB">
        <w:rPr>
          <w:bCs/>
        </w:rPr>
        <w:fldChar w:fldCharType="begin"/>
      </w:r>
      <w:r>
        <w:rPr>
          <w:bCs/>
        </w:rPr>
        <w:instrText xml:space="preserve"> ADDIN ZOTERO_ITEM CSL_CITATION {"citationID":"wfKfJpTF","properties":{"formattedCitation":"\\super 50\\nosupersub{}","plainCitation":"50","noteIndex":0},"citationItems":[{"id":2367,"uris":["http://zotero.org/groups/465531/items/4UJFU44G"],"uri":["http://zotero.org/groups/465531/items/4UJFU44G"],"itemData":{"id":2367,"type":"article-journal","title":"Lifetime smoking habits among Norwegian men and women born between 1890 and 1994: a cohort analysis using cross-sectional data","container-title":"BMJ Open","page":"e005539","volume":"4","issue":"10","source":"bmjopen.bmj.com","abstract":"Objectives Providing lifetime smoking prevalence data and gender-specific cigarette consumption data for use in epidemiological studies of tobacco-induced cancer in Norway. Characterising smoking patterns in birth cohorts is essential for evaluating the impact of tobacco control interventions and predicting smoking-related mortality.\nSetting Norway.\nParticipants Previously analysed annual surveys of smoking habits from 1954 to 1992, and individual lifetime smoking histories collected in 1965 from a sample of people born in 1893–1927, were supplemented with new annual surveys of smoking habits from 1993 to 2013. Age range 15–74 years.\nPrimary outcome measure Current smoking proportions in 5-year gender-and-birth cohorts of people born between 1890 and 1994.\nResults The proportion of smokers increased in male cohorts until the 1950s, when the highest proportion of male smokers (76–78%) was observed among those born in 1915–1934. Among women, the peak (52%) occurred 20 years later, in women born in 1940–1949. After 1970 smoking has declined in all cohorts of men and women. In the 1890–1894 cohorts, male smoking prevalence was several times higher than female, but the gap declined until no gender difference was present among those born after 1950. Gender-specific per capita consumption was even more skewed, and men have consumed over 70% of all cigarettes since 1930. The incidence of lung cancer for men peaked at around 2000, with the highest incidence rate estimated at ca. 38%. The incidence of lung cancer for women is still increasing, and estimated incidence rate for 2011 was 25.2%.\nConclusions In an epidemiological perspective, men have had a longer and more intense exposure to cigarettes than women. The gender-specific incidence of lung cancer reflects the gender difference in consumption over time.","DOI":"10.1136/bmjopen-2014-005539","ISSN":"2044-6055, 2044-6055","note":"PMID: 25326209","shortTitle":"Lifetime smoking habits among Norwegian men and women born between 1890 and 1994","language":"en","author":[{"family":"Lund","given":"Ingeborg"},{"family":"Lund","given":"Karl Erik"}],"issued":{"date-parts":[["2014",10,1]]}}}],"schema":"https://github.com/citation-style-language/schema/raw/master/csl-citation.json"} </w:instrText>
      </w:r>
      <w:r w:rsidRPr="001340AB">
        <w:rPr>
          <w:bCs/>
        </w:rPr>
        <w:fldChar w:fldCharType="separate"/>
      </w:r>
      <w:r w:rsidRPr="009D6107">
        <w:rPr>
          <w:rFonts w:cs="Times New Roman"/>
          <w:szCs w:val="24"/>
          <w:vertAlign w:val="superscript"/>
        </w:rPr>
        <w:t>50</w:t>
      </w:r>
      <w:r w:rsidRPr="001340AB">
        <w:rPr>
          <w:bCs/>
        </w:rPr>
        <w:fldChar w:fldCharType="end"/>
      </w:r>
      <w:r w:rsidRPr="001340AB">
        <w:rPr>
          <w:bCs/>
        </w:rPr>
        <w:t xml:space="preserve">, smoking prevalence is greater in Norway than most higher-income countries. Our study was also limited to parous women who </w:t>
      </w:r>
      <w:r w:rsidRPr="001340AB">
        <w:t>made up about 90% of the population of women during the time period of this study</w:t>
      </w:r>
      <w:r w:rsidRPr="001340AB">
        <w:fldChar w:fldCharType="begin"/>
      </w:r>
      <w:r>
        <w:instrText xml:space="preserve"> ADDIN ZOTERO_ITEM CSL_CITATION {"citationID":"a1ma8dbvntj","properties":{"formattedCitation":"\\super 51\\nosupersub{}","plainCitation":"51","noteIndex":0},"citationItems":[{"id":2222,"uris":["http://zotero.org/groups/465531/items/6QKY8EQK"],"uri":["http://zotero.org/groups/465531/items/6QKY8EQK"],"itemData":{"id":2222,"type":"webpage","title":"Decline in fertility","container-title":"ssb.no","abstract":"A total of 58 900 children were born in 2016, almost the same as 2015. This gives a total fertility rate (TRF) for women of 1.71, a decline compared with 2015. In 2009, the total fertility rate was 1.98. Since then, the fertility rate has declined.","URL":"http://www.ssb.no/en/befolkning/statistikker/fodte/aar/2017-03-09","language":"en","accessed":{"date-parts":[["2018",2,15]]}}}],"schema":"https://github.com/citation-style-language/schema/raw/master/csl-citation.json"} </w:instrText>
      </w:r>
      <w:r w:rsidRPr="001340AB">
        <w:fldChar w:fldCharType="separate"/>
      </w:r>
      <w:r w:rsidRPr="009D6107">
        <w:rPr>
          <w:rFonts w:cs="Times New Roman"/>
          <w:szCs w:val="24"/>
          <w:vertAlign w:val="superscript"/>
        </w:rPr>
        <w:t>51</w:t>
      </w:r>
      <w:r w:rsidRPr="001340AB">
        <w:fldChar w:fldCharType="end"/>
      </w:r>
      <w:r w:rsidRPr="001340AB">
        <w:t xml:space="preserve">. </w:t>
      </w:r>
      <w:r w:rsidRPr="001340AB">
        <w:rPr>
          <w:bCs/>
        </w:rPr>
        <w:t>We would expect similar findings after including nulliparous women, although small improvements may be seen due to the association between parity and CVD</w:t>
      </w:r>
      <w:r w:rsidRPr="001340AB">
        <w:rPr>
          <w:bCs/>
        </w:rPr>
        <w:fldChar w:fldCharType="begin"/>
      </w:r>
      <w:r>
        <w:rPr>
          <w:bCs/>
        </w:rPr>
        <w:instrText xml:space="preserve"> ADDIN ZOTERO_ITEM CSL_CITATION {"citationID":"ar13qn93fd","properties":{"formattedCitation":"\\super 52,53\\nosupersub{}","plainCitation":"52,53","noteIndex":0},"citationItems":[{"id":2169,"uris":["http://zotero.org/groups/465531/items/KYJQVSQ9"],"uri":["http://zotero.org/groups/465531/items/KYJQVSQ9"],"itemData":{"id":2169,"type":"article-journal","title":"Reproductive Risk Factors and Coronary Heart Disease in the Women's Health Initiative Observational Study","container-title":"Circulation","page":"2149-2158","volume":"133","issue":"22","source":"PubMed","abstract":"BACKGROUND: Reproductive factors provide an early window into a woman's coronary heart disease (CHD) risk; however, their contribution to CHD risk stratification is uncertain.\nMETHODS AND RESULTS: In the Women's Health Initiative Observational Study, we constructed Cox proportional hazards models for CHD including age, pregnancy status, number of live births, age at menarche, menstrual irregularity, age at first birth, stillbirths, miscarriages, infertility ≥1 year, infertility cause, and breastfeeding. We next added each candidate reproductive factor to an established CHD risk factor model. A final model was then constructed with significant reproductive factors added to established CHD risk factors. Improvement in C statistic, net reclassification index (or net reclassification index with risk categories of &lt;5%, 5 to &lt;10%, and ≥10% 10-year risk of CHD), and integrated discriminatory index were assessed. Among 72 982 women (CHD events, n=4607; median follow-up,12.0 [interquartile range, 8.3-13.7] years; mean [standard deviation] age, 63.2 [7.2] years), an age-adjusted reproductive risk factor model had a C statistic of 0.675 for CHD. In a model adjusted for established CHD risk factors, younger age at first birth, number of still births, number of miscarriages, and lack of breastfeeding were positively associated with CHD. Reproductive factors modestly improved model discrimination (C statistic increased from 0.726 to 0.730; integrated discriminatory index, 0.0013; P&lt;0.0001). Net reclassification for women with events was not improved (net reclassification index events, 0.007; P=0.18); and, for women without events, net reclassification was marginally improved (net reclassification index nonevents, 0.002; P=0.04) CONCLUSIONS: Key reproductive factors are associated with CHD independently of established CHD risk factors, very modestly improve model discrimination, and do not materially improve net reclassification.","DOI":"10.1161/CIRCULATIONAHA.115.017854","ISSN":"1524-4539","note":"PMID: 27143682\nPMCID: PMC4889516","journalAbbreviation":"Circulation","language":"eng","author":[{"family":"Parikh","given":"Nisha I."},{"family":"Jeppson","given":"Rebecca P."},{"family":"Berger","given":"Jeffrey S."},{"family":"Eaton","given":"Charles B."},{"family":"Kroenke","given":"Candyce H."},{"family":"LeBlanc","given":"Erin S."},{"family":"Lewis","given":"Cora E."},{"family":"Loucks","given":"Eric B."},{"family":"Parker","given":"Donna R."},{"family":"Rillamas-Sun","given":"Eileen"},{"family":"Ryckman","given":"Kelli K."},{"family":"Waring","given":"Molly E."},{"family":"Schenken","given":"Robert S."},{"family":"Johnson","given":"Karen C."},{"family":"Edstedt-Bonamy","given":"Anna-Karin"},{"family":"Allison","given":"Matthew A."},{"family":"Howard","given":"Barbara V."}],"issued":{"date-parts":[["2016",5,31]]}}},{"id":1517,"uris":["http://zotero.org/groups/465531/items/GJ7NM3GC"],"uri":["http://zotero.org/groups/465531/items/GJ7NM3GC"],"itemData":{"id":1517,"type":"article-journal","title":"Parity and Cardiovascular Disease Mortality: a Dose-Response Meta-Analysis of Cohort Studies","container-title":"Scientific Reports","volume":"5","source":"PubMed Central","abstract":"Parity has been shown to inversely associate with cardiovascular disease (CVD) mortality, but the evidence of epidemiological studies is still controversial. Therefore, we quantitatively assessed the relationship between parity and CVD mortality by summarizing the evidence from prospective studies. We searched MEDLINE (PubMed), EMBASE and ISI Web of Science databases for relevant prospective studies of parity and CVD mortality through the end of March 2015. Fixed- or random-effects models were used to estimate summary relative risks (RRs) and 95% confidence intervals (CIs). Heterogeneity among studies was assessed using the I2 statistics. All statistical tests were two-sided. Ten prospective studies were included with a total of 994,810 participants and 16,601 CVD events. A borderline significant inverse association was observed while comparing parity with nulliparous, with summarized RR = 0.79 (95% CI: 0.60–1.06; I2 = 90.9%, P &lt; 0.001). In dose-response analysis, we observed a significant nonlinear association between parity number and CVD mortality. The greatest risk reduction appeared when the parity number reached four. The findings of this meta-analysis suggests that ever parity is inversely related to CVD mortality. Furthermore, there is a statistically significant nonlinear inverse association between parity number and CVD mortality.","URL":"http://www.ncbi.nlm.nih.gov/pmc/articles/PMC4547137/","DOI":"10.1038/srep13411","ISSN":"2045-2322","note":"PMID: 26299306\nPMCID: PMC4547137","shortTitle":"Parity and Cardiovascular Disease Mortality","journalAbbreviation":"Sci Rep","author":[{"family":"Lv","given":"Haichen"},{"family":"Wu","given":"Hongyi"},{"family":"Yin","given":"Jiasheng"},{"family":"Qian","given":"Juying"},{"family":"Ge","given":"Junbo"}],"issued":{"date-parts":[["2015",8,24]]},"accessed":{"date-parts":[["2016",6,21]]}}}],"schema":"https://github.com/citation-style-language/schema/raw/master/csl-citation.json"} </w:instrText>
      </w:r>
      <w:r w:rsidRPr="001340AB">
        <w:rPr>
          <w:bCs/>
        </w:rPr>
        <w:fldChar w:fldCharType="separate"/>
      </w:r>
      <w:r w:rsidRPr="009D6107">
        <w:rPr>
          <w:rFonts w:cs="Times New Roman"/>
          <w:szCs w:val="24"/>
          <w:vertAlign w:val="superscript"/>
        </w:rPr>
        <w:t>52,53</w:t>
      </w:r>
      <w:r w:rsidRPr="001340AB">
        <w:rPr>
          <w:bCs/>
        </w:rPr>
        <w:fldChar w:fldCharType="end"/>
      </w:r>
      <w:r w:rsidRPr="001340AB">
        <w:rPr>
          <w:bCs/>
        </w:rPr>
        <w:t xml:space="preserve">. </w:t>
      </w:r>
      <w:r w:rsidRPr="001340AB">
        <w:t>Another limitation of this study was the lack of data on gestational diabetes, which was likely underdiagnosed in the MBRN before 1988</w:t>
      </w:r>
      <w:r w:rsidRPr="001340AB">
        <w:fldChar w:fldCharType="begin"/>
      </w:r>
      <w:r>
        <w:instrText xml:space="preserve"> ADDIN ZOTERO_ITEM CSL_CITATION {"citationID":"adsuuqkitb","properties":{"formattedCitation":"\\super 54\\nosupersub{}","plainCitation":"54","noteIndex":0},"citationItems":[{"id":2246,"uris":["http://zotero.org/groups/465531/items/6HCZRN3L"],"uri":["http://zotero.org/groups/465531/items/6HCZRN3L"],"itemData":{"id":2246,"type":"article-journal","title":"The validity of the diabetes mellitus diagnosis in the Medical Birth Registry of Norway","container-title":"Norsk Epidemiologi","volume":"17","issue":"2","source":"www.ntnu.no","URL":"https://www.ntnu.no/ojs/index.php/norepid/article/view/158","DOI":"10.5324/nje.v17i2.158","ISSN":"0803-2491","journalAbbreviation":"Nor Epidemiol","language":"en","author":[{"family":"Stene","given":"Lars C."},{"family":"Eidem","given":"Ingvild"},{"family":"Vangen","given":"Siri"},{"family":"Joner","given":"Geir"},{"family":"Irgens","given":"Lorentz M."},{"family":"Moe","given":"Narve"}],"issued":{"date-parts":[["2007"]]},"accessed":{"date-parts":[["2018",2,23]]}}}],"schema":"https://github.com/citation-style-language/schema/raw/master/csl-citation.json"} </w:instrText>
      </w:r>
      <w:r w:rsidRPr="001340AB">
        <w:fldChar w:fldCharType="separate"/>
      </w:r>
      <w:r w:rsidRPr="009D6107">
        <w:rPr>
          <w:rFonts w:cs="Times New Roman"/>
          <w:szCs w:val="24"/>
          <w:vertAlign w:val="superscript"/>
        </w:rPr>
        <w:t>54</w:t>
      </w:r>
      <w:r w:rsidRPr="001340AB">
        <w:fldChar w:fldCharType="end"/>
      </w:r>
      <w:r w:rsidRPr="001340AB">
        <w:t xml:space="preserve">.  The proportion of women who had ever </w:t>
      </w:r>
      <w:r w:rsidRPr="001340AB">
        <w:lastRenderedPageBreak/>
        <w:t>experienced a pregnancy complication in this population (an estimated 39%) was higher than  estimates from the United States (29%)</w:t>
      </w:r>
      <w:r w:rsidRPr="001340AB">
        <w:fldChar w:fldCharType="begin"/>
      </w:r>
      <w:r w:rsidRPr="001340AB">
        <w:instrText xml:space="preserve"> ADDIN ZOTERO_ITEM CSL_CITATION {"citationID":"avReRY01","properties":{"formattedCitation":"\\super 6\\nosupersub{}","plainCitation":"6","noteIndex":0},"citationItems":[{"id":2008,"uris":["http://zotero.org/users/2002240/items/H9CXE2DV"],"uri":["http://zotero.org/users/2002240/items/H9CXE2DV"],"itemData":{"id":2008,"type":"article-journal","title":"Pregnancy characteristics and women's future cardiovascular health: an underused opportunity to improve women's health?","container-title":"Epidemiologic Reviews","page":"57-70","volume":"36","source":"PubMed","abstract":"Growing evidence indicates that women with a history of common pregnancy complications, including fetal growth restriction and preterm delivery (often combined as low birth weight), hypertensive disorders of pregnancy, and gestational diabetes, are at increased risk for cardiovascular disease later in life. The purpose of this paper was to review the associations of parity and these 4 pregnancy complications with cardiovascular morbidity and mortality; to review the role of cardiovascular risk factors before, during, and after pregnancy complications in explaining these associations; and to explore the implications of this emerging science for new research and policy. We systematically searched for relevant cohort and case-control studies in Medline through December 2012 and used citation searches for already published reviews to identify new studies. The findings of this review suggest consistent and often strong associations of pregnancy complications with latent and future cardiovascular disease. Many pregnancy complications appear to be preceded by subclinical vascular and metabolic dysfunction, suggesting that the complications may be useful markers of latent high-risk cardiovascular trajectories. With further replication research, these findings would support the utility of these prevalent pregnancy complications in identifying high-risk women for screening, prevention, and treatment of cardiovascular disease, the leading cause of morbidity and mortality among women.","DOI":"10.1093/epirev/mxt006","ISSN":"1478-6729","note":"PMID: 24025350\nPMCID: PMC3873841","shortTitle":"Pregnancy characteristics and women's future cardiovascular health","journalAbbreviation":"Epidemiol Rev","language":"eng","author":[{"family":"Rich-Edwards","given":"Janet W."},{"family":"Fraser","given":"Abigail"},{"family":"Lawlor","given":"Deborah A."},{"family":"Catov","given":"Janet M."}],"issued":{"date-parts":[["2014"]]}}}],"schema":"https://github.com/citation-style-language/schema/raw/master/csl-citation.json"} </w:instrText>
      </w:r>
      <w:r w:rsidRPr="001340AB">
        <w:fldChar w:fldCharType="separate"/>
      </w:r>
      <w:r w:rsidRPr="008C60A7">
        <w:rPr>
          <w:rFonts w:cs="Times New Roman"/>
          <w:szCs w:val="24"/>
          <w:vertAlign w:val="superscript"/>
        </w:rPr>
        <w:t>6</w:t>
      </w:r>
      <w:r w:rsidRPr="001340AB">
        <w:fldChar w:fldCharType="end"/>
      </w:r>
      <w:r w:rsidRPr="001340AB">
        <w:t xml:space="preserve"> but similar to a study from the United Kingdom (36%)</w:t>
      </w:r>
      <w:r w:rsidRPr="001340AB">
        <w:fldChar w:fldCharType="begin"/>
      </w:r>
      <w:r>
        <w:instrText xml:space="preserve"> ADDIN ZOTERO_ITEM CSL_CITATION {"citationID":"kKF5lIUq","properties":{"formattedCitation":"\\super 55\\nosupersub{}","plainCitation":"55","noteIndex":0},"citationItems":[{"id":1749,"uris":["http://zotero.org/groups/465531/items/5894XKXQ"],"uri":["http://zotero.org/groups/465531/items/5894XKXQ"],"itemData":{"id":1749,"type":"article-journal","title":"Associations of Pregnancy Complications With Calculated Cardiovascular Disease Risk and Cardiovascular Risk Factors in Middle AgeClinical Perspective","container-title":"Circulation","page":"1367-1380","volume":"125","issue":"11","source":"circ.ahajournals.org","abstract":"Background—The nature and contribution of different pregnancy-related complications to future cardiovascular disease (CVD) and its risk factors and the mechanisms underlying these associations remain unclear.\nMethods and Results—We studied associations of pregnancy diabetes mellitus, hypertensive disorders of pregnancy, preterm delivery, and size for gestational age with calculated 10-year CVD risk (based on the Framingham score) and a wide range of cardiovascular risk factors measured 18 years after pregnancy (mean age at outcome assessment, 48 years) in a prospective cohort of 3416 women. Gestational diabetes mellitus was positively associated with fasting glucose and insulin, even after adjustment for potential confounders, whereas hypertensive disorders of pregnancy were associated with body mass index, waist circumference, blood pressure, lipids, and insulin. Large for gestational age was associated with greater waist circumference and glucose concentrations, whereas small for gestational age and preterm delivery were associated with higher blood pressure. The association with the calculated 10-year CVD risk based on the Framingham prediction score was odds ratio 1.31 (95 confidence interval, 1.11–1.53) for preeclampsia and 1.26 (95 confidence interval, 0.95–1.68) for gestational diabetes mellitus compared with women without preeclampsia and without gestational diabetes mellitus, respectively.\nConclusions—Hypertensive disorders of pregnancy and pregnancy diabetes mellitus are independently associated with an increased calculated 10-year CVD risk. Preeclampsia may be the better predictor of future CVD because it was associated with a wider range of cardiovascular risk factors. Our results suggest that pregnancy may be an important opportunity for early identification of women at increased risk of CVD later in life.","DOI":"10.1161/CIRCULATIONAHA.111.044784","ISSN":"0009-7322, 1524-4539","note":"PMID: 22344039","language":"en","author":[{"family":"Fraser","given":"Abigail"},{"family":"Nelson","given":"Scott M."},{"family":"Macdonald-Wallis","given":"Corrie"},{"family":"Cherry","given":"Lynne"},{"family":"Butler","given":"Elaine"},{"family":"Sattar","given":"Naveed"},{"family":"Lawlor","given":"Debbie A."}],"issued":{"date-parts":[["2012",3,20]]}}}],"schema":"https://github.com/citation-style-language/schema/raw/master/csl-citation.json"} </w:instrText>
      </w:r>
      <w:r w:rsidRPr="001340AB">
        <w:fldChar w:fldCharType="separate"/>
      </w:r>
      <w:r w:rsidRPr="009D6107">
        <w:rPr>
          <w:rFonts w:cs="Times New Roman"/>
          <w:szCs w:val="24"/>
          <w:vertAlign w:val="superscript"/>
        </w:rPr>
        <w:t>55</w:t>
      </w:r>
      <w:r w:rsidRPr="001340AB">
        <w:fldChar w:fldCharType="end"/>
      </w:r>
      <w:r w:rsidRPr="001340AB">
        <w:t xml:space="preserve"> One explanation for our high proportion of women with pregnancy complication history in this study is the relatively high fertility rate in Norway compared to other high income countries</w:t>
      </w:r>
      <w:r w:rsidRPr="001340AB">
        <w:fldChar w:fldCharType="begin"/>
      </w:r>
      <w:r>
        <w:instrText xml:space="preserve"> ADDIN ZOTERO_ITEM CSL_CITATION {"citationID":"vkT2XQfr","properties":{"formattedCitation":"\\super 56\\nosupersub{}","plainCitation":"56","noteIndex":0},"citationItems":[{"id":2314,"uris":["http://zotero.org/groups/465531/items/X8AXDJNL"],"uri":["http://zotero.org/groups/465531/items/X8AXDJNL"],"itemData":{"id":2314,"type":"chapter","title":"Not so Low Fertility in Norway—A Result of Affluence, Liberal Values, Gender-Equality Ideals, and the Welfare State","container-title":"Low Fertility, Institutions, and their Policies","publisher":"Springer, Cham","page":"13-47","source":"link-springer-com.ezp-prod1.hul.harvard.edu","abstract":"In Norway, the total fertility rate over the years 2000–2013 averaged 1.86 births per woman. Women born in 1968, which is the youngest cohort that has completed their reproductive period, had 2.03 children on average. Only 13 % of that cohort remained childless, and 83 % of those who became parents had at least two children. This chapter discusses possible reasons for this high fertility compared to that of most other rich countries. Norway’s advantaged economic position is probably one ingredient. There is little income insecurity for individual families, and the state can afford to be generous with parents, not least with respect to daycare and parental leave. The willingness to prioritize such spending does not reflect concern about below-replacement fertility, but rather the social-liberal or social-democratic ideas about public responsibility for individual well-being that are strongly rooted in Nordic societies, accompanied by widely accepted ideals of gender equality. It is possible that these ideals also affect fertility positively by promoting men’s involvement with children and in housework. Another explanation for Norway’s high fertility may be that, although the retreat from marriage has been as least as pronounced as in most other rich countries, this has been counteracted by widespread cohabitation and a large number of births among cohabiting couples—probably reflecting in part their trust in the welfare state and liberal values. The chapter ends with a discussion of whether lower fertility would, in fact, be a problem for Norway.","URL":"http://link.springer.com/chapter/10.1007/978-3-319-32997-0_2","ISBN":"978-3-319-32995-6","note":"DOI: 10.1007/978-3-319-32997-0_2","language":"en","author":[{"family":"Kravdal","given":"Øystein"}],"issued":{"date-parts":[["2016"]]},"accessed":{"date-parts":[["2018",5,19]]}}}],"schema":"https://github.com/citation-style-language/schema/raw/master/csl-citation.json"} </w:instrText>
      </w:r>
      <w:r w:rsidRPr="001340AB">
        <w:fldChar w:fldCharType="separate"/>
      </w:r>
      <w:r w:rsidRPr="009D6107">
        <w:rPr>
          <w:rFonts w:cs="Times New Roman"/>
          <w:szCs w:val="24"/>
          <w:vertAlign w:val="superscript"/>
        </w:rPr>
        <w:t>56</w:t>
      </w:r>
      <w:r w:rsidRPr="001340AB">
        <w:fldChar w:fldCharType="end"/>
      </w:r>
      <w:r w:rsidRPr="001340AB">
        <w:t xml:space="preserve">. Another explanation is that the reference population used to identify birthweight percentiles by gestation length used a more recent sample of births in the MBRN. An advantage of using an external reference population is that our definition of SGA could be more easily recreated in other populations; however, increases in birthweights over time may have led to an overestimation of SGA deliveries.   </w:t>
      </w:r>
    </w:p>
    <w:p w14:paraId="595F3BF0" w14:textId="77777777" w:rsidR="009758B9" w:rsidRPr="001340AB" w:rsidRDefault="009758B9" w:rsidP="009758B9">
      <w:pPr>
        <w:spacing w:line="480" w:lineRule="auto"/>
      </w:pPr>
      <w:r w:rsidRPr="001340AB">
        <w:t xml:space="preserve"> </w:t>
      </w:r>
    </w:p>
    <w:p w14:paraId="358B4439" w14:textId="77777777" w:rsidR="009758B9" w:rsidRPr="001340AB" w:rsidRDefault="009758B9" w:rsidP="009758B9">
      <w:pPr>
        <w:spacing w:line="480" w:lineRule="auto"/>
      </w:pPr>
      <w:r w:rsidRPr="001340AB">
        <w:rPr>
          <w:i/>
        </w:rPr>
        <w:t>Strengths</w:t>
      </w:r>
    </w:p>
    <w:p w14:paraId="3AC516F9" w14:textId="77777777" w:rsidR="009758B9" w:rsidRPr="001340AB" w:rsidRDefault="009758B9" w:rsidP="009758B9">
      <w:pPr>
        <w:spacing w:line="480" w:lineRule="auto"/>
        <w:rPr>
          <w:szCs w:val="24"/>
        </w:rPr>
      </w:pPr>
      <w:r w:rsidRPr="001340AB">
        <w:tab/>
        <w:t xml:space="preserve">Strengths of our study include the use of a general population sample of parous women and assessment of CVD risk factors during exams that reflect a realistic clinical scenario. </w:t>
      </w:r>
      <w:r w:rsidRPr="001340AB">
        <w:rPr>
          <w:szCs w:val="24"/>
        </w:rPr>
        <w:t xml:space="preserve">In addition, 97% of the events used in this study were validated by study staff. Our linkage project provided a unique combination of rich clinical data, reproductive history, and follow-up for nonfatal and fatal events ideal for examining this research question. </w:t>
      </w:r>
    </w:p>
    <w:p w14:paraId="360F273F" w14:textId="77777777" w:rsidR="009758B9" w:rsidRPr="001340AB" w:rsidRDefault="009758B9" w:rsidP="009758B9">
      <w:pPr>
        <w:spacing w:line="480" w:lineRule="auto"/>
        <w:rPr>
          <w:szCs w:val="24"/>
        </w:rPr>
      </w:pPr>
    </w:p>
    <w:p w14:paraId="7E617F17" w14:textId="77777777" w:rsidR="009758B9" w:rsidRPr="001340AB" w:rsidRDefault="009758B9" w:rsidP="009758B9">
      <w:pPr>
        <w:spacing w:line="480" w:lineRule="auto"/>
        <w:rPr>
          <w:i/>
          <w:szCs w:val="24"/>
        </w:rPr>
      </w:pPr>
      <w:r w:rsidRPr="001340AB">
        <w:rPr>
          <w:i/>
          <w:szCs w:val="24"/>
        </w:rPr>
        <w:t>Clinical Relevance and Future Directions</w:t>
      </w:r>
    </w:p>
    <w:p w14:paraId="7D558213" w14:textId="60FD4C0C" w:rsidR="009758B9" w:rsidRPr="001340AB" w:rsidRDefault="009758B9" w:rsidP="009758B9">
      <w:pPr>
        <w:spacing w:line="480" w:lineRule="auto"/>
        <w:rPr>
          <w:i/>
          <w:szCs w:val="24"/>
        </w:rPr>
      </w:pPr>
      <w:r w:rsidRPr="001340AB">
        <w:rPr>
          <w:i/>
          <w:szCs w:val="24"/>
        </w:rPr>
        <w:tab/>
      </w:r>
      <w:r w:rsidRPr="001340AB">
        <w:t xml:space="preserve">After adding pregnancy complications to the model, an additional 0.4% of women without events were correctly reclassified into lower risk categories while 2% of women with events were correctly reclassified into higher risk categories. In Norway, risk thresholds to initiative treatment to prevent CVD are age-specific but roughly align with thresholds used in </w:t>
      </w:r>
      <w:r w:rsidRPr="001340AB">
        <w:lastRenderedPageBreak/>
        <w:t>this paper</w:t>
      </w:r>
      <w:r w:rsidRPr="001340AB">
        <w:fldChar w:fldCharType="begin"/>
      </w:r>
      <w:r>
        <w:instrText xml:space="preserve"> ADDIN ZOTERO_ITEM CSL_CITATION {"citationID":"jvNMmNJr","properties":{"formattedCitation":"\\super 21\\nosupersub{}","plainCitation":"21","noteIndex":0},"citationItems":[{"id":2294,"uris":["http://zotero.org/groups/465531/items/RUGSX5WT"],"uri":["http://zotero.org/groups/465531/items/RUGSX5WT"],"itemData":{"id":2294,"type":"webpage","title":"Nasjonal faglig retningslinje for forebygging av hjerte- og karsykdom","container-title":"Helsedirektoratet.no","URL":"https://helsedirektoratet.no/retningslinjer/forebygging-av-hjerte-og-karsykdom","language":"nb-NO","accessed":{"date-parts":[["2018",5,17]]}}}],"schema":"https://github.com/citation-style-language/schema/raw/master/csl-citation.json"} </w:instrText>
      </w:r>
      <w:r w:rsidRPr="001340AB">
        <w:fldChar w:fldCharType="separate"/>
      </w:r>
      <w:r w:rsidRPr="009D6107">
        <w:rPr>
          <w:rFonts w:cs="Times New Roman"/>
          <w:szCs w:val="24"/>
          <w:vertAlign w:val="superscript"/>
        </w:rPr>
        <w:t>21</w:t>
      </w:r>
      <w:r w:rsidRPr="001340AB">
        <w:fldChar w:fldCharType="end"/>
      </w:r>
      <w:r w:rsidRPr="001340AB">
        <w:t xml:space="preserve">, thus we would expect to see small improvements in appropriate treatment if pregnancy complications to CVD risk prediction models in clinical practice. While these benefits are small in magnitude, subsequent studies should evaluate whether greater improvements are seen for other populations, especially among younger women. Pregnancy complications occur early in life and may be useful for primary and primordial prevention in younger populations. Findings should also be validated in other populations, including non-Nordic countries.   </w:t>
      </w:r>
    </w:p>
    <w:p w14:paraId="546C0252" w14:textId="77777777" w:rsidR="009758B9" w:rsidRPr="001340AB" w:rsidRDefault="009758B9" w:rsidP="009758B9">
      <w:pPr>
        <w:spacing w:line="480" w:lineRule="auto"/>
        <w:rPr>
          <w:i/>
        </w:rPr>
      </w:pPr>
    </w:p>
    <w:p w14:paraId="4EA1E186" w14:textId="77777777" w:rsidR="009758B9" w:rsidRPr="001340AB" w:rsidRDefault="009758B9" w:rsidP="009758B9">
      <w:pPr>
        <w:spacing w:line="480" w:lineRule="auto"/>
        <w:rPr>
          <w:i/>
        </w:rPr>
      </w:pPr>
      <w:r w:rsidRPr="001340AB">
        <w:rPr>
          <w:i/>
        </w:rPr>
        <w:t>Conclusion</w:t>
      </w:r>
    </w:p>
    <w:p w14:paraId="3355B470" w14:textId="77777777" w:rsidR="009758B9" w:rsidRPr="001340AB" w:rsidRDefault="009758B9" w:rsidP="009758B9">
      <w:pPr>
        <w:spacing w:line="480" w:lineRule="auto"/>
      </w:pPr>
      <w:r w:rsidRPr="001340AB">
        <w:t xml:space="preserve">In this population-based, prospective cohort study, pregnancy complications (preeclampsia, gestational hypertension, preterm delivery, and SGA) led to only small improvements in 10-year CVD risk prediction for parous women, as measured by changes in model discrimination and reclassification. Although overall prevalence of at least one pregnancy complication was high in this population, pregnancy complications were not strong enough independent predictors of CVD after controlling for established risk factors to substantially improve prediction performance. </w:t>
      </w:r>
    </w:p>
    <w:p w14:paraId="19767739" w14:textId="6B730448" w:rsidR="00632D59" w:rsidRPr="00632D59" w:rsidRDefault="009758B9" w:rsidP="00632D59">
      <w:pPr>
        <w:spacing w:line="480" w:lineRule="auto"/>
        <w:rPr>
          <w:b/>
        </w:rPr>
      </w:pPr>
      <w:r w:rsidRPr="001340AB">
        <w:rPr>
          <w:b/>
        </w:rPr>
        <w:br w:type="page"/>
      </w:r>
      <w:r w:rsidR="00632D59">
        <w:rPr>
          <w:b/>
        </w:rPr>
        <w:lastRenderedPageBreak/>
        <w:t>Funding</w:t>
      </w:r>
    </w:p>
    <w:p w14:paraId="26B33FED" w14:textId="4C575AD1" w:rsidR="00632D59" w:rsidRPr="00632D59" w:rsidRDefault="00632D59" w:rsidP="009758B9">
      <w:pPr>
        <w:spacing w:line="480" w:lineRule="auto"/>
      </w:pPr>
      <w:r w:rsidRPr="001340AB">
        <w:t xml:space="preserve">This work was supported by </w:t>
      </w:r>
      <w:r w:rsidR="00FC3879">
        <w:t>the American Heart Association [</w:t>
      </w:r>
      <w:r w:rsidRPr="001340AB">
        <w:t>grant number 16PRE29690006</w:t>
      </w:r>
      <w:r w:rsidR="00FC3879">
        <w:t>]</w:t>
      </w:r>
      <w:r w:rsidRPr="001340AB">
        <w:t xml:space="preserve"> to AM and </w:t>
      </w:r>
      <w:r w:rsidR="00FC3879">
        <w:t>the Research Council of Norway [</w:t>
      </w:r>
      <w:r w:rsidRPr="001340AB">
        <w:t>grant number 231149/F20</w:t>
      </w:r>
      <w:r w:rsidR="00FC3879">
        <w:t>]</w:t>
      </w:r>
      <w:r w:rsidRPr="001340AB">
        <w:t xml:space="preserve"> to BOÅ, JH, and EBH. AM was additionally supported by </w:t>
      </w:r>
      <w:r w:rsidR="00FC3879">
        <w:t>Training Grant T32HD060454</w:t>
      </w:r>
      <w:r w:rsidRPr="001340AB">
        <w:t xml:space="preserve"> from the National Institute of Child Health and Human Development, National Institutes of Health. BOÅ was also supported by the Liaison Committee for education, research and innovation in Central Norway; by St. Olavs Hospital and the Faculty of Medicine and Health Sciences, NTNU; and by the Fulbright Program. LJT was supported by the </w:t>
      </w:r>
      <w:r w:rsidRPr="001340AB">
        <w:rPr>
          <w:shd w:val="clear" w:color="auto" w:fill="FFFFFF"/>
        </w:rPr>
        <w:t>Ruth L. Kirchstein N</w:t>
      </w:r>
      <w:r w:rsidR="00FC3879">
        <w:rPr>
          <w:shd w:val="clear" w:color="auto" w:fill="FFFFFF"/>
        </w:rPr>
        <w:t>ational Research Service Award [NHLBI F31 HL131222]</w:t>
      </w:r>
      <w:r w:rsidRPr="001340AB">
        <w:t xml:space="preserve">. </w:t>
      </w:r>
      <w:r w:rsidRPr="001340AB">
        <w:rPr>
          <w:rFonts w:cs="Times New Roman"/>
        </w:rPr>
        <w:t xml:space="preserve">JJS and LJT were supported </w:t>
      </w:r>
      <w:r w:rsidRPr="001340AB">
        <w:rPr>
          <w:rFonts w:cs="Times New Roman"/>
          <w:shd w:val="clear" w:color="auto" w:fill="FFFFFF"/>
        </w:rPr>
        <w:t>by Training Grant T32HL098048 from the National Heart, Lung, and Blood Institute.</w:t>
      </w:r>
      <w:r w:rsidRPr="001340AB">
        <w:t xml:space="preserve"> AF is supported by a personal fellowship from the UK MRC </w:t>
      </w:r>
      <w:r w:rsidR="00FC3879">
        <w:t>[</w:t>
      </w:r>
      <w:r w:rsidRPr="001340AB">
        <w:t>grant number MR/M009351/1</w:t>
      </w:r>
      <w:r w:rsidR="00FC3879">
        <w:t>]</w:t>
      </w:r>
      <w:r w:rsidRPr="001340AB">
        <w:t xml:space="preserve">. AF works in a Unit that receives core funding from UK MRC </w:t>
      </w:r>
      <w:r w:rsidR="00FC3879">
        <w:t>[</w:t>
      </w:r>
      <w:r w:rsidRPr="001340AB">
        <w:t xml:space="preserve">grant number MC_UU_12013/5 </w:t>
      </w:r>
      <w:r w:rsidR="00FC3879">
        <w:t>and MC_UU_12013/9]</w:t>
      </w:r>
      <w:r w:rsidRPr="001340AB">
        <w:t xml:space="preserve">. ST is supported by an International Postdoc Grant from the </w:t>
      </w:r>
      <w:r w:rsidR="00FC3879">
        <w:rPr>
          <w:rFonts w:cs="Times New Roman"/>
          <w:szCs w:val="24"/>
        </w:rPr>
        <w:t>Swedish Research Council [grant number 2014-6790]</w:t>
      </w:r>
      <w:r w:rsidRPr="001340AB">
        <w:rPr>
          <w:rFonts w:cs="Times New Roman"/>
          <w:szCs w:val="24"/>
        </w:rPr>
        <w:t xml:space="preserve"> and by Bundy Academy, Lund, Sweden.</w:t>
      </w:r>
    </w:p>
    <w:p w14:paraId="79F7EF98" w14:textId="2DAED1CC" w:rsidR="009758B9" w:rsidRPr="001340AB" w:rsidRDefault="009758B9" w:rsidP="009758B9">
      <w:pPr>
        <w:spacing w:line="480" w:lineRule="auto"/>
      </w:pPr>
      <w:r w:rsidRPr="001340AB">
        <w:rPr>
          <w:b/>
        </w:rPr>
        <w:t>Acknowledgments</w:t>
      </w:r>
    </w:p>
    <w:p w14:paraId="1B0A1860" w14:textId="77777777" w:rsidR="00FC3879" w:rsidRDefault="009758B9" w:rsidP="00FC3879">
      <w:pPr>
        <w:spacing w:line="480" w:lineRule="auto"/>
      </w:pPr>
      <w:r w:rsidRPr="001340AB">
        <w:t xml:space="preserve">The Nord-Trøndelag Health Study (The HUNT Study) is a collaboration between HUNT Research Centre (Faculty of Medicine and Health Sciences, NTNU, Norwegian University of Science and Technology), Nord-Trøndelag County Council, Central Norway Regional Health Authority, and the Norwegian Institute of Public Health. </w:t>
      </w:r>
    </w:p>
    <w:p w14:paraId="68F85CB9" w14:textId="6D55D551" w:rsidR="00FC3879" w:rsidRPr="001340AB" w:rsidRDefault="00FC3879" w:rsidP="00FC3879">
      <w:pPr>
        <w:spacing w:line="480" w:lineRule="auto"/>
        <w:rPr>
          <w:b/>
        </w:rPr>
      </w:pPr>
      <w:r w:rsidRPr="006E44CC">
        <w:rPr>
          <w:b/>
        </w:rPr>
        <w:t xml:space="preserve">Conflict of Interest: </w:t>
      </w:r>
      <w:r w:rsidRPr="006E44CC">
        <w:t>none declared</w:t>
      </w:r>
    </w:p>
    <w:p w14:paraId="37AFA24A" w14:textId="77777777" w:rsidR="009758B9" w:rsidRPr="001340AB" w:rsidRDefault="009758B9" w:rsidP="009758B9">
      <w:pPr>
        <w:spacing w:line="480" w:lineRule="auto"/>
      </w:pPr>
    </w:p>
    <w:p w14:paraId="4E908500" w14:textId="77777777" w:rsidR="009758B9" w:rsidRPr="001340AB" w:rsidRDefault="009758B9" w:rsidP="009758B9">
      <w:pPr>
        <w:rPr>
          <w:b/>
        </w:rPr>
      </w:pPr>
      <w:r w:rsidRPr="001340AB">
        <w:rPr>
          <w:b/>
        </w:rPr>
        <w:br w:type="page"/>
      </w:r>
    </w:p>
    <w:p w14:paraId="477B86C7" w14:textId="414D6046" w:rsidR="009758B9" w:rsidRPr="001340AB" w:rsidRDefault="009758B9" w:rsidP="009758B9">
      <w:pPr>
        <w:pStyle w:val="Subtitle1"/>
      </w:pPr>
      <w:bookmarkStart w:id="7" w:name="_Toc512429825"/>
      <w:r w:rsidRPr="001340AB">
        <w:lastRenderedPageBreak/>
        <w:t xml:space="preserve">Tables and Figures </w:t>
      </w:r>
    </w:p>
    <w:bookmarkStart w:id="8" w:name="_Toc511729356"/>
    <w:p w14:paraId="68EE4A78" w14:textId="1536E86F" w:rsidR="009758B9" w:rsidRPr="001340AB" w:rsidRDefault="00632D59" w:rsidP="009758B9">
      <w:pPr>
        <w:jc w:val="center"/>
        <w:rPr>
          <w:rFonts w:asciiTheme="minorHAnsi" w:eastAsiaTheme="minorEastAsia" w:hAnsiTheme="minorHAnsi"/>
          <w:sz w:val="22"/>
        </w:rPr>
      </w:pPr>
      <w:r w:rsidRPr="001340AB">
        <w:object w:dxaOrig="10141" w:dyaOrig="10006" w14:anchorId="2D7C5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460.5pt" o:ole="">
            <v:imagedata r:id="rId9" o:title=""/>
          </v:shape>
          <o:OLEObject Type="Embed" ProgID="Visio.Drawing.15" ShapeID="_x0000_i1025" DrawAspect="Content" ObjectID="_1612599964" r:id="rId10"/>
        </w:object>
      </w:r>
    </w:p>
    <w:p w14:paraId="18ABD70E" w14:textId="77777777" w:rsidR="009758B9" w:rsidRPr="001340AB" w:rsidRDefault="009758B9" w:rsidP="009758B9">
      <w:pPr>
        <w:pStyle w:val="Figure"/>
      </w:pPr>
      <w:r w:rsidRPr="00E3176A">
        <w:rPr>
          <w:rFonts w:eastAsiaTheme="minorEastAsia"/>
          <w:b/>
          <w:noProof w:val="0"/>
        </w:rPr>
        <w:t>Figure 1.</w:t>
      </w:r>
      <w:r w:rsidRPr="001340AB">
        <w:rPr>
          <w:rFonts w:eastAsiaTheme="minorEastAsia"/>
          <w:noProof w:val="0"/>
        </w:rPr>
        <w:t xml:space="preserve"> Flow chart o</w:t>
      </w:r>
      <w:r w:rsidRPr="001340AB">
        <w:t>f study population</w:t>
      </w:r>
      <w:bookmarkEnd w:id="8"/>
    </w:p>
    <w:p w14:paraId="1365F86C" w14:textId="77777777" w:rsidR="009758B9" w:rsidRPr="001340AB" w:rsidRDefault="009758B9" w:rsidP="009758B9">
      <w:pPr>
        <w:rPr>
          <w:rFonts w:cs="Times New Roman"/>
          <w:sz w:val="20"/>
          <w:szCs w:val="20"/>
        </w:rPr>
      </w:pPr>
      <w:r w:rsidRPr="001340AB">
        <w:rPr>
          <w:rFonts w:cs="Times New Roman"/>
          <w:sz w:val="20"/>
          <w:szCs w:val="20"/>
          <w:vertAlign w:val="superscript"/>
        </w:rPr>
        <w:t>a</w:t>
      </w:r>
      <w:r w:rsidRPr="001340AB">
        <w:rPr>
          <w:rFonts w:cs="Times New Roman"/>
          <w:sz w:val="20"/>
          <w:szCs w:val="20"/>
        </w:rPr>
        <w:t xml:space="preserve"> Includes self-reported history of myocardial infarction (MI) or stroke at HUNT exam and hospitalizations for MI or stroke recorded from 1987 through the date of HUNT exam</w:t>
      </w:r>
    </w:p>
    <w:p w14:paraId="49F813E3" w14:textId="77777777" w:rsidR="009758B9" w:rsidRPr="001340AB" w:rsidRDefault="009758B9" w:rsidP="009758B9">
      <w:r w:rsidRPr="001340AB">
        <w:rPr>
          <w:sz w:val="20"/>
          <w:szCs w:val="20"/>
        </w:rPr>
        <w:t xml:space="preserve">HUNT = the Nord-Trøndelag Health Study; MBRN = Medical Birth Registry of Norway; CVD = cardiovascular disease </w:t>
      </w:r>
    </w:p>
    <w:p w14:paraId="4D1FBE56" w14:textId="77777777" w:rsidR="009758B9" w:rsidRPr="001340AB" w:rsidRDefault="009758B9" w:rsidP="009758B9">
      <w:pPr>
        <w:rPr>
          <w:b/>
        </w:rPr>
        <w:sectPr w:rsidR="009758B9" w:rsidRPr="001340AB" w:rsidSect="00851EB3">
          <w:pgSz w:w="12240" w:h="15840"/>
          <w:pgMar w:top="1440" w:right="1440" w:bottom="1440" w:left="1440" w:header="720" w:footer="720" w:gutter="0"/>
          <w:cols w:space="720"/>
          <w:docGrid w:linePitch="360"/>
        </w:sectPr>
      </w:pPr>
    </w:p>
    <w:p w14:paraId="55D5BF09" w14:textId="77777777" w:rsidR="009758B9" w:rsidRPr="001340AB" w:rsidRDefault="009758B9" w:rsidP="009758B9">
      <w:r w:rsidRPr="001340AB">
        <w:rPr>
          <w:b/>
        </w:rPr>
        <w:lastRenderedPageBreak/>
        <w:t>Table 1.</w:t>
      </w:r>
      <w:r w:rsidRPr="001340AB">
        <w:t xml:space="preserve"> Descriptive statistics of parous HUNT2 and HUNT3 participants by history of pregnancy complications at start of follow-up</w:t>
      </w:r>
    </w:p>
    <w:tbl>
      <w:tblPr>
        <w:tblW w:w="12509" w:type="dxa"/>
        <w:tblLook w:val="04A0" w:firstRow="1" w:lastRow="0" w:firstColumn="1" w:lastColumn="0" w:noHBand="0" w:noVBand="1"/>
      </w:tblPr>
      <w:tblGrid>
        <w:gridCol w:w="5120"/>
        <w:gridCol w:w="2080"/>
        <w:gridCol w:w="2700"/>
        <w:gridCol w:w="2609"/>
      </w:tblGrid>
      <w:tr w:rsidR="009758B9" w:rsidRPr="001340AB" w14:paraId="7738DE7F" w14:textId="77777777" w:rsidTr="002C7240">
        <w:trPr>
          <w:trHeight w:val="900"/>
        </w:trPr>
        <w:tc>
          <w:tcPr>
            <w:tcW w:w="5120" w:type="dxa"/>
            <w:tcBorders>
              <w:top w:val="single" w:sz="4" w:space="0" w:color="auto"/>
              <w:left w:val="nil"/>
              <w:bottom w:val="single" w:sz="4" w:space="0" w:color="auto"/>
              <w:right w:val="nil"/>
            </w:tcBorders>
            <w:shd w:val="clear" w:color="auto" w:fill="auto"/>
            <w:noWrap/>
            <w:vAlign w:val="bottom"/>
            <w:hideMark/>
          </w:tcPr>
          <w:p w14:paraId="040E954A" w14:textId="77777777" w:rsidR="009758B9" w:rsidRPr="001340AB" w:rsidRDefault="009758B9" w:rsidP="002C7240">
            <w:pPr>
              <w:spacing w:before="120" w:after="0" w:line="300" w:lineRule="auto"/>
              <w:rPr>
                <w:rFonts w:cs="Times New Roman"/>
                <w:sz w:val="22"/>
              </w:rPr>
            </w:pPr>
          </w:p>
        </w:tc>
        <w:tc>
          <w:tcPr>
            <w:tcW w:w="2080" w:type="dxa"/>
            <w:tcBorders>
              <w:top w:val="single" w:sz="4" w:space="0" w:color="auto"/>
              <w:left w:val="nil"/>
              <w:bottom w:val="single" w:sz="4" w:space="0" w:color="auto"/>
              <w:right w:val="nil"/>
            </w:tcBorders>
          </w:tcPr>
          <w:p w14:paraId="3E81E344" w14:textId="77777777" w:rsidR="009758B9" w:rsidRPr="001340AB" w:rsidRDefault="009758B9" w:rsidP="002C7240">
            <w:pPr>
              <w:spacing w:before="120" w:after="0" w:line="300" w:lineRule="auto"/>
              <w:jc w:val="center"/>
              <w:rPr>
                <w:rFonts w:cs="Times New Roman"/>
                <w:b/>
                <w:bCs/>
                <w:color w:val="000000"/>
                <w:sz w:val="22"/>
              </w:rPr>
            </w:pPr>
            <w:r w:rsidRPr="001340AB">
              <w:rPr>
                <w:rFonts w:cs="Times New Roman"/>
                <w:b/>
                <w:bCs/>
                <w:color w:val="000000"/>
                <w:sz w:val="22"/>
              </w:rPr>
              <w:t>All study participants (n=26,544</w:t>
            </w:r>
            <w:r w:rsidRPr="001340AB">
              <w:rPr>
                <w:rFonts w:cs="Times New Roman"/>
                <w:b/>
                <w:bCs/>
                <w:color w:val="000000"/>
                <w:sz w:val="22"/>
                <w:vertAlign w:val="superscript"/>
              </w:rPr>
              <w:t>b</w:t>
            </w:r>
            <w:r w:rsidRPr="001340AB">
              <w:rPr>
                <w:rFonts w:cs="Times New Roman"/>
                <w:b/>
                <w:bCs/>
                <w:color w:val="000000"/>
                <w:sz w:val="22"/>
              </w:rPr>
              <w:t>)</w:t>
            </w:r>
          </w:p>
        </w:tc>
        <w:tc>
          <w:tcPr>
            <w:tcW w:w="2700" w:type="dxa"/>
            <w:tcBorders>
              <w:top w:val="single" w:sz="4" w:space="0" w:color="auto"/>
              <w:left w:val="nil"/>
              <w:bottom w:val="single" w:sz="4" w:space="0" w:color="auto"/>
              <w:right w:val="nil"/>
            </w:tcBorders>
            <w:shd w:val="clear" w:color="auto" w:fill="auto"/>
            <w:vAlign w:val="bottom"/>
            <w:hideMark/>
          </w:tcPr>
          <w:p w14:paraId="17F88810" w14:textId="77777777" w:rsidR="009758B9" w:rsidRPr="001340AB" w:rsidRDefault="009758B9" w:rsidP="002C7240">
            <w:pPr>
              <w:spacing w:before="120" w:after="0" w:line="300" w:lineRule="auto"/>
              <w:jc w:val="center"/>
              <w:rPr>
                <w:rFonts w:cs="Times New Roman"/>
                <w:b/>
                <w:bCs/>
                <w:color w:val="000000"/>
                <w:sz w:val="22"/>
              </w:rPr>
            </w:pPr>
            <w:r w:rsidRPr="001340AB">
              <w:rPr>
                <w:rFonts w:cs="Times New Roman"/>
                <w:b/>
                <w:bCs/>
                <w:color w:val="000000"/>
                <w:sz w:val="22"/>
              </w:rPr>
              <w:t>Did not experience a pregnancy complication</w:t>
            </w:r>
            <w:r w:rsidRPr="001340AB">
              <w:rPr>
                <w:rFonts w:cs="Times New Roman"/>
                <w:b/>
                <w:bCs/>
                <w:color w:val="000000"/>
                <w:sz w:val="22"/>
                <w:vertAlign w:val="superscript"/>
              </w:rPr>
              <w:t>a</w:t>
            </w:r>
            <w:r w:rsidRPr="001340AB">
              <w:rPr>
                <w:rFonts w:cs="Times New Roman"/>
                <w:b/>
                <w:bCs/>
                <w:color w:val="000000"/>
                <w:sz w:val="22"/>
              </w:rPr>
              <w:br/>
              <w:t>(n=18,608</w:t>
            </w:r>
            <w:r w:rsidRPr="001340AB">
              <w:rPr>
                <w:rFonts w:cs="Times New Roman"/>
                <w:b/>
                <w:bCs/>
                <w:color w:val="000000"/>
                <w:sz w:val="22"/>
                <w:vertAlign w:val="superscript"/>
              </w:rPr>
              <w:t>b</w:t>
            </w:r>
            <w:r w:rsidRPr="001340AB">
              <w:rPr>
                <w:rFonts w:cs="Times New Roman"/>
                <w:b/>
                <w:bCs/>
                <w:color w:val="000000"/>
                <w:sz w:val="22"/>
              </w:rPr>
              <w:t>)</w:t>
            </w:r>
          </w:p>
        </w:tc>
        <w:tc>
          <w:tcPr>
            <w:tcW w:w="2609" w:type="dxa"/>
            <w:tcBorders>
              <w:top w:val="single" w:sz="4" w:space="0" w:color="auto"/>
              <w:left w:val="nil"/>
              <w:bottom w:val="single" w:sz="4" w:space="0" w:color="auto"/>
              <w:right w:val="nil"/>
            </w:tcBorders>
            <w:shd w:val="clear" w:color="auto" w:fill="auto"/>
            <w:vAlign w:val="bottom"/>
            <w:hideMark/>
          </w:tcPr>
          <w:p w14:paraId="348897EB" w14:textId="77777777" w:rsidR="009758B9" w:rsidRPr="001340AB" w:rsidRDefault="009758B9" w:rsidP="002C7240">
            <w:pPr>
              <w:spacing w:before="120" w:after="0" w:line="300" w:lineRule="auto"/>
              <w:jc w:val="center"/>
              <w:rPr>
                <w:rFonts w:cs="Times New Roman"/>
                <w:b/>
                <w:bCs/>
                <w:color w:val="000000"/>
                <w:sz w:val="22"/>
              </w:rPr>
            </w:pPr>
            <w:r w:rsidRPr="001340AB">
              <w:rPr>
                <w:rFonts w:cs="Times New Roman"/>
                <w:b/>
                <w:bCs/>
                <w:color w:val="000000"/>
                <w:sz w:val="22"/>
              </w:rPr>
              <w:t>Experienced at least one pregnancy complication</w:t>
            </w:r>
            <w:r w:rsidRPr="001340AB">
              <w:rPr>
                <w:rFonts w:cs="Times New Roman"/>
                <w:b/>
                <w:bCs/>
                <w:color w:val="000000"/>
                <w:sz w:val="22"/>
                <w:vertAlign w:val="superscript"/>
              </w:rPr>
              <w:t>a</w:t>
            </w:r>
            <w:r w:rsidRPr="001340AB">
              <w:rPr>
                <w:rFonts w:cs="Times New Roman"/>
                <w:b/>
                <w:bCs/>
                <w:color w:val="000000"/>
                <w:sz w:val="22"/>
              </w:rPr>
              <w:br/>
              <w:t>(n=7,936</w:t>
            </w:r>
            <w:r w:rsidRPr="001340AB">
              <w:rPr>
                <w:rFonts w:cs="Times New Roman"/>
                <w:b/>
                <w:bCs/>
                <w:color w:val="000000"/>
                <w:sz w:val="22"/>
                <w:vertAlign w:val="superscript"/>
              </w:rPr>
              <w:t>b</w:t>
            </w:r>
            <w:r w:rsidRPr="001340AB">
              <w:rPr>
                <w:rFonts w:cs="Times New Roman"/>
                <w:b/>
                <w:bCs/>
                <w:color w:val="000000"/>
                <w:sz w:val="22"/>
              </w:rPr>
              <w:t>)</w:t>
            </w:r>
          </w:p>
        </w:tc>
      </w:tr>
      <w:tr w:rsidR="009758B9" w:rsidRPr="001340AB" w14:paraId="0F728724" w14:textId="77777777" w:rsidTr="002C7240">
        <w:trPr>
          <w:trHeight w:val="300"/>
        </w:trPr>
        <w:tc>
          <w:tcPr>
            <w:tcW w:w="5120" w:type="dxa"/>
            <w:tcBorders>
              <w:top w:val="single" w:sz="4" w:space="0" w:color="auto"/>
              <w:left w:val="nil"/>
              <w:bottom w:val="nil"/>
              <w:right w:val="nil"/>
            </w:tcBorders>
            <w:shd w:val="clear" w:color="auto" w:fill="auto"/>
            <w:noWrap/>
            <w:vAlign w:val="bottom"/>
            <w:hideMark/>
          </w:tcPr>
          <w:p w14:paraId="5BBC9CF4" w14:textId="77777777" w:rsidR="009758B9" w:rsidRPr="001340AB" w:rsidRDefault="009758B9" w:rsidP="002C7240">
            <w:pPr>
              <w:spacing w:before="120" w:after="0" w:line="300" w:lineRule="auto"/>
              <w:rPr>
                <w:rFonts w:cs="Times New Roman"/>
                <w:color w:val="000000"/>
                <w:sz w:val="22"/>
              </w:rPr>
            </w:pPr>
            <w:r w:rsidRPr="001340AB">
              <w:rPr>
                <w:rFonts w:cs="Times New Roman"/>
                <w:color w:val="000000"/>
                <w:sz w:val="22"/>
              </w:rPr>
              <w:t>Age at HUNT exam in years, median (IQR)</w:t>
            </w:r>
          </w:p>
        </w:tc>
        <w:tc>
          <w:tcPr>
            <w:tcW w:w="2080" w:type="dxa"/>
            <w:tcBorders>
              <w:top w:val="single" w:sz="4" w:space="0" w:color="auto"/>
              <w:left w:val="nil"/>
              <w:bottom w:val="nil"/>
              <w:right w:val="nil"/>
            </w:tcBorders>
          </w:tcPr>
          <w:p w14:paraId="6DDE2F5A" w14:textId="77777777" w:rsidR="009758B9" w:rsidRPr="001340AB" w:rsidRDefault="009758B9" w:rsidP="002C7240">
            <w:pPr>
              <w:spacing w:before="120" w:after="0" w:line="300" w:lineRule="auto"/>
              <w:jc w:val="right"/>
              <w:rPr>
                <w:sz w:val="22"/>
              </w:rPr>
            </w:pPr>
            <w:r w:rsidRPr="001340AB">
              <w:rPr>
                <w:sz w:val="22"/>
              </w:rPr>
              <w:t>52 (46-59)</w:t>
            </w:r>
          </w:p>
        </w:tc>
        <w:tc>
          <w:tcPr>
            <w:tcW w:w="2700" w:type="dxa"/>
            <w:tcBorders>
              <w:top w:val="single" w:sz="4" w:space="0" w:color="auto"/>
              <w:left w:val="nil"/>
              <w:bottom w:val="nil"/>
              <w:right w:val="nil"/>
            </w:tcBorders>
            <w:shd w:val="clear" w:color="auto" w:fill="auto"/>
            <w:noWrap/>
            <w:vAlign w:val="center"/>
            <w:hideMark/>
          </w:tcPr>
          <w:p w14:paraId="7FCB936A" w14:textId="77777777" w:rsidR="009758B9" w:rsidRPr="001340AB" w:rsidRDefault="009758B9" w:rsidP="002C7240">
            <w:pPr>
              <w:spacing w:before="120" w:after="0" w:line="300" w:lineRule="auto"/>
              <w:jc w:val="right"/>
              <w:rPr>
                <w:rFonts w:cs="Times New Roman"/>
                <w:color w:val="000000"/>
                <w:sz w:val="22"/>
              </w:rPr>
            </w:pPr>
            <w:r w:rsidRPr="001340AB">
              <w:rPr>
                <w:sz w:val="22"/>
              </w:rPr>
              <w:t>52 (46-60)</w:t>
            </w:r>
          </w:p>
        </w:tc>
        <w:tc>
          <w:tcPr>
            <w:tcW w:w="2609" w:type="dxa"/>
            <w:tcBorders>
              <w:top w:val="single" w:sz="4" w:space="0" w:color="auto"/>
              <w:left w:val="nil"/>
              <w:bottom w:val="nil"/>
              <w:right w:val="nil"/>
            </w:tcBorders>
            <w:shd w:val="clear" w:color="auto" w:fill="auto"/>
            <w:noWrap/>
            <w:vAlign w:val="center"/>
            <w:hideMark/>
          </w:tcPr>
          <w:p w14:paraId="3FE3564C" w14:textId="77777777" w:rsidR="009758B9" w:rsidRPr="001340AB" w:rsidRDefault="009758B9" w:rsidP="002C7240">
            <w:pPr>
              <w:spacing w:before="120" w:after="0" w:line="300" w:lineRule="auto"/>
              <w:jc w:val="right"/>
              <w:rPr>
                <w:rFonts w:cs="Times New Roman"/>
                <w:color w:val="000000"/>
                <w:sz w:val="22"/>
              </w:rPr>
            </w:pPr>
            <w:r w:rsidRPr="001340AB">
              <w:rPr>
                <w:sz w:val="22"/>
              </w:rPr>
              <w:t>51 (46-58)</w:t>
            </w:r>
          </w:p>
        </w:tc>
      </w:tr>
      <w:tr w:rsidR="009758B9" w:rsidRPr="001340AB" w14:paraId="767B77DF" w14:textId="77777777" w:rsidTr="002C7240">
        <w:trPr>
          <w:trHeight w:val="300"/>
        </w:trPr>
        <w:tc>
          <w:tcPr>
            <w:tcW w:w="5120" w:type="dxa"/>
            <w:tcBorders>
              <w:top w:val="nil"/>
              <w:left w:val="nil"/>
              <w:bottom w:val="nil"/>
              <w:right w:val="nil"/>
            </w:tcBorders>
            <w:shd w:val="clear" w:color="auto" w:fill="auto"/>
            <w:noWrap/>
            <w:vAlign w:val="bottom"/>
            <w:hideMark/>
          </w:tcPr>
          <w:p w14:paraId="37B72846" w14:textId="77777777" w:rsidR="009758B9" w:rsidRPr="001340AB" w:rsidRDefault="009758B9" w:rsidP="002C7240">
            <w:pPr>
              <w:spacing w:after="0" w:line="300" w:lineRule="auto"/>
              <w:rPr>
                <w:rFonts w:cs="Times New Roman"/>
                <w:i/>
                <w:iCs/>
                <w:color w:val="000000"/>
                <w:sz w:val="22"/>
                <w:u w:val="single"/>
              </w:rPr>
            </w:pPr>
            <w:r w:rsidRPr="001340AB">
              <w:rPr>
                <w:rFonts w:cs="Times New Roman"/>
                <w:i/>
                <w:iCs/>
                <w:color w:val="000000"/>
                <w:sz w:val="22"/>
                <w:u w:val="single"/>
              </w:rPr>
              <w:t>Age-standardized</w:t>
            </w:r>
            <w:r w:rsidRPr="001340AB">
              <w:rPr>
                <w:rFonts w:cs="Times New Roman"/>
                <w:i/>
                <w:iCs/>
                <w:color w:val="000000"/>
                <w:sz w:val="10"/>
                <w:u w:val="single"/>
              </w:rPr>
              <w:t xml:space="preserve"> </w:t>
            </w:r>
            <w:r w:rsidRPr="001340AB">
              <w:rPr>
                <w:rFonts w:cs="Times New Roman"/>
                <w:i/>
                <w:iCs/>
                <w:color w:val="000000"/>
                <w:sz w:val="22"/>
                <w:u w:val="single"/>
                <w:vertAlign w:val="superscript"/>
              </w:rPr>
              <w:t>c</w:t>
            </w:r>
            <w:r w:rsidRPr="001340AB">
              <w:rPr>
                <w:rFonts w:cs="Times New Roman"/>
                <w:i/>
                <w:iCs/>
                <w:color w:val="000000"/>
                <w:sz w:val="22"/>
                <w:u w:val="single"/>
              </w:rPr>
              <w:t xml:space="preserve"> risk factors from NORRISK 2 Model</w:t>
            </w:r>
          </w:p>
        </w:tc>
        <w:tc>
          <w:tcPr>
            <w:tcW w:w="2080" w:type="dxa"/>
            <w:tcBorders>
              <w:top w:val="nil"/>
              <w:left w:val="nil"/>
              <w:bottom w:val="nil"/>
              <w:right w:val="nil"/>
            </w:tcBorders>
          </w:tcPr>
          <w:p w14:paraId="0890E81D" w14:textId="77777777" w:rsidR="009758B9" w:rsidRPr="001340AB" w:rsidRDefault="009758B9" w:rsidP="002C7240">
            <w:pPr>
              <w:spacing w:after="0" w:line="300" w:lineRule="auto"/>
              <w:jc w:val="right"/>
              <w:rPr>
                <w:rFonts w:cs="Times New Roman"/>
                <w:i/>
                <w:iCs/>
                <w:color w:val="000000"/>
                <w:sz w:val="22"/>
                <w:u w:val="single"/>
              </w:rPr>
            </w:pPr>
          </w:p>
        </w:tc>
        <w:tc>
          <w:tcPr>
            <w:tcW w:w="2700" w:type="dxa"/>
            <w:tcBorders>
              <w:top w:val="nil"/>
              <w:left w:val="nil"/>
              <w:bottom w:val="nil"/>
              <w:right w:val="nil"/>
            </w:tcBorders>
            <w:shd w:val="clear" w:color="auto" w:fill="auto"/>
            <w:vAlign w:val="center"/>
            <w:hideMark/>
          </w:tcPr>
          <w:p w14:paraId="3A255C7A" w14:textId="77777777" w:rsidR="009758B9" w:rsidRPr="001340AB" w:rsidRDefault="009758B9" w:rsidP="002C7240">
            <w:pPr>
              <w:spacing w:after="0" w:line="300" w:lineRule="auto"/>
              <w:jc w:val="right"/>
              <w:rPr>
                <w:rFonts w:cs="Times New Roman"/>
                <w:i/>
                <w:iCs/>
                <w:color w:val="000000"/>
                <w:sz w:val="22"/>
                <w:u w:val="single"/>
              </w:rPr>
            </w:pPr>
          </w:p>
        </w:tc>
        <w:tc>
          <w:tcPr>
            <w:tcW w:w="2609" w:type="dxa"/>
            <w:tcBorders>
              <w:top w:val="nil"/>
              <w:left w:val="nil"/>
              <w:bottom w:val="nil"/>
              <w:right w:val="nil"/>
            </w:tcBorders>
            <w:shd w:val="clear" w:color="auto" w:fill="auto"/>
            <w:vAlign w:val="center"/>
            <w:hideMark/>
          </w:tcPr>
          <w:p w14:paraId="46599A26" w14:textId="77777777" w:rsidR="009758B9" w:rsidRPr="001340AB" w:rsidRDefault="009758B9" w:rsidP="002C7240">
            <w:pPr>
              <w:spacing w:after="0" w:line="300" w:lineRule="auto"/>
              <w:jc w:val="right"/>
              <w:rPr>
                <w:rFonts w:cs="Times New Roman"/>
                <w:sz w:val="22"/>
              </w:rPr>
            </w:pPr>
          </w:p>
        </w:tc>
      </w:tr>
      <w:tr w:rsidR="009758B9" w:rsidRPr="001340AB" w14:paraId="33EB0D0F" w14:textId="77777777" w:rsidTr="002C7240">
        <w:trPr>
          <w:trHeight w:val="300"/>
        </w:trPr>
        <w:tc>
          <w:tcPr>
            <w:tcW w:w="5120" w:type="dxa"/>
            <w:tcBorders>
              <w:top w:val="nil"/>
              <w:left w:val="nil"/>
              <w:bottom w:val="nil"/>
              <w:right w:val="nil"/>
            </w:tcBorders>
            <w:shd w:val="clear" w:color="auto" w:fill="auto"/>
            <w:noWrap/>
            <w:vAlign w:val="bottom"/>
            <w:hideMark/>
          </w:tcPr>
          <w:p w14:paraId="79B29E91"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Systolic blood pressure in mmHg, median (IQR)</w:t>
            </w:r>
          </w:p>
        </w:tc>
        <w:tc>
          <w:tcPr>
            <w:tcW w:w="2080" w:type="dxa"/>
            <w:tcBorders>
              <w:top w:val="nil"/>
              <w:left w:val="nil"/>
              <w:bottom w:val="nil"/>
              <w:right w:val="nil"/>
            </w:tcBorders>
          </w:tcPr>
          <w:p w14:paraId="547A2AEB" w14:textId="77777777" w:rsidR="009758B9" w:rsidRPr="001340AB" w:rsidRDefault="009758B9" w:rsidP="002C7240">
            <w:pPr>
              <w:spacing w:after="0" w:line="300" w:lineRule="auto"/>
              <w:jc w:val="right"/>
              <w:rPr>
                <w:sz w:val="22"/>
              </w:rPr>
            </w:pPr>
            <w:r w:rsidRPr="001340AB">
              <w:rPr>
                <w:sz w:val="22"/>
              </w:rPr>
              <w:t>128 (117-142)</w:t>
            </w:r>
          </w:p>
        </w:tc>
        <w:tc>
          <w:tcPr>
            <w:tcW w:w="2700" w:type="dxa"/>
            <w:tcBorders>
              <w:top w:val="nil"/>
              <w:left w:val="nil"/>
              <w:bottom w:val="nil"/>
              <w:right w:val="nil"/>
            </w:tcBorders>
            <w:shd w:val="clear" w:color="auto" w:fill="auto"/>
            <w:noWrap/>
            <w:vAlign w:val="center"/>
            <w:hideMark/>
          </w:tcPr>
          <w:p w14:paraId="6DCD5827" w14:textId="77777777" w:rsidR="009758B9" w:rsidRPr="001340AB" w:rsidRDefault="009758B9" w:rsidP="002C7240">
            <w:pPr>
              <w:spacing w:after="0" w:line="300" w:lineRule="auto"/>
              <w:jc w:val="right"/>
              <w:rPr>
                <w:rFonts w:cs="Times New Roman"/>
                <w:color w:val="000000"/>
                <w:sz w:val="22"/>
              </w:rPr>
            </w:pPr>
            <w:r w:rsidRPr="001340AB">
              <w:rPr>
                <w:sz w:val="22"/>
              </w:rPr>
              <w:t>127 (116-141)</w:t>
            </w:r>
          </w:p>
        </w:tc>
        <w:tc>
          <w:tcPr>
            <w:tcW w:w="2609" w:type="dxa"/>
            <w:tcBorders>
              <w:top w:val="nil"/>
              <w:left w:val="nil"/>
              <w:bottom w:val="nil"/>
              <w:right w:val="nil"/>
            </w:tcBorders>
            <w:shd w:val="clear" w:color="auto" w:fill="auto"/>
            <w:noWrap/>
            <w:vAlign w:val="center"/>
            <w:hideMark/>
          </w:tcPr>
          <w:p w14:paraId="79BBC7C0" w14:textId="77777777" w:rsidR="009758B9" w:rsidRPr="001340AB" w:rsidRDefault="009758B9" w:rsidP="002C7240">
            <w:pPr>
              <w:spacing w:after="0" w:line="300" w:lineRule="auto"/>
              <w:jc w:val="right"/>
              <w:rPr>
                <w:rFonts w:cs="Times New Roman"/>
                <w:color w:val="000000"/>
                <w:sz w:val="22"/>
              </w:rPr>
            </w:pPr>
            <w:r w:rsidRPr="001340AB">
              <w:rPr>
                <w:sz w:val="22"/>
              </w:rPr>
              <w:t>130 (118-144)</w:t>
            </w:r>
          </w:p>
        </w:tc>
      </w:tr>
      <w:tr w:rsidR="009758B9" w:rsidRPr="001340AB" w14:paraId="5A211721" w14:textId="77777777" w:rsidTr="002C7240">
        <w:trPr>
          <w:trHeight w:val="300"/>
        </w:trPr>
        <w:tc>
          <w:tcPr>
            <w:tcW w:w="5120" w:type="dxa"/>
            <w:tcBorders>
              <w:top w:val="nil"/>
              <w:left w:val="nil"/>
              <w:bottom w:val="nil"/>
              <w:right w:val="nil"/>
            </w:tcBorders>
            <w:shd w:val="clear" w:color="auto" w:fill="auto"/>
            <w:noWrap/>
            <w:vAlign w:val="bottom"/>
            <w:hideMark/>
          </w:tcPr>
          <w:p w14:paraId="5B60B91C"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Serum total cholesterol in mmol/L, median (IQR)</w:t>
            </w:r>
          </w:p>
        </w:tc>
        <w:tc>
          <w:tcPr>
            <w:tcW w:w="2080" w:type="dxa"/>
            <w:tcBorders>
              <w:top w:val="nil"/>
              <w:left w:val="nil"/>
              <w:bottom w:val="nil"/>
              <w:right w:val="nil"/>
            </w:tcBorders>
          </w:tcPr>
          <w:p w14:paraId="28AA5E03" w14:textId="77777777" w:rsidR="009758B9" w:rsidRPr="001340AB" w:rsidRDefault="009758B9" w:rsidP="002C7240">
            <w:pPr>
              <w:spacing w:after="0" w:line="300" w:lineRule="auto"/>
              <w:jc w:val="right"/>
              <w:rPr>
                <w:sz w:val="22"/>
              </w:rPr>
            </w:pPr>
            <w:r w:rsidRPr="001340AB">
              <w:rPr>
                <w:sz w:val="22"/>
              </w:rPr>
              <w:t>5.8 (5.1-6.6)</w:t>
            </w:r>
          </w:p>
        </w:tc>
        <w:tc>
          <w:tcPr>
            <w:tcW w:w="2700" w:type="dxa"/>
            <w:tcBorders>
              <w:top w:val="nil"/>
              <w:left w:val="nil"/>
              <w:bottom w:val="nil"/>
              <w:right w:val="nil"/>
            </w:tcBorders>
            <w:shd w:val="clear" w:color="auto" w:fill="auto"/>
            <w:noWrap/>
            <w:vAlign w:val="center"/>
            <w:hideMark/>
          </w:tcPr>
          <w:p w14:paraId="2AE54FB7" w14:textId="77777777" w:rsidR="009758B9" w:rsidRPr="001340AB" w:rsidRDefault="009758B9" w:rsidP="002C7240">
            <w:pPr>
              <w:spacing w:after="0" w:line="300" w:lineRule="auto"/>
              <w:jc w:val="right"/>
              <w:rPr>
                <w:rFonts w:cs="Times New Roman"/>
                <w:color w:val="000000"/>
                <w:sz w:val="22"/>
              </w:rPr>
            </w:pPr>
            <w:r w:rsidRPr="001340AB">
              <w:rPr>
                <w:sz w:val="22"/>
              </w:rPr>
              <w:t>5.8 (5.1-6.6)</w:t>
            </w:r>
          </w:p>
        </w:tc>
        <w:tc>
          <w:tcPr>
            <w:tcW w:w="2609" w:type="dxa"/>
            <w:tcBorders>
              <w:top w:val="nil"/>
              <w:left w:val="nil"/>
              <w:bottom w:val="nil"/>
              <w:right w:val="nil"/>
            </w:tcBorders>
            <w:shd w:val="clear" w:color="auto" w:fill="auto"/>
            <w:noWrap/>
            <w:vAlign w:val="center"/>
            <w:hideMark/>
          </w:tcPr>
          <w:p w14:paraId="3A2FE2EB" w14:textId="77777777" w:rsidR="009758B9" w:rsidRPr="001340AB" w:rsidRDefault="009758B9" w:rsidP="002C7240">
            <w:pPr>
              <w:spacing w:after="0" w:line="300" w:lineRule="auto"/>
              <w:jc w:val="right"/>
              <w:rPr>
                <w:rFonts w:cs="Times New Roman"/>
                <w:color w:val="000000"/>
                <w:sz w:val="22"/>
              </w:rPr>
            </w:pPr>
            <w:r w:rsidRPr="001340AB">
              <w:rPr>
                <w:sz w:val="22"/>
              </w:rPr>
              <w:t>5.8 (5.1-6.6)</w:t>
            </w:r>
          </w:p>
        </w:tc>
      </w:tr>
      <w:tr w:rsidR="009758B9" w:rsidRPr="001340AB" w14:paraId="73729311" w14:textId="77777777" w:rsidTr="002C7240">
        <w:trPr>
          <w:trHeight w:val="300"/>
        </w:trPr>
        <w:tc>
          <w:tcPr>
            <w:tcW w:w="5120" w:type="dxa"/>
            <w:tcBorders>
              <w:top w:val="nil"/>
              <w:left w:val="nil"/>
              <w:bottom w:val="nil"/>
              <w:right w:val="nil"/>
            </w:tcBorders>
            <w:shd w:val="clear" w:color="auto" w:fill="auto"/>
            <w:noWrap/>
            <w:vAlign w:val="bottom"/>
            <w:hideMark/>
          </w:tcPr>
          <w:p w14:paraId="42812AF3"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Current daily smoking</w:t>
            </w:r>
          </w:p>
        </w:tc>
        <w:tc>
          <w:tcPr>
            <w:tcW w:w="2080" w:type="dxa"/>
            <w:tcBorders>
              <w:top w:val="nil"/>
              <w:left w:val="nil"/>
              <w:bottom w:val="nil"/>
              <w:right w:val="nil"/>
            </w:tcBorders>
          </w:tcPr>
          <w:p w14:paraId="70597D92" w14:textId="77777777" w:rsidR="009758B9" w:rsidRPr="001340AB" w:rsidRDefault="009758B9" w:rsidP="002C7240">
            <w:pPr>
              <w:spacing w:after="0" w:line="300" w:lineRule="auto"/>
              <w:jc w:val="right"/>
              <w:rPr>
                <w:sz w:val="22"/>
              </w:rPr>
            </w:pPr>
            <w:r w:rsidRPr="001340AB">
              <w:rPr>
                <w:sz w:val="22"/>
              </w:rPr>
              <w:t>31%</w:t>
            </w:r>
          </w:p>
        </w:tc>
        <w:tc>
          <w:tcPr>
            <w:tcW w:w="2700" w:type="dxa"/>
            <w:tcBorders>
              <w:top w:val="nil"/>
              <w:left w:val="nil"/>
              <w:bottom w:val="nil"/>
              <w:right w:val="nil"/>
            </w:tcBorders>
            <w:shd w:val="clear" w:color="auto" w:fill="auto"/>
            <w:noWrap/>
            <w:vAlign w:val="center"/>
            <w:hideMark/>
          </w:tcPr>
          <w:p w14:paraId="34334D51" w14:textId="77777777" w:rsidR="009758B9" w:rsidRPr="001340AB" w:rsidRDefault="009758B9" w:rsidP="002C7240">
            <w:pPr>
              <w:spacing w:after="0" w:line="300" w:lineRule="auto"/>
              <w:jc w:val="right"/>
              <w:rPr>
                <w:rFonts w:cs="Times New Roman"/>
                <w:color w:val="000000"/>
                <w:sz w:val="22"/>
              </w:rPr>
            </w:pPr>
            <w:r w:rsidRPr="001340AB">
              <w:rPr>
                <w:sz w:val="22"/>
              </w:rPr>
              <w:t>29%</w:t>
            </w:r>
          </w:p>
        </w:tc>
        <w:tc>
          <w:tcPr>
            <w:tcW w:w="2609" w:type="dxa"/>
            <w:tcBorders>
              <w:top w:val="nil"/>
              <w:left w:val="nil"/>
              <w:bottom w:val="nil"/>
              <w:right w:val="nil"/>
            </w:tcBorders>
            <w:shd w:val="clear" w:color="auto" w:fill="auto"/>
            <w:noWrap/>
            <w:vAlign w:val="center"/>
            <w:hideMark/>
          </w:tcPr>
          <w:p w14:paraId="2F29D8E5" w14:textId="77777777" w:rsidR="009758B9" w:rsidRPr="001340AB" w:rsidRDefault="009758B9" w:rsidP="002C7240">
            <w:pPr>
              <w:spacing w:after="0" w:line="300" w:lineRule="auto"/>
              <w:jc w:val="right"/>
              <w:rPr>
                <w:rFonts w:cs="Times New Roman"/>
                <w:color w:val="000000"/>
                <w:sz w:val="22"/>
              </w:rPr>
            </w:pPr>
            <w:r w:rsidRPr="001340AB">
              <w:rPr>
                <w:sz w:val="22"/>
              </w:rPr>
              <w:t>35%</w:t>
            </w:r>
          </w:p>
        </w:tc>
      </w:tr>
      <w:tr w:rsidR="009758B9" w:rsidRPr="001340AB" w14:paraId="0BDD688C" w14:textId="77777777" w:rsidTr="002C7240">
        <w:trPr>
          <w:trHeight w:val="300"/>
        </w:trPr>
        <w:tc>
          <w:tcPr>
            <w:tcW w:w="5120" w:type="dxa"/>
            <w:tcBorders>
              <w:top w:val="nil"/>
              <w:left w:val="nil"/>
              <w:bottom w:val="nil"/>
              <w:right w:val="nil"/>
            </w:tcBorders>
            <w:shd w:val="clear" w:color="auto" w:fill="auto"/>
            <w:noWrap/>
            <w:vAlign w:val="bottom"/>
            <w:hideMark/>
          </w:tcPr>
          <w:p w14:paraId="0D80F721"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Current anti-hypertensive use</w:t>
            </w:r>
          </w:p>
        </w:tc>
        <w:tc>
          <w:tcPr>
            <w:tcW w:w="2080" w:type="dxa"/>
            <w:tcBorders>
              <w:top w:val="nil"/>
              <w:left w:val="nil"/>
              <w:bottom w:val="nil"/>
              <w:right w:val="nil"/>
            </w:tcBorders>
          </w:tcPr>
          <w:p w14:paraId="27955B85" w14:textId="77777777" w:rsidR="009758B9" w:rsidRPr="001340AB" w:rsidRDefault="009758B9" w:rsidP="002C7240">
            <w:pPr>
              <w:spacing w:after="0" w:line="300" w:lineRule="auto"/>
              <w:jc w:val="right"/>
              <w:rPr>
                <w:sz w:val="22"/>
              </w:rPr>
            </w:pPr>
            <w:r w:rsidRPr="001340AB">
              <w:rPr>
                <w:sz w:val="22"/>
              </w:rPr>
              <w:t>13%</w:t>
            </w:r>
          </w:p>
        </w:tc>
        <w:tc>
          <w:tcPr>
            <w:tcW w:w="2700" w:type="dxa"/>
            <w:tcBorders>
              <w:top w:val="nil"/>
              <w:left w:val="nil"/>
              <w:bottom w:val="nil"/>
              <w:right w:val="nil"/>
            </w:tcBorders>
            <w:shd w:val="clear" w:color="auto" w:fill="auto"/>
            <w:noWrap/>
            <w:vAlign w:val="center"/>
            <w:hideMark/>
          </w:tcPr>
          <w:p w14:paraId="27E4CF71" w14:textId="77777777" w:rsidR="009758B9" w:rsidRPr="001340AB" w:rsidRDefault="009758B9" w:rsidP="002C7240">
            <w:pPr>
              <w:spacing w:after="0" w:line="300" w:lineRule="auto"/>
              <w:jc w:val="right"/>
              <w:rPr>
                <w:rFonts w:cs="Times New Roman"/>
                <w:color w:val="000000"/>
                <w:sz w:val="22"/>
              </w:rPr>
            </w:pPr>
            <w:r w:rsidRPr="001340AB">
              <w:rPr>
                <w:sz w:val="22"/>
              </w:rPr>
              <w:t>12%</w:t>
            </w:r>
          </w:p>
        </w:tc>
        <w:tc>
          <w:tcPr>
            <w:tcW w:w="2609" w:type="dxa"/>
            <w:tcBorders>
              <w:top w:val="nil"/>
              <w:left w:val="nil"/>
              <w:bottom w:val="nil"/>
              <w:right w:val="nil"/>
            </w:tcBorders>
            <w:shd w:val="clear" w:color="auto" w:fill="auto"/>
            <w:noWrap/>
            <w:vAlign w:val="center"/>
            <w:hideMark/>
          </w:tcPr>
          <w:p w14:paraId="0FF6D887" w14:textId="77777777" w:rsidR="009758B9" w:rsidRPr="001340AB" w:rsidRDefault="009758B9" w:rsidP="002C7240">
            <w:pPr>
              <w:spacing w:after="0" w:line="300" w:lineRule="auto"/>
              <w:jc w:val="right"/>
              <w:rPr>
                <w:rFonts w:cs="Times New Roman"/>
                <w:color w:val="000000"/>
                <w:sz w:val="22"/>
              </w:rPr>
            </w:pPr>
            <w:r w:rsidRPr="001340AB">
              <w:rPr>
                <w:sz w:val="22"/>
              </w:rPr>
              <w:t>18%</w:t>
            </w:r>
          </w:p>
        </w:tc>
      </w:tr>
      <w:tr w:rsidR="009758B9" w:rsidRPr="001340AB" w14:paraId="06CC989C" w14:textId="77777777" w:rsidTr="002C7240">
        <w:trPr>
          <w:trHeight w:val="300"/>
        </w:trPr>
        <w:tc>
          <w:tcPr>
            <w:tcW w:w="5120" w:type="dxa"/>
            <w:tcBorders>
              <w:top w:val="nil"/>
              <w:left w:val="nil"/>
              <w:bottom w:val="nil"/>
              <w:right w:val="nil"/>
            </w:tcBorders>
            <w:shd w:val="clear" w:color="auto" w:fill="auto"/>
            <w:noWrap/>
            <w:vAlign w:val="bottom"/>
            <w:hideMark/>
          </w:tcPr>
          <w:p w14:paraId="48006A7F"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Low HDL-C</w:t>
            </w:r>
            <w:r w:rsidRPr="001340AB">
              <w:rPr>
                <w:sz w:val="20"/>
                <w:vertAlign w:val="superscript"/>
              </w:rPr>
              <w:t xml:space="preserve"> d</w:t>
            </w:r>
          </w:p>
        </w:tc>
        <w:tc>
          <w:tcPr>
            <w:tcW w:w="2080" w:type="dxa"/>
            <w:tcBorders>
              <w:top w:val="nil"/>
              <w:left w:val="nil"/>
              <w:bottom w:val="nil"/>
              <w:right w:val="nil"/>
            </w:tcBorders>
          </w:tcPr>
          <w:p w14:paraId="53026759" w14:textId="77777777" w:rsidR="009758B9" w:rsidRPr="001340AB" w:rsidRDefault="009758B9" w:rsidP="002C7240">
            <w:pPr>
              <w:spacing w:after="0" w:line="300" w:lineRule="auto"/>
              <w:jc w:val="right"/>
              <w:rPr>
                <w:sz w:val="22"/>
              </w:rPr>
            </w:pPr>
            <w:r w:rsidRPr="001340AB">
              <w:rPr>
                <w:sz w:val="22"/>
              </w:rPr>
              <w:t>37%</w:t>
            </w:r>
          </w:p>
        </w:tc>
        <w:tc>
          <w:tcPr>
            <w:tcW w:w="2700" w:type="dxa"/>
            <w:tcBorders>
              <w:top w:val="nil"/>
              <w:left w:val="nil"/>
              <w:bottom w:val="nil"/>
              <w:right w:val="nil"/>
            </w:tcBorders>
            <w:shd w:val="clear" w:color="auto" w:fill="auto"/>
            <w:noWrap/>
            <w:vAlign w:val="center"/>
            <w:hideMark/>
          </w:tcPr>
          <w:p w14:paraId="1E4399AD" w14:textId="77777777" w:rsidR="009758B9" w:rsidRPr="001340AB" w:rsidRDefault="009758B9" w:rsidP="002C7240">
            <w:pPr>
              <w:spacing w:after="0" w:line="300" w:lineRule="auto"/>
              <w:jc w:val="right"/>
              <w:rPr>
                <w:rFonts w:cs="Times New Roman"/>
                <w:color w:val="000000"/>
                <w:sz w:val="22"/>
              </w:rPr>
            </w:pPr>
            <w:r w:rsidRPr="001340AB">
              <w:rPr>
                <w:sz w:val="22"/>
              </w:rPr>
              <w:t>37%</w:t>
            </w:r>
          </w:p>
        </w:tc>
        <w:tc>
          <w:tcPr>
            <w:tcW w:w="2609" w:type="dxa"/>
            <w:tcBorders>
              <w:top w:val="nil"/>
              <w:left w:val="nil"/>
              <w:bottom w:val="nil"/>
              <w:right w:val="nil"/>
            </w:tcBorders>
            <w:shd w:val="clear" w:color="auto" w:fill="auto"/>
            <w:noWrap/>
            <w:vAlign w:val="center"/>
            <w:hideMark/>
          </w:tcPr>
          <w:p w14:paraId="226B3B3F" w14:textId="77777777" w:rsidR="009758B9" w:rsidRPr="001340AB" w:rsidRDefault="009758B9" w:rsidP="002C7240">
            <w:pPr>
              <w:spacing w:after="0" w:line="300" w:lineRule="auto"/>
              <w:jc w:val="right"/>
              <w:rPr>
                <w:rFonts w:cs="Times New Roman"/>
                <w:color w:val="000000"/>
                <w:sz w:val="22"/>
              </w:rPr>
            </w:pPr>
            <w:r w:rsidRPr="001340AB">
              <w:rPr>
                <w:sz w:val="22"/>
              </w:rPr>
              <w:t>39%</w:t>
            </w:r>
          </w:p>
        </w:tc>
      </w:tr>
      <w:tr w:rsidR="009758B9" w:rsidRPr="001340AB" w14:paraId="656B6371" w14:textId="77777777" w:rsidTr="002C7240">
        <w:trPr>
          <w:trHeight w:val="300"/>
        </w:trPr>
        <w:tc>
          <w:tcPr>
            <w:tcW w:w="5120" w:type="dxa"/>
            <w:tcBorders>
              <w:top w:val="nil"/>
              <w:left w:val="nil"/>
              <w:bottom w:val="nil"/>
              <w:right w:val="nil"/>
            </w:tcBorders>
            <w:shd w:val="clear" w:color="auto" w:fill="auto"/>
            <w:noWrap/>
            <w:vAlign w:val="bottom"/>
            <w:hideMark/>
          </w:tcPr>
          <w:p w14:paraId="72075F67"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Family history of premature MI</w:t>
            </w:r>
            <w:r w:rsidRPr="001340AB">
              <w:rPr>
                <w:rFonts w:cs="Times New Roman"/>
                <w:color w:val="000000"/>
                <w:sz w:val="22"/>
                <w:vertAlign w:val="superscript"/>
              </w:rPr>
              <w:t>e</w:t>
            </w:r>
          </w:p>
        </w:tc>
        <w:tc>
          <w:tcPr>
            <w:tcW w:w="2080" w:type="dxa"/>
            <w:tcBorders>
              <w:top w:val="nil"/>
              <w:left w:val="nil"/>
              <w:bottom w:val="nil"/>
              <w:right w:val="nil"/>
            </w:tcBorders>
          </w:tcPr>
          <w:p w14:paraId="1FE3DE3E" w14:textId="77777777" w:rsidR="009758B9" w:rsidRPr="001340AB" w:rsidRDefault="009758B9" w:rsidP="002C7240">
            <w:pPr>
              <w:spacing w:after="0" w:line="300" w:lineRule="auto"/>
              <w:jc w:val="right"/>
              <w:rPr>
                <w:sz w:val="22"/>
              </w:rPr>
            </w:pPr>
            <w:r w:rsidRPr="001340AB">
              <w:rPr>
                <w:sz w:val="22"/>
              </w:rPr>
              <w:t>17%</w:t>
            </w:r>
          </w:p>
        </w:tc>
        <w:tc>
          <w:tcPr>
            <w:tcW w:w="2700" w:type="dxa"/>
            <w:tcBorders>
              <w:top w:val="nil"/>
              <w:left w:val="nil"/>
              <w:bottom w:val="nil"/>
              <w:right w:val="nil"/>
            </w:tcBorders>
            <w:shd w:val="clear" w:color="auto" w:fill="auto"/>
            <w:noWrap/>
            <w:vAlign w:val="center"/>
            <w:hideMark/>
          </w:tcPr>
          <w:p w14:paraId="03D1B2B0" w14:textId="77777777" w:rsidR="009758B9" w:rsidRPr="001340AB" w:rsidRDefault="009758B9" w:rsidP="002C7240">
            <w:pPr>
              <w:spacing w:after="0" w:line="300" w:lineRule="auto"/>
              <w:jc w:val="right"/>
              <w:rPr>
                <w:rFonts w:cs="Times New Roman"/>
                <w:color w:val="000000"/>
                <w:sz w:val="22"/>
              </w:rPr>
            </w:pPr>
            <w:r w:rsidRPr="001340AB">
              <w:rPr>
                <w:sz w:val="22"/>
              </w:rPr>
              <w:t>16%</w:t>
            </w:r>
          </w:p>
        </w:tc>
        <w:tc>
          <w:tcPr>
            <w:tcW w:w="2609" w:type="dxa"/>
            <w:tcBorders>
              <w:top w:val="nil"/>
              <w:left w:val="nil"/>
              <w:bottom w:val="nil"/>
              <w:right w:val="nil"/>
            </w:tcBorders>
            <w:shd w:val="clear" w:color="auto" w:fill="auto"/>
            <w:noWrap/>
            <w:vAlign w:val="center"/>
            <w:hideMark/>
          </w:tcPr>
          <w:p w14:paraId="1EC0CC54" w14:textId="77777777" w:rsidR="009758B9" w:rsidRPr="001340AB" w:rsidRDefault="009758B9" w:rsidP="002C7240">
            <w:pPr>
              <w:spacing w:after="0" w:line="300" w:lineRule="auto"/>
              <w:jc w:val="right"/>
              <w:rPr>
                <w:rFonts w:cs="Times New Roman"/>
                <w:color w:val="000000"/>
                <w:sz w:val="22"/>
              </w:rPr>
            </w:pPr>
            <w:r w:rsidRPr="001340AB">
              <w:rPr>
                <w:sz w:val="22"/>
              </w:rPr>
              <w:t>19%</w:t>
            </w:r>
          </w:p>
        </w:tc>
      </w:tr>
      <w:tr w:rsidR="009758B9" w:rsidRPr="001340AB" w14:paraId="53BF0655" w14:textId="77777777" w:rsidTr="002C7240">
        <w:trPr>
          <w:trHeight w:val="300"/>
        </w:trPr>
        <w:tc>
          <w:tcPr>
            <w:tcW w:w="5120" w:type="dxa"/>
            <w:tcBorders>
              <w:top w:val="nil"/>
              <w:left w:val="nil"/>
              <w:bottom w:val="nil"/>
              <w:right w:val="nil"/>
            </w:tcBorders>
            <w:shd w:val="clear" w:color="auto" w:fill="auto"/>
            <w:noWrap/>
            <w:vAlign w:val="bottom"/>
            <w:hideMark/>
          </w:tcPr>
          <w:p w14:paraId="63D2D757" w14:textId="77777777" w:rsidR="009758B9" w:rsidRPr="001340AB" w:rsidRDefault="009758B9" w:rsidP="002C7240">
            <w:pPr>
              <w:spacing w:after="0" w:line="300" w:lineRule="auto"/>
              <w:rPr>
                <w:rFonts w:cs="Times New Roman"/>
                <w:i/>
                <w:iCs/>
                <w:color w:val="000000"/>
                <w:sz w:val="22"/>
                <w:u w:val="single"/>
              </w:rPr>
            </w:pPr>
            <w:r w:rsidRPr="001340AB">
              <w:rPr>
                <w:rFonts w:cs="Times New Roman"/>
                <w:i/>
                <w:iCs/>
                <w:color w:val="000000"/>
                <w:sz w:val="22"/>
                <w:u w:val="single"/>
              </w:rPr>
              <w:t>Reproductive History</w:t>
            </w:r>
          </w:p>
        </w:tc>
        <w:tc>
          <w:tcPr>
            <w:tcW w:w="2080" w:type="dxa"/>
            <w:tcBorders>
              <w:top w:val="nil"/>
              <w:left w:val="nil"/>
              <w:bottom w:val="nil"/>
              <w:right w:val="nil"/>
            </w:tcBorders>
          </w:tcPr>
          <w:p w14:paraId="2A9C1706" w14:textId="77777777" w:rsidR="009758B9" w:rsidRPr="001340AB" w:rsidRDefault="009758B9" w:rsidP="002C7240">
            <w:pPr>
              <w:spacing w:after="0" w:line="300" w:lineRule="auto"/>
              <w:jc w:val="right"/>
              <w:rPr>
                <w:rFonts w:cs="Times New Roman"/>
                <w:i/>
                <w:iCs/>
                <w:color w:val="000000"/>
                <w:sz w:val="22"/>
                <w:u w:val="single"/>
              </w:rPr>
            </w:pPr>
          </w:p>
        </w:tc>
        <w:tc>
          <w:tcPr>
            <w:tcW w:w="2700" w:type="dxa"/>
            <w:tcBorders>
              <w:top w:val="nil"/>
              <w:left w:val="nil"/>
              <w:bottom w:val="nil"/>
              <w:right w:val="nil"/>
            </w:tcBorders>
            <w:shd w:val="clear" w:color="auto" w:fill="auto"/>
            <w:noWrap/>
            <w:vAlign w:val="center"/>
            <w:hideMark/>
          </w:tcPr>
          <w:p w14:paraId="412C02AB" w14:textId="77777777" w:rsidR="009758B9" w:rsidRPr="001340AB" w:rsidRDefault="009758B9" w:rsidP="002C7240">
            <w:pPr>
              <w:spacing w:after="0" w:line="300" w:lineRule="auto"/>
              <w:jc w:val="right"/>
              <w:rPr>
                <w:rFonts w:cs="Times New Roman"/>
                <w:i/>
                <w:iCs/>
                <w:color w:val="000000"/>
                <w:sz w:val="22"/>
                <w:u w:val="single"/>
              </w:rPr>
            </w:pPr>
          </w:p>
        </w:tc>
        <w:tc>
          <w:tcPr>
            <w:tcW w:w="2609" w:type="dxa"/>
            <w:tcBorders>
              <w:top w:val="nil"/>
              <w:left w:val="nil"/>
              <w:bottom w:val="nil"/>
              <w:right w:val="nil"/>
            </w:tcBorders>
            <w:shd w:val="clear" w:color="auto" w:fill="auto"/>
            <w:noWrap/>
            <w:vAlign w:val="center"/>
            <w:hideMark/>
          </w:tcPr>
          <w:p w14:paraId="506F2A85" w14:textId="77777777" w:rsidR="009758B9" w:rsidRPr="001340AB" w:rsidRDefault="009758B9" w:rsidP="002C7240">
            <w:pPr>
              <w:spacing w:after="0" w:line="300" w:lineRule="auto"/>
              <w:jc w:val="right"/>
              <w:rPr>
                <w:rFonts w:cs="Times New Roman"/>
                <w:sz w:val="22"/>
              </w:rPr>
            </w:pPr>
          </w:p>
        </w:tc>
      </w:tr>
      <w:tr w:rsidR="009758B9" w:rsidRPr="001340AB" w14:paraId="537E67CE" w14:textId="77777777" w:rsidTr="002C7240">
        <w:trPr>
          <w:trHeight w:val="300"/>
        </w:trPr>
        <w:tc>
          <w:tcPr>
            <w:tcW w:w="5120" w:type="dxa"/>
            <w:tcBorders>
              <w:top w:val="nil"/>
              <w:left w:val="nil"/>
              <w:bottom w:val="nil"/>
              <w:right w:val="nil"/>
            </w:tcBorders>
            <w:shd w:val="clear" w:color="auto" w:fill="auto"/>
            <w:noWrap/>
            <w:vAlign w:val="bottom"/>
            <w:hideMark/>
          </w:tcPr>
          <w:p w14:paraId="6262D8CC"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 xml:space="preserve">Number of births </w:t>
            </w:r>
          </w:p>
        </w:tc>
        <w:tc>
          <w:tcPr>
            <w:tcW w:w="2080" w:type="dxa"/>
            <w:tcBorders>
              <w:top w:val="nil"/>
              <w:left w:val="nil"/>
              <w:bottom w:val="nil"/>
              <w:right w:val="nil"/>
            </w:tcBorders>
          </w:tcPr>
          <w:p w14:paraId="0523F5DC" w14:textId="77777777" w:rsidR="009758B9" w:rsidRPr="001340AB" w:rsidRDefault="009758B9" w:rsidP="002C7240">
            <w:pPr>
              <w:spacing w:after="0" w:line="300" w:lineRule="auto"/>
              <w:jc w:val="right"/>
              <w:rPr>
                <w:rFonts w:cs="Times New Roman"/>
                <w:color w:val="000000"/>
                <w:sz w:val="22"/>
              </w:rPr>
            </w:pPr>
          </w:p>
        </w:tc>
        <w:tc>
          <w:tcPr>
            <w:tcW w:w="2700" w:type="dxa"/>
            <w:tcBorders>
              <w:top w:val="nil"/>
              <w:left w:val="nil"/>
              <w:bottom w:val="nil"/>
              <w:right w:val="nil"/>
            </w:tcBorders>
            <w:shd w:val="clear" w:color="auto" w:fill="auto"/>
            <w:noWrap/>
            <w:vAlign w:val="center"/>
            <w:hideMark/>
          </w:tcPr>
          <w:p w14:paraId="4F9BB40A" w14:textId="77777777" w:rsidR="009758B9" w:rsidRPr="001340AB" w:rsidRDefault="009758B9" w:rsidP="002C7240">
            <w:pPr>
              <w:spacing w:after="0" w:line="300" w:lineRule="auto"/>
              <w:jc w:val="right"/>
              <w:rPr>
                <w:rFonts w:cs="Times New Roman"/>
                <w:color w:val="000000"/>
                <w:sz w:val="22"/>
              </w:rPr>
            </w:pPr>
          </w:p>
        </w:tc>
        <w:tc>
          <w:tcPr>
            <w:tcW w:w="2609" w:type="dxa"/>
            <w:tcBorders>
              <w:top w:val="nil"/>
              <w:left w:val="nil"/>
              <w:bottom w:val="nil"/>
              <w:right w:val="nil"/>
            </w:tcBorders>
            <w:shd w:val="clear" w:color="auto" w:fill="auto"/>
            <w:noWrap/>
            <w:vAlign w:val="center"/>
            <w:hideMark/>
          </w:tcPr>
          <w:p w14:paraId="2356C98A" w14:textId="77777777" w:rsidR="009758B9" w:rsidRPr="001340AB" w:rsidRDefault="009758B9" w:rsidP="002C7240">
            <w:pPr>
              <w:spacing w:after="0" w:line="300" w:lineRule="auto"/>
              <w:jc w:val="right"/>
              <w:rPr>
                <w:rFonts w:cs="Times New Roman"/>
                <w:sz w:val="22"/>
              </w:rPr>
            </w:pPr>
          </w:p>
        </w:tc>
      </w:tr>
      <w:tr w:rsidR="009758B9" w:rsidRPr="001340AB" w14:paraId="5D27B1EE" w14:textId="77777777" w:rsidTr="002C7240">
        <w:trPr>
          <w:trHeight w:val="300"/>
        </w:trPr>
        <w:tc>
          <w:tcPr>
            <w:tcW w:w="5120" w:type="dxa"/>
            <w:tcBorders>
              <w:top w:val="nil"/>
              <w:left w:val="nil"/>
              <w:bottom w:val="nil"/>
              <w:right w:val="nil"/>
            </w:tcBorders>
            <w:shd w:val="clear" w:color="auto" w:fill="auto"/>
            <w:noWrap/>
            <w:vAlign w:val="bottom"/>
            <w:hideMark/>
          </w:tcPr>
          <w:p w14:paraId="33613E47" w14:textId="77777777" w:rsidR="009758B9" w:rsidRPr="001340AB" w:rsidRDefault="009758B9" w:rsidP="002C7240">
            <w:pPr>
              <w:spacing w:after="0" w:line="300" w:lineRule="auto"/>
              <w:ind w:firstLineChars="100" w:firstLine="220"/>
              <w:rPr>
                <w:rFonts w:cs="Times New Roman"/>
                <w:color w:val="000000"/>
                <w:sz w:val="22"/>
              </w:rPr>
            </w:pPr>
            <w:r w:rsidRPr="001340AB">
              <w:rPr>
                <w:rFonts w:cs="Times New Roman"/>
                <w:color w:val="000000"/>
                <w:sz w:val="22"/>
              </w:rPr>
              <w:t>1</w:t>
            </w:r>
          </w:p>
        </w:tc>
        <w:tc>
          <w:tcPr>
            <w:tcW w:w="2080" w:type="dxa"/>
            <w:tcBorders>
              <w:top w:val="nil"/>
              <w:left w:val="nil"/>
              <w:bottom w:val="nil"/>
              <w:right w:val="nil"/>
            </w:tcBorders>
          </w:tcPr>
          <w:p w14:paraId="349EE79C" w14:textId="77777777" w:rsidR="009758B9" w:rsidRPr="001340AB" w:rsidRDefault="009758B9" w:rsidP="002C7240">
            <w:pPr>
              <w:spacing w:after="0" w:line="300" w:lineRule="auto"/>
              <w:jc w:val="right"/>
              <w:rPr>
                <w:sz w:val="22"/>
              </w:rPr>
            </w:pPr>
            <w:r w:rsidRPr="001340AB">
              <w:rPr>
                <w:sz w:val="22"/>
              </w:rPr>
              <w:t>8%</w:t>
            </w:r>
          </w:p>
        </w:tc>
        <w:tc>
          <w:tcPr>
            <w:tcW w:w="2700" w:type="dxa"/>
            <w:tcBorders>
              <w:top w:val="nil"/>
              <w:left w:val="nil"/>
              <w:bottom w:val="nil"/>
              <w:right w:val="nil"/>
            </w:tcBorders>
            <w:shd w:val="clear" w:color="auto" w:fill="auto"/>
            <w:noWrap/>
            <w:vAlign w:val="center"/>
            <w:hideMark/>
          </w:tcPr>
          <w:p w14:paraId="4F281FE4" w14:textId="77777777" w:rsidR="009758B9" w:rsidRPr="001340AB" w:rsidRDefault="009758B9" w:rsidP="002C7240">
            <w:pPr>
              <w:spacing w:after="0" w:line="300" w:lineRule="auto"/>
              <w:jc w:val="right"/>
              <w:rPr>
                <w:rFonts w:cs="Times New Roman"/>
                <w:color w:val="000000"/>
                <w:sz w:val="22"/>
              </w:rPr>
            </w:pPr>
            <w:r w:rsidRPr="001340AB">
              <w:rPr>
                <w:sz w:val="22"/>
              </w:rPr>
              <w:t>8%</w:t>
            </w:r>
          </w:p>
        </w:tc>
        <w:tc>
          <w:tcPr>
            <w:tcW w:w="2609" w:type="dxa"/>
            <w:tcBorders>
              <w:top w:val="nil"/>
              <w:left w:val="nil"/>
              <w:bottom w:val="nil"/>
              <w:right w:val="nil"/>
            </w:tcBorders>
            <w:shd w:val="clear" w:color="auto" w:fill="auto"/>
            <w:noWrap/>
            <w:vAlign w:val="center"/>
            <w:hideMark/>
          </w:tcPr>
          <w:p w14:paraId="515C4DF6" w14:textId="77777777" w:rsidR="009758B9" w:rsidRPr="001340AB" w:rsidRDefault="009758B9" w:rsidP="002C7240">
            <w:pPr>
              <w:spacing w:after="0" w:line="300" w:lineRule="auto"/>
              <w:jc w:val="right"/>
              <w:rPr>
                <w:rFonts w:cs="Times New Roman"/>
                <w:color w:val="000000"/>
                <w:sz w:val="22"/>
              </w:rPr>
            </w:pPr>
            <w:r w:rsidRPr="001340AB">
              <w:rPr>
                <w:sz w:val="22"/>
              </w:rPr>
              <w:t>7%</w:t>
            </w:r>
          </w:p>
        </w:tc>
      </w:tr>
      <w:tr w:rsidR="009758B9" w:rsidRPr="001340AB" w14:paraId="7AB704EA" w14:textId="77777777" w:rsidTr="002C7240">
        <w:trPr>
          <w:trHeight w:val="300"/>
        </w:trPr>
        <w:tc>
          <w:tcPr>
            <w:tcW w:w="5120" w:type="dxa"/>
            <w:tcBorders>
              <w:top w:val="nil"/>
              <w:left w:val="nil"/>
              <w:bottom w:val="nil"/>
              <w:right w:val="nil"/>
            </w:tcBorders>
            <w:shd w:val="clear" w:color="auto" w:fill="auto"/>
            <w:noWrap/>
            <w:vAlign w:val="bottom"/>
            <w:hideMark/>
          </w:tcPr>
          <w:p w14:paraId="56E1CFF3" w14:textId="77777777" w:rsidR="009758B9" w:rsidRPr="001340AB" w:rsidRDefault="009758B9" w:rsidP="002C7240">
            <w:pPr>
              <w:spacing w:after="0" w:line="300" w:lineRule="auto"/>
              <w:ind w:firstLineChars="100" w:firstLine="220"/>
              <w:rPr>
                <w:rFonts w:cs="Times New Roman"/>
                <w:color w:val="000000"/>
                <w:sz w:val="22"/>
              </w:rPr>
            </w:pPr>
            <w:r w:rsidRPr="001340AB">
              <w:rPr>
                <w:rFonts w:cs="Times New Roman"/>
                <w:color w:val="000000"/>
                <w:sz w:val="22"/>
              </w:rPr>
              <w:t>2</w:t>
            </w:r>
          </w:p>
        </w:tc>
        <w:tc>
          <w:tcPr>
            <w:tcW w:w="2080" w:type="dxa"/>
            <w:tcBorders>
              <w:top w:val="nil"/>
              <w:left w:val="nil"/>
              <w:bottom w:val="nil"/>
              <w:right w:val="nil"/>
            </w:tcBorders>
          </w:tcPr>
          <w:p w14:paraId="2FF38AF9" w14:textId="77777777" w:rsidR="009758B9" w:rsidRPr="001340AB" w:rsidRDefault="009758B9" w:rsidP="002C7240">
            <w:pPr>
              <w:spacing w:after="0" w:line="300" w:lineRule="auto"/>
              <w:jc w:val="right"/>
              <w:rPr>
                <w:sz w:val="22"/>
              </w:rPr>
            </w:pPr>
            <w:r w:rsidRPr="001340AB">
              <w:rPr>
                <w:sz w:val="22"/>
              </w:rPr>
              <w:t>38%</w:t>
            </w:r>
          </w:p>
        </w:tc>
        <w:tc>
          <w:tcPr>
            <w:tcW w:w="2700" w:type="dxa"/>
            <w:tcBorders>
              <w:top w:val="nil"/>
              <w:left w:val="nil"/>
              <w:bottom w:val="nil"/>
              <w:right w:val="nil"/>
            </w:tcBorders>
            <w:shd w:val="clear" w:color="auto" w:fill="auto"/>
            <w:noWrap/>
            <w:vAlign w:val="center"/>
            <w:hideMark/>
          </w:tcPr>
          <w:p w14:paraId="2D27494D" w14:textId="77777777" w:rsidR="009758B9" w:rsidRPr="001340AB" w:rsidRDefault="009758B9" w:rsidP="002C7240">
            <w:pPr>
              <w:spacing w:after="0" w:line="300" w:lineRule="auto"/>
              <w:jc w:val="right"/>
              <w:rPr>
                <w:rFonts w:cs="Times New Roman"/>
                <w:color w:val="000000"/>
                <w:sz w:val="22"/>
              </w:rPr>
            </w:pPr>
            <w:r w:rsidRPr="001340AB">
              <w:rPr>
                <w:sz w:val="22"/>
              </w:rPr>
              <w:t>39%</w:t>
            </w:r>
          </w:p>
        </w:tc>
        <w:tc>
          <w:tcPr>
            <w:tcW w:w="2609" w:type="dxa"/>
            <w:tcBorders>
              <w:top w:val="nil"/>
              <w:left w:val="nil"/>
              <w:bottom w:val="nil"/>
              <w:right w:val="nil"/>
            </w:tcBorders>
            <w:shd w:val="clear" w:color="auto" w:fill="auto"/>
            <w:noWrap/>
            <w:vAlign w:val="center"/>
            <w:hideMark/>
          </w:tcPr>
          <w:p w14:paraId="5733D674" w14:textId="77777777" w:rsidR="009758B9" w:rsidRPr="001340AB" w:rsidRDefault="009758B9" w:rsidP="002C7240">
            <w:pPr>
              <w:spacing w:after="0" w:line="300" w:lineRule="auto"/>
              <w:jc w:val="right"/>
              <w:rPr>
                <w:rFonts w:cs="Times New Roman"/>
                <w:color w:val="000000"/>
                <w:sz w:val="22"/>
              </w:rPr>
            </w:pPr>
            <w:r w:rsidRPr="001340AB">
              <w:rPr>
                <w:sz w:val="22"/>
              </w:rPr>
              <w:t>37%</w:t>
            </w:r>
          </w:p>
        </w:tc>
      </w:tr>
      <w:tr w:rsidR="009758B9" w:rsidRPr="001340AB" w14:paraId="4641DEB7" w14:textId="77777777" w:rsidTr="002C7240">
        <w:trPr>
          <w:trHeight w:val="300"/>
        </w:trPr>
        <w:tc>
          <w:tcPr>
            <w:tcW w:w="5120" w:type="dxa"/>
            <w:tcBorders>
              <w:top w:val="nil"/>
              <w:left w:val="nil"/>
              <w:bottom w:val="nil"/>
              <w:right w:val="nil"/>
            </w:tcBorders>
            <w:shd w:val="clear" w:color="auto" w:fill="auto"/>
            <w:noWrap/>
            <w:vAlign w:val="bottom"/>
            <w:hideMark/>
          </w:tcPr>
          <w:p w14:paraId="5A4490F9" w14:textId="77777777" w:rsidR="009758B9" w:rsidRPr="001340AB" w:rsidRDefault="009758B9" w:rsidP="002C7240">
            <w:pPr>
              <w:spacing w:after="0" w:line="300" w:lineRule="auto"/>
              <w:ind w:firstLineChars="100" w:firstLine="220"/>
              <w:rPr>
                <w:rFonts w:cs="Times New Roman"/>
                <w:color w:val="000000"/>
                <w:sz w:val="22"/>
              </w:rPr>
            </w:pPr>
            <w:r w:rsidRPr="001340AB">
              <w:rPr>
                <w:rFonts w:cs="Times New Roman"/>
                <w:color w:val="000000"/>
                <w:sz w:val="22"/>
              </w:rPr>
              <w:t>3</w:t>
            </w:r>
          </w:p>
        </w:tc>
        <w:tc>
          <w:tcPr>
            <w:tcW w:w="2080" w:type="dxa"/>
            <w:tcBorders>
              <w:top w:val="nil"/>
              <w:left w:val="nil"/>
              <w:bottom w:val="nil"/>
              <w:right w:val="nil"/>
            </w:tcBorders>
          </w:tcPr>
          <w:p w14:paraId="137A85FD" w14:textId="77777777" w:rsidR="009758B9" w:rsidRPr="001340AB" w:rsidRDefault="009758B9" w:rsidP="002C7240">
            <w:pPr>
              <w:spacing w:after="0" w:line="300" w:lineRule="auto"/>
              <w:jc w:val="right"/>
              <w:rPr>
                <w:sz w:val="22"/>
              </w:rPr>
            </w:pPr>
            <w:r w:rsidRPr="001340AB">
              <w:rPr>
                <w:sz w:val="22"/>
              </w:rPr>
              <w:t>34%</w:t>
            </w:r>
          </w:p>
        </w:tc>
        <w:tc>
          <w:tcPr>
            <w:tcW w:w="2700" w:type="dxa"/>
            <w:tcBorders>
              <w:top w:val="nil"/>
              <w:left w:val="nil"/>
              <w:bottom w:val="nil"/>
              <w:right w:val="nil"/>
            </w:tcBorders>
            <w:shd w:val="clear" w:color="auto" w:fill="auto"/>
            <w:noWrap/>
            <w:vAlign w:val="center"/>
            <w:hideMark/>
          </w:tcPr>
          <w:p w14:paraId="5E72F31B" w14:textId="77777777" w:rsidR="009758B9" w:rsidRPr="001340AB" w:rsidRDefault="009758B9" w:rsidP="002C7240">
            <w:pPr>
              <w:spacing w:after="0" w:line="300" w:lineRule="auto"/>
              <w:jc w:val="right"/>
              <w:rPr>
                <w:rFonts w:cs="Times New Roman"/>
                <w:color w:val="000000"/>
                <w:sz w:val="22"/>
              </w:rPr>
            </w:pPr>
            <w:r w:rsidRPr="001340AB">
              <w:rPr>
                <w:sz w:val="22"/>
              </w:rPr>
              <w:t>34%</w:t>
            </w:r>
          </w:p>
        </w:tc>
        <w:tc>
          <w:tcPr>
            <w:tcW w:w="2609" w:type="dxa"/>
            <w:tcBorders>
              <w:top w:val="nil"/>
              <w:left w:val="nil"/>
              <w:bottom w:val="nil"/>
              <w:right w:val="nil"/>
            </w:tcBorders>
            <w:shd w:val="clear" w:color="auto" w:fill="auto"/>
            <w:noWrap/>
            <w:vAlign w:val="center"/>
            <w:hideMark/>
          </w:tcPr>
          <w:p w14:paraId="7AE5357C" w14:textId="77777777" w:rsidR="009758B9" w:rsidRPr="001340AB" w:rsidRDefault="009758B9" w:rsidP="002C7240">
            <w:pPr>
              <w:spacing w:after="0" w:line="300" w:lineRule="auto"/>
              <w:jc w:val="right"/>
              <w:rPr>
                <w:rFonts w:cs="Times New Roman"/>
                <w:color w:val="000000"/>
                <w:sz w:val="22"/>
              </w:rPr>
            </w:pPr>
            <w:r w:rsidRPr="001340AB">
              <w:rPr>
                <w:sz w:val="22"/>
              </w:rPr>
              <w:t>35%</w:t>
            </w:r>
          </w:p>
        </w:tc>
      </w:tr>
      <w:tr w:rsidR="009758B9" w:rsidRPr="001340AB" w14:paraId="1649D6AF" w14:textId="77777777" w:rsidTr="002C7240">
        <w:trPr>
          <w:trHeight w:val="300"/>
        </w:trPr>
        <w:tc>
          <w:tcPr>
            <w:tcW w:w="5120" w:type="dxa"/>
            <w:tcBorders>
              <w:top w:val="nil"/>
              <w:left w:val="nil"/>
              <w:bottom w:val="nil"/>
              <w:right w:val="nil"/>
            </w:tcBorders>
            <w:shd w:val="clear" w:color="auto" w:fill="auto"/>
            <w:noWrap/>
            <w:vAlign w:val="bottom"/>
            <w:hideMark/>
          </w:tcPr>
          <w:p w14:paraId="6809F84E" w14:textId="77777777" w:rsidR="009758B9" w:rsidRPr="001340AB" w:rsidRDefault="009758B9" w:rsidP="002C7240">
            <w:pPr>
              <w:spacing w:after="0" w:line="300" w:lineRule="auto"/>
              <w:ind w:firstLineChars="100" w:firstLine="220"/>
              <w:rPr>
                <w:rFonts w:cs="Times New Roman"/>
                <w:color w:val="000000"/>
                <w:sz w:val="22"/>
              </w:rPr>
            </w:pPr>
            <w:r w:rsidRPr="001340AB">
              <w:rPr>
                <w:rFonts w:cs="Times New Roman"/>
                <w:color w:val="000000"/>
                <w:sz w:val="22"/>
              </w:rPr>
              <w:t>4+</w:t>
            </w:r>
          </w:p>
        </w:tc>
        <w:tc>
          <w:tcPr>
            <w:tcW w:w="2080" w:type="dxa"/>
            <w:tcBorders>
              <w:top w:val="nil"/>
              <w:left w:val="nil"/>
              <w:bottom w:val="nil"/>
              <w:right w:val="nil"/>
            </w:tcBorders>
          </w:tcPr>
          <w:p w14:paraId="6187C2C4" w14:textId="77777777" w:rsidR="009758B9" w:rsidRPr="001340AB" w:rsidRDefault="009758B9" w:rsidP="002C7240">
            <w:pPr>
              <w:spacing w:after="0" w:line="300" w:lineRule="auto"/>
              <w:jc w:val="right"/>
              <w:rPr>
                <w:sz w:val="22"/>
              </w:rPr>
            </w:pPr>
            <w:r w:rsidRPr="001340AB">
              <w:rPr>
                <w:sz w:val="22"/>
              </w:rPr>
              <w:t>19%</w:t>
            </w:r>
          </w:p>
        </w:tc>
        <w:tc>
          <w:tcPr>
            <w:tcW w:w="2700" w:type="dxa"/>
            <w:tcBorders>
              <w:top w:val="nil"/>
              <w:left w:val="nil"/>
              <w:bottom w:val="nil"/>
              <w:right w:val="nil"/>
            </w:tcBorders>
            <w:shd w:val="clear" w:color="auto" w:fill="auto"/>
            <w:noWrap/>
            <w:vAlign w:val="center"/>
            <w:hideMark/>
          </w:tcPr>
          <w:p w14:paraId="3047D1C4" w14:textId="77777777" w:rsidR="009758B9" w:rsidRPr="001340AB" w:rsidRDefault="009758B9" w:rsidP="002C7240">
            <w:pPr>
              <w:spacing w:after="0" w:line="300" w:lineRule="auto"/>
              <w:jc w:val="right"/>
              <w:rPr>
                <w:rFonts w:cs="Times New Roman"/>
                <w:color w:val="000000"/>
                <w:sz w:val="22"/>
              </w:rPr>
            </w:pPr>
            <w:r w:rsidRPr="001340AB">
              <w:rPr>
                <w:sz w:val="22"/>
              </w:rPr>
              <w:t>19%</w:t>
            </w:r>
          </w:p>
        </w:tc>
        <w:tc>
          <w:tcPr>
            <w:tcW w:w="2609" w:type="dxa"/>
            <w:tcBorders>
              <w:top w:val="nil"/>
              <w:left w:val="nil"/>
              <w:bottom w:val="nil"/>
              <w:right w:val="nil"/>
            </w:tcBorders>
            <w:shd w:val="clear" w:color="auto" w:fill="auto"/>
            <w:noWrap/>
            <w:vAlign w:val="center"/>
            <w:hideMark/>
          </w:tcPr>
          <w:p w14:paraId="4E4709A5" w14:textId="77777777" w:rsidR="009758B9" w:rsidRPr="001340AB" w:rsidRDefault="009758B9" w:rsidP="002C7240">
            <w:pPr>
              <w:spacing w:after="0" w:line="300" w:lineRule="auto"/>
              <w:jc w:val="right"/>
              <w:rPr>
                <w:rFonts w:cs="Times New Roman"/>
                <w:color w:val="000000"/>
                <w:sz w:val="22"/>
              </w:rPr>
            </w:pPr>
            <w:r w:rsidRPr="001340AB">
              <w:rPr>
                <w:sz w:val="22"/>
              </w:rPr>
              <w:t>21%</w:t>
            </w:r>
          </w:p>
        </w:tc>
      </w:tr>
      <w:tr w:rsidR="009758B9" w:rsidRPr="001340AB" w14:paraId="6FAD34C7" w14:textId="77777777" w:rsidTr="002C7240">
        <w:trPr>
          <w:trHeight w:val="300"/>
        </w:trPr>
        <w:tc>
          <w:tcPr>
            <w:tcW w:w="5120" w:type="dxa"/>
            <w:tcBorders>
              <w:top w:val="nil"/>
              <w:left w:val="nil"/>
              <w:bottom w:val="nil"/>
              <w:right w:val="nil"/>
            </w:tcBorders>
            <w:shd w:val="clear" w:color="auto" w:fill="auto"/>
            <w:noWrap/>
            <w:vAlign w:val="bottom"/>
          </w:tcPr>
          <w:p w14:paraId="29BDC5F3"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 xml:space="preserve"> Preeclampsia in any pregnancy</w:t>
            </w:r>
          </w:p>
        </w:tc>
        <w:tc>
          <w:tcPr>
            <w:tcW w:w="2080" w:type="dxa"/>
            <w:tcBorders>
              <w:top w:val="nil"/>
              <w:left w:val="nil"/>
              <w:bottom w:val="nil"/>
              <w:right w:val="nil"/>
            </w:tcBorders>
          </w:tcPr>
          <w:p w14:paraId="705FD4F7" w14:textId="77777777" w:rsidR="009758B9" w:rsidRPr="001340AB" w:rsidRDefault="009758B9" w:rsidP="002C7240">
            <w:pPr>
              <w:spacing w:after="0" w:line="300" w:lineRule="auto"/>
              <w:jc w:val="right"/>
              <w:rPr>
                <w:sz w:val="22"/>
              </w:rPr>
            </w:pPr>
            <w:r w:rsidRPr="001340AB">
              <w:rPr>
                <w:sz w:val="22"/>
              </w:rPr>
              <w:t>5%</w:t>
            </w:r>
          </w:p>
        </w:tc>
        <w:tc>
          <w:tcPr>
            <w:tcW w:w="2700" w:type="dxa"/>
            <w:tcBorders>
              <w:top w:val="nil"/>
              <w:left w:val="nil"/>
              <w:bottom w:val="nil"/>
              <w:right w:val="nil"/>
            </w:tcBorders>
            <w:shd w:val="clear" w:color="auto" w:fill="auto"/>
            <w:noWrap/>
            <w:vAlign w:val="center"/>
          </w:tcPr>
          <w:p w14:paraId="2779F1D5" w14:textId="77777777" w:rsidR="009758B9" w:rsidRPr="001340AB" w:rsidRDefault="009758B9" w:rsidP="002C7240">
            <w:pPr>
              <w:spacing w:after="0" w:line="300" w:lineRule="auto"/>
              <w:jc w:val="right"/>
              <w:rPr>
                <w:rFonts w:cs="Times New Roman"/>
                <w:color w:val="000000"/>
                <w:sz w:val="22"/>
              </w:rPr>
            </w:pPr>
            <w:r w:rsidRPr="001340AB">
              <w:rPr>
                <w:sz w:val="22"/>
              </w:rPr>
              <w:t>0%</w:t>
            </w:r>
          </w:p>
        </w:tc>
        <w:tc>
          <w:tcPr>
            <w:tcW w:w="2609" w:type="dxa"/>
            <w:tcBorders>
              <w:top w:val="nil"/>
              <w:left w:val="nil"/>
              <w:bottom w:val="nil"/>
              <w:right w:val="nil"/>
            </w:tcBorders>
            <w:shd w:val="clear" w:color="auto" w:fill="auto"/>
            <w:noWrap/>
            <w:vAlign w:val="center"/>
          </w:tcPr>
          <w:p w14:paraId="0C3F33A7" w14:textId="77777777" w:rsidR="009758B9" w:rsidRPr="001340AB" w:rsidRDefault="009758B9" w:rsidP="002C7240">
            <w:pPr>
              <w:spacing w:after="0" w:line="300" w:lineRule="auto"/>
              <w:jc w:val="right"/>
              <w:rPr>
                <w:rFonts w:cs="Times New Roman"/>
                <w:color w:val="000000"/>
                <w:sz w:val="22"/>
              </w:rPr>
            </w:pPr>
            <w:r w:rsidRPr="001340AB">
              <w:rPr>
                <w:sz w:val="22"/>
              </w:rPr>
              <w:t>17%</w:t>
            </w:r>
          </w:p>
        </w:tc>
      </w:tr>
      <w:tr w:rsidR="009758B9" w:rsidRPr="001340AB" w14:paraId="0221A0E7" w14:textId="77777777" w:rsidTr="002C7240">
        <w:trPr>
          <w:trHeight w:val="300"/>
        </w:trPr>
        <w:tc>
          <w:tcPr>
            <w:tcW w:w="5120" w:type="dxa"/>
            <w:tcBorders>
              <w:top w:val="nil"/>
              <w:left w:val="nil"/>
              <w:bottom w:val="nil"/>
              <w:right w:val="nil"/>
            </w:tcBorders>
            <w:shd w:val="clear" w:color="auto" w:fill="auto"/>
            <w:noWrap/>
            <w:vAlign w:val="bottom"/>
            <w:hideMark/>
          </w:tcPr>
          <w:p w14:paraId="62CEAF73"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Gestational hypertension in any pregnancy</w:t>
            </w:r>
          </w:p>
        </w:tc>
        <w:tc>
          <w:tcPr>
            <w:tcW w:w="2080" w:type="dxa"/>
            <w:tcBorders>
              <w:top w:val="nil"/>
              <w:left w:val="nil"/>
              <w:bottom w:val="nil"/>
              <w:right w:val="nil"/>
            </w:tcBorders>
          </w:tcPr>
          <w:p w14:paraId="2E2DC40B" w14:textId="77777777" w:rsidR="009758B9" w:rsidRPr="001340AB" w:rsidRDefault="009758B9" w:rsidP="002C7240">
            <w:pPr>
              <w:spacing w:after="0" w:line="300" w:lineRule="auto"/>
              <w:jc w:val="right"/>
              <w:rPr>
                <w:sz w:val="22"/>
              </w:rPr>
            </w:pPr>
            <w:r w:rsidRPr="001340AB">
              <w:rPr>
                <w:sz w:val="22"/>
              </w:rPr>
              <w:t>4%</w:t>
            </w:r>
          </w:p>
        </w:tc>
        <w:tc>
          <w:tcPr>
            <w:tcW w:w="2700" w:type="dxa"/>
            <w:tcBorders>
              <w:top w:val="nil"/>
              <w:left w:val="nil"/>
              <w:bottom w:val="nil"/>
              <w:right w:val="nil"/>
            </w:tcBorders>
            <w:shd w:val="clear" w:color="auto" w:fill="auto"/>
            <w:noWrap/>
            <w:vAlign w:val="center"/>
            <w:hideMark/>
          </w:tcPr>
          <w:p w14:paraId="2CC697BD" w14:textId="77777777" w:rsidR="009758B9" w:rsidRPr="001340AB" w:rsidRDefault="009758B9" w:rsidP="002C7240">
            <w:pPr>
              <w:spacing w:after="0" w:line="300" w:lineRule="auto"/>
              <w:jc w:val="right"/>
              <w:rPr>
                <w:rFonts w:cs="Times New Roman"/>
                <w:color w:val="000000"/>
                <w:sz w:val="22"/>
              </w:rPr>
            </w:pPr>
            <w:r w:rsidRPr="001340AB">
              <w:rPr>
                <w:sz w:val="22"/>
              </w:rPr>
              <w:t>0%</w:t>
            </w:r>
          </w:p>
        </w:tc>
        <w:tc>
          <w:tcPr>
            <w:tcW w:w="2609" w:type="dxa"/>
            <w:tcBorders>
              <w:top w:val="nil"/>
              <w:left w:val="nil"/>
              <w:bottom w:val="nil"/>
              <w:right w:val="nil"/>
            </w:tcBorders>
            <w:shd w:val="clear" w:color="auto" w:fill="auto"/>
            <w:noWrap/>
            <w:vAlign w:val="center"/>
            <w:hideMark/>
          </w:tcPr>
          <w:p w14:paraId="59B7FAE9" w14:textId="77777777" w:rsidR="009758B9" w:rsidRPr="001340AB" w:rsidRDefault="009758B9" w:rsidP="002C7240">
            <w:pPr>
              <w:spacing w:after="0" w:line="300" w:lineRule="auto"/>
              <w:jc w:val="right"/>
              <w:rPr>
                <w:rFonts w:cs="Times New Roman"/>
                <w:color w:val="000000"/>
                <w:sz w:val="22"/>
              </w:rPr>
            </w:pPr>
            <w:r w:rsidRPr="001340AB">
              <w:rPr>
                <w:sz w:val="22"/>
              </w:rPr>
              <w:t>12%</w:t>
            </w:r>
          </w:p>
        </w:tc>
      </w:tr>
      <w:tr w:rsidR="009758B9" w:rsidRPr="001340AB" w14:paraId="5336A63B" w14:textId="77777777" w:rsidTr="002C7240">
        <w:trPr>
          <w:trHeight w:val="300"/>
        </w:trPr>
        <w:tc>
          <w:tcPr>
            <w:tcW w:w="5120" w:type="dxa"/>
            <w:tcBorders>
              <w:top w:val="nil"/>
              <w:left w:val="nil"/>
              <w:right w:val="nil"/>
            </w:tcBorders>
            <w:shd w:val="clear" w:color="auto" w:fill="auto"/>
            <w:noWrap/>
            <w:vAlign w:val="bottom"/>
            <w:hideMark/>
          </w:tcPr>
          <w:p w14:paraId="5F2672BE"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Any preterm delivery</w:t>
            </w:r>
          </w:p>
        </w:tc>
        <w:tc>
          <w:tcPr>
            <w:tcW w:w="2080" w:type="dxa"/>
            <w:tcBorders>
              <w:top w:val="nil"/>
              <w:left w:val="nil"/>
              <w:right w:val="nil"/>
            </w:tcBorders>
          </w:tcPr>
          <w:p w14:paraId="610CBF09" w14:textId="77777777" w:rsidR="009758B9" w:rsidRPr="001340AB" w:rsidRDefault="009758B9" w:rsidP="002C7240">
            <w:pPr>
              <w:spacing w:after="0" w:line="300" w:lineRule="auto"/>
              <w:jc w:val="right"/>
              <w:rPr>
                <w:sz w:val="22"/>
              </w:rPr>
            </w:pPr>
            <w:r w:rsidRPr="001340AB">
              <w:rPr>
                <w:sz w:val="22"/>
              </w:rPr>
              <w:t>8%</w:t>
            </w:r>
          </w:p>
        </w:tc>
        <w:tc>
          <w:tcPr>
            <w:tcW w:w="2700" w:type="dxa"/>
            <w:tcBorders>
              <w:top w:val="nil"/>
              <w:left w:val="nil"/>
              <w:right w:val="nil"/>
            </w:tcBorders>
            <w:shd w:val="clear" w:color="auto" w:fill="auto"/>
            <w:noWrap/>
            <w:vAlign w:val="center"/>
            <w:hideMark/>
          </w:tcPr>
          <w:p w14:paraId="4109AF36" w14:textId="77777777" w:rsidR="009758B9" w:rsidRPr="001340AB" w:rsidRDefault="009758B9" w:rsidP="002C7240">
            <w:pPr>
              <w:spacing w:after="0" w:line="300" w:lineRule="auto"/>
              <w:jc w:val="right"/>
              <w:rPr>
                <w:rFonts w:cs="Times New Roman"/>
                <w:color w:val="000000"/>
                <w:sz w:val="22"/>
              </w:rPr>
            </w:pPr>
            <w:r w:rsidRPr="001340AB">
              <w:rPr>
                <w:sz w:val="22"/>
              </w:rPr>
              <w:t>0%</w:t>
            </w:r>
          </w:p>
        </w:tc>
        <w:tc>
          <w:tcPr>
            <w:tcW w:w="2609" w:type="dxa"/>
            <w:tcBorders>
              <w:top w:val="nil"/>
              <w:left w:val="nil"/>
              <w:right w:val="nil"/>
            </w:tcBorders>
            <w:shd w:val="clear" w:color="auto" w:fill="auto"/>
            <w:noWrap/>
            <w:vAlign w:val="center"/>
            <w:hideMark/>
          </w:tcPr>
          <w:p w14:paraId="2B937685" w14:textId="77777777" w:rsidR="009758B9" w:rsidRPr="001340AB" w:rsidRDefault="009758B9" w:rsidP="002C7240">
            <w:pPr>
              <w:spacing w:after="0" w:line="300" w:lineRule="auto"/>
              <w:jc w:val="right"/>
              <w:rPr>
                <w:rFonts w:cs="Times New Roman"/>
                <w:color w:val="000000"/>
                <w:sz w:val="22"/>
              </w:rPr>
            </w:pPr>
            <w:r w:rsidRPr="001340AB">
              <w:rPr>
                <w:sz w:val="22"/>
              </w:rPr>
              <w:t>28%</w:t>
            </w:r>
          </w:p>
        </w:tc>
      </w:tr>
      <w:tr w:rsidR="009758B9" w:rsidRPr="001340AB" w14:paraId="451C3EE0" w14:textId="77777777" w:rsidTr="002C7240">
        <w:trPr>
          <w:trHeight w:val="300"/>
        </w:trPr>
        <w:tc>
          <w:tcPr>
            <w:tcW w:w="5120" w:type="dxa"/>
            <w:tcBorders>
              <w:top w:val="nil"/>
              <w:left w:val="nil"/>
              <w:bottom w:val="single" w:sz="4" w:space="0" w:color="auto"/>
              <w:right w:val="nil"/>
            </w:tcBorders>
            <w:shd w:val="clear" w:color="auto" w:fill="auto"/>
            <w:noWrap/>
            <w:vAlign w:val="bottom"/>
            <w:hideMark/>
          </w:tcPr>
          <w:p w14:paraId="7293FE12" w14:textId="77777777" w:rsidR="009758B9" w:rsidRPr="001340AB" w:rsidRDefault="009758B9" w:rsidP="002C7240">
            <w:pPr>
              <w:spacing w:after="0" w:line="300" w:lineRule="auto"/>
              <w:rPr>
                <w:rFonts w:cs="Times New Roman"/>
                <w:color w:val="000000"/>
                <w:sz w:val="22"/>
              </w:rPr>
            </w:pPr>
            <w:r w:rsidRPr="001340AB">
              <w:rPr>
                <w:rFonts w:cs="Times New Roman"/>
                <w:color w:val="000000"/>
                <w:sz w:val="22"/>
              </w:rPr>
              <w:t>Any small for gestational age delivery</w:t>
            </w:r>
          </w:p>
        </w:tc>
        <w:tc>
          <w:tcPr>
            <w:tcW w:w="2080" w:type="dxa"/>
            <w:tcBorders>
              <w:top w:val="nil"/>
              <w:left w:val="nil"/>
              <w:bottom w:val="single" w:sz="4" w:space="0" w:color="auto"/>
              <w:right w:val="nil"/>
            </w:tcBorders>
          </w:tcPr>
          <w:p w14:paraId="3286F42C" w14:textId="77777777" w:rsidR="009758B9" w:rsidRPr="001340AB" w:rsidRDefault="009758B9" w:rsidP="002C7240">
            <w:pPr>
              <w:spacing w:after="0" w:line="300" w:lineRule="auto"/>
              <w:jc w:val="right"/>
              <w:rPr>
                <w:sz w:val="22"/>
              </w:rPr>
            </w:pPr>
            <w:r w:rsidRPr="001340AB">
              <w:rPr>
                <w:sz w:val="22"/>
              </w:rPr>
              <w:t>18%</w:t>
            </w:r>
          </w:p>
        </w:tc>
        <w:tc>
          <w:tcPr>
            <w:tcW w:w="2700" w:type="dxa"/>
            <w:tcBorders>
              <w:top w:val="nil"/>
              <w:left w:val="nil"/>
              <w:bottom w:val="single" w:sz="4" w:space="0" w:color="auto"/>
              <w:right w:val="nil"/>
            </w:tcBorders>
            <w:shd w:val="clear" w:color="auto" w:fill="auto"/>
            <w:noWrap/>
            <w:vAlign w:val="center"/>
            <w:hideMark/>
          </w:tcPr>
          <w:p w14:paraId="7E520ABB" w14:textId="77777777" w:rsidR="009758B9" w:rsidRPr="001340AB" w:rsidRDefault="009758B9" w:rsidP="002C7240">
            <w:pPr>
              <w:spacing w:after="0" w:line="300" w:lineRule="auto"/>
              <w:jc w:val="right"/>
              <w:rPr>
                <w:rFonts w:cs="Times New Roman"/>
                <w:color w:val="000000"/>
                <w:sz w:val="22"/>
              </w:rPr>
            </w:pPr>
            <w:r w:rsidRPr="001340AB">
              <w:rPr>
                <w:sz w:val="22"/>
              </w:rPr>
              <w:t>0%</w:t>
            </w:r>
          </w:p>
        </w:tc>
        <w:tc>
          <w:tcPr>
            <w:tcW w:w="2609" w:type="dxa"/>
            <w:tcBorders>
              <w:top w:val="nil"/>
              <w:left w:val="nil"/>
              <w:bottom w:val="single" w:sz="4" w:space="0" w:color="auto"/>
              <w:right w:val="nil"/>
            </w:tcBorders>
            <w:shd w:val="clear" w:color="auto" w:fill="auto"/>
            <w:noWrap/>
            <w:vAlign w:val="center"/>
            <w:hideMark/>
          </w:tcPr>
          <w:p w14:paraId="2C72A477" w14:textId="77777777" w:rsidR="009758B9" w:rsidRPr="001340AB" w:rsidRDefault="009758B9" w:rsidP="002C7240">
            <w:pPr>
              <w:spacing w:after="0" w:line="300" w:lineRule="auto"/>
              <w:jc w:val="right"/>
              <w:rPr>
                <w:rFonts w:cs="Times New Roman"/>
                <w:color w:val="000000"/>
                <w:sz w:val="22"/>
              </w:rPr>
            </w:pPr>
            <w:r w:rsidRPr="001340AB">
              <w:rPr>
                <w:sz w:val="22"/>
              </w:rPr>
              <w:t>62%</w:t>
            </w:r>
          </w:p>
        </w:tc>
      </w:tr>
    </w:tbl>
    <w:p w14:paraId="67A4E273" w14:textId="77777777" w:rsidR="009758B9" w:rsidRPr="001340AB" w:rsidRDefault="009758B9" w:rsidP="009758B9">
      <w:pPr>
        <w:spacing w:before="120" w:after="0" w:line="240" w:lineRule="auto"/>
        <w:rPr>
          <w:sz w:val="20"/>
          <w:szCs w:val="20"/>
        </w:rPr>
      </w:pPr>
      <w:r w:rsidRPr="001340AB">
        <w:rPr>
          <w:sz w:val="20"/>
          <w:szCs w:val="20"/>
          <w:vertAlign w:val="superscript"/>
        </w:rPr>
        <w:t xml:space="preserve">a </w:t>
      </w:r>
      <w:r w:rsidRPr="001340AB">
        <w:rPr>
          <w:sz w:val="20"/>
          <w:szCs w:val="20"/>
        </w:rPr>
        <w:t>Pregnancy complications include preeclampsia, gestational hypertension, preterm delivery, and small for gestational age delivery</w:t>
      </w:r>
    </w:p>
    <w:p w14:paraId="3B905621" w14:textId="77777777" w:rsidR="009758B9" w:rsidRPr="001340AB" w:rsidRDefault="009758B9" w:rsidP="009758B9">
      <w:pPr>
        <w:spacing w:after="0" w:line="240" w:lineRule="auto"/>
        <w:rPr>
          <w:sz w:val="20"/>
          <w:szCs w:val="20"/>
        </w:rPr>
      </w:pPr>
      <w:r w:rsidRPr="001340AB">
        <w:rPr>
          <w:sz w:val="20"/>
          <w:szCs w:val="20"/>
          <w:vertAlign w:val="superscript"/>
        </w:rPr>
        <w:t>b</w:t>
      </w:r>
      <w:r w:rsidRPr="001340AB">
        <w:rPr>
          <w:sz w:val="20"/>
          <w:szCs w:val="20"/>
        </w:rPr>
        <w:t xml:space="preserve"> Women who participated in only HUNT2 (n=3,603) or HUNT3 (n=6,315) contributed one observation while women who participated in both HUNT2 and HUNT3 (n=8,313) contributed two.</w:t>
      </w:r>
    </w:p>
    <w:p w14:paraId="2B450F99" w14:textId="77777777" w:rsidR="009758B9" w:rsidRPr="001340AB" w:rsidRDefault="009758B9" w:rsidP="009758B9">
      <w:pPr>
        <w:spacing w:after="0" w:line="240" w:lineRule="auto"/>
        <w:rPr>
          <w:sz w:val="20"/>
          <w:szCs w:val="20"/>
        </w:rPr>
      </w:pPr>
      <w:r w:rsidRPr="001340AB">
        <w:rPr>
          <w:sz w:val="20"/>
          <w:szCs w:val="20"/>
          <w:vertAlign w:val="superscript"/>
        </w:rPr>
        <w:t>c</w:t>
      </w:r>
      <w:r w:rsidRPr="001340AB">
        <w:rPr>
          <w:sz w:val="20"/>
          <w:szCs w:val="20"/>
        </w:rPr>
        <w:t xml:space="preserve"> Risk factors standardized to the age distribution of the study population</w:t>
      </w:r>
    </w:p>
    <w:p w14:paraId="137431BB" w14:textId="77777777" w:rsidR="009758B9" w:rsidRPr="001340AB" w:rsidRDefault="009758B9" w:rsidP="009758B9">
      <w:pPr>
        <w:spacing w:after="0" w:line="240" w:lineRule="auto"/>
        <w:rPr>
          <w:sz w:val="20"/>
        </w:rPr>
      </w:pPr>
      <w:r w:rsidRPr="001340AB">
        <w:rPr>
          <w:sz w:val="20"/>
          <w:vertAlign w:val="superscript"/>
        </w:rPr>
        <w:t>d</w:t>
      </w:r>
      <w:r w:rsidRPr="001340AB">
        <w:rPr>
          <w:sz w:val="20"/>
        </w:rPr>
        <w:t xml:space="preserve"> Low HDL-C: &lt;1.3 mmol/L</w:t>
      </w:r>
    </w:p>
    <w:p w14:paraId="6BA4A1E8" w14:textId="77777777" w:rsidR="009758B9" w:rsidRPr="001340AB" w:rsidRDefault="009758B9" w:rsidP="009758B9">
      <w:pPr>
        <w:spacing w:after="0" w:line="240" w:lineRule="auto"/>
        <w:rPr>
          <w:sz w:val="20"/>
        </w:rPr>
      </w:pPr>
      <w:r w:rsidRPr="001340AB">
        <w:rPr>
          <w:sz w:val="20"/>
          <w:vertAlign w:val="superscript"/>
        </w:rPr>
        <w:t>e</w:t>
      </w:r>
      <w:r w:rsidRPr="001340AB">
        <w:rPr>
          <w:sz w:val="20"/>
        </w:rPr>
        <w:t xml:space="preserve"> First degree family member suffered MI before the age of 60 years</w:t>
      </w:r>
    </w:p>
    <w:p w14:paraId="25E42C5B" w14:textId="77777777" w:rsidR="009758B9" w:rsidRPr="001340AB" w:rsidRDefault="009758B9" w:rsidP="009758B9">
      <w:pPr>
        <w:spacing w:after="0" w:line="480" w:lineRule="auto"/>
        <w:rPr>
          <w:i/>
        </w:rPr>
      </w:pPr>
      <w:r w:rsidRPr="001340AB">
        <w:rPr>
          <w:sz w:val="20"/>
          <w:szCs w:val="20"/>
        </w:rPr>
        <w:t xml:space="preserve">HUNT = the Nord-Trøndelag Health Study; </w:t>
      </w:r>
      <w:r w:rsidRPr="001340AB">
        <w:rPr>
          <w:sz w:val="20"/>
        </w:rPr>
        <w:t>IQR = Interquartile range; HDL-C = high density lipoprotein cholesterol; MI = myocardial infarction</w:t>
      </w:r>
    </w:p>
    <w:p w14:paraId="3D866844" w14:textId="77777777" w:rsidR="009758B9" w:rsidRPr="001340AB" w:rsidRDefault="009758B9" w:rsidP="009758B9">
      <w:r w:rsidRPr="001340AB">
        <w:br w:type="page"/>
      </w:r>
      <w:bookmarkStart w:id="9" w:name="_Toc511729182"/>
      <w:r w:rsidRPr="001340AB">
        <w:rPr>
          <w:b/>
        </w:rPr>
        <w:lastRenderedPageBreak/>
        <w:t xml:space="preserve">Table 2. </w:t>
      </w:r>
      <w:r w:rsidRPr="001340AB">
        <w:t>Hazard ratios for 10-year cardiovascular disease risk from Fine and Gray competing risk models comparing models with and without pregnancy complication history</w:t>
      </w:r>
      <w:bookmarkEnd w:id="9"/>
    </w:p>
    <w:tbl>
      <w:tblPr>
        <w:tblW w:w="12942" w:type="dxa"/>
        <w:tblLook w:val="04A0" w:firstRow="1" w:lastRow="0" w:firstColumn="1" w:lastColumn="0" w:noHBand="0" w:noVBand="1"/>
      </w:tblPr>
      <w:tblGrid>
        <w:gridCol w:w="4446"/>
        <w:gridCol w:w="1265"/>
        <w:gridCol w:w="1567"/>
        <w:gridCol w:w="1265"/>
        <w:gridCol w:w="1567"/>
        <w:gridCol w:w="1265"/>
        <w:gridCol w:w="1567"/>
      </w:tblGrid>
      <w:tr w:rsidR="009758B9" w:rsidRPr="001340AB" w14:paraId="5D4E8472" w14:textId="77777777" w:rsidTr="002C7240">
        <w:trPr>
          <w:trHeight w:val="935"/>
        </w:trPr>
        <w:tc>
          <w:tcPr>
            <w:tcW w:w="4446" w:type="dxa"/>
            <w:vMerge w:val="restart"/>
            <w:tcBorders>
              <w:top w:val="single" w:sz="4" w:space="0" w:color="auto"/>
              <w:left w:val="nil"/>
              <w:bottom w:val="single" w:sz="4" w:space="0" w:color="000000"/>
              <w:right w:val="nil"/>
            </w:tcBorders>
            <w:shd w:val="clear" w:color="auto" w:fill="auto"/>
            <w:vAlign w:val="center"/>
            <w:hideMark/>
          </w:tcPr>
          <w:p w14:paraId="685ABDEF"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Covariates</w:t>
            </w:r>
          </w:p>
        </w:tc>
        <w:tc>
          <w:tcPr>
            <w:tcW w:w="2832" w:type="dxa"/>
            <w:gridSpan w:val="2"/>
            <w:tcBorders>
              <w:top w:val="single" w:sz="4" w:space="0" w:color="auto"/>
              <w:left w:val="nil"/>
              <w:bottom w:val="single" w:sz="4" w:space="0" w:color="auto"/>
              <w:right w:val="nil"/>
            </w:tcBorders>
            <w:shd w:val="clear" w:color="auto" w:fill="auto"/>
            <w:vAlign w:val="center"/>
            <w:hideMark/>
          </w:tcPr>
          <w:p w14:paraId="7C3573BB"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Unadjusted model for pregnancy complication history</w:t>
            </w:r>
          </w:p>
        </w:tc>
        <w:tc>
          <w:tcPr>
            <w:tcW w:w="2832" w:type="dxa"/>
            <w:gridSpan w:val="2"/>
            <w:tcBorders>
              <w:top w:val="single" w:sz="4" w:space="0" w:color="auto"/>
              <w:left w:val="nil"/>
              <w:bottom w:val="single" w:sz="4" w:space="0" w:color="auto"/>
              <w:right w:val="nil"/>
            </w:tcBorders>
            <w:shd w:val="clear" w:color="auto" w:fill="auto"/>
            <w:vAlign w:val="center"/>
            <w:hideMark/>
          </w:tcPr>
          <w:p w14:paraId="29A5BB14"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Established risk factor model</w:t>
            </w:r>
          </w:p>
        </w:tc>
        <w:tc>
          <w:tcPr>
            <w:tcW w:w="2832" w:type="dxa"/>
            <w:gridSpan w:val="2"/>
            <w:tcBorders>
              <w:top w:val="single" w:sz="4" w:space="0" w:color="auto"/>
              <w:left w:val="nil"/>
              <w:bottom w:val="single" w:sz="4" w:space="0" w:color="auto"/>
              <w:right w:val="nil"/>
            </w:tcBorders>
            <w:shd w:val="clear" w:color="auto" w:fill="auto"/>
            <w:vAlign w:val="center"/>
            <w:hideMark/>
          </w:tcPr>
          <w:p w14:paraId="5606C8B4"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Established risk factor model + pregnancy complication history</w:t>
            </w:r>
            <w:r w:rsidRPr="001340AB">
              <w:rPr>
                <w:rFonts w:cs="Times New Roman"/>
                <w:b/>
                <w:bCs/>
                <w:color w:val="000000"/>
                <w:szCs w:val="24"/>
                <w:vertAlign w:val="superscript"/>
              </w:rPr>
              <w:t>d</w:t>
            </w:r>
          </w:p>
        </w:tc>
      </w:tr>
      <w:tr w:rsidR="009758B9" w:rsidRPr="001340AB" w14:paraId="058575AB" w14:textId="77777777" w:rsidTr="002C7240">
        <w:trPr>
          <w:trHeight w:val="553"/>
        </w:trPr>
        <w:tc>
          <w:tcPr>
            <w:tcW w:w="4446" w:type="dxa"/>
            <w:vMerge/>
            <w:tcBorders>
              <w:top w:val="single" w:sz="4" w:space="0" w:color="auto"/>
              <w:left w:val="nil"/>
              <w:bottom w:val="single" w:sz="4" w:space="0" w:color="000000"/>
              <w:right w:val="nil"/>
            </w:tcBorders>
            <w:vAlign w:val="center"/>
            <w:hideMark/>
          </w:tcPr>
          <w:p w14:paraId="283BE833" w14:textId="77777777" w:rsidR="009758B9" w:rsidRPr="001340AB" w:rsidRDefault="009758B9" w:rsidP="002C7240">
            <w:pPr>
              <w:spacing w:before="120" w:after="0" w:line="300" w:lineRule="auto"/>
              <w:rPr>
                <w:rFonts w:cs="Times New Roman"/>
                <w:b/>
                <w:bCs/>
                <w:color w:val="000000"/>
                <w:szCs w:val="24"/>
              </w:rPr>
            </w:pPr>
          </w:p>
        </w:tc>
        <w:tc>
          <w:tcPr>
            <w:tcW w:w="1265" w:type="dxa"/>
            <w:tcBorders>
              <w:top w:val="nil"/>
              <w:left w:val="nil"/>
              <w:bottom w:val="single" w:sz="4" w:space="0" w:color="auto"/>
              <w:right w:val="nil"/>
            </w:tcBorders>
            <w:shd w:val="clear" w:color="auto" w:fill="auto"/>
            <w:vAlign w:val="center"/>
            <w:hideMark/>
          </w:tcPr>
          <w:p w14:paraId="1D47BDC1"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HR</w:t>
            </w:r>
            <w:r w:rsidRPr="001340AB">
              <w:rPr>
                <w:rFonts w:cs="Times New Roman"/>
                <w:b/>
                <w:bCs/>
                <w:color w:val="000000"/>
                <w:szCs w:val="24"/>
                <w:vertAlign w:val="superscript"/>
              </w:rPr>
              <w:t>c</w:t>
            </w:r>
          </w:p>
        </w:tc>
        <w:tc>
          <w:tcPr>
            <w:tcW w:w="1566" w:type="dxa"/>
            <w:tcBorders>
              <w:top w:val="nil"/>
              <w:left w:val="nil"/>
              <w:bottom w:val="single" w:sz="4" w:space="0" w:color="auto"/>
              <w:right w:val="nil"/>
            </w:tcBorders>
            <w:shd w:val="clear" w:color="auto" w:fill="auto"/>
            <w:vAlign w:val="center"/>
            <w:hideMark/>
          </w:tcPr>
          <w:p w14:paraId="644744B1"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95% CI</w:t>
            </w:r>
          </w:p>
        </w:tc>
        <w:tc>
          <w:tcPr>
            <w:tcW w:w="1265" w:type="dxa"/>
            <w:tcBorders>
              <w:top w:val="nil"/>
              <w:left w:val="nil"/>
              <w:bottom w:val="single" w:sz="4" w:space="0" w:color="auto"/>
              <w:right w:val="nil"/>
            </w:tcBorders>
            <w:shd w:val="clear" w:color="auto" w:fill="auto"/>
            <w:vAlign w:val="center"/>
            <w:hideMark/>
          </w:tcPr>
          <w:p w14:paraId="1D232141"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HR</w:t>
            </w:r>
            <w:r w:rsidRPr="001340AB">
              <w:rPr>
                <w:rFonts w:cs="Times New Roman"/>
                <w:b/>
                <w:bCs/>
                <w:color w:val="000000"/>
                <w:szCs w:val="24"/>
                <w:vertAlign w:val="superscript"/>
              </w:rPr>
              <w:t>c</w:t>
            </w:r>
          </w:p>
        </w:tc>
        <w:tc>
          <w:tcPr>
            <w:tcW w:w="1566" w:type="dxa"/>
            <w:tcBorders>
              <w:top w:val="nil"/>
              <w:left w:val="nil"/>
              <w:bottom w:val="single" w:sz="4" w:space="0" w:color="auto"/>
              <w:right w:val="nil"/>
            </w:tcBorders>
            <w:shd w:val="clear" w:color="auto" w:fill="auto"/>
            <w:vAlign w:val="center"/>
            <w:hideMark/>
          </w:tcPr>
          <w:p w14:paraId="67BF841E"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95% CI</w:t>
            </w:r>
          </w:p>
        </w:tc>
        <w:tc>
          <w:tcPr>
            <w:tcW w:w="1265" w:type="dxa"/>
            <w:tcBorders>
              <w:top w:val="nil"/>
              <w:left w:val="nil"/>
              <w:bottom w:val="single" w:sz="4" w:space="0" w:color="auto"/>
              <w:right w:val="nil"/>
            </w:tcBorders>
            <w:shd w:val="clear" w:color="auto" w:fill="auto"/>
            <w:vAlign w:val="center"/>
            <w:hideMark/>
          </w:tcPr>
          <w:p w14:paraId="393C5402"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 xml:space="preserve"> HR</w:t>
            </w:r>
            <w:r w:rsidRPr="001340AB">
              <w:rPr>
                <w:rFonts w:cs="Times New Roman"/>
                <w:b/>
                <w:bCs/>
                <w:color w:val="000000"/>
                <w:szCs w:val="24"/>
                <w:vertAlign w:val="superscript"/>
              </w:rPr>
              <w:t>c</w:t>
            </w:r>
          </w:p>
        </w:tc>
        <w:tc>
          <w:tcPr>
            <w:tcW w:w="1566" w:type="dxa"/>
            <w:tcBorders>
              <w:top w:val="nil"/>
              <w:left w:val="nil"/>
              <w:bottom w:val="single" w:sz="4" w:space="0" w:color="auto"/>
              <w:right w:val="nil"/>
            </w:tcBorders>
            <w:shd w:val="clear" w:color="auto" w:fill="auto"/>
            <w:vAlign w:val="center"/>
            <w:hideMark/>
          </w:tcPr>
          <w:p w14:paraId="5A6F93C9" w14:textId="77777777" w:rsidR="009758B9" w:rsidRPr="001340AB" w:rsidRDefault="009758B9" w:rsidP="002C7240">
            <w:pPr>
              <w:spacing w:before="120" w:after="0" w:line="300" w:lineRule="auto"/>
              <w:jc w:val="center"/>
              <w:rPr>
                <w:rFonts w:cs="Times New Roman"/>
                <w:b/>
                <w:bCs/>
                <w:color w:val="000000"/>
                <w:szCs w:val="24"/>
              </w:rPr>
            </w:pPr>
            <w:r w:rsidRPr="001340AB">
              <w:rPr>
                <w:rFonts w:cs="Times New Roman"/>
                <w:b/>
                <w:bCs/>
                <w:color w:val="000000"/>
                <w:szCs w:val="24"/>
              </w:rPr>
              <w:t>95% CI</w:t>
            </w:r>
          </w:p>
        </w:tc>
      </w:tr>
      <w:tr w:rsidR="009758B9" w:rsidRPr="001340AB" w14:paraId="18E2E4F4" w14:textId="77777777" w:rsidTr="002C7240">
        <w:trPr>
          <w:trHeight w:val="276"/>
        </w:trPr>
        <w:tc>
          <w:tcPr>
            <w:tcW w:w="4446" w:type="dxa"/>
            <w:tcBorders>
              <w:top w:val="nil"/>
              <w:left w:val="nil"/>
              <w:bottom w:val="nil"/>
              <w:right w:val="nil"/>
            </w:tcBorders>
            <w:shd w:val="clear" w:color="auto" w:fill="auto"/>
            <w:vAlign w:val="center"/>
            <w:hideMark/>
          </w:tcPr>
          <w:p w14:paraId="6BFFC6F5" w14:textId="77777777" w:rsidR="009758B9" w:rsidRPr="001340AB" w:rsidRDefault="009758B9" w:rsidP="002C7240">
            <w:pPr>
              <w:spacing w:before="120" w:after="0" w:line="300" w:lineRule="auto"/>
              <w:rPr>
                <w:rFonts w:cs="Times New Roman"/>
                <w:color w:val="000000"/>
                <w:szCs w:val="24"/>
              </w:rPr>
            </w:pPr>
            <w:r w:rsidRPr="001340AB">
              <w:rPr>
                <w:rFonts w:cs="Times New Roman"/>
                <w:color w:val="000000"/>
                <w:szCs w:val="24"/>
              </w:rPr>
              <w:t>Age (per 1 year)</w:t>
            </w:r>
          </w:p>
        </w:tc>
        <w:tc>
          <w:tcPr>
            <w:tcW w:w="1265" w:type="dxa"/>
            <w:tcBorders>
              <w:top w:val="nil"/>
              <w:left w:val="nil"/>
              <w:bottom w:val="nil"/>
              <w:right w:val="nil"/>
            </w:tcBorders>
            <w:shd w:val="clear" w:color="auto" w:fill="auto"/>
            <w:hideMark/>
          </w:tcPr>
          <w:p w14:paraId="4E809ACA" w14:textId="77777777" w:rsidR="009758B9" w:rsidRPr="001340AB" w:rsidRDefault="009758B9" w:rsidP="002C7240">
            <w:pPr>
              <w:spacing w:before="120" w:after="0" w:line="300" w:lineRule="auto"/>
              <w:jc w:val="right"/>
              <w:rPr>
                <w:rFonts w:cs="Times New Roman"/>
                <w:color w:val="000000"/>
                <w:szCs w:val="24"/>
              </w:rPr>
            </w:pPr>
          </w:p>
        </w:tc>
        <w:tc>
          <w:tcPr>
            <w:tcW w:w="1566" w:type="dxa"/>
            <w:tcBorders>
              <w:top w:val="nil"/>
              <w:left w:val="nil"/>
              <w:bottom w:val="nil"/>
              <w:right w:val="nil"/>
            </w:tcBorders>
            <w:shd w:val="clear" w:color="auto" w:fill="auto"/>
            <w:hideMark/>
          </w:tcPr>
          <w:p w14:paraId="36BF25E7" w14:textId="77777777" w:rsidR="009758B9" w:rsidRPr="001340AB" w:rsidRDefault="009758B9" w:rsidP="002C7240">
            <w:pPr>
              <w:spacing w:before="120" w:after="0" w:line="300" w:lineRule="auto"/>
              <w:jc w:val="right"/>
              <w:rPr>
                <w:rFonts w:cs="Times New Roman"/>
                <w:color w:val="000000"/>
                <w:szCs w:val="24"/>
              </w:rPr>
            </w:pPr>
          </w:p>
        </w:tc>
        <w:tc>
          <w:tcPr>
            <w:tcW w:w="1265" w:type="dxa"/>
            <w:tcBorders>
              <w:top w:val="nil"/>
              <w:left w:val="nil"/>
              <w:bottom w:val="nil"/>
              <w:right w:val="nil"/>
            </w:tcBorders>
            <w:shd w:val="clear" w:color="auto" w:fill="auto"/>
            <w:vAlign w:val="center"/>
            <w:hideMark/>
          </w:tcPr>
          <w:p w14:paraId="5E1DE5AF" w14:textId="77777777" w:rsidR="009758B9" w:rsidRPr="001340AB" w:rsidRDefault="009758B9" w:rsidP="002C7240">
            <w:pPr>
              <w:spacing w:before="120" w:after="0" w:line="300" w:lineRule="auto"/>
              <w:jc w:val="right"/>
              <w:rPr>
                <w:rFonts w:cs="Times New Roman"/>
                <w:color w:val="000000"/>
                <w:szCs w:val="24"/>
              </w:rPr>
            </w:pPr>
            <w:r w:rsidRPr="001340AB">
              <w:rPr>
                <w:rFonts w:eastAsiaTheme="minorEastAsia" w:cs="Times New Roman"/>
                <w:color w:val="000000" w:themeColor="text1"/>
                <w:kern w:val="24"/>
                <w:szCs w:val="24"/>
              </w:rPr>
              <w:t>1.09</w:t>
            </w:r>
          </w:p>
        </w:tc>
        <w:tc>
          <w:tcPr>
            <w:tcW w:w="1566" w:type="dxa"/>
            <w:tcBorders>
              <w:top w:val="nil"/>
              <w:left w:val="nil"/>
              <w:bottom w:val="nil"/>
              <w:right w:val="nil"/>
            </w:tcBorders>
            <w:shd w:val="clear" w:color="auto" w:fill="auto"/>
            <w:vAlign w:val="center"/>
            <w:hideMark/>
          </w:tcPr>
          <w:p w14:paraId="3C015174" w14:textId="77777777" w:rsidR="009758B9" w:rsidRPr="001340AB" w:rsidRDefault="009758B9" w:rsidP="002C7240">
            <w:pPr>
              <w:spacing w:before="120" w:after="0" w:line="300" w:lineRule="auto"/>
              <w:jc w:val="right"/>
              <w:rPr>
                <w:rFonts w:cs="Times New Roman"/>
                <w:color w:val="000000"/>
                <w:szCs w:val="24"/>
              </w:rPr>
            </w:pPr>
            <w:r w:rsidRPr="001340AB">
              <w:rPr>
                <w:rFonts w:eastAsiaTheme="minorEastAsia" w:cs="Times New Roman"/>
                <w:color w:val="000000" w:themeColor="text1"/>
                <w:kern w:val="24"/>
                <w:szCs w:val="24"/>
              </w:rPr>
              <w:t>(1.06, 1.13)</w:t>
            </w:r>
          </w:p>
        </w:tc>
        <w:tc>
          <w:tcPr>
            <w:tcW w:w="1265" w:type="dxa"/>
            <w:tcBorders>
              <w:top w:val="nil"/>
              <w:left w:val="nil"/>
              <w:bottom w:val="nil"/>
              <w:right w:val="nil"/>
            </w:tcBorders>
            <w:shd w:val="clear" w:color="auto" w:fill="auto"/>
            <w:vAlign w:val="center"/>
            <w:hideMark/>
          </w:tcPr>
          <w:p w14:paraId="199E91AE" w14:textId="77777777" w:rsidR="009758B9" w:rsidRPr="001340AB" w:rsidRDefault="009758B9" w:rsidP="002C7240">
            <w:pPr>
              <w:spacing w:before="120" w:after="0" w:line="300" w:lineRule="auto"/>
              <w:jc w:val="right"/>
              <w:rPr>
                <w:rFonts w:cs="Times New Roman"/>
                <w:color w:val="000000"/>
                <w:szCs w:val="24"/>
              </w:rPr>
            </w:pPr>
            <w:r w:rsidRPr="001340AB">
              <w:rPr>
                <w:rFonts w:eastAsiaTheme="minorEastAsia" w:cs="Times New Roman"/>
                <w:color w:val="000000" w:themeColor="text1"/>
                <w:kern w:val="24"/>
                <w:szCs w:val="24"/>
              </w:rPr>
              <w:t>1.10</w:t>
            </w:r>
          </w:p>
        </w:tc>
        <w:tc>
          <w:tcPr>
            <w:tcW w:w="1566" w:type="dxa"/>
            <w:tcBorders>
              <w:top w:val="nil"/>
              <w:left w:val="nil"/>
              <w:bottom w:val="nil"/>
              <w:right w:val="nil"/>
            </w:tcBorders>
            <w:shd w:val="clear" w:color="auto" w:fill="auto"/>
            <w:vAlign w:val="center"/>
            <w:hideMark/>
          </w:tcPr>
          <w:p w14:paraId="73477F13" w14:textId="77777777" w:rsidR="009758B9" w:rsidRPr="001340AB" w:rsidRDefault="009758B9" w:rsidP="002C7240">
            <w:pPr>
              <w:spacing w:before="120" w:after="0" w:line="300" w:lineRule="auto"/>
              <w:jc w:val="right"/>
              <w:rPr>
                <w:rFonts w:cs="Times New Roman"/>
                <w:color w:val="000000"/>
                <w:szCs w:val="24"/>
              </w:rPr>
            </w:pPr>
            <w:r w:rsidRPr="001340AB">
              <w:rPr>
                <w:rFonts w:eastAsiaTheme="minorEastAsia" w:cs="Times New Roman"/>
                <w:color w:val="000000" w:themeColor="text1"/>
                <w:kern w:val="24"/>
                <w:szCs w:val="24"/>
              </w:rPr>
              <w:t>(1.06, 1.13)</w:t>
            </w:r>
          </w:p>
        </w:tc>
      </w:tr>
      <w:tr w:rsidR="009758B9" w:rsidRPr="001340AB" w14:paraId="3886CB0A" w14:textId="77777777" w:rsidTr="002C7240">
        <w:trPr>
          <w:trHeight w:val="317"/>
        </w:trPr>
        <w:tc>
          <w:tcPr>
            <w:tcW w:w="4446" w:type="dxa"/>
            <w:tcBorders>
              <w:top w:val="nil"/>
              <w:left w:val="nil"/>
              <w:bottom w:val="nil"/>
              <w:right w:val="nil"/>
            </w:tcBorders>
            <w:shd w:val="clear" w:color="auto" w:fill="auto"/>
            <w:vAlign w:val="center"/>
            <w:hideMark/>
          </w:tcPr>
          <w:p w14:paraId="53763197"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Age squared</w:t>
            </w:r>
            <w:r w:rsidRPr="001340AB">
              <w:rPr>
                <w:rFonts w:cs="Times New Roman"/>
                <w:color w:val="000000"/>
                <w:szCs w:val="24"/>
                <w:vertAlign w:val="superscript"/>
              </w:rPr>
              <w:t xml:space="preserve"> </w:t>
            </w:r>
            <w:r w:rsidRPr="001340AB">
              <w:rPr>
                <w:rFonts w:cs="Times New Roman"/>
                <w:color w:val="000000"/>
                <w:szCs w:val="24"/>
              </w:rPr>
              <w:t>(per 1 year)</w:t>
            </w:r>
          </w:p>
        </w:tc>
        <w:tc>
          <w:tcPr>
            <w:tcW w:w="1265" w:type="dxa"/>
            <w:tcBorders>
              <w:top w:val="nil"/>
              <w:left w:val="nil"/>
              <w:bottom w:val="nil"/>
              <w:right w:val="nil"/>
            </w:tcBorders>
            <w:shd w:val="clear" w:color="auto" w:fill="auto"/>
            <w:hideMark/>
          </w:tcPr>
          <w:p w14:paraId="78595C99" w14:textId="77777777" w:rsidR="009758B9" w:rsidRPr="001340AB" w:rsidRDefault="009758B9" w:rsidP="002C7240">
            <w:pPr>
              <w:spacing w:after="0" w:line="300" w:lineRule="auto"/>
              <w:jc w:val="right"/>
              <w:rPr>
                <w:rFonts w:cs="Times New Roman"/>
                <w:color w:val="000000"/>
                <w:szCs w:val="24"/>
              </w:rPr>
            </w:pPr>
          </w:p>
        </w:tc>
        <w:tc>
          <w:tcPr>
            <w:tcW w:w="1566" w:type="dxa"/>
            <w:tcBorders>
              <w:top w:val="nil"/>
              <w:left w:val="nil"/>
              <w:bottom w:val="nil"/>
              <w:right w:val="nil"/>
            </w:tcBorders>
            <w:shd w:val="clear" w:color="auto" w:fill="auto"/>
            <w:hideMark/>
          </w:tcPr>
          <w:p w14:paraId="17424542" w14:textId="77777777" w:rsidR="009758B9" w:rsidRPr="001340AB" w:rsidRDefault="009758B9" w:rsidP="002C7240">
            <w:pPr>
              <w:spacing w:after="0" w:line="300" w:lineRule="auto"/>
              <w:jc w:val="right"/>
              <w:rPr>
                <w:rFonts w:cs="Times New Roman"/>
                <w:color w:val="000000"/>
                <w:szCs w:val="24"/>
              </w:rPr>
            </w:pPr>
          </w:p>
        </w:tc>
        <w:tc>
          <w:tcPr>
            <w:tcW w:w="1265" w:type="dxa"/>
            <w:tcBorders>
              <w:top w:val="nil"/>
              <w:left w:val="nil"/>
              <w:bottom w:val="nil"/>
              <w:right w:val="nil"/>
            </w:tcBorders>
            <w:shd w:val="clear" w:color="auto" w:fill="auto"/>
            <w:vAlign w:val="center"/>
            <w:hideMark/>
          </w:tcPr>
          <w:p w14:paraId="6467A933"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w:t>
            </w:r>
          </w:p>
        </w:tc>
        <w:tc>
          <w:tcPr>
            <w:tcW w:w="1566" w:type="dxa"/>
            <w:tcBorders>
              <w:top w:val="nil"/>
              <w:left w:val="nil"/>
              <w:bottom w:val="nil"/>
              <w:right w:val="nil"/>
            </w:tcBorders>
            <w:shd w:val="clear" w:color="auto" w:fill="auto"/>
            <w:vAlign w:val="center"/>
            <w:hideMark/>
          </w:tcPr>
          <w:p w14:paraId="77D2FA84"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(1.00, 1.00)</w:t>
            </w:r>
          </w:p>
        </w:tc>
        <w:tc>
          <w:tcPr>
            <w:tcW w:w="1265" w:type="dxa"/>
            <w:tcBorders>
              <w:top w:val="nil"/>
              <w:left w:val="nil"/>
              <w:bottom w:val="nil"/>
              <w:right w:val="nil"/>
            </w:tcBorders>
            <w:shd w:val="clear" w:color="auto" w:fill="auto"/>
            <w:vAlign w:val="center"/>
            <w:hideMark/>
          </w:tcPr>
          <w:p w14:paraId="73E196DB"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w:t>
            </w:r>
          </w:p>
        </w:tc>
        <w:tc>
          <w:tcPr>
            <w:tcW w:w="1566" w:type="dxa"/>
            <w:tcBorders>
              <w:top w:val="nil"/>
              <w:left w:val="nil"/>
              <w:bottom w:val="nil"/>
              <w:right w:val="nil"/>
            </w:tcBorders>
            <w:shd w:val="clear" w:color="auto" w:fill="auto"/>
            <w:vAlign w:val="center"/>
            <w:hideMark/>
          </w:tcPr>
          <w:p w14:paraId="306547F8"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(1.00, 1.00)</w:t>
            </w:r>
          </w:p>
        </w:tc>
      </w:tr>
      <w:tr w:rsidR="009758B9" w:rsidRPr="001340AB" w14:paraId="28A4E33F" w14:textId="77777777" w:rsidTr="002C7240">
        <w:trPr>
          <w:trHeight w:val="276"/>
        </w:trPr>
        <w:tc>
          <w:tcPr>
            <w:tcW w:w="4446" w:type="dxa"/>
            <w:tcBorders>
              <w:top w:val="nil"/>
              <w:left w:val="nil"/>
              <w:bottom w:val="nil"/>
              <w:right w:val="nil"/>
            </w:tcBorders>
            <w:shd w:val="clear" w:color="auto" w:fill="auto"/>
            <w:vAlign w:val="center"/>
            <w:hideMark/>
          </w:tcPr>
          <w:p w14:paraId="2627FF39"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Systolic blood pressure (per 10 mmHg)</w:t>
            </w:r>
          </w:p>
        </w:tc>
        <w:tc>
          <w:tcPr>
            <w:tcW w:w="1265" w:type="dxa"/>
            <w:tcBorders>
              <w:top w:val="nil"/>
              <w:left w:val="nil"/>
              <w:bottom w:val="nil"/>
              <w:right w:val="nil"/>
            </w:tcBorders>
            <w:shd w:val="clear" w:color="auto" w:fill="auto"/>
            <w:noWrap/>
            <w:hideMark/>
          </w:tcPr>
          <w:p w14:paraId="6776F736"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hideMark/>
          </w:tcPr>
          <w:p w14:paraId="59F6B3B9"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6859A9A1"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1.19</w:t>
            </w:r>
          </w:p>
        </w:tc>
        <w:tc>
          <w:tcPr>
            <w:tcW w:w="1566" w:type="dxa"/>
            <w:tcBorders>
              <w:top w:val="nil"/>
              <w:left w:val="nil"/>
              <w:bottom w:val="nil"/>
              <w:right w:val="nil"/>
            </w:tcBorders>
            <w:shd w:val="clear" w:color="auto" w:fill="auto"/>
            <w:vAlign w:val="center"/>
            <w:hideMark/>
          </w:tcPr>
          <w:p w14:paraId="52CD7521"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(1.11, 1.28)</w:t>
            </w:r>
          </w:p>
        </w:tc>
        <w:tc>
          <w:tcPr>
            <w:tcW w:w="1265" w:type="dxa"/>
            <w:tcBorders>
              <w:top w:val="nil"/>
              <w:left w:val="nil"/>
              <w:bottom w:val="nil"/>
              <w:right w:val="nil"/>
            </w:tcBorders>
            <w:shd w:val="clear" w:color="auto" w:fill="auto"/>
            <w:vAlign w:val="bottom"/>
            <w:hideMark/>
          </w:tcPr>
          <w:p w14:paraId="2F13658E"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1.19</w:t>
            </w:r>
          </w:p>
        </w:tc>
        <w:tc>
          <w:tcPr>
            <w:tcW w:w="1566" w:type="dxa"/>
            <w:tcBorders>
              <w:top w:val="nil"/>
              <w:left w:val="nil"/>
              <w:bottom w:val="nil"/>
              <w:right w:val="nil"/>
            </w:tcBorders>
            <w:shd w:val="clear" w:color="auto" w:fill="auto"/>
            <w:vAlign w:val="center"/>
            <w:hideMark/>
          </w:tcPr>
          <w:p w14:paraId="162BC803"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(1.10, 1.28)</w:t>
            </w:r>
          </w:p>
        </w:tc>
      </w:tr>
      <w:tr w:rsidR="009758B9" w:rsidRPr="001340AB" w14:paraId="211E7FE9" w14:textId="77777777" w:rsidTr="002C7240">
        <w:trPr>
          <w:trHeight w:val="276"/>
        </w:trPr>
        <w:tc>
          <w:tcPr>
            <w:tcW w:w="4446" w:type="dxa"/>
            <w:tcBorders>
              <w:top w:val="nil"/>
              <w:left w:val="nil"/>
              <w:bottom w:val="nil"/>
              <w:right w:val="nil"/>
            </w:tcBorders>
            <w:shd w:val="clear" w:color="auto" w:fill="auto"/>
            <w:vAlign w:val="center"/>
            <w:hideMark/>
          </w:tcPr>
          <w:p w14:paraId="58AEBEA7"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Serum total cholesterol (per 1 mmol/L)</w:t>
            </w:r>
          </w:p>
        </w:tc>
        <w:tc>
          <w:tcPr>
            <w:tcW w:w="1265" w:type="dxa"/>
            <w:tcBorders>
              <w:top w:val="nil"/>
              <w:left w:val="nil"/>
              <w:bottom w:val="nil"/>
              <w:right w:val="nil"/>
            </w:tcBorders>
            <w:shd w:val="clear" w:color="auto" w:fill="auto"/>
            <w:noWrap/>
            <w:vAlign w:val="center"/>
            <w:hideMark/>
          </w:tcPr>
          <w:p w14:paraId="42D4F38B"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vAlign w:val="center"/>
            <w:hideMark/>
          </w:tcPr>
          <w:p w14:paraId="7E900464"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76057BEB"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1.12</w:t>
            </w:r>
          </w:p>
        </w:tc>
        <w:tc>
          <w:tcPr>
            <w:tcW w:w="1566" w:type="dxa"/>
            <w:tcBorders>
              <w:top w:val="nil"/>
              <w:left w:val="nil"/>
              <w:bottom w:val="nil"/>
              <w:right w:val="nil"/>
            </w:tcBorders>
            <w:shd w:val="clear" w:color="auto" w:fill="auto"/>
            <w:vAlign w:val="center"/>
            <w:hideMark/>
          </w:tcPr>
          <w:p w14:paraId="4B6FCF7F"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(1.06, 1.18)</w:t>
            </w:r>
          </w:p>
        </w:tc>
        <w:tc>
          <w:tcPr>
            <w:tcW w:w="1265" w:type="dxa"/>
            <w:tcBorders>
              <w:top w:val="nil"/>
              <w:left w:val="nil"/>
              <w:bottom w:val="nil"/>
              <w:right w:val="nil"/>
            </w:tcBorders>
            <w:shd w:val="clear" w:color="auto" w:fill="auto"/>
            <w:vAlign w:val="bottom"/>
            <w:hideMark/>
          </w:tcPr>
          <w:p w14:paraId="1B780EFC"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1.12</w:t>
            </w:r>
          </w:p>
        </w:tc>
        <w:tc>
          <w:tcPr>
            <w:tcW w:w="1566" w:type="dxa"/>
            <w:tcBorders>
              <w:top w:val="nil"/>
              <w:left w:val="nil"/>
              <w:bottom w:val="nil"/>
              <w:right w:val="nil"/>
            </w:tcBorders>
            <w:shd w:val="clear" w:color="auto" w:fill="auto"/>
            <w:vAlign w:val="center"/>
            <w:hideMark/>
          </w:tcPr>
          <w:p w14:paraId="67E396D6"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(1.06, 1.18)</w:t>
            </w:r>
          </w:p>
        </w:tc>
      </w:tr>
      <w:tr w:rsidR="009758B9" w:rsidRPr="001340AB" w14:paraId="0731630A" w14:textId="77777777" w:rsidTr="002C7240">
        <w:trPr>
          <w:trHeight w:val="276"/>
        </w:trPr>
        <w:tc>
          <w:tcPr>
            <w:tcW w:w="4446" w:type="dxa"/>
            <w:tcBorders>
              <w:top w:val="nil"/>
              <w:left w:val="nil"/>
              <w:bottom w:val="nil"/>
              <w:right w:val="nil"/>
            </w:tcBorders>
            <w:shd w:val="clear" w:color="auto" w:fill="auto"/>
            <w:vAlign w:val="center"/>
            <w:hideMark/>
          </w:tcPr>
          <w:p w14:paraId="2A1DE443"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Daily smoking (yes/no)</w:t>
            </w:r>
          </w:p>
        </w:tc>
        <w:tc>
          <w:tcPr>
            <w:tcW w:w="1265" w:type="dxa"/>
            <w:tcBorders>
              <w:top w:val="nil"/>
              <w:left w:val="nil"/>
              <w:bottom w:val="nil"/>
              <w:right w:val="nil"/>
            </w:tcBorders>
            <w:shd w:val="clear" w:color="auto" w:fill="auto"/>
            <w:noWrap/>
            <w:vAlign w:val="center"/>
            <w:hideMark/>
          </w:tcPr>
          <w:p w14:paraId="57CAB747"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vAlign w:val="center"/>
            <w:hideMark/>
          </w:tcPr>
          <w:p w14:paraId="16E60FF0"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12FE284E"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3.22</w:t>
            </w:r>
          </w:p>
        </w:tc>
        <w:tc>
          <w:tcPr>
            <w:tcW w:w="1566" w:type="dxa"/>
            <w:tcBorders>
              <w:top w:val="nil"/>
              <w:left w:val="nil"/>
              <w:bottom w:val="nil"/>
              <w:right w:val="nil"/>
            </w:tcBorders>
            <w:shd w:val="clear" w:color="auto" w:fill="auto"/>
            <w:vAlign w:val="center"/>
            <w:hideMark/>
          </w:tcPr>
          <w:p w14:paraId="3B5D0211"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(2.37, 4.37)</w:t>
            </w:r>
          </w:p>
        </w:tc>
        <w:tc>
          <w:tcPr>
            <w:tcW w:w="1265" w:type="dxa"/>
            <w:tcBorders>
              <w:top w:val="nil"/>
              <w:left w:val="nil"/>
              <w:bottom w:val="nil"/>
              <w:right w:val="nil"/>
            </w:tcBorders>
            <w:shd w:val="clear" w:color="auto" w:fill="auto"/>
            <w:vAlign w:val="bottom"/>
            <w:hideMark/>
          </w:tcPr>
          <w:p w14:paraId="7A2515D2"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3.24</w:t>
            </w:r>
          </w:p>
        </w:tc>
        <w:tc>
          <w:tcPr>
            <w:tcW w:w="1566" w:type="dxa"/>
            <w:tcBorders>
              <w:top w:val="nil"/>
              <w:left w:val="nil"/>
              <w:bottom w:val="nil"/>
              <w:right w:val="nil"/>
            </w:tcBorders>
            <w:shd w:val="clear" w:color="auto" w:fill="auto"/>
            <w:vAlign w:val="center"/>
            <w:hideMark/>
          </w:tcPr>
          <w:p w14:paraId="7BC31CB6"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(2.38, 4.41)</w:t>
            </w:r>
          </w:p>
        </w:tc>
      </w:tr>
      <w:tr w:rsidR="009758B9" w:rsidRPr="001340AB" w14:paraId="31F3E69D" w14:textId="77777777" w:rsidTr="002C7240">
        <w:trPr>
          <w:trHeight w:val="276"/>
        </w:trPr>
        <w:tc>
          <w:tcPr>
            <w:tcW w:w="4446" w:type="dxa"/>
            <w:tcBorders>
              <w:top w:val="nil"/>
              <w:left w:val="nil"/>
              <w:bottom w:val="nil"/>
              <w:right w:val="nil"/>
            </w:tcBorders>
            <w:shd w:val="clear" w:color="auto" w:fill="auto"/>
            <w:vAlign w:val="center"/>
            <w:hideMark/>
          </w:tcPr>
          <w:p w14:paraId="0CB11FEC"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Systolic blood pressure x age</w:t>
            </w:r>
          </w:p>
        </w:tc>
        <w:tc>
          <w:tcPr>
            <w:tcW w:w="1265" w:type="dxa"/>
            <w:tcBorders>
              <w:top w:val="nil"/>
              <w:left w:val="nil"/>
              <w:bottom w:val="nil"/>
              <w:right w:val="nil"/>
            </w:tcBorders>
            <w:shd w:val="clear" w:color="auto" w:fill="auto"/>
            <w:hideMark/>
          </w:tcPr>
          <w:p w14:paraId="02225770"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hideMark/>
          </w:tcPr>
          <w:p w14:paraId="7A8107BA"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43125293"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w:t>
            </w:r>
          </w:p>
        </w:tc>
        <w:tc>
          <w:tcPr>
            <w:tcW w:w="1566" w:type="dxa"/>
            <w:tcBorders>
              <w:top w:val="nil"/>
              <w:left w:val="nil"/>
              <w:bottom w:val="nil"/>
              <w:right w:val="nil"/>
            </w:tcBorders>
            <w:shd w:val="clear" w:color="auto" w:fill="auto"/>
            <w:vAlign w:val="center"/>
            <w:hideMark/>
          </w:tcPr>
          <w:p w14:paraId="30F6A074"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(1.00, 1.00)</w:t>
            </w:r>
          </w:p>
        </w:tc>
        <w:tc>
          <w:tcPr>
            <w:tcW w:w="1265" w:type="dxa"/>
            <w:tcBorders>
              <w:top w:val="nil"/>
              <w:left w:val="nil"/>
              <w:bottom w:val="nil"/>
              <w:right w:val="nil"/>
            </w:tcBorders>
            <w:shd w:val="clear" w:color="auto" w:fill="auto"/>
            <w:vAlign w:val="center"/>
            <w:hideMark/>
          </w:tcPr>
          <w:p w14:paraId="00764DD3"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w:t>
            </w:r>
          </w:p>
        </w:tc>
        <w:tc>
          <w:tcPr>
            <w:tcW w:w="1566" w:type="dxa"/>
            <w:tcBorders>
              <w:top w:val="nil"/>
              <w:left w:val="nil"/>
              <w:bottom w:val="nil"/>
              <w:right w:val="nil"/>
            </w:tcBorders>
            <w:shd w:val="clear" w:color="auto" w:fill="auto"/>
            <w:vAlign w:val="center"/>
            <w:hideMark/>
          </w:tcPr>
          <w:p w14:paraId="5594364C"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(1.00, 1.00)</w:t>
            </w:r>
          </w:p>
        </w:tc>
      </w:tr>
      <w:tr w:rsidR="009758B9" w:rsidRPr="001340AB" w14:paraId="24622BC5" w14:textId="77777777" w:rsidTr="002C7240">
        <w:trPr>
          <w:trHeight w:val="276"/>
        </w:trPr>
        <w:tc>
          <w:tcPr>
            <w:tcW w:w="4446" w:type="dxa"/>
            <w:tcBorders>
              <w:top w:val="nil"/>
              <w:left w:val="nil"/>
              <w:bottom w:val="nil"/>
              <w:right w:val="nil"/>
            </w:tcBorders>
            <w:shd w:val="clear" w:color="auto" w:fill="auto"/>
            <w:vAlign w:val="center"/>
            <w:hideMark/>
          </w:tcPr>
          <w:p w14:paraId="74E2F4A4"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Daily smoking x age</w:t>
            </w:r>
          </w:p>
        </w:tc>
        <w:tc>
          <w:tcPr>
            <w:tcW w:w="1265" w:type="dxa"/>
            <w:tcBorders>
              <w:top w:val="nil"/>
              <w:left w:val="nil"/>
              <w:bottom w:val="nil"/>
              <w:right w:val="nil"/>
            </w:tcBorders>
            <w:shd w:val="clear" w:color="auto" w:fill="auto"/>
            <w:hideMark/>
          </w:tcPr>
          <w:p w14:paraId="41D02F17"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hideMark/>
          </w:tcPr>
          <w:p w14:paraId="6AAB5467"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49D1E575"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0.98</w:t>
            </w:r>
          </w:p>
        </w:tc>
        <w:tc>
          <w:tcPr>
            <w:tcW w:w="1566" w:type="dxa"/>
            <w:tcBorders>
              <w:top w:val="nil"/>
              <w:left w:val="nil"/>
              <w:bottom w:val="nil"/>
              <w:right w:val="nil"/>
            </w:tcBorders>
            <w:shd w:val="clear" w:color="auto" w:fill="auto"/>
            <w:vAlign w:val="center"/>
            <w:hideMark/>
          </w:tcPr>
          <w:p w14:paraId="145CA4E1"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(0.97, 1.00)</w:t>
            </w:r>
          </w:p>
        </w:tc>
        <w:tc>
          <w:tcPr>
            <w:tcW w:w="1265" w:type="dxa"/>
            <w:tcBorders>
              <w:top w:val="nil"/>
              <w:left w:val="nil"/>
              <w:bottom w:val="nil"/>
              <w:right w:val="nil"/>
            </w:tcBorders>
            <w:shd w:val="clear" w:color="auto" w:fill="auto"/>
            <w:vAlign w:val="center"/>
            <w:hideMark/>
          </w:tcPr>
          <w:p w14:paraId="412E0A61"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0.98</w:t>
            </w:r>
          </w:p>
        </w:tc>
        <w:tc>
          <w:tcPr>
            <w:tcW w:w="1566" w:type="dxa"/>
            <w:tcBorders>
              <w:top w:val="nil"/>
              <w:left w:val="nil"/>
              <w:bottom w:val="nil"/>
              <w:right w:val="nil"/>
            </w:tcBorders>
            <w:shd w:val="clear" w:color="auto" w:fill="auto"/>
            <w:vAlign w:val="center"/>
            <w:hideMark/>
          </w:tcPr>
          <w:p w14:paraId="1E50FF63"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(0.97, 1.00)</w:t>
            </w:r>
          </w:p>
        </w:tc>
      </w:tr>
      <w:tr w:rsidR="009758B9" w:rsidRPr="001340AB" w14:paraId="5A964512" w14:textId="77777777" w:rsidTr="002C7240">
        <w:trPr>
          <w:trHeight w:val="276"/>
        </w:trPr>
        <w:tc>
          <w:tcPr>
            <w:tcW w:w="4446" w:type="dxa"/>
            <w:tcBorders>
              <w:top w:val="nil"/>
              <w:left w:val="nil"/>
              <w:bottom w:val="nil"/>
              <w:right w:val="nil"/>
            </w:tcBorders>
            <w:shd w:val="clear" w:color="auto" w:fill="auto"/>
            <w:vAlign w:val="center"/>
            <w:hideMark/>
          </w:tcPr>
          <w:p w14:paraId="6535DDE2"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Antihypertensives (yes/no)</w:t>
            </w:r>
          </w:p>
        </w:tc>
        <w:tc>
          <w:tcPr>
            <w:tcW w:w="1265" w:type="dxa"/>
            <w:tcBorders>
              <w:top w:val="nil"/>
              <w:left w:val="nil"/>
              <w:bottom w:val="nil"/>
              <w:right w:val="nil"/>
            </w:tcBorders>
            <w:shd w:val="clear" w:color="auto" w:fill="auto"/>
            <w:hideMark/>
          </w:tcPr>
          <w:p w14:paraId="5E8E2594"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hideMark/>
          </w:tcPr>
          <w:p w14:paraId="0E448FFC"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77547BA1"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1.41</w:t>
            </w:r>
          </w:p>
        </w:tc>
        <w:tc>
          <w:tcPr>
            <w:tcW w:w="1566" w:type="dxa"/>
            <w:tcBorders>
              <w:top w:val="nil"/>
              <w:left w:val="nil"/>
              <w:bottom w:val="nil"/>
              <w:right w:val="nil"/>
            </w:tcBorders>
            <w:shd w:val="clear" w:color="auto" w:fill="auto"/>
            <w:vAlign w:val="center"/>
            <w:hideMark/>
          </w:tcPr>
          <w:p w14:paraId="7F17BB75"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(1.21, 1.66)</w:t>
            </w:r>
          </w:p>
        </w:tc>
        <w:tc>
          <w:tcPr>
            <w:tcW w:w="1265" w:type="dxa"/>
            <w:tcBorders>
              <w:top w:val="nil"/>
              <w:left w:val="nil"/>
              <w:bottom w:val="nil"/>
              <w:right w:val="nil"/>
            </w:tcBorders>
            <w:shd w:val="clear" w:color="auto" w:fill="auto"/>
            <w:vAlign w:val="center"/>
            <w:hideMark/>
          </w:tcPr>
          <w:p w14:paraId="4C7F6DF7"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1.38</w:t>
            </w:r>
          </w:p>
        </w:tc>
        <w:tc>
          <w:tcPr>
            <w:tcW w:w="1566" w:type="dxa"/>
            <w:tcBorders>
              <w:top w:val="nil"/>
              <w:left w:val="nil"/>
              <w:bottom w:val="nil"/>
              <w:right w:val="nil"/>
            </w:tcBorders>
            <w:shd w:val="clear" w:color="auto" w:fill="auto"/>
            <w:vAlign w:val="center"/>
            <w:hideMark/>
          </w:tcPr>
          <w:p w14:paraId="4FAA7D50"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(1.16, 1.64)</w:t>
            </w:r>
          </w:p>
        </w:tc>
      </w:tr>
      <w:tr w:rsidR="009758B9" w:rsidRPr="001340AB" w14:paraId="6DCCCCC0" w14:textId="77777777" w:rsidTr="002C7240">
        <w:trPr>
          <w:trHeight w:val="317"/>
        </w:trPr>
        <w:tc>
          <w:tcPr>
            <w:tcW w:w="4446" w:type="dxa"/>
            <w:tcBorders>
              <w:top w:val="nil"/>
              <w:left w:val="nil"/>
              <w:bottom w:val="nil"/>
              <w:right w:val="nil"/>
            </w:tcBorders>
            <w:shd w:val="clear" w:color="auto" w:fill="auto"/>
            <w:vAlign w:val="center"/>
            <w:hideMark/>
          </w:tcPr>
          <w:p w14:paraId="51E4A9AA"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Low HDL-cholesterol (yes/no)</w:t>
            </w:r>
            <w:r w:rsidRPr="001340AB">
              <w:rPr>
                <w:rFonts w:cs="Times New Roman"/>
                <w:color w:val="000000"/>
                <w:szCs w:val="24"/>
                <w:vertAlign w:val="superscript"/>
              </w:rPr>
              <w:t>a</w:t>
            </w:r>
          </w:p>
        </w:tc>
        <w:tc>
          <w:tcPr>
            <w:tcW w:w="1265" w:type="dxa"/>
            <w:tcBorders>
              <w:top w:val="nil"/>
              <w:left w:val="nil"/>
              <w:bottom w:val="nil"/>
              <w:right w:val="nil"/>
            </w:tcBorders>
            <w:shd w:val="clear" w:color="auto" w:fill="auto"/>
            <w:hideMark/>
          </w:tcPr>
          <w:p w14:paraId="4C4DCEB3"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hideMark/>
          </w:tcPr>
          <w:p w14:paraId="5FFF911A"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6A6E77BF"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1.65</w:t>
            </w:r>
          </w:p>
        </w:tc>
        <w:tc>
          <w:tcPr>
            <w:tcW w:w="1566" w:type="dxa"/>
            <w:tcBorders>
              <w:top w:val="nil"/>
              <w:left w:val="nil"/>
              <w:bottom w:val="nil"/>
              <w:right w:val="nil"/>
            </w:tcBorders>
            <w:shd w:val="clear" w:color="auto" w:fill="auto"/>
            <w:vAlign w:val="center"/>
            <w:hideMark/>
          </w:tcPr>
          <w:p w14:paraId="2AF4CA68"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(1.45, 1.87)</w:t>
            </w:r>
          </w:p>
        </w:tc>
        <w:tc>
          <w:tcPr>
            <w:tcW w:w="1265" w:type="dxa"/>
            <w:tcBorders>
              <w:top w:val="nil"/>
              <w:left w:val="nil"/>
              <w:bottom w:val="nil"/>
              <w:right w:val="nil"/>
            </w:tcBorders>
            <w:shd w:val="clear" w:color="auto" w:fill="auto"/>
            <w:vAlign w:val="center"/>
            <w:hideMark/>
          </w:tcPr>
          <w:p w14:paraId="0C05C077"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1.65</w:t>
            </w:r>
          </w:p>
        </w:tc>
        <w:tc>
          <w:tcPr>
            <w:tcW w:w="1566" w:type="dxa"/>
            <w:tcBorders>
              <w:top w:val="nil"/>
              <w:left w:val="nil"/>
              <w:bottom w:val="nil"/>
              <w:right w:val="nil"/>
            </w:tcBorders>
            <w:shd w:val="clear" w:color="auto" w:fill="auto"/>
            <w:vAlign w:val="center"/>
            <w:hideMark/>
          </w:tcPr>
          <w:p w14:paraId="53B5500C"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(1.45, 1.87)</w:t>
            </w:r>
          </w:p>
        </w:tc>
      </w:tr>
      <w:tr w:rsidR="009758B9" w:rsidRPr="001340AB" w14:paraId="5E00CC18" w14:textId="77777777" w:rsidTr="002C7240">
        <w:trPr>
          <w:trHeight w:val="317"/>
        </w:trPr>
        <w:tc>
          <w:tcPr>
            <w:tcW w:w="4446" w:type="dxa"/>
            <w:tcBorders>
              <w:top w:val="nil"/>
              <w:left w:val="nil"/>
              <w:bottom w:val="nil"/>
              <w:right w:val="nil"/>
            </w:tcBorders>
            <w:shd w:val="clear" w:color="auto" w:fill="auto"/>
            <w:vAlign w:val="center"/>
            <w:hideMark/>
          </w:tcPr>
          <w:p w14:paraId="64D7CD45"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Family history of premature MI</w:t>
            </w:r>
            <w:r w:rsidRPr="001340AB">
              <w:rPr>
                <w:rFonts w:cs="Times New Roman"/>
                <w:color w:val="000000"/>
                <w:szCs w:val="24"/>
                <w:vertAlign w:val="superscript"/>
              </w:rPr>
              <w:t>b</w:t>
            </w:r>
          </w:p>
        </w:tc>
        <w:tc>
          <w:tcPr>
            <w:tcW w:w="1265" w:type="dxa"/>
            <w:tcBorders>
              <w:top w:val="nil"/>
              <w:left w:val="nil"/>
              <w:bottom w:val="nil"/>
              <w:right w:val="nil"/>
            </w:tcBorders>
            <w:shd w:val="clear" w:color="auto" w:fill="auto"/>
            <w:hideMark/>
          </w:tcPr>
          <w:p w14:paraId="45EAC315"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nil"/>
              <w:right w:val="nil"/>
            </w:tcBorders>
            <w:shd w:val="clear" w:color="auto" w:fill="auto"/>
            <w:hideMark/>
          </w:tcPr>
          <w:p w14:paraId="5A4ACF80"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0307374C"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1.53</w:t>
            </w:r>
          </w:p>
        </w:tc>
        <w:tc>
          <w:tcPr>
            <w:tcW w:w="1566" w:type="dxa"/>
            <w:tcBorders>
              <w:top w:val="nil"/>
              <w:left w:val="nil"/>
              <w:bottom w:val="nil"/>
              <w:right w:val="nil"/>
            </w:tcBorders>
            <w:shd w:val="clear" w:color="auto" w:fill="auto"/>
            <w:vAlign w:val="center"/>
            <w:hideMark/>
          </w:tcPr>
          <w:p w14:paraId="46E11143"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(1.31, 1.77)</w:t>
            </w:r>
          </w:p>
        </w:tc>
        <w:tc>
          <w:tcPr>
            <w:tcW w:w="1265" w:type="dxa"/>
            <w:tcBorders>
              <w:top w:val="nil"/>
              <w:left w:val="nil"/>
              <w:bottom w:val="nil"/>
              <w:right w:val="nil"/>
            </w:tcBorders>
            <w:shd w:val="clear" w:color="auto" w:fill="auto"/>
            <w:vAlign w:val="center"/>
            <w:hideMark/>
          </w:tcPr>
          <w:p w14:paraId="43600917"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1.52</w:t>
            </w:r>
          </w:p>
        </w:tc>
        <w:tc>
          <w:tcPr>
            <w:tcW w:w="1566" w:type="dxa"/>
            <w:tcBorders>
              <w:top w:val="nil"/>
              <w:left w:val="nil"/>
              <w:bottom w:val="nil"/>
              <w:right w:val="nil"/>
            </w:tcBorders>
            <w:shd w:val="clear" w:color="auto" w:fill="auto"/>
            <w:vAlign w:val="center"/>
            <w:hideMark/>
          </w:tcPr>
          <w:p w14:paraId="5649885A"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(1.30, 1.76)</w:t>
            </w:r>
          </w:p>
        </w:tc>
      </w:tr>
      <w:tr w:rsidR="009758B9" w:rsidRPr="001340AB" w14:paraId="4236815C" w14:textId="77777777" w:rsidTr="002C7240">
        <w:trPr>
          <w:trHeight w:val="276"/>
        </w:trPr>
        <w:tc>
          <w:tcPr>
            <w:tcW w:w="4446" w:type="dxa"/>
            <w:tcBorders>
              <w:top w:val="nil"/>
              <w:left w:val="nil"/>
              <w:bottom w:val="nil"/>
              <w:right w:val="nil"/>
            </w:tcBorders>
            <w:shd w:val="clear" w:color="auto" w:fill="auto"/>
            <w:vAlign w:val="center"/>
            <w:hideMark/>
          </w:tcPr>
          <w:p w14:paraId="5FA2A808"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Preeclampsia in any pregnancy (yes/no)</w:t>
            </w:r>
          </w:p>
        </w:tc>
        <w:tc>
          <w:tcPr>
            <w:tcW w:w="1265" w:type="dxa"/>
            <w:tcBorders>
              <w:top w:val="nil"/>
              <w:left w:val="nil"/>
              <w:bottom w:val="nil"/>
              <w:right w:val="nil"/>
            </w:tcBorders>
            <w:shd w:val="clear" w:color="auto" w:fill="auto"/>
            <w:hideMark/>
          </w:tcPr>
          <w:p w14:paraId="7E1529A6"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1.96</w:t>
            </w:r>
          </w:p>
        </w:tc>
        <w:tc>
          <w:tcPr>
            <w:tcW w:w="1566" w:type="dxa"/>
            <w:tcBorders>
              <w:top w:val="nil"/>
              <w:left w:val="nil"/>
              <w:bottom w:val="nil"/>
              <w:right w:val="nil"/>
            </w:tcBorders>
            <w:shd w:val="clear" w:color="auto" w:fill="auto"/>
            <w:hideMark/>
          </w:tcPr>
          <w:p w14:paraId="0CEBB0FB"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(1.44, 2.65)</w:t>
            </w:r>
          </w:p>
        </w:tc>
        <w:tc>
          <w:tcPr>
            <w:tcW w:w="1265" w:type="dxa"/>
            <w:tcBorders>
              <w:top w:val="nil"/>
              <w:left w:val="nil"/>
              <w:bottom w:val="nil"/>
              <w:right w:val="nil"/>
            </w:tcBorders>
            <w:shd w:val="clear" w:color="auto" w:fill="auto"/>
            <w:hideMark/>
          </w:tcPr>
          <w:p w14:paraId="48F14169" w14:textId="77777777" w:rsidR="009758B9" w:rsidRPr="001340AB" w:rsidRDefault="009758B9" w:rsidP="002C7240">
            <w:pPr>
              <w:spacing w:after="0" w:line="300" w:lineRule="auto"/>
              <w:jc w:val="right"/>
              <w:rPr>
                <w:rFonts w:cs="Times New Roman"/>
                <w:color w:val="000000"/>
                <w:szCs w:val="24"/>
              </w:rPr>
            </w:pPr>
          </w:p>
        </w:tc>
        <w:tc>
          <w:tcPr>
            <w:tcW w:w="1566" w:type="dxa"/>
            <w:tcBorders>
              <w:top w:val="nil"/>
              <w:left w:val="nil"/>
              <w:bottom w:val="nil"/>
              <w:right w:val="nil"/>
            </w:tcBorders>
            <w:shd w:val="clear" w:color="auto" w:fill="auto"/>
            <w:hideMark/>
          </w:tcPr>
          <w:p w14:paraId="6A6723C5"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11D4397A"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1.60</w:t>
            </w:r>
          </w:p>
        </w:tc>
        <w:tc>
          <w:tcPr>
            <w:tcW w:w="1566" w:type="dxa"/>
            <w:tcBorders>
              <w:top w:val="nil"/>
              <w:left w:val="nil"/>
              <w:bottom w:val="nil"/>
              <w:right w:val="nil"/>
            </w:tcBorders>
            <w:shd w:val="clear" w:color="auto" w:fill="auto"/>
            <w:vAlign w:val="center"/>
            <w:hideMark/>
          </w:tcPr>
          <w:p w14:paraId="15ADA8EE"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(1.16, 2.17)</w:t>
            </w:r>
          </w:p>
        </w:tc>
      </w:tr>
      <w:tr w:rsidR="009758B9" w:rsidRPr="001340AB" w14:paraId="4D83EA5E" w14:textId="77777777" w:rsidTr="002C7240">
        <w:trPr>
          <w:trHeight w:val="276"/>
        </w:trPr>
        <w:tc>
          <w:tcPr>
            <w:tcW w:w="4446" w:type="dxa"/>
            <w:tcBorders>
              <w:top w:val="nil"/>
              <w:left w:val="nil"/>
              <w:bottom w:val="nil"/>
              <w:right w:val="nil"/>
            </w:tcBorders>
            <w:shd w:val="clear" w:color="auto" w:fill="auto"/>
            <w:vAlign w:val="center"/>
          </w:tcPr>
          <w:p w14:paraId="400D8A87"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Gestational HTN in any pregnancy (yes/no)</w:t>
            </w:r>
          </w:p>
        </w:tc>
        <w:tc>
          <w:tcPr>
            <w:tcW w:w="1265" w:type="dxa"/>
            <w:tcBorders>
              <w:top w:val="nil"/>
              <w:left w:val="nil"/>
              <w:bottom w:val="nil"/>
              <w:right w:val="nil"/>
            </w:tcBorders>
            <w:shd w:val="clear" w:color="auto" w:fill="auto"/>
            <w:vAlign w:val="center"/>
          </w:tcPr>
          <w:p w14:paraId="62882A4B" w14:textId="77777777" w:rsidR="009758B9" w:rsidRPr="001340AB" w:rsidRDefault="009758B9" w:rsidP="002C7240">
            <w:pPr>
              <w:spacing w:after="0" w:line="300" w:lineRule="auto"/>
              <w:jc w:val="right"/>
              <w:rPr>
                <w:rFonts w:cs="Times New Roman"/>
                <w:szCs w:val="24"/>
              </w:rPr>
            </w:pPr>
            <w:r w:rsidRPr="001340AB">
              <w:rPr>
                <w:rFonts w:eastAsiaTheme="minorEastAsia" w:cs="Times New Roman"/>
                <w:color w:val="000000" w:themeColor="text1"/>
                <w:kern w:val="24"/>
                <w:szCs w:val="24"/>
              </w:rPr>
              <w:t>1.16</w:t>
            </w:r>
          </w:p>
        </w:tc>
        <w:tc>
          <w:tcPr>
            <w:tcW w:w="1566" w:type="dxa"/>
            <w:tcBorders>
              <w:top w:val="nil"/>
              <w:left w:val="nil"/>
              <w:bottom w:val="nil"/>
              <w:right w:val="nil"/>
            </w:tcBorders>
            <w:shd w:val="clear" w:color="auto" w:fill="auto"/>
            <w:vAlign w:val="center"/>
          </w:tcPr>
          <w:p w14:paraId="1CCB6381" w14:textId="77777777" w:rsidR="009758B9" w:rsidRPr="001340AB" w:rsidRDefault="009758B9" w:rsidP="002C7240">
            <w:pPr>
              <w:spacing w:after="0" w:line="300" w:lineRule="auto"/>
              <w:jc w:val="right"/>
              <w:rPr>
                <w:rFonts w:cs="Times New Roman"/>
                <w:szCs w:val="24"/>
              </w:rPr>
            </w:pPr>
            <w:r w:rsidRPr="001340AB">
              <w:rPr>
                <w:rFonts w:eastAsiaTheme="minorEastAsia" w:cs="Times New Roman"/>
                <w:color w:val="000000" w:themeColor="text1"/>
                <w:kern w:val="24"/>
                <w:szCs w:val="24"/>
              </w:rPr>
              <w:t>(0.70, 1.89)</w:t>
            </w:r>
          </w:p>
        </w:tc>
        <w:tc>
          <w:tcPr>
            <w:tcW w:w="1265" w:type="dxa"/>
            <w:tcBorders>
              <w:top w:val="nil"/>
              <w:left w:val="nil"/>
              <w:bottom w:val="nil"/>
              <w:right w:val="nil"/>
            </w:tcBorders>
            <w:shd w:val="clear" w:color="auto" w:fill="auto"/>
          </w:tcPr>
          <w:p w14:paraId="41B500B0" w14:textId="77777777" w:rsidR="009758B9" w:rsidRPr="001340AB" w:rsidRDefault="009758B9" w:rsidP="002C7240">
            <w:pPr>
              <w:spacing w:after="0" w:line="300" w:lineRule="auto"/>
              <w:jc w:val="right"/>
              <w:rPr>
                <w:rFonts w:cs="Times New Roman"/>
                <w:color w:val="000000"/>
                <w:szCs w:val="24"/>
              </w:rPr>
            </w:pPr>
          </w:p>
        </w:tc>
        <w:tc>
          <w:tcPr>
            <w:tcW w:w="1566" w:type="dxa"/>
            <w:tcBorders>
              <w:top w:val="nil"/>
              <w:left w:val="nil"/>
              <w:bottom w:val="nil"/>
              <w:right w:val="nil"/>
            </w:tcBorders>
            <w:shd w:val="clear" w:color="auto" w:fill="auto"/>
          </w:tcPr>
          <w:p w14:paraId="57E83BF3"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tcPr>
          <w:p w14:paraId="0350B538" w14:textId="77777777" w:rsidR="009758B9" w:rsidRPr="001340AB" w:rsidRDefault="009758B9" w:rsidP="002C7240">
            <w:pPr>
              <w:spacing w:after="0" w:line="300" w:lineRule="auto"/>
              <w:jc w:val="right"/>
              <w:rPr>
                <w:rFonts w:cs="Times New Roman"/>
                <w:szCs w:val="24"/>
              </w:rPr>
            </w:pPr>
            <w:r w:rsidRPr="001340AB">
              <w:rPr>
                <w:rFonts w:eastAsiaTheme="minorEastAsia" w:cs="Times New Roman"/>
                <w:color w:val="000000" w:themeColor="text1"/>
                <w:kern w:val="24"/>
                <w:szCs w:val="24"/>
              </w:rPr>
              <w:t>0.73</w:t>
            </w:r>
          </w:p>
        </w:tc>
        <w:tc>
          <w:tcPr>
            <w:tcW w:w="1566" w:type="dxa"/>
            <w:tcBorders>
              <w:top w:val="nil"/>
              <w:left w:val="nil"/>
              <w:bottom w:val="nil"/>
              <w:right w:val="nil"/>
            </w:tcBorders>
            <w:shd w:val="clear" w:color="auto" w:fill="auto"/>
            <w:vAlign w:val="center"/>
          </w:tcPr>
          <w:p w14:paraId="4A44D3F3" w14:textId="77777777" w:rsidR="009758B9" w:rsidRPr="001340AB" w:rsidRDefault="009758B9" w:rsidP="002C7240">
            <w:pPr>
              <w:spacing w:after="0" w:line="300" w:lineRule="auto"/>
              <w:jc w:val="right"/>
              <w:rPr>
                <w:rFonts w:cs="Times New Roman"/>
                <w:szCs w:val="24"/>
              </w:rPr>
            </w:pPr>
            <w:r w:rsidRPr="001340AB">
              <w:rPr>
                <w:rFonts w:eastAsiaTheme="minorEastAsia" w:cs="Times New Roman"/>
                <w:color w:val="000000" w:themeColor="text1"/>
                <w:kern w:val="24"/>
                <w:szCs w:val="24"/>
              </w:rPr>
              <w:t>(0.46, 1.15)</w:t>
            </w:r>
          </w:p>
        </w:tc>
      </w:tr>
      <w:tr w:rsidR="009758B9" w:rsidRPr="001340AB" w14:paraId="5A42C1BF" w14:textId="77777777" w:rsidTr="002C7240">
        <w:trPr>
          <w:trHeight w:val="276"/>
        </w:trPr>
        <w:tc>
          <w:tcPr>
            <w:tcW w:w="4446" w:type="dxa"/>
            <w:tcBorders>
              <w:top w:val="nil"/>
              <w:left w:val="nil"/>
              <w:bottom w:val="nil"/>
              <w:right w:val="nil"/>
            </w:tcBorders>
            <w:shd w:val="clear" w:color="auto" w:fill="auto"/>
            <w:vAlign w:val="center"/>
            <w:hideMark/>
          </w:tcPr>
          <w:p w14:paraId="58C307DE"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Any preterm delivery (yes/no)</w:t>
            </w:r>
          </w:p>
        </w:tc>
        <w:tc>
          <w:tcPr>
            <w:tcW w:w="1265" w:type="dxa"/>
            <w:tcBorders>
              <w:top w:val="nil"/>
              <w:left w:val="nil"/>
              <w:bottom w:val="nil"/>
              <w:right w:val="nil"/>
            </w:tcBorders>
            <w:shd w:val="clear" w:color="auto" w:fill="auto"/>
            <w:vAlign w:val="center"/>
            <w:hideMark/>
          </w:tcPr>
          <w:p w14:paraId="4D11A2D2"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1.13</w:t>
            </w:r>
          </w:p>
        </w:tc>
        <w:tc>
          <w:tcPr>
            <w:tcW w:w="1566" w:type="dxa"/>
            <w:tcBorders>
              <w:top w:val="nil"/>
              <w:left w:val="nil"/>
              <w:bottom w:val="nil"/>
              <w:right w:val="nil"/>
            </w:tcBorders>
            <w:shd w:val="clear" w:color="auto" w:fill="auto"/>
            <w:vAlign w:val="center"/>
            <w:hideMark/>
          </w:tcPr>
          <w:p w14:paraId="38A01D98"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(0.85, 1.51)</w:t>
            </w:r>
          </w:p>
        </w:tc>
        <w:tc>
          <w:tcPr>
            <w:tcW w:w="1265" w:type="dxa"/>
            <w:tcBorders>
              <w:top w:val="nil"/>
              <w:left w:val="nil"/>
              <w:bottom w:val="nil"/>
              <w:right w:val="nil"/>
            </w:tcBorders>
            <w:shd w:val="clear" w:color="auto" w:fill="auto"/>
            <w:hideMark/>
          </w:tcPr>
          <w:p w14:paraId="719C18BF" w14:textId="77777777" w:rsidR="009758B9" w:rsidRPr="001340AB" w:rsidRDefault="009758B9" w:rsidP="002C7240">
            <w:pPr>
              <w:spacing w:after="0" w:line="300" w:lineRule="auto"/>
              <w:jc w:val="right"/>
              <w:rPr>
                <w:rFonts w:cs="Times New Roman"/>
                <w:color w:val="000000"/>
                <w:szCs w:val="24"/>
              </w:rPr>
            </w:pPr>
          </w:p>
        </w:tc>
        <w:tc>
          <w:tcPr>
            <w:tcW w:w="1566" w:type="dxa"/>
            <w:tcBorders>
              <w:top w:val="nil"/>
              <w:left w:val="nil"/>
              <w:bottom w:val="nil"/>
              <w:right w:val="nil"/>
            </w:tcBorders>
            <w:shd w:val="clear" w:color="auto" w:fill="auto"/>
            <w:hideMark/>
          </w:tcPr>
          <w:p w14:paraId="0C6E5100" w14:textId="77777777" w:rsidR="009758B9" w:rsidRPr="001340AB" w:rsidRDefault="009758B9" w:rsidP="002C7240">
            <w:pPr>
              <w:spacing w:after="0" w:line="300" w:lineRule="auto"/>
              <w:rPr>
                <w:rFonts w:cs="Times New Roman"/>
                <w:szCs w:val="24"/>
              </w:rPr>
            </w:pPr>
          </w:p>
        </w:tc>
        <w:tc>
          <w:tcPr>
            <w:tcW w:w="1265" w:type="dxa"/>
            <w:tcBorders>
              <w:top w:val="nil"/>
              <w:left w:val="nil"/>
              <w:bottom w:val="nil"/>
              <w:right w:val="nil"/>
            </w:tcBorders>
            <w:shd w:val="clear" w:color="auto" w:fill="auto"/>
            <w:vAlign w:val="center"/>
            <w:hideMark/>
          </w:tcPr>
          <w:p w14:paraId="7F2618FB"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0.98</w:t>
            </w:r>
          </w:p>
        </w:tc>
        <w:tc>
          <w:tcPr>
            <w:tcW w:w="1566" w:type="dxa"/>
            <w:tcBorders>
              <w:top w:val="nil"/>
              <w:left w:val="nil"/>
              <w:bottom w:val="nil"/>
              <w:right w:val="nil"/>
            </w:tcBorders>
            <w:shd w:val="clear" w:color="auto" w:fill="auto"/>
            <w:vAlign w:val="center"/>
            <w:hideMark/>
          </w:tcPr>
          <w:p w14:paraId="739946EC"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(0.73, 1.31)</w:t>
            </w:r>
          </w:p>
        </w:tc>
      </w:tr>
      <w:tr w:rsidR="009758B9" w:rsidRPr="001340AB" w14:paraId="5E451EC7" w14:textId="77777777" w:rsidTr="002C7240">
        <w:trPr>
          <w:trHeight w:val="276"/>
        </w:trPr>
        <w:tc>
          <w:tcPr>
            <w:tcW w:w="4446" w:type="dxa"/>
            <w:tcBorders>
              <w:top w:val="nil"/>
              <w:left w:val="nil"/>
              <w:bottom w:val="single" w:sz="4" w:space="0" w:color="auto"/>
              <w:right w:val="nil"/>
            </w:tcBorders>
            <w:shd w:val="clear" w:color="auto" w:fill="auto"/>
            <w:vAlign w:val="center"/>
            <w:hideMark/>
          </w:tcPr>
          <w:p w14:paraId="4E0F9986" w14:textId="77777777" w:rsidR="009758B9" w:rsidRPr="001340AB" w:rsidRDefault="009758B9" w:rsidP="002C7240">
            <w:pPr>
              <w:spacing w:after="0" w:line="300" w:lineRule="auto"/>
              <w:rPr>
                <w:rFonts w:cs="Times New Roman"/>
                <w:color w:val="000000"/>
                <w:szCs w:val="24"/>
              </w:rPr>
            </w:pPr>
            <w:r w:rsidRPr="001340AB">
              <w:rPr>
                <w:rFonts w:cs="Times New Roman"/>
                <w:color w:val="000000"/>
                <w:szCs w:val="24"/>
              </w:rPr>
              <w:t>Any SGA delivery (yes/no)</w:t>
            </w:r>
          </w:p>
        </w:tc>
        <w:tc>
          <w:tcPr>
            <w:tcW w:w="1265" w:type="dxa"/>
            <w:tcBorders>
              <w:top w:val="nil"/>
              <w:left w:val="nil"/>
              <w:bottom w:val="single" w:sz="4" w:space="0" w:color="auto"/>
              <w:right w:val="nil"/>
            </w:tcBorders>
            <w:shd w:val="clear" w:color="auto" w:fill="auto"/>
            <w:hideMark/>
          </w:tcPr>
          <w:p w14:paraId="47817B0D"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1.46</w:t>
            </w:r>
          </w:p>
        </w:tc>
        <w:tc>
          <w:tcPr>
            <w:tcW w:w="1566" w:type="dxa"/>
            <w:tcBorders>
              <w:top w:val="nil"/>
              <w:left w:val="nil"/>
              <w:bottom w:val="single" w:sz="4" w:space="0" w:color="auto"/>
              <w:right w:val="nil"/>
            </w:tcBorders>
            <w:shd w:val="clear" w:color="auto" w:fill="auto"/>
            <w:hideMark/>
          </w:tcPr>
          <w:p w14:paraId="4D5A859A"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(1.18, 1.81)</w:t>
            </w:r>
          </w:p>
        </w:tc>
        <w:tc>
          <w:tcPr>
            <w:tcW w:w="1265" w:type="dxa"/>
            <w:tcBorders>
              <w:top w:val="nil"/>
              <w:left w:val="nil"/>
              <w:bottom w:val="single" w:sz="4" w:space="0" w:color="auto"/>
              <w:right w:val="nil"/>
            </w:tcBorders>
            <w:shd w:val="clear" w:color="auto" w:fill="auto"/>
            <w:hideMark/>
          </w:tcPr>
          <w:p w14:paraId="24C443A8" w14:textId="77777777" w:rsidR="009758B9" w:rsidRPr="001340AB" w:rsidRDefault="009758B9" w:rsidP="002C7240">
            <w:pPr>
              <w:spacing w:after="0" w:line="300" w:lineRule="auto"/>
              <w:rPr>
                <w:rFonts w:cs="Times New Roman"/>
                <w:color w:val="000000"/>
                <w:szCs w:val="24"/>
              </w:rPr>
            </w:pPr>
          </w:p>
        </w:tc>
        <w:tc>
          <w:tcPr>
            <w:tcW w:w="1566" w:type="dxa"/>
            <w:tcBorders>
              <w:top w:val="nil"/>
              <w:left w:val="nil"/>
              <w:bottom w:val="single" w:sz="4" w:space="0" w:color="auto"/>
              <w:right w:val="nil"/>
            </w:tcBorders>
            <w:shd w:val="clear" w:color="auto" w:fill="auto"/>
            <w:hideMark/>
          </w:tcPr>
          <w:p w14:paraId="18644E4A" w14:textId="77777777" w:rsidR="009758B9" w:rsidRPr="001340AB" w:rsidRDefault="009758B9" w:rsidP="002C7240">
            <w:pPr>
              <w:spacing w:after="0" w:line="300" w:lineRule="auto"/>
              <w:jc w:val="right"/>
              <w:rPr>
                <w:rFonts w:cs="Times New Roman"/>
                <w:color w:val="000000"/>
                <w:szCs w:val="24"/>
              </w:rPr>
            </w:pPr>
          </w:p>
        </w:tc>
        <w:tc>
          <w:tcPr>
            <w:tcW w:w="1265" w:type="dxa"/>
            <w:tcBorders>
              <w:top w:val="nil"/>
              <w:left w:val="nil"/>
              <w:bottom w:val="single" w:sz="4" w:space="0" w:color="auto"/>
              <w:right w:val="nil"/>
            </w:tcBorders>
            <w:shd w:val="clear" w:color="auto" w:fill="auto"/>
            <w:vAlign w:val="center"/>
            <w:hideMark/>
          </w:tcPr>
          <w:p w14:paraId="5B1C2095"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1.06</w:t>
            </w:r>
          </w:p>
        </w:tc>
        <w:tc>
          <w:tcPr>
            <w:tcW w:w="1566" w:type="dxa"/>
            <w:tcBorders>
              <w:top w:val="nil"/>
              <w:left w:val="nil"/>
              <w:bottom w:val="single" w:sz="4" w:space="0" w:color="auto"/>
              <w:right w:val="nil"/>
            </w:tcBorders>
            <w:shd w:val="clear" w:color="auto" w:fill="auto"/>
            <w:vAlign w:val="center"/>
            <w:hideMark/>
          </w:tcPr>
          <w:p w14:paraId="611ADAB4" w14:textId="77777777" w:rsidR="009758B9" w:rsidRPr="001340AB" w:rsidRDefault="009758B9" w:rsidP="002C7240">
            <w:pPr>
              <w:spacing w:after="0" w:line="300" w:lineRule="auto"/>
              <w:jc w:val="right"/>
              <w:rPr>
                <w:rFonts w:cs="Times New Roman"/>
                <w:color w:val="000000"/>
                <w:szCs w:val="24"/>
              </w:rPr>
            </w:pPr>
            <w:r w:rsidRPr="001340AB">
              <w:rPr>
                <w:rFonts w:eastAsiaTheme="minorEastAsia" w:cs="Times New Roman"/>
                <w:color w:val="000000" w:themeColor="text1"/>
                <w:kern w:val="24"/>
                <w:szCs w:val="24"/>
              </w:rPr>
              <w:t>(0.85, 1.32)</w:t>
            </w:r>
          </w:p>
        </w:tc>
      </w:tr>
    </w:tbl>
    <w:p w14:paraId="1CBAAE02" w14:textId="77777777" w:rsidR="009758B9" w:rsidRPr="001340AB" w:rsidRDefault="009758B9" w:rsidP="009758B9">
      <w:pPr>
        <w:spacing w:before="120" w:after="0"/>
        <w:rPr>
          <w:sz w:val="20"/>
        </w:rPr>
      </w:pPr>
      <w:r w:rsidRPr="001340AB">
        <w:rPr>
          <w:sz w:val="20"/>
          <w:vertAlign w:val="superscript"/>
        </w:rPr>
        <w:t>a</w:t>
      </w:r>
      <w:r w:rsidRPr="001340AB">
        <w:rPr>
          <w:sz w:val="20"/>
        </w:rPr>
        <w:t xml:space="preserve"> Low HDL-cholesterol: &lt; 1.3 mmol/L</w:t>
      </w:r>
    </w:p>
    <w:p w14:paraId="40B243EA" w14:textId="77777777" w:rsidR="009758B9" w:rsidRPr="001340AB" w:rsidRDefault="009758B9" w:rsidP="009758B9">
      <w:pPr>
        <w:spacing w:after="0"/>
        <w:rPr>
          <w:sz w:val="20"/>
        </w:rPr>
      </w:pPr>
      <w:r w:rsidRPr="001340AB">
        <w:rPr>
          <w:sz w:val="20"/>
          <w:vertAlign w:val="superscript"/>
        </w:rPr>
        <w:t>b</w:t>
      </w:r>
      <w:r w:rsidRPr="001340AB">
        <w:rPr>
          <w:sz w:val="20"/>
        </w:rPr>
        <w:t xml:space="preserve"> First degree family member suffered MI before the age of 60 years</w:t>
      </w:r>
    </w:p>
    <w:p w14:paraId="11E442E6" w14:textId="77777777" w:rsidR="009758B9" w:rsidRPr="001340AB" w:rsidRDefault="009758B9" w:rsidP="009758B9">
      <w:pPr>
        <w:spacing w:after="0"/>
        <w:rPr>
          <w:sz w:val="20"/>
        </w:rPr>
      </w:pPr>
      <w:r w:rsidRPr="001340AB">
        <w:rPr>
          <w:sz w:val="20"/>
          <w:vertAlign w:val="superscript"/>
        </w:rPr>
        <w:t>c</w:t>
      </w:r>
      <w:r w:rsidRPr="001340AB">
        <w:rPr>
          <w:sz w:val="20"/>
        </w:rPr>
        <w:t xml:space="preserve"> CVD-specific hazard ratio from Fine and Gray competing risk model</w:t>
      </w:r>
    </w:p>
    <w:p w14:paraId="7CE731B1" w14:textId="77777777" w:rsidR="009758B9" w:rsidRPr="001340AB" w:rsidRDefault="009758B9" w:rsidP="009758B9">
      <w:pPr>
        <w:spacing w:after="0"/>
        <w:rPr>
          <w:sz w:val="20"/>
        </w:rPr>
      </w:pPr>
      <w:r w:rsidRPr="001340AB">
        <w:rPr>
          <w:sz w:val="20"/>
          <w:szCs w:val="20"/>
          <w:vertAlign w:val="superscript"/>
        </w:rPr>
        <w:t>d</w:t>
      </w:r>
      <w:r w:rsidRPr="001340AB">
        <w:rPr>
          <w:sz w:val="20"/>
          <w:szCs w:val="20"/>
        </w:rPr>
        <w:t xml:space="preserve"> </w:t>
      </w:r>
      <w:r w:rsidRPr="001340AB">
        <w:rPr>
          <w:sz w:val="20"/>
        </w:rPr>
        <w:t>Wald test for joint significance of all four pregnancy complications:</w:t>
      </w:r>
      <w:r w:rsidRPr="001340AB">
        <w:rPr>
          <w:rFonts w:eastAsiaTheme="minorEastAsia"/>
        </w:rPr>
        <w:t xml:space="preserve"> </w:t>
      </w:r>
      <w:r w:rsidRPr="001340AB">
        <w:rPr>
          <w:sz w:val="20"/>
        </w:rPr>
        <w:t>p-value=0.04</w:t>
      </w:r>
    </w:p>
    <w:p w14:paraId="4C6A3FB9" w14:textId="77777777" w:rsidR="009758B9" w:rsidRPr="001340AB" w:rsidRDefault="009758B9" w:rsidP="009758B9">
      <w:pPr>
        <w:spacing w:after="0"/>
        <w:sectPr w:rsidR="009758B9" w:rsidRPr="001340AB" w:rsidSect="008F2AA6">
          <w:pgSz w:w="15840" w:h="12240" w:orient="landscape"/>
          <w:pgMar w:top="1440" w:right="1440" w:bottom="1440" w:left="1440" w:header="720" w:footer="720" w:gutter="0"/>
          <w:cols w:space="720"/>
          <w:docGrid w:linePitch="360"/>
        </w:sectPr>
      </w:pPr>
      <w:r w:rsidRPr="001340AB">
        <w:rPr>
          <w:sz w:val="20"/>
        </w:rPr>
        <w:t>HR = hazard ratio; CI = confidence interval; HDL-C=high-density lipoprotein cholesterol; MI=myocardial infarction; HTN = hypertension; SGA=small for gestational age</w:t>
      </w:r>
    </w:p>
    <w:p w14:paraId="231B6FC1" w14:textId="77777777" w:rsidR="009758B9" w:rsidRPr="001340AB" w:rsidRDefault="009758B9" w:rsidP="009758B9">
      <w:pPr>
        <w:pStyle w:val="Table"/>
      </w:pPr>
      <w:r w:rsidRPr="001340AB">
        <w:rPr>
          <w:b/>
        </w:rPr>
        <w:lastRenderedPageBreak/>
        <w:t>Table 3.</w:t>
      </w:r>
      <w:r w:rsidRPr="001340AB">
        <w:t xml:space="preserve"> Discrimination statistics comparing models with and without pregnancy complication history</w:t>
      </w:r>
    </w:p>
    <w:tbl>
      <w:tblPr>
        <w:tblpPr w:leftFromText="187" w:rightFromText="187" w:vertAnchor="text" w:horzAnchor="margin" w:tblpXSpec="center" w:tblpY="1"/>
        <w:tblOverlap w:val="never"/>
        <w:tblW w:w="12693" w:type="dxa"/>
        <w:tblLook w:val="04A0" w:firstRow="1" w:lastRow="0" w:firstColumn="1" w:lastColumn="0" w:noHBand="0" w:noVBand="1"/>
      </w:tblPr>
      <w:tblGrid>
        <w:gridCol w:w="6806"/>
        <w:gridCol w:w="1177"/>
        <w:gridCol w:w="2458"/>
        <w:gridCol w:w="2252"/>
      </w:tblGrid>
      <w:tr w:rsidR="009758B9" w:rsidRPr="001340AB" w14:paraId="6E2492A5" w14:textId="77777777" w:rsidTr="002C7240">
        <w:trPr>
          <w:trHeight w:val="1255"/>
        </w:trPr>
        <w:tc>
          <w:tcPr>
            <w:tcW w:w="0" w:type="auto"/>
            <w:tcBorders>
              <w:top w:val="single" w:sz="4" w:space="0" w:color="auto"/>
              <w:left w:val="nil"/>
              <w:bottom w:val="single" w:sz="4" w:space="0" w:color="auto"/>
              <w:right w:val="nil"/>
            </w:tcBorders>
            <w:shd w:val="clear" w:color="auto" w:fill="auto"/>
            <w:noWrap/>
            <w:vAlign w:val="bottom"/>
            <w:hideMark/>
          </w:tcPr>
          <w:p w14:paraId="6E9B06E4" w14:textId="77777777" w:rsidR="009758B9" w:rsidRPr="001340AB" w:rsidRDefault="009758B9" w:rsidP="002C7240">
            <w:pPr>
              <w:spacing w:before="120" w:after="0" w:line="300" w:lineRule="auto"/>
              <w:rPr>
                <w:color w:val="000000"/>
                <w:szCs w:val="24"/>
              </w:rPr>
            </w:pPr>
            <w:r w:rsidRPr="001340AB">
              <w:rPr>
                <w:color w:val="000000"/>
                <w:szCs w:val="24"/>
              </w:rPr>
              <w:t>Model</w:t>
            </w:r>
          </w:p>
        </w:tc>
        <w:tc>
          <w:tcPr>
            <w:tcW w:w="1177" w:type="dxa"/>
            <w:tcBorders>
              <w:top w:val="single" w:sz="4" w:space="0" w:color="auto"/>
              <w:left w:val="nil"/>
              <w:bottom w:val="single" w:sz="4" w:space="0" w:color="auto"/>
              <w:right w:val="nil"/>
            </w:tcBorders>
            <w:shd w:val="clear" w:color="auto" w:fill="auto"/>
            <w:vAlign w:val="bottom"/>
            <w:hideMark/>
          </w:tcPr>
          <w:p w14:paraId="4C64597B" w14:textId="77777777" w:rsidR="009758B9" w:rsidRPr="001340AB" w:rsidRDefault="009758B9" w:rsidP="002C7240">
            <w:pPr>
              <w:spacing w:before="120" w:after="0" w:line="300" w:lineRule="auto"/>
              <w:jc w:val="center"/>
              <w:rPr>
                <w:color w:val="000000"/>
                <w:szCs w:val="24"/>
              </w:rPr>
            </w:pPr>
            <w:r w:rsidRPr="001340AB">
              <w:rPr>
                <w:color w:val="000000"/>
                <w:szCs w:val="24"/>
              </w:rPr>
              <w:t>C-Index</w:t>
            </w:r>
          </w:p>
        </w:tc>
        <w:tc>
          <w:tcPr>
            <w:tcW w:w="2458" w:type="dxa"/>
            <w:tcBorders>
              <w:top w:val="single" w:sz="4" w:space="0" w:color="auto"/>
              <w:left w:val="nil"/>
              <w:bottom w:val="single" w:sz="4" w:space="0" w:color="auto"/>
              <w:right w:val="nil"/>
            </w:tcBorders>
            <w:shd w:val="clear" w:color="auto" w:fill="auto"/>
            <w:vAlign w:val="bottom"/>
            <w:hideMark/>
          </w:tcPr>
          <w:p w14:paraId="40C998E1" w14:textId="77777777" w:rsidR="009758B9" w:rsidRPr="001340AB" w:rsidRDefault="009758B9" w:rsidP="002C7240">
            <w:pPr>
              <w:spacing w:before="120" w:after="0" w:line="300" w:lineRule="auto"/>
              <w:jc w:val="center"/>
              <w:rPr>
                <w:color w:val="000000"/>
                <w:szCs w:val="24"/>
              </w:rPr>
            </w:pPr>
            <w:r w:rsidRPr="001340AB">
              <w:rPr>
                <w:color w:val="000000"/>
                <w:szCs w:val="24"/>
              </w:rPr>
              <w:t>C-Index Difference from Established CVD Risk Factor Model</w:t>
            </w:r>
          </w:p>
        </w:tc>
        <w:tc>
          <w:tcPr>
            <w:tcW w:w="2252" w:type="dxa"/>
            <w:tcBorders>
              <w:top w:val="single" w:sz="4" w:space="0" w:color="auto"/>
              <w:left w:val="nil"/>
              <w:bottom w:val="single" w:sz="4" w:space="0" w:color="auto"/>
              <w:right w:val="nil"/>
            </w:tcBorders>
            <w:shd w:val="clear" w:color="auto" w:fill="auto"/>
            <w:vAlign w:val="bottom"/>
            <w:hideMark/>
          </w:tcPr>
          <w:p w14:paraId="10FAB75F" w14:textId="77777777" w:rsidR="009758B9" w:rsidRPr="001340AB" w:rsidRDefault="009758B9" w:rsidP="002C7240">
            <w:pPr>
              <w:spacing w:after="0" w:line="300" w:lineRule="auto"/>
              <w:jc w:val="center"/>
              <w:rPr>
                <w:color w:val="000000"/>
                <w:szCs w:val="24"/>
              </w:rPr>
            </w:pPr>
            <w:r w:rsidRPr="001340AB">
              <w:rPr>
                <w:color w:val="000000"/>
                <w:szCs w:val="24"/>
              </w:rPr>
              <w:t xml:space="preserve">95% CI for </w:t>
            </w:r>
          </w:p>
          <w:p w14:paraId="7D5983DC" w14:textId="77777777" w:rsidR="009758B9" w:rsidRPr="001340AB" w:rsidRDefault="009758B9" w:rsidP="002C7240">
            <w:pPr>
              <w:spacing w:after="0" w:line="300" w:lineRule="auto"/>
              <w:jc w:val="center"/>
              <w:rPr>
                <w:color w:val="000000"/>
                <w:szCs w:val="24"/>
              </w:rPr>
            </w:pPr>
            <w:r w:rsidRPr="001340AB">
              <w:rPr>
                <w:color w:val="000000"/>
                <w:szCs w:val="24"/>
              </w:rPr>
              <w:t xml:space="preserve">C-Index Difference </w:t>
            </w:r>
          </w:p>
        </w:tc>
      </w:tr>
      <w:tr w:rsidR="009758B9" w:rsidRPr="001340AB" w14:paraId="7169FCFD" w14:textId="77777777" w:rsidTr="002C7240">
        <w:trPr>
          <w:trHeight w:val="313"/>
        </w:trPr>
        <w:tc>
          <w:tcPr>
            <w:tcW w:w="0" w:type="auto"/>
            <w:tcBorders>
              <w:top w:val="nil"/>
              <w:left w:val="nil"/>
              <w:bottom w:val="nil"/>
              <w:right w:val="nil"/>
            </w:tcBorders>
            <w:shd w:val="clear" w:color="auto" w:fill="auto"/>
            <w:noWrap/>
            <w:vAlign w:val="bottom"/>
            <w:hideMark/>
          </w:tcPr>
          <w:p w14:paraId="0C1AAA5F" w14:textId="77777777" w:rsidR="009758B9" w:rsidRPr="001340AB" w:rsidRDefault="009758B9" w:rsidP="002C7240">
            <w:pPr>
              <w:spacing w:before="120" w:after="0" w:line="300" w:lineRule="auto"/>
              <w:rPr>
                <w:color w:val="000000"/>
                <w:szCs w:val="24"/>
              </w:rPr>
            </w:pPr>
            <w:r w:rsidRPr="001340AB">
              <w:rPr>
                <w:color w:val="000000"/>
                <w:szCs w:val="24"/>
              </w:rPr>
              <w:t>Established CVD risk factors</w:t>
            </w:r>
          </w:p>
        </w:tc>
        <w:tc>
          <w:tcPr>
            <w:tcW w:w="1177" w:type="dxa"/>
            <w:tcBorders>
              <w:top w:val="nil"/>
              <w:left w:val="nil"/>
              <w:bottom w:val="nil"/>
              <w:right w:val="nil"/>
            </w:tcBorders>
            <w:shd w:val="clear" w:color="auto" w:fill="auto"/>
            <w:noWrap/>
            <w:vAlign w:val="bottom"/>
            <w:hideMark/>
          </w:tcPr>
          <w:p w14:paraId="7606BDAC" w14:textId="77777777" w:rsidR="009758B9" w:rsidRPr="001340AB" w:rsidRDefault="009758B9" w:rsidP="002C7240">
            <w:pPr>
              <w:spacing w:before="120" w:after="0" w:line="300" w:lineRule="auto"/>
              <w:jc w:val="right"/>
              <w:rPr>
                <w:color w:val="000000"/>
                <w:szCs w:val="24"/>
              </w:rPr>
            </w:pPr>
            <w:r w:rsidRPr="001340AB">
              <w:rPr>
                <w:color w:val="000000"/>
                <w:szCs w:val="24"/>
              </w:rPr>
              <w:t>0.789</w:t>
            </w:r>
          </w:p>
        </w:tc>
        <w:tc>
          <w:tcPr>
            <w:tcW w:w="2458" w:type="dxa"/>
            <w:tcBorders>
              <w:top w:val="nil"/>
              <w:left w:val="nil"/>
              <w:bottom w:val="nil"/>
              <w:right w:val="nil"/>
            </w:tcBorders>
            <w:shd w:val="clear" w:color="auto" w:fill="auto"/>
            <w:noWrap/>
            <w:vAlign w:val="bottom"/>
            <w:hideMark/>
          </w:tcPr>
          <w:p w14:paraId="7BA77467" w14:textId="77777777" w:rsidR="009758B9" w:rsidRPr="001340AB" w:rsidRDefault="009758B9" w:rsidP="002C7240">
            <w:pPr>
              <w:spacing w:before="120" w:after="0" w:line="300" w:lineRule="auto"/>
              <w:jc w:val="right"/>
              <w:rPr>
                <w:color w:val="000000"/>
                <w:szCs w:val="24"/>
              </w:rPr>
            </w:pPr>
          </w:p>
        </w:tc>
        <w:tc>
          <w:tcPr>
            <w:tcW w:w="2252" w:type="dxa"/>
            <w:tcBorders>
              <w:top w:val="nil"/>
              <w:left w:val="nil"/>
              <w:bottom w:val="nil"/>
              <w:right w:val="nil"/>
            </w:tcBorders>
            <w:shd w:val="clear" w:color="auto" w:fill="auto"/>
            <w:noWrap/>
            <w:vAlign w:val="bottom"/>
            <w:hideMark/>
          </w:tcPr>
          <w:p w14:paraId="62299C9C" w14:textId="77777777" w:rsidR="009758B9" w:rsidRPr="001340AB" w:rsidRDefault="009758B9" w:rsidP="002C7240">
            <w:pPr>
              <w:spacing w:before="120" w:after="0" w:line="300" w:lineRule="auto"/>
              <w:rPr>
                <w:szCs w:val="24"/>
              </w:rPr>
            </w:pPr>
          </w:p>
        </w:tc>
      </w:tr>
      <w:tr w:rsidR="009758B9" w:rsidRPr="001340AB" w14:paraId="7027989E" w14:textId="77777777" w:rsidTr="002C7240">
        <w:trPr>
          <w:trHeight w:val="313"/>
        </w:trPr>
        <w:tc>
          <w:tcPr>
            <w:tcW w:w="0" w:type="auto"/>
            <w:tcBorders>
              <w:top w:val="nil"/>
              <w:left w:val="nil"/>
              <w:bottom w:val="nil"/>
              <w:right w:val="nil"/>
            </w:tcBorders>
            <w:shd w:val="clear" w:color="auto" w:fill="auto"/>
            <w:noWrap/>
            <w:vAlign w:val="bottom"/>
            <w:hideMark/>
          </w:tcPr>
          <w:p w14:paraId="0A1B5A78" w14:textId="77777777" w:rsidR="009758B9" w:rsidRPr="001340AB" w:rsidRDefault="009758B9" w:rsidP="002C7240">
            <w:pPr>
              <w:spacing w:after="0" w:line="300" w:lineRule="auto"/>
              <w:rPr>
                <w:color w:val="000000"/>
                <w:szCs w:val="24"/>
              </w:rPr>
            </w:pPr>
            <w:r w:rsidRPr="001340AB">
              <w:rPr>
                <w:color w:val="000000"/>
                <w:szCs w:val="24"/>
              </w:rPr>
              <w:t>Established CVD risk factors + preeclampsia in any pregnancy</w:t>
            </w:r>
          </w:p>
        </w:tc>
        <w:tc>
          <w:tcPr>
            <w:tcW w:w="1177" w:type="dxa"/>
            <w:tcBorders>
              <w:top w:val="nil"/>
              <w:left w:val="nil"/>
              <w:bottom w:val="nil"/>
              <w:right w:val="nil"/>
            </w:tcBorders>
            <w:shd w:val="clear" w:color="auto" w:fill="auto"/>
            <w:noWrap/>
            <w:vAlign w:val="bottom"/>
            <w:hideMark/>
          </w:tcPr>
          <w:p w14:paraId="566A5814" w14:textId="77777777" w:rsidR="009758B9" w:rsidRPr="001340AB" w:rsidRDefault="009758B9" w:rsidP="002C7240">
            <w:pPr>
              <w:spacing w:after="0" w:line="300" w:lineRule="auto"/>
              <w:jc w:val="right"/>
              <w:rPr>
                <w:color w:val="000000"/>
                <w:szCs w:val="24"/>
              </w:rPr>
            </w:pPr>
            <w:r w:rsidRPr="001340AB">
              <w:rPr>
                <w:color w:val="000000"/>
                <w:szCs w:val="24"/>
              </w:rPr>
              <w:t>0.792</w:t>
            </w:r>
          </w:p>
        </w:tc>
        <w:tc>
          <w:tcPr>
            <w:tcW w:w="2458" w:type="dxa"/>
            <w:tcBorders>
              <w:top w:val="nil"/>
              <w:left w:val="nil"/>
              <w:bottom w:val="nil"/>
              <w:right w:val="nil"/>
            </w:tcBorders>
            <w:shd w:val="clear" w:color="auto" w:fill="auto"/>
            <w:noWrap/>
            <w:vAlign w:val="bottom"/>
            <w:hideMark/>
          </w:tcPr>
          <w:p w14:paraId="48C1D0BB" w14:textId="77777777" w:rsidR="009758B9" w:rsidRPr="001340AB" w:rsidRDefault="009758B9" w:rsidP="002C7240">
            <w:pPr>
              <w:spacing w:after="0" w:line="300" w:lineRule="auto"/>
              <w:jc w:val="right"/>
              <w:rPr>
                <w:color w:val="000000"/>
                <w:szCs w:val="24"/>
              </w:rPr>
            </w:pPr>
            <w:r w:rsidRPr="001340AB">
              <w:rPr>
                <w:color w:val="000000"/>
                <w:szCs w:val="24"/>
              </w:rPr>
              <w:t>0.003</w:t>
            </w:r>
          </w:p>
        </w:tc>
        <w:tc>
          <w:tcPr>
            <w:tcW w:w="2252" w:type="dxa"/>
            <w:tcBorders>
              <w:top w:val="nil"/>
              <w:left w:val="nil"/>
              <w:bottom w:val="nil"/>
              <w:right w:val="nil"/>
            </w:tcBorders>
            <w:shd w:val="clear" w:color="auto" w:fill="auto"/>
            <w:noWrap/>
            <w:vAlign w:val="bottom"/>
            <w:hideMark/>
          </w:tcPr>
          <w:p w14:paraId="4E716B20" w14:textId="77777777" w:rsidR="009758B9" w:rsidRPr="001340AB" w:rsidRDefault="009758B9" w:rsidP="002C7240">
            <w:pPr>
              <w:spacing w:after="0" w:line="300" w:lineRule="auto"/>
              <w:jc w:val="center"/>
              <w:rPr>
                <w:color w:val="000000"/>
                <w:szCs w:val="24"/>
              </w:rPr>
            </w:pPr>
            <w:r w:rsidRPr="001340AB">
              <w:rPr>
                <w:color w:val="000000"/>
                <w:szCs w:val="24"/>
              </w:rPr>
              <w:t>(0.001, 0.005)</w:t>
            </w:r>
          </w:p>
        </w:tc>
      </w:tr>
      <w:tr w:rsidR="009758B9" w:rsidRPr="001340AB" w14:paraId="0DDB9936" w14:textId="77777777" w:rsidTr="002C7240">
        <w:trPr>
          <w:trHeight w:val="313"/>
        </w:trPr>
        <w:tc>
          <w:tcPr>
            <w:tcW w:w="0" w:type="auto"/>
            <w:tcBorders>
              <w:top w:val="nil"/>
              <w:left w:val="nil"/>
              <w:bottom w:val="nil"/>
              <w:right w:val="nil"/>
            </w:tcBorders>
            <w:shd w:val="clear" w:color="auto" w:fill="auto"/>
            <w:noWrap/>
            <w:vAlign w:val="bottom"/>
          </w:tcPr>
          <w:p w14:paraId="3A16D81D" w14:textId="77777777" w:rsidR="009758B9" w:rsidRPr="001340AB" w:rsidRDefault="009758B9" w:rsidP="002C7240">
            <w:pPr>
              <w:spacing w:after="0" w:line="300" w:lineRule="auto"/>
              <w:rPr>
                <w:color w:val="000000"/>
                <w:szCs w:val="24"/>
              </w:rPr>
            </w:pPr>
            <w:r w:rsidRPr="001340AB">
              <w:rPr>
                <w:color w:val="000000"/>
                <w:szCs w:val="24"/>
              </w:rPr>
              <w:t>Established CVD risk factors + gestational HTN in any pregnancy</w:t>
            </w:r>
          </w:p>
        </w:tc>
        <w:tc>
          <w:tcPr>
            <w:tcW w:w="1177" w:type="dxa"/>
            <w:tcBorders>
              <w:top w:val="nil"/>
              <w:left w:val="nil"/>
              <w:bottom w:val="nil"/>
              <w:right w:val="nil"/>
            </w:tcBorders>
            <w:shd w:val="clear" w:color="auto" w:fill="auto"/>
            <w:noWrap/>
            <w:vAlign w:val="bottom"/>
          </w:tcPr>
          <w:p w14:paraId="196DADF9" w14:textId="77777777" w:rsidR="009758B9" w:rsidRPr="001340AB" w:rsidRDefault="009758B9" w:rsidP="002C7240">
            <w:pPr>
              <w:spacing w:after="0" w:line="300" w:lineRule="auto"/>
              <w:jc w:val="right"/>
              <w:rPr>
                <w:color w:val="000000"/>
                <w:szCs w:val="24"/>
              </w:rPr>
            </w:pPr>
            <w:r w:rsidRPr="001340AB">
              <w:rPr>
                <w:color w:val="000000"/>
                <w:szCs w:val="24"/>
              </w:rPr>
              <w:t>0.790</w:t>
            </w:r>
          </w:p>
        </w:tc>
        <w:tc>
          <w:tcPr>
            <w:tcW w:w="2458" w:type="dxa"/>
            <w:tcBorders>
              <w:top w:val="nil"/>
              <w:left w:val="nil"/>
              <w:bottom w:val="nil"/>
              <w:right w:val="nil"/>
            </w:tcBorders>
            <w:shd w:val="clear" w:color="auto" w:fill="auto"/>
            <w:noWrap/>
            <w:vAlign w:val="bottom"/>
          </w:tcPr>
          <w:p w14:paraId="1FB7F057" w14:textId="77777777" w:rsidR="009758B9" w:rsidRPr="001340AB" w:rsidRDefault="009758B9" w:rsidP="002C7240">
            <w:pPr>
              <w:spacing w:after="0" w:line="300" w:lineRule="auto"/>
              <w:jc w:val="right"/>
              <w:rPr>
                <w:color w:val="000000"/>
                <w:szCs w:val="24"/>
              </w:rPr>
            </w:pPr>
            <w:r w:rsidRPr="001340AB">
              <w:rPr>
                <w:color w:val="000000"/>
                <w:szCs w:val="24"/>
              </w:rPr>
              <w:t>0.0006</w:t>
            </w:r>
          </w:p>
        </w:tc>
        <w:tc>
          <w:tcPr>
            <w:tcW w:w="2252" w:type="dxa"/>
            <w:tcBorders>
              <w:top w:val="nil"/>
              <w:left w:val="nil"/>
              <w:bottom w:val="nil"/>
              <w:right w:val="nil"/>
            </w:tcBorders>
            <w:shd w:val="clear" w:color="auto" w:fill="auto"/>
            <w:noWrap/>
            <w:vAlign w:val="bottom"/>
          </w:tcPr>
          <w:p w14:paraId="6E8C0D00" w14:textId="77777777" w:rsidR="009758B9" w:rsidRPr="001340AB" w:rsidRDefault="009758B9" w:rsidP="002C7240">
            <w:pPr>
              <w:spacing w:after="0" w:line="300" w:lineRule="auto"/>
              <w:jc w:val="center"/>
              <w:rPr>
                <w:color w:val="000000"/>
                <w:szCs w:val="24"/>
              </w:rPr>
            </w:pPr>
            <w:r w:rsidRPr="001340AB">
              <w:rPr>
                <w:color w:val="000000"/>
                <w:szCs w:val="24"/>
              </w:rPr>
              <w:t>(-0.0004, 0.001)</w:t>
            </w:r>
          </w:p>
        </w:tc>
      </w:tr>
      <w:tr w:rsidR="009758B9" w:rsidRPr="001340AB" w14:paraId="608F0118" w14:textId="77777777" w:rsidTr="002C7240">
        <w:trPr>
          <w:trHeight w:val="313"/>
        </w:trPr>
        <w:tc>
          <w:tcPr>
            <w:tcW w:w="0" w:type="auto"/>
            <w:tcBorders>
              <w:top w:val="nil"/>
              <w:left w:val="nil"/>
              <w:bottom w:val="nil"/>
              <w:right w:val="nil"/>
            </w:tcBorders>
            <w:shd w:val="clear" w:color="auto" w:fill="auto"/>
            <w:noWrap/>
            <w:vAlign w:val="bottom"/>
            <w:hideMark/>
          </w:tcPr>
          <w:p w14:paraId="3C9168C9" w14:textId="77777777" w:rsidR="009758B9" w:rsidRPr="001340AB" w:rsidRDefault="009758B9" w:rsidP="002C7240">
            <w:pPr>
              <w:spacing w:after="0" w:line="300" w:lineRule="auto"/>
              <w:rPr>
                <w:color w:val="000000"/>
                <w:szCs w:val="24"/>
              </w:rPr>
            </w:pPr>
            <w:r w:rsidRPr="001340AB">
              <w:rPr>
                <w:color w:val="000000"/>
                <w:szCs w:val="24"/>
              </w:rPr>
              <w:t>Established CVD risk factors + any preterm delivery</w:t>
            </w:r>
          </w:p>
        </w:tc>
        <w:tc>
          <w:tcPr>
            <w:tcW w:w="1177" w:type="dxa"/>
            <w:tcBorders>
              <w:top w:val="nil"/>
              <w:left w:val="nil"/>
              <w:bottom w:val="nil"/>
              <w:right w:val="nil"/>
            </w:tcBorders>
            <w:shd w:val="clear" w:color="auto" w:fill="auto"/>
            <w:noWrap/>
            <w:vAlign w:val="bottom"/>
            <w:hideMark/>
          </w:tcPr>
          <w:p w14:paraId="316DBB64" w14:textId="77777777" w:rsidR="009758B9" w:rsidRPr="001340AB" w:rsidRDefault="009758B9" w:rsidP="002C7240">
            <w:pPr>
              <w:spacing w:after="0" w:line="300" w:lineRule="auto"/>
              <w:jc w:val="right"/>
              <w:rPr>
                <w:color w:val="000000"/>
                <w:szCs w:val="24"/>
              </w:rPr>
            </w:pPr>
            <w:r w:rsidRPr="001340AB">
              <w:rPr>
                <w:color w:val="000000"/>
                <w:szCs w:val="24"/>
              </w:rPr>
              <w:t>0.789</w:t>
            </w:r>
          </w:p>
        </w:tc>
        <w:tc>
          <w:tcPr>
            <w:tcW w:w="2458" w:type="dxa"/>
            <w:tcBorders>
              <w:top w:val="nil"/>
              <w:left w:val="nil"/>
              <w:bottom w:val="nil"/>
              <w:right w:val="nil"/>
            </w:tcBorders>
            <w:shd w:val="clear" w:color="auto" w:fill="auto"/>
            <w:noWrap/>
            <w:vAlign w:val="bottom"/>
            <w:hideMark/>
          </w:tcPr>
          <w:p w14:paraId="59BAB309" w14:textId="77777777" w:rsidR="009758B9" w:rsidRPr="001340AB" w:rsidRDefault="009758B9" w:rsidP="002C7240">
            <w:pPr>
              <w:spacing w:after="0" w:line="300" w:lineRule="auto"/>
              <w:jc w:val="right"/>
              <w:rPr>
                <w:color w:val="000000"/>
                <w:szCs w:val="24"/>
              </w:rPr>
            </w:pPr>
            <w:r w:rsidRPr="001340AB">
              <w:rPr>
                <w:color w:val="000000"/>
                <w:szCs w:val="24"/>
              </w:rPr>
              <w:t>0.0002</w:t>
            </w:r>
          </w:p>
        </w:tc>
        <w:tc>
          <w:tcPr>
            <w:tcW w:w="2252" w:type="dxa"/>
            <w:tcBorders>
              <w:top w:val="nil"/>
              <w:left w:val="nil"/>
              <w:bottom w:val="nil"/>
              <w:right w:val="nil"/>
            </w:tcBorders>
            <w:shd w:val="clear" w:color="auto" w:fill="auto"/>
            <w:noWrap/>
            <w:vAlign w:val="bottom"/>
            <w:hideMark/>
          </w:tcPr>
          <w:p w14:paraId="6A733396" w14:textId="77777777" w:rsidR="009758B9" w:rsidRPr="001340AB" w:rsidRDefault="009758B9" w:rsidP="002C7240">
            <w:pPr>
              <w:spacing w:after="0" w:line="300" w:lineRule="auto"/>
              <w:jc w:val="center"/>
              <w:rPr>
                <w:color w:val="000000"/>
                <w:szCs w:val="24"/>
              </w:rPr>
            </w:pPr>
            <w:r w:rsidRPr="001340AB">
              <w:rPr>
                <w:color w:val="000000"/>
                <w:szCs w:val="24"/>
              </w:rPr>
              <w:t>(0.0001, 0.0002)</w:t>
            </w:r>
          </w:p>
        </w:tc>
      </w:tr>
      <w:tr w:rsidR="009758B9" w:rsidRPr="001340AB" w14:paraId="5CC9278A" w14:textId="77777777" w:rsidTr="002C7240">
        <w:trPr>
          <w:trHeight w:val="313"/>
        </w:trPr>
        <w:tc>
          <w:tcPr>
            <w:tcW w:w="0" w:type="auto"/>
            <w:tcBorders>
              <w:top w:val="nil"/>
              <w:left w:val="nil"/>
              <w:bottom w:val="nil"/>
              <w:right w:val="nil"/>
            </w:tcBorders>
            <w:shd w:val="clear" w:color="auto" w:fill="auto"/>
            <w:noWrap/>
            <w:vAlign w:val="bottom"/>
            <w:hideMark/>
          </w:tcPr>
          <w:p w14:paraId="6929DC5E" w14:textId="77777777" w:rsidR="009758B9" w:rsidRPr="001340AB" w:rsidRDefault="009758B9" w:rsidP="002C7240">
            <w:pPr>
              <w:spacing w:after="0" w:line="300" w:lineRule="auto"/>
              <w:rPr>
                <w:color w:val="000000"/>
                <w:szCs w:val="24"/>
              </w:rPr>
            </w:pPr>
            <w:r w:rsidRPr="001340AB">
              <w:rPr>
                <w:color w:val="000000"/>
                <w:szCs w:val="24"/>
              </w:rPr>
              <w:t>Established CVD risk factors + any SGA delivery</w:t>
            </w:r>
          </w:p>
        </w:tc>
        <w:tc>
          <w:tcPr>
            <w:tcW w:w="1177" w:type="dxa"/>
            <w:tcBorders>
              <w:top w:val="nil"/>
              <w:left w:val="nil"/>
              <w:bottom w:val="nil"/>
              <w:right w:val="nil"/>
            </w:tcBorders>
            <w:shd w:val="clear" w:color="auto" w:fill="auto"/>
            <w:noWrap/>
            <w:vAlign w:val="bottom"/>
            <w:hideMark/>
          </w:tcPr>
          <w:p w14:paraId="05F7FC83" w14:textId="77777777" w:rsidR="009758B9" w:rsidRPr="001340AB" w:rsidRDefault="009758B9" w:rsidP="002C7240">
            <w:pPr>
              <w:spacing w:after="0" w:line="300" w:lineRule="auto"/>
              <w:jc w:val="right"/>
              <w:rPr>
                <w:color w:val="000000"/>
                <w:szCs w:val="24"/>
              </w:rPr>
            </w:pPr>
            <w:r w:rsidRPr="001340AB">
              <w:rPr>
                <w:color w:val="000000"/>
                <w:szCs w:val="24"/>
              </w:rPr>
              <w:t>0.790</w:t>
            </w:r>
          </w:p>
        </w:tc>
        <w:tc>
          <w:tcPr>
            <w:tcW w:w="2458" w:type="dxa"/>
            <w:tcBorders>
              <w:top w:val="nil"/>
              <w:left w:val="nil"/>
              <w:bottom w:val="nil"/>
              <w:right w:val="nil"/>
            </w:tcBorders>
            <w:shd w:val="clear" w:color="auto" w:fill="auto"/>
            <w:noWrap/>
            <w:vAlign w:val="bottom"/>
            <w:hideMark/>
          </w:tcPr>
          <w:p w14:paraId="159ED275" w14:textId="77777777" w:rsidR="009758B9" w:rsidRPr="001340AB" w:rsidRDefault="009758B9" w:rsidP="002C7240">
            <w:pPr>
              <w:spacing w:after="0" w:line="300" w:lineRule="auto"/>
              <w:jc w:val="right"/>
              <w:rPr>
                <w:color w:val="000000"/>
                <w:szCs w:val="24"/>
              </w:rPr>
            </w:pPr>
            <w:r w:rsidRPr="001340AB">
              <w:rPr>
                <w:color w:val="000000"/>
                <w:szCs w:val="24"/>
              </w:rPr>
              <w:t>0.0003</w:t>
            </w:r>
          </w:p>
        </w:tc>
        <w:tc>
          <w:tcPr>
            <w:tcW w:w="2252" w:type="dxa"/>
            <w:tcBorders>
              <w:top w:val="nil"/>
              <w:left w:val="nil"/>
              <w:bottom w:val="nil"/>
              <w:right w:val="nil"/>
            </w:tcBorders>
            <w:shd w:val="clear" w:color="auto" w:fill="auto"/>
            <w:vAlign w:val="center"/>
            <w:hideMark/>
          </w:tcPr>
          <w:p w14:paraId="08FC9412" w14:textId="77777777" w:rsidR="009758B9" w:rsidRPr="001340AB" w:rsidRDefault="009758B9" w:rsidP="002C7240">
            <w:pPr>
              <w:spacing w:after="0" w:line="300" w:lineRule="auto"/>
              <w:jc w:val="center"/>
              <w:rPr>
                <w:color w:val="000000"/>
                <w:szCs w:val="24"/>
              </w:rPr>
            </w:pPr>
            <w:r w:rsidRPr="001340AB">
              <w:rPr>
                <w:color w:val="000000"/>
                <w:szCs w:val="24"/>
              </w:rPr>
              <w:t>(-0.0001, 0.0008)</w:t>
            </w:r>
          </w:p>
        </w:tc>
      </w:tr>
      <w:tr w:rsidR="009758B9" w:rsidRPr="001340AB" w14:paraId="3BFC2ACC" w14:textId="77777777" w:rsidTr="002C7240">
        <w:trPr>
          <w:trHeight w:val="313"/>
        </w:trPr>
        <w:tc>
          <w:tcPr>
            <w:tcW w:w="0" w:type="auto"/>
            <w:tcBorders>
              <w:top w:val="nil"/>
              <w:left w:val="nil"/>
              <w:bottom w:val="single" w:sz="4" w:space="0" w:color="auto"/>
              <w:right w:val="nil"/>
            </w:tcBorders>
            <w:shd w:val="clear" w:color="auto" w:fill="auto"/>
            <w:noWrap/>
            <w:vAlign w:val="bottom"/>
            <w:hideMark/>
          </w:tcPr>
          <w:p w14:paraId="2BFED165" w14:textId="77777777" w:rsidR="009758B9" w:rsidRPr="001340AB" w:rsidRDefault="009758B9" w:rsidP="002C7240">
            <w:pPr>
              <w:spacing w:after="0" w:line="300" w:lineRule="auto"/>
              <w:rPr>
                <w:color w:val="000000"/>
                <w:szCs w:val="24"/>
              </w:rPr>
            </w:pPr>
            <w:r w:rsidRPr="001340AB">
              <w:rPr>
                <w:color w:val="000000"/>
                <w:szCs w:val="24"/>
              </w:rPr>
              <w:t>Established CVD risk factors + all pregnancy complications</w:t>
            </w:r>
          </w:p>
        </w:tc>
        <w:tc>
          <w:tcPr>
            <w:tcW w:w="1177" w:type="dxa"/>
            <w:tcBorders>
              <w:top w:val="nil"/>
              <w:left w:val="nil"/>
              <w:bottom w:val="single" w:sz="4" w:space="0" w:color="auto"/>
              <w:right w:val="nil"/>
            </w:tcBorders>
            <w:shd w:val="clear" w:color="auto" w:fill="auto"/>
            <w:noWrap/>
            <w:vAlign w:val="bottom"/>
            <w:hideMark/>
          </w:tcPr>
          <w:p w14:paraId="69B3D79F" w14:textId="77777777" w:rsidR="009758B9" w:rsidRPr="001340AB" w:rsidRDefault="009758B9" w:rsidP="002C7240">
            <w:pPr>
              <w:spacing w:after="0" w:line="300" w:lineRule="auto"/>
              <w:jc w:val="right"/>
              <w:rPr>
                <w:color w:val="000000"/>
                <w:szCs w:val="24"/>
              </w:rPr>
            </w:pPr>
            <w:r w:rsidRPr="001340AB">
              <w:rPr>
                <w:color w:val="000000"/>
                <w:szCs w:val="24"/>
              </w:rPr>
              <w:t>0.793</w:t>
            </w:r>
          </w:p>
        </w:tc>
        <w:tc>
          <w:tcPr>
            <w:tcW w:w="2458" w:type="dxa"/>
            <w:tcBorders>
              <w:top w:val="nil"/>
              <w:left w:val="nil"/>
              <w:bottom w:val="single" w:sz="4" w:space="0" w:color="auto"/>
              <w:right w:val="nil"/>
            </w:tcBorders>
            <w:shd w:val="clear" w:color="auto" w:fill="auto"/>
            <w:noWrap/>
            <w:vAlign w:val="bottom"/>
            <w:hideMark/>
          </w:tcPr>
          <w:p w14:paraId="3363D6FD" w14:textId="77777777" w:rsidR="009758B9" w:rsidRPr="001340AB" w:rsidRDefault="009758B9" w:rsidP="002C7240">
            <w:pPr>
              <w:spacing w:after="0" w:line="300" w:lineRule="auto"/>
              <w:jc w:val="right"/>
              <w:rPr>
                <w:color w:val="000000"/>
                <w:szCs w:val="24"/>
              </w:rPr>
            </w:pPr>
            <w:r w:rsidRPr="001340AB">
              <w:rPr>
                <w:color w:val="000000"/>
                <w:szCs w:val="24"/>
              </w:rPr>
              <w:t>0.004</w:t>
            </w:r>
          </w:p>
        </w:tc>
        <w:tc>
          <w:tcPr>
            <w:tcW w:w="2252" w:type="dxa"/>
            <w:tcBorders>
              <w:top w:val="nil"/>
              <w:left w:val="nil"/>
              <w:bottom w:val="single" w:sz="4" w:space="0" w:color="auto"/>
              <w:right w:val="nil"/>
            </w:tcBorders>
            <w:shd w:val="clear" w:color="auto" w:fill="auto"/>
            <w:noWrap/>
            <w:vAlign w:val="bottom"/>
            <w:hideMark/>
          </w:tcPr>
          <w:p w14:paraId="183B74CA" w14:textId="77777777" w:rsidR="009758B9" w:rsidRPr="001340AB" w:rsidRDefault="009758B9" w:rsidP="002C7240">
            <w:pPr>
              <w:spacing w:after="0" w:line="300" w:lineRule="auto"/>
              <w:jc w:val="center"/>
              <w:rPr>
                <w:color w:val="000000"/>
                <w:szCs w:val="24"/>
              </w:rPr>
            </w:pPr>
            <w:r w:rsidRPr="001340AB">
              <w:rPr>
                <w:color w:val="000000"/>
                <w:szCs w:val="24"/>
              </w:rPr>
              <w:t>(0.002, 0.006)</w:t>
            </w:r>
          </w:p>
        </w:tc>
      </w:tr>
    </w:tbl>
    <w:p w14:paraId="54029D8A" w14:textId="77777777" w:rsidR="009758B9" w:rsidRPr="001340AB" w:rsidRDefault="009758B9" w:rsidP="009758B9">
      <w:pPr>
        <w:spacing w:before="120"/>
        <w:rPr>
          <w:sz w:val="20"/>
        </w:rPr>
      </w:pPr>
      <w:r w:rsidRPr="001340AB">
        <w:rPr>
          <w:sz w:val="20"/>
        </w:rPr>
        <w:t>CVD = cardiovascular disease; CI = confidence interval; HTN=hypertension; SGA = small-for-gestational age</w:t>
      </w:r>
    </w:p>
    <w:p w14:paraId="03629147" w14:textId="77777777" w:rsidR="009758B9" w:rsidRPr="001340AB" w:rsidRDefault="009758B9" w:rsidP="009758B9">
      <w:pPr>
        <w:spacing w:line="480" w:lineRule="auto"/>
      </w:pPr>
    </w:p>
    <w:p w14:paraId="776BF19C" w14:textId="77777777" w:rsidR="009758B9" w:rsidRPr="001340AB" w:rsidRDefault="009758B9" w:rsidP="009758B9">
      <w:pPr>
        <w:spacing w:line="480" w:lineRule="auto"/>
      </w:pPr>
    </w:p>
    <w:p w14:paraId="0320DCF2" w14:textId="77777777" w:rsidR="009758B9" w:rsidRPr="001340AB" w:rsidRDefault="009758B9" w:rsidP="009758B9">
      <w:pPr>
        <w:rPr>
          <w:rFonts w:cs="Times New Roman"/>
          <w:b/>
          <w:szCs w:val="24"/>
        </w:rPr>
      </w:pPr>
      <w:bookmarkStart w:id="10" w:name="_Toc511729184"/>
      <w:r w:rsidRPr="001340AB">
        <w:rPr>
          <w:b/>
        </w:rPr>
        <w:br w:type="page"/>
      </w:r>
    </w:p>
    <w:p w14:paraId="1EC8D95A" w14:textId="77777777" w:rsidR="009758B9" w:rsidRPr="001340AB" w:rsidRDefault="009758B9" w:rsidP="009758B9">
      <w:pPr>
        <w:pStyle w:val="Table"/>
      </w:pPr>
      <w:r w:rsidRPr="001340AB">
        <w:rPr>
          <w:b/>
        </w:rPr>
        <w:lastRenderedPageBreak/>
        <w:t>Table 4.</w:t>
      </w:r>
      <w:r w:rsidRPr="001340AB">
        <w:t xml:space="preserve"> Reclassification of CVD risk category after including pregnancy complication history</w:t>
      </w:r>
      <w:r w:rsidRPr="001340AB">
        <w:rPr>
          <w:vertAlign w:val="superscript"/>
        </w:rPr>
        <w:t>a</w:t>
      </w:r>
      <w:bookmarkEnd w:id="10"/>
      <w:r w:rsidRPr="001340AB">
        <w:rPr>
          <w:vertAlign w:val="superscript"/>
        </w:rPr>
        <w:t>,b</w:t>
      </w:r>
    </w:p>
    <w:tbl>
      <w:tblPr>
        <w:tblW w:w="12361" w:type="dxa"/>
        <w:tblLook w:val="04A0" w:firstRow="1" w:lastRow="0" w:firstColumn="1" w:lastColumn="0" w:noHBand="0" w:noVBand="1"/>
      </w:tblPr>
      <w:tblGrid>
        <w:gridCol w:w="4292"/>
        <w:gridCol w:w="1008"/>
        <w:gridCol w:w="1009"/>
        <w:gridCol w:w="1008"/>
        <w:gridCol w:w="1009"/>
        <w:gridCol w:w="1008"/>
        <w:gridCol w:w="1009"/>
        <w:gridCol w:w="1008"/>
        <w:gridCol w:w="1010"/>
      </w:tblGrid>
      <w:tr w:rsidR="009758B9" w:rsidRPr="001340AB" w14:paraId="46AC49AE" w14:textId="77777777" w:rsidTr="002C7240">
        <w:trPr>
          <w:trHeight w:val="287"/>
        </w:trPr>
        <w:tc>
          <w:tcPr>
            <w:tcW w:w="4292" w:type="dxa"/>
            <w:tcBorders>
              <w:top w:val="single" w:sz="4" w:space="0" w:color="auto"/>
              <w:left w:val="nil"/>
              <w:bottom w:val="nil"/>
              <w:right w:val="nil"/>
            </w:tcBorders>
            <w:shd w:val="clear" w:color="auto" w:fill="auto"/>
            <w:noWrap/>
            <w:vAlign w:val="bottom"/>
            <w:hideMark/>
          </w:tcPr>
          <w:p w14:paraId="1A471656"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8069" w:type="dxa"/>
            <w:gridSpan w:val="8"/>
            <w:tcBorders>
              <w:top w:val="single" w:sz="4" w:space="0" w:color="auto"/>
              <w:left w:val="nil"/>
              <w:bottom w:val="nil"/>
              <w:right w:val="nil"/>
            </w:tcBorders>
            <w:shd w:val="clear" w:color="auto" w:fill="auto"/>
            <w:vAlign w:val="bottom"/>
            <w:hideMark/>
          </w:tcPr>
          <w:p w14:paraId="3430940B" w14:textId="77777777" w:rsidR="009758B9" w:rsidRPr="001340AB" w:rsidRDefault="009758B9" w:rsidP="002C7240">
            <w:pPr>
              <w:spacing w:before="120" w:after="0" w:line="300" w:lineRule="auto"/>
              <w:jc w:val="center"/>
              <w:rPr>
                <w:color w:val="000000"/>
                <w:szCs w:val="24"/>
              </w:rPr>
            </w:pPr>
            <w:r w:rsidRPr="001340AB">
              <w:rPr>
                <w:color w:val="000000"/>
                <w:szCs w:val="24"/>
              </w:rPr>
              <w:t>Established CVD risk factor model + pregnancy complication history</w:t>
            </w:r>
          </w:p>
        </w:tc>
      </w:tr>
      <w:tr w:rsidR="009758B9" w:rsidRPr="001340AB" w14:paraId="50441431" w14:textId="77777777" w:rsidTr="002C7240">
        <w:trPr>
          <w:trHeight w:val="705"/>
        </w:trPr>
        <w:tc>
          <w:tcPr>
            <w:tcW w:w="4292" w:type="dxa"/>
            <w:tcBorders>
              <w:top w:val="nil"/>
              <w:left w:val="nil"/>
              <w:bottom w:val="nil"/>
              <w:right w:val="nil"/>
            </w:tcBorders>
            <w:shd w:val="clear" w:color="auto" w:fill="auto"/>
            <w:vAlign w:val="bottom"/>
            <w:hideMark/>
          </w:tcPr>
          <w:p w14:paraId="5A937053" w14:textId="77777777" w:rsidR="009758B9" w:rsidRPr="001340AB" w:rsidRDefault="009758B9" w:rsidP="002C7240">
            <w:pPr>
              <w:spacing w:before="120" w:after="0" w:line="300" w:lineRule="auto"/>
              <w:jc w:val="center"/>
              <w:rPr>
                <w:color w:val="000000"/>
                <w:szCs w:val="24"/>
              </w:rPr>
            </w:pPr>
          </w:p>
        </w:tc>
        <w:tc>
          <w:tcPr>
            <w:tcW w:w="2017" w:type="dxa"/>
            <w:gridSpan w:val="2"/>
            <w:tcBorders>
              <w:top w:val="nil"/>
              <w:left w:val="nil"/>
              <w:bottom w:val="nil"/>
              <w:right w:val="nil"/>
            </w:tcBorders>
            <w:shd w:val="clear" w:color="auto" w:fill="auto"/>
            <w:vAlign w:val="bottom"/>
            <w:hideMark/>
          </w:tcPr>
          <w:p w14:paraId="6549115E" w14:textId="77777777" w:rsidR="009758B9" w:rsidRPr="001340AB" w:rsidRDefault="009758B9" w:rsidP="002C7240">
            <w:pPr>
              <w:spacing w:before="120" w:after="0" w:line="300" w:lineRule="auto"/>
              <w:jc w:val="center"/>
              <w:rPr>
                <w:color w:val="000000"/>
                <w:szCs w:val="24"/>
              </w:rPr>
            </w:pPr>
            <w:r w:rsidRPr="001340AB">
              <w:rPr>
                <w:color w:val="000000"/>
                <w:szCs w:val="24"/>
              </w:rPr>
              <w:t xml:space="preserve">Low risk </w:t>
            </w:r>
            <w:r w:rsidRPr="001340AB">
              <w:rPr>
                <w:color w:val="000000"/>
                <w:szCs w:val="24"/>
              </w:rPr>
              <w:br/>
              <w:t>(0-&lt;5%)</w:t>
            </w:r>
          </w:p>
        </w:tc>
        <w:tc>
          <w:tcPr>
            <w:tcW w:w="2017" w:type="dxa"/>
            <w:gridSpan w:val="2"/>
            <w:tcBorders>
              <w:top w:val="nil"/>
              <w:left w:val="nil"/>
              <w:bottom w:val="nil"/>
              <w:right w:val="nil"/>
            </w:tcBorders>
            <w:shd w:val="clear" w:color="auto" w:fill="auto"/>
            <w:vAlign w:val="bottom"/>
            <w:hideMark/>
          </w:tcPr>
          <w:p w14:paraId="3F2C2E99" w14:textId="77777777" w:rsidR="009758B9" w:rsidRPr="001340AB" w:rsidRDefault="009758B9" w:rsidP="002C7240">
            <w:pPr>
              <w:spacing w:before="120" w:after="0" w:line="300" w:lineRule="auto"/>
              <w:jc w:val="center"/>
              <w:rPr>
                <w:color w:val="000000"/>
                <w:szCs w:val="24"/>
              </w:rPr>
            </w:pPr>
            <w:r w:rsidRPr="001340AB">
              <w:rPr>
                <w:color w:val="000000"/>
                <w:szCs w:val="24"/>
              </w:rPr>
              <w:t xml:space="preserve">Intermediate risk </w:t>
            </w:r>
            <w:r w:rsidRPr="001340AB">
              <w:rPr>
                <w:color w:val="000000"/>
                <w:szCs w:val="24"/>
              </w:rPr>
              <w:br/>
              <w:t>(5-&lt;10%)</w:t>
            </w:r>
          </w:p>
        </w:tc>
        <w:tc>
          <w:tcPr>
            <w:tcW w:w="2017" w:type="dxa"/>
            <w:gridSpan w:val="2"/>
            <w:tcBorders>
              <w:top w:val="nil"/>
              <w:left w:val="nil"/>
              <w:bottom w:val="nil"/>
              <w:right w:val="nil"/>
            </w:tcBorders>
            <w:shd w:val="clear" w:color="auto" w:fill="auto"/>
            <w:vAlign w:val="bottom"/>
            <w:hideMark/>
          </w:tcPr>
          <w:p w14:paraId="1D046931" w14:textId="77777777" w:rsidR="009758B9" w:rsidRPr="001340AB" w:rsidRDefault="009758B9" w:rsidP="002C7240">
            <w:pPr>
              <w:spacing w:before="120" w:after="0" w:line="300" w:lineRule="auto"/>
              <w:jc w:val="center"/>
              <w:rPr>
                <w:color w:val="000000"/>
                <w:szCs w:val="24"/>
              </w:rPr>
            </w:pPr>
            <w:r w:rsidRPr="001340AB">
              <w:rPr>
                <w:color w:val="000000"/>
                <w:szCs w:val="24"/>
              </w:rPr>
              <w:t xml:space="preserve">High risk </w:t>
            </w:r>
            <w:r w:rsidRPr="001340AB">
              <w:rPr>
                <w:color w:val="000000"/>
                <w:szCs w:val="24"/>
              </w:rPr>
              <w:br/>
              <w:t>(</w:t>
            </w:r>
            <w:r w:rsidRPr="001340AB">
              <w:rPr>
                <w:szCs w:val="24"/>
              </w:rPr>
              <w:t>≥10%</w:t>
            </w:r>
            <w:r w:rsidRPr="001340AB">
              <w:rPr>
                <w:color w:val="000000"/>
                <w:szCs w:val="24"/>
              </w:rPr>
              <w:t>)</w:t>
            </w:r>
          </w:p>
        </w:tc>
        <w:tc>
          <w:tcPr>
            <w:tcW w:w="2018" w:type="dxa"/>
            <w:gridSpan w:val="2"/>
            <w:tcBorders>
              <w:top w:val="nil"/>
              <w:left w:val="nil"/>
              <w:bottom w:val="nil"/>
              <w:right w:val="nil"/>
            </w:tcBorders>
            <w:shd w:val="clear" w:color="auto" w:fill="auto"/>
            <w:vAlign w:val="bottom"/>
            <w:hideMark/>
          </w:tcPr>
          <w:p w14:paraId="4D444CD3" w14:textId="77777777" w:rsidR="009758B9" w:rsidRPr="001340AB" w:rsidRDefault="009758B9" w:rsidP="002C7240">
            <w:pPr>
              <w:spacing w:before="120" w:after="0" w:line="300" w:lineRule="auto"/>
              <w:jc w:val="center"/>
              <w:rPr>
                <w:color w:val="000000"/>
                <w:szCs w:val="24"/>
              </w:rPr>
            </w:pPr>
            <w:r w:rsidRPr="001340AB">
              <w:rPr>
                <w:color w:val="000000"/>
                <w:szCs w:val="24"/>
              </w:rPr>
              <w:t>Total</w:t>
            </w:r>
          </w:p>
        </w:tc>
      </w:tr>
      <w:tr w:rsidR="009758B9" w:rsidRPr="001340AB" w14:paraId="7998A295" w14:textId="77777777" w:rsidTr="002C7240">
        <w:trPr>
          <w:trHeight w:val="287"/>
        </w:trPr>
        <w:tc>
          <w:tcPr>
            <w:tcW w:w="4292" w:type="dxa"/>
            <w:tcBorders>
              <w:top w:val="nil"/>
              <w:left w:val="nil"/>
              <w:bottom w:val="single" w:sz="4" w:space="0" w:color="auto"/>
              <w:right w:val="nil"/>
            </w:tcBorders>
            <w:shd w:val="clear" w:color="auto" w:fill="auto"/>
            <w:noWrap/>
            <w:vAlign w:val="bottom"/>
            <w:hideMark/>
          </w:tcPr>
          <w:p w14:paraId="5EC777F6" w14:textId="77777777" w:rsidR="009758B9" w:rsidRPr="001340AB" w:rsidRDefault="009758B9" w:rsidP="002C7240">
            <w:pPr>
              <w:spacing w:before="120" w:after="0" w:line="300" w:lineRule="auto"/>
              <w:rPr>
                <w:color w:val="000000"/>
                <w:szCs w:val="24"/>
              </w:rPr>
            </w:pPr>
            <w:r w:rsidRPr="001340AB">
              <w:rPr>
                <w:color w:val="000000"/>
                <w:szCs w:val="24"/>
              </w:rPr>
              <w:t>Established CVD risk factor model</w:t>
            </w:r>
          </w:p>
        </w:tc>
        <w:tc>
          <w:tcPr>
            <w:tcW w:w="1008" w:type="dxa"/>
            <w:tcBorders>
              <w:top w:val="nil"/>
              <w:left w:val="nil"/>
              <w:bottom w:val="single" w:sz="4" w:space="0" w:color="auto"/>
              <w:right w:val="nil"/>
            </w:tcBorders>
            <w:shd w:val="clear" w:color="auto" w:fill="auto"/>
            <w:vAlign w:val="bottom"/>
            <w:hideMark/>
          </w:tcPr>
          <w:p w14:paraId="2552023E" w14:textId="77777777" w:rsidR="009758B9" w:rsidRPr="001340AB" w:rsidRDefault="009758B9" w:rsidP="002C7240">
            <w:pPr>
              <w:spacing w:before="120" w:after="0" w:line="300" w:lineRule="auto"/>
              <w:jc w:val="center"/>
              <w:rPr>
                <w:color w:val="000000"/>
                <w:szCs w:val="24"/>
              </w:rPr>
            </w:pPr>
            <w:r w:rsidRPr="001340AB">
              <w:rPr>
                <w:color w:val="000000"/>
                <w:szCs w:val="24"/>
              </w:rPr>
              <w:t>N</w:t>
            </w:r>
          </w:p>
        </w:tc>
        <w:tc>
          <w:tcPr>
            <w:tcW w:w="1009" w:type="dxa"/>
            <w:tcBorders>
              <w:top w:val="nil"/>
              <w:left w:val="nil"/>
              <w:bottom w:val="single" w:sz="4" w:space="0" w:color="auto"/>
              <w:right w:val="nil"/>
            </w:tcBorders>
            <w:shd w:val="clear" w:color="auto" w:fill="auto"/>
            <w:vAlign w:val="bottom"/>
            <w:hideMark/>
          </w:tcPr>
          <w:p w14:paraId="562CD140" w14:textId="77777777" w:rsidR="009758B9" w:rsidRPr="001340AB" w:rsidRDefault="009758B9" w:rsidP="002C7240">
            <w:pPr>
              <w:spacing w:before="120" w:after="0" w:line="300" w:lineRule="auto"/>
              <w:jc w:val="center"/>
              <w:rPr>
                <w:color w:val="000000"/>
                <w:szCs w:val="24"/>
              </w:rPr>
            </w:pPr>
            <w:r w:rsidRPr="001340AB">
              <w:rPr>
                <w:color w:val="000000"/>
                <w:szCs w:val="24"/>
              </w:rPr>
              <w:t>%</w:t>
            </w:r>
          </w:p>
        </w:tc>
        <w:tc>
          <w:tcPr>
            <w:tcW w:w="1008" w:type="dxa"/>
            <w:tcBorders>
              <w:top w:val="nil"/>
              <w:left w:val="nil"/>
              <w:bottom w:val="single" w:sz="4" w:space="0" w:color="auto"/>
              <w:right w:val="nil"/>
            </w:tcBorders>
            <w:shd w:val="clear" w:color="auto" w:fill="auto"/>
            <w:vAlign w:val="bottom"/>
            <w:hideMark/>
          </w:tcPr>
          <w:p w14:paraId="10645E18" w14:textId="77777777" w:rsidR="009758B9" w:rsidRPr="001340AB" w:rsidRDefault="009758B9" w:rsidP="002C7240">
            <w:pPr>
              <w:spacing w:before="120" w:after="0" w:line="300" w:lineRule="auto"/>
              <w:jc w:val="center"/>
              <w:rPr>
                <w:color w:val="000000"/>
                <w:szCs w:val="24"/>
              </w:rPr>
            </w:pPr>
            <w:r w:rsidRPr="001340AB">
              <w:rPr>
                <w:color w:val="000000"/>
                <w:szCs w:val="24"/>
              </w:rPr>
              <w:t>N</w:t>
            </w:r>
          </w:p>
        </w:tc>
        <w:tc>
          <w:tcPr>
            <w:tcW w:w="1009" w:type="dxa"/>
            <w:tcBorders>
              <w:top w:val="nil"/>
              <w:left w:val="nil"/>
              <w:bottom w:val="single" w:sz="4" w:space="0" w:color="auto"/>
              <w:right w:val="nil"/>
            </w:tcBorders>
            <w:shd w:val="clear" w:color="auto" w:fill="auto"/>
            <w:vAlign w:val="bottom"/>
            <w:hideMark/>
          </w:tcPr>
          <w:p w14:paraId="757A6A06" w14:textId="77777777" w:rsidR="009758B9" w:rsidRPr="001340AB" w:rsidRDefault="009758B9" w:rsidP="002C7240">
            <w:pPr>
              <w:spacing w:before="120" w:after="0" w:line="300" w:lineRule="auto"/>
              <w:jc w:val="center"/>
              <w:rPr>
                <w:color w:val="000000"/>
                <w:szCs w:val="24"/>
              </w:rPr>
            </w:pPr>
            <w:r w:rsidRPr="001340AB">
              <w:rPr>
                <w:color w:val="000000"/>
                <w:szCs w:val="24"/>
              </w:rPr>
              <w:t>%</w:t>
            </w:r>
          </w:p>
        </w:tc>
        <w:tc>
          <w:tcPr>
            <w:tcW w:w="1008" w:type="dxa"/>
            <w:tcBorders>
              <w:top w:val="nil"/>
              <w:left w:val="nil"/>
              <w:bottom w:val="single" w:sz="4" w:space="0" w:color="auto"/>
              <w:right w:val="nil"/>
            </w:tcBorders>
            <w:shd w:val="clear" w:color="auto" w:fill="auto"/>
            <w:vAlign w:val="bottom"/>
            <w:hideMark/>
          </w:tcPr>
          <w:p w14:paraId="744267EE" w14:textId="77777777" w:rsidR="009758B9" w:rsidRPr="001340AB" w:rsidRDefault="009758B9" w:rsidP="002C7240">
            <w:pPr>
              <w:spacing w:before="120" w:after="0" w:line="300" w:lineRule="auto"/>
              <w:jc w:val="center"/>
              <w:rPr>
                <w:color w:val="000000"/>
                <w:szCs w:val="24"/>
              </w:rPr>
            </w:pPr>
            <w:r w:rsidRPr="001340AB">
              <w:rPr>
                <w:color w:val="000000"/>
                <w:szCs w:val="24"/>
              </w:rPr>
              <w:t>N</w:t>
            </w:r>
          </w:p>
        </w:tc>
        <w:tc>
          <w:tcPr>
            <w:tcW w:w="1009" w:type="dxa"/>
            <w:tcBorders>
              <w:top w:val="nil"/>
              <w:left w:val="nil"/>
              <w:bottom w:val="single" w:sz="4" w:space="0" w:color="auto"/>
              <w:right w:val="nil"/>
            </w:tcBorders>
            <w:shd w:val="clear" w:color="auto" w:fill="auto"/>
            <w:vAlign w:val="bottom"/>
            <w:hideMark/>
          </w:tcPr>
          <w:p w14:paraId="329A0A20" w14:textId="77777777" w:rsidR="009758B9" w:rsidRPr="001340AB" w:rsidRDefault="009758B9" w:rsidP="002C7240">
            <w:pPr>
              <w:spacing w:before="120" w:after="0" w:line="300" w:lineRule="auto"/>
              <w:jc w:val="center"/>
              <w:rPr>
                <w:color w:val="000000"/>
                <w:szCs w:val="24"/>
              </w:rPr>
            </w:pPr>
            <w:r w:rsidRPr="001340AB">
              <w:rPr>
                <w:color w:val="000000"/>
                <w:szCs w:val="24"/>
              </w:rPr>
              <w:t>%</w:t>
            </w:r>
          </w:p>
        </w:tc>
        <w:tc>
          <w:tcPr>
            <w:tcW w:w="1008" w:type="dxa"/>
            <w:tcBorders>
              <w:top w:val="nil"/>
              <w:left w:val="nil"/>
              <w:bottom w:val="single" w:sz="4" w:space="0" w:color="auto"/>
              <w:right w:val="nil"/>
            </w:tcBorders>
            <w:shd w:val="clear" w:color="auto" w:fill="auto"/>
            <w:vAlign w:val="bottom"/>
            <w:hideMark/>
          </w:tcPr>
          <w:p w14:paraId="5A83406B" w14:textId="77777777" w:rsidR="009758B9" w:rsidRPr="001340AB" w:rsidRDefault="009758B9" w:rsidP="002C7240">
            <w:pPr>
              <w:spacing w:before="120" w:after="0" w:line="300" w:lineRule="auto"/>
              <w:jc w:val="center"/>
              <w:rPr>
                <w:color w:val="000000"/>
                <w:szCs w:val="24"/>
              </w:rPr>
            </w:pPr>
            <w:r w:rsidRPr="001340AB">
              <w:rPr>
                <w:color w:val="000000"/>
                <w:szCs w:val="24"/>
              </w:rPr>
              <w:t>N</w:t>
            </w:r>
          </w:p>
        </w:tc>
        <w:tc>
          <w:tcPr>
            <w:tcW w:w="1010" w:type="dxa"/>
            <w:tcBorders>
              <w:top w:val="nil"/>
              <w:left w:val="nil"/>
              <w:bottom w:val="single" w:sz="4" w:space="0" w:color="auto"/>
              <w:right w:val="nil"/>
            </w:tcBorders>
            <w:shd w:val="clear" w:color="auto" w:fill="auto"/>
            <w:vAlign w:val="bottom"/>
            <w:hideMark/>
          </w:tcPr>
          <w:p w14:paraId="784B3E0E" w14:textId="77777777" w:rsidR="009758B9" w:rsidRPr="001340AB" w:rsidRDefault="009758B9" w:rsidP="002C7240">
            <w:pPr>
              <w:spacing w:before="120" w:after="0" w:line="300" w:lineRule="auto"/>
              <w:jc w:val="center"/>
              <w:rPr>
                <w:color w:val="000000"/>
                <w:szCs w:val="24"/>
              </w:rPr>
            </w:pPr>
            <w:r w:rsidRPr="001340AB">
              <w:rPr>
                <w:color w:val="000000"/>
                <w:szCs w:val="24"/>
              </w:rPr>
              <w:t>%</w:t>
            </w:r>
          </w:p>
        </w:tc>
      </w:tr>
      <w:tr w:rsidR="009758B9" w:rsidRPr="001340AB" w14:paraId="597B89A7" w14:textId="77777777" w:rsidTr="002C7240">
        <w:trPr>
          <w:trHeight w:val="287"/>
        </w:trPr>
        <w:tc>
          <w:tcPr>
            <w:tcW w:w="4292" w:type="dxa"/>
            <w:tcBorders>
              <w:top w:val="nil"/>
              <w:left w:val="nil"/>
              <w:bottom w:val="nil"/>
              <w:right w:val="nil"/>
            </w:tcBorders>
            <w:shd w:val="clear" w:color="auto" w:fill="auto"/>
            <w:noWrap/>
            <w:vAlign w:val="bottom"/>
            <w:hideMark/>
          </w:tcPr>
          <w:p w14:paraId="6FA225F0" w14:textId="77777777" w:rsidR="009758B9" w:rsidRPr="001340AB" w:rsidRDefault="009758B9" w:rsidP="002C7240">
            <w:pPr>
              <w:spacing w:before="120" w:after="0" w:line="300" w:lineRule="auto"/>
              <w:rPr>
                <w:i/>
                <w:iCs/>
                <w:color w:val="000000"/>
                <w:szCs w:val="24"/>
              </w:rPr>
            </w:pPr>
            <w:r w:rsidRPr="001340AB">
              <w:rPr>
                <w:i/>
                <w:iCs/>
                <w:color w:val="000000"/>
                <w:szCs w:val="24"/>
              </w:rPr>
              <w:t>Observations with incident CVD event</w:t>
            </w:r>
          </w:p>
        </w:tc>
        <w:tc>
          <w:tcPr>
            <w:tcW w:w="1008" w:type="dxa"/>
            <w:tcBorders>
              <w:top w:val="nil"/>
              <w:left w:val="nil"/>
              <w:bottom w:val="nil"/>
              <w:right w:val="nil"/>
            </w:tcBorders>
            <w:shd w:val="clear" w:color="auto" w:fill="auto"/>
            <w:vAlign w:val="bottom"/>
            <w:hideMark/>
          </w:tcPr>
          <w:p w14:paraId="3A96531C"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1009" w:type="dxa"/>
            <w:tcBorders>
              <w:top w:val="nil"/>
              <w:left w:val="nil"/>
              <w:bottom w:val="nil"/>
              <w:right w:val="nil"/>
            </w:tcBorders>
            <w:shd w:val="clear" w:color="auto" w:fill="auto"/>
            <w:vAlign w:val="bottom"/>
            <w:hideMark/>
          </w:tcPr>
          <w:p w14:paraId="33FF3ACE"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1008" w:type="dxa"/>
            <w:tcBorders>
              <w:top w:val="nil"/>
              <w:left w:val="nil"/>
              <w:bottom w:val="nil"/>
              <w:right w:val="nil"/>
            </w:tcBorders>
            <w:shd w:val="clear" w:color="auto" w:fill="auto"/>
            <w:vAlign w:val="bottom"/>
            <w:hideMark/>
          </w:tcPr>
          <w:p w14:paraId="617FBE4F"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1009" w:type="dxa"/>
            <w:tcBorders>
              <w:top w:val="nil"/>
              <w:left w:val="nil"/>
              <w:bottom w:val="nil"/>
              <w:right w:val="nil"/>
            </w:tcBorders>
            <w:shd w:val="clear" w:color="auto" w:fill="auto"/>
            <w:vAlign w:val="bottom"/>
            <w:hideMark/>
          </w:tcPr>
          <w:p w14:paraId="7CB4D5DB"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1008" w:type="dxa"/>
            <w:tcBorders>
              <w:top w:val="nil"/>
              <w:left w:val="nil"/>
              <w:bottom w:val="nil"/>
              <w:right w:val="nil"/>
            </w:tcBorders>
            <w:shd w:val="clear" w:color="auto" w:fill="auto"/>
            <w:vAlign w:val="bottom"/>
            <w:hideMark/>
          </w:tcPr>
          <w:p w14:paraId="407D27BF"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1009" w:type="dxa"/>
            <w:tcBorders>
              <w:top w:val="nil"/>
              <w:left w:val="nil"/>
              <w:bottom w:val="nil"/>
              <w:right w:val="nil"/>
            </w:tcBorders>
            <w:shd w:val="clear" w:color="auto" w:fill="auto"/>
            <w:vAlign w:val="bottom"/>
            <w:hideMark/>
          </w:tcPr>
          <w:p w14:paraId="1C6AA786"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1008" w:type="dxa"/>
            <w:tcBorders>
              <w:top w:val="nil"/>
              <w:left w:val="nil"/>
              <w:bottom w:val="nil"/>
              <w:right w:val="nil"/>
            </w:tcBorders>
            <w:shd w:val="clear" w:color="auto" w:fill="auto"/>
            <w:vAlign w:val="bottom"/>
            <w:hideMark/>
          </w:tcPr>
          <w:p w14:paraId="42A9910D" w14:textId="77777777" w:rsidR="009758B9" w:rsidRPr="001340AB" w:rsidRDefault="009758B9" w:rsidP="002C7240">
            <w:pPr>
              <w:spacing w:before="120" w:after="0" w:line="300" w:lineRule="auto"/>
              <w:rPr>
                <w:color w:val="000000"/>
                <w:szCs w:val="24"/>
              </w:rPr>
            </w:pPr>
            <w:r w:rsidRPr="001340AB">
              <w:rPr>
                <w:color w:val="000000"/>
                <w:szCs w:val="24"/>
              </w:rPr>
              <w:t> </w:t>
            </w:r>
          </w:p>
        </w:tc>
        <w:tc>
          <w:tcPr>
            <w:tcW w:w="1010" w:type="dxa"/>
            <w:tcBorders>
              <w:top w:val="nil"/>
              <w:left w:val="nil"/>
              <w:bottom w:val="nil"/>
              <w:right w:val="nil"/>
            </w:tcBorders>
            <w:shd w:val="clear" w:color="auto" w:fill="auto"/>
            <w:vAlign w:val="bottom"/>
            <w:hideMark/>
          </w:tcPr>
          <w:p w14:paraId="7E2E8399" w14:textId="77777777" w:rsidR="009758B9" w:rsidRPr="001340AB" w:rsidRDefault="009758B9" w:rsidP="002C7240">
            <w:pPr>
              <w:spacing w:before="120" w:after="0" w:line="300" w:lineRule="auto"/>
              <w:rPr>
                <w:color w:val="000000"/>
                <w:szCs w:val="24"/>
              </w:rPr>
            </w:pPr>
            <w:r w:rsidRPr="001340AB">
              <w:rPr>
                <w:color w:val="000000"/>
                <w:szCs w:val="24"/>
              </w:rPr>
              <w:t> </w:t>
            </w:r>
          </w:p>
        </w:tc>
      </w:tr>
      <w:tr w:rsidR="009758B9" w:rsidRPr="001340AB" w14:paraId="5FD88B06" w14:textId="77777777" w:rsidTr="002C7240">
        <w:trPr>
          <w:trHeight w:val="287"/>
        </w:trPr>
        <w:tc>
          <w:tcPr>
            <w:tcW w:w="4292" w:type="dxa"/>
            <w:tcBorders>
              <w:top w:val="nil"/>
              <w:left w:val="nil"/>
              <w:bottom w:val="nil"/>
              <w:right w:val="nil"/>
            </w:tcBorders>
            <w:shd w:val="clear" w:color="auto" w:fill="auto"/>
            <w:noWrap/>
            <w:vAlign w:val="bottom"/>
            <w:hideMark/>
          </w:tcPr>
          <w:p w14:paraId="735CBC48" w14:textId="77777777" w:rsidR="009758B9" w:rsidRPr="001340AB" w:rsidRDefault="009758B9" w:rsidP="002C7240">
            <w:pPr>
              <w:spacing w:after="0" w:line="300" w:lineRule="auto"/>
              <w:rPr>
                <w:color w:val="000000"/>
                <w:szCs w:val="24"/>
              </w:rPr>
            </w:pPr>
            <w:r w:rsidRPr="001340AB">
              <w:rPr>
                <w:color w:val="000000"/>
                <w:szCs w:val="24"/>
              </w:rPr>
              <w:t>0-&lt;5%</w:t>
            </w:r>
          </w:p>
        </w:tc>
        <w:tc>
          <w:tcPr>
            <w:tcW w:w="1008" w:type="dxa"/>
            <w:tcBorders>
              <w:top w:val="nil"/>
              <w:left w:val="nil"/>
              <w:bottom w:val="nil"/>
              <w:right w:val="nil"/>
            </w:tcBorders>
            <w:shd w:val="clear" w:color="auto" w:fill="auto"/>
            <w:hideMark/>
          </w:tcPr>
          <w:p w14:paraId="47B01695" w14:textId="77777777" w:rsidR="009758B9" w:rsidRPr="001340AB" w:rsidRDefault="009758B9" w:rsidP="002C7240">
            <w:pPr>
              <w:spacing w:after="0" w:line="300" w:lineRule="auto"/>
              <w:jc w:val="right"/>
              <w:rPr>
                <w:color w:val="000000"/>
                <w:szCs w:val="24"/>
              </w:rPr>
            </w:pPr>
            <w:r w:rsidRPr="001340AB">
              <w:t>386</w:t>
            </w:r>
          </w:p>
        </w:tc>
        <w:tc>
          <w:tcPr>
            <w:tcW w:w="1009" w:type="dxa"/>
            <w:tcBorders>
              <w:top w:val="nil"/>
              <w:left w:val="nil"/>
              <w:bottom w:val="nil"/>
              <w:right w:val="nil"/>
            </w:tcBorders>
            <w:shd w:val="clear" w:color="auto" w:fill="auto"/>
            <w:hideMark/>
          </w:tcPr>
          <w:p w14:paraId="495F38DB" w14:textId="77777777" w:rsidR="009758B9" w:rsidRPr="001340AB" w:rsidRDefault="009758B9" w:rsidP="002C7240">
            <w:pPr>
              <w:spacing w:after="0" w:line="300" w:lineRule="auto"/>
              <w:jc w:val="right"/>
              <w:rPr>
                <w:color w:val="000000"/>
                <w:szCs w:val="24"/>
              </w:rPr>
            </w:pPr>
            <w:r w:rsidRPr="001340AB">
              <w:t>97%</w:t>
            </w:r>
          </w:p>
        </w:tc>
        <w:tc>
          <w:tcPr>
            <w:tcW w:w="1008" w:type="dxa"/>
            <w:tcBorders>
              <w:top w:val="nil"/>
              <w:left w:val="nil"/>
              <w:bottom w:val="nil"/>
              <w:right w:val="nil"/>
            </w:tcBorders>
            <w:shd w:val="clear" w:color="auto" w:fill="D9D9D9" w:themeFill="background1" w:themeFillShade="D9"/>
            <w:hideMark/>
          </w:tcPr>
          <w:p w14:paraId="65150485" w14:textId="77777777" w:rsidR="009758B9" w:rsidRPr="001340AB" w:rsidRDefault="009758B9" w:rsidP="002C7240">
            <w:pPr>
              <w:spacing w:after="0" w:line="300" w:lineRule="auto"/>
              <w:jc w:val="right"/>
              <w:rPr>
                <w:color w:val="000000"/>
                <w:szCs w:val="24"/>
              </w:rPr>
            </w:pPr>
            <w:r w:rsidRPr="001340AB">
              <w:t>19</w:t>
            </w:r>
          </w:p>
        </w:tc>
        <w:tc>
          <w:tcPr>
            <w:tcW w:w="1009" w:type="dxa"/>
            <w:tcBorders>
              <w:top w:val="nil"/>
              <w:left w:val="nil"/>
              <w:bottom w:val="nil"/>
              <w:right w:val="nil"/>
            </w:tcBorders>
            <w:shd w:val="clear" w:color="auto" w:fill="D9D9D9" w:themeFill="background1" w:themeFillShade="D9"/>
            <w:hideMark/>
          </w:tcPr>
          <w:p w14:paraId="725B4FC9" w14:textId="77777777" w:rsidR="009758B9" w:rsidRPr="001340AB" w:rsidRDefault="009758B9" w:rsidP="002C7240">
            <w:pPr>
              <w:spacing w:after="0" w:line="300" w:lineRule="auto"/>
              <w:jc w:val="right"/>
              <w:rPr>
                <w:color w:val="000000"/>
                <w:szCs w:val="24"/>
              </w:rPr>
            </w:pPr>
            <w:r w:rsidRPr="001340AB">
              <w:t>7%</w:t>
            </w:r>
          </w:p>
        </w:tc>
        <w:tc>
          <w:tcPr>
            <w:tcW w:w="1008" w:type="dxa"/>
            <w:tcBorders>
              <w:top w:val="nil"/>
              <w:left w:val="nil"/>
              <w:bottom w:val="nil"/>
              <w:right w:val="nil"/>
            </w:tcBorders>
            <w:shd w:val="clear" w:color="auto" w:fill="D9D9D9" w:themeFill="background1" w:themeFillShade="D9"/>
            <w:hideMark/>
          </w:tcPr>
          <w:p w14:paraId="3410BA52" w14:textId="77777777" w:rsidR="009758B9" w:rsidRPr="001340AB" w:rsidRDefault="009758B9" w:rsidP="002C7240">
            <w:pPr>
              <w:spacing w:after="0" w:line="300" w:lineRule="auto"/>
              <w:jc w:val="right"/>
              <w:rPr>
                <w:color w:val="000000"/>
                <w:szCs w:val="24"/>
              </w:rPr>
            </w:pPr>
            <w:r w:rsidRPr="001340AB">
              <w:t>0</w:t>
            </w:r>
          </w:p>
        </w:tc>
        <w:tc>
          <w:tcPr>
            <w:tcW w:w="1009" w:type="dxa"/>
            <w:tcBorders>
              <w:top w:val="nil"/>
              <w:left w:val="nil"/>
              <w:bottom w:val="nil"/>
              <w:right w:val="nil"/>
            </w:tcBorders>
            <w:shd w:val="clear" w:color="auto" w:fill="D9D9D9" w:themeFill="background1" w:themeFillShade="D9"/>
            <w:hideMark/>
          </w:tcPr>
          <w:p w14:paraId="00C8AFA3" w14:textId="77777777" w:rsidR="009758B9" w:rsidRPr="001340AB" w:rsidRDefault="009758B9" w:rsidP="002C7240">
            <w:pPr>
              <w:spacing w:after="0" w:line="300" w:lineRule="auto"/>
              <w:jc w:val="right"/>
              <w:rPr>
                <w:color w:val="000000"/>
                <w:szCs w:val="24"/>
              </w:rPr>
            </w:pPr>
            <w:r w:rsidRPr="001340AB">
              <w:t>0%</w:t>
            </w:r>
          </w:p>
        </w:tc>
        <w:tc>
          <w:tcPr>
            <w:tcW w:w="1008" w:type="dxa"/>
            <w:tcBorders>
              <w:top w:val="nil"/>
              <w:left w:val="nil"/>
              <w:bottom w:val="nil"/>
              <w:right w:val="nil"/>
            </w:tcBorders>
            <w:shd w:val="clear" w:color="auto" w:fill="auto"/>
            <w:hideMark/>
          </w:tcPr>
          <w:p w14:paraId="2E06BD82" w14:textId="77777777" w:rsidR="009758B9" w:rsidRPr="001340AB" w:rsidRDefault="009758B9" w:rsidP="002C7240">
            <w:pPr>
              <w:spacing w:after="0" w:line="300" w:lineRule="auto"/>
              <w:jc w:val="right"/>
              <w:rPr>
                <w:color w:val="000000"/>
                <w:szCs w:val="24"/>
              </w:rPr>
            </w:pPr>
            <w:r w:rsidRPr="001340AB">
              <w:t>405</w:t>
            </w:r>
          </w:p>
        </w:tc>
        <w:tc>
          <w:tcPr>
            <w:tcW w:w="1010" w:type="dxa"/>
            <w:tcBorders>
              <w:top w:val="nil"/>
              <w:left w:val="nil"/>
              <w:bottom w:val="nil"/>
              <w:right w:val="nil"/>
            </w:tcBorders>
            <w:shd w:val="clear" w:color="auto" w:fill="auto"/>
            <w:hideMark/>
          </w:tcPr>
          <w:p w14:paraId="53A0EE08" w14:textId="77777777" w:rsidR="009758B9" w:rsidRPr="001340AB" w:rsidRDefault="009758B9" w:rsidP="002C7240">
            <w:pPr>
              <w:spacing w:after="0" w:line="300" w:lineRule="auto"/>
              <w:jc w:val="right"/>
              <w:rPr>
                <w:color w:val="000000"/>
                <w:szCs w:val="24"/>
              </w:rPr>
            </w:pPr>
            <w:r w:rsidRPr="001340AB">
              <w:t>42%</w:t>
            </w:r>
          </w:p>
        </w:tc>
      </w:tr>
      <w:tr w:rsidR="009758B9" w:rsidRPr="001340AB" w14:paraId="74B03D1D" w14:textId="77777777" w:rsidTr="002C7240">
        <w:trPr>
          <w:trHeight w:val="287"/>
        </w:trPr>
        <w:tc>
          <w:tcPr>
            <w:tcW w:w="4292" w:type="dxa"/>
            <w:tcBorders>
              <w:top w:val="nil"/>
              <w:left w:val="nil"/>
              <w:bottom w:val="nil"/>
              <w:right w:val="nil"/>
            </w:tcBorders>
            <w:shd w:val="clear" w:color="auto" w:fill="auto"/>
            <w:noWrap/>
            <w:vAlign w:val="bottom"/>
            <w:hideMark/>
          </w:tcPr>
          <w:p w14:paraId="115A4CBC" w14:textId="77777777" w:rsidR="009758B9" w:rsidRPr="001340AB" w:rsidRDefault="009758B9" w:rsidP="002C7240">
            <w:pPr>
              <w:spacing w:after="0" w:line="300" w:lineRule="auto"/>
              <w:rPr>
                <w:color w:val="000000"/>
                <w:szCs w:val="24"/>
              </w:rPr>
            </w:pPr>
            <w:r w:rsidRPr="001340AB">
              <w:rPr>
                <w:color w:val="000000"/>
                <w:szCs w:val="24"/>
              </w:rPr>
              <w:t>5-&lt;10%</w:t>
            </w:r>
          </w:p>
        </w:tc>
        <w:tc>
          <w:tcPr>
            <w:tcW w:w="1008" w:type="dxa"/>
            <w:tcBorders>
              <w:top w:val="nil"/>
              <w:left w:val="nil"/>
              <w:bottom w:val="nil"/>
              <w:right w:val="nil"/>
            </w:tcBorders>
            <w:shd w:val="clear" w:color="auto" w:fill="auto"/>
            <w:hideMark/>
          </w:tcPr>
          <w:p w14:paraId="503E7CD2" w14:textId="77777777" w:rsidR="009758B9" w:rsidRPr="001340AB" w:rsidRDefault="009758B9" w:rsidP="002C7240">
            <w:pPr>
              <w:spacing w:after="0" w:line="300" w:lineRule="auto"/>
              <w:jc w:val="right"/>
              <w:rPr>
                <w:color w:val="000000"/>
                <w:szCs w:val="24"/>
              </w:rPr>
            </w:pPr>
            <w:r w:rsidRPr="001340AB">
              <w:t>12</w:t>
            </w:r>
          </w:p>
        </w:tc>
        <w:tc>
          <w:tcPr>
            <w:tcW w:w="1009" w:type="dxa"/>
            <w:tcBorders>
              <w:top w:val="nil"/>
              <w:left w:val="nil"/>
              <w:bottom w:val="nil"/>
              <w:right w:val="nil"/>
            </w:tcBorders>
            <w:shd w:val="clear" w:color="auto" w:fill="auto"/>
            <w:hideMark/>
          </w:tcPr>
          <w:p w14:paraId="08476ACB" w14:textId="77777777" w:rsidR="009758B9" w:rsidRPr="001340AB" w:rsidRDefault="009758B9" w:rsidP="002C7240">
            <w:pPr>
              <w:spacing w:after="0" w:line="300" w:lineRule="auto"/>
              <w:jc w:val="right"/>
              <w:rPr>
                <w:color w:val="000000"/>
                <w:szCs w:val="24"/>
              </w:rPr>
            </w:pPr>
            <w:r w:rsidRPr="001340AB">
              <w:t>3%</w:t>
            </w:r>
          </w:p>
        </w:tc>
        <w:tc>
          <w:tcPr>
            <w:tcW w:w="1008" w:type="dxa"/>
            <w:tcBorders>
              <w:top w:val="nil"/>
              <w:left w:val="nil"/>
              <w:bottom w:val="nil"/>
              <w:right w:val="nil"/>
            </w:tcBorders>
            <w:shd w:val="clear" w:color="auto" w:fill="auto"/>
            <w:hideMark/>
          </w:tcPr>
          <w:p w14:paraId="36D8B3CE" w14:textId="77777777" w:rsidR="009758B9" w:rsidRPr="001340AB" w:rsidRDefault="009758B9" w:rsidP="002C7240">
            <w:pPr>
              <w:spacing w:after="0" w:line="300" w:lineRule="auto"/>
              <w:jc w:val="right"/>
              <w:rPr>
                <w:color w:val="000000"/>
                <w:szCs w:val="24"/>
              </w:rPr>
            </w:pPr>
            <w:r w:rsidRPr="001340AB">
              <w:t>257</w:t>
            </w:r>
          </w:p>
        </w:tc>
        <w:tc>
          <w:tcPr>
            <w:tcW w:w="1009" w:type="dxa"/>
            <w:tcBorders>
              <w:top w:val="nil"/>
              <w:left w:val="nil"/>
              <w:bottom w:val="nil"/>
              <w:right w:val="nil"/>
            </w:tcBorders>
            <w:shd w:val="clear" w:color="auto" w:fill="auto"/>
            <w:hideMark/>
          </w:tcPr>
          <w:p w14:paraId="3276B94F" w14:textId="77777777" w:rsidR="009758B9" w:rsidRPr="001340AB" w:rsidRDefault="009758B9" w:rsidP="002C7240">
            <w:pPr>
              <w:spacing w:after="0" w:line="300" w:lineRule="auto"/>
              <w:jc w:val="right"/>
              <w:rPr>
                <w:color w:val="000000"/>
                <w:szCs w:val="24"/>
              </w:rPr>
            </w:pPr>
            <w:r w:rsidRPr="001340AB">
              <w:t>91%</w:t>
            </w:r>
          </w:p>
        </w:tc>
        <w:tc>
          <w:tcPr>
            <w:tcW w:w="1008" w:type="dxa"/>
            <w:tcBorders>
              <w:top w:val="nil"/>
              <w:left w:val="nil"/>
              <w:bottom w:val="nil"/>
              <w:right w:val="nil"/>
            </w:tcBorders>
            <w:shd w:val="clear" w:color="auto" w:fill="D9D9D9" w:themeFill="background1" w:themeFillShade="D9"/>
            <w:hideMark/>
          </w:tcPr>
          <w:p w14:paraId="0FAFCC84" w14:textId="77777777" w:rsidR="009758B9" w:rsidRPr="001340AB" w:rsidRDefault="009758B9" w:rsidP="002C7240">
            <w:pPr>
              <w:spacing w:after="0" w:line="300" w:lineRule="auto"/>
              <w:jc w:val="right"/>
              <w:rPr>
                <w:color w:val="000000"/>
                <w:szCs w:val="24"/>
              </w:rPr>
            </w:pPr>
            <w:r w:rsidRPr="001340AB">
              <w:t>19</w:t>
            </w:r>
          </w:p>
        </w:tc>
        <w:tc>
          <w:tcPr>
            <w:tcW w:w="1009" w:type="dxa"/>
            <w:tcBorders>
              <w:top w:val="nil"/>
              <w:left w:val="nil"/>
              <w:bottom w:val="nil"/>
              <w:right w:val="nil"/>
            </w:tcBorders>
            <w:shd w:val="clear" w:color="auto" w:fill="D9D9D9" w:themeFill="background1" w:themeFillShade="D9"/>
            <w:hideMark/>
          </w:tcPr>
          <w:p w14:paraId="66459BFF" w14:textId="77777777" w:rsidR="009758B9" w:rsidRPr="001340AB" w:rsidRDefault="009758B9" w:rsidP="002C7240">
            <w:pPr>
              <w:spacing w:after="0" w:line="300" w:lineRule="auto"/>
              <w:jc w:val="right"/>
              <w:rPr>
                <w:color w:val="000000"/>
                <w:szCs w:val="24"/>
              </w:rPr>
            </w:pPr>
            <w:r w:rsidRPr="001340AB">
              <w:t>7%</w:t>
            </w:r>
          </w:p>
        </w:tc>
        <w:tc>
          <w:tcPr>
            <w:tcW w:w="1008" w:type="dxa"/>
            <w:tcBorders>
              <w:top w:val="nil"/>
              <w:left w:val="nil"/>
              <w:bottom w:val="nil"/>
              <w:right w:val="nil"/>
            </w:tcBorders>
            <w:shd w:val="clear" w:color="auto" w:fill="auto"/>
            <w:hideMark/>
          </w:tcPr>
          <w:p w14:paraId="177E80BF" w14:textId="77777777" w:rsidR="009758B9" w:rsidRPr="001340AB" w:rsidRDefault="009758B9" w:rsidP="002C7240">
            <w:pPr>
              <w:spacing w:after="0" w:line="300" w:lineRule="auto"/>
              <w:jc w:val="right"/>
              <w:rPr>
                <w:color w:val="000000"/>
                <w:szCs w:val="24"/>
              </w:rPr>
            </w:pPr>
            <w:r w:rsidRPr="001340AB">
              <w:t>288</w:t>
            </w:r>
          </w:p>
        </w:tc>
        <w:tc>
          <w:tcPr>
            <w:tcW w:w="1010" w:type="dxa"/>
            <w:tcBorders>
              <w:top w:val="nil"/>
              <w:left w:val="nil"/>
              <w:bottom w:val="nil"/>
              <w:right w:val="nil"/>
            </w:tcBorders>
            <w:shd w:val="clear" w:color="auto" w:fill="auto"/>
            <w:hideMark/>
          </w:tcPr>
          <w:p w14:paraId="6B1DE392" w14:textId="77777777" w:rsidR="009758B9" w:rsidRPr="001340AB" w:rsidRDefault="009758B9" w:rsidP="002C7240">
            <w:pPr>
              <w:spacing w:after="0" w:line="300" w:lineRule="auto"/>
              <w:jc w:val="right"/>
              <w:rPr>
                <w:color w:val="000000"/>
                <w:szCs w:val="24"/>
              </w:rPr>
            </w:pPr>
            <w:r w:rsidRPr="001340AB">
              <w:t>30%</w:t>
            </w:r>
          </w:p>
        </w:tc>
      </w:tr>
      <w:tr w:rsidR="009758B9" w:rsidRPr="001340AB" w14:paraId="21272C52" w14:textId="77777777" w:rsidTr="002C7240">
        <w:trPr>
          <w:trHeight w:val="287"/>
        </w:trPr>
        <w:tc>
          <w:tcPr>
            <w:tcW w:w="4292" w:type="dxa"/>
            <w:tcBorders>
              <w:top w:val="nil"/>
              <w:left w:val="nil"/>
              <w:bottom w:val="nil"/>
              <w:right w:val="nil"/>
            </w:tcBorders>
            <w:shd w:val="clear" w:color="auto" w:fill="auto"/>
            <w:noWrap/>
            <w:vAlign w:val="bottom"/>
            <w:hideMark/>
          </w:tcPr>
          <w:p w14:paraId="28258317" w14:textId="77777777" w:rsidR="009758B9" w:rsidRPr="001340AB" w:rsidRDefault="009758B9" w:rsidP="002C7240">
            <w:pPr>
              <w:spacing w:after="0" w:line="300" w:lineRule="auto"/>
              <w:rPr>
                <w:color w:val="000000"/>
                <w:szCs w:val="24"/>
              </w:rPr>
            </w:pPr>
            <w:r w:rsidRPr="001340AB">
              <w:rPr>
                <w:szCs w:val="24"/>
              </w:rPr>
              <w:t>≥10%</w:t>
            </w:r>
          </w:p>
        </w:tc>
        <w:tc>
          <w:tcPr>
            <w:tcW w:w="1008" w:type="dxa"/>
            <w:tcBorders>
              <w:top w:val="nil"/>
              <w:left w:val="nil"/>
              <w:bottom w:val="nil"/>
              <w:right w:val="nil"/>
            </w:tcBorders>
            <w:shd w:val="clear" w:color="auto" w:fill="auto"/>
            <w:hideMark/>
          </w:tcPr>
          <w:p w14:paraId="4222BF14" w14:textId="77777777" w:rsidR="009758B9" w:rsidRPr="001340AB" w:rsidRDefault="009758B9" w:rsidP="002C7240">
            <w:pPr>
              <w:spacing w:after="0" w:line="300" w:lineRule="auto"/>
              <w:jc w:val="right"/>
              <w:rPr>
                <w:color w:val="000000"/>
                <w:szCs w:val="24"/>
              </w:rPr>
            </w:pPr>
            <w:r w:rsidRPr="001340AB">
              <w:t>0</w:t>
            </w:r>
          </w:p>
        </w:tc>
        <w:tc>
          <w:tcPr>
            <w:tcW w:w="1009" w:type="dxa"/>
            <w:tcBorders>
              <w:top w:val="nil"/>
              <w:left w:val="nil"/>
              <w:bottom w:val="nil"/>
              <w:right w:val="nil"/>
            </w:tcBorders>
            <w:shd w:val="clear" w:color="auto" w:fill="auto"/>
            <w:hideMark/>
          </w:tcPr>
          <w:p w14:paraId="4A09452C" w14:textId="77777777" w:rsidR="009758B9" w:rsidRPr="001340AB" w:rsidRDefault="009758B9" w:rsidP="002C7240">
            <w:pPr>
              <w:spacing w:after="0" w:line="300" w:lineRule="auto"/>
              <w:jc w:val="right"/>
              <w:rPr>
                <w:color w:val="000000"/>
                <w:szCs w:val="24"/>
              </w:rPr>
            </w:pPr>
            <w:r w:rsidRPr="001340AB">
              <w:t>0%</w:t>
            </w:r>
          </w:p>
        </w:tc>
        <w:tc>
          <w:tcPr>
            <w:tcW w:w="1008" w:type="dxa"/>
            <w:tcBorders>
              <w:top w:val="nil"/>
              <w:left w:val="nil"/>
              <w:bottom w:val="nil"/>
              <w:right w:val="nil"/>
            </w:tcBorders>
            <w:shd w:val="clear" w:color="auto" w:fill="auto"/>
            <w:hideMark/>
          </w:tcPr>
          <w:p w14:paraId="60AF79D5" w14:textId="77777777" w:rsidR="009758B9" w:rsidRPr="001340AB" w:rsidRDefault="009758B9" w:rsidP="002C7240">
            <w:pPr>
              <w:spacing w:after="0" w:line="300" w:lineRule="auto"/>
              <w:jc w:val="right"/>
              <w:rPr>
                <w:color w:val="000000"/>
                <w:szCs w:val="24"/>
              </w:rPr>
            </w:pPr>
            <w:r w:rsidRPr="001340AB">
              <w:t>5</w:t>
            </w:r>
          </w:p>
        </w:tc>
        <w:tc>
          <w:tcPr>
            <w:tcW w:w="1009" w:type="dxa"/>
            <w:tcBorders>
              <w:top w:val="nil"/>
              <w:left w:val="nil"/>
              <w:bottom w:val="nil"/>
              <w:right w:val="nil"/>
            </w:tcBorders>
            <w:shd w:val="clear" w:color="auto" w:fill="auto"/>
            <w:hideMark/>
          </w:tcPr>
          <w:p w14:paraId="46E1B9D8" w14:textId="77777777" w:rsidR="009758B9" w:rsidRPr="001340AB" w:rsidRDefault="009758B9" w:rsidP="002C7240">
            <w:pPr>
              <w:spacing w:after="0" w:line="300" w:lineRule="auto"/>
              <w:jc w:val="right"/>
              <w:rPr>
                <w:color w:val="000000"/>
                <w:szCs w:val="24"/>
              </w:rPr>
            </w:pPr>
            <w:r w:rsidRPr="001340AB">
              <w:t>2%</w:t>
            </w:r>
          </w:p>
        </w:tc>
        <w:tc>
          <w:tcPr>
            <w:tcW w:w="1008" w:type="dxa"/>
            <w:tcBorders>
              <w:top w:val="nil"/>
              <w:left w:val="nil"/>
              <w:bottom w:val="nil"/>
              <w:right w:val="nil"/>
            </w:tcBorders>
            <w:shd w:val="clear" w:color="auto" w:fill="auto"/>
            <w:hideMark/>
          </w:tcPr>
          <w:p w14:paraId="5CA368A9" w14:textId="77777777" w:rsidR="009758B9" w:rsidRPr="001340AB" w:rsidRDefault="009758B9" w:rsidP="002C7240">
            <w:pPr>
              <w:spacing w:after="0" w:line="300" w:lineRule="auto"/>
              <w:jc w:val="right"/>
              <w:rPr>
                <w:color w:val="000000"/>
                <w:szCs w:val="24"/>
              </w:rPr>
            </w:pPr>
            <w:r w:rsidRPr="001340AB">
              <w:t>267</w:t>
            </w:r>
          </w:p>
        </w:tc>
        <w:tc>
          <w:tcPr>
            <w:tcW w:w="1009" w:type="dxa"/>
            <w:tcBorders>
              <w:top w:val="nil"/>
              <w:left w:val="nil"/>
              <w:bottom w:val="nil"/>
              <w:right w:val="nil"/>
            </w:tcBorders>
            <w:shd w:val="clear" w:color="auto" w:fill="auto"/>
            <w:hideMark/>
          </w:tcPr>
          <w:p w14:paraId="03F30965" w14:textId="77777777" w:rsidR="009758B9" w:rsidRPr="001340AB" w:rsidRDefault="009758B9" w:rsidP="002C7240">
            <w:pPr>
              <w:spacing w:after="0" w:line="300" w:lineRule="auto"/>
              <w:jc w:val="right"/>
              <w:rPr>
                <w:color w:val="000000"/>
                <w:szCs w:val="24"/>
              </w:rPr>
            </w:pPr>
            <w:r w:rsidRPr="001340AB">
              <w:t>93%</w:t>
            </w:r>
          </w:p>
        </w:tc>
        <w:tc>
          <w:tcPr>
            <w:tcW w:w="1008" w:type="dxa"/>
            <w:tcBorders>
              <w:top w:val="nil"/>
              <w:left w:val="nil"/>
              <w:bottom w:val="nil"/>
              <w:right w:val="nil"/>
            </w:tcBorders>
            <w:shd w:val="clear" w:color="auto" w:fill="auto"/>
            <w:hideMark/>
          </w:tcPr>
          <w:p w14:paraId="1DBC0DAF" w14:textId="77777777" w:rsidR="009758B9" w:rsidRPr="001340AB" w:rsidRDefault="009758B9" w:rsidP="002C7240">
            <w:pPr>
              <w:spacing w:after="0" w:line="300" w:lineRule="auto"/>
              <w:jc w:val="right"/>
              <w:rPr>
                <w:color w:val="000000"/>
                <w:szCs w:val="24"/>
              </w:rPr>
            </w:pPr>
            <w:r w:rsidRPr="001340AB">
              <w:t>272</w:t>
            </w:r>
          </w:p>
        </w:tc>
        <w:tc>
          <w:tcPr>
            <w:tcW w:w="1010" w:type="dxa"/>
            <w:tcBorders>
              <w:top w:val="nil"/>
              <w:left w:val="nil"/>
              <w:bottom w:val="nil"/>
              <w:right w:val="nil"/>
            </w:tcBorders>
            <w:shd w:val="clear" w:color="auto" w:fill="auto"/>
            <w:hideMark/>
          </w:tcPr>
          <w:p w14:paraId="5265A992" w14:textId="77777777" w:rsidR="009758B9" w:rsidRPr="001340AB" w:rsidRDefault="009758B9" w:rsidP="002C7240">
            <w:pPr>
              <w:spacing w:after="0" w:line="300" w:lineRule="auto"/>
              <w:jc w:val="right"/>
              <w:rPr>
                <w:color w:val="000000"/>
                <w:szCs w:val="24"/>
              </w:rPr>
            </w:pPr>
            <w:r w:rsidRPr="001340AB">
              <w:t>28%</w:t>
            </w:r>
          </w:p>
        </w:tc>
      </w:tr>
      <w:tr w:rsidR="009758B9" w:rsidRPr="001340AB" w14:paraId="01DC5B94" w14:textId="77777777" w:rsidTr="002C7240">
        <w:trPr>
          <w:trHeight w:val="287"/>
        </w:trPr>
        <w:tc>
          <w:tcPr>
            <w:tcW w:w="4292" w:type="dxa"/>
            <w:tcBorders>
              <w:top w:val="nil"/>
              <w:left w:val="nil"/>
              <w:bottom w:val="nil"/>
              <w:right w:val="nil"/>
            </w:tcBorders>
            <w:shd w:val="clear" w:color="auto" w:fill="auto"/>
            <w:noWrap/>
            <w:vAlign w:val="bottom"/>
            <w:hideMark/>
          </w:tcPr>
          <w:p w14:paraId="76DBF6F0" w14:textId="77777777" w:rsidR="009758B9" w:rsidRPr="001340AB" w:rsidRDefault="009758B9" w:rsidP="002C7240">
            <w:pPr>
              <w:spacing w:after="0" w:line="300" w:lineRule="auto"/>
              <w:rPr>
                <w:b/>
                <w:bCs/>
                <w:color w:val="000000"/>
                <w:szCs w:val="24"/>
              </w:rPr>
            </w:pPr>
            <w:r w:rsidRPr="001340AB">
              <w:rPr>
                <w:b/>
                <w:bCs/>
                <w:color w:val="000000"/>
                <w:szCs w:val="24"/>
              </w:rPr>
              <w:t>Total</w:t>
            </w:r>
          </w:p>
        </w:tc>
        <w:tc>
          <w:tcPr>
            <w:tcW w:w="1008" w:type="dxa"/>
            <w:tcBorders>
              <w:top w:val="nil"/>
              <w:left w:val="nil"/>
              <w:bottom w:val="nil"/>
              <w:right w:val="nil"/>
            </w:tcBorders>
            <w:shd w:val="clear" w:color="auto" w:fill="auto"/>
            <w:hideMark/>
          </w:tcPr>
          <w:p w14:paraId="6F9D5B62" w14:textId="77777777" w:rsidR="009758B9" w:rsidRPr="001340AB" w:rsidRDefault="009758B9" w:rsidP="002C7240">
            <w:pPr>
              <w:spacing w:after="0" w:line="300" w:lineRule="auto"/>
              <w:jc w:val="right"/>
              <w:rPr>
                <w:color w:val="000000"/>
                <w:szCs w:val="24"/>
              </w:rPr>
            </w:pPr>
            <w:r w:rsidRPr="001340AB">
              <w:t>398</w:t>
            </w:r>
          </w:p>
        </w:tc>
        <w:tc>
          <w:tcPr>
            <w:tcW w:w="1009" w:type="dxa"/>
            <w:tcBorders>
              <w:top w:val="nil"/>
              <w:left w:val="nil"/>
              <w:bottom w:val="nil"/>
              <w:right w:val="nil"/>
            </w:tcBorders>
            <w:shd w:val="clear" w:color="auto" w:fill="auto"/>
            <w:hideMark/>
          </w:tcPr>
          <w:p w14:paraId="02C7A4BC" w14:textId="77777777" w:rsidR="009758B9" w:rsidRPr="001340AB" w:rsidRDefault="009758B9" w:rsidP="002C7240">
            <w:pPr>
              <w:spacing w:after="0" w:line="300" w:lineRule="auto"/>
              <w:jc w:val="right"/>
              <w:rPr>
                <w:color w:val="000000"/>
                <w:szCs w:val="24"/>
              </w:rPr>
            </w:pPr>
          </w:p>
        </w:tc>
        <w:tc>
          <w:tcPr>
            <w:tcW w:w="1008" w:type="dxa"/>
            <w:tcBorders>
              <w:top w:val="nil"/>
              <w:left w:val="nil"/>
              <w:bottom w:val="nil"/>
              <w:right w:val="nil"/>
            </w:tcBorders>
            <w:shd w:val="clear" w:color="auto" w:fill="auto"/>
            <w:hideMark/>
          </w:tcPr>
          <w:p w14:paraId="40076397" w14:textId="77777777" w:rsidR="009758B9" w:rsidRPr="001340AB" w:rsidRDefault="009758B9" w:rsidP="002C7240">
            <w:pPr>
              <w:spacing w:after="0" w:line="300" w:lineRule="auto"/>
              <w:jc w:val="right"/>
              <w:rPr>
                <w:color w:val="000000"/>
                <w:szCs w:val="24"/>
              </w:rPr>
            </w:pPr>
            <w:r w:rsidRPr="001340AB">
              <w:t>281</w:t>
            </w:r>
          </w:p>
        </w:tc>
        <w:tc>
          <w:tcPr>
            <w:tcW w:w="1009" w:type="dxa"/>
            <w:tcBorders>
              <w:top w:val="nil"/>
              <w:left w:val="nil"/>
              <w:bottom w:val="nil"/>
              <w:right w:val="nil"/>
            </w:tcBorders>
            <w:shd w:val="clear" w:color="auto" w:fill="auto"/>
            <w:hideMark/>
          </w:tcPr>
          <w:p w14:paraId="76846089" w14:textId="77777777" w:rsidR="009758B9" w:rsidRPr="001340AB" w:rsidRDefault="009758B9" w:rsidP="002C7240">
            <w:pPr>
              <w:spacing w:after="0" w:line="300" w:lineRule="auto"/>
              <w:jc w:val="right"/>
              <w:rPr>
                <w:color w:val="000000"/>
                <w:szCs w:val="24"/>
              </w:rPr>
            </w:pPr>
          </w:p>
        </w:tc>
        <w:tc>
          <w:tcPr>
            <w:tcW w:w="1008" w:type="dxa"/>
            <w:tcBorders>
              <w:top w:val="nil"/>
              <w:left w:val="nil"/>
              <w:bottom w:val="nil"/>
              <w:right w:val="nil"/>
            </w:tcBorders>
            <w:shd w:val="clear" w:color="auto" w:fill="auto"/>
            <w:hideMark/>
          </w:tcPr>
          <w:p w14:paraId="4F785FF4" w14:textId="77777777" w:rsidR="009758B9" w:rsidRPr="001340AB" w:rsidRDefault="009758B9" w:rsidP="002C7240">
            <w:pPr>
              <w:spacing w:after="0" w:line="300" w:lineRule="auto"/>
              <w:jc w:val="right"/>
              <w:rPr>
                <w:color w:val="000000"/>
                <w:szCs w:val="24"/>
              </w:rPr>
            </w:pPr>
            <w:r w:rsidRPr="001340AB">
              <w:t>286</w:t>
            </w:r>
          </w:p>
        </w:tc>
        <w:tc>
          <w:tcPr>
            <w:tcW w:w="1009" w:type="dxa"/>
            <w:tcBorders>
              <w:top w:val="nil"/>
              <w:left w:val="nil"/>
              <w:bottom w:val="nil"/>
              <w:right w:val="nil"/>
            </w:tcBorders>
            <w:shd w:val="clear" w:color="auto" w:fill="auto"/>
            <w:hideMark/>
          </w:tcPr>
          <w:p w14:paraId="5805FAF7" w14:textId="77777777" w:rsidR="009758B9" w:rsidRPr="001340AB" w:rsidRDefault="009758B9" w:rsidP="002C7240">
            <w:pPr>
              <w:spacing w:after="0" w:line="300" w:lineRule="auto"/>
              <w:jc w:val="right"/>
              <w:rPr>
                <w:color w:val="000000"/>
                <w:szCs w:val="24"/>
              </w:rPr>
            </w:pPr>
          </w:p>
        </w:tc>
        <w:tc>
          <w:tcPr>
            <w:tcW w:w="1008" w:type="dxa"/>
            <w:tcBorders>
              <w:top w:val="nil"/>
              <w:left w:val="nil"/>
              <w:bottom w:val="nil"/>
              <w:right w:val="nil"/>
            </w:tcBorders>
            <w:shd w:val="clear" w:color="auto" w:fill="auto"/>
            <w:hideMark/>
          </w:tcPr>
          <w:p w14:paraId="7879C213" w14:textId="77777777" w:rsidR="009758B9" w:rsidRPr="001340AB" w:rsidRDefault="009758B9" w:rsidP="002C7240">
            <w:pPr>
              <w:spacing w:after="0" w:line="300" w:lineRule="auto"/>
              <w:jc w:val="right"/>
              <w:rPr>
                <w:color w:val="000000"/>
                <w:szCs w:val="24"/>
              </w:rPr>
            </w:pPr>
            <w:r w:rsidRPr="001340AB">
              <w:t>965</w:t>
            </w:r>
          </w:p>
        </w:tc>
        <w:tc>
          <w:tcPr>
            <w:tcW w:w="1010" w:type="dxa"/>
            <w:tcBorders>
              <w:top w:val="nil"/>
              <w:left w:val="nil"/>
              <w:bottom w:val="nil"/>
              <w:right w:val="nil"/>
            </w:tcBorders>
            <w:shd w:val="clear" w:color="auto" w:fill="auto"/>
            <w:hideMark/>
          </w:tcPr>
          <w:p w14:paraId="721745C4" w14:textId="77777777" w:rsidR="009758B9" w:rsidRPr="001340AB" w:rsidRDefault="009758B9" w:rsidP="002C7240">
            <w:pPr>
              <w:spacing w:after="0" w:line="300" w:lineRule="auto"/>
              <w:jc w:val="right"/>
              <w:rPr>
                <w:color w:val="000000"/>
                <w:szCs w:val="24"/>
              </w:rPr>
            </w:pPr>
          </w:p>
        </w:tc>
      </w:tr>
      <w:tr w:rsidR="009758B9" w:rsidRPr="001340AB" w14:paraId="6641D463" w14:textId="77777777" w:rsidTr="002C7240">
        <w:trPr>
          <w:trHeight w:val="287"/>
        </w:trPr>
        <w:tc>
          <w:tcPr>
            <w:tcW w:w="4292" w:type="dxa"/>
            <w:tcBorders>
              <w:top w:val="nil"/>
              <w:left w:val="nil"/>
              <w:bottom w:val="nil"/>
              <w:right w:val="nil"/>
            </w:tcBorders>
            <w:shd w:val="clear" w:color="auto" w:fill="auto"/>
            <w:noWrap/>
            <w:vAlign w:val="bottom"/>
            <w:hideMark/>
          </w:tcPr>
          <w:p w14:paraId="7DB1FB7A" w14:textId="77777777" w:rsidR="009758B9" w:rsidRPr="001340AB" w:rsidRDefault="009758B9" w:rsidP="002C7240">
            <w:pPr>
              <w:spacing w:after="0" w:line="300" w:lineRule="auto"/>
              <w:rPr>
                <w:szCs w:val="24"/>
              </w:rPr>
            </w:pPr>
          </w:p>
        </w:tc>
        <w:tc>
          <w:tcPr>
            <w:tcW w:w="1008" w:type="dxa"/>
            <w:tcBorders>
              <w:top w:val="nil"/>
              <w:left w:val="nil"/>
              <w:bottom w:val="nil"/>
              <w:right w:val="nil"/>
            </w:tcBorders>
            <w:shd w:val="clear" w:color="auto" w:fill="auto"/>
            <w:hideMark/>
          </w:tcPr>
          <w:p w14:paraId="300978CD" w14:textId="77777777" w:rsidR="009758B9" w:rsidRPr="001340AB" w:rsidRDefault="009758B9" w:rsidP="002C7240">
            <w:pPr>
              <w:spacing w:after="0" w:line="300" w:lineRule="auto"/>
              <w:rPr>
                <w:szCs w:val="24"/>
              </w:rPr>
            </w:pPr>
          </w:p>
        </w:tc>
        <w:tc>
          <w:tcPr>
            <w:tcW w:w="1009" w:type="dxa"/>
            <w:tcBorders>
              <w:top w:val="nil"/>
              <w:left w:val="nil"/>
              <w:bottom w:val="nil"/>
              <w:right w:val="nil"/>
            </w:tcBorders>
            <w:shd w:val="clear" w:color="auto" w:fill="auto"/>
            <w:hideMark/>
          </w:tcPr>
          <w:p w14:paraId="766C163A" w14:textId="77777777" w:rsidR="009758B9" w:rsidRPr="001340AB" w:rsidRDefault="009758B9" w:rsidP="002C7240">
            <w:pPr>
              <w:spacing w:after="0" w:line="300" w:lineRule="auto"/>
              <w:rPr>
                <w:szCs w:val="24"/>
              </w:rPr>
            </w:pPr>
          </w:p>
        </w:tc>
        <w:tc>
          <w:tcPr>
            <w:tcW w:w="1008" w:type="dxa"/>
            <w:tcBorders>
              <w:top w:val="nil"/>
              <w:left w:val="nil"/>
              <w:bottom w:val="nil"/>
              <w:right w:val="nil"/>
            </w:tcBorders>
            <w:shd w:val="clear" w:color="auto" w:fill="auto"/>
            <w:hideMark/>
          </w:tcPr>
          <w:p w14:paraId="2B9DB365" w14:textId="77777777" w:rsidR="009758B9" w:rsidRPr="001340AB" w:rsidRDefault="009758B9" w:rsidP="002C7240">
            <w:pPr>
              <w:spacing w:after="0" w:line="300" w:lineRule="auto"/>
              <w:rPr>
                <w:szCs w:val="24"/>
              </w:rPr>
            </w:pPr>
          </w:p>
        </w:tc>
        <w:tc>
          <w:tcPr>
            <w:tcW w:w="1009" w:type="dxa"/>
            <w:tcBorders>
              <w:top w:val="nil"/>
              <w:left w:val="nil"/>
              <w:bottom w:val="nil"/>
              <w:right w:val="nil"/>
            </w:tcBorders>
            <w:shd w:val="clear" w:color="auto" w:fill="auto"/>
            <w:hideMark/>
          </w:tcPr>
          <w:p w14:paraId="5BF7FB23" w14:textId="77777777" w:rsidR="009758B9" w:rsidRPr="001340AB" w:rsidRDefault="009758B9" w:rsidP="002C7240">
            <w:pPr>
              <w:spacing w:after="0" w:line="300" w:lineRule="auto"/>
              <w:rPr>
                <w:szCs w:val="24"/>
              </w:rPr>
            </w:pPr>
          </w:p>
        </w:tc>
        <w:tc>
          <w:tcPr>
            <w:tcW w:w="1008" w:type="dxa"/>
            <w:tcBorders>
              <w:top w:val="nil"/>
              <w:left w:val="nil"/>
              <w:bottom w:val="nil"/>
              <w:right w:val="nil"/>
            </w:tcBorders>
            <w:shd w:val="clear" w:color="auto" w:fill="auto"/>
            <w:hideMark/>
          </w:tcPr>
          <w:p w14:paraId="536A5890" w14:textId="77777777" w:rsidR="009758B9" w:rsidRPr="001340AB" w:rsidRDefault="009758B9" w:rsidP="002C7240">
            <w:pPr>
              <w:spacing w:after="0" w:line="300" w:lineRule="auto"/>
              <w:rPr>
                <w:szCs w:val="24"/>
              </w:rPr>
            </w:pPr>
          </w:p>
        </w:tc>
        <w:tc>
          <w:tcPr>
            <w:tcW w:w="1009" w:type="dxa"/>
            <w:tcBorders>
              <w:top w:val="nil"/>
              <w:left w:val="nil"/>
              <w:bottom w:val="nil"/>
              <w:right w:val="nil"/>
            </w:tcBorders>
            <w:shd w:val="clear" w:color="auto" w:fill="auto"/>
            <w:hideMark/>
          </w:tcPr>
          <w:p w14:paraId="31D466E7" w14:textId="77777777" w:rsidR="009758B9" w:rsidRPr="001340AB" w:rsidRDefault="009758B9" w:rsidP="002C7240">
            <w:pPr>
              <w:spacing w:after="0" w:line="300" w:lineRule="auto"/>
              <w:rPr>
                <w:szCs w:val="24"/>
              </w:rPr>
            </w:pPr>
          </w:p>
        </w:tc>
        <w:tc>
          <w:tcPr>
            <w:tcW w:w="1008" w:type="dxa"/>
            <w:tcBorders>
              <w:top w:val="nil"/>
              <w:left w:val="nil"/>
              <w:bottom w:val="nil"/>
              <w:right w:val="nil"/>
            </w:tcBorders>
            <w:shd w:val="clear" w:color="auto" w:fill="auto"/>
            <w:hideMark/>
          </w:tcPr>
          <w:p w14:paraId="3C7C768C" w14:textId="77777777" w:rsidR="009758B9" w:rsidRPr="001340AB" w:rsidRDefault="009758B9" w:rsidP="002C7240">
            <w:pPr>
              <w:spacing w:after="0" w:line="300" w:lineRule="auto"/>
              <w:rPr>
                <w:szCs w:val="24"/>
              </w:rPr>
            </w:pPr>
          </w:p>
        </w:tc>
        <w:tc>
          <w:tcPr>
            <w:tcW w:w="1010" w:type="dxa"/>
            <w:tcBorders>
              <w:top w:val="nil"/>
              <w:left w:val="nil"/>
              <w:bottom w:val="nil"/>
              <w:right w:val="nil"/>
            </w:tcBorders>
            <w:shd w:val="clear" w:color="auto" w:fill="auto"/>
            <w:hideMark/>
          </w:tcPr>
          <w:p w14:paraId="0DDCAF68" w14:textId="77777777" w:rsidR="009758B9" w:rsidRPr="001340AB" w:rsidRDefault="009758B9" w:rsidP="002C7240">
            <w:pPr>
              <w:spacing w:after="0" w:line="300" w:lineRule="auto"/>
              <w:rPr>
                <w:szCs w:val="24"/>
              </w:rPr>
            </w:pPr>
          </w:p>
        </w:tc>
      </w:tr>
      <w:tr w:rsidR="009758B9" w:rsidRPr="001340AB" w14:paraId="32DF8601" w14:textId="77777777" w:rsidTr="002C7240">
        <w:trPr>
          <w:trHeight w:val="287"/>
        </w:trPr>
        <w:tc>
          <w:tcPr>
            <w:tcW w:w="4292" w:type="dxa"/>
            <w:tcBorders>
              <w:top w:val="nil"/>
              <w:left w:val="nil"/>
              <w:bottom w:val="nil"/>
              <w:right w:val="nil"/>
            </w:tcBorders>
            <w:shd w:val="clear" w:color="auto" w:fill="auto"/>
            <w:noWrap/>
            <w:vAlign w:val="bottom"/>
            <w:hideMark/>
          </w:tcPr>
          <w:p w14:paraId="067DCF3B" w14:textId="77777777" w:rsidR="009758B9" w:rsidRPr="001340AB" w:rsidRDefault="009758B9" w:rsidP="002C7240">
            <w:pPr>
              <w:spacing w:after="0" w:line="300" w:lineRule="auto"/>
              <w:rPr>
                <w:i/>
                <w:iCs/>
                <w:color w:val="000000"/>
                <w:szCs w:val="24"/>
              </w:rPr>
            </w:pPr>
            <w:r w:rsidRPr="001340AB">
              <w:rPr>
                <w:i/>
                <w:iCs/>
                <w:color w:val="000000"/>
                <w:szCs w:val="24"/>
              </w:rPr>
              <w:t>Observations with no incident CVD event</w:t>
            </w:r>
          </w:p>
        </w:tc>
        <w:tc>
          <w:tcPr>
            <w:tcW w:w="1008" w:type="dxa"/>
            <w:tcBorders>
              <w:top w:val="nil"/>
              <w:left w:val="nil"/>
              <w:bottom w:val="nil"/>
              <w:right w:val="nil"/>
            </w:tcBorders>
            <w:shd w:val="clear" w:color="auto" w:fill="auto"/>
            <w:hideMark/>
          </w:tcPr>
          <w:p w14:paraId="2383C82D" w14:textId="77777777" w:rsidR="009758B9" w:rsidRPr="001340AB" w:rsidRDefault="009758B9" w:rsidP="002C7240">
            <w:pPr>
              <w:spacing w:after="0" w:line="300" w:lineRule="auto"/>
              <w:rPr>
                <w:i/>
                <w:iCs/>
                <w:color w:val="000000"/>
                <w:szCs w:val="24"/>
              </w:rPr>
            </w:pPr>
          </w:p>
        </w:tc>
        <w:tc>
          <w:tcPr>
            <w:tcW w:w="1009" w:type="dxa"/>
            <w:tcBorders>
              <w:top w:val="nil"/>
              <w:left w:val="nil"/>
              <w:bottom w:val="nil"/>
              <w:right w:val="nil"/>
            </w:tcBorders>
            <w:shd w:val="clear" w:color="auto" w:fill="auto"/>
            <w:hideMark/>
          </w:tcPr>
          <w:p w14:paraId="11A3339A" w14:textId="77777777" w:rsidR="009758B9" w:rsidRPr="001340AB" w:rsidRDefault="009758B9" w:rsidP="002C7240">
            <w:pPr>
              <w:spacing w:after="0" w:line="300" w:lineRule="auto"/>
              <w:rPr>
                <w:szCs w:val="24"/>
              </w:rPr>
            </w:pPr>
          </w:p>
        </w:tc>
        <w:tc>
          <w:tcPr>
            <w:tcW w:w="1008" w:type="dxa"/>
            <w:tcBorders>
              <w:top w:val="nil"/>
              <w:left w:val="nil"/>
              <w:bottom w:val="nil"/>
              <w:right w:val="nil"/>
            </w:tcBorders>
            <w:shd w:val="clear" w:color="auto" w:fill="auto"/>
            <w:hideMark/>
          </w:tcPr>
          <w:p w14:paraId="3CFF58D6" w14:textId="77777777" w:rsidR="009758B9" w:rsidRPr="001340AB" w:rsidRDefault="009758B9" w:rsidP="002C7240">
            <w:pPr>
              <w:spacing w:after="0" w:line="300" w:lineRule="auto"/>
              <w:rPr>
                <w:szCs w:val="24"/>
              </w:rPr>
            </w:pPr>
          </w:p>
        </w:tc>
        <w:tc>
          <w:tcPr>
            <w:tcW w:w="1009" w:type="dxa"/>
            <w:tcBorders>
              <w:top w:val="nil"/>
              <w:left w:val="nil"/>
              <w:bottom w:val="nil"/>
              <w:right w:val="nil"/>
            </w:tcBorders>
            <w:shd w:val="clear" w:color="auto" w:fill="auto"/>
            <w:hideMark/>
          </w:tcPr>
          <w:p w14:paraId="2AFFE4EE" w14:textId="77777777" w:rsidR="009758B9" w:rsidRPr="001340AB" w:rsidRDefault="009758B9" w:rsidP="002C7240">
            <w:pPr>
              <w:spacing w:after="0" w:line="300" w:lineRule="auto"/>
              <w:rPr>
                <w:szCs w:val="24"/>
              </w:rPr>
            </w:pPr>
          </w:p>
        </w:tc>
        <w:tc>
          <w:tcPr>
            <w:tcW w:w="1008" w:type="dxa"/>
            <w:tcBorders>
              <w:top w:val="nil"/>
              <w:left w:val="nil"/>
              <w:bottom w:val="nil"/>
              <w:right w:val="nil"/>
            </w:tcBorders>
            <w:shd w:val="clear" w:color="auto" w:fill="auto"/>
            <w:hideMark/>
          </w:tcPr>
          <w:p w14:paraId="35FE5A79" w14:textId="77777777" w:rsidR="009758B9" w:rsidRPr="001340AB" w:rsidRDefault="009758B9" w:rsidP="002C7240">
            <w:pPr>
              <w:spacing w:after="0" w:line="300" w:lineRule="auto"/>
              <w:rPr>
                <w:szCs w:val="24"/>
              </w:rPr>
            </w:pPr>
          </w:p>
        </w:tc>
        <w:tc>
          <w:tcPr>
            <w:tcW w:w="1009" w:type="dxa"/>
            <w:tcBorders>
              <w:top w:val="nil"/>
              <w:left w:val="nil"/>
              <w:bottom w:val="nil"/>
              <w:right w:val="nil"/>
            </w:tcBorders>
            <w:shd w:val="clear" w:color="auto" w:fill="auto"/>
            <w:hideMark/>
          </w:tcPr>
          <w:p w14:paraId="79E1AFE4" w14:textId="77777777" w:rsidR="009758B9" w:rsidRPr="001340AB" w:rsidRDefault="009758B9" w:rsidP="002C7240">
            <w:pPr>
              <w:spacing w:after="0" w:line="300" w:lineRule="auto"/>
              <w:rPr>
                <w:szCs w:val="24"/>
              </w:rPr>
            </w:pPr>
          </w:p>
        </w:tc>
        <w:tc>
          <w:tcPr>
            <w:tcW w:w="1008" w:type="dxa"/>
            <w:tcBorders>
              <w:top w:val="nil"/>
              <w:left w:val="nil"/>
              <w:bottom w:val="nil"/>
              <w:right w:val="nil"/>
            </w:tcBorders>
            <w:shd w:val="clear" w:color="auto" w:fill="auto"/>
            <w:hideMark/>
          </w:tcPr>
          <w:p w14:paraId="6225B929" w14:textId="77777777" w:rsidR="009758B9" w:rsidRPr="001340AB" w:rsidRDefault="009758B9" w:rsidP="002C7240">
            <w:pPr>
              <w:spacing w:after="0" w:line="300" w:lineRule="auto"/>
              <w:rPr>
                <w:szCs w:val="24"/>
              </w:rPr>
            </w:pPr>
          </w:p>
        </w:tc>
        <w:tc>
          <w:tcPr>
            <w:tcW w:w="1010" w:type="dxa"/>
            <w:tcBorders>
              <w:top w:val="nil"/>
              <w:left w:val="nil"/>
              <w:bottom w:val="nil"/>
              <w:right w:val="nil"/>
            </w:tcBorders>
            <w:shd w:val="clear" w:color="auto" w:fill="auto"/>
            <w:hideMark/>
          </w:tcPr>
          <w:p w14:paraId="5C3D3322" w14:textId="77777777" w:rsidR="009758B9" w:rsidRPr="001340AB" w:rsidRDefault="009758B9" w:rsidP="002C7240">
            <w:pPr>
              <w:spacing w:after="0" w:line="300" w:lineRule="auto"/>
              <w:rPr>
                <w:szCs w:val="24"/>
              </w:rPr>
            </w:pPr>
          </w:p>
        </w:tc>
      </w:tr>
      <w:tr w:rsidR="009758B9" w:rsidRPr="001340AB" w14:paraId="740060DF" w14:textId="77777777" w:rsidTr="002C7240">
        <w:trPr>
          <w:trHeight w:val="287"/>
        </w:trPr>
        <w:tc>
          <w:tcPr>
            <w:tcW w:w="4292" w:type="dxa"/>
            <w:tcBorders>
              <w:top w:val="nil"/>
              <w:left w:val="nil"/>
              <w:bottom w:val="nil"/>
              <w:right w:val="nil"/>
            </w:tcBorders>
            <w:shd w:val="clear" w:color="auto" w:fill="auto"/>
            <w:noWrap/>
            <w:vAlign w:val="bottom"/>
            <w:hideMark/>
          </w:tcPr>
          <w:p w14:paraId="4424A85C" w14:textId="77777777" w:rsidR="009758B9" w:rsidRPr="001340AB" w:rsidRDefault="009758B9" w:rsidP="002C7240">
            <w:pPr>
              <w:spacing w:after="0" w:line="300" w:lineRule="auto"/>
              <w:rPr>
                <w:color w:val="000000"/>
                <w:szCs w:val="24"/>
              </w:rPr>
            </w:pPr>
            <w:r w:rsidRPr="001340AB">
              <w:rPr>
                <w:color w:val="000000"/>
                <w:szCs w:val="24"/>
              </w:rPr>
              <w:t>0-&lt;5%</w:t>
            </w:r>
          </w:p>
        </w:tc>
        <w:tc>
          <w:tcPr>
            <w:tcW w:w="1008" w:type="dxa"/>
            <w:tcBorders>
              <w:top w:val="nil"/>
              <w:left w:val="nil"/>
              <w:bottom w:val="nil"/>
              <w:right w:val="nil"/>
            </w:tcBorders>
            <w:shd w:val="clear" w:color="auto" w:fill="auto"/>
            <w:hideMark/>
          </w:tcPr>
          <w:p w14:paraId="4D5B9CA6" w14:textId="77777777" w:rsidR="009758B9" w:rsidRPr="001340AB" w:rsidRDefault="009758B9" w:rsidP="002C7240">
            <w:pPr>
              <w:spacing w:after="0" w:line="300" w:lineRule="auto"/>
              <w:jc w:val="right"/>
              <w:rPr>
                <w:color w:val="000000"/>
                <w:szCs w:val="24"/>
              </w:rPr>
            </w:pPr>
            <w:r w:rsidRPr="001340AB">
              <w:t>19,853</w:t>
            </w:r>
          </w:p>
        </w:tc>
        <w:tc>
          <w:tcPr>
            <w:tcW w:w="1009" w:type="dxa"/>
            <w:tcBorders>
              <w:top w:val="nil"/>
              <w:left w:val="nil"/>
              <w:bottom w:val="nil"/>
              <w:right w:val="nil"/>
            </w:tcBorders>
            <w:shd w:val="clear" w:color="auto" w:fill="auto"/>
            <w:hideMark/>
          </w:tcPr>
          <w:p w14:paraId="4E95743B" w14:textId="77777777" w:rsidR="009758B9" w:rsidRPr="001340AB" w:rsidRDefault="009758B9" w:rsidP="002C7240">
            <w:pPr>
              <w:spacing w:after="0" w:line="300" w:lineRule="auto"/>
              <w:jc w:val="right"/>
              <w:rPr>
                <w:color w:val="000000"/>
                <w:szCs w:val="24"/>
              </w:rPr>
            </w:pPr>
            <w:r w:rsidRPr="001340AB">
              <w:t>99%</w:t>
            </w:r>
          </w:p>
        </w:tc>
        <w:tc>
          <w:tcPr>
            <w:tcW w:w="1008" w:type="dxa"/>
            <w:tcBorders>
              <w:top w:val="nil"/>
              <w:left w:val="nil"/>
              <w:bottom w:val="nil"/>
              <w:right w:val="nil"/>
            </w:tcBorders>
            <w:shd w:val="clear" w:color="auto" w:fill="auto"/>
            <w:hideMark/>
          </w:tcPr>
          <w:p w14:paraId="5698D2CD" w14:textId="77777777" w:rsidR="009758B9" w:rsidRPr="001340AB" w:rsidRDefault="009758B9" w:rsidP="002C7240">
            <w:pPr>
              <w:spacing w:after="0" w:line="300" w:lineRule="auto"/>
              <w:jc w:val="right"/>
              <w:rPr>
                <w:color w:val="000000"/>
                <w:szCs w:val="24"/>
              </w:rPr>
            </w:pPr>
            <w:r w:rsidRPr="001340AB">
              <w:t>179</w:t>
            </w:r>
          </w:p>
        </w:tc>
        <w:tc>
          <w:tcPr>
            <w:tcW w:w="1009" w:type="dxa"/>
            <w:tcBorders>
              <w:top w:val="nil"/>
              <w:left w:val="nil"/>
              <w:bottom w:val="nil"/>
              <w:right w:val="nil"/>
            </w:tcBorders>
            <w:shd w:val="clear" w:color="auto" w:fill="auto"/>
            <w:hideMark/>
          </w:tcPr>
          <w:p w14:paraId="3FDBD45F" w14:textId="77777777" w:rsidR="009758B9" w:rsidRPr="001340AB" w:rsidRDefault="009758B9" w:rsidP="002C7240">
            <w:pPr>
              <w:spacing w:after="0" w:line="300" w:lineRule="auto"/>
              <w:jc w:val="right"/>
              <w:rPr>
                <w:color w:val="000000"/>
                <w:szCs w:val="24"/>
              </w:rPr>
            </w:pPr>
            <w:r w:rsidRPr="001340AB">
              <w:t>5%</w:t>
            </w:r>
          </w:p>
        </w:tc>
        <w:tc>
          <w:tcPr>
            <w:tcW w:w="1008" w:type="dxa"/>
            <w:tcBorders>
              <w:top w:val="nil"/>
              <w:left w:val="nil"/>
              <w:bottom w:val="nil"/>
              <w:right w:val="nil"/>
            </w:tcBorders>
            <w:shd w:val="clear" w:color="auto" w:fill="auto"/>
            <w:hideMark/>
          </w:tcPr>
          <w:p w14:paraId="6F6F0871" w14:textId="77777777" w:rsidR="009758B9" w:rsidRPr="001340AB" w:rsidRDefault="009758B9" w:rsidP="002C7240">
            <w:pPr>
              <w:spacing w:after="0" w:line="300" w:lineRule="auto"/>
              <w:jc w:val="right"/>
              <w:rPr>
                <w:color w:val="000000"/>
                <w:szCs w:val="24"/>
              </w:rPr>
            </w:pPr>
            <w:r w:rsidRPr="001340AB">
              <w:t>0</w:t>
            </w:r>
          </w:p>
        </w:tc>
        <w:tc>
          <w:tcPr>
            <w:tcW w:w="1009" w:type="dxa"/>
            <w:tcBorders>
              <w:top w:val="nil"/>
              <w:left w:val="nil"/>
              <w:bottom w:val="nil"/>
              <w:right w:val="nil"/>
            </w:tcBorders>
            <w:shd w:val="clear" w:color="auto" w:fill="auto"/>
            <w:hideMark/>
          </w:tcPr>
          <w:p w14:paraId="11A3BF47" w14:textId="77777777" w:rsidR="009758B9" w:rsidRPr="001340AB" w:rsidRDefault="009758B9" w:rsidP="002C7240">
            <w:pPr>
              <w:spacing w:after="0" w:line="300" w:lineRule="auto"/>
              <w:jc w:val="right"/>
              <w:rPr>
                <w:color w:val="000000"/>
                <w:szCs w:val="24"/>
              </w:rPr>
            </w:pPr>
            <w:r w:rsidRPr="001340AB">
              <w:t>0%</w:t>
            </w:r>
          </w:p>
        </w:tc>
        <w:tc>
          <w:tcPr>
            <w:tcW w:w="1008" w:type="dxa"/>
            <w:tcBorders>
              <w:top w:val="nil"/>
              <w:left w:val="nil"/>
              <w:bottom w:val="nil"/>
              <w:right w:val="nil"/>
            </w:tcBorders>
            <w:shd w:val="clear" w:color="auto" w:fill="auto"/>
            <w:hideMark/>
          </w:tcPr>
          <w:p w14:paraId="51EDD3BE" w14:textId="77777777" w:rsidR="009758B9" w:rsidRPr="001340AB" w:rsidRDefault="009758B9" w:rsidP="002C7240">
            <w:pPr>
              <w:spacing w:after="0" w:line="300" w:lineRule="auto"/>
              <w:jc w:val="right"/>
              <w:rPr>
                <w:color w:val="000000"/>
                <w:szCs w:val="24"/>
              </w:rPr>
            </w:pPr>
            <w:r w:rsidRPr="001340AB">
              <w:t>20,032</w:t>
            </w:r>
          </w:p>
        </w:tc>
        <w:tc>
          <w:tcPr>
            <w:tcW w:w="1010" w:type="dxa"/>
            <w:tcBorders>
              <w:top w:val="nil"/>
              <w:left w:val="nil"/>
              <w:bottom w:val="nil"/>
              <w:right w:val="nil"/>
            </w:tcBorders>
            <w:shd w:val="clear" w:color="auto" w:fill="auto"/>
            <w:hideMark/>
          </w:tcPr>
          <w:p w14:paraId="2BE10EC5" w14:textId="77777777" w:rsidR="009758B9" w:rsidRPr="001340AB" w:rsidRDefault="009758B9" w:rsidP="002C7240">
            <w:pPr>
              <w:spacing w:after="0" w:line="300" w:lineRule="auto"/>
              <w:jc w:val="right"/>
              <w:rPr>
                <w:color w:val="000000"/>
                <w:szCs w:val="24"/>
              </w:rPr>
            </w:pPr>
            <w:r w:rsidRPr="001340AB">
              <w:t>78%</w:t>
            </w:r>
          </w:p>
        </w:tc>
      </w:tr>
      <w:tr w:rsidR="009758B9" w:rsidRPr="001340AB" w14:paraId="7C820321" w14:textId="77777777" w:rsidTr="002C7240">
        <w:trPr>
          <w:trHeight w:val="287"/>
        </w:trPr>
        <w:tc>
          <w:tcPr>
            <w:tcW w:w="4292" w:type="dxa"/>
            <w:tcBorders>
              <w:top w:val="nil"/>
              <w:left w:val="nil"/>
              <w:bottom w:val="nil"/>
              <w:right w:val="nil"/>
            </w:tcBorders>
            <w:shd w:val="clear" w:color="auto" w:fill="auto"/>
            <w:noWrap/>
            <w:vAlign w:val="bottom"/>
            <w:hideMark/>
          </w:tcPr>
          <w:p w14:paraId="4D914BE3" w14:textId="77777777" w:rsidR="009758B9" w:rsidRPr="001340AB" w:rsidRDefault="009758B9" w:rsidP="002C7240">
            <w:pPr>
              <w:spacing w:after="0" w:line="300" w:lineRule="auto"/>
              <w:rPr>
                <w:color w:val="000000"/>
                <w:szCs w:val="24"/>
              </w:rPr>
            </w:pPr>
            <w:r w:rsidRPr="001340AB">
              <w:rPr>
                <w:color w:val="000000"/>
                <w:szCs w:val="24"/>
              </w:rPr>
              <w:t>5-&lt;10%</w:t>
            </w:r>
          </w:p>
        </w:tc>
        <w:tc>
          <w:tcPr>
            <w:tcW w:w="1008" w:type="dxa"/>
            <w:tcBorders>
              <w:top w:val="nil"/>
              <w:left w:val="nil"/>
              <w:bottom w:val="nil"/>
              <w:right w:val="nil"/>
            </w:tcBorders>
            <w:shd w:val="clear" w:color="auto" w:fill="D9D9D9" w:themeFill="background1" w:themeFillShade="D9"/>
            <w:hideMark/>
          </w:tcPr>
          <w:p w14:paraId="5A192D7D" w14:textId="77777777" w:rsidR="009758B9" w:rsidRPr="001340AB" w:rsidRDefault="009758B9" w:rsidP="002C7240">
            <w:pPr>
              <w:spacing w:after="0" w:line="300" w:lineRule="auto"/>
              <w:jc w:val="right"/>
              <w:rPr>
                <w:color w:val="000000"/>
                <w:szCs w:val="24"/>
              </w:rPr>
            </w:pPr>
            <w:r w:rsidRPr="001340AB">
              <w:t>251</w:t>
            </w:r>
          </w:p>
        </w:tc>
        <w:tc>
          <w:tcPr>
            <w:tcW w:w="1009" w:type="dxa"/>
            <w:tcBorders>
              <w:top w:val="nil"/>
              <w:left w:val="nil"/>
              <w:bottom w:val="nil"/>
              <w:right w:val="nil"/>
            </w:tcBorders>
            <w:shd w:val="clear" w:color="auto" w:fill="D9D9D9" w:themeFill="background1" w:themeFillShade="D9"/>
            <w:hideMark/>
          </w:tcPr>
          <w:p w14:paraId="12F2EF14" w14:textId="77777777" w:rsidR="009758B9" w:rsidRPr="001340AB" w:rsidRDefault="009758B9" w:rsidP="002C7240">
            <w:pPr>
              <w:spacing w:after="0" w:line="300" w:lineRule="auto"/>
              <w:jc w:val="right"/>
              <w:rPr>
                <w:color w:val="000000"/>
                <w:szCs w:val="24"/>
              </w:rPr>
            </w:pPr>
            <w:r w:rsidRPr="001340AB">
              <w:t>1%</w:t>
            </w:r>
          </w:p>
        </w:tc>
        <w:tc>
          <w:tcPr>
            <w:tcW w:w="1008" w:type="dxa"/>
            <w:tcBorders>
              <w:top w:val="nil"/>
              <w:left w:val="nil"/>
              <w:bottom w:val="nil"/>
              <w:right w:val="nil"/>
            </w:tcBorders>
            <w:shd w:val="clear" w:color="auto" w:fill="auto"/>
            <w:hideMark/>
          </w:tcPr>
          <w:p w14:paraId="0CCA7D81" w14:textId="77777777" w:rsidR="009758B9" w:rsidRPr="001340AB" w:rsidRDefault="009758B9" w:rsidP="002C7240">
            <w:pPr>
              <w:spacing w:after="0" w:line="300" w:lineRule="auto"/>
              <w:jc w:val="right"/>
              <w:rPr>
                <w:color w:val="000000"/>
                <w:szCs w:val="24"/>
              </w:rPr>
            </w:pPr>
            <w:r w:rsidRPr="001340AB">
              <w:t>3,482</w:t>
            </w:r>
          </w:p>
        </w:tc>
        <w:tc>
          <w:tcPr>
            <w:tcW w:w="1009" w:type="dxa"/>
            <w:tcBorders>
              <w:top w:val="nil"/>
              <w:left w:val="nil"/>
              <w:bottom w:val="nil"/>
              <w:right w:val="nil"/>
            </w:tcBorders>
            <w:shd w:val="clear" w:color="auto" w:fill="auto"/>
            <w:hideMark/>
          </w:tcPr>
          <w:p w14:paraId="4F3D69EC" w14:textId="77777777" w:rsidR="009758B9" w:rsidRPr="001340AB" w:rsidRDefault="009758B9" w:rsidP="002C7240">
            <w:pPr>
              <w:spacing w:after="0" w:line="300" w:lineRule="auto"/>
              <w:jc w:val="right"/>
              <w:rPr>
                <w:color w:val="000000"/>
                <w:szCs w:val="24"/>
              </w:rPr>
            </w:pPr>
            <w:r w:rsidRPr="001340AB">
              <w:t>92%</w:t>
            </w:r>
          </w:p>
        </w:tc>
        <w:tc>
          <w:tcPr>
            <w:tcW w:w="1008" w:type="dxa"/>
            <w:tcBorders>
              <w:top w:val="nil"/>
              <w:left w:val="nil"/>
              <w:bottom w:val="nil"/>
              <w:right w:val="nil"/>
            </w:tcBorders>
            <w:shd w:val="clear" w:color="auto" w:fill="auto"/>
            <w:hideMark/>
          </w:tcPr>
          <w:p w14:paraId="02155516" w14:textId="77777777" w:rsidR="009758B9" w:rsidRPr="001340AB" w:rsidRDefault="009758B9" w:rsidP="002C7240">
            <w:pPr>
              <w:spacing w:after="0" w:line="300" w:lineRule="auto"/>
              <w:jc w:val="right"/>
              <w:rPr>
                <w:color w:val="000000"/>
                <w:szCs w:val="24"/>
              </w:rPr>
            </w:pPr>
            <w:r w:rsidRPr="001340AB">
              <w:t>95</w:t>
            </w:r>
          </w:p>
        </w:tc>
        <w:tc>
          <w:tcPr>
            <w:tcW w:w="1009" w:type="dxa"/>
            <w:tcBorders>
              <w:top w:val="nil"/>
              <w:left w:val="nil"/>
              <w:bottom w:val="nil"/>
              <w:right w:val="nil"/>
            </w:tcBorders>
            <w:shd w:val="clear" w:color="auto" w:fill="auto"/>
            <w:hideMark/>
          </w:tcPr>
          <w:p w14:paraId="076DD203" w14:textId="77777777" w:rsidR="009758B9" w:rsidRPr="001340AB" w:rsidRDefault="009758B9" w:rsidP="002C7240">
            <w:pPr>
              <w:spacing w:after="0" w:line="300" w:lineRule="auto"/>
              <w:jc w:val="right"/>
              <w:rPr>
                <w:color w:val="000000"/>
                <w:szCs w:val="24"/>
              </w:rPr>
            </w:pPr>
            <w:r w:rsidRPr="001340AB">
              <w:t>6%</w:t>
            </w:r>
          </w:p>
        </w:tc>
        <w:tc>
          <w:tcPr>
            <w:tcW w:w="1008" w:type="dxa"/>
            <w:tcBorders>
              <w:top w:val="nil"/>
              <w:left w:val="nil"/>
              <w:bottom w:val="nil"/>
              <w:right w:val="nil"/>
            </w:tcBorders>
            <w:shd w:val="clear" w:color="auto" w:fill="auto"/>
            <w:hideMark/>
          </w:tcPr>
          <w:p w14:paraId="1B1E663B" w14:textId="77777777" w:rsidR="009758B9" w:rsidRPr="001340AB" w:rsidRDefault="009758B9" w:rsidP="002C7240">
            <w:pPr>
              <w:spacing w:after="0" w:line="300" w:lineRule="auto"/>
              <w:jc w:val="right"/>
              <w:rPr>
                <w:color w:val="000000"/>
                <w:szCs w:val="24"/>
              </w:rPr>
            </w:pPr>
            <w:r w:rsidRPr="001340AB">
              <w:t>3,828</w:t>
            </w:r>
          </w:p>
        </w:tc>
        <w:tc>
          <w:tcPr>
            <w:tcW w:w="1010" w:type="dxa"/>
            <w:tcBorders>
              <w:top w:val="nil"/>
              <w:left w:val="nil"/>
              <w:bottom w:val="nil"/>
              <w:right w:val="nil"/>
            </w:tcBorders>
            <w:shd w:val="clear" w:color="auto" w:fill="auto"/>
            <w:hideMark/>
          </w:tcPr>
          <w:p w14:paraId="7844A52F" w14:textId="77777777" w:rsidR="009758B9" w:rsidRPr="001340AB" w:rsidRDefault="009758B9" w:rsidP="002C7240">
            <w:pPr>
              <w:spacing w:after="0" w:line="300" w:lineRule="auto"/>
              <w:jc w:val="right"/>
              <w:rPr>
                <w:color w:val="000000"/>
                <w:szCs w:val="24"/>
              </w:rPr>
            </w:pPr>
            <w:r w:rsidRPr="001340AB">
              <w:t>15%</w:t>
            </w:r>
          </w:p>
        </w:tc>
      </w:tr>
      <w:tr w:rsidR="009758B9" w:rsidRPr="001340AB" w14:paraId="79D5C044" w14:textId="77777777" w:rsidTr="002C7240">
        <w:trPr>
          <w:trHeight w:val="287"/>
        </w:trPr>
        <w:tc>
          <w:tcPr>
            <w:tcW w:w="4292" w:type="dxa"/>
            <w:tcBorders>
              <w:top w:val="nil"/>
              <w:left w:val="nil"/>
              <w:bottom w:val="nil"/>
              <w:right w:val="nil"/>
            </w:tcBorders>
            <w:shd w:val="clear" w:color="auto" w:fill="auto"/>
            <w:noWrap/>
            <w:vAlign w:val="bottom"/>
            <w:hideMark/>
          </w:tcPr>
          <w:p w14:paraId="22BF05BF" w14:textId="77777777" w:rsidR="009758B9" w:rsidRPr="001340AB" w:rsidRDefault="009758B9" w:rsidP="002C7240">
            <w:pPr>
              <w:spacing w:after="0" w:line="300" w:lineRule="auto"/>
              <w:rPr>
                <w:color w:val="000000"/>
                <w:szCs w:val="24"/>
              </w:rPr>
            </w:pPr>
            <w:r w:rsidRPr="001340AB">
              <w:rPr>
                <w:szCs w:val="24"/>
              </w:rPr>
              <w:t>≥10%</w:t>
            </w:r>
          </w:p>
        </w:tc>
        <w:tc>
          <w:tcPr>
            <w:tcW w:w="1008" w:type="dxa"/>
            <w:tcBorders>
              <w:top w:val="nil"/>
              <w:left w:val="nil"/>
              <w:bottom w:val="nil"/>
              <w:right w:val="nil"/>
            </w:tcBorders>
            <w:shd w:val="clear" w:color="auto" w:fill="D9D9D9" w:themeFill="background1" w:themeFillShade="D9"/>
            <w:hideMark/>
          </w:tcPr>
          <w:p w14:paraId="154C3480" w14:textId="77777777" w:rsidR="009758B9" w:rsidRPr="001340AB" w:rsidRDefault="009758B9" w:rsidP="002C7240">
            <w:pPr>
              <w:spacing w:after="0" w:line="300" w:lineRule="auto"/>
              <w:jc w:val="right"/>
              <w:rPr>
                <w:color w:val="000000"/>
                <w:szCs w:val="24"/>
              </w:rPr>
            </w:pPr>
            <w:r w:rsidRPr="001340AB">
              <w:t>0</w:t>
            </w:r>
          </w:p>
        </w:tc>
        <w:tc>
          <w:tcPr>
            <w:tcW w:w="1009" w:type="dxa"/>
            <w:tcBorders>
              <w:top w:val="nil"/>
              <w:left w:val="nil"/>
              <w:bottom w:val="nil"/>
              <w:right w:val="nil"/>
            </w:tcBorders>
            <w:shd w:val="clear" w:color="auto" w:fill="D9D9D9" w:themeFill="background1" w:themeFillShade="D9"/>
            <w:hideMark/>
          </w:tcPr>
          <w:p w14:paraId="2786CA40" w14:textId="77777777" w:rsidR="009758B9" w:rsidRPr="001340AB" w:rsidRDefault="009758B9" w:rsidP="002C7240">
            <w:pPr>
              <w:spacing w:after="0" w:line="300" w:lineRule="auto"/>
              <w:jc w:val="right"/>
              <w:rPr>
                <w:color w:val="000000"/>
                <w:szCs w:val="24"/>
              </w:rPr>
            </w:pPr>
            <w:r w:rsidRPr="001340AB">
              <w:t>0%</w:t>
            </w:r>
          </w:p>
        </w:tc>
        <w:tc>
          <w:tcPr>
            <w:tcW w:w="1008" w:type="dxa"/>
            <w:tcBorders>
              <w:top w:val="nil"/>
              <w:left w:val="nil"/>
              <w:bottom w:val="nil"/>
              <w:right w:val="nil"/>
            </w:tcBorders>
            <w:shd w:val="clear" w:color="auto" w:fill="D9D9D9" w:themeFill="background1" w:themeFillShade="D9"/>
            <w:hideMark/>
          </w:tcPr>
          <w:p w14:paraId="7909B21E" w14:textId="77777777" w:rsidR="009758B9" w:rsidRPr="001340AB" w:rsidRDefault="009758B9" w:rsidP="002C7240">
            <w:pPr>
              <w:spacing w:after="0" w:line="300" w:lineRule="auto"/>
              <w:jc w:val="right"/>
              <w:rPr>
                <w:color w:val="000000"/>
                <w:szCs w:val="24"/>
              </w:rPr>
            </w:pPr>
            <w:r w:rsidRPr="001340AB">
              <w:t>124</w:t>
            </w:r>
          </w:p>
        </w:tc>
        <w:tc>
          <w:tcPr>
            <w:tcW w:w="1009" w:type="dxa"/>
            <w:tcBorders>
              <w:top w:val="nil"/>
              <w:left w:val="nil"/>
              <w:bottom w:val="nil"/>
              <w:right w:val="nil"/>
            </w:tcBorders>
            <w:shd w:val="clear" w:color="auto" w:fill="D9D9D9" w:themeFill="background1" w:themeFillShade="D9"/>
            <w:hideMark/>
          </w:tcPr>
          <w:p w14:paraId="040323EF" w14:textId="77777777" w:rsidR="009758B9" w:rsidRPr="001340AB" w:rsidRDefault="009758B9" w:rsidP="002C7240">
            <w:pPr>
              <w:spacing w:after="0" w:line="300" w:lineRule="auto"/>
              <w:jc w:val="right"/>
              <w:rPr>
                <w:color w:val="000000"/>
                <w:szCs w:val="24"/>
              </w:rPr>
            </w:pPr>
            <w:r w:rsidRPr="001340AB">
              <w:t>3%</w:t>
            </w:r>
          </w:p>
        </w:tc>
        <w:tc>
          <w:tcPr>
            <w:tcW w:w="1008" w:type="dxa"/>
            <w:tcBorders>
              <w:top w:val="nil"/>
              <w:left w:val="nil"/>
              <w:bottom w:val="nil"/>
              <w:right w:val="nil"/>
            </w:tcBorders>
            <w:shd w:val="clear" w:color="auto" w:fill="auto"/>
            <w:hideMark/>
          </w:tcPr>
          <w:p w14:paraId="07864532" w14:textId="77777777" w:rsidR="009758B9" w:rsidRPr="001340AB" w:rsidRDefault="009758B9" w:rsidP="002C7240">
            <w:pPr>
              <w:spacing w:after="0" w:line="300" w:lineRule="auto"/>
              <w:jc w:val="right"/>
              <w:rPr>
                <w:color w:val="000000"/>
                <w:szCs w:val="24"/>
              </w:rPr>
            </w:pPr>
            <w:r w:rsidRPr="001340AB">
              <w:t>1,595</w:t>
            </w:r>
          </w:p>
        </w:tc>
        <w:tc>
          <w:tcPr>
            <w:tcW w:w="1009" w:type="dxa"/>
            <w:tcBorders>
              <w:top w:val="nil"/>
              <w:left w:val="nil"/>
              <w:bottom w:val="nil"/>
              <w:right w:val="nil"/>
            </w:tcBorders>
            <w:shd w:val="clear" w:color="auto" w:fill="auto"/>
            <w:hideMark/>
          </w:tcPr>
          <w:p w14:paraId="45193993" w14:textId="77777777" w:rsidR="009758B9" w:rsidRPr="001340AB" w:rsidRDefault="009758B9" w:rsidP="002C7240">
            <w:pPr>
              <w:spacing w:after="0" w:line="300" w:lineRule="auto"/>
              <w:jc w:val="right"/>
              <w:rPr>
                <w:color w:val="000000"/>
                <w:szCs w:val="24"/>
              </w:rPr>
            </w:pPr>
            <w:r w:rsidRPr="001340AB">
              <w:t>94%</w:t>
            </w:r>
          </w:p>
        </w:tc>
        <w:tc>
          <w:tcPr>
            <w:tcW w:w="1008" w:type="dxa"/>
            <w:tcBorders>
              <w:top w:val="nil"/>
              <w:left w:val="nil"/>
              <w:bottom w:val="nil"/>
              <w:right w:val="nil"/>
            </w:tcBorders>
            <w:shd w:val="clear" w:color="auto" w:fill="auto"/>
            <w:hideMark/>
          </w:tcPr>
          <w:p w14:paraId="73C28EE5" w14:textId="77777777" w:rsidR="009758B9" w:rsidRPr="001340AB" w:rsidRDefault="009758B9" w:rsidP="002C7240">
            <w:pPr>
              <w:spacing w:after="0" w:line="300" w:lineRule="auto"/>
              <w:jc w:val="right"/>
              <w:rPr>
                <w:color w:val="000000"/>
                <w:szCs w:val="24"/>
              </w:rPr>
            </w:pPr>
            <w:r w:rsidRPr="001340AB">
              <w:t>1,719</w:t>
            </w:r>
          </w:p>
        </w:tc>
        <w:tc>
          <w:tcPr>
            <w:tcW w:w="1010" w:type="dxa"/>
            <w:tcBorders>
              <w:top w:val="nil"/>
              <w:left w:val="nil"/>
              <w:bottom w:val="nil"/>
              <w:right w:val="nil"/>
            </w:tcBorders>
            <w:shd w:val="clear" w:color="auto" w:fill="auto"/>
            <w:hideMark/>
          </w:tcPr>
          <w:p w14:paraId="09F0E6DF" w14:textId="77777777" w:rsidR="009758B9" w:rsidRPr="001340AB" w:rsidRDefault="009758B9" w:rsidP="002C7240">
            <w:pPr>
              <w:spacing w:after="0" w:line="300" w:lineRule="auto"/>
              <w:jc w:val="right"/>
              <w:rPr>
                <w:color w:val="000000"/>
                <w:szCs w:val="24"/>
              </w:rPr>
            </w:pPr>
            <w:r w:rsidRPr="001340AB">
              <w:t>7%</w:t>
            </w:r>
          </w:p>
        </w:tc>
      </w:tr>
      <w:tr w:rsidR="009758B9" w:rsidRPr="001340AB" w14:paraId="0AE74654" w14:textId="77777777" w:rsidTr="002C7240">
        <w:trPr>
          <w:trHeight w:val="287"/>
        </w:trPr>
        <w:tc>
          <w:tcPr>
            <w:tcW w:w="4292" w:type="dxa"/>
            <w:tcBorders>
              <w:top w:val="nil"/>
              <w:left w:val="nil"/>
              <w:bottom w:val="single" w:sz="4" w:space="0" w:color="auto"/>
              <w:right w:val="nil"/>
            </w:tcBorders>
            <w:shd w:val="clear" w:color="auto" w:fill="auto"/>
            <w:noWrap/>
            <w:vAlign w:val="bottom"/>
            <w:hideMark/>
          </w:tcPr>
          <w:p w14:paraId="183DE6F1" w14:textId="77777777" w:rsidR="009758B9" w:rsidRPr="001340AB" w:rsidRDefault="009758B9" w:rsidP="002C7240">
            <w:pPr>
              <w:spacing w:after="0" w:line="300" w:lineRule="auto"/>
              <w:rPr>
                <w:b/>
                <w:bCs/>
                <w:color w:val="000000"/>
                <w:szCs w:val="24"/>
              </w:rPr>
            </w:pPr>
            <w:r w:rsidRPr="001340AB">
              <w:rPr>
                <w:b/>
                <w:bCs/>
                <w:color w:val="000000"/>
                <w:szCs w:val="24"/>
              </w:rPr>
              <w:t>Total</w:t>
            </w:r>
          </w:p>
        </w:tc>
        <w:tc>
          <w:tcPr>
            <w:tcW w:w="1008" w:type="dxa"/>
            <w:tcBorders>
              <w:top w:val="nil"/>
              <w:left w:val="nil"/>
              <w:bottom w:val="single" w:sz="4" w:space="0" w:color="auto"/>
              <w:right w:val="nil"/>
            </w:tcBorders>
            <w:shd w:val="clear" w:color="auto" w:fill="auto"/>
            <w:hideMark/>
          </w:tcPr>
          <w:p w14:paraId="19D1774E" w14:textId="77777777" w:rsidR="009758B9" w:rsidRPr="001340AB" w:rsidRDefault="009758B9" w:rsidP="002C7240">
            <w:pPr>
              <w:spacing w:after="0" w:line="300" w:lineRule="auto"/>
              <w:jc w:val="right"/>
              <w:rPr>
                <w:color w:val="000000"/>
                <w:szCs w:val="24"/>
              </w:rPr>
            </w:pPr>
            <w:r w:rsidRPr="001340AB">
              <w:t>20,104</w:t>
            </w:r>
          </w:p>
        </w:tc>
        <w:tc>
          <w:tcPr>
            <w:tcW w:w="1009" w:type="dxa"/>
            <w:tcBorders>
              <w:top w:val="nil"/>
              <w:left w:val="nil"/>
              <w:bottom w:val="single" w:sz="4" w:space="0" w:color="auto"/>
              <w:right w:val="nil"/>
            </w:tcBorders>
            <w:shd w:val="clear" w:color="auto" w:fill="auto"/>
            <w:hideMark/>
          </w:tcPr>
          <w:p w14:paraId="13DAB751" w14:textId="77777777" w:rsidR="009758B9" w:rsidRPr="001340AB" w:rsidRDefault="009758B9" w:rsidP="002C7240">
            <w:pPr>
              <w:spacing w:after="0" w:line="300" w:lineRule="auto"/>
              <w:rPr>
                <w:color w:val="000000"/>
                <w:szCs w:val="24"/>
              </w:rPr>
            </w:pPr>
          </w:p>
        </w:tc>
        <w:tc>
          <w:tcPr>
            <w:tcW w:w="1008" w:type="dxa"/>
            <w:tcBorders>
              <w:top w:val="nil"/>
              <w:left w:val="nil"/>
              <w:bottom w:val="single" w:sz="4" w:space="0" w:color="auto"/>
              <w:right w:val="nil"/>
            </w:tcBorders>
            <w:shd w:val="clear" w:color="auto" w:fill="auto"/>
            <w:hideMark/>
          </w:tcPr>
          <w:p w14:paraId="48B758F2" w14:textId="77777777" w:rsidR="009758B9" w:rsidRPr="001340AB" w:rsidRDefault="009758B9" w:rsidP="002C7240">
            <w:pPr>
              <w:spacing w:after="0" w:line="300" w:lineRule="auto"/>
              <w:jc w:val="right"/>
              <w:rPr>
                <w:color w:val="000000"/>
                <w:szCs w:val="24"/>
              </w:rPr>
            </w:pPr>
            <w:r w:rsidRPr="001340AB">
              <w:t>3,785</w:t>
            </w:r>
          </w:p>
        </w:tc>
        <w:tc>
          <w:tcPr>
            <w:tcW w:w="1009" w:type="dxa"/>
            <w:tcBorders>
              <w:top w:val="nil"/>
              <w:left w:val="nil"/>
              <w:bottom w:val="single" w:sz="4" w:space="0" w:color="auto"/>
              <w:right w:val="nil"/>
            </w:tcBorders>
            <w:shd w:val="clear" w:color="auto" w:fill="auto"/>
            <w:hideMark/>
          </w:tcPr>
          <w:p w14:paraId="3CDC106F" w14:textId="77777777" w:rsidR="009758B9" w:rsidRPr="001340AB" w:rsidRDefault="009758B9" w:rsidP="002C7240">
            <w:pPr>
              <w:spacing w:after="0" w:line="300" w:lineRule="auto"/>
              <w:rPr>
                <w:color w:val="000000"/>
                <w:szCs w:val="24"/>
              </w:rPr>
            </w:pPr>
          </w:p>
        </w:tc>
        <w:tc>
          <w:tcPr>
            <w:tcW w:w="1008" w:type="dxa"/>
            <w:tcBorders>
              <w:top w:val="nil"/>
              <w:left w:val="nil"/>
              <w:bottom w:val="single" w:sz="4" w:space="0" w:color="auto"/>
              <w:right w:val="nil"/>
            </w:tcBorders>
            <w:shd w:val="clear" w:color="auto" w:fill="auto"/>
            <w:hideMark/>
          </w:tcPr>
          <w:p w14:paraId="616F47F7" w14:textId="77777777" w:rsidR="009758B9" w:rsidRPr="001340AB" w:rsidRDefault="009758B9" w:rsidP="002C7240">
            <w:pPr>
              <w:spacing w:after="0" w:line="300" w:lineRule="auto"/>
              <w:jc w:val="right"/>
              <w:rPr>
                <w:color w:val="000000"/>
                <w:szCs w:val="24"/>
              </w:rPr>
            </w:pPr>
            <w:r w:rsidRPr="001340AB">
              <w:t>1,690</w:t>
            </w:r>
          </w:p>
        </w:tc>
        <w:tc>
          <w:tcPr>
            <w:tcW w:w="1009" w:type="dxa"/>
            <w:tcBorders>
              <w:top w:val="nil"/>
              <w:left w:val="nil"/>
              <w:bottom w:val="single" w:sz="4" w:space="0" w:color="auto"/>
              <w:right w:val="nil"/>
            </w:tcBorders>
            <w:shd w:val="clear" w:color="auto" w:fill="auto"/>
            <w:hideMark/>
          </w:tcPr>
          <w:p w14:paraId="0528C02D" w14:textId="77777777" w:rsidR="009758B9" w:rsidRPr="001340AB" w:rsidRDefault="009758B9" w:rsidP="002C7240">
            <w:pPr>
              <w:spacing w:after="0" w:line="300" w:lineRule="auto"/>
              <w:rPr>
                <w:color w:val="000000"/>
                <w:szCs w:val="24"/>
              </w:rPr>
            </w:pPr>
          </w:p>
        </w:tc>
        <w:tc>
          <w:tcPr>
            <w:tcW w:w="1008" w:type="dxa"/>
            <w:tcBorders>
              <w:top w:val="nil"/>
              <w:left w:val="nil"/>
              <w:bottom w:val="single" w:sz="4" w:space="0" w:color="auto"/>
              <w:right w:val="nil"/>
            </w:tcBorders>
            <w:shd w:val="clear" w:color="auto" w:fill="auto"/>
            <w:hideMark/>
          </w:tcPr>
          <w:p w14:paraId="076131FA" w14:textId="77777777" w:rsidR="009758B9" w:rsidRPr="001340AB" w:rsidRDefault="009758B9" w:rsidP="002C7240">
            <w:pPr>
              <w:spacing w:after="0" w:line="300" w:lineRule="auto"/>
              <w:jc w:val="right"/>
              <w:rPr>
                <w:color w:val="000000"/>
                <w:szCs w:val="24"/>
              </w:rPr>
            </w:pPr>
            <w:r w:rsidRPr="001340AB">
              <w:t>25,579</w:t>
            </w:r>
          </w:p>
        </w:tc>
        <w:tc>
          <w:tcPr>
            <w:tcW w:w="1010" w:type="dxa"/>
            <w:tcBorders>
              <w:top w:val="nil"/>
              <w:left w:val="nil"/>
              <w:bottom w:val="single" w:sz="4" w:space="0" w:color="auto"/>
              <w:right w:val="nil"/>
            </w:tcBorders>
            <w:shd w:val="clear" w:color="auto" w:fill="auto"/>
            <w:hideMark/>
          </w:tcPr>
          <w:p w14:paraId="36C6FD11" w14:textId="77777777" w:rsidR="009758B9" w:rsidRPr="001340AB" w:rsidRDefault="009758B9" w:rsidP="002C7240">
            <w:pPr>
              <w:spacing w:after="0" w:line="300" w:lineRule="auto"/>
              <w:rPr>
                <w:color w:val="000000"/>
                <w:szCs w:val="24"/>
              </w:rPr>
            </w:pPr>
          </w:p>
        </w:tc>
      </w:tr>
    </w:tbl>
    <w:p w14:paraId="6581AD20" w14:textId="77777777" w:rsidR="009758B9" w:rsidRPr="001340AB" w:rsidRDefault="009758B9" w:rsidP="009758B9">
      <w:pPr>
        <w:tabs>
          <w:tab w:val="left" w:pos="1680"/>
        </w:tabs>
        <w:spacing w:before="120" w:after="0"/>
        <w:rPr>
          <w:sz w:val="22"/>
        </w:rPr>
      </w:pPr>
      <w:r w:rsidRPr="001340AB">
        <w:rPr>
          <w:sz w:val="22"/>
          <w:vertAlign w:val="superscript"/>
        </w:rPr>
        <w:t>a</w:t>
      </w:r>
      <w:r w:rsidRPr="001340AB">
        <w:rPr>
          <w:sz w:val="22"/>
        </w:rPr>
        <w:t xml:space="preserve"> Shaded areas represent improvements in reclassification after the addition of pregnancy complication history</w:t>
      </w:r>
    </w:p>
    <w:p w14:paraId="3ADB8FB3" w14:textId="77777777" w:rsidR="009758B9" w:rsidRPr="001340AB" w:rsidRDefault="009758B9" w:rsidP="009758B9">
      <w:pPr>
        <w:tabs>
          <w:tab w:val="left" w:pos="1680"/>
        </w:tabs>
        <w:spacing w:after="0"/>
        <w:rPr>
          <w:sz w:val="22"/>
        </w:rPr>
      </w:pPr>
      <w:r w:rsidRPr="001340AB">
        <w:rPr>
          <w:sz w:val="22"/>
          <w:vertAlign w:val="superscript"/>
        </w:rPr>
        <w:t>b</w:t>
      </w:r>
      <w:r w:rsidRPr="001340AB">
        <w:rPr>
          <w:sz w:val="22"/>
        </w:rPr>
        <w:t xml:space="preserve"> This table includes observations with censoring prior to 10 years or follow-up longer than 10 years (median=8.2 years of follow-up). Reclassification metrics explicitly take into account follow-up time (see Supplemental Text 2) and cannot be directly calculated using numbers in this table. </w:t>
      </w:r>
    </w:p>
    <w:p w14:paraId="14248F29" w14:textId="77777777" w:rsidR="009758B9" w:rsidRPr="001340AB" w:rsidRDefault="009758B9" w:rsidP="009758B9">
      <w:pPr>
        <w:tabs>
          <w:tab w:val="left" w:pos="1680"/>
        </w:tabs>
        <w:spacing w:after="0"/>
        <w:rPr>
          <w:sz w:val="22"/>
          <w:lang w:val="fr-FR"/>
        </w:rPr>
      </w:pPr>
      <w:r w:rsidRPr="001340AB">
        <w:rPr>
          <w:sz w:val="22"/>
          <w:lang w:val="fr-FR"/>
        </w:rPr>
        <w:t>Net reclassification improvement (NRI) = 0.02 (95% CI: 0.002, 0.05), p-value=0.04</w:t>
      </w:r>
    </w:p>
    <w:p w14:paraId="5994D629" w14:textId="77777777" w:rsidR="009758B9" w:rsidRPr="001340AB" w:rsidRDefault="009758B9" w:rsidP="009758B9">
      <w:pPr>
        <w:spacing w:after="0"/>
        <w:rPr>
          <w:sz w:val="22"/>
        </w:rPr>
      </w:pPr>
      <w:r w:rsidRPr="001340AB">
        <w:rPr>
          <w:sz w:val="22"/>
        </w:rPr>
        <w:t>NRI for events = 0.02 (95% CI: -0.002, 0.04), p-value=0.08</w:t>
      </w:r>
    </w:p>
    <w:p w14:paraId="3DE8BA90" w14:textId="77777777" w:rsidR="009758B9" w:rsidRPr="001340AB" w:rsidRDefault="009758B9" w:rsidP="009758B9">
      <w:pPr>
        <w:spacing w:after="0"/>
        <w:rPr>
          <w:sz w:val="22"/>
        </w:rPr>
      </w:pPr>
      <w:r w:rsidRPr="001340AB">
        <w:rPr>
          <w:sz w:val="22"/>
        </w:rPr>
        <w:t>NRI for non-events = 0.004 (95% CI: 0.002, 0.006), p-value&lt;0.001</w:t>
      </w:r>
    </w:p>
    <w:p w14:paraId="2449EDB9" w14:textId="77777777" w:rsidR="009758B9" w:rsidRPr="001340AB" w:rsidRDefault="009758B9" w:rsidP="009758B9">
      <w:pPr>
        <w:spacing w:after="0"/>
        <w:rPr>
          <w:sz w:val="22"/>
        </w:rPr>
      </w:pPr>
      <w:r w:rsidRPr="001340AB">
        <w:rPr>
          <w:sz w:val="22"/>
        </w:rPr>
        <w:t>Integrated discrimination improvement (IDI) = -0.0002 (95% CI: -0.001, 0.0007), p-value=0.65</w:t>
      </w:r>
    </w:p>
    <w:p w14:paraId="5E7AB564" w14:textId="77777777" w:rsidR="009758B9" w:rsidRPr="001340AB" w:rsidRDefault="009758B9" w:rsidP="009758B9">
      <w:pPr>
        <w:rPr>
          <w:sz w:val="22"/>
        </w:rPr>
      </w:pPr>
    </w:p>
    <w:bookmarkEnd w:id="7"/>
    <w:bookmarkEnd w:id="1"/>
    <w:p w14:paraId="23A344C7" w14:textId="7620557F" w:rsidR="00851EB3" w:rsidRPr="009758B9" w:rsidRDefault="00851EB3" w:rsidP="009758B9"/>
    <w:sectPr w:rsidR="00851EB3" w:rsidRPr="009758B9" w:rsidSect="00632D59">
      <w:footerReference w:type="default" r:id="rId11"/>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4B9AF" w16cid:durableId="1F58D8C9"/>
  <w16cid:commentId w16cid:paraId="4354DC0E" w16cid:durableId="1F58D93E"/>
  <w16cid:commentId w16cid:paraId="3AF6D20E" w16cid:durableId="1F58DAFC"/>
  <w16cid:commentId w16cid:paraId="6A89360E" w16cid:durableId="1F58C9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3160" w14:textId="77777777" w:rsidR="00D2098B" w:rsidRDefault="00D2098B" w:rsidP="00F37191">
      <w:pPr>
        <w:spacing w:after="0" w:line="240" w:lineRule="auto"/>
      </w:pPr>
      <w:r>
        <w:separator/>
      </w:r>
    </w:p>
  </w:endnote>
  <w:endnote w:type="continuationSeparator" w:id="0">
    <w:p w14:paraId="104E07DE" w14:textId="77777777" w:rsidR="00D2098B" w:rsidRDefault="00D2098B" w:rsidP="00F3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2539"/>
      <w:docPartObj>
        <w:docPartGallery w:val="Page Numbers (Bottom of Page)"/>
        <w:docPartUnique/>
      </w:docPartObj>
    </w:sdtPr>
    <w:sdtEndPr>
      <w:rPr>
        <w:noProof/>
      </w:rPr>
    </w:sdtEndPr>
    <w:sdtContent>
      <w:p w14:paraId="0729A2B4" w14:textId="63097DFB" w:rsidR="009758B9" w:rsidRDefault="009758B9">
        <w:pPr>
          <w:pStyle w:val="Footer"/>
          <w:jc w:val="center"/>
        </w:pPr>
        <w:r>
          <w:fldChar w:fldCharType="begin"/>
        </w:r>
        <w:r>
          <w:instrText xml:space="preserve"> PAGE   \* MERGEFORMAT </w:instrText>
        </w:r>
        <w:r>
          <w:fldChar w:fldCharType="separate"/>
        </w:r>
        <w:r w:rsidR="006C0C86">
          <w:rPr>
            <w:noProof/>
          </w:rPr>
          <w:t>21</w:t>
        </w:r>
        <w:r>
          <w:rPr>
            <w:noProof/>
          </w:rPr>
          <w:fldChar w:fldCharType="end"/>
        </w:r>
      </w:p>
    </w:sdtContent>
  </w:sdt>
  <w:p w14:paraId="63539972" w14:textId="77777777" w:rsidR="009758B9" w:rsidRDefault="0097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61400"/>
      <w:docPartObj>
        <w:docPartGallery w:val="Page Numbers (Bottom of Page)"/>
        <w:docPartUnique/>
      </w:docPartObj>
    </w:sdtPr>
    <w:sdtEndPr>
      <w:rPr>
        <w:noProof/>
      </w:rPr>
    </w:sdtEndPr>
    <w:sdtContent>
      <w:p w14:paraId="4C630583" w14:textId="0391F7C8" w:rsidR="00D2098B" w:rsidRDefault="00D2098B">
        <w:pPr>
          <w:pStyle w:val="Footer"/>
          <w:jc w:val="center"/>
        </w:pPr>
        <w:r>
          <w:fldChar w:fldCharType="begin"/>
        </w:r>
        <w:r>
          <w:instrText xml:space="preserve"> PAGE   \* MERGEFORMAT </w:instrText>
        </w:r>
        <w:r>
          <w:fldChar w:fldCharType="separate"/>
        </w:r>
        <w:r w:rsidR="006C0C86">
          <w:rPr>
            <w:noProof/>
          </w:rPr>
          <w:t>23</w:t>
        </w:r>
        <w:r>
          <w:rPr>
            <w:noProof/>
          </w:rPr>
          <w:fldChar w:fldCharType="end"/>
        </w:r>
      </w:p>
    </w:sdtContent>
  </w:sdt>
  <w:p w14:paraId="7C95EEC5" w14:textId="77777777" w:rsidR="00D2098B" w:rsidRDefault="00D20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B0E8" w14:textId="77777777" w:rsidR="00D2098B" w:rsidRDefault="00D2098B" w:rsidP="00F37191">
      <w:pPr>
        <w:spacing w:after="0" w:line="240" w:lineRule="auto"/>
      </w:pPr>
      <w:r>
        <w:separator/>
      </w:r>
    </w:p>
  </w:footnote>
  <w:footnote w:type="continuationSeparator" w:id="0">
    <w:p w14:paraId="1F91FF8B" w14:textId="77777777" w:rsidR="00D2098B" w:rsidRDefault="00D2098B" w:rsidP="00F3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FE4"/>
    <w:multiLevelType w:val="hybridMultilevel"/>
    <w:tmpl w:val="8574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A82"/>
    <w:multiLevelType w:val="hybridMultilevel"/>
    <w:tmpl w:val="C262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021DB"/>
    <w:multiLevelType w:val="hybridMultilevel"/>
    <w:tmpl w:val="578CF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D5CC0"/>
    <w:multiLevelType w:val="hybridMultilevel"/>
    <w:tmpl w:val="B032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57E7C"/>
    <w:multiLevelType w:val="hybridMultilevel"/>
    <w:tmpl w:val="5A1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42837"/>
    <w:multiLevelType w:val="hybridMultilevel"/>
    <w:tmpl w:val="62421272"/>
    <w:lvl w:ilvl="0" w:tplc="4B30E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270CF"/>
    <w:multiLevelType w:val="hybridMultilevel"/>
    <w:tmpl w:val="8574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E203C"/>
    <w:multiLevelType w:val="multilevel"/>
    <w:tmpl w:val="A0F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3F79"/>
    <w:multiLevelType w:val="hybridMultilevel"/>
    <w:tmpl w:val="7AD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B0FA6"/>
    <w:multiLevelType w:val="hybridMultilevel"/>
    <w:tmpl w:val="F5BE2D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176046"/>
    <w:multiLevelType w:val="hybridMultilevel"/>
    <w:tmpl w:val="07A0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90BE9"/>
    <w:multiLevelType w:val="hybridMultilevel"/>
    <w:tmpl w:val="3EF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C63FB"/>
    <w:multiLevelType w:val="hybridMultilevel"/>
    <w:tmpl w:val="E2B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11"/>
  </w:num>
  <w:num w:numId="5">
    <w:abstractNumId w:val="5"/>
  </w:num>
  <w:num w:numId="6">
    <w:abstractNumId w:val="1"/>
  </w:num>
  <w:num w:numId="7">
    <w:abstractNumId w:val="8"/>
  </w:num>
  <w:num w:numId="8">
    <w:abstractNumId w:val="9"/>
  </w:num>
  <w:num w:numId="9">
    <w:abstractNumId w:val="2"/>
  </w:num>
  <w:num w:numId="10">
    <w:abstractNumId w:val="3"/>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BB"/>
    <w:rsid w:val="000041C5"/>
    <w:rsid w:val="00005712"/>
    <w:rsid w:val="00005DCB"/>
    <w:rsid w:val="00006FB7"/>
    <w:rsid w:val="00007CB1"/>
    <w:rsid w:val="000108DF"/>
    <w:rsid w:val="00010FF8"/>
    <w:rsid w:val="00012049"/>
    <w:rsid w:val="00013FC1"/>
    <w:rsid w:val="00015B16"/>
    <w:rsid w:val="00017F1E"/>
    <w:rsid w:val="00020CB8"/>
    <w:rsid w:val="00022965"/>
    <w:rsid w:val="0002603D"/>
    <w:rsid w:val="00030D1F"/>
    <w:rsid w:val="00032040"/>
    <w:rsid w:val="0003639F"/>
    <w:rsid w:val="00037B33"/>
    <w:rsid w:val="000477EA"/>
    <w:rsid w:val="00050DB0"/>
    <w:rsid w:val="00050E86"/>
    <w:rsid w:val="00052298"/>
    <w:rsid w:val="000613A4"/>
    <w:rsid w:val="00063624"/>
    <w:rsid w:val="00067436"/>
    <w:rsid w:val="00072CE5"/>
    <w:rsid w:val="000762FA"/>
    <w:rsid w:val="00076EC8"/>
    <w:rsid w:val="0008174B"/>
    <w:rsid w:val="00082EFE"/>
    <w:rsid w:val="00086226"/>
    <w:rsid w:val="000866BB"/>
    <w:rsid w:val="000900CB"/>
    <w:rsid w:val="0009163F"/>
    <w:rsid w:val="000A0314"/>
    <w:rsid w:val="000A0B49"/>
    <w:rsid w:val="000A233A"/>
    <w:rsid w:val="000A6BD0"/>
    <w:rsid w:val="000B0584"/>
    <w:rsid w:val="000B48F3"/>
    <w:rsid w:val="000C4EAE"/>
    <w:rsid w:val="000C574A"/>
    <w:rsid w:val="000E27D6"/>
    <w:rsid w:val="000E3B49"/>
    <w:rsid w:val="000E3E54"/>
    <w:rsid w:val="000F037D"/>
    <w:rsid w:val="000F58D8"/>
    <w:rsid w:val="0010122E"/>
    <w:rsid w:val="00102454"/>
    <w:rsid w:val="001050AB"/>
    <w:rsid w:val="0010528A"/>
    <w:rsid w:val="00105DBA"/>
    <w:rsid w:val="00106851"/>
    <w:rsid w:val="00111EAB"/>
    <w:rsid w:val="00112472"/>
    <w:rsid w:val="00114799"/>
    <w:rsid w:val="00114923"/>
    <w:rsid w:val="00117A75"/>
    <w:rsid w:val="00123977"/>
    <w:rsid w:val="00126505"/>
    <w:rsid w:val="0013207D"/>
    <w:rsid w:val="00132870"/>
    <w:rsid w:val="001340AB"/>
    <w:rsid w:val="00135D50"/>
    <w:rsid w:val="001369E2"/>
    <w:rsid w:val="001404EC"/>
    <w:rsid w:val="00144D57"/>
    <w:rsid w:val="0014655D"/>
    <w:rsid w:val="00146AD9"/>
    <w:rsid w:val="0015178F"/>
    <w:rsid w:val="001611CE"/>
    <w:rsid w:val="00167E3B"/>
    <w:rsid w:val="001743BF"/>
    <w:rsid w:val="00174761"/>
    <w:rsid w:val="00174AB6"/>
    <w:rsid w:val="0017540F"/>
    <w:rsid w:val="0017555B"/>
    <w:rsid w:val="00176794"/>
    <w:rsid w:val="00176E28"/>
    <w:rsid w:val="00180C19"/>
    <w:rsid w:val="00182C56"/>
    <w:rsid w:val="00183FE0"/>
    <w:rsid w:val="0019015C"/>
    <w:rsid w:val="00190213"/>
    <w:rsid w:val="00190396"/>
    <w:rsid w:val="001920F7"/>
    <w:rsid w:val="001923B7"/>
    <w:rsid w:val="0019486E"/>
    <w:rsid w:val="00195CD3"/>
    <w:rsid w:val="001A19F5"/>
    <w:rsid w:val="001B4213"/>
    <w:rsid w:val="001B4739"/>
    <w:rsid w:val="001B51D8"/>
    <w:rsid w:val="001B64C2"/>
    <w:rsid w:val="001C0820"/>
    <w:rsid w:val="001C37BC"/>
    <w:rsid w:val="001D02E3"/>
    <w:rsid w:val="001D34DB"/>
    <w:rsid w:val="001D64D7"/>
    <w:rsid w:val="001D7B23"/>
    <w:rsid w:val="001E0302"/>
    <w:rsid w:val="001E08BC"/>
    <w:rsid w:val="001E0AAC"/>
    <w:rsid w:val="001E35F0"/>
    <w:rsid w:val="001E6346"/>
    <w:rsid w:val="001F1CD0"/>
    <w:rsid w:val="001F2661"/>
    <w:rsid w:val="001F55AD"/>
    <w:rsid w:val="001F5AC6"/>
    <w:rsid w:val="001F68CA"/>
    <w:rsid w:val="001F6917"/>
    <w:rsid w:val="001F6D2C"/>
    <w:rsid w:val="0020070C"/>
    <w:rsid w:val="00203014"/>
    <w:rsid w:val="00203B52"/>
    <w:rsid w:val="00204053"/>
    <w:rsid w:val="00206E8F"/>
    <w:rsid w:val="00206F6F"/>
    <w:rsid w:val="00222612"/>
    <w:rsid w:val="0023062C"/>
    <w:rsid w:val="00231235"/>
    <w:rsid w:val="00231957"/>
    <w:rsid w:val="002346B1"/>
    <w:rsid w:val="00234781"/>
    <w:rsid w:val="00240238"/>
    <w:rsid w:val="002414F0"/>
    <w:rsid w:val="00242FB2"/>
    <w:rsid w:val="0025406D"/>
    <w:rsid w:val="002544F8"/>
    <w:rsid w:val="00256533"/>
    <w:rsid w:val="002570DE"/>
    <w:rsid w:val="0026086B"/>
    <w:rsid w:val="00262DBC"/>
    <w:rsid w:val="002649B0"/>
    <w:rsid w:val="00267A10"/>
    <w:rsid w:val="00267A1A"/>
    <w:rsid w:val="00270217"/>
    <w:rsid w:val="0027732A"/>
    <w:rsid w:val="0027773F"/>
    <w:rsid w:val="00277742"/>
    <w:rsid w:val="00281D0F"/>
    <w:rsid w:val="002840CA"/>
    <w:rsid w:val="00286DCB"/>
    <w:rsid w:val="00287F37"/>
    <w:rsid w:val="0029020B"/>
    <w:rsid w:val="0029387D"/>
    <w:rsid w:val="00295EF4"/>
    <w:rsid w:val="002970D1"/>
    <w:rsid w:val="002975E1"/>
    <w:rsid w:val="002A1B48"/>
    <w:rsid w:val="002A68ED"/>
    <w:rsid w:val="002B178F"/>
    <w:rsid w:val="002B3771"/>
    <w:rsid w:val="002B3905"/>
    <w:rsid w:val="002B4436"/>
    <w:rsid w:val="002B6BB2"/>
    <w:rsid w:val="002C1FFB"/>
    <w:rsid w:val="002C5800"/>
    <w:rsid w:val="002C6E90"/>
    <w:rsid w:val="002C7C53"/>
    <w:rsid w:val="002D04A4"/>
    <w:rsid w:val="002D1B8F"/>
    <w:rsid w:val="002D2ACC"/>
    <w:rsid w:val="002D49EE"/>
    <w:rsid w:val="002D6965"/>
    <w:rsid w:val="002E02FA"/>
    <w:rsid w:val="002E1C7E"/>
    <w:rsid w:val="002E4C02"/>
    <w:rsid w:val="002E5CA7"/>
    <w:rsid w:val="002E778A"/>
    <w:rsid w:val="002E782C"/>
    <w:rsid w:val="003014D1"/>
    <w:rsid w:val="00306E4F"/>
    <w:rsid w:val="003106A2"/>
    <w:rsid w:val="00312580"/>
    <w:rsid w:val="00315C57"/>
    <w:rsid w:val="00316AB7"/>
    <w:rsid w:val="0032333A"/>
    <w:rsid w:val="0032375C"/>
    <w:rsid w:val="00325817"/>
    <w:rsid w:val="003276F9"/>
    <w:rsid w:val="00330667"/>
    <w:rsid w:val="00331CFF"/>
    <w:rsid w:val="00333FAD"/>
    <w:rsid w:val="003341EC"/>
    <w:rsid w:val="0033478B"/>
    <w:rsid w:val="003369B8"/>
    <w:rsid w:val="00336F9A"/>
    <w:rsid w:val="0034179D"/>
    <w:rsid w:val="00341A1C"/>
    <w:rsid w:val="00342566"/>
    <w:rsid w:val="00343FFB"/>
    <w:rsid w:val="003452EF"/>
    <w:rsid w:val="00352158"/>
    <w:rsid w:val="003534B2"/>
    <w:rsid w:val="00353640"/>
    <w:rsid w:val="003555E0"/>
    <w:rsid w:val="00355AB6"/>
    <w:rsid w:val="00355F3F"/>
    <w:rsid w:val="00356DE6"/>
    <w:rsid w:val="00362602"/>
    <w:rsid w:val="00363574"/>
    <w:rsid w:val="00367E13"/>
    <w:rsid w:val="00370C61"/>
    <w:rsid w:val="0037283A"/>
    <w:rsid w:val="00373A3F"/>
    <w:rsid w:val="003742BC"/>
    <w:rsid w:val="00380D99"/>
    <w:rsid w:val="0038163C"/>
    <w:rsid w:val="00383E4C"/>
    <w:rsid w:val="003855F7"/>
    <w:rsid w:val="003921ED"/>
    <w:rsid w:val="00392D82"/>
    <w:rsid w:val="00393A7A"/>
    <w:rsid w:val="00394331"/>
    <w:rsid w:val="003B05F2"/>
    <w:rsid w:val="003B2068"/>
    <w:rsid w:val="003B4F4F"/>
    <w:rsid w:val="003B549B"/>
    <w:rsid w:val="003C1A04"/>
    <w:rsid w:val="003C290C"/>
    <w:rsid w:val="003C6070"/>
    <w:rsid w:val="003D262D"/>
    <w:rsid w:val="003D7D6B"/>
    <w:rsid w:val="003E769C"/>
    <w:rsid w:val="003F23F7"/>
    <w:rsid w:val="003F2CE8"/>
    <w:rsid w:val="003F65C3"/>
    <w:rsid w:val="00400B52"/>
    <w:rsid w:val="00402ADA"/>
    <w:rsid w:val="00403AE4"/>
    <w:rsid w:val="0040504A"/>
    <w:rsid w:val="004065E0"/>
    <w:rsid w:val="0040678E"/>
    <w:rsid w:val="00406B16"/>
    <w:rsid w:val="00407F1E"/>
    <w:rsid w:val="00414D4B"/>
    <w:rsid w:val="00415B44"/>
    <w:rsid w:val="00420971"/>
    <w:rsid w:val="00422DE7"/>
    <w:rsid w:val="00423807"/>
    <w:rsid w:val="00424622"/>
    <w:rsid w:val="004256D2"/>
    <w:rsid w:val="00425E73"/>
    <w:rsid w:val="00431ADB"/>
    <w:rsid w:val="0043502A"/>
    <w:rsid w:val="0044170C"/>
    <w:rsid w:val="0044242C"/>
    <w:rsid w:val="00445512"/>
    <w:rsid w:val="00447703"/>
    <w:rsid w:val="00453C42"/>
    <w:rsid w:val="00453C9A"/>
    <w:rsid w:val="00454F37"/>
    <w:rsid w:val="0046472E"/>
    <w:rsid w:val="00470E19"/>
    <w:rsid w:val="00471A83"/>
    <w:rsid w:val="00472B94"/>
    <w:rsid w:val="004732B5"/>
    <w:rsid w:val="00476980"/>
    <w:rsid w:val="0048106F"/>
    <w:rsid w:val="00485486"/>
    <w:rsid w:val="00491C70"/>
    <w:rsid w:val="00491E6E"/>
    <w:rsid w:val="00493893"/>
    <w:rsid w:val="00495402"/>
    <w:rsid w:val="00496355"/>
    <w:rsid w:val="004974C5"/>
    <w:rsid w:val="004A2A0A"/>
    <w:rsid w:val="004A3210"/>
    <w:rsid w:val="004A5666"/>
    <w:rsid w:val="004A5F1B"/>
    <w:rsid w:val="004B25FE"/>
    <w:rsid w:val="004B3B04"/>
    <w:rsid w:val="004B63E1"/>
    <w:rsid w:val="004B78D9"/>
    <w:rsid w:val="004C1A65"/>
    <w:rsid w:val="004C415D"/>
    <w:rsid w:val="004C4853"/>
    <w:rsid w:val="004C64EC"/>
    <w:rsid w:val="004C7094"/>
    <w:rsid w:val="004C7367"/>
    <w:rsid w:val="004D0D1D"/>
    <w:rsid w:val="004D171D"/>
    <w:rsid w:val="004D49C1"/>
    <w:rsid w:val="004D5096"/>
    <w:rsid w:val="004E024D"/>
    <w:rsid w:val="004E47AB"/>
    <w:rsid w:val="004E7339"/>
    <w:rsid w:val="004E74CE"/>
    <w:rsid w:val="004F0083"/>
    <w:rsid w:val="004F1408"/>
    <w:rsid w:val="004F14BB"/>
    <w:rsid w:val="0050034D"/>
    <w:rsid w:val="00502790"/>
    <w:rsid w:val="00502C35"/>
    <w:rsid w:val="0051638B"/>
    <w:rsid w:val="0052027A"/>
    <w:rsid w:val="00520DEB"/>
    <w:rsid w:val="00523917"/>
    <w:rsid w:val="00524BBD"/>
    <w:rsid w:val="00527B3A"/>
    <w:rsid w:val="005302AF"/>
    <w:rsid w:val="00534C76"/>
    <w:rsid w:val="005406A2"/>
    <w:rsid w:val="00541B28"/>
    <w:rsid w:val="00546387"/>
    <w:rsid w:val="00547BA8"/>
    <w:rsid w:val="005535C8"/>
    <w:rsid w:val="00561457"/>
    <w:rsid w:val="00562B70"/>
    <w:rsid w:val="00565B43"/>
    <w:rsid w:val="00567F1D"/>
    <w:rsid w:val="00572DBC"/>
    <w:rsid w:val="00575633"/>
    <w:rsid w:val="0057568B"/>
    <w:rsid w:val="00584CFB"/>
    <w:rsid w:val="00586609"/>
    <w:rsid w:val="005903F9"/>
    <w:rsid w:val="00592D66"/>
    <w:rsid w:val="0059394A"/>
    <w:rsid w:val="005A014C"/>
    <w:rsid w:val="005A3578"/>
    <w:rsid w:val="005A575D"/>
    <w:rsid w:val="005B0EE6"/>
    <w:rsid w:val="005B459A"/>
    <w:rsid w:val="005B549E"/>
    <w:rsid w:val="005C1AEA"/>
    <w:rsid w:val="005C29FF"/>
    <w:rsid w:val="005C30C7"/>
    <w:rsid w:val="005D196B"/>
    <w:rsid w:val="005D3B71"/>
    <w:rsid w:val="005D7DD5"/>
    <w:rsid w:val="005F36C9"/>
    <w:rsid w:val="006009E6"/>
    <w:rsid w:val="0060140C"/>
    <w:rsid w:val="00602430"/>
    <w:rsid w:val="00603D8C"/>
    <w:rsid w:val="00606355"/>
    <w:rsid w:val="0061433E"/>
    <w:rsid w:val="006265CB"/>
    <w:rsid w:val="00626615"/>
    <w:rsid w:val="00626CF5"/>
    <w:rsid w:val="00632D59"/>
    <w:rsid w:val="0063319D"/>
    <w:rsid w:val="00634E66"/>
    <w:rsid w:val="006360E2"/>
    <w:rsid w:val="006417B7"/>
    <w:rsid w:val="00646DB4"/>
    <w:rsid w:val="00652AA1"/>
    <w:rsid w:val="00654B20"/>
    <w:rsid w:val="006551FB"/>
    <w:rsid w:val="00655B00"/>
    <w:rsid w:val="00661B52"/>
    <w:rsid w:val="00664425"/>
    <w:rsid w:val="00666E44"/>
    <w:rsid w:val="00672F42"/>
    <w:rsid w:val="00676EAD"/>
    <w:rsid w:val="006827D2"/>
    <w:rsid w:val="00687A23"/>
    <w:rsid w:val="00690853"/>
    <w:rsid w:val="00690F1D"/>
    <w:rsid w:val="006947C3"/>
    <w:rsid w:val="00695BEC"/>
    <w:rsid w:val="006A08DF"/>
    <w:rsid w:val="006A362D"/>
    <w:rsid w:val="006B2FD3"/>
    <w:rsid w:val="006B5CDB"/>
    <w:rsid w:val="006B6B4A"/>
    <w:rsid w:val="006C0C86"/>
    <w:rsid w:val="006C30D2"/>
    <w:rsid w:val="006C668A"/>
    <w:rsid w:val="006D3D73"/>
    <w:rsid w:val="006E35B8"/>
    <w:rsid w:val="006E636A"/>
    <w:rsid w:val="006F11C5"/>
    <w:rsid w:val="0070182D"/>
    <w:rsid w:val="00703D15"/>
    <w:rsid w:val="0070424A"/>
    <w:rsid w:val="00705675"/>
    <w:rsid w:val="007106AE"/>
    <w:rsid w:val="0071108D"/>
    <w:rsid w:val="007134BA"/>
    <w:rsid w:val="00714ED6"/>
    <w:rsid w:val="00716F50"/>
    <w:rsid w:val="00717C48"/>
    <w:rsid w:val="007219A0"/>
    <w:rsid w:val="00721AF7"/>
    <w:rsid w:val="00724413"/>
    <w:rsid w:val="00724455"/>
    <w:rsid w:val="00725C02"/>
    <w:rsid w:val="0072635A"/>
    <w:rsid w:val="00732FE8"/>
    <w:rsid w:val="00733700"/>
    <w:rsid w:val="00734579"/>
    <w:rsid w:val="00736EED"/>
    <w:rsid w:val="007370DE"/>
    <w:rsid w:val="007376CC"/>
    <w:rsid w:val="00737C21"/>
    <w:rsid w:val="00743303"/>
    <w:rsid w:val="00744E50"/>
    <w:rsid w:val="00745FF9"/>
    <w:rsid w:val="00746E08"/>
    <w:rsid w:val="00750569"/>
    <w:rsid w:val="007542EC"/>
    <w:rsid w:val="00756048"/>
    <w:rsid w:val="007571C3"/>
    <w:rsid w:val="00761E87"/>
    <w:rsid w:val="00763451"/>
    <w:rsid w:val="007678F4"/>
    <w:rsid w:val="00767AD6"/>
    <w:rsid w:val="0077071A"/>
    <w:rsid w:val="00774228"/>
    <w:rsid w:val="00774693"/>
    <w:rsid w:val="0077629D"/>
    <w:rsid w:val="00776418"/>
    <w:rsid w:val="0077667E"/>
    <w:rsid w:val="00777548"/>
    <w:rsid w:val="0078116E"/>
    <w:rsid w:val="00781F56"/>
    <w:rsid w:val="00784BF9"/>
    <w:rsid w:val="00794AC7"/>
    <w:rsid w:val="00794E37"/>
    <w:rsid w:val="0079643B"/>
    <w:rsid w:val="00796774"/>
    <w:rsid w:val="00797B06"/>
    <w:rsid w:val="007A0F7B"/>
    <w:rsid w:val="007A1FCD"/>
    <w:rsid w:val="007A3ECA"/>
    <w:rsid w:val="007A5E8D"/>
    <w:rsid w:val="007A7B98"/>
    <w:rsid w:val="007B05FB"/>
    <w:rsid w:val="007B284A"/>
    <w:rsid w:val="007C23A6"/>
    <w:rsid w:val="007C4332"/>
    <w:rsid w:val="007C45A2"/>
    <w:rsid w:val="007C6F90"/>
    <w:rsid w:val="007D4327"/>
    <w:rsid w:val="007D6D61"/>
    <w:rsid w:val="007E0AA4"/>
    <w:rsid w:val="007E0CB5"/>
    <w:rsid w:val="007E3DC2"/>
    <w:rsid w:val="007E57FE"/>
    <w:rsid w:val="007F05E2"/>
    <w:rsid w:val="007F2CB4"/>
    <w:rsid w:val="007F6B49"/>
    <w:rsid w:val="007F6FEB"/>
    <w:rsid w:val="0080001A"/>
    <w:rsid w:val="00803CD5"/>
    <w:rsid w:val="00804563"/>
    <w:rsid w:val="00804735"/>
    <w:rsid w:val="00805B1A"/>
    <w:rsid w:val="00807C3E"/>
    <w:rsid w:val="008114EB"/>
    <w:rsid w:val="00812417"/>
    <w:rsid w:val="008126FD"/>
    <w:rsid w:val="00813F52"/>
    <w:rsid w:val="00817CB4"/>
    <w:rsid w:val="00820FCC"/>
    <w:rsid w:val="008219F1"/>
    <w:rsid w:val="0082206D"/>
    <w:rsid w:val="00822D1E"/>
    <w:rsid w:val="00823B4D"/>
    <w:rsid w:val="00824C06"/>
    <w:rsid w:val="00825CB8"/>
    <w:rsid w:val="00826106"/>
    <w:rsid w:val="00826983"/>
    <w:rsid w:val="00831EFC"/>
    <w:rsid w:val="008343A8"/>
    <w:rsid w:val="00836B87"/>
    <w:rsid w:val="008414A9"/>
    <w:rsid w:val="0084453F"/>
    <w:rsid w:val="00844E6D"/>
    <w:rsid w:val="00851EB3"/>
    <w:rsid w:val="00857586"/>
    <w:rsid w:val="008615CA"/>
    <w:rsid w:val="008634AC"/>
    <w:rsid w:val="0086484A"/>
    <w:rsid w:val="00866E75"/>
    <w:rsid w:val="00871744"/>
    <w:rsid w:val="00873AD8"/>
    <w:rsid w:val="00875553"/>
    <w:rsid w:val="00877030"/>
    <w:rsid w:val="008778AC"/>
    <w:rsid w:val="008800ED"/>
    <w:rsid w:val="00890106"/>
    <w:rsid w:val="00893681"/>
    <w:rsid w:val="00897AFB"/>
    <w:rsid w:val="008A1851"/>
    <w:rsid w:val="008A370E"/>
    <w:rsid w:val="008A62E2"/>
    <w:rsid w:val="008A754A"/>
    <w:rsid w:val="008B1D70"/>
    <w:rsid w:val="008B2CDC"/>
    <w:rsid w:val="008B524A"/>
    <w:rsid w:val="008B5949"/>
    <w:rsid w:val="008B6405"/>
    <w:rsid w:val="008C0509"/>
    <w:rsid w:val="008C23D6"/>
    <w:rsid w:val="008C35B0"/>
    <w:rsid w:val="008C3E91"/>
    <w:rsid w:val="008C477C"/>
    <w:rsid w:val="008C60A7"/>
    <w:rsid w:val="008D4EAF"/>
    <w:rsid w:val="008D4FF8"/>
    <w:rsid w:val="008D7896"/>
    <w:rsid w:val="008D799C"/>
    <w:rsid w:val="008E2804"/>
    <w:rsid w:val="008E444F"/>
    <w:rsid w:val="008E4C1A"/>
    <w:rsid w:val="008F2AA6"/>
    <w:rsid w:val="0090262A"/>
    <w:rsid w:val="00914AB9"/>
    <w:rsid w:val="00915899"/>
    <w:rsid w:val="009247CD"/>
    <w:rsid w:val="0092742F"/>
    <w:rsid w:val="00927C14"/>
    <w:rsid w:val="00933C49"/>
    <w:rsid w:val="0093779C"/>
    <w:rsid w:val="009423A6"/>
    <w:rsid w:val="00943650"/>
    <w:rsid w:val="0094581F"/>
    <w:rsid w:val="009471EA"/>
    <w:rsid w:val="00947622"/>
    <w:rsid w:val="00950BEF"/>
    <w:rsid w:val="00952381"/>
    <w:rsid w:val="00952487"/>
    <w:rsid w:val="009536A1"/>
    <w:rsid w:val="009573B9"/>
    <w:rsid w:val="00957FCE"/>
    <w:rsid w:val="00961A45"/>
    <w:rsid w:val="00965F9D"/>
    <w:rsid w:val="0096726B"/>
    <w:rsid w:val="00970509"/>
    <w:rsid w:val="00972223"/>
    <w:rsid w:val="00972A53"/>
    <w:rsid w:val="009758B9"/>
    <w:rsid w:val="00975B14"/>
    <w:rsid w:val="00984FEA"/>
    <w:rsid w:val="00986445"/>
    <w:rsid w:val="00990065"/>
    <w:rsid w:val="00991976"/>
    <w:rsid w:val="00993445"/>
    <w:rsid w:val="00997791"/>
    <w:rsid w:val="009A438A"/>
    <w:rsid w:val="009A6D92"/>
    <w:rsid w:val="009B11AD"/>
    <w:rsid w:val="009B32BB"/>
    <w:rsid w:val="009B64EE"/>
    <w:rsid w:val="009B70FC"/>
    <w:rsid w:val="009C47F6"/>
    <w:rsid w:val="009C4DA9"/>
    <w:rsid w:val="009C6B64"/>
    <w:rsid w:val="009D6107"/>
    <w:rsid w:val="009E1F7A"/>
    <w:rsid w:val="009E2D9D"/>
    <w:rsid w:val="009F0B5A"/>
    <w:rsid w:val="009F7FDF"/>
    <w:rsid w:val="00A00D8E"/>
    <w:rsid w:val="00A0419B"/>
    <w:rsid w:val="00A126B0"/>
    <w:rsid w:val="00A136F5"/>
    <w:rsid w:val="00A15364"/>
    <w:rsid w:val="00A165FA"/>
    <w:rsid w:val="00A17427"/>
    <w:rsid w:val="00A1758E"/>
    <w:rsid w:val="00A20375"/>
    <w:rsid w:val="00A24F51"/>
    <w:rsid w:val="00A36991"/>
    <w:rsid w:val="00A374C1"/>
    <w:rsid w:val="00A44B86"/>
    <w:rsid w:val="00A45660"/>
    <w:rsid w:val="00A464B9"/>
    <w:rsid w:val="00A47489"/>
    <w:rsid w:val="00A5207F"/>
    <w:rsid w:val="00A533CD"/>
    <w:rsid w:val="00A5487C"/>
    <w:rsid w:val="00A55B8A"/>
    <w:rsid w:val="00A60CD8"/>
    <w:rsid w:val="00A73A94"/>
    <w:rsid w:val="00A7498D"/>
    <w:rsid w:val="00A8464F"/>
    <w:rsid w:val="00A86895"/>
    <w:rsid w:val="00A8698F"/>
    <w:rsid w:val="00A871D6"/>
    <w:rsid w:val="00A8770B"/>
    <w:rsid w:val="00A878E0"/>
    <w:rsid w:val="00A900DA"/>
    <w:rsid w:val="00A902FD"/>
    <w:rsid w:val="00A96200"/>
    <w:rsid w:val="00A97CBB"/>
    <w:rsid w:val="00AA2860"/>
    <w:rsid w:val="00AB2A1C"/>
    <w:rsid w:val="00AB3198"/>
    <w:rsid w:val="00AB343E"/>
    <w:rsid w:val="00AC0C21"/>
    <w:rsid w:val="00AC2269"/>
    <w:rsid w:val="00AC4BC4"/>
    <w:rsid w:val="00AC64AF"/>
    <w:rsid w:val="00AC64C7"/>
    <w:rsid w:val="00AD39EF"/>
    <w:rsid w:val="00AD3CC5"/>
    <w:rsid w:val="00AD44B8"/>
    <w:rsid w:val="00AD4C5A"/>
    <w:rsid w:val="00AE1E52"/>
    <w:rsid w:val="00AE2E68"/>
    <w:rsid w:val="00AE3062"/>
    <w:rsid w:val="00AE5EFD"/>
    <w:rsid w:val="00AE60DC"/>
    <w:rsid w:val="00AF14E4"/>
    <w:rsid w:val="00AF7091"/>
    <w:rsid w:val="00B0023D"/>
    <w:rsid w:val="00B0033E"/>
    <w:rsid w:val="00B068F0"/>
    <w:rsid w:val="00B07AB5"/>
    <w:rsid w:val="00B07AEB"/>
    <w:rsid w:val="00B22667"/>
    <w:rsid w:val="00B226BF"/>
    <w:rsid w:val="00B24CBC"/>
    <w:rsid w:val="00B26137"/>
    <w:rsid w:val="00B32723"/>
    <w:rsid w:val="00B34CF7"/>
    <w:rsid w:val="00B356CE"/>
    <w:rsid w:val="00B37B05"/>
    <w:rsid w:val="00B43717"/>
    <w:rsid w:val="00B45CD7"/>
    <w:rsid w:val="00B46139"/>
    <w:rsid w:val="00B47DFF"/>
    <w:rsid w:val="00B5051C"/>
    <w:rsid w:val="00B50BFD"/>
    <w:rsid w:val="00B608B2"/>
    <w:rsid w:val="00B62A96"/>
    <w:rsid w:val="00B64F2F"/>
    <w:rsid w:val="00B66617"/>
    <w:rsid w:val="00B67629"/>
    <w:rsid w:val="00B769C2"/>
    <w:rsid w:val="00B83B37"/>
    <w:rsid w:val="00B84071"/>
    <w:rsid w:val="00B85DC3"/>
    <w:rsid w:val="00B90323"/>
    <w:rsid w:val="00B90338"/>
    <w:rsid w:val="00B96B46"/>
    <w:rsid w:val="00BA1F20"/>
    <w:rsid w:val="00BA2134"/>
    <w:rsid w:val="00BA54BB"/>
    <w:rsid w:val="00BA5D19"/>
    <w:rsid w:val="00BB1C60"/>
    <w:rsid w:val="00BB2571"/>
    <w:rsid w:val="00BB4169"/>
    <w:rsid w:val="00BB4DA5"/>
    <w:rsid w:val="00BB5BF4"/>
    <w:rsid w:val="00BC0300"/>
    <w:rsid w:val="00BC43D0"/>
    <w:rsid w:val="00BC4DC9"/>
    <w:rsid w:val="00BC5036"/>
    <w:rsid w:val="00BC67C1"/>
    <w:rsid w:val="00BC7108"/>
    <w:rsid w:val="00BD3322"/>
    <w:rsid w:val="00BD48D5"/>
    <w:rsid w:val="00BD511C"/>
    <w:rsid w:val="00BD5F49"/>
    <w:rsid w:val="00BD6DE2"/>
    <w:rsid w:val="00BE4006"/>
    <w:rsid w:val="00BE5F0E"/>
    <w:rsid w:val="00BF2367"/>
    <w:rsid w:val="00BF529A"/>
    <w:rsid w:val="00BF7585"/>
    <w:rsid w:val="00C008ED"/>
    <w:rsid w:val="00C04441"/>
    <w:rsid w:val="00C0453A"/>
    <w:rsid w:val="00C06E32"/>
    <w:rsid w:val="00C07841"/>
    <w:rsid w:val="00C07D5C"/>
    <w:rsid w:val="00C10385"/>
    <w:rsid w:val="00C128CA"/>
    <w:rsid w:val="00C1388C"/>
    <w:rsid w:val="00C17746"/>
    <w:rsid w:val="00C2080A"/>
    <w:rsid w:val="00C22B34"/>
    <w:rsid w:val="00C238FE"/>
    <w:rsid w:val="00C253E8"/>
    <w:rsid w:val="00C332C6"/>
    <w:rsid w:val="00C348D4"/>
    <w:rsid w:val="00C4756D"/>
    <w:rsid w:val="00C53105"/>
    <w:rsid w:val="00C57A31"/>
    <w:rsid w:val="00C62D8C"/>
    <w:rsid w:val="00C6327E"/>
    <w:rsid w:val="00C648AD"/>
    <w:rsid w:val="00C65460"/>
    <w:rsid w:val="00C66707"/>
    <w:rsid w:val="00C67951"/>
    <w:rsid w:val="00C67B0A"/>
    <w:rsid w:val="00C71BED"/>
    <w:rsid w:val="00C76745"/>
    <w:rsid w:val="00C821EF"/>
    <w:rsid w:val="00C851D2"/>
    <w:rsid w:val="00C94677"/>
    <w:rsid w:val="00C9621A"/>
    <w:rsid w:val="00CA04AC"/>
    <w:rsid w:val="00CA0FF9"/>
    <w:rsid w:val="00CA478D"/>
    <w:rsid w:val="00CA53BB"/>
    <w:rsid w:val="00CB1853"/>
    <w:rsid w:val="00CB196F"/>
    <w:rsid w:val="00CB2DE7"/>
    <w:rsid w:val="00CB3823"/>
    <w:rsid w:val="00CB3A83"/>
    <w:rsid w:val="00CB4932"/>
    <w:rsid w:val="00CB57E6"/>
    <w:rsid w:val="00CB624F"/>
    <w:rsid w:val="00CC07DF"/>
    <w:rsid w:val="00CC2DC2"/>
    <w:rsid w:val="00CC5A75"/>
    <w:rsid w:val="00CD2DC6"/>
    <w:rsid w:val="00CD3650"/>
    <w:rsid w:val="00CE4D6F"/>
    <w:rsid w:val="00CF08A6"/>
    <w:rsid w:val="00CF14A5"/>
    <w:rsid w:val="00CF14D4"/>
    <w:rsid w:val="00CF1CF9"/>
    <w:rsid w:val="00CF4426"/>
    <w:rsid w:val="00CF50B6"/>
    <w:rsid w:val="00CF7AE6"/>
    <w:rsid w:val="00D00E09"/>
    <w:rsid w:val="00D014C2"/>
    <w:rsid w:val="00D02B54"/>
    <w:rsid w:val="00D06810"/>
    <w:rsid w:val="00D07AE4"/>
    <w:rsid w:val="00D100AE"/>
    <w:rsid w:val="00D1120C"/>
    <w:rsid w:val="00D2098B"/>
    <w:rsid w:val="00D2413D"/>
    <w:rsid w:val="00D24523"/>
    <w:rsid w:val="00D27336"/>
    <w:rsid w:val="00D27EB4"/>
    <w:rsid w:val="00D354AA"/>
    <w:rsid w:val="00D36611"/>
    <w:rsid w:val="00D3709E"/>
    <w:rsid w:val="00D43505"/>
    <w:rsid w:val="00D44C52"/>
    <w:rsid w:val="00D46331"/>
    <w:rsid w:val="00D5205C"/>
    <w:rsid w:val="00D52113"/>
    <w:rsid w:val="00D52F00"/>
    <w:rsid w:val="00D6166E"/>
    <w:rsid w:val="00D62AF5"/>
    <w:rsid w:val="00D66069"/>
    <w:rsid w:val="00D6608B"/>
    <w:rsid w:val="00D67C6A"/>
    <w:rsid w:val="00D73EDA"/>
    <w:rsid w:val="00D7475C"/>
    <w:rsid w:val="00D76A93"/>
    <w:rsid w:val="00D80BE4"/>
    <w:rsid w:val="00D82FA1"/>
    <w:rsid w:val="00D83238"/>
    <w:rsid w:val="00D83FCB"/>
    <w:rsid w:val="00D840AD"/>
    <w:rsid w:val="00D841AA"/>
    <w:rsid w:val="00D86C54"/>
    <w:rsid w:val="00D91EE4"/>
    <w:rsid w:val="00D92DB0"/>
    <w:rsid w:val="00D9381D"/>
    <w:rsid w:val="00D9439C"/>
    <w:rsid w:val="00D95E1F"/>
    <w:rsid w:val="00DB0559"/>
    <w:rsid w:val="00DB44F2"/>
    <w:rsid w:val="00DB7B0E"/>
    <w:rsid w:val="00DC1DA2"/>
    <w:rsid w:val="00DC1FF6"/>
    <w:rsid w:val="00DC524F"/>
    <w:rsid w:val="00DC55A9"/>
    <w:rsid w:val="00DD0771"/>
    <w:rsid w:val="00DD2ADA"/>
    <w:rsid w:val="00DD68DC"/>
    <w:rsid w:val="00DD7C5B"/>
    <w:rsid w:val="00DE28E8"/>
    <w:rsid w:val="00DE2CCC"/>
    <w:rsid w:val="00DE3CF9"/>
    <w:rsid w:val="00DE472E"/>
    <w:rsid w:val="00DE566E"/>
    <w:rsid w:val="00DF65F3"/>
    <w:rsid w:val="00E00D93"/>
    <w:rsid w:val="00E01A95"/>
    <w:rsid w:val="00E03196"/>
    <w:rsid w:val="00E07E2D"/>
    <w:rsid w:val="00E11ECB"/>
    <w:rsid w:val="00E13DF1"/>
    <w:rsid w:val="00E15185"/>
    <w:rsid w:val="00E16E7B"/>
    <w:rsid w:val="00E2122E"/>
    <w:rsid w:val="00E24AFF"/>
    <w:rsid w:val="00E252A9"/>
    <w:rsid w:val="00E2729C"/>
    <w:rsid w:val="00E27D9D"/>
    <w:rsid w:val="00E3176A"/>
    <w:rsid w:val="00E31FC4"/>
    <w:rsid w:val="00E3234E"/>
    <w:rsid w:val="00E3486F"/>
    <w:rsid w:val="00E34ABE"/>
    <w:rsid w:val="00E357C1"/>
    <w:rsid w:val="00E364C5"/>
    <w:rsid w:val="00E36F27"/>
    <w:rsid w:val="00E370FE"/>
    <w:rsid w:val="00E377AC"/>
    <w:rsid w:val="00E50963"/>
    <w:rsid w:val="00E53128"/>
    <w:rsid w:val="00E5384C"/>
    <w:rsid w:val="00E5626B"/>
    <w:rsid w:val="00E57FFC"/>
    <w:rsid w:val="00E602FF"/>
    <w:rsid w:val="00E62E19"/>
    <w:rsid w:val="00E64C27"/>
    <w:rsid w:val="00E64C78"/>
    <w:rsid w:val="00E66C56"/>
    <w:rsid w:val="00E70951"/>
    <w:rsid w:val="00E75573"/>
    <w:rsid w:val="00E77B2E"/>
    <w:rsid w:val="00E8151F"/>
    <w:rsid w:val="00E82536"/>
    <w:rsid w:val="00E840FD"/>
    <w:rsid w:val="00E9136A"/>
    <w:rsid w:val="00E95665"/>
    <w:rsid w:val="00EA0DB3"/>
    <w:rsid w:val="00EA561A"/>
    <w:rsid w:val="00EB1BC8"/>
    <w:rsid w:val="00EB286B"/>
    <w:rsid w:val="00EB2B28"/>
    <w:rsid w:val="00EB4F8E"/>
    <w:rsid w:val="00EB575C"/>
    <w:rsid w:val="00EB6D6A"/>
    <w:rsid w:val="00EC1312"/>
    <w:rsid w:val="00EC41BC"/>
    <w:rsid w:val="00EC5D4E"/>
    <w:rsid w:val="00EC6A32"/>
    <w:rsid w:val="00ED09CF"/>
    <w:rsid w:val="00ED1957"/>
    <w:rsid w:val="00ED208F"/>
    <w:rsid w:val="00ED5AE4"/>
    <w:rsid w:val="00ED5DF5"/>
    <w:rsid w:val="00ED5F6C"/>
    <w:rsid w:val="00EE066A"/>
    <w:rsid w:val="00EE20A8"/>
    <w:rsid w:val="00EE3A64"/>
    <w:rsid w:val="00EF0060"/>
    <w:rsid w:val="00EF133B"/>
    <w:rsid w:val="00EF6826"/>
    <w:rsid w:val="00F02E9D"/>
    <w:rsid w:val="00F04482"/>
    <w:rsid w:val="00F13DA3"/>
    <w:rsid w:val="00F16C46"/>
    <w:rsid w:val="00F2035D"/>
    <w:rsid w:val="00F209ED"/>
    <w:rsid w:val="00F21E16"/>
    <w:rsid w:val="00F2350C"/>
    <w:rsid w:val="00F239E6"/>
    <w:rsid w:val="00F23D4D"/>
    <w:rsid w:val="00F23DE3"/>
    <w:rsid w:val="00F264F5"/>
    <w:rsid w:val="00F303CB"/>
    <w:rsid w:val="00F32A52"/>
    <w:rsid w:val="00F35621"/>
    <w:rsid w:val="00F37191"/>
    <w:rsid w:val="00F4032F"/>
    <w:rsid w:val="00F40E37"/>
    <w:rsid w:val="00F52570"/>
    <w:rsid w:val="00F53E9D"/>
    <w:rsid w:val="00F54FB8"/>
    <w:rsid w:val="00F554B1"/>
    <w:rsid w:val="00F61E01"/>
    <w:rsid w:val="00F62D49"/>
    <w:rsid w:val="00F633B9"/>
    <w:rsid w:val="00F65B10"/>
    <w:rsid w:val="00F71964"/>
    <w:rsid w:val="00F7384B"/>
    <w:rsid w:val="00F84D75"/>
    <w:rsid w:val="00F91F62"/>
    <w:rsid w:val="00F92358"/>
    <w:rsid w:val="00F943B8"/>
    <w:rsid w:val="00F959DA"/>
    <w:rsid w:val="00F96701"/>
    <w:rsid w:val="00FA0BE0"/>
    <w:rsid w:val="00FA1565"/>
    <w:rsid w:val="00FA1C79"/>
    <w:rsid w:val="00FA2E0B"/>
    <w:rsid w:val="00FA31E4"/>
    <w:rsid w:val="00FA480B"/>
    <w:rsid w:val="00FA6626"/>
    <w:rsid w:val="00FA6C00"/>
    <w:rsid w:val="00FA6EBB"/>
    <w:rsid w:val="00FA7A4D"/>
    <w:rsid w:val="00FB0270"/>
    <w:rsid w:val="00FB4D05"/>
    <w:rsid w:val="00FB56CC"/>
    <w:rsid w:val="00FB5DE8"/>
    <w:rsid w:val="00FC1DE5"/>
    <w:rsid w:val="00FC3879"/>
    <w:rsid w:val="00FD6E62"/>
    <w:rsid w:val="00FE342C"/>
    <w:rsid w:val="00FE399F"/>
    <w:rsid w:val="00FE3D92"/>
    <w:rsid w:val="00FE422D"/>
    <w:rsid w:val="00FE7B71"/>
    <w:rsid w:val="00FF0653"/>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6D2E1A"/>
  <w15:chartTrackingRefBased/>
  <w15:docId w15:val="{8C93E7C9-3975-4203-979B-3913ABE4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4F"/>
    <w:rPr>
      <w:rFonts w:ascii="Times New Roman" w:hAnsi="Times New Roman"/>
      <w:sz w:val="24"/>
    </w:rPr>
  </w:style>
  <w:style w:type="paragraph" w:styleId="Heading1">
    <w:name w:val="heading 1"/>
    <w:basedOn w:val="Normal"/>
    <w:next w:val="Normal"/>
    <w:link w:val="Heading1Char"/>
    <w:uiPriority w:val="9"/>
    <w:qFormat/>
    <w:rsid w:val="00FE399F"/>
    <w:pPr>
      <w:keepNext/>
      <w:keepLines/>
      <w:spacing w:after="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00D8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4C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9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00D8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97CB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97CBB"/>
    <w:rPr>
      <w:i/>
      <w:iCs/>
    </w:rPr>
  </w:style>
  <w:style w:type="paragraph" w:styleId="Header">
    <w:name w:val="header"/>
    <w:basedOn w:val="Normal"/>
    <w:link w:val="HeaderChar"/>
    <w:uiPriority w:val="99"/>
    <w:unhideWhenUsed/>
    <w:rsid w:val="00F3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191"/>
  </w:style>
  <w:style w:type="paragraph" w:styleId="Footer">
    <w:name w:val="footer"/>
    <w:basedOn w:val="Normal"/>
    <w:link w:val="FooterChar"/>
    <w:uiPriority w:val="99"/>
    <w:unhideWhenUsed/>
    <w:rsid w:val="00F3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191"/>
  </w:style>
  <w:style w:type="paragraph" w:styleId="TOCHeading">
    <w:name w:val="TOC Heading"/>
    <w:basedOn w:val="Heading1"/>
    <w:next w:val="Normal"/>
    <w:uiPriority w:val="39"/>
    <w:unhideWhenUsed/>
    <w:qFormat/>
    <w:rsid w:val="00C851D2"/>
    <w:pPr>
      <w:outlineLvl w:val="9"/>
    </w:pPr>
  </w:style>
  <w:style w:type="paragraph" w:styleId="TOC2">
    <w:name w:val="toc 2"/>
    <w:basedOn w:val="Normal"/>
    <w:next w:val="Normal"/>
    <w:autoRedefine/>
    <w:uiPriority w:val="39"/>
    <w:unhideWhenUsed/>
    <w:rsid w:val="00C851D2"/>
    <w:pPr>
      <w:spacing w:before="120" w:after="0"/>
      <w:ind w:left="240"/>
    </w:pPr>
    <w:rPr>
      <w:rFonts w:asciiTheme="minorHAnsi" w:hAnsiTheme="minorHAnsi" w:cstheme="minorHAnsi"/>
      <w:b/>
      <w:bCs/>
      <w:sz w:val="22"/>
    </w:rPr>
  </w:style>
  <w:style w:type="paragraph" w:styleId="TOC1">
    <w:name w:val="toc 1"/>
    <w:basedOn w:val="Normal"/>
    <w:next w:val="Normal"/>
    <w:autoRedefine/>
    <w:uiPriority w:val="39"/>
    <w:unhideWhenUsed/>
    <w:rsid w:val="00C851D2"/>
    <w:pPr>
      <w:spacing w:before="120" w:after="0"/>
    </w:pPr>
    <w:rPr>
      <w:rFonts w:asciiTheme="minorHAnsi" w:hAnsiTheme="minorHAnsi" w:cstheme="minorHAnsi"/>
      <w:b/>
      <w:bCs/>
      <w:i/>
      <w:iCs/>
      <w:szCs w:val="24"/>
    </w:rPr>
  </w:style>
  <w:style w:type="paragraph" w:styleId="TOC3">
    <w:name w:val="toc 3"/>
    <w:basedOn w:val="Normal"/>
    <w:next w:val="Normal"/>
    <w:autoRedefine/>
    <w:uiPriority w:val="39"/>
    <w:unhideWhenUsed/>
    <w:rsid w:val="00C851D2"/>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C851D2"/>
    <w:rPr>
      <w:color w:val="0563C1" w:themeColor="hyperlink"/>
      <w:u w:val="single"/>
    </w:rPr>
  </w:style>
  <w:style w:type="character" w:styleId="LineNumber">
    <w:name w:val="line number"/>
    <w:basedOn w:val="DefaultParagraphFont"/>
    <w:uiPriority w:val="99"/>
    <w:semiHidden/>
    <w:unhideWhenUsed/>
    <w:rsid w:val="00C851D2"/>
  </w:style>
  <w:style w:type="character" w:styleId="CommentReference">
    <w:name w:val="annotation reference"/>
    <w:basedOn w:val="DefaultParagraphFont"/>
    <w:uiPriority w:val="99"/>
    <w:semiHidden/>
    <w:unhideWhenUsed/>
    <w:rsid w:val="00C851D2"/>
    <w:rPr>
      <w:sz w:val="16"/>
      <w:szCs w:val="16"/>
    </w:rPr>
  </w:style>
  <w:style w:type="paragraph" w:styleId="CommentText">
    <w:name w:val="annotation text"/>
    <w:basedOn w:val="Normal"/>
    <w:link w:val="CommentTextChar"/>
    <w:uiPriority w:val="99"/>
    <w:unhideWhenUsed/>
    <w:rsid w:val="00C851D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851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1D2"/>
    <w:rPr>
      <w:b/>
      <w:bCs/>
    </w:rPr>
  </w:style>
  <w:style w:type="character" w:customStyle="1" w:styleId="CommentSubjectChar">
    <w:name w:val="Comment Subject Char"/>
    <w:basedOn w:val="CommentTextChar"/>
    <w:link w:val="CommentSubject"/>
    <w:uiPriority w:val="99"/>
    <w:semiHidden/>
    <w:rsid w:val="00C851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51D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51D2"/>
    <w:rPr>
      <w:rFonts w:ascii="Segoe UI" w:eastAsia="Times New Roman" w:hAnsi="Segoe UI" w:cs="Segoe UI"/>
      <w:sz w:val="18"/>
      <w:szCs w:val="18"/>
    </w:rPr>
  </w:style>
  <w:style w:type="paragraph" w:styleId="Bibliography">
    <w:name w:val="Bibliography"/>
    <w:basedOn w:val="Normal"/>
    <w:next w:val="Normal"/>
    <w:uiPriority w:val="37"/>
    <w:unhideWhenUsed/>
    <w:rsid w:val="00C851D2"/>
    <w:pPr>
      <w:tabs>
        <w:tab w:val="left" w:pos="504"/>
      </w:tabs>
      <w:spacing w:after="240" w:line="240" w:lineRule="auto"/>
      <w:ind w:left="504" w:hanging="504"/>
    </w:pPr>
    <w:rPr>
      <w:rFonts w:eastAsia="Times New Roman" w:cs="Times New Roman"/>
      <w:szCs w:val="24"/>
    </w:rPr>
  </w:style>
  <w:style w:type="paragraph" w:styleId="Revision">
    <w:name w:val="Revision"/>
    <w:hidden/>
    <w:uiPriority w:val="99"/>
    <w:semiHidden/>
    <w:rsid w:val="00C851D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51D2"/>
    <w:rPr>
      <w:color w:val="954F72" w:themeColor="followedHyperlink"/>
      <w:u w:val="single"/>
    </w:rPr>
  </w:style>
  <w:style w:type="paragraph" w:customStyle="1" w:styleId="DissertationStyle">
    <w:name w:val="DissertationStyle"/>
    <w:basedOn w:val="Heading1"/>
    <w:link w:val="DissertationStyleChar"/>
    <w:qFormat/>
    <w:rsid w:val="002C6E90"/>
    <w:pPr>
      <w:spacing w:after="120"/>
    </w:pPr>
    <w:rPr>
      <w:rFonts w:cs="Times New Roman"/>
    </w:rPr>
  </w:style>
  <w:style w:type="character" w:customStyle="1" w:styleId="DissertationStyleChar">
    <w:name w:val="DissertationStyle Char"/>
    <w:basedOn w:val="Heading1Char"/>
    <w:link w:val="DissertationStyle"/>
    <w:rsid w:val="002C6E90"/>
    <w:rPr>
      <w:rFonts w:ascii="Times New Roman" w:eastAsiaTheme="majorEastAsia" w:hAnsi="Times New Roman" w:cs="Times New Roman"/>
      <w:b/>
      <w:sz w:val="24"/>
      <w:szCs w:val="32"/>
    </w:rPr>
  </w:style>
  <w:style w:type="paragraph" w:styleId="Caption">
    <w:name w:val="caption"/>
    <w:basedOn w:val="Normal"/>
    <w:next w:val="Normal"/>
    <w:uiPriority w:val="35"/>
    <w:unhideWhenUsed/>
    <w:qFormat/>
    <w:rsid w:val="00A00D8E"/>
    <w:pPr>
      <w:spacing w:after="200" w:line="240" w:lineRule="auto"/>
    </w:pPr>
    <w:rPr>
      <w:b/>
      <w:bCs/>
      <w:color w:val="5B9BD5" w:themeColor="accent1"/>
      <w:sz w:val="18"/>
      <w:szCs w:val="18"/>
    </w:rPr>
  </w:style>
  <w:style w:type="paragraph" w:styleId="ListParagraph">
    <w:name w:val="List Paragraph"/>
    <w:basedOn w:val="Normal"/>
    <w:uiPriority w:val="34"/>
    <w:qFormat/>
    <w:rsid w:val="00A00D8E"/>
    <w:pPr>
      <w:spacing w:after="0" w:line="240" w:lineRule="auto"/>
      <w:ind w:left="720"/>
      <w:contextualSpacing/>
    </w:pPr>
    <w:rPr>
      <w:rFonts w:eastAsia="Times New Roman" w:cs="Times New Roman"/>
      <w:szCs w:val="24"/>
    </w:rPr>
  </w:style>
  <w:style w:type="paragraph" w:customStyle="1" w:styleId="Figure">
    <w:name w:val="Figure"/>
    <w:basedOn w:val="Normal"/>
    <w:link w:val="FigureChar"/>
    <w:qFormat/>
    <w:rsid w:val="00306E4F"/>
    <w:rPr>
      <w:rFonts w:cs="Times New Roman"/>
      <w:noProof/>
      <w:szCs w:val="24"/>
    </w:rPr>
  </w:style>
  <w:style w:type="paragraph" w:customStyle="1" w:styleId="Table">
    <w:name w:val="Table"/>
    <w:basedOn w:val="Normal"/>
    <w:link w:val="TableChar"/>
    <w:qFormat/>
    <w:rsid w:val="008219F1"/>
    <w:rPr>
      <w:rFonts w:cs="Times New Roman"/>
      <w:szCs w:val="24"/>
    </w:rPr>
  </w:style>
  <w:style w:type="paragraph" w:styleId="Quote">
    <w:name w:val="Quote"/>
    <w:basedOn w:val="Normal"/>
    <w:next w:val="Normal"/>
    <w:link w:val="QuoteChar"/>
    <w:uiPriority w:val="29"/>
    <w:qFormat/>
    <w:rsid w:val="008219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19F1"/>
    <w:rPr>
      <w:i/>
      <w:iCs/>
      <w:color w:val="404040" w:themeColor="text1" w:themeTint="BF"/>
    </w:rPr>
  </w:style>
  <w:style w:type="character" w:customStyle="1" w:styleId="FigureChar">
    <w:name w:val="Figure Char"/>
    <w:basedOn w:val="DefaultParagraphFont"/>
    <w:link w:val="Figure"/>
    <w:rsid w:val="00306E4F"/>
    <w:rPr>
      <w:rFonts w:ascii="Times New Roman" w:hAnsi="Times New Roman" w:cs="Times New Roman"/>
      <w:noProof/>
      <w:sz w:val="24"/>
      <w:szCs w:val="24"/>
    </w:rPr>
  </w:style>
  <w:style w:type="paragraph" w:styleId="TableofFigures">
    <w:name w:val="table of figures"/>
    <w:basedOn w:val="Normal"/>
    <w:next w:val="Normal"/>
    <w:uiPriority w:val="99"/>
    <w:unhideWhenUsed/>
    <w:rsid w:val="0040504A"/>
    <w:pPr>
      <w:spacing w:after="0"/>
    </w:pPr>
    <w:rPr>
      <w:rFonts w:asciiTheme="minorHAnsi" w:hAnsiTheme="minorHAnsi" w:cstheme="minorHAnsi"/>
      <w:i/>
      <w:iCs/>
      <w:sz w:val="20"/>
      <w:szCs w:val="20"/>
    </w:rPr>
  </w:style>
  <w:style w:type="character" w:customStyle="1" w:styleId="TableChar">
    <w:name w:val="Table Char"/>
    <w:basedOn w:val="DefaultParagraphFont"/>
    <w:link w:val="Table"/>
    <w:rsid w:val="00306E4F"/>
    <w:rPr>
      <w:rFonts w:ascii="Times New Roman" w:hAnsi="Times New Roman" w:cs="Times New Roman"/>
      <w:sz w:val="24"/>
      <w:szCs w:val="24"/>
    </w:rPr>
  </w:style>
  <w:style w:type="paragraph" w:customStyle="1" w:styleId="nothing">
    <w:name w:val="nothing"/>
    <w:basedOn w:val="Figure"/>
    <w:link w:val="nothingChar"/>
    <w:qFormat/>
    <w:rsid w:val="00306E4F"/>
  </w:style>
  <w:style w:type="character" w:customStyle="1" w:styleId="mixed-citation">
    <w:name w:val="mixed-citation"/>
    <w:basedOn w:val="DefaultParagraphFont"/>
    <w:rsid w:val="003C290C"/>
  </w:style>
  <w:style w:type="character" w:customStyle="1" w:styleId="nothingChar">
    <w:name w:val="nothing Char"/>
    <w:basedOn w:val="FigureChar"/>
    <w:link w:val="nothing"/>
    <w:rsid w:val="00306E4F"/>
    <w:rPr>
      <w:rFonts w:ascii="Times New Roman" w:hAnsi="Times New Roman" w:cs="Times New Roman"/>
      <w:noProof/>
      <w:sz w:val="24"/>
      <w:szCs w:val="24"/>
    </w:rPr>
  </w:style>
  <w:style w:type="character" w:customStyle="1" w:styleId="ref-journal">
    <w:name w:val="ref-journal"/>
    <w:basedOn w:val="DefaultParagraphFont"/>
    <w:rsid w:val="003C290C"/>
  </w:style>
  <w:style w:type="character" w:customStyle="1" w:styleId="ref-vol">
    <w:name w:val="ref-vol"/>
    <w:basedOn w:val="DefaultParagraphFont"/>
    <w:rsid w:val="003C290C"/>
  </w:style>
  <w:style w:type="character" w:customStyle="1" w:styleId="EndNoteBibliographyChar">
    <w:name w:val="EndNote Bibliography Char"/>
    <w:basedOn w:val="DefaultParagraphFont"/>
    <w:link w:val="EndNoteBibliography"/>
    <w:locked/>
    <w:rsid w:val="00167E3B"/>
    <w:rPr>
      <w:rFonts w:ascii="Calibri" w:hAnsi="Calibri"/>
      <w:noProof/>
    </w:rPr>
  </w:style>
  <w:style w:type="paragraph" w:customStyle="1" w:styleId="EndNoteBibliography">
    <w:name w:val="EndNote Bibliography"/>
    <w:basedOn w:val="Normal"/>
    <w:link w:val="EndNoteBibliographyChar"/>
    <w:rsid w:val="00167E3B"/>
    <w:pPr>
      <w:spacing w:line="240" w:lineRule="auto"/>
    </w:pPr>
    <w:rPr>
      <w:rFonts w:ascii="Calibri" w:hAnsi="Calibri"/>
      <w:noProof/>
      <w:sz w:val="22"/>
    </w:rPr>
  </w:style>
  <w:style w:type="character" w:customStyle="1" w:styleId="Mention1">
    <w:name w:val="Mention1"/>
    <w:basedOn w:val="DefaultParagraphFont"/>
    <w:uiPriority w:val="99"/>
    <w:semiHidden/>
    <w:unhideWhenUsed/>
    <w:rsid w:val="00167E3B"/>
    <w:rPr>
      <w:color w:val="2B579A"/>
      <w:shd w:val="clear" w:color="auto" w:fill="E6E6E6"/>
    </w:rPr>
  </w:style>
  <w:style w:type="table" w:styleId="TableGrid">
    <w:name w:val="Table Grid"/>
    <w:basedOn w:val="TableNormal"/>
    <w:uiPriority w:val="39"/>
    <w:rsid w:val="0016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167E3B"/>
    <w:rPr>
      <w:color w:val="2B579A"/>
      <w:shd w:val="clear" w:color="auto" w:fill="E6E6E6"/>
    </w:rPr>
  </w:style>
  <w:style w:type="paragraph" w:customStyle="1" w:styleId="Subtitle1">
    <w:name w:val="Subtitle1"/>
    <w:basedOn w:val="Normal"/>
    <w:qFormat/>
    <w:rsid w:val="003106A2"/>
    <w:pPr>
      <w:spacing w:line="480" w:lineRule="auto"/>
    </w:pPr>
    <w:rPr>
      <w:b/>
    </w:rPr>
  </w:style>
  <w:style w:type="paragraph" w:styleId="NoSpacing">
    <w:name w:val="No Spacing"/>
    <w:uiPriority w:val="1"/>
    <w:qFormat/>
    <w:rsid w:val="003106A2"/>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semiHidden/>
    <w:rsid w:val="00B34CF7"/>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B34CF7"/>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34CF7"/>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34CF7"/>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34CF7"/>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34CF7"/>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34CF7"/>
    <w:pPr>
      <w:spacing w:after="0"/>
      <w:ind w:left="1920"/>
    </w:pPr>
    <w:rPr>
      <w:rFonts w:asciiTheme="minorHAnsi" w:hAnsiTheme="minorHAnsi" w:cstheme="minorHAnsi"/>
      <w:sz w:val="20"/>
      <w:szCs w:val="20"/>
    </w:rPr>
  </w:style>
  <w:style w:type="paragraph" w:styleId="Subtitle">
    <w:name w:val="Subtitle"/>
    <w:basedOn w:val="Normal"/>
    <w:next w:val="Normal"/>
    <w:link w:val="SubtitleChar"/>
    <w:uiPriority w:val="11"/>
    <w:qFormat/>
    <w:rsid w:val="001C37BC"/>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C37BC"/>
    <w:rPr>
      <w:rFonts w:eastAsiaTheme="minorEastAsia"/>
      <w:color w:val="5A5A5A" w:themeColor="text1" w:themeTint="A5"/>
      <w:spacing w:val="15"/>
    </w:rPr>
  </w:style>
  <w:style w:type="character" w:styleId="PlaceholderText">
    <w:name w:val="Placeholder Text"/>
    <w:basedOn w:val="DefaultParagraphFont"/>
    <w:uiPriority w:val="99"/>
    <w:semiHidden/>
    <w:rsid w:val="0080001A"/>
    <w:rPr>
      <w:color w:val="808080"/>
    </w:rPr>
  </w:style>
  <w:style w:type="character" w:customStyle="1" w:styleId="current-selection">
    <w:name w:val="current-selection"/>
    <w:basedOn w:val="DefaultParagraphFont"/>
    <w:rsid w:val="00FB4D05"/>
  </w:style>
  <w:style w:type="character" w:customStyle="1" w:styleId="a">
    <w:name w:val="_"/>
    <w:basedOn w:val="DefaultParagraphFont"/>
    <w:rsid w:val="00FB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6552">
      <w:bodyDiv w:val="1"/>
      <w:marLeft w:val="0"/>
      <w:marRight w:val="0"/>
      <w:marTop w:val="0"/>
      <w:marBottom w:val="0"/>
      <w:divBdr>
        <w:top w:val="none" w:sz="0" w:space="0" w:color="auto"/>
        <w:left w:val="none" w:sz="0" w:space="0" w:color="auto"/>
        <w:bottom w:val="none" w:sz="0" w:space="0" w:color="auto"/>
        <w:right w:val="none" w:sz="0" w:space="0" w:color="auto"/>
      </w:divBdr>
    </w:div>
    <w:div w:id="310253306">
      <w:bodyDiv w:val="1"/>
      <w:marLeft w:val="0"/>
      <w:marRight w:val="0"/>
      <w:marTop w:val="0"/>
      <w:marBottom w:val="0"/>
      <w:divBdr>
        <w:top w:val="none" w:sz="0" w:space="0" w:color="auto"/>
        <w:left w:val="none" w:sz="0" w:space="0" w:color="auto"/>
        <w:bottom w:val="none" w:sz="0" w:space="0" w:color="auto"/>
        <w:right w:val="none" w:sz="0" w:space="0" w:color="auto"/>
      </w:divBdr>
    </w:div>
    <w:div w:id="418402919">
      <w:bodyDiv w:val="1"/>
      <w:marLeft w:val="0"/>
      <w:marRight w:val="0"/>
      <w:marTop w:val="0"/>
      <w:marBottom w:val="0"/>
      <w:divBdr>
        <w:top w:val="none" w:sz="0" w:space="0" w:color="auto"/>
        <w:left w:val="none" w:sz="0" w:space="0" w:color="auto"/>
        <w:bottom w:val="none" w:sz="0" w:space="0" w:color="auto"/>
        <w:right w:val="none" w:sz="0" w:space="0" w:color="auto"/>
      </w:divBdr>
    </w:div>
    <w:div w:id="422069629">
      <w:bodyDiv w:val="1"/>
      <w:marLeft w:val="0"/>
      <w:marRight w:val="0"/>
      <w:marTop w:val="0"/>
      <w:marBottom w:val="0"/>
      <w:divBdr>
        <w:top w:val="none" w:sz="0" w:space="0" w:color="auto"/>
        <w:left w:val="none" w:sz="0" w:space="0" w:color="auto"/>
        <w:bottom w:val="none" w:sz="0" w:space="0" w:color="auto"/>
        <w:right w:val="none" w:sz="0" w:space="0" w:color="auto"/>
      </w:divBdr>
    </w:div>
    <w:div w:id="610473854">
      <w:bodyDiv w:val="1"/>
      <w:marLeft w:val="0"/>
      <w:marRight w:val="0"/>
      <w:marTop w:val="0"/>
      <w:marBottom w:val="0"/>
      <w:divBdr>
        <w:top w:val="none" w:sz="0" w:space="0" w:color="auto"/>
        <w:left w:val="none" w:sz="0" w:space="0" w:color="auto"/>
        <w:bottom w:val="none" w:sz="0" w:space="0" w:color="auto"/>
        <w:right w:val="none" w:sz="0" w:space="0" w:color="auto"/>
      </w:divBdr>
    </w:div>
    <w:div w:id="706179588">
      <w:bodyDiv w:val="1"/>
      <w:marLeft w:val="0"/>
      <w:marRight w:val="0"/>
      <w:marTop w:val="0"/>
      <w:marBottom w:val="0"/>
      <w:divBdr>
        <w:top w:val="none" w:sz="0" w:space="0" w:color="auto"/>
        <w:left w:val="none" w:sz="0" w:space="0" w:color="auto"/>
        <w:bottom w:val="none" w:sz="0" w:space="0" w:color="auto"/>
        <w:right w:val="none" w:sz="0" w:space="0" w:color="auto"/>
      </w:divBdr>
      <w:divsChild>
        <w:div w:id="308562833">
          <w:marLeft w:val="0"/>
          <w:marRight w:val="0"/>
          <w:marTop w:val="0"/>
          <w:marBottom w:val="0"/>
          <w:divBdr>
            <w:top w:val="none" w:sz="0" w:space="0" w:color="auto"/>
            <w:left w:val="none" w:sz="0" w:space="0" w:color="auto"/>
            <w:bottom w:val="none" w:sz="0" w:space="0" w:color="auto"/>
            <w:right w:val="none" w:sz="0" w:space="0" w:color="auto"/>
          </w:divBdr>
        </w:div>
        <w:div w:id="1256129837">
          <w:marLeft w:val="0"/>
          <w:marRight w:val="0"/>
          <w:marTop w:val="0"/>
          <w:marBottom w:val="0"/>
          <w:divBdr>
            <w:top w:val="none" w:sz="0" w:space="0" w:color="auto"/>
            <w:left w:val="none" w:sz="0" w:space="0" w:color="auto"/>
            <w:bottom w:val="none" w:sz="0" w:space="0" w:color="auto"/>
            <w:right w:val="none" w:sz="0" w:space="0" w:color="auto"/>
          </w:divBdr>
        </w:div>
        <w:div w:id="1292008886">
          <w:marLeft w:val="0"/>
          <w:marRight w:val="0"/>
          <w:marTop w:val="0"/>
          <w:marBottom w:val="0"/>
          <w:divBdr>
            <w:top w:val="none" w:sz="0" w:space="0" w:color="auto"/>
            <w:left w:val="none" w:sz="0" w:space="0" w:color="auto"/>
            <w:bottom w:val="none" w:sz="0" w:space="0" w:color="auto"/>
            <w:right w:val="none" w:sz="0" w:space="0" w:color="auto"/>
          </w:divBdr>
        </w:div>
      </w:divsChild>
    </w:div>
    <w:div w:id="724377784">
      <w:bodyDiv w:val="1"/>
      <w:marLeft w:val="0"/>
      <w:marRight w:val="0"/>
      <w:marTop w:val="0"/>
      <w:marBottom w:val="0"/>
      <w:divBdr>
        <w:top w:val="none" w:sz="0" w:space="0" w:color="auto"/>
        <w:left w:val="none" w:sz="0" w:space="0" w:color="auto"/>
        <w:bottom w:val="none" w:sz="0" w:space="0" w:color="auto"/>
        <w:right w:val="none" w:sz="0" w:space="0" w:color="auto"/>
      </w:divBdr>
    </w:div>
    <w:div w:id="748044665">
      <w:bodyDiv w:val="1"/>
      <w:marLeft w:val="0"/>
      <w:marRight w:val="0"/>
      <w:marTop w:val="0"/>
      <w:marBottom w:val="0"/>
      <w:divBdr>
        <w:top w:val="none" w:sz="0" w:space="0" w:color="auto"/>
        <w:left w:val="none" w:sz="0" w:space="0" w:color="auto"/>
        <w:bottom w:val="none" w:sz="0" w:space="0" w:color="auto"/>
        <w:right w:val="none" w:sz="0" w:space="0" w:color="auto"/>
      </w:divBdr>
    </w:div>
    <w:div w:id="778915365">
      <w:bodyDiv w:val="1"/>
      <w:marLeft w:val="0"/>
      <w:marRight w:val="0"/>
      <w:marTop w:val="0"/>
      <w:marBottom w:val="0"/>
      <w:divBdr>
        <w:top w:val="none" w:sz="0" w:space="0" w:color="auto"/>
        <w:left w:val="none" w:sz="0" w:space="0" w:color="auto"/>
        <w:bottom w:val="none" w:sz="0" w:space="0" w:color="auto"/>
        <w:right w:val="none" w:sz="0" w:space="0" w:color="auto"/>
      </w:divBdr>
    </w:div>
    <w:div w:id="979575322">
      <w:bodyDiv w:val="1"/>
      <w:marLeft w:val="0"/>
      <w:marRight w:val="0"/>
      <w:marTop w:val="0"/>
      <w:marBottom w:val="0"/>
      <w:divBdr>
        <w:top w:val="none" w:sz="0" w:space="0" w:color="auto"/>
        <w:left w:val="none" w:sz="0" w:space="0" w:color="auto"/>
        <w:bottom w:val="none" w:sz="0" w:space="0" w:color="auto"/>
        <w:right w:val="none" w:sz="0" w:space="0" w:color="auto"/>
      </w:divBdr>
    </w:div>
    <w:div w:id="1010839959">
      <w:bodyDiv w:val="1"/>
      <w:marLeft w:val="0"/>
      <w:marRight w:val="0"/>
      <w:marTop w:val="0"/>
      <w:marBottom w:val="0"/>
      <w:divBdr>
        <w:top w:val="none" w:sz="0" w:space="0" w:color="auto"/>
        <w:left w:val="none" w:sz="0" w:space="0" w:color="auto"/>
        <w:bottom w:val="none" w:sz="0" w:space="0" w:color="auto"/>
        <w:right w:val="none" w:sz="0" w:space="0" w:color="auto"/>
      </w:divBdr>
    </w:div>
    <w:div w:id="1188983910">
      <w:bodyDiv w:val="1"/>
      <w:marLeft w:val="0"/>
      <w:marRight w:val="0"/>
      <w:marTop w:val="0"/>
      <w:marBottom w:val="0"/>
      <w:divBdr>
        <w:top w:val="none" w:sz="0" w:space="0" w:color="auto"/>
        <w:left w:val="none" w:sz="0" w:space="0" w:color="auto"/>
        <w:bottom w:val="none" w:sz="0" w:space="0" w:color="auto"/>
        <w:right w:val="none" w:sz="0" w:space="0" w:color="auto"/>
      </w:divBdr>
    </w:div>
    <w:div w:id="1217012812">
      <w:bodyDiv w:val="1"/>
      <w:marLeft w:val="0"/>
      <w:marRight w:val="0"/>
      <w:marTop w:val="0"/>
      <w:marBottom w:val="0"/>
      <w:divBdr>
        <w:top w:val="none" w:sz="0" w:space="0" w:color="auto"/>
        <w:left w:val="none" w:sz="0" w:space="0" w:color="auto"/>
        <w:bottom w:val="none" w:sz="0" w:space="0" w:color="auto"/>
        <w:right w:val="none" w:sz="0" w:space="0" w:color="auto"/>
      </w:divBdr>
    </w:div>
    <w:div w:id="1285112216">
      <w:bodyDiv w:val="1"/>
      <w:marLeft w:val="0"/>
      <w:marRight w:val="0"/>
      <w:marTop w:val="0"/>
      <w:marBottom w:val="0"/>
      <w:divBdr>
        <w:top w:val="none" w:sz="0" w:space="0" w:color="auto"/>
        <w:left w:val="none" w:sz="0" w:space="0" w:color="auto"/>
        <w:bottom w:val="none" w:sz="0" w:space="0" w:color="auto"/>
        <w:right w:val="none" w:sz="0" w:space="0" w:color="auto"/>
      </w:divBdr>
    </w:div>
    <w:div w:id="1431967497">
      <w:bodyDiv w:val="1"/>
      <w:marLeft w:val="0"/>
      <w:marRight w:val="0"/>
      <w:marTop w:val="0"/>
      <w:marBottom w:val="0"/>
      <w:divBdr>
        <w:top w:val="none" w:sz="0" w:space="0" w:color="auto"/>
        <w:left w:val="none" w:sz="0" w:space="0" w:color="auto"/>
        <w:bottom w:val="none" w:sz="0" w:space="0" w:color="auto"/>
        <w:right w:val="none" w:sz="0" w:space="0" w:color="auto"/>
      </w:divBdr>
      <w:divsChild>
        <w:div w:id="1995256367">
          <w:marLeft w:val="0"/>
          <w:marRight w:val="0"/>
          <w:marTop w:val="0"/>
          <w:marBottom w:val="0"/>
          <w:divBdr>
            <w:top w:val="none" w:sz="0" w:space="0" w:color="auto"/>
            <w:left w:val="none" w:sz="0" w:space="0" w:color="auto"/>
            <w:bottom w:val="none" w:sz="0" w:space="0" w:color="auto"/>
            <w:right w:val="none" w:sz="0" w:space="0" w:color="auto"/>
          </w:divBdr>
        </w:div>
      </w:divsChild>
    </w:div>
    <w:div w:id="1684866521">
      <w:bodyDiv w:val="1"/>
      <w:marLeft w:val="0"/>
      <w:marRight w:val="0"/>
      <w:marTop w:val="0"/>
      <w:marBottom w:val="0"/>
      <w:divBdr>
        <w:top w:val="none" w:sz="0" w:space="0" w:color="auto"/>
        <w:left w:val="none" w:sz="0" w:space="0" w:color="auto"/>
        <w:bottom w:val="none" w:sz="0" w:space="0" w:color="auto"/>
        <w:right w:val="none" w:sz="0" w:space="0" w:color="auto"/>
      </w:divBdr>
    </w:div>
    <w:div w:id="1704667531">
      <w:bodyDiv w:val="1"/>
      <w:marLeft w:val="0"/>
      <w:marRight w:val="0"/>
      <w:marTop w:val="0"/>
      <w:marBottom w:val="0"/>
      <w:divBdr>
        <w:top w:val="none" w:sz="0" w:space="0" w:color="auto"/>
        <w:left w:val="none" w:sz="0" w:space="0" w:color="auto"/>
        <w:bottom w:val="none" w:sz="0" w:space="0" w:color="auto"/>
        <w:right w:val="none" w:sz="0" w:space="0" w:color="auto"/>
      </w:divBdr>
    </w:div>
    <w:div w:id="1837257757">
      <w:bodyDiv w:val="1"/>
      <w:marLeft w:val="0"/>
      <w:marRight w:val="0"/>
      <w:marTop w:val="0"/>
      <w:marBottom w:val="0"/>
      <w:divBdr>
        <w:top w:val="none" w:sz="0" w:space="0" w:color="auto"/>
        <w:left w:val="none" w:sz="0" w:space="0" w:color="auto"/>
        <w:bottom w:val="none" w:sz="0" w:space="0" w:color="auto"/>
        <w:right w:val="none" w:sz="0" w:space="0" w:color="auto"/>
      </w:divBdr>
    </w:div>
    <w:div w:id="1850290123">
      <w:bodyDiv w:val="1"/>
      <w:marLeft w:val="0"/>
      <w:marRight w:val="0"/>
      <w:marTop w:val="0"/>
      <w:marBottom w:val="0"/>
      <w:divBdr>
        <w:top w:val="none" w:sz="0" w:space="0" w:color="auto"/>
        <w:left w:val="none" w:sz="0" w:space="0" w:color="auto"/>
        <w:bottom w:val="none" w:sz="0" w:space="0" w:color="auto"/>
        <w:right w:val="none" w:sz="0" w:space="0" w:color="auto"/>
      </w:divBdr>
    </w:div>
    <w:div w:id="1884704836">
      <w:bodyDiv w:val="1"/>
      <w:marLeft w:val="0"/>
      <w:marRight w:val="0"/>
      <w:marTop w:val="0"/>
      <w:marBottom w:val="0"/>
      <w:divBdr>
        <w:top w:val="none" w:sz="0" w:space="0" w:color="auto"/>
        <w:left w:val="none" w:sz="0" w:space="0" w:color="auto"/>
        <w:bottom w:val="none" w:sz="0" w:space="0" w:color="auto"/>
        <w:right w:val="none" w:sz="0" w:space="0" w:color="auto"/>
      </w:divBdr>
    </w:div>
    <w:div w:id="1924139403">
      <w:bodyDiv w:val="1"/>
      <w:marLeft w:val="0"/>
      <w:marRight w:val="0"/>
      <w:marTop w:val="0"/>
      <w:marBottom w:val="0"/>
      <w:divBdr>
        <w:top w:val="none" w:sz="0" w:space="0" w:color="auto"/>
        <w:left w:val="none" w:sz="0" w:space="0" w:color="auto"/>
        <w:bottom w:val="none" w:sz="0" w:space="0" w:color="auto"/>
        <w:right w:val="none" w:sz="0" w:space="0" w:color="auto"/>
      </w:divBdr>
    </w:div>
    <w:div w:id="1932273238">
      <w:bodyDiv w:val="1"/>
      <w:marLeft w:val="0"/>
      <w:marRight w:val="0"/>
      <w:marTop w:val="0"/>
      <w:marBottom w:val="0"/>
      <w:divBdr>
        <w:top w:val="none" w:sz="0" w:space="0" w:color="auto"/>
        <w:left w:val="none" w:sz="0" w:space="0" w:color="auto"/>
        <w:bottom w:val="none" w:sz="0" w:space="0" w:color="auto"/>
        <w:right w:val="none" w:sz="0" w:space="0" w:color="auto"/>
      </w:divBdr>
    </w:div>
    <w:div w:id="21167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C243-4C00-43E4-9505-0809ACCB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40480</Words>
  <Characters>214549</Characters>
  <Application>Microsoft Office Word</Application>
  <DocSecurity>0</DocSecurity>
  <Lines>1787</Lines>
  <Paragraphs>509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Markovitz</dc:creator>
  <cp:keywords/>
  <dc:description/>
  <cp:lastModifiedBy>Bjørn Olav Åsvold</cp:lastModifiedBy>
  <cp:revision>2</cp:revision>
  <cp:lastPrinted>2018-04-19T17:14:00Z</cp:lastPrinted>
  <dcterms:created xsi:type="dcterms:W3CDTF">2019-02-25T10:40:00Z</dcterms:created>
  <dcterms:modified xsi:type="dcterms:W3CDTF">2019-02-25T10:40:00Z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id="3SqfOk2N"/&gt;&lt;style id="http://www.zotero.org/styles/european-heart-journal" hasBibliography="1" bibliographyStyleHasBeenSet="1"/&gt;&lt;prefs&gt;&lt;pref name="fieldType" value="Field"/&gt;&lt;/prefs&gt;&lt;/data&gt;</vt:lpwstr>
  </property>
</Properties>
</file>