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5AC11" w14:textId="77777777" w:rsidR="005D0C53" w:rsidRDefault="003175A0" w:rsidP="00111DE4">
      <w:pPr>
        <w:pStyle w:val="Heading1"/>
      </w:pPr>
      <w:bookmarkStart w:id="0" w:name="_GoBack"/>
      <w:bookmarkEnd w:id="0"/>
      <w:r>
        <w:t xml:space="preserve">Assessment of safety barriers for the prevention of cascading events in oil and gas offshore installations operating in harsh environment </w:t>
      </w:r>
    </w:p>
    <w:p w14:paraId="1AA2ACBE" w14:textId="77777777" w:rsidR="00BF4F6F" w:rsidRPr="00CD6280" w:rsidRDefault="00BF4F6F" w:rsidP="00FC4D7C">
      <w:pPr>
        <w:jc w:val="center"/>
        <w:rPr>
          <w:rFonts w:asciiTheme="majorHAnsi" w:eastAsiaTheme="majorEastAsia" w:hAnsiTheme="majorHAnsi" w:cstheme="majorBidi"/>
          <w:b/>
          <w:sz w:val="28"/>
          <w:szCs w:val="28"/>
          <w:lang w:val="en-US"/>
        </w:rPr>
      </w:pPr>
    </w:p>
    <w:p w14:paraId="7AD6F4F8" w14:textId="21963602" w:rsidR="00FC4D7C" w:rsidRPr="006801C5" w:rsidRDefault="00FC4D7C" w:rsidP="00FC4D7C">
      <w:pPr>
        <w:jc w:val="center"/>
        <w:rPr>
          <w:rFonts w:asciiTheme="majorHAnsi" w:eastAsiaTheme="majorEastAsia" w:hAnsiTheme="majorHAnsi" w:cstheme="majorBidi"/>
          <w:b/>
          <w:sz w:val="28"/>
          <w:szCs w:val="28"/>
          <w:lang w:val="it-IT"/>
        </w:rPr>
      </w:pPr>
      <w:r w:rsidRPr="006801C5">
        <w:rPr>
          <w:rFonts w:asciiTheme="majorHAnsi" w:eastAsiaTheme="majorEastAsia" w:hAnsiTheme="majorHAnsi" w:cstheme="majorBidi"/>
          <w:b/>
          <w:sz w:val="28"/>
          <w:szCs w:val="28"/>
          <w:lang w:val="it-IT"/>
        </w:rPr>
        <w:t>REVISED VERSION</w:t>
      </w:r>
    </w:p>
    <w:p w14:paraId="2380C468" w14:textId="77777777" w:rsidR="00FC4D7C" w:rsidRPr="004354A0" w:rsidRDefault="00FC4D7C" w:rsidP="00FC4D7C">
      <w:pPr>
        <w:rPr>
          <w:lang w:val="it-IT"/>
        </w:rPr>
      </w:pPr>
    </w:p>
    <w:p w14:paraId="1DFB9C6E" w14:textId="3344C29D" w:rsidR="005D0C53" w:rsidRDefault="005D0C53" w:rsidP="009270F7">
      <w:pPr>
        <w:rPr>
          <w:vertAlign w:val="superscript"/>
          <w:lang w:val="it-IT"/>
        </w:rPr>
      </w:pPr>
      <w:r w:rsidRPr="005D0C53">
        <w:rPr>
          <w:lang w:val="it-IT"/>
        </w:rPr>
        <w:t>Marta Bucelli</w:t>
      </w:r>
      <w:r w:rsidRPr="00E51D12">
        <w:rPr>
          <w:vertAlign w:val="superscript"/>
          <w:lang w:val="it-IT"/>
        </w:rPr>
        <w:t>1,2</w:t>
      </w:r>
      <w:r w:rsidR="00876EF6">
        <w:rPr>
          <w:vertAlign w:val="superscript"/>
          <w:lang w:val="it-IT"/>
        </w:rPr>
        <w:t>,3</w:t>
      </w:r>
      <w:r w:rsidR="00E51D12">
        <w:rPr>
          <w:lang w:val="it-IT"/>
        </w:rPr>
        <w:t>,</w:t>
      </w:r>
      <w:r w:rsidRPr="00E51D12">
        <w:rPr>
          <w:lang w:val="it-IT"/>
        </w:rPr>
        <w:t xml:space="preserve"> </w:t>
      </w:r>
      <w:r w:rsidRPr="005D0C53">
        <w:rPr>
          <w:lang w:val="it-IT"/>
        </w:rPr>
        <w:t>Gabriele Landucci</w:t>
      </w:r>
      <w:r w:rsidR="00876EF6">
        <w:rPr>
          <w:vertAlign w:val="superscript"/>
          <w:lang w:val="it-IT"/>
        </w:rPr>
        <w:t>4</w:t>
      </w:r>
      <w:r w:rsidR="00522988">
        <w:rPr>
          <w:vertAlign w:val="superscript"/>
          <w:lang w:val="it-IT"/>
        </w:rPr>
        <w:t>,</w:t>
      </w:r>
      <w:r w:rsidR="00876EF6">
        <w:rPr>
          <w:vertAlign w:val="superscript"/>
          <w:lang w:val="it-IT"/>
        </w:rPr>
        <w:t>5</w:t>
      </w:r>
      <w:r w:rsidRPr="005D0C53">
        <w:rPr>
          <w:lang w:val="it-IT"/>
        </w:rPr>
        <w:t>, Stein Haugen</w:t>
      </w:r>
      <w:r w:rsidR="00876EF6">
        <w:rPr>
          <w:vertAlign w:val="superscript"/>
          <w:lang w:val="it-IT"/>
        </w:rPr>
        <w:t>6</w:t>
      </w:r>
      <w:r w:rsidRPr="005D0C53">
        <w:rPr>
          <w:lang w:val="it-IT"/>
        </w:rPr>
        <w:t>, Nicola Paltrinieri</w:t>
      </w:r>
      <w:r w:rsidRPr="00E51D12">
        <w:rPr>
          <w:vertAlign w:val="superscript"/>
          <w:lang w:val="it-IT"/>
        </w:rPr>
        <w:t>2</w:t>
      </w:r>
      <w:r w:rsidRPr="005D0C53">
        <w:rPr>
          <w:lang w:val="it-IT"/>
        </w:rPr>
        <w:t>, Valerio Cozzani</w:t>
      </w:r>
      <w:r w:rsidRPr="00E51D12">
        <w:rPr>
          <w:vertAlign w:val="superscript"/>
          <w:lang w:val="it-IT"/>
        </w:rPr>
        <w:t>1</w:t>
      </w:r>
      <w:r w:rsidR="00373461">
        <w:rPr>
          <w:vertAlign w:val="superscript"/>
          <w:lang w:val="it-IT"/>
        </w:rPr>
        <w:t>,*</w:t>
      </w:r>
    </w:p>
    <w:p w14:paraId="58ACE8D9" w14:textId="5505DC39" w:rsidR="00A02EDC" w:rsidRDefault="00A02EDC" w:rsidP="009270F7">
      <w:pPr>
        <w:rPr>
          <w:lang w:val="it-IT"/>
        </w:rPr>
      </w:pPr>
    </w:p>
    <w:p w14:paraId="5CDE4C33" w14:textId="77777777" w:rsidR="004A68E7" w:rsidRPr="00A02EDC" w:rsidRDefault="004A68E7" w:rsidP="009270F7">
      <w:pPr>
        <w:rPr>
          <w:lang w:val="it-IT"/>
        </w:rPr>
      </w:pPr>
    </w:p>
    <w:p w14:paraId="7C6DB235" w14:textId="77777777" w:rsidR="005D0C53" w:rsidRPr="00FC4D7C" w:rsidRDefault="00816B8A" w:rsidP="00FC4D7C">
      <w:pPr>
        <w:spacing w:line="240" w:lineRule="auto"/>
        <w:ind w:left="426" w:hanging="426"/>
        <w:rPr>
          <w:sz w:val="20"/>
          <w:lang w:val="en-US"/>
        </w:rPr>
      </w:pPr>
      <w:r w:rsidRPr="00FC4D7C">
        <w:rPr>
          <w:sz w:val="20"/>
          <w:vertAlign w:val="superscript"/>
          <w:lang w:val="en-US"/>
        </w:rPr>
        <w:t>1</w:t>
      </w:r>
      <w:r w:rsidRPr="00FC4D7C">
        <w:rPr>
          <w:sz w:val="20"/>
          <w:lang w:val="en-US"/>
        </w:rPr>
        <w:t xml:space="preserve"> </w:t>
      </w:r>
      <w:r w:rsidR="00F553BD" w:rsidRPr="00FC4D7C">
        <w:rPr>
          <w:sz w:val="20"/>
          <w:lang w:val="en-US"/>
        </w:rPr>
        <w:t>Department of C</w:t>
      </w:r>
      <w:r w:rsidR="002E3EB2" w:rsidRPr="00FC4D7C">
        <w:rPr>
          <w:sz w:val="20"/>
          <w:lang w:val="en-US"/>
        </w:rPr>
        <w:t xml:space="preserve">ivil, </w:t>
      </w:r>
      <w:r w:rsidR="00F553BD" w:rsidRPr="00FC4D7C">
        <w:rPr>
          <w:sz w:val="20"/>
          <w:lang w:val="en-US"/>
        </w:rPr>
        <w:t>C</w:t>
      </w:r>
      <w:r w:rsidR="002E3EB2" w:rsidRPr="00FC4D7C">
        <w:rPr>
          <w:sz w:val="20"/>
          <w:lang w:val="en-US"/>
        </w:rPr>
        <w:t xml:space="preserve">hemical, </w:t>
      </w:r>
      <w:r w:rsidR="00F553BD" w:rsidRPr="00FC4D7C">
        <w:rPr>
          <w:sz w:val="20"/>
          <w:lang w:val="en-US"/>
        </w:rPr>
        <w:t>E</w:t>
      </w:r>
      <w:r w:rsidR="002E3EB2" w:rsidRPr="00FC4D7C">
        <w:rPr>
          <w:sz w:val="20"/>
          <w:lang w:val="en-US"/>
        </w:rPr>
        <w:t xml:space="preserve">nvironmental and </w:t>
      </w:r>
      <w:r w:rsidR="00F553BD" w:rsidRPr="00FC4D7C">
        <w:rPr>
          <w:sz w:val="20"/>
          <w:lang w:val="en-US"/>
        </w:rPr>
        <w:t>M</w:t>
      </w:r>
      <w:r w:rsidR="002E3EB2" w:rsidRPr="00FC4D7C">
        <w:rPr>
          <w:sz w:val="20"/>
          <w:lang w:val="en-US"/>
        </w:rPr>
        <w:t xml:space="preserve">aterial </w:t>
      </w:r>
      <w:r w:rsidR="00F553BD" w:rsidRPr="00FC4D7C">
        <w:rPr>
          <w:sz w:val="20"/>
          <w:lang w:val="en-US"/>
        </w:rPr>
        <w:t>E</w:t>
      </w:r>
      <w:r w:rsidR="002E3EB2" w:rsidRPr="00FC4D7C">
        <w:rPr>
          <w:sz w:val="20"/>
          <w:lang w:val="en-US"/>
        </w:rPr>
        <w:t>ngineering, Alma Mater Studiorum – University of Bologna, via Terracini 28, 40131, Bologna (Italy)</w:t>
      </w:r>
    </w:p>
    <w:p w14:paraId="175A923E" w14:textId="77777777" w:rsidR="00FC4D7C" w:rsidRPr="00FC4D7C" w:rsidRDefault="00FC4D7C" w:rsidP="00FC4D7C">
      <w:pPr>
        <w:spacing w:line="240" w:lineRule="auto"/>
        <w:ind w:left="426" w:hanging="426"/>
        <w:rPr>
          <w:sz w:val="20"/>
          <w:lang w:val="en-US"/>
        </w:rPr>
      </w:pPr>
    </w:p>
    <w:p w14:paraId="08A91916" w14:textId="75965CD5" w:rsidR="002E3EB2" w:rsidRDefault="002E3EB2" w:rsidP="00FC4D7C">
      <w:pPr>
        <w:spacing w:line="240" w:lineRule="auto"/>
        <w:ind w:left="426" w:hanging="426"/>
        <w:rPr>
          <w:sz w:val="20"/>
          <w:lang w:val="en-US"/>
        </w:rPr>
      </w:pPr>
      <w:r w:rsidRPr="00FC4D7C">
        <w:rPr>
          <w:sz w:val="20"/>
          <w:vertAlign w:val="superscript"/>
          <w:lang w:val="en-US"/>
        </w:rPr>
        <w:t>2</w:t>
      </w:r>
      <w:r w:rsidRPr="00FC4D7C">
        <w:rPr>
          <w:sz w:val="20"/>
          <w:lang w:val="en-US"/>
        </w:rPr>
        <w:t xml:space="preserve"> Department of Mechanical and Industrial Engineering, Norwegian University of Science and Technology NTNU, S.P. Andersens veg 5, 7031, Trondheim (Norway)</w:t>
      </w:r>
    </w:p>
    <w:p w14:paraId="2474454D" w14:textId="77777777" w:rsidR="00876EF6" w:rsidRDefault="00876EF6" w:rsidP="00FC4D7C">
      <w:pPr>
        <w:spacing w:line="240" w:lineRule="auto"/>
        <w:ind w:left="426" w:hanging="426"/>
        <w:rPr>
          <w:sz w:val="20"/>
          <w:lang w:val="en-US"/>
        </w:rPr>
      </w:pPr>
    </w:p>
    <w:p w14:paraId="05755BD1" w14:textId="1E645D31" w:rsidR="00876EF6" w:rsidRPr="00FC4D7C" w:rsidRDefault="00876EF6" w:rsidP="00FC4D7C">
      <w:pPr>
        <w:spacing w:line="240" w:lineRule="auto"/>
        <w:ind w:left="426" w:hanging="426"/>
        <w:rPr>
          <w:sz w:val="20"/>
          <w:lang w:val="en-US"/>
        </w:rPr>
      </w:pPr>
      <w:r w:rsidRPr="00876EF6">
        <w:rPr>
          <w:sz w:val="20"/>
          <w:vertAlign w:val="superscript"/>
          <w:lang w:val="en-US"/>
        </w:rPr>
        <w:t>3</w:t>
      </w:r>
      <w:r>
        <w:rPr>
          <w:sz w:val="20"/>
          <w:lang w:val="en-US"/>
        </w:rPr>
        <w:t xml:space="preserve"> </w:t>
      </w:r>
      <w:r w:rsidRPr="00876EF6">
        <w:rPr>
          <w:sz w:val="20"/>
          <w:lang w:val="en-US"/>
        </w:rPr>
        <w:t>Safetec, Klæbuveien 194, 7037</w:t>
      </w:r>
      <w:r>
        <w:rPr>
          <w:sz w:val="20"/>
          <w:lang w:val="en-US"/>
        </w:rPr>
        <w:t>,</w:t>
      </w:r>
      <w:r w:rsidRPr="00876EF6">
        <w:rPr>
          <w:sz w:val="20"/>
          <w:lang w:val="en-US"/>
        </w:rPr>
        <w:t xml:space="preserve"> Trondheim</w:t>
      </w:r>
      <w:r>
        <w:rPr>
          <w:sz w:val="20"/>
          <w:lang w:val="en-US"/>
        </w:rPr>
        <w:t xml:space="preserve"> (</w:t>
      </w:r>
      <w:r w:rsidRPr="00876EF6">
        <w:rPr>
          <w:sz w:val="20"/>
          <w:lang w:val="en-US"/>
        </w:rPr>
        <w:t>Norway</w:t>
      </w:r>
      <w:r>
        <w:rPr>
          <w:sz w:val="20"/>
          <w:lang w:val="en-US"/>
        </w:rPr>
        <w:t>)</w:t>
      </w:r>
    </w:p>
    <w:p w14:paraId="5A341C2F" w14:textId="77777777" w:rsidR="00FC4D7C" w:rsidRPr="00FC4D7C" w:rsidRDefault="00FC4D7C" w:rsidP="00FC4D7C">
      <w:pPr>
        <w:spacing w:line="240" w:lineRule="auto"/>
        <w:ind w:left="426" w:hanging="426"/>
        <w:rPr>
          <w:sz w:val="20"/>
          <w:lang w:val="en-US"/>
        </w:rPr>
      </w:pPr>
    </w:p>
    <w:p w14:paraId="1C2A23F3" w14:textId="67B881C5" w:rsidR="002E3EB2" w:rsidRPr="00FC4D7C" w:rsidRDefault="00876EF6" w:rsidP="00FC4D7C">
      <w:pPr>
        <w:spacing w:line="240" w:lineRule="auto"/>
        <w:ind w:left="426" w:hanging="426"/>
        <w:rPr>
          <w:sz w:val="20"/>
          <w:lang w:val="en-US"/>
        </w:rPr>
      </w:pPr>
      <w:r>
        <w:rPr>
          <w:sz w:val="20"/>
          <w:vertAlign w:val="superscript"/>
          <w:lang w:val="en-US"/>
        </w:rPr>
        <w:t>4</w:t>
      </w:r>
      <w:r w:rsidR="002E3EB2" w:rsidRPr="00FC4D7C">
        <w:rPr>
          <w:sz w:val="20"/>
          <w:lang w:val="en-US"/>
        </w:rPr>
        <w:t xml:space="preserve"> Department of Civil and Industrial Engineering, University of Pisa, Largo Lucio Lazzarino 2, 56126, Pisa (Italy)</w:t>
      </w:r>
    </w:p>
    <w:p w14:paraId="17B1D1D5" w14:textId="77777777" w:rsidR="00FC4D7C" w:rsidRPr="00FC4D7C" w:rsidRDefault="00FC4D7C" w:rsidP="00FC4D7C">
      <w:pPr>
        <w:spacing w:line="240" w:lineRule="auto"/>
        <w:ind w:left="426" w:hanging="426"/>
        <w:rPr>
          <w:sz w:val="20"/>
          <w:lang w:val="en-US"/>
        </w:rPr>
      </w:pPr>
    </w:p>
    <w:p w14:paraId="1BCBA6D5" w14:textId="1DD3F973" w:rsidR="00522988" w:rsidRPr="00FC4D7C" w:rsidRDefault="00876EF6" w:rsidP="00FC4D7C">
      <w:pPr>
        <w:spacing w:line="240" w:lineRule="auto"/>
        <w:ind w:left="426" w:hanging="426"/>
        <w:rPr>
          <w:sz w:val="20"/>
          <w:lang w:val="en-US"/>
        </w:rPr>
      </w:pPr>
      <w:r>
        <w:rPr>
          <w:sz w:val="20"/>
          <w:vertAlign w:val="superscript"/>
          <w:lang w:val="en-US"/>
        </w:rPr>
        <w:t>5</w:t>
      </w:r>
      <w:r w:rsidR="00522988" w:rsidRPr="00FC4D7C">
        <w:rPr>
          <w:sz w:val="20"/>
          <w:lang w:val="en-US"/>
        </w:rPr>
        <w:t xml:space="preserve"> </w:t>
      </w:r>
      <w:r w:rsidR="00FC6012" w:rsidRPr="00FC4D7C">
        <w:rPr>
          <w:sz w:val="20"/>
          <w:lang w:val="en-US"/>
        </w:rPr>
        <w:t>Institute of Security and Global Affairs, Faculty of Governance and Global Affairs, Leiden University, Wijnhaven, Turfmarkt 99, 2511 DP, Den Haag (the Netherlands)</w:t>
      </w:r>
    </w:p>
    <w:p w14:paraId="6ECBF3AC" w14:textId="77777777" w:rsidR="00FC4D7C" w:rsidRPr="00FC4D7C" w:rsidRDefault="00FC4D7C" w:rsidP="00FC4D7C">
      <w:pPr>
        <w:spacing w:line="240" w:lineRule="auto"/>
        <w:ind w:left="426" w:hanging="426"/>
        <w:rPr>
          <w:sz w:val="20"/>
          <w:lang w:val="en-US"/>
        </w:rPr>
      </w:pPr>
    </w:p>
    <w:p w14:paraId="214FF377" w14:textId="1A8C00E6" w:rsidR="002E3EB2" w:rsidRPr="00FC4D7C" w:rsidRDefault="00876EF6" w:rsidP="00FC4D7C">
      <w:pPr>
        <w:spacing w:line="240" w:lineRule="auto"/>
        <w:ind w:left="426" w:hanging="426"/>
        <w:rPr>
          <w:sz w:val="20"/>
          <w:lang w:val="en-US"/>
        </w:rPr>
      </w:pPr>
      <w:r>
        <w:rPr>
          <w:sz w:val="20"/>
          <w:vertAlign w:val="superscript"/>
          <w:lang w:val="en-US"/>
        </w:rPr>
        <w:t>6</w:t>
      </w:r>
      <w:r w:rsidR="002E3EB2" w:rsidRPr="00FC4D7C">
        <w:rPr>
          <w:sz w:val="20"/>
          <w:lang w:val="en-US"/>
        </w:rPr>
        <w:t xml:space="preserve"> </w:t>
      </w:r>
      <w:r w:rsidR="00F553BD" w:rsidRPr="00FC4D7C">
        <w:rPr>
          <w:sz w:val="20"/>
          <w:lang w:val="en-US"/>
        </w:rPr>
        <w:t xml:space="preserve">Department of Marine Technology, Norwegian University of Science and Technology NTNU, Otto Nielsen veg 10, 7031, Trondheim (Norway) </w:t>
      </w:r>
    </w:p>
    <w:p w14:paraId="133BD7F4" w14:textId="77777777" w:rsidR="00373461" w:rsidRDefault="00373461" w:rsidP="009270F7">
      <w:pPr>
        <w:rPr>
          <w:vertAlign w:val="superscript"/>
          <w:lang w:val="en-US"/>
        </w:rPr>
      </w:pPr>
    </w:p>
    <w:p w14:paraId="79D85632" w14:textId="77777777" w:rsidR="00FC4D7C" w:rsidRDefault="00FC4D7C" w:rsidP="009270F7">
      <w:pPr>
        <w:rPr>
          <w:vertAlign w:val="superscript"/>
          <w:lang w:val="en-US"/>
        </w:rPr>
      </w:pPr>
    </w:p>
    <w:p w14:paraId="7B6FC2F5" w14:textId="77777777" w:rsidR="00F553BD" w:rsidRDefault="00F553BD" w:rsidP="009270F7">
      <w:pPr>
        <w:rPr>
          <w:lang w:val="en-US"/>
        </w:rPr>
      </w:pPr>
      <w:r w:rsidRPr="00F553BD">
        <w:rPr>
          <w:vertAlign w:val="superscript"/>
          <w:lang w:val="en-US"/>
        </w:rPr>
        <w:t>*</w:t>
      </w:r>
      <w:r w:rsidR="00E10662">
        <w:rPr>
          <w:lang w:val="en-US"/>
        </w:rPr>
        <w:t xml:space="preserve"> Corresponding author</w:t>
      </w:r>
      <w:r w:rsidR="00FC4D7C">
        <w:rPr>
          <w:lang w:val="en-US"/>
        </w:rPr>
        <w:t xml:space="preserve"> e-mail:</w:t>
      </w:r>
      <w:r w:rsidR="00E10662">
        <w:rPr>
          <w:lang w:val="en-US"/>
        </w:rPr>
        <w:t xml:space="preserve"> </w:t>
      </w:r>
      <w:r w:rsidR="00373461">
        <w:rPr>
          <w:lang w:val="en-US"/>
        </w:rPr>
        <w:t>valerio.cozzani@unibo.it</w:t>
      </w:r>
    </w:p>
    <w:p w14:paraId="09972885" w14:textId="77777777" w:rsidR="00F553BD" w:rsidRDefault="00F553BD" w:rsidP="009270F7">
      <w:pPr>
        <w:rPr>
          <w:lang w:val="en-US"/>
        </w:rPr>
      </w:pPr>
    </w:p>
    <w:p w14:paraId="06FA1F02" w14:textId="77777777" w:rsidR="00086C3B" w:rsidRDefault="00086C3B" w:rsidP="009270F7">
      <w:pPr>
        <w:rPr>
          <w:lang w:val="en-US"/>
        </w:rPr>
      </w:pPr>
    </w:p>
    <w:p w14:paraId="4484350A" w14:textId="77777777" w:rsidR="00086C3B" w:rsidRDefault="00086C3B" w:rsidP="009270F7">
      <w:pPr>
        <w:rPr>
          <w:lang w:val="en-US"/>
        </w:rPr>
      </w:pPr>
    </w:p>
    <w:p w14:paraId="1EF3AC02" w14:textId="77777777" w:rsidR="00086C3B" w:rsidRDefault="00086C3B" w:rsidP="009270F7">
      <w:pPr>
        <w:rPr>
          <w:lang w:val="en-US"/>
        </w:rPr>
      </w:pPr>
    </w:p>
    <w:p w14:paraId="051A875F" w14:textId="77777777" w:rsidR="00086C3B" w:rsidRDefault="00086C3B" w:rsidP="00086C3B">
      <w:pPr>
        <w:jc w:val="center"/>
        <w:rPr>
          <w:i/>
          <w:lang w:val="en-US"/>
        </w:rPr>
      </w:pPr>
      <w:r w:rsidRPr="00086C3B">
        <w:rPr>
          <w:i/>
          <w:lang w:val="en-US"/>
        </w:rPr>
        <w:t>Submitted for publication in:</w:t>
      </w:r>
    </w:p>
    <w:p w14:paraId="65C7F54A" w14:textId="77777777" w:rsidR="00086C3B" w:rsidRPr="00086C3B" w:rsidRDefault="00086C3B" w:rsidP="00086C3B">
      <w:pPr>
        <w:jc w:val="center"/>
        <w:rPr>
          <w:i/>
          <w:lang w:val="en-US"/>
        </w:rPr>
      </w:pPr>
    </w:p>
    <w:p w14:paraId="431A1769" w14:textId="77777777" w:rsidR="00086C3B" w:rsidRDefault="00086C3B" w:rsidP="00086C3B">
      <w:pPr>
        <w:jc w:val="center"/>
        <w:rPr>
          <w:b/>
          <w:szCs w:val="24"/>
          <w:lang w:val="en-US"/>
        </w:rPr>
      </w:pPr>
      <w:r>
        <w:rPr>
          <w:b/>
          <w:szCs w:val="24"/>
          <w:lang w:val="en-US"/>
        </w:rPr>
        <w:t>OCEAN ENGINEERING</w:t>
      </w:r>
    </w:p>
    <w:p w14:paraId="5B00F6D4" w14:textId="77777777" w:rsidR="00086C3B" w:rsidRPr="0088091B" w:rsidRDefault="00086C3B" w:rsidP="00086C3B">
      <w:pPr>
        <w:jc w:val="center"/>
        <w:rPr>
          <w:szCs w:val="24"/>
          <w:lang w:val="en-US"/>
        </w:rPr>
      </w:pPr>
      <w:r w:rsidRPr="0088091B">
        <w:rPr>
          <w:b/>
          <w:szCs w:val="24"/>
          <w:lang w:val="en-US"/>
        </w:rPr>
        <w:t>Special Issue on Safety and Integrity in Harsh Environments</w:t>
      </w:r>
    </w:p>
    <w:p w14:paraId="4F09FB21" w14:textId="77777777" w:rsidR="00086C3B" w:rsidRDefault="00086C3B" w:rsidP="009270F7">
      <w:pPr>
        <w:rPr>
          <w:lang w:val="en-US"/>
        </w:rPr>
      </w:pPr>
    </w:p>
    <w:p w14:paraId="4CF41234" w14:textId="77777777" w:rsidR="00086C3B" w:rsidRDefault="00086C3B" w:rsidP="009270F7">
      <w:pPr>
        <w:rPr>
          <w:lang w:val="en-US"/>
        </w:rPr>
      </w:pPr>
    </w:p>
    <w:p w14:paraId="4A6B4056" w14:textId="77777777" w:rsidR="00086C3B" w:rsidRDefault="00086C3B">
      <w:pPr>
        <w:spacing w:after="160" w:line="259" w:lineRule="auto"/>
        <w:jc w:val="left"/>
        <w:rPr>
          <w:lang w:val="en-US"/>
        </w:rPr>
      </w:pPr>
      <w:r>
        <w:rPr>
          <w:lang w:val="en-US"/>
        </w:rPr>
        <w:br w:type="page"/>
      </w:r>
    </w:p>
    <w:p w14:paraId="0F900F38" w14:textId="77777777" w:rsidR="00E10662" w:rsidRDefault="00E10662" w:rsidP="009270F7">
      <w:pPr>
        <w:pStyle w:val="Heading1"/>
        <w:rPr>
          <w:lang w:val="en-US"/>
        </w:rPr>
      </w:pPr>
      <w:r>
        <w:rPr>
          <w:lang w:val="en-US"/>
        </w:rPr>
        <w:lastRenderedPageBreak/>
        <w:t xml:space="preserve">Abstract </w:t>
      </w:r>
    </w:p>
    <w:p w14:paraId="24A48102" w14:textId="77777777" w:rsidR="00D64D22" w:rsidRDefault="00111DE4" w:rsidP="00EE6CC8">
      <w:r>
        <w:t>F</w:t>
      </w:r>
      <w:r w:rsidR="00DD1A40">
        <w:t xml:space="preserve">ire </w:t>
      </w:r>
      <w:r w:rsidR="00AC662B">
        <w:t xml:space="preserve">in the topside production area of </w:t>
      </w:r>
      <w:r w:rsidR="00DD1A40">
        <w:t xml:space="preserve">offshore Oil and Gas (O&amp;G) platforms </w:t>
      </w:r>
      <w:r>
        <w:t>has the potential to trigger cascading events and</w:t>
      </w:r>
      <w:r w:rsidR="00DD1A40">
        <w:t xml:space="preserve"> </w:t>
      </w:r>
      <w:r w:rsidR="003175A0">
        <w:t xml:space="preserve">may </w:t>
      </w:r>
      <w:r w:rsidR="00DD1A40">
        <w:t xml:space="preserve">lead </w:t>
      </w:r>
      <w:r w:rsidR="00DD1A40" w:rsidRPr="00880C02">
        <w:t xml:space="preserve">to </w:t>
      </w:r>
      <w:r w:rsidR="00DD1A40">
        <w:t>catastrophic</w:t>
      </w:r>
      <w:r w:rsidR="00DD1A40" w:rsidRPr="00880C02">
        <w:t xml:space="preserve"> consequences </w:t>
      </w:r>
      <w:r w:rsidR="00DD1A40">
        <w:t xml:space="preserve">for operators, environment and asset. </w:t>
      </w:r>
      <w:r w:rsidR="00B436E4">
        <w:t xml:space="preserve">Safety barriers, </w:t>
      </w:r>
      <w:r w:rsidR="00B436E4" w:rsidRPr="00870C3E">
        <w:t>such as hardware systems and emergency response</w:t>
      </w:r>
      <w:r w:rsidR="00B436E4">
        <w:t>,</w:t>
      </w:r>
      <w:r w:rsidR="00B436E4" w:rsidRPr="00870C3E">
        <w:t xml:space="preserve"> are critical elements aimed at preventing the propagation of</w:t>
      </w:r>
      <w:r w:rsidR="00B436E4">
        <w:t xml:space="preserve"> this type of scenarios. </w:t>
      </w:r>
      <w:r w:rsidR="00F823BB" w:rsidRPr="00AC662B">
        <w:t xml:space="preserve">Harsh environmental conditions may strongly affect the integrity of </w:t>
      </w:r>
      <w:r w:rsidR="00DD1A40">
        <w:t>protective equipment</w:t>
      </w:r>
      <w:r w:rsidR="00103560">
        <w:t xml:space="preserve"> and significantly </w:t>
      </w:r>
      <w:r w:rsidR="00B436E4">
        <w:t>hinder</w:t>
      </w:r>
      <w:r w:rsidR="00103560">
        <w:t xml:space="preserve"> </w:t>
      </w:r>
      <w:r w:rsidR="00D54AA1">
        <w:t>an</w:t>
      </w:r>
      <w:r w:rsidR="00103560">
        <w:t xml:space="preserve"> effective </w:t>
      </w:r>
      <w:r w:rsidR="00D54AA1">
        <w:t xml:space="preserve">and timely </w:t>
      </w:r>
      <w:r w:rsidR="00103560">
        <w:t>emergency response</w:t>
      </w:r>
      <w:r w:rsidR="00F823BB" w:rsidRPr="00AC662B">
        <w:t xml:space="preserve">, </w:t>
      </w:r>
      <w:r w:rsidR="00D54AA1">
        <w:t xml:space="preserve">with </w:t>
      </w:r>
      <w:r w:rsidR="003175A0">
        <w:t xml:space="preserve">a </w:t>
      </w:r>
      <w:r w:rsidR="00D54AA1">
        <w:t xml:space="preserve">consequent </w:t>
      </w:r>
      <w:r w:rsidR="00C96970">
        <w:t xml:space="preserve">increase </w:t>
      </w:r>
      <w:r w:rsidR="00D54AA1">
        <w:t>in the risk level</w:t>
      </w:r>
      <w:r w:rsidR="00103560" w:rsidRPr="00EB4564">
        <w:t>.</w:t>
      </w:r>
      <w:r w:rsidR="00756D54">
        <w:t xml:space="preserve"> </w:t>
      </w:r>
      <w:r w:rsidR="00B436E4">
        <w:t xml:space="preserve">The present study is aimed at developing </w:t>
      </w:r>
      <w:r w:rsidR="00B436E4" w:rsidRPr="00EB4564">
        <w:t xml:space="preserve">a structured </w:t>
      </w:r>
      <w:r w:rsidR="00B436E4">
        <w:t>methodology</w:t>
      </w:r>
      <w:r w:rsidR="00103560" w:rsidRPr="00AC662B">
        <w:t xml:space="preserve"> to the quantitative performanc</w:t>
      </w:r>
      <w:r w:rsidR="00B436E4" w:rsidRPr="00EB4564">
        <w:t xml:space="preserve">e assessment </w:t>
      </w:r>
      <w:r w:rsidR="00C96970">
        <w:t xml:space="preserve">of </w:t>
      </w:r>
      <w:r w:rsidR="00B436E4" w:rsidRPr="00EB4564">
        <w:t>safety barriers</w:t>
      </w:r>
      <w:r>
        <w:t>, specifically address</w:t>
      </w:r>
      <w:r w:rsidR="003175A0">
        <w:t>ing</w:t>
      </w:r>
      <w:r w:rsidR="00B436E4" w:rsidRPr="00EB4564">
        <w:t xml:space="preserve"> </w:t>
      </w:r>
      <w:r w:rsidR="008762F0">
        <w:t xml:space="preserve">the analysis of </w:t>
      </w:r>
      <w:r w:rsidR="00B436E4" w:rsidRPr="00EB4564">
        <w:t>offshore facilities operating in harsh and sensitive environment</w:t>
      </w:r>
      <w:r w:rsidR="00103560" w:rsidRPr="00AC662B">
        <w:t>. A</w:t>
      </w:r>
      <w:r w:rsidR="0079146E">
        <w:t xml:space="preserve">n expert judgment elicitation procedure is adopted to score </w:t>
      </w:r>
      <w:r w:rsidR="00103560" w:rsidRPr="00AC662B">
        <w:t>external factors associated with harsh environmental conditions</w:t>
      </w:r>
      <w:r w:rsidR="0079146E">
        <w:t>.</w:t>
      </w:r>
      <w:r w:rsidR="00103560" w:rsidRPr="00AC662B">
        <w:t xml:space="preserve"> </w:t>
      </w:r>
      <w:r w:rsidR="0079146E">
        <w:t>S</w:t>
      </w:r>
      <w:r w:rsidR="00103560" w:rsidRPr="00AC662B">
        <w:t xml:space="preserve">implified relationships </w:t>
      </w:r>
      <w:r w:rsidR="0079146E">
        <w:t xml:space="preserve">are established </w:t>
      </w:r>
      <w:r w:rsidR="00103560" w:rsidRPr="00AC662B">
        <w:t xml:space="preserve">for availability and effectiveness </w:t>
      </w:r>
      <w:r w:rsidR="0079146E">
        <w:t xml:space="preserve">evaluation </w:t>
      </w:r>
      <w:r w:rsidR="00103560" w:rsidRPr="00AC662B">
        <w:t>of safety barriers</w:t>
      </w:r>
      <w:r w:rsidR="00442027">
        <w:t xml:space="preserve"> in offshore O&amp;G platforms</w:t>
      </w:r>
      <w:r w:rsidR="00103560" w:rsidRPr="00AC662B">
        <w:t>.</w:t>
      </w:r>
      <w:r w:rsidR="00B436E4">
        <w:t xml:space="preserve"> A dedicated framework </w:t>
      </w:r>
      <w:r w:rsidR="008762F0">
        <w:t>is</w:t>
      </w:r>
      <w:r w:rsidR="00B436E4">
        <w:t xml:space="preserve"> developed for the analysis of emergency response.</w:t>
      </w:r>
      <w:r w:rsidR="00103560" w:rsidRPr="00AC662B">
        <w:t xml:space="preserve"> The approach is tested </w:t>
      </w:r>
      <w:r w:rsidR="00EE6CC8">
        <w:t>through</w:t>
      </w:r>
      <w:r w:rsidR="00103560" w:rsidRPr="00AC662B">
        <w:t xml:space="preserve"> </w:t>
      </w:r>
      <w:r>
        <w:t>the</w:t>
      </w:r>
      <w:r w:rsidR="00103560" w:rsidRPr="00AC662B">
        <w:t xml:space="preserve"> application </w:t>
      </w:r>
      <w:r w:rsidR="003175A0">
        <w:t>to</w:t>
      </w:r>
      <w:r w:rsidR="00C96970" w:rsidRPr="00AC662B">
        <w:t xml:space="preserve"> </w:t>
      </w:r>
      <w:r w:rsidR="00103560" w:rsidRPr="00AC662B">
        <w:t xml:space="preserve">a case study, aimed at the assessment of the influence of harsh environmental conditions on the risk due to cascading events in </w:t>
      </w:r>
      <w:r w:rsidR="008762F0">
        <w:t>a reference offshore installation</w:t>
      </w:r>
      <w:r w:rsidR="00103560" w:rsidRPr="00AC662B">
        <w:t>.</w:t>
      </w:r>
    </w:p>
    <w:p w14:paraId="55F5DCE7" w14:textId="77777777" w:rsidR="00086C3B" w:rsidRDefault="00086C3B">
      <w:pPr>
        <w:spacing w:after="160" w:line="259" w:lineRule="auto"/>
        <w:jc w:val="left"/>
      </w:pPr>
    </w:p>
    <w:p w14:paraId="54286614" w14:textId="77777777" w:rsidR="003175A0" w:rsidRDefault="003175A0" w:rsidP="00EE6CC8">
      <w:r w:rsidRPr="003175A0">
        <w:rPr>
          <w:rStyle w:val="Heading1Char"/>
        </w:rPr>
        <w:t>Keywords</w:t>
      </w:r>
    </w:p>
    <w:p w14:paraId="2CE0F724" w14:textId="409D50EE" w:rsidR="003175A0" w:rsidRDefault="003175A0" w:rsidP="00EE6CC8">
      <w:r>
        <w:t xml:space="preserve">Harsh environment, major accident hazard, offshore, </w:t>
      </w:r>
      <w:r w:rsidR="002B2FAD" w:rsidRPr="002B2FAD">
        <w:rPr>
          <w:color w:val="FF0000"/>
        </w:rPr>
        <w:t>O</w:t>
      </w:r>
      <w:r w:rsidRPr="002B2FAD">
        <w:rPr>
          <w:color w:val="FF0000"/>
        </w:rPr>
        <w:t>il&amp;</w:t>
      </w:r>
      <w:r w:rsidR="002B2FAD" w:rsidRPr="002B2FAD">
        <w:rPr>
          <w:color w:val="FF0000"/>
        </w:rPr>
        <w:t>G</w:t>
      </w:r>
      <w:r w:rsidRPr="002B2FAD">
        <w:rPr>
          <w:color w:val="FF0000"/>
        </w:rPr>
        <w:t xml:space="preserve">as </w:t>
      </w:r>
      <w:r>
        <w:t xml:space="preserve">installations, safety barriers, cascading events. </w:t>
      </w:r>
    </w:p>
    <w:p w14:paraId="4D75ECCE" w14:textId="77777777" w:rsidR="003175A0" w:rsidRDefault="003175A0" w:rsidP="00EE6CC8"/>
    <w:p w14:paraId="400A74AD" w14:textId="77777777" w:rsidR="00086C3B" w:rsidRDefault="00086C3B">
      <w:pPr>
        <w:spacing w:after="160" w:line="259" w:lineRule="auto"/>
        <w:jc w:val="left"/>
      </w:pPr>
      <w:r>
        <w:br w:type="page"/>
      </w:r>
    </w:p>
    <w:p w14:paraId="6C2AE284" w14:textId="77777777" w:rsidR="00CE3C7C" w:rsidRPr="00CE3C7C" w:rsidRDefault="00CE3C7C" w:rsidP="009270F7">
      <w:pPr>
        <w:pStyle w:val="Heading1"/>
      </w:pPr>
      <w:r w:rsidRPr="00CE3C7C">
        <w:lastRenderedPageBreak/>
        <w:t>1.</w:t>
      </w:r>
      <w:r>
        <w:t xml:space="preserve"> </w:t>
      </w:r>
      <w:r w:rsidRPr="00CE3C7C">
        <w:t>Introduction</w:t>
      </w:r>
    </w:p>
    <w:p w14:paraId="4440E1B5" w14:textId="03B569DD" w:rsidR="00FE7EDE" w:rsidRPr="000B7188" w:rsidRDefault="00FE7EDE" w:rsidP="00EE6CC8">
      <w:r w:rsidRPr="000B7188">
        <w:t xml:space="preserve">In the last decades, energy </w:t>
      </w:r>
      <w:r w:rsidR="00885B29">
        <w:t>request</w:t>
      </w:r>
      <w:r w:rsidR="00885B29" w:rsidRPr="000B7188">
        <w:t xml:space="preserve"> </w:t>
      </w:r>
      <w:r w:rsidRPr="000B7188">
        <w:t xml:space="preserve">has been </w:t>
      </w:r>
      <w:r w:rsidR="00D177F4">
        <w:t xml:space="preserve">increasing due to </w:t>
      </w:r>
      <w:r w:rsidRPr="000B7188">
        <w:t xml:space="preserve">a </w:t>
      </w:r>
      <w:r w:rsidR="00723610">
        <w:t>continuous</w:t>
      </w:r>
      <w:r w:rsidR="00C96970" w:rsidRPr="000B7188">
        <w:t xml:space="preserve"> </w:t>
      </w:r>
      <w:r w:rsidRPr="000B7188">
        <w:t xml:space="preserve">economic and social </w:t>
      </w:r>
      <w:r w:rsidR="00D177F4">
        <w:t>progress</w:t>
      </w:r>
      <w:r w:rsidRPr="000B7188">
        <w:t>. Although renewable resource</w:t>
      </w:r>
      <w:r w:rsidR="00EE6CC8">
        <w:t>s</w:t>
      </w:r>
      <w:r w:rsidR="00C96970">
        <w:t xml:space="preserve"> are increasingly developed</w:t>
      </w:r>
      <w:r w:rsidRPr="000B7188">
        <w:t xml:space="preserve">, according to the </w:t>
      </w:r>
      <w:r w:rsidR="00885B29">
        <w:t>International Energy Agency</w:t>
      </w:r>
      <w:r w:rsidRPr="000B7188">
        <w:t xml:space="preserve">, the primary energy resource </w:t>
      </w:r>
      <w:r w:rsidR="00EE6CC8">
        <w:t>is still</w:t>
      </w:r>
      <w:r w:rsidR="000B7188" w:rsidRPr="000B7188">
        <w:t xml:space="preserve"> fossil fuels and their demand </w:t>
      </w:r>
      <w:r w:rsidR="00EE6CC8">
        <w:t>is</w:t>
      </w:r>
      <w:r w:rsidR="000B7188" w:rsidRPr="000B7188">
        <w:t xml:space="preserve"> </w:t>
      </w:r>
      <w:r w:rsidR="00EE6CC8">
        <w:t>expected to grow</w:t>
      </w:r>
      <w:r w:rsidR="000B7188" w:rsidRPr="000B7188">
        <w:t xml:space="preserve"> by more than 35</w:t>
      </w:r>
      <w:r w:rsidR="004C14DD">
        <w:t xml:space="preserve">% </w:t>
      </w:r>
      <w:r w:rsidR="00C96970">
        <w:t xml:space="preserve">in </w:t>
      </w:r>
      <w:r w:rsidR="00D177F4">
        <w:t>the period</w:t>
      </w:r>
      <w:r w:rsidR="000B7188" w:rsidRPr="000B7188">
        <w:t xml:space="preserve"> 2010 to 20</w:t>
      </w:r>
      <w:r w:rsidR="00AA0853">
        <w:t xml:space="preserve">40 </w:t>
      </w:r>
      <w:r w:rsidR="00AA0853" w:rsidRPr="00AA0853">
        <w:t xml:space="preserve">(IEA - International Energy Agency, </w:t>
      </w:r>
      <w:r w:rsidR="00AA0853" w:rsidRPr="00AA0853">
        <w:rPr>
          <w:color w:val="FF0000"/>
        </w:rPr>
        <w:t>2017</w:t>
      </w:r>
      <w:r w:rsidR="00AA0853" w:rsidRPr="00AA0853">
        <w:t>)</w:t>
      </w:r>
      <w:r w:rsidR="00AA0853">
        <w:t>.</w:t>
      </w:r>
      <w:r w:rsidR="000B7188" w:rsidRPr="000B7188">
        <w:t xml:space="preserve"> </w:t>
      </w:r>
    </w:p>
    <w:p w14:paraId="081FAB0F" w14:textId="77777777" w:rsidR="002A3AF1" w:rsidRDefault="000B7188" w:rsidP="009D2174">
      <w:r>
        <w:t xml:space="preserve">The </w:t>
      </w:r>
      <w:r w:rsidR="00D177F4">
        <w:t xml:space="preserve">raising </w:t>
      </w:r>
      <w:r>
        <w:t xml:space="preserve">energy demand drives </w:t>
      </w:r>
      <w:r w:rsidRPr="009918E6">
        <w:t xml:space="preserve">oil </w:t>
      </w:r>
      <w:r w:rsidR="00450B97">
        <w:t>&amp;</w:t>
      </w:r>
      <w:r w:rsidR="00450B97" w:rsidRPr="009918E6">
        <w:t xml:space="preserve"> </w:t>
      </w:r>
      <w:r w:rsidRPr="009918E6">
        <w:t>gas</w:t>
      </w:r>
      <w:r w:rsidR="00450B97">
        <w:t xml:space="preserve"> (O&amp;G)</w:t>
      </w:r>
      <w:r w:rsidRPr="009918E6">
        <w:t xml:space="preserve"> exploration </w:t>
      </w:r>
      <w:r>
        <w:t xml:space="preserve">companies to search </w:t>
      </w:r>
      <w:r w:rsidR="00EE6CC8">
        <w:t xml:space="preserve">for </w:t>
      </w:r>
      <w:r w:rsidR="00BE1B20">
        <w:t xml:space="preserve">novel </w:t>
      </w:r>
      <w:r>
        <w:t>reservoirs</w:t>
      </w:r>
      <w:r w:rsidR="00C55B93">
        <w:t>. T</w:t>
      </w:r>
      <w:r w:rsidR="00B235CB">
        <w:t>herefore,</w:t>
      </w:r>
      <w:r w:rsidR="00450B97">
        <w:t xml:space="preserve"> </w:t>
      </w:r>
      <w:r w:rsidR="00C55B93">
        <w:t xml:space="preserve">exploration activities are moving </w:t>
      </w:r>
      <w:r w:rsidRPr="009918E6">
        <w:t xml:space="preserve">towards Arctic and sub-Arctic regions, </w:t>
      </w:r>
      <w:r w:rsidR="00C55B93">
        <w:t>along</w:t>
      </w:r>
      <w:r w:rsidR="00C96970">
        <w:t xml:space="preserve"> the </w:t>
      </w:r>
      <w:r w:rsidRPr="009918E6">
        <w:t>Norw</w:t>
      </w:r>
      <w:r>
        <w:t>egian</w:t>
      </w:r>
      <w:r w:rsidRPr="009918E6">
        <w:t xml:space="preserve">, </w:t>
      </w:r>
      <w:r>
        <w:t>American</w:t>
      </w:r>
      <w:r w:rsidRPr="009918E6">
        <w:t xml:space="preserve"> and Russia</w:t>
      </w:r>
      <w:r>
        <w:t>n continental</w:t>
      </w:r>
      <w:r w:rsidRPr="009918E6">
        <w:t xml:space="preserve"> shelfs. </w:t>
      </w:r>
      <w:r w:rsidR="00C93569">
        <w:t xml:space="preserve">According to </w:t>
      </w:r>
      <w:r w:rsidR="00EE6CC8">
        <w:t xml:space="preserve">the </w:t>
      </w:r>
      <w:r w:rsidR="00BC5223">
        <w:t>United States</w:t>
      </w:r>
      <w:r w:rsidR="00C93569">
        <w:t xml:space="preserve"> Geological </w:t>
      </w:r>
      <w:r w:rsidR="00EA2761">
        <w:t>Survey</w:t>
      </w:r>
      <w:r w:rsidR="00450B97">
        <w:t xml:space="preserve">, </w:t>
      </w:r>
      <w:r w:rsidR="00C93569">
        <w:t>22</w:t>
      </w:r>
      <w:r w:rsidR="00450B97">
        <w:t xml:space="preserve">% </w:t>
      </w:r>
      <w:r w:rsidR="00C93569">
        <w:t xml:space="preserve">of </w:t>
      </w:r>
      <w:r w:rsidR="00450B97">
        <w:t xml:space="preserve">world </w:t>
      </w:r>
      <w:r w:rsidR="00C93569">
        <w:t xml:space="preserve">hydrocarbon reserves </w:t>
      </w:r>
      <w:r w:rsidR="00C96970">
        <w:t xml:space="preserve">are </w:t>
      </w:r>
      <w:r w:rsidR="00C93569">
        <w:t>contained in these areas</w:t>
      </w:r>
      <w:r w:rsidR="00BC5223">
        <w:t xml:space="preserve"> (www.usgs.gov)</w:t>
      </w:r>
      <w:r w:rsidR="00C93569">
        <w:t xml:space="preserve">. </w:t>
      </w:r>
      <w:r w:rsidR="00C96970">
        <w:t xml:space="preserve">The </w:t>
      </w:r>
      <w:r w:rsidR="00EE382D">
        <w:t xml:space="preserve">exploration of these areas started in </w:t>
      </w:r>
      <w:r w:rsidR="00C96970">
        <w:t xml:space="preserve">the </w:t>
      </w:r>
      <w:r w:rsidR="00EE382D">
        <w:t xml:space="preserve">early 1960s </w:t>
      </w:r>
      <w:r w:rsidR="00EE382D">
        <w:fldChar w:fldCharType="begin" w:fldLock="1"/>
      </w:r>
      <w:r w:rsidR="00131B8A">
        <w:instrText>ADDIN CSL_CITATION { "citationItems" : [ { "id" : "ITEM-1", "itemData" : { "author" : [ { "dropping-particle" : "", "family" : "National Petroleum Council", "given" : "", "non-dropping-particle" : "", "parse-names" : false, "suffix" : "" } ], "id" : "ITEM-1", "issued" : { "date-parts" : [ [ "2015" ] ] }, "number-of-pages" : "1-87", "title" : "Arctic Potential. Realizing the promise of U.S. Arctic oil and gas resources", "type" : "report" }, "uris" : [ "http://www.mendeley.com/documents/?uuid=80683d2b-f783-44ef-92a2-dc55a36eec2f", "http://www.mendeley.com/documents/?uuid=08af9c64-cbd3-44f2-8bb4-e6d985d7ba32", "http://www.mendeley.com/documents/?uuid=6f7ae3e6-a82b-4469-9111-6b8fb2648af2" ] } ], "mendeley" : { "formattedCitation" : "(National Petroleum Council, 2015)", "plainTextFormattedCitation" : "(National Petroleum Council, 2015)", "previouslyFormattedCitation" : "(National Petroleum Council, 2015)" }, "properties" : {  }, "schema" : "https://github.com/citation-style-language/schema/raw/master/csl-citation.json" }</w:instrText>
      </w:r>
      <w:r w:rsidR="00EE382D">
        <w:fldChar w:fldCharType="separate"/>
      </w:r>
      <w:r w:rsidR="00EE382D" w:rsidRPr="00EE382D">
        <w:rPr>
          <w:noProof/>
        </w:rPr>
        <w:t>(National Petroleum Council, 2015)</w:t>
      </w:r>
      <w:r w:rsidR="00EE382D">
        <w:fldChar w:fldCharType="end"/>
      </w:r>
      <w:r w:rsidR="00EE382D">
        <w:t xml:space="preserve">. However, </w:t>
      </w:r>
      <w:r w:rsidR="00BC5223">
        <w:t>their harsh climate conditions entail undertakings and risks for drilling operations</w:t>
      </w:r>
      <w:r w:rsidR="007C49D5">
        <w:t xml:space="preserve"> </w:t>
      </w:r>
      <w:r w:rsidR="007C49D5">
        <w:fldChar w:fldCharType="begin" w:fldLock="1"/>
      </w:r>
      <w:r w:rsidR="00131B8A">
        <w:instrText>ADDIN CSL_CITATION { "citationItems" : [ { "id" : "ITEM-1", "itemData" : { "ISBN" : "9781138029972", "abstract" : "The Barents Sea (subarctic region) is a climatically sensitive area with increasing maritime activity and scarce onshore infrastructure. The installation of Floating Production Storage and Off-loading units (FPSOs) in this region may hide the emergence of unexpected risks due to the intertwining of new technologies and extreme (but fragile) environment. An FPSO in this region would need to be equipped and built for meeting high safety standards. Specific barrier management strategy and a barrier status panel supporting the related decision-making may be employed. The purpose of the panel would be to provide an overview of the status of the barrier functions and elements in the area to protect. Indicators and modelling structures, used as baseline for the panel, may allow further analysis and aggregation of the information collected, reducing uncertainty over time. \u00a9 2017 Taylor &amp; Francis Group, London.", "author" : [ { "dropping-particle" : "", "family" : "Paltrinieri", "given" : "N", "non-dropping-particle" : "", "parse-names" : false, "suffix" : "" }, { "dropping-particle" : "", "family" : "Gr\u00f8tan", "given" : "T O", "non-dropping-particle" : "", "parse-names" : false, "suffix" : "" }, { "dropping-particle" : "", "family" : "Bucelli", "given" : "M", "non-dropping-particle" : "", "parse-names" : false, "suffix" : "" }, { "dropping-particle" : "", "family" : "Landucci", "given" : "G", "non-dropping-particle" : "", "parse-names" : false, "suffix" : "" } ], "container-title" : "Risk, Reliability and Safety: Innovating Theory and Practice - Proceedings of the 26th European Safety and Reliability Conference, ESREL 2016", "editor" : [ { "dropping-particle" : "", "family" : "Walls L. Revie M.", "given" : "Bedford T", "non-dropping-particle" : "", "parse-names" : false, "suffix" : "" } ], "id" : "ITEM-1", "issued" : { "date-parts" : [ [ "2017" ] ] }, "page" : "127", "publisher" : "CRC Press/Balkema", "title" : "A case of dynamic risk management in the subarctic region", "type" : "paper-conference" }, "uris" : [ "http://www.mendeley.com/documents/?uuid=bd472da9-7f17-4952-8efe-2177268edc68", "http://www.mendeley.com/documents/?uuid=4a84ae03-66d5-43e1-af5f-7ed607b653e8", "http://www.mendeley.com/documents/?uuid=7654d800-5f82-4677-bb30-694789c5a967", "http://www.mendeley.com/documents/?uuid=1cce4473-8155-4586-bca0-8a2e03fa30f3" ] } ], "mendeley" : { "formattedCitation" : "(N Paltrinieri et al., 2017)", "manualFormatting" : "(Paltrinieri et al., 2017)", "plainTextFormattedCitation" : "(N Paltrinieri et al., 2017)", "previouslyFormattedCitation" : "(N Paltrinieri et al., 2017)" }, "properties" : {  }, "schema" : "https://github.com/citation-style-language/schema/raw/master/csl-citation.json" }</w:instrText>
      </w:r>
      <w:r w:rsidR="007C49D5">
        <w:fldChar w:fldCharType="separate"/>
      </w:r>
      <w:r w:rsidR="001B3BA9" w:rsidRPr="001B3BA9">
        <w:rPr>
          <w:noProof/>
        </w:rPr>
        <w:t>(Paltrinieri et al., 2017)</w:t>
      </w:r>
      <w:r w:rsidR="007C49D5">
        <w:fldChar w:fldCharType="end"/>
      </w:r>
      <w:r w:rsidR="00BC5223">
        <w:t xml:space="preserve">. </w:t>
      </w:r>
      <w:r w:rsidR="00C909E4">
        <w:t xml:space="preserve">The oil production in these areas </w:t>
      </w:r>
      <w:r w:rsidR="00EE6CC8">
        <w:t>encounters</w:t>
      </w:r>
      <w:r w:rsidR="00C909E4">
        <w:t xml:space="preserve"> different </w:t>
      </w:r>
      <w:r w:rsidR="002E5218">
        <w:t xml:space="preserve">challenges </w:t>
      </w:r>
      <w:r w:rsidR="00C909E4">
        <w:t>due to cold, harsh climate, wind, snowfall, darkness and sensitive environment with respect to pollution</w:t>
      </w:r>
      <w:r w:rsidR="00C909E4" w:rsidRPr="00D42FCE">
        <w:t xml:space="preserve">. </w:t>
      </w:r>
      <w:r w:rsidR="009D2174">
        <w:t>The weather may delay o</w:t>
      </w:r>
      <w:r w:rsidR="003A09E8">
        <w:t>perations</w:t>
      </w:r>
      <w:r w:rsidR="00D177F4">
        <w:t xml:space="preserve"> as</w:t>
      </w:r>
      <w:r w:rsidR="007C5FB4">
        <w:t xml:space="preserve"> well as maintenance activities </w:t>
      </w:r>
      <w:r w:rsidR="00BE36F2">
        <w:t xml:space="preserve">and the remoteness of the installations may </w:t>
      </w:r>
      <w:r w:rsidR="009D2174">
        <w:t>lead to</w:t>
      </w:r>
      <w:r w:rsidR="00BE36F2">
        <w:t xml:space="preserve"> logistic </w:t>
      </w:r>
      <w:r w:rsidR="00C96970">
        <w:t xml:space="preserve">and emergency response </w:t>
      </w:r>
      <w:r w:rsidR="00BE36F2">
        <w:t>problems. Besides, s</w:t>
      </w:r>
      <w:r w:rsidR="003A09E8">
        <w:t>evere legislative frameworks are in for</w:t>
      </w:r>
      <w:r w:rsidR="00BE36F2">
        <w:t>ce for environmental protection</w:t>
      </w:r>
      <w:r w:rsidR="00EE382D">
        <w:t xml:space="preserve"> </w:t>
      </w:r>
      <w:r w:rsidR="00EE382D">
        <w:fldChar w:fldCharType="begin" w:fldLock="1"/>
      </w:r>
      <w:r w:rsidR="00131B8A">
        <w:instrText>ADDIN CSL_CITATION { "citationItems" : [ { "id" : "ITEM-1", "itemData" : { "author" : [ { "dropping-particle" : "", "family" : "Norwegian Environment Agency", "given" : "", "non-dropping-particle" : "", "parse-names" : false, "suffix" : "" } ], "id" : "ITEM-1", "issued" : { "date-parts" : [ [ "2011" ] ] }, "title" : "Guidelines for offshore environmental monitoring TA2849-2011", "type" : "report" }, "uris" : [ "http://www.mendeley.com/documents/?uuid=422d84e9-c43c-4ed4-9fb5-af357c37cc85", "http://www.mendeley.com/documents/?uuid=3eefae7d-cd40-4b49-81c7-5975a196d7bc", "http://www.mendeley.com/documents/?uuid=94b62e33-a831-442f-9dab-1d45f9bf2845" ] } ], "mendeley" : { "formattedCitation" : "(Norwegian Environment Agency, 2011)", "plainTextFormattedCitation" : "(Norwegian Environment Agency, 2011)", "previouslyFormattedCitation" : "(Norwegian Environment Agency, 2011)" }, "properties" : {  }, "schema" : "https://github.com/citation-style-language/schema/raw/master/csl-citation.json" }</w:instrText>
      </w:r>
      <w:r w:rsidR="00EE382D">
        <w:fldChar w:fldCharType="separate"/>
      </w:r>
      <w:r w:rsidR="00EE382D" w:rsidRPr="00EE382D">
        <w:rPr>
          <w:noProof/>
        </w:rPr>
        <w:t>(Norwegian Environment Agency, 2011)</w:t>
      </w:r>
      <w:r w:rsidR="00EE382D">
        <w:fldChar w:fldCharType="end"/>
      </w:r>
      <w:r w:rsidR="00BE36F2">
        <w:t xml:space="preserve">. </w:t>
      </w:r>
    </w:p>
    <w:p w14:paraId="41F20ACF" w14:textId="77777777" w:rsidR="00DD1E91" w:rsidRDefault="009D2174" w:rsidP="00594679">
      <w:r>
        <w:t>P</w:t>
      </w:r>
      <w:r w:rsidR="00555318">
        <w:t>oor</w:t>
      </w:r>
      <w:r w:rsidR="00555318" w:rsidRPr="003A09E8">
        <w:t xml:space="preserve"> </w:t>
      </w:r>
      <w:r w:rsidR="00BC5223" w:rsidRPr="003A09E8">
        <w:t xml:space="preserve">experience </w:t>
      </w:r>
      <w:r w:rsidR="00103496">
        <w:t>in</w:t>
      </w:r>
      <w:r w:rsidR="00103496" w:rsidRPr="003A09E8">
        <w:t xml:space="preserve"> </w:t>
      </w:r>
      <w:r w:rsidR="00BC5223" w:rsidRPr="003A09E8">
        <w:t xml:space="preserve">design and operations of </w:t>
      </w:r>
      <w:r w:rsidRPr="003A09E8">
        <w:t xml:space="preserve">Arctic </w:t>
      </w:r>
      <w:r w:rsidR="00BC5223" w:rsidRPr="003A09E8">
        <w:t xml:space="preserve">O&amp;G facilities </w:t>
      </w:r>
      <w:r>
        <w:t>with</w:t>
      </w:r>
      <w:r w:rsidR="00BC5223" w:rsidRPr="003A09E8">
        <w:t xml:space="preserve">in </w:t>
      </w:r>
      <w:r>
        <w:t>harsh environment</w:t>
      </w:r>
      <w:r w:rsidR="00FD6DEE">
        <w:t xml:space="preserve"> </w:t>
      </w:r>
      <w:r>
        <w:t>and</w:t>
      </w:r>
      <w:r w:rsidR="00FD6DEE">
        <w:t xml:space="preserve"> </w:t>
      </w:r>
      <w:r w:rsidR="00E517C0">
        <w:t xml:space="preserve">difficulties in </w:t>
      </w:r>
      <w:r w:rsidR="00BC5223" w:rsidRPr="003A09E8">
        <w:t>emergency response</w:t>
      </w:r>
      <w:r w:rsidR="00E517C0">
        <w:t xml:space="preserve"> and management</w:t>
      </w:r>
      <w:r w:rsidR="00BC5223" w:rsidRPr="003A09E8">
        <w:t xml:space="preserve"> </w:t>
      </w:r>
      <w:r>
        <w:t xml:space="preserve">may </w:t>
      </w:r>
      <w:r w:rsidR="003A09E8" w:rsidRPr="003A09E8">
        <w:t xml:space="preserve">represent </w:t>
      </w:r>
      <w:r w:rsidR="00E517C0">
        <w:t>critical issues</w:t>
      </w:r>
      <w:r w:rsidR="00E517C0" w:rsidRPr="003A09E8">
        <w:t xml:space="preserve"> </w:t>
      </w:r>
      <w:r w:rsidR="003A09E8" w:rsidRPr="003A09E8">
        <w:t xml:space="preserve">to </w:t>
      </w:r>
      <w:r>
        <w:t>overcome</w:t>
      </w:r>
      <w:r w:rsidR="003A09E8" w:rsidRPr="003A09E8">
        <w:t xml:space="preserve">. </w:t>
      </w:r>
      <w:r>
        <w:t xml:space="preserve">As </w:t>
      </w:r>
      <w:r>
        <w:fldChar w:fldCharType="begin" w:fldLock="1"/>
      </w:r>
      <w:r w:rsidR="00131B8A">
        <w:instrText>ADDIN CSL_CITATION { "citationItems" : [ { "id" : "ITEM-1", "itemData" : { "author" : [ { "dropping-particle" : "", "family" : "Bercha", "given" : "FG", "non-dropping-particle" : "", "parse-names" : false, "suffix" : "" }, { "dropping-particle" : "", "family" : "Brooks", "given" : "CJ", "non-dropping-particle" : "", "parse-names" : false, "suffix" : "" }, { "dropping-particle" : "", "family" : "Leafloor", "given" : "F.", "non-dropping-particle" : "", "parse-names" : false, "suffix" : "" } ], "container-title" : "Proceedings of the thirteenth international offshore and polar engineering conference, Honolulu, Hawaii, USA", "id" : "ITEM-1", "issued" : { "date-parts" : [ [ "2003" ] ] }, "page" : "2755-2762", "publisher" : "International Society of Offshore and Polar Engineers (ISOPE)", "publisher-place" : "Cupertino, Ca, USA", "title" : "Human performance in arctic offshore escape, evacuation and rescue", "type" : "paper-conference" }, "uris" : [ "http://www.mendeley.com/documents/?uuid=f678b479-12ad-4ba8-8300-2f14250e8518" ] }, { "id" : "ITEM-2", "itemData" : { "ISSN" : "0951-8320", "abstract" : "As the oil and gas (O&amp;amp;G) industry is increasing the focus on petroleum exploration and development in the Arctic region, it is becoming increasingly important to design exploration and production facilities to suit the local operating conditions. The cold and harsh climate, the long distance from customer and suppliers\u2019 markets, and the sensitive environment may have considerable influence on the choice of design solutions and production performance characteristics such as throughput capacity, reliability, availability, maintainability, and supportability (RAMS) as well as operational and maintenance activities. Due to this, data and information collected for similar systems used in a normal climate may not be suitable. Hence, it is important to study and develop methods for prediction of the production performance characteristics during the design and operation phases. The aim of this paper is to present an approach for prediction of the production performance for oil and gas production facilities considering influencing factors in Arctic conditions. The proportional repair model (PRM) is developed in order to predict repair rate in Arctic conditions. The model is based on the proportional hazard model (PHM). A simple case study is used to demonstrate how the proposed approach can be applied.", "author" : [ { "dropping-particle" : "", "family" : "Gao", "given" : "Xueli", "non-dropping-particle" : "", "parse-names" : false, "suffix" : "" }, { "dropping-particle" : "", "family" : "Barabady", "given" : "Javad", "non-dropping-particle" : "", "parse-names" : false, "suffix" : "" }, { "dropping-particle" : "", "family" : "Markeset", "given" : "Tore", "non-dropping-particle" : "", "parse-names" : false, "suffix" : "" } ], "container-title" : "Reliability Engineering &amp; System Safety", "id" : "ITEM-2", "issue" : "8", "issued" : { "date-parts" : [ [ "2010" ] ] }, "page" : "837-846", "title" : "An approach for prediction of petroleum production facility performance considering Arctic influence factors", "type" : "article-journal", "volume" : "95" }, "uris" : [ "http://www.mendeley.com/documents/?uuid=c2641d27-9054-47bf-a6e7-df685c4fa2c2" ] } ], "mendeley" : { "formattedCitation" : "(Bercha et al., 2003; Gao et al., 2010)", "manualFormatting" : "Bercha et al. (2003) and Gao et al. (2010)", "plainTextFormattedCitation" : "(Bercha et al., 2003; Gao et al., 2010)", "previouslyFormattedCitation" : "(Bercha et al., 2003; Gao et al., 2010)" }, "properties" : {  }, "schema" : "https://github.com/citation-style-language/schema/raw/master/csl-citation.json" }</w:instrText>
      </w:r>
      <w:r>
        <w:fldChar w:fldCharType="separate"/>
      </w:r>
      <w:r w:rsidRPr="002A1865">
        <w:rPr>
          <w:noProof/>
        </w:rPr>
        <w:t xml:space="preserve">Bercha et al. </w:t>
      </w:r>
      <w:r w:rsidR="00042CAF">
        <w:rPr>
          <w:noProof/>
        </w:rPr>
        <w:t>(</w:t>
      </w:r>
      <w:r w:rsidRPr="002A1865">
        <w:rPr>
          <w:noProof/>
        </w:rPr>
        <w:t>2003</w:t>
      </w:r>
      <w:r w:rsidR="00042CAF">
        <w:rPr>
          <w:noProof/>
        </w:rPr>
        <w:t>) and Gao et al.</w:t>
      </w:r>
      <w:r w:rsidRPr="002A1865">
        <w:rPr>
          <w:noProof/>
        </w:rPr>
        <w:t xml:space="preserve"> </w:t>
      </w:r>
      <w:r w:rsidR="00042CAF">
        <w:rPr>
          <w:noProof/>
        </w:rPr>
        <w:t>(</w:t>
      </w:r>
      <w:r w:rsidRPr="002A1865">
        <w:rPr>
          <w:noProof/>
        </w:rPr>
        <w:t>2010)</w:t>
      </w:r>
      <w:r>
        <w:fldChar w:fldCharType="end"/>
      </w:r>
      <w:r>
        <w:t xml:space="preserve"> affirm, t</w:t>
      </w:r>
      <w:r w:rsidR="00EF5114">
        <w:t xml:space="preserve">echnical </w:t>
      </w:r>
      <w:r w:rsidR="0013085D">
        <w:t>and operational p</w:t>
      </w:r>
      <w:r w:rsidR="002E7DC1">
        <w:t xml:space="preserve">erformance </w:t>
      </w:r>
      <w:r w:rsidR="003E61ED">
        <w:t xml:space="preserve">of safety barriers </w:t>
      </w:r>
      <w:r w:rsidR="0013085D">
        <w:t>a</w:t>
      </w:r>
      <w:r w:rsidR="002E7DC1">
        <w:t xml:space="preserve">re </w:t>
      </w:r>
      <w:r w:rsidR="0013085D">
        <w:t>critica</w:t>
      </w:r>
      <w:r w:rsidR="003E61ED">
        <w:t>l</w:t>
      </w:r>
      <w:r w:rsidR="00EF5114">
        <w:t xml:space="preserve"> aspects</w:t>
      </w:r>
      <w:r w:rsidR="00AC662B">
        <w:t xml:space="preserve"> to be addressed in </w:t>
      </w:r>
      <w:r w:rsidR="002F6102">
        <w:t xml:space="preserve">these </w:t>
      </w:r>
      <w:r w:rsidR="00AC662B">
        <w:t>specific conditions</w:t>
      </w:r>
      <w:r w:rsidR="0013085D">
        <w:t xml:space="preserve">. </w:t>
      </w:r>
      <w:r w:rsidR="001B3BA9">
        <w:t>T</w:t>
      </w:r>
      <w:r w:rsidR="003E61ED">
        <w:t xml:space="preserve">he effect of the environment </w:t>
      </w:r>
      <w:r w:rsidR="00FD6DEE">
        <w:t xml:space="preserve">and external factors </w:t>
      </w:r>
      <w:r w:rsidR="003E61ED">
        <w:t>on system</w:t>
      </w:r>
      <w:r w:rsidR="00FD6DEE">
        <w:t>s</w:t>
      </w:r>
      <w:r w:rsidR="003E61ED">
        <w:t xml:space="preserve"> reliability have been investigated in the past and </w:t>
      </w:r>
      <w:r w:rsidR="00FD6DEE">
        <w:t xml:space="preserve">several models are available in the literature, such as </w:t>
      </w:r>
      <w:r w:rsidR="003E61ED">
        <w:t xml:space="preserve">the </w:t>
      </w:r>
      <w:r w:rsidR="0066408E">
        <w:t xml:space="preserve">proportional hazard model </w:t>
      </w:r>
      <w:r w:rsidR="003E61ED" w:rsidRPr="00AC662B">
        <w:t>(PHM)</w:t>
      </w:r>
      <w:r w:rsidR="003E61ED">
        <w:t xml:space="preserve"> </w:t>
      </w:r>
      <w:r w:rsidR="003E61ED">
        <w:fldChar w:fldCharType="begin" w:fldLock="1"/>
      </w:r>
      <w:r w:rsidR="00131B8A">
        <w:instrText>ADDIN CSL_CITATION { "citationItems" : [ { "id" : "ITEM-1", "itemData" : { "author" : [ { "dropping-particle" : "", "family" : "Cox", "given" : "D R", "non-dropping-particle" : "", "parse-names" : false, "suffix" : "" } ], "container-title" : "Journal of the Royal Statistical Society. Series B (Methodological)", "id" : "ITEM-1", "issue" : "2", "issued" : { "date-parts" : [ [ "1972" ] ] }, "page" : "187-220", "title" : "Regression Models and Life-Tables", "type" : "article-journal", "volume" : "34" }, "uris" : [ "http://www.mendeley.com/documents/?uuid=43962045-484d-4e9d-863c-dedb9924e865", "http://www.mendeley.com/documents/?uuid=ca3167e6-57b9-4c40-9a86-a007b4ad4ce3", "http://www.mendeley.com/documents/?uuid=dbbacbc5-9c14-4a4e-aa48-f364de396476" ] } ], "mendeley" : { "formattedCitation" : "(Cox, 1972)", "plainTextFormattedCitation" : "(Cox, 1972)", "previouslyFormattedCitation" : "(Cox, 1972)" }, "properties" : {  }, "schema" : "https://github.com/citation-style-language/schema/raw/master/csl-citation.json" }</w:instrText>
      </w:r>
      <w:r w:rsidR="003E61ED">
        <w:fldChar w:fldCharType="separate"/>
      </w:r>
      <w:r w:rsidR="003E61ED" w:rsidRPr="003E61ED">
        <w:rPr>
          <w:noProof/>
        </w:rPr>
        <w:t>(Cox, 1972)</w:t>
      </w:r>
      <w:r w:rsidR="003E61ED">
        <w:fldChar w:fldCharType="end"/>
      </w:r>
      <w:r w:rsidR="00982252">
        <w:t xml:space="preserve"> or the </w:t>
      </w:r>
      <w:r w:rsidR="0066408E">
        <w:t xml:space="preserve">accelerated failure time </w:t>
      </w:r>
      <w:r w:rsidR="00982252">
        <w:t xml:space="preserve">model </w:t>
      </w:r>
      <w:r w:rsidR="00982252">
        <w:fldChar w:fldCharType="begin" w:fldLock="1"/>
      </w:r>
      <w:r w:rsidR="00131B8A">
        <w:instrText>ADDIN CSL_CITATION { "citationItems" : [ { "id" : "ITEM-1", "itemData" : { "DOI" : "10.1002/9781118032985", "author" : [ { "dropping-particle" : "", "family" : "Kalbfleisch", "given" : "John D.", "non-dropping-particle" : "", "parse-names" : false, "suffix" : "" }, { "dropping-particle" : "", "family" : "Prentice", "given" : "Ross L.", "non-dropping-particle" : "", "parse-names" : false, "suffix" : "" } ], "edition" : "Second", "id" : "ITEM-1", "issued" : { "date-parts" : [ [ "2002" ] ] }, "publisher" : "John Wiley &amp; Sons", "title" : "The statistical analysis of failure time data", "type" : "book" }, "uris" : [ "http://www.mendeley.com/documents/?uuid=f9d154f3-cc38-46cb-8b0e-3018f2fd3754", "http://www.mendeley.com/documents/?uuid=3c556136-1362-438c-aafd-02364592aac4", "http://www.mendeley.com/documents/?uuid=d9af0a4c-08c8-4a02-83a3-a5ba50a9e9b8" ] } ], "mendeley" : { "formattedCitation" : "(Kalbfleisch and Prentice, 2002)", "plainTextFormattedCitation" : "(Kalbfleisch and Prentice, 2002)", "previouslyFormattedCitation" : "(Kalbfleisch and Prentice, 2002)" }, "properties" : {  }, "schema" : "https://github.com/citation-style-language/schema/raw/master/csl-citation.json" }</w:instrText>
      </w:r>
      <w:r w:rsidR="00982252">
        <w:fldChar w:fldCharType="separate"/>
      </w:r>
      <w:r w:rsidR="002A1865" w:rsidRPr="002A1865">
        <w:rPr>
          <w:noProof/>
        </w:rPr>
        <w:t>(Kalbfleisch and Prentice, 2002)</w:t>
      </w:r>
      <w:r w:rsidR="00982252">
        <w:fldChar w:fldCharType="end"/>
      </w:r>
      <w:r w:rsidR="003E61ED">
        <w:t xml:space="preserve">. </w:t>
      </w:r>
      <w:r w:rsidR="001B3BA9">
        <w:t xml:space="preserve">On the other hand, innovative techniques </w:t>
      </w:r>
      <w:r w:rsidR="00D42FCE">
        <w:t>for</w:t>
      </w:r>
      <w:r w:rsidR="001B3BA9">
        <w:t xml:space="preserve"> </w:t>
      </w:r>
      <w:r w:rsidR="00594679">
        <w:t>operational</w:t>
      </w:r>
      <w:r w:rsidR="001B3BA9">
        <w:t xml:space="preserve"> support may be </w:t>
      </w:r>
      <w:r w:rsidR="00D42FCE">
        <w:t>applied to</w:t>
      </w:r>
      <w:r w:rsidR="001B3BA9">
        <w:t xml:space="preserve"> such scenarios </w:t>
      </w:r>
      <w:r w:rsidR="001B3BA9">
        <w:fldChar w:fldCharType="begin" w:fldLock="1"/>
      </w:r>
      <w:r w:rsidR="00131B8A">
        <w:instrText>ADDIN CSL_CITATION { "citationItems" : [ { "id" : "ITEM-1", "itemData" : { "author" : [ { "dropping-particle" : "", "family" : "Paltrinieri", "given" : "Nicola", "non-dropping-particle" : "", "parse-names" : false, "suffix" : "" }, { "dropping-particle" : "", "family" : "Landucci", "given" : "Gabriele", "non-dropping-particle" : "", "parse-names" : false, "suffix" : "" }, { "dropping-particle" : "", "family" : "Salvo Rossi", "given" : "Pierluigi", "non-dropping-particle" : "", "parse-names" : false, "suffix" : "" } ], "container-title" : "ASME Int. Conf. Ocean, Offshore, and Arctic Engineering (OMAE 2017)", "id" : "ITEM-1", "issued" : { "date-parts" : [ [ "2017" ] ] }, "title" : "Real-time data for risk assessment in the offshore oil&amp;gas industry", "type" : "article-journal" }, "uris" : [ "http://www.mendeley.com/documents/?uuid=2888e384-d724-4ba3-9664-bd0a1fc00f47", "http://www.mendeley.com/documents/?uuid=b674c653-f041-41f4-8a12-e9f0b7f62015", "http://www.mendeley.com/documents/?uuid=c74c70f2-d5ed-414a-9503-78d4e9f7f410" ] }, { "id" : "ITEM-2", "itemData" : { "DOI" : "10.1016/j.psep.2016.08.012", "ISSN" : "09575820", "abstract" : "The likelihood of leaks from process equipment is a key input to any Quantitative Risk Assessment. This study is aimed at developing a methodology supporting the tailorization of leak frequency values. Specific modification factors for the facilities of the Oil &amp; Gas (O&amp;G) upstream sector are used for this purpose. The method (TEC2O\u2014frequency modification methodology based on TEChnical Operational and Organizational factors) is based on an aggregated set of indicators, whose contribution to the expected leak frequency is systematically evaluated through a specific procedure. Periodic revision and update represents an added value to the method, because it may be adopted to drive the identification of critical safety issues in a facility, integrating technical and managerial aspects and supporting continuous monitoring. The method is compared with similar literature methods and applied to a representative case study in order to demonstrate its potential and advantages.", "author" : [ { "dropping-particle" : "", "family" : "Landucci", "given" : "Gabriele", "non-dropping-particle" : "", "parse-names" : false, "suffix" : "" }, { "dropping-particle" : "", "family" : "Paltrinieri", "given" : "Nicola", "non-dropping-particle" : "", "parse-names" : false, "suffix" : "" } ], "container-title" : "Process Safety and Environmental Protection", "id" : "ITEM-2", "issued" : { "date-parts" : [ [ "2016" ] ] }, "page" : "123-141", "title" : "A methodology for frequency tailorization dedicated to the Oil &amp;amp; Gas sector", "type" : "article-journal", "volume" : "104" }, "uris" : [ "http://www.mendeley.com/documents/?uuid=29081a17-be56-4757-8948-84706dc2679b" ] }, { "id" : "ITEM-3", "itemData" : { "ISBN" : "9780128038239", "abstract" : "Includes index. Front Cover; DYNAMIC RISKANALYSIS IN THECHEMICAL AND PETROLEUM INDUSTRY; DYNAMIC RISKANALYSIS IN THECHEMICAL AND PETROLEUM INDUSTRY: Evolution and Interaction with Parallel Disciplines in the Perspective of Industrial Application; Copyright; CONTENTS; CONTRIBUTORS; PREFACE; I -- Introduction; 1 -- A Short Overview of Risk Analysis Background and Recent Developments ; 1. INTRODUCTION; 2. FUNDAMENTALS OF RISK ANALYSIS; 2.1 Quantitative Risk Analysis; 2.2 Applications, Accomplishments, and Limitations of QRA in the Chemical Process Industry; 3. WAY FORWARD: DYNAMIC RISK ASSESSMENT APPROACHES 3.1 Potential Improvements and Limitations4. CONCLUSIONS; REFERENCES; 2 -- New Definitions of Old Issues and Need for Continuous Improvement ; 1. INTRODUCTION; 2. ATYPICAL ACCIDENT SCENARIOS; 3. BLACK SWANS; 4. DRAGON KINGS; 5. SMALL THINGS; 6. CONCLUSIONS; REFERENCES; ll -- Dynamic Risk Analysis; 2.1 -- Hazard Identification; 3 -- Advanced Technique for Dynamic Hazard Identification ; 1. INTRODUCTION; 2. A FRAMEWORK FOR THE IDENTIFICATION OF ATYPICAL SCENARIOS; 3. STATE OF THE ART; 4. DYNAMIC PROCEDURE FOR ATYPICAL SCENARIOS IDENTIFICATION 4.1 Hazard Identification Deficiencies Tackled by DyPASI4.1.1 Completeness; 4.1.2 Reproducibility; 4.1.3 Inscrutability; 4.1.4 Relevance of Experience; 4.1.5 Subjectivity; 4.2 Limitations and Integration With Other Techniques; 5. CONCLUSIONS; REFERENCES; 4 -- Dynamic Hazard Identification: Tutorial and Examples ; 1. INTRODUCTION; 2. METHODOLOGY TUTORIAL; 2.1 Step 0: Preliminary Activity; 2.2 Step 1: Retrieval of Risk Notions; 2.3 Step 2: Prioritization; 2.4 Step 3: Atypical Scenarios Identification; 2.5 Step 4: Definition of Safety Barriers; 2.6 Follow-up; 3. APPLICATION OF THE APPROACH 3.1 Bow-Tie Analysis3.2 DyPASI Application; 4. CONCLUSIONS; REFERENCES; 2.2 -- Analysis of Initiating Events; 5 -- Reactive Approaches of Probability Update Based on Bayesian Methods ; 1. INTRODUCTION; 2. BAYESIAN INFERENCE; 2.1 Bayes' Theorem; 2.2 Hierarchical Bayesian Analysis; 3. BAYESIAN NETWORK; 3.1 Conventional Bayesian Network; 3.2 Dynamic Bayesian Network; 3.2.1 Interval-based Dynamic Bayesian Network; 3.2.2 Instant-based Dynamic Bayesian Network; 4. LIMITED MEMORY INFLUENCE DIAGRAM; 5. CONCLUSIONS; REFERENCES; 6 -- Proactive Approaches of Dynamic Risk Assessment Based on Indicators 1. INTRODUCTION2. PROACTIVE AND DYNAMIC FEATURES; 3. TECHNIQUES FOR DEVELOPMENT OF INDICATORS; 4. TECHNIQUES FOR FREQUENCY MODIFICATION; 5. THE RI\u2026", "author" : [ { "dropping-particle" : "", "family" : "Paltrinieri", "given" : "Nicola", "non-dropping-particle" : "", "parse-names" : false, "suffix" : "" }, { "dropping-particle" : "", "family" : "Khan", "given" : "Faisal", "non-dropping-particle" : "", "parse-names" : false, "suffix" : "" } ], "edition" : "1", "editor" : [ { "dropping-particle" : "", "family" : "Butterworth-Heinemann", "given" : "", "non-dropping-particle" : "", "parse-names" : false, "suffix" : "" } ], "id" : "ITEM-3", "issued" : { "date-parts" : [ [ "2016" ] ] }, "publisher" : "Elsevier Science", "title" : "Dynamic Risk Analysis in the Chemical and Petroleum Industry: Evolution and Interaction with Parallel Disciplines in the Perspective of Industrial Application", "type" : "book" }, "uris" : [ "http://www.mendeley.com/documents/?uuid=68d56068-6927-438d-9e42-b2f944a4630e", "http://www.mendeley.com/documents/?uuid=80acf631-86f3-4748-af66-73568674a6f2" ] } ], "mendeley" : { "formattedCitation" : "(Landucci and Paltrinieri, 2016; Nicola Paltrinieri et al., 2017; Paltrinieri and Khan, 2016)", "manualFormatting" : "(Landucci and Paltrinieri, 2016; Paltrinieri et al., 2017; Paltrinieri and Khan, 2016)", "plainTextFormattedCitation" : "(Landucci and Paltrinieri, 2016; Nicola Paltrinieri et al., 2017; Paltrinieri and Khan, 2016)", "previouslyFormattedCitation" : "(Landucci and Paltrinieri, 2016; Nicola Paltrinieri et al., 2017; Paltrinieri and Khan, 2016)" }, "properties" : {  }, "schema" : "https://github.com/citation-style-language/schema/raw/master/csl-citation.json" }</w:instrText>
      </w:r>
      <w:r w:rsidR="001B3BA9">
        <w:fldChar w:fldCharType="separate"/>
      </w:r>
      <w:r w:rsidR="00594679" w:rsidRPr="00594679">
        <w:rPr>
          <w:noProof/>
        </w:rPr>
        <w:t>(Landucc</w:t>
      </w:r>
      <w:r w:rsidR="00594679">
        <w:rPr>
          <w:noProof/>
        </w:rPr>
        <w:t xml:space="preserve">i and Paltrinieri, 2016; </w:t>
      </w:r>
      <w:r w:rsidR="00594679" w:rsidRPr="00594679">
        <w:rPr>
          <w:noProof/>
        </w:rPr>
        <w:t>Paltrinieri et al., 2017; Paltrinieri and Khan, 2016)</w:t>
      </w:r>
      <w:r w:rsidR="001B3BA9">
        <w:fldChar w:fldCharType="end"/>
      </w:r>
      <w:r w:rsidR="00C96970">
        <w:t>.</w:t>
      </w:r>
    </w:p>
    <w:p w14:paraId="7D956F0D" w14:textId="77777777" w:rsidR="00E84468" w:rsidRDefault="00B86FB9" w:rsidP="00042CAF">
      <w:r>
        <w:t>Systems</w:t>
      </w:r>
      <w:r w:rsidR="009632ED">
        <w:t xml:space="preserve"> maintainability is</w:t>
      </w:r>
      <w:r w:rsidR="00CB1C10">
        <w:t xml:space="preserve"> </w:t>
      </w:r>
      <w:r w:rsidR="00C96970">
        <w:t>also</w:t>
      </w:r>
      <w:r w:rsidR="009632ED">
        <w:t xml:space="preserve"> affected by external environment. Maintenance relies on resource</w:t>
      </w:r>
      <w:r w:rsidR="00567BE0">
        <w:t>s, such</w:t>
      </w:r>
      <w:r w:rsidR="009632ED">
        <w:t xml:space="preserve"> as operators, tools, and equipment, accessibility and testing. In Arctic conditions, operators may delay or </w:t>
      </w:r>
      <w:r w:rsidR="00677F8D">
        <w:t xml:space="preserve">may be </w:t>
      </w:r>
      <w:r w:rsidR="009632ED">
        <w:t xml:space="preserve">unable to perform maintenance activities, remoteness may hinder the deployment of tools and equipment needed and these may result in </w:t>
      </w:r>
      <w:r w:rsidR="00677F8D">
        <w:t>overdue</w:t>
      </w:r>
      <w:r w:rsidR="009632ED">
        <w:t xml:space="preserve"> or inappropriate maintenance</w:t>
      </w:r>
      <w:r w:rsidR="00BE36F2">
        <w:t xml:space="preserve">. </w:t>
      </w:r>
      <w:r w:rsidR="00F30FA4">
        <w:t>These issues were</w:t>
      </w:r>
      <w:r w:rsidR="00BE36F2">
        <w:t xml:space="preserve"> </w:t>
      </w:r>
      <w:r w:rsidR="008E3798">
        <w:t xml:space="preserve">specifically </w:t>
      </w:r>
      <w:r w:rsidR="00BE36F2">
        <w:t xml:space="preserve">addressed in the work by </w:t>
      </w:r>
      <w:r w:rsidR="00BE36F2">
        <w:fldChar w:fldCharType="begin" w:fldLock="1"/>
      </w:r>
      <w:r w:rsidR="00131B8A">
        <w:instrText>ADDIN CSL_CITATION { "citationItems" : [ { "id" : "ITEM-1", "itemData" : { "ISSN" : "0951-8320", "abstract" : "As the oil and gas (O&amp;amp;G) industry is increasing the focus on petroleum exploration and development in the Arctic region, it is becoming increasingly important to design exploration and production facilities to suit the local operating conditions. The cold and harsh climate, the long distance from customer and suppliers\u2019 markets, and the sensitive environment may have considerable influence on the choice of design solutions and production performance characteristics such as throughput capacity, reliability, availability, maintainability, and supportability (RAMS) as well as operational and maintenance activities. Due to this, data and information collected for similar systems used in a normal climate may not be suitable. Hence, it is important to study and develop methods for prediction of the production performance characteristics during the design and operation phases. The aim of this paper is to present an approach for prediction of the production performance for oil and gas production facilities considering influencing factors in Arctic conditions. The proportional repair model (PRM) is developed in order to predict repair rate in Arctic conditions. The model is based on the proportional hazard model (PHM). A simple case study is used to demonstrate how the proposed approach can be applied.", "author" : [ { "dropping-particle" : "", "family" : "Gao", "given" : "Xueli", "non-dropping-particle" : "", "parse-names" : false, "suffix" : "" }, { "dropping-particle" : "", "family" : "Barabady", "given" : "Javad", "non-dropping-particle" : "", "parse-names" : false, "suffix" : "" }, { "dropping-particle" : "", "family" : "Markeset", "given" : "Tore", "non-dropping-particle" : "", "parse-names" : false, "suffix" : "" } ], "container-title" : "Reliability Engineering &amp; System Safety", "id" : "ITEM-1", "issue" : "8", "issued" : { "date-parts" : [ [ "2010" ] ] }, "page" : "837-846", "title" : "An approach for prediction of petroleum production facility performance considering Arctic influence factors", "type" : "article-journal", "volume" : "95" }, "uris" : [ "http://www.mendeley.com/documents/?uuid=c2641d27-9054-47bf-a6e7-df685c4fa2c2" ] } ], "mendeley" : { "formattedCitation" : "(Gao et al., 2010)", "manualFormatting" : "Gao et al. (2010)", "plainTextFormattedCitation" : "(Gao et al., 2010)", "previouslyFormattedCitation" : "(Gao et al., 2010)" }, "properties" : {  }, "schema" : "https://github.com/citation-style-language/schema/raw/master/csl-citation.json" }</w:instrText>
      </w:r>
      <w:r w:rsidR="00BE36F2">
        <w:fldChar w:fldCharType="separate"/>
      </w:r>
      <w:r w:rsidR="00BE36F2">
        <w:rPr>
          <w:noProof/>
        </w:rPr>
        <w:t>Gao et al. (</w:t>
      </w:r>
      <w:r w:rsidR="00BE36F2" w:rsidRPr="00BE36F2">
        <w:rPr>
          <w:noProof/>
        </w:rPr>
        <w:t>2010)</w:t>
      </w:r>
      <w:r w:rsidR="00BE36F2">
        <w:fldChar w:fldCharType="end"/>
      </w:r>
      <w:r w:rsidR="00B23F81">
        <w:t>. Despite</w:t>
      </w:r>
      <w:r w:rsidR="00C96970">
        <w:t xml:space="preserve"> that</w:t>
      </w:r>
      <w:r w:rsidR="00B23F81">
        <w:t xml:space="preserve"> </w:t>
      </w:r>
      <w:r w:rsidR="00EF5114" w:rsidRPr="009834D7">
        <w:t xml:space="preserve">risk-based design </w:t>
      </w:r>
      <w:r w:rsidR="00EF5114">
        <w:t>enhancing</w:t>
      </w:r>
      <w:r w:rsidR="00EF5114" w:rsidRPr="009834D7">
        <w:t xml:space="preserve"> safety of operations</w:t>
      </w:r>
      <w:r w:rsidR="00EF5114">
        <w:t xml:space="preserve"> in harsh environment was </w:t>
      </w:r>
      <w:r w:rsidR="00E84468">
        <w:t>discussed</w:t>
      </w:r>
      <w:r w:rsidR="00EF5114">
        <w:t xml:space="preserve"> by several authors</w:t>
      </w:r>
      <w:r w:rsidR="00EF5114" w:rsidRPr="009834D7">
        <w:t xml:space="preserve"> </w:t>
      </w:r>
      <w:r w:rsidR="00EF5114" w:rsidRPr="009834D7">
        <w:fldChar w:fldCharType="begin" w:fldLock="1"/>
      </w:r>
      <w:r w:rsidR="00131B8A">
        <w:instrText>ADDIN CSL_CITATION { "citationItems" : [ { "id" : "ITEM-1", "itemData" : { "author" : [ { "dropping-particle" : "", "family" : "Vinnem", "given" : "Jan Erik", "non-dropping-particle" : "", "parse-names" : false, "suffix" : "" } ], "edition" : "3rd", "id" : "ITEM-1", "issued" : { "date-parts" : [ [ "2014" ] ] }, "publisher" : "Springer-Verlag", "publisher-place" : "London, UK", "title" : "Offshore Risk Assessment vol 1. Principles, Modelling and Applications of QRA Studies", "type" : "book" }, "uris" : [ "http://www.mendeley.com/documents/?uuid=09a6ab3f-79ef-4c28-ab70-7260bd41a44b", "http://www.mendeley.com/documents/?uuid=cf3b2819-c527-4855-851c-b25bdc8d9c0c", "http://www.mendeley.com/documents/?uuid=0c238315-949d-4032-becd-e8071a099c9e" ] }, { "id" : "ITEM-2", "itemData" : { "ISBN" : "9780791844342", "ISSN" : "09518339", "abstract" : "A risk-based design framework should involve both risk assessment and risk management. This article introduces and describes a number of procedures for the quantitative assessment and management of fire and gas explosion risks in offshore installations. These procedures were developed in a joint industry project on the explosion and fire engineering of floating, production, storage and off-loading units (the EFEF JIP), which was led by the authors. The present article reports partial results, focussing on defining the frequency of fires and explosions in offshore installations. Examples of the aforementioned procedures' application to a hypothetical floating, production, storage, and off-loading unit (FPSO) are presented. A framework for the quantitative risk assessment of fires and explosions requires the definition of both the frequency and consequences of such events. These procedures can be efficiently applied in offshore development projects, and the application includes the assessment of design explosion and fire loads as well as the quantification of effects of risk control options (RCO) such as platform layout, location and number of gas detectors, isolation of ignition sources etc. \u00a9 2011 Elsevier Ltd.", "author" : [ { "dropping-particle" : "", "family" : "Paik", "given" : "Jeom Kee", "non-dropping-particle" : "", "parse-names" : false, "suffix" : "" }, { "dropping-particle" : "", "family" : "Czujko", "given" : "Jerzy", "non-dropping-particle" : "", "parse-names" : false, "suffix" : "" }, { "dropping-particle" : "", "family" : "Kim", "given" : "Bong Ju", "non-dropping-particle" : "", "parse-names" : false, "suffix" : "" }, { "dropping-particle" : "", "family" : "Seo", "given" : "Jung Kwan", "non-dropping-particle" : "", "parse-names" : false, "suffix" : "" }, { "dropping-particle" : "", "family" : "Ryu", "given" : "Han Seong", "non-dropping-particle" : "", "parse-names" : false, "suffix" : "" }, { "dropping-particle" : "", "family" : "Ha", "given" : "Yeon Chul", "non-dropping-particle" : "", "parse-names" : false, "suffix" : "" }, { "dropping-particle" : "", "family" : "Janiszewski", "given" : "Piotr", "non-dropping-particle" : "", "parse-names" : false, "suffix" : "" }, { "dropping-particle" : "", "family" : "Musial", "given" : "Beata", "non-dropping-particle" : "", "parse-names" : false, "suffix" : "" } ], "container-title" : "Marine Structures", "id" : "ITEM-2", "issue" : "2", "issued" : { "date-parts" : [ [ "2011" ] ] }, "page" : "73-96", "publisher" : "Elsevier Ltd", "title" : "Quantitative assessment of hydrocarbon explosion and fire risks in offshore installations", "type" : "article-journal", "volume" : "24" }, "uris" : [ "http://www.mendeley.com/documents/?uuid=b16709f2-0e81-4cbd-bb20-5956dffd58f7", "http://www.mendeley.com/documents/?uuid=d02b5cd5-7150-4e60-89e7-ce86c91d11ff", "http://www.mendeley.com/documents/?uuid=920788be-cf31-4819-a8b7-67dbb29f2775" ] }, { "id" : "ITEM-3", "itemData" : { "ISSN" : "0951-8320", "abstract" : "As the oil and gas (O&amp;amp;G) industry is increasing the focus on petroleum exploration and development in the Arctic region, it is becoming increasingly important to design exploration and production facilities to suit the local operating conditions. The cold and harsh climate, the long distance from customer and suppliers\u2019 markets, and the sensitive environment may have considerable influence on the choice of design solutions and production performance characteristics such as throughput capacity, reliability, availability, maintainability, and supportability (RAMS) as well as operational and maintenance activities. Due to this, data and information collected for similar systems used in a normal climate may not be suitable. Hence, it is important to study and develop methods for prediction of the production performance characteristics during the design and operation phases. The aim of this paper is to present an approach for prediction of the production performance for oil and gas production facilities considering influencing factors in Arctic conditions. The proportional repair model (PRM) is developed in order to predict repair rate in Arctic conditions. The model is based on the proportional hazard model (PHM). A simple case study is used to demonstrate how the proposed approach can be applied.", "author" : [ { "dropping-particle" : "", "family" : "Gao", "given" : "Xueli", "non-dropping-particle" : "", "parse-names" : false, "suffix" : "" }, { "dropping-particle" : "", "family" : "Barabady", "given" : "Javad", "non-dropping-particle" : "", "parse-names" : false, "suffix" : "" }, { "dropping-particle" : "", "family" : "Markeset", "given" : "Tore", "non-dropping-particle" : "", "parse-names" : false, "suffix" : "" } ], "container-title" : "Reliability Engineering &amp; System Safety", "id" : "ITEM-3", "issue" : "8", "issued" : { "date-parts" : [ [ "2010" ] ] }, "page" : "837-846", "title" : "An approach for prediction of petroleum production facility performance considering Arctic influence factors", "type" : "article-journal", "volume" : "95" }, "uris" : [ "http://www.mendeley.com/documents/?uuid=c2641d27-9054-47bf-a6e7-df685c4fa2c2" ] } ], "mendeley" : { "formattedCitation" : "(Gao et al., 2010; Paik et al., 2011; Vinnem, 2014)", "plainTextFormattedCitation" : "(Gao et al., 2010; Paik et al., 2011; Vinnem, 2014)", "previouslyFormattedCitation" : "(Gao et al., 2010; Paik et al., 2011; Vinnem, 2014)" }, "properties" : {  }, "schema" : "https://github.com/citation-style-language/schema/raw/master/csl-citation.json" }</w:instrText>
      </w:r>
      <w:r w:rsidR="00EF5114" w:rsidRPr="009834D7">
        <w:fldChar w:fldCharType="separate"/>
      </w:r>
      <w:r w:rsidR="00EF5114" w:rsidRPr="00EF5114">
        <w:rPr>
          <w:noProof/>
        </w:rPr>
        <w:t>(Gao et al., 2010; Paik et al., 2011; Vinnem, 2014)</w:t>
      </w:r>
      <w:r w:rsidR="00EF5114" w:rsidRPr="009834D7">
        <w:fldChar w:fldCharType="end"/>
      </w:r>
      <w:r w:rsidR="00E84468">
        <w:t xml:space="preserve">, a </w:t>
      </w:r>
      <w:r w:rsidR="00217149">
        <w:t>comprehensive and systematic</w:t>
      </w:r>
      <w:r w:rsidR="00E84468">
        <w:t xml:space="preserve"> safety assessment </w:t>
      </w:r>
      <w:r w:rsidR="00042CAF">
        <w:t>is still lacking for</w:t>
      </w:r>
      <w:r w:rsidR="00E84468">
        <w:t xml:space="preserve"> accident scenarios associated with </w:t>
      </w:r>
      <w:r w:rsidR="002F5DE6">
        <w:t xml:space="preserve">offshore </w:t>
      </w:r>
      <w:r w:rsidR="00E84468">
        <w:t xml:space="preserve">O&amp;G facilities </w:t>
      </w:r>
      <w:r w:rsidR="00042CAF">
        <w:t>in harsh environment</w:t>
      </w:r>
      <w:r w:rsidR="00E84468">
        <w:t>.</w:t>
      </w:r>
    </w:p>
    <w:p w14:paraId="68D24D57" w14:textId="77777777" w:rsidR="00E144D3" w:rsidRDefault="00F428B5" w:rsidP="009270F7">
      <w:r>
        <w:t xml:space="preserve">Among the most critical accident scenarios which may affect O&amp;G extraction and production facilities, </w:t>
      </w:r>
      <w:r w:rsidR="0019586A">
        <w:t xml:space="preserve">fires and explosions may directly cause severe damage to human health and environment, but also affect the structural integrity of the facility and </w:t>
      </w:r>
      <w:r w:rsidR="00983BDD">
        <w:t xml:space="preserve">asset. </w:t>
      </w:r>
      <w:r w:rsidR="0019586A" w:rsidRPr="00F716CD">
        <w:t xml:space="preserve">In this latter case, accidents may propagate among </w:t>
      </w:r>
      <w:r w:rsidR="0019586A" w:rsidRPr="00F716CD">
        <w:lastRenderedPageBreak/>
        <w:t xml:space="preserve">different </w:t>
      </w:r>
      <w:r w:rsidR="00C96970">
        <w:t>equipment</w:t>
      </w:r>
      <w:r w:rsidR="00C96970" w:rsidRPr="00F716CD">
        <w:t xml:space="preserve"> </w:t>
      </w:r>
      <w:r w:rsidR="0019586A" w:rsidRPr="00F716CD">
        <w:t xml:space="preserve">processing or storing hydrocarbons, eventually leading to the amplification of consequences </w:t>
      </w:r>
      <w:r w:rsidR="0019586A" w:rsidRPr="00F716CD">
        <w:fldChar w:fldCharType="begin" w:fldLock="1"/>
      </w:r>
      <w:r w:rsidR="00131B8A">
        <w:instrText>ADDIN CSL_CITATION { "citationItems" : [ { "id" : "ITEM-1", "itemData" : { "ISSN" : "0951-8320", "abstract" : "Abstract Dealing with large quantities of flammable and explosive materials, usually at high-pressure high-temperature conditions, makes process plants very vulnerable to cascading effects compared with other infrastructures. The combination of the extremely low frequency of cascading effects and the high complexity and interdependencies of process plants makes risk assessment and vulnerability analysis of process plants very challenging in the context of such events. In the present study, cascading effects were represented as a directed graph; accordingly, the efficacy of a set of graph metrics and measurements was examined in both unit and plant-wide vulnerability analysis of process plants. We demonstrated that vertex-level closeness and betweenness can be used in the unit vulnerability analysis of process plants for the identification of critical units within a process plant. Furthermore, the graph-level closeness metric can be used in the plant-wide vulnerability analysis for the identification of the most vulnerable plant layout with respect to the escalation of cascading effects. Furthermore, the results from the application of the graph metrics have been verified using a Bayesian network methodology.", "author" : [ { "dropping-particle" : "", "family" : "Khakzad", "given" : "Nima", "non-dropping-particle" : "", "parse-names" : false, "suffix" : "" }, { "dropping-particle" : "", "family" : "Reniers", "given" : "Genserik", "non-dropping-particle" : "", "parse-names" : false, "suffix" : "" } ], "container-title" : "Reliability Engineering &amp; System Safety", "id" : "ITEM-1", "issued" : { "date-parts" : [ [ "2015" ] ] }, "page" : "63-73", "title" : "Using graph theory to analyze the vulnerability of process plants in the context of cascading effects", "type" : "article-journal", "volume" : "143" }, "uris" : [ "http://www.mendeley.com/documents/?uuid=3d468b1c-66f5-43b7-b4d4-1d9c3e673589", "http://www.mendeley.com/documents/?uuid=b763f7eb-6e36-4e6c-9e3b-019185dc5990", "http://www.mendeley.com/documents/?uuid=2300a1cb-a820-4d98-9c6e-ae57a17ed293" ] }, { "id" : "ITEM-2", "itemData" : { "abstract" : "High-impact low-probability (HILP) accident scenarios in industrial sites are raising a growing concern. Domino effect was responsible of several catastrophic accidents that affected the chemical and process industry, as well as critical infrastructures for energy as oil refineries. However, there is still a poor agreement on assessment procedures to address escalation hazard resulting in domino scenarios. The present study presents a review of the work done in the last 30 years in the field, and a critical analysis of available tools and knowledge gaps concerning domino effect assessment. The analysis of scientific publications concerning domino effect in the process industry resulted in a database of more than 60 documents, addressing three main issues: past accident analysis, models for equipment damage, risk assessment and safety management of domino scenarios. The methods, models and tools developed make now possible the quantitative assessment of domino scenarios in risk analysis and in safety management of industrial sites. Nevertheless, a number of open points still remain, where existing tools may be improved and uncertainty may be reduced.", "author" : [ { "dropping-particle" : "", "family" : "Necci", "given" : "Amos", "non-dropping-particle" : "", "parse-names" : false, "suffix" : "" }, { "dropping-particle" : "", "family" : "Cozzani", "given" : "Valerio", "non-dropping-particle" : "", "parse-names" : false, "suffix" : "" }, { "dropping-particle" : "", "family" : "Spadoni", "given" : "Gigliola", "non-dropping-particle" : "", "parse-names" : false, "suffix" : "" }, { "dropping-particle" : "", "family" : "Khan", "given" : "Faisal", "non-dropping-particle" : "", "parse-names" : false, "suffix" : "" } ], "container-title" : "Reliability Engineering &amp; System Safety", "id" : "ITEM-2", "issued" : { "date-parts" : [ [ "2015" ] ] }, "page" : "3-18", "publisher" : "Elsevier", "title" : "Assessment of domino effect: State of the art and research Needs", "type" : "article-journal", "volume" : "143" }, "uris" : [ "http://www.mendeley.com/documents/?uuid=bd541a4a-5c30-46d6-a1ab-d156348c3826" ] } ], "mendeley" : { "formattedCitation" : "(Khakzad and Reniers, 2015; Necci et al., 2015)", "plainTextFormattedCitation" : "(Khakzad and Reniers, 2015; Necci et al., 2015)", "previouslyFormattedCitation" : "(Khakzad and Reniers, 2015; Necci et al., 2015)" }, "properties" : {  }, "schema" : "https://github.com/citation-style-language/schema/raw/master/csl-citation.json" }</w:instrText>
      </w:r>
      <w:r w:rsidR="0019586A" w:rsidRPr="00F716CD">
        <w:fldChar w:fldCharType="separate"/>
      </w:r>
      <w:r w:rsidR="0019586A" w:rsidRPr="00F716CD">
        <w:rPr>
          <w:noProof/>
        </w:rPr>
        <w:t>(Khakzad and Reniers, 2015; Necci et al., 2015)</w:t>
      </w:r>
      <w:r w:rsidR="0019586A" w:rsidRPr="00F716CD">
        <w:fldChar w:fldCharType="end"/>
      </w:r>
      <w:r w:rsidR="0019586A" w:rsidRPr="00F716CD">
        <w:t xml:space="preserve">. </w:t>
      </w:r>
      <w:r w:rsidR="00703BA5">
        <w:t>Those scenarios are</w:t>
      </w:r>
      <w:r w:rsidR="0019586A" w:rsidRPr="00F716CD">
        <w:t xml:space="preserve"> indicated as cascading or domino events</w:t>
      </w:r>
      <w:r w:rsidR="00D42FCE">
        <w:t xml:space="preserve"> </w:t>
      </w:r>
      <w:r w:rsidR="00D42FCE">
        <w:fldChar w:fldCharType="begin" w:fldLock="1"/>
      </w:r>
      <w:r w:rsidR="00D42FCE">
        <w:instrText>ADDIN CSL_CITATION { "citationItems" : [ { "id" : "ITEM-1", "itemData" : { "ISBN" : "978-0-444-54323-3", "author" : [ { "dropping-particle" : "", "family" : "Reniers", "given" : "Genserik", "non-dropping-particle" : "", "parse-names" : false, "suffix" : "" }, { "dropping-particle" : "", "family" : "Cozzani", "given" : "Valerio", "non-dropping-particle" : "", "parse-names" : false, "suffix" : "" } ], "id" : "ITEM-1", "issued" : { "date-parts" : [ [ "2013" ] ] }, "title" : "Domino effects in the process industries - Modelling, prevention and managing", "type" : "book" }, "uris" : [ "http://www.mendeley.com/documents/?uuid=fd9d5f14-09fc-4786-983e-fc1386d84318" ] } ], "mendeley" : { "formattedCitation" : "(Reniers and Cozzani, 2013)", "plainTextFormattedCitation" : "(Reniers and Cozzani, 2013)", "previouslyFormattedCitation" : "(Reniers and Cozzani, 2013)" }, "properties" : {  }, "schema" : "https://github.com/citation-style-language/schema/raw/master/csl-citation.json" }</w:instrText>
      </w:r>
      <w:r w:rsidR="00D42FCE">
        <w:fldChar w:fldCharType="separate"/>
      </w:r>
      <w:r w:rsidR="00D42FCE" w:rsidRPr="00D42FCE">
        <w:rPr>
          <w:noProof/>
        </w:rPr>
        <w:t>(Reniers and Cozzani, 2013)</w:t>
      </w:r>
      <w:r w:rsidR="00D42FCE">
        <w:fldChar w:fldCharType="end"/>
      </w:r>
      <w:r w:rsidR="0019586A" w:rsidRPr="00F716CD">
        <w:t>, and severely affect</w:t>
      </w:r>
      <w:r w:rsidR="00703BA5">
        <w:t>ed</w:t>
      </w:r>
      <w:r w:rsidR="0019586A" w:rsidRPr="00F716CD">
        <w:t xml:space="preserve"> offshore O&amp;G installations</w:t>
      </w:r>
      <w:r w:rsidR="00C85C20">
        <w:t xml:space="preserve"> (e.g. Piper Alpha disaster, July 1988 </w:t>
      </w:r>
      <w:r w:rsidR="00C85C20">
        <w:fldChar w:fldCharType="begin" w:fldLock="1"/>
      </w:r>
      <w:r w:rsidR="00131B8A">
        <w:instrText>ADDIN CSL_CITATION { "citationItems" : [ { "id" : "ITEM-1", "itemData" : { "author" : [ { "dropping-particle" : "", "family" : "Lord Cullen", "given" : "", "non-dropping-particle" : "", "parse-names" : false, "suffix" : "" } ], "editor" : [ { "dropping-particle" : "", "family" : "HMSO Books", "given" : "", "non-dropping-particle" : "", "parse-names" : false, "suffix" : "" } ], "id" : "ITEM-1", "issued" : { "date-parts" : [ [ "1990" ] ] }, "publisher-place" : "London", "title" : "The Public Inquiry into the Piper Alpha Disaster - Volume I and II", "type" : "book" }, "uris" : [ "http://www.mendeley.com/documents/?uuid=c2d6667f-1bc1-478f-85e4-7932df7bf067", "http://www.mendeley.com/documents/?uuid=ecf7b087-dfde-49ee-b153-158b0ba45bea" ] } ], "mendeley" : { "formattedCitation" : "(Lord Cullen, 1990)", "plainTextFormattedCitation" : "(Lord Cullen, 1990)", "previouslyFormattedCitation" : "(Lord Cullen, 1990)" }, "properties" : {  }, "schema" : "https://github.com/citation-style-language/schema/raw/master/csl-citation.json" }</w:instrText>
      </w:r>
      <w:r w:rsidR="00C85C20">
        <w:fldChar w:fldCharType="separate"/>
      </w:r>
      <w:r w:rsidR="00C85C20" w:rsidRPr="00C85C20">
        <w:rPr>
          <w:noProof/>
        </w:rPr>
        <w:t>(Lord Cullen, 1990)</w:t>
      </w:r>
      <w:r w:rsidR="00C85C20">
        <w:fldChar w:fldCharType="end"/>
      </w:r>
      <w:r w:rsidR="00E34625">
        <w:t xml:space="preserve"> and Macondo blowout, April 2010 </w:t>
      </w:r>
      <w:r w:rsidR="00E34625">
        <w:fldChar w:fldCharType="begin" w:fldLock="1"/>
      </w:r>
      <w:r w:rsidR="00131B8A">
        <w:instrText>ADDIN CSL_CITATION { "citationItems" : [ { "id" : "ITEM-1", "itemData" : { "ISBN" : "143793921X", "abstract" : "This is the report of an internal BP incident investigation team. The report does not represent the views of any individual or entity other than the investigation team. The investigation team has produced the report exclusively for and at the request of BP in accordance with its Terms of Reference, and any decision to release the report publicly is the responsibility of BP. It has not been prepared in response to any third party investigation, inquiry or litigation. In preparing this report, the investigation team did not evaluate evidence against legal standards, including but not limited to standards regarding causation, liability, intent and the admissibility of evidence in court or other proceedings. This report is based on the information available to the investigation team during the investigation; availability of additional information might have led to other conclusions or altered the team\u2019s findings and conclusions. At times, the evidence available to the investigation team was contradictory, unclear or uncorroborated. The investigation team did not seek to make credibility determinations in such cases. In evaluating the information available to it, the investigation team used its best judgment but recognizes that others could reach different conclusions or ascribe different weight to particular information. In the course of the investigation, members of the team conducted interviews, and this report draws upon the team members\u2019 understanding of those interviews. The investigation team did not record or produce verbatim transcripts of any interviews, nor did the team ask interviewees to review or endorse the notes taken by the interview team members. There were at least two team members present during each interview and, in utilizing information gathered from interviews, the team has taken into account the presence or absence of corroborating or conflicting evidence from other sources. The report should be read as a whole, and individual passages should be viewed in the context of the entire report. Discussion or analysis that is based, to any extent, on work carried out by third parties\u2014for example, on laboratory or consultant reports commissioned by the investigation team (refer to the appendices of this report)\u2014is subject to the same qualifications or limitations to which that work was subject. Graphics are occasionally used to depict information and scenarios; these may be simplified or not to scale and are intended only as an aid to the re\u2026", "author" : [ { "dropping-particle" : "", "family" : "BP", "given" : "", "non-dropping-particle" : "", "parse-names" : false, "suffix" : "" } ], "container-title" : "Internal BP Report", "id" : "ITEM-1", "issued" : { "date-parts" : [ [ "2010" ] ] }, "number-of-pages" : "1-192", "title" : "Deepwater Horizon Accident Investigation Report", "type" : "report" }, "uris" : [ "http://www.mendeley.com/documents/?uuid=6cd2e89d-9c3f-41bf-ba20-51af5d9466a2" ] } ], "mendeley" : { "formattedCitation" : "(BP, 2010)", "plainTextFormattedCitation" : "(BP, 2010)", "previouslyFormattedCitation" : "(BP, 2010)" }, "properties" : {  }, "schema" : "https://github.com/citation-style-language/schema/raw/master/csl-citation.json" }</w:instrText>
      </w:r>
      <w:r w:rsidR="00E34625">
        <w:fldChar w:fldCharType="separate"/>
      </w:r>
      <w:r w:rsidR="00E34625" w:rsidRPr="00E34625">
        <w:rPr>
          <w:noProof/>
        </w:rPr>
        <w:t>(BP, 2010)</w:t>
      </w:r>
      <w:r w:rsidR="00E34625">
        <w:fldChar w:fldCharType="end"/>
      </w:r>
      <w:r w:rsidR="00C85C20">
        <w:t>)</w:t>
      </w:r>
      <w:r w:rsidR="0019586A" w:rsidRPr="00F716CD">
        <w:t xml:space="preserve"> and, more in general, the process industry </w:t>
      </w:r>
      <w:r w:rsidR="0019586A" w:rsidRPr="00F716CD">
        <w:fldChar w:fldCharType="begin" w:fldLock="1"/>
      </w:r>
      <w:r w:rsidR="00131B8A">
        <w:instrText>ADDIN CSL_CITATION { "citationItems" : [ { "id" : "ITEM-1", "itemData" : { "author" : [ { "dropping-particle" : "", "family" : "Cozzani", "given" : "V", "non-dropping-particle" : "", "parse-names" : false, "suffix" : "" }, { "dropping-particle" : "", "family" : "Reniers", "given" : "G", "non-dropping-particle" : "", "parse-names" : false, "suffix" : "" } ], "container-title" : "Domino Effects in the Process Industries: Modelling, Prevention and Managing", "editor" : [ { "dropping-particle" : "", "family" : "Reniers", "given" : "Genserik L. L.", "non-dropping-particle" : "", "parse-names" : false, "suffix" : "" }, { "dropping-particle" : "", "family" : "Valerio", "given" : "", "non-dropping-particle" : "", "parse-names" : false, "suffix" : "" }, { "dropping-particle" : "", "family" : "Cozzani", "given" : "", "non-dropping-particle" : "", "parse-names" : false, "suffix" : "" } ], "id" : "ITEM-1", "issued" : { "date-parts" : [ [ "2013" ] ] }, "page" : "1-10", "publisher" : "Elsevier", "publisher-place" : "Amsterdam, The Netherlands", "title" : "Historical Background and State of the Art on Domino Effect Assessment", "type" : "chapter" }, "uris" : [ "http://www.mendeley.com/documents/?uuid=8e0a6dea-9450-41c9-875f-761230cea79f" ] } ], "mendeley" : { "formattedCitation" : "(Cozzani and Reniers, 2013)", "plainTextFormattedCitation" : "(Cozzani and Reniers, 2013)", "previouslyFormattedCitation" : "(Cozzani and Reniers, 2013)" }, "properties" : {  }, "schema" : "https://github.com/citation-style-language/schema/raw/master/csl-citation.json" }</w:instrText>
      </w:r>
      <w:r w:rsidR="0019586A" w:rsidRPr="00F716CD">
        <w:fldChar w:fldCharType="separate"/>
      </w:r>
      <w:r w:rsidR="0019586A" w:rsidRPr="00F716CD">
        <w:rPr>
          <w:noProof/>
        </w:rPr>
        <w:t>(Cozzani and Reniers, 2013)</w:t>
      </w:r>
      <w:r w:rsidR="0019586A" w:rsidRPr="00F716CD">
        <w:fldChar w:fldCharType="end"/>
      </w:r>
      <w:r w:rsidR="0019586A" w:rsidRPr="00F716CD">
        <w:t xml:space="preserve">. </w:t>
      </w:r>
    </w:p>
    <w:p w14:paraId="66EDFA1D" w14:textId="77777777" w:rsidR="002C588A" w:rsidRDefault="009918E6">
      <w:pPr>
        <w:rPr>
          <w:lang w:val="en-US"/>
        </w:rPr>
      </w:pPr>
      <w:r w:rsidRPr="009918E6">
        <w:t>In the last decades, the h</w:t>
      </w:r>
      <w:r w:rsidR="00601EC7" w:rsidRPr="009918E6">
        <w:t>azards posed by cascadin</w:t>
      </w:r>
      <w:r w:rsidRPr="009918E6">
        <w:t xml:space="preserve">g events inspired the development of different approaches aimed at accounting this event in risk analysis and management </w:t>
      </w:r>
      <w:r w:rsidRPr="009918E6">
        <w:fldChar w:fldCharType="begin" w:fldLock="1"/>
      </w:r>
      <w:r w:rsidR="00131B8A">
        <w:instrText>ADDIN CSL_CITATION { "citationItems" : [ { "id" : "ITEM-1", "itemData" : { "author" : [ { "dropping-particle" : "", "family" : "Bagster", "given" : "D F", "non-dropping-particle" : "", "parse-names" : false, "suffix" : "" }, { "dropping-particle" : "", "family" : "Pitblado", "given" : "Robin", "non-dropping-particle" : "", "parse-names" : false, "suffix" : "" } ], "container-title" : "Process Safety and Environmental Protection", "id" : "ITEM-1", "issue" : "November 1991", "issued" : { "date-parts" : [ [ "1991" ] ] }, "page" : "195-199", "title" : "The Estimation of Domino Incident Frequencies \u2014 An Approach", "type" : "article-journal" }, "uris" : [ "http://www.mendeley.com/documents/?uuid=254c6c3e-611e-4760-b251-61cc95a39172", "http://www.mendeley.com/documents/?uuid=9c1ee896-e0b1-4b6a-9e28-a53b4a15439b", "http://www.mendeley.com/documents/?uuid=c1cf4948-979e-4203-aa95-2b0d4fc20c8c" ] }, { "id" : "ITEM-2", "itemData" : { "DOI" : "10.1016/j.jhazmat.2005.07.003", "author" : [ { "dropping-particle" : "", "family" : "Cozzani", "given" : "Valerio", "non-dropping-particle" : "", "parse-names" : false, "suffix" : "" }, { "dropping-particle" : "", "family" : "Gubinelli", "given" : "Gianfilippo", "non-dropping-particle" : "", "parse-names" : false, "suffix" : "" }, { "dropping-particle" : "", "family" : "Antonioni", "given" : "Giacomo", "non-dropping-particle" : "", "parse-names" : false, "suffix" : "" }, { "dropping-particle" : "", "family" : "Spadoni", "given" : "Gigliola", "non-dropping-particle" : "", "parse-names" : false, "suffix" : "" }, { "dropping-particle" : "", "family" : "Zanelli", "given" : "Severino", "non-dropping-particle" : "", "parse-names" : false, "suffix" : "" } ], "container-title" : "Journal of Hazardous Materials", "id" : "ITEM-2", "issued" : { "date-parts" : [ [ "2005" ] ] }, "page" : "14-30", "title" : "The assessment of risk caused by domino effect in quantitative area risk analysis", "type" : "article-journal", "volume" : "127" }, "uris" : [ "http://www.mendeley.com/documents/?uuid=eda151dc-5f9c-4c72-bb73-56bea774a1a8", "http://www.mendeley.com/documents/?uuid=a09366f0-2d88-4ffb-b77b-93b78a7bc8a8", "http://www.mendeley.com/documents/?uuid=04e75411-2bc6-4d6d-8787-00453812989f" ] }, { "id" : "ITEM-3", "itemData" : { "author" : [ { "dropping-particle" : "", "family" : "Gledhill", "given" : "John", "non-dropping-particle" : "", "parse-names" : false, "suffix" : "" }, { "dropping-particle" : "", "family" : "Lines", "given" : "Ian", "non-dropping-particle" : "", "parse-names" : false, "suffix" : "" } ], "id" : "ITEM-3", "issued" : { "date-parts" : [ [ "1998" ] ] }, "title" : "Development of methods to assess the significance of domino effects from major hazards sites", "type" : "report" }, "uris" : [ "http://www.mendeley.com/documents/?uuid=9456b816-9626-447a-84ca-637cb25223ed", "http://www.mendeley.com/documents/?uuid=1aa03ed1-13f0-4191-b3b2-a95894f58072", "http://www.mendeley.com/documents/?uuid=22727264-9d2b-408a-a0c3-c7de667b855c" ] } ], "mendeley" : { "formattedCitation" : "(Bagster and Pitblado, 1991; Cozzani et al., 2005; Gledhill and Lines, 1998)", "plainTextFormattedCitation" : "(Bagster and Pitblado, 1991; Cozzani et al., 2005; Gledhill and Lines, 1998)", "previouslyFormattedCitation" : "(Bagster and Pitblado, 1991; Cozzani et al., 2005; Gledhill and Lines, 1998)" }, "properties" : {  }, "schema" : "https://github.com/citation-style-language/schema/raw/master/csl-citation.json" }</w:instrText>
      </w:r>
      <w:r w:rsidRPr="009918E6">
        <w:fldChar w:fldCharType="separate"/>
      </w:r>
      <w:r w:rsidR="007E44CF" w:rsidRPr="007E44CF">
        <w:rPr>
          <w:noProof/>
          <w:lang w:val="en-US"/>
        </w:rPr>
        <w:t>(Bagster and Pitblado, 1991; Cozzani et al., 2005; Gledhill and Lines, 1998)</w:t>
      </w:r>
      <w:r w:rsidRPr="009918E6">
        <w:fldChar w:fldCharType="end"/>
      </w:r>
      <w:r w:rsidRPr="00F716CD">
        <w:rPr>
          <w:lang w:val="en-US"/>
        </w:rPr>
        <w:t xml:space="preserve">. </w:t>
      </w:r>
      <w:r w:rsidR="00B75CD0" w:rsidRPr="00F716CD">
        <w:t xml:space="preserve">More recent approaches proposed for </w:t>
      </w:r>
      <w:r w:rsidR="00B75CD0">
        <w:t>cascading events triggered by fire</w:t>
      </w:r>
      <w:r w:rsidR="00B75CD0" w:rsidRPr="00F716CD">
        <w:t xml:space="preserve"> assessment included Monte Carlo simulations </w:t>
      </w:r>
      <w:r w:rsidR="00B75CD0" w:rsidRPr="00F716CD">
        <w:fldChar w:fldCharType="begin" w:fldLock="1"/>
      </w:r>
      <w:r w:rsidR="00131B8A">
        <w:instrText>ADDIN CSL_CITATION { "citationItems" : [ { "id" : "ITEM-1", "itemData" : { "author" : [ { "dropping-particle" : "", "family" : "Abdolhamidzadeh", "given" : "B", "non-dropping-particle" : "", "parse-names" : false, "suffix" : "" }, { "dropping-particle" : "", "family" : "Abbasi", "given" : "T", "non-dropping-particle" : "", "parse-names" : false, "suffix" : "" }, { "dropping-particle" : "", "family" : "Rashtchian", "given" : "D", "non-dropping-particle" : "", "parse-names" : false, "suffix" : "" }, { "dropping-particle" : "", "family" : "Abbasi", "given" : "S A", "non-dropping-particle" : "", "parse-names" : false, "suffix" : "" } ], "container-title" : "Journal of Hazardous Materials", "id" : "ITEM-1", "issue" : "1-3", "issued" : { "date-parts" : [ [ "2010" ] ] }, "page" : "416-426", "title" : "A new method for assessing domino effect in chemical process industry", "type" : "article-journal", "volume" : "182" }, "uris" : [ "http://www.mendeley.com/documents/?uuid=fc1306b9-8379-4723-bb31-5f426d6368cb", "http://www.mendeley.com/documents/?uuid=c62db5e8-6f35-4eb5-9a5a-fe9da5a25cfc", "http://www.mendeley.com/documents/?uuid=edf3e279-17b6-456b-8905-6a9d5a771f21" ] } ], "mendeley" : { "formattedCitation" : "(Abdolhamidzadeh et al., 2010)", "plainTextFormattedCitation" : "(Abdolhamidzadeh et al., 2010)", "previouslyFormattedCitation" : "(Abdolhamidzadeh et al., 2010)" }, "properties" : {  }, "schema" : "https://github.com/citation-style-language/schema/raw/master/csl-citation.json" }</w:instrText>
      </w:r>
      <w:r w:rsidR="00B75CD0" w:rsidRPr="00F716CD">
        <w:fldChar w:fldCharType="separate"/>
      </w:r>
      <w:r w:rsidR="00B75CD0" w:rsidRPr="00F716CD">
        <w:rPr>
          <w:noProof/>
        </w:rPr>
        <w:t>(Abdolhamidzadeh et al., 2010)</w:t>
      </w:r>
      <w:r w:rsidR="00B75CD0" w:rsidRPr="00F716CD">
        <w:fldChar w:fldCharType="end"/>
      </w:r>
      <w:r w:rsidR="00B75CD0" w:rsidRPr="00F716CD">
        <w:t xml:space="preserve">, simplified risk indexes </w:t>
      </w:r>
      <w:r w:rsidR="00B75CD0" w:rsidRPr="00F716CD">
        <w:fldChar w:fldCharType="begin" w:fldLock="1"/>
      </w:r>
      <w:r w:rsidR="00131B8A">
        <w:instrText>ADDIN CSL_CITATION { "citationItems" : [ { "id" : "ITEM-1", "itemData" : { "author" : [ { "dropping-particle" : "", "family" : "Cozzani", "given" : "Valerio", "non-dropping-particle" : "", "parse-names" : false, "suffix" : "" }, { "dropping-particle" : "", "family" : "Tugnoli", "given" : "Alessandro", "non-dropping-particle" : "", "parse-names" : false, "suffix" : "" }, { "dropping-particle" : "", "family" : "Salzano", "given" : "Ernesto", "non-dropping-particle" : "", "parse-names" : false, "suffix" : "" } ], "container-title" : "Accident Analysis and Prevention", "id" : "ITEM-1", "issued" : { "date-parts" : [ [ "2009" ] ] }, "page" : "1216-27", "title" : "The development of an inherent safety approach to the prevention of domino accidents", "type" : "article-journal", "volume" : "41" }, "uris" : [ "http://www.mendeley.com/documents/?uuid=17b18522-3aff-4b25-9f86-59d186068137" ] }, { "id" : "ITEM-2", "itemData" : { "author" : [ { "dropping-particle" : "", "family" : "Zhang", "given" : "X.-M.", "non-dropping-particle" : "", "parse-names" : false, "suffix" : "" }, { "dropping-particle" : "", "family" : "Chen", "given" : "G.-H.", "non-dropping-particle" : "", "parse-names" : false, "suffix" : "" } ], "container-title" : "Safety Science", "id" : "ITEM-2", "issue" : "3", "issued" : { "date-parts" : [ [ "2011" ] ] }, "page" : "463-467", "title" : "Modeling and algorithm of domino effect in chemical industrial parks using discrete isolated island method", "type" : "article-journal", "volume" : "49" }, "uris" : [ "http://www.mendeley.com/documents/?uuid=4cc8bee6-bf83-46df-bd8f-020ea9ff749c", "http://www.mendeley.com/documents/?uuid=947d61d8-dbf5-4022-9a34-23653eaeb287", "http://www.mendeley.com/documents/?uuid=2b663eee-31e2-407a-8a59-7ac05a3fbbc3" ] } ], "mendeley" : { "formattedCitation" : "(Cozzani et al., 2009; Zhang and Chen, 2011)", "plainTextFormattedCitation" : "(Cozzani et al., 2009; Zhang and Chen, 2011)", "previouslyFormattedCitation" : "(Cozzani et al., 2009; Zhang and Chen, 2011)" }, "properties" : {  }, "schema" : "https://github.com/citation-style-language/schema/raw/master/csl-citation.json" }</w:instrText>
      </w:r>
      <w:r w:rsidR="00B75CD0" w:rsidRPr="00F716CD">
        <w:fldChar w:fldCharType="separate"/>
      </w:r>
      <w:r w:rsidR="0042436B" w:rsidRPr="0042436B">
        <w:rPr>
          <w:noProof/>
        </w:rPr>
        <w:t>(Cozzani et al., 2009; Zhang and Chen, 2011)</w:t>
      </w:r>
      <w:r w:rsidR="00B75CD0" w:rsidRPr="00F716CD">
        <w:fldChar w:fldCharType="end"/>
      </w:r>
      <w:r w:rsidR="00B75CD0" w:rsidRPr="00F716CD">
        <w:t xml:space="preserve"> and tools based on Bayesian networks </w:t>
      </w:r>
      <w:r w:rsidR="00B75CD0" w:rsidRPr="00F716CD">
        <w:fldChar w:fldCharType="begin" w:fldLock="1"/>
      </w:r>
      <w:r w:rsidR="00131B8A">
        <w:instrText>ADDIN CSL_CITATION { "citationItems" : [ { "id" : "ITEM-1", "itemData" : { "ISSN" : "02724332", "PMID" : "22681862", "abstract" : "A new methodology is introduced based on Bayesian network both to model domino effect propagation patterns and to estimate the domino effect probability at different levels. The flexible structure and the unique modeling techniques offered by Bayesian network make it possible to analyze domino effects through a probabilistic framework, considering synergistic effects, noisy probabilities, and common cause failures. Further, the uncertainties and the complex interactions among the domino effect components are captured using Bayesian network. The probabilities of events are updated in the light of new information, and the most probable path of the domino effect is determined on the basis of the new data gathered. This study shows how probability updating helps to update the domino effect model either qualitatively or quantitatively. The methodology is applied to a hypothetical example and also to an earlier-studied case study. These examples accentuate the effectiveness of Bayesian network in modeling domino effects in processing facility.", "author" : [ { "dropping-particle" : "", "family" : "Khakzad", "given" : "Nima", "non-dropping-particle" : "", "parse-names" : false, "suffix" : "" }, { "dropping-particle" : "", "family" : "Khan", "given" : "Faisal", "non-dropping-particle" : "", "parse-names" : false, "suffix" : "" }, { "dropping-particle" : "", "family" : "Amyotte", "given" : "Paul", "non-dropping-particle" : "", "parse-names" : false, "suffix" : "" }, { "dropping-particle" : "", "family" : "Cozzani", "given" : "Valerio", "non-dropping-particle" : "", "parse-names" : false, "suffix" : "" } ], "container-title" : "Risk Analysis", "id" : "ITEM-1", "issue" : "2", "issued" : { "date-parts" : [ [ "2013" ] ] }, "page" : "292-306", "title" : "Domino Effect Analysis Using Bayesian Networks", "type" : "article-journal", "volume" : "33" }, "uris" : [ "http://www.mendeley.com/documents/?uuid=977ac592-a7fb-4cd3-8874-d08404b1b678" ] } ], "mendeley" : { "formattedCitation" : "(Khakzad et al., 2013)", "plainTextFormattedCitation" : "(Khakzad et al., 2013)", "previouslyFormattedCitation" : "(Khakzad et al., 2013)" }, "properties" : {  }, "schema" : "https://github.com/citation-style-language/schema/raw/master/csl-citation.json" }</w:instrText>
      </w:r>
      <w:r w:rsidR="00B75CD0" w:rsidRPr="00F716CD">
        <w:fldChar w:fldCharType="separate"/>
      </w:r>
      <w:r w:rsidR="00B75CD0" w:rsidRPr="00F716CD">
        <w:rPr>
          <w:noProof/>
        </w:rPr>
        <w:t>(Khakzad et al., 2013)</w:t>
      </w:r>
      <w:r w:rsidR="00B75CD0" w:rsidRPr="00F716CD">
        <w:fldChar w:fldCharType="end"/>
      </w:r>
      <w:r w:rsidR="00B75CD0" w:rsidRPr="00F716CD">
        <w:t xml:space="preserve">, </w:t>
      </w:r>
      <w:r w:rsidR="00B75CD0">
        <w:t>eventually</w:t>
      </w:r>
      <w:r w:rsidR="00B75CD0" w:rsidRPr="00F716CD">
        <w:t xml:space="preserve"> accounting for </w:t>
      </w:r>
      <w:r w:rsidR="00B75CD0">
        <w:t xml:space="preserve">analysis </w:t>
      </w:r>
      <w:r w:rsidR="00C96970">
        <w:t xml:space="preserve">of </w:t>
      </w:r>
      <w:r w:rsidR="00B75CD0" w:rsidRPr="00F716CD">
        <w:t>safety barrier performance</w:t>
      </w:r>
      <w:r w:rsidR="00B75CD0">
        <w:t xml:space="preserve"> </w:t>
      </w:r>
      <w:r w:rsidR="00B75CD0">
        <w:fldChar w:fldCharType="begin" w:fldLock="1"/>
      </w:r>
      <w:r w:rsidR="00131B8A">
        <w:instrText>ADDIN CSL_CITATION { "citationItems" : [ { "id" : "ITEM-1", "itemData" : { "author" : [ { "dropping-particle" : "", "family" : "Khakzad", "given" : "N", "non-dropping-particle" : "", "parse-names" : false, "suffix" : "" }, { "dropping-particle" : "", "family" : "Landucci", "given" : "Gabriele", "non-dropping-particle" : "", "parse-names" : false, "suffix" : "" }, { "dropping-particle" : "", "family" : "Reniers", "given" : "G", "non-dropping-particle" : "", "parse-names" : false, "suffix" : "" } ], "container-title" : "Reliability Engineering and System Safety", "id" : "ITEM-1", "issued" : { "date-parts" : [ [ "2017" ] ] }, "page" : "232-247", "title" : "Application of dynamic Bayesian network to performance assessment of fire protection systems during domino effects", "type" : "article-journal", "volume" : "167" }, "uris" : [ "http://www.mendeley.com/documents/?uuid=5160aa95-dc98-4bb1-a21d-64af41eae1f8", "http://www.mendeley.com/documents/?uuid=b3e1ba4b-9dfc-41c9-b0ad-8453d2e20b51", "http://www.mendeley.com/documents/?uuid=a2083d3d-f0da-4036-950a-e18825c5cfdb" ] } ], "mendeley" : { "formattedCitation" : "(Khakzad et al., 2017)", "plainTextFormattedCitation" : "(Khakzad et al., 2017)", "previouslyFormattedCitation" : "(Khakzad et al., 2017)" }, "properties" : {  }, "schema" : "https://github.com/citation-style-language/schema/raw/master/csl-citation.json" }</w:instrText>
      </w:r>
      <w:r w:rsidR="00B75CD0">
        <w:fldChar w:fldCharType="separate"/>
      </w:r>
      <w:r w:rsidR="00B75CD0" w:rsidRPr="00B75CD0">
        <w:rPr>
          <w:noProof/>
        </w:rPr>
        <w:t>(Khakzad et al., 2017)</w:t>
      </w:r>
      <w:r w:rsidR="00B75CD0">
        <w:fldChar w:fldCharType="end"/>
      </w:r>
      <w:r w:rsidR="00B75CD0" w:rsidRPr="00F716CD">
        <w:t>.</w:t>
      </w:r>
      <w:r w:rsidR="00A15B9C">
        <w:t xml:space="preserve"> However, none of the mentioned approaches </w:t>
      </w:r>
      <w:r w:rsidR="009E6D4F">
        <w:t xml:space="preserve">addresses </w:t>
      </w:r>
      <w:r w:rsidR="00A15B9C">
        <w:t xml:space="preserve">the influence of </w:t>
      </w:r>
      <w:r w:rsidR="00A15B9C" w:rsidRPr="009918E6">
        <w:rPr>
          <w:lang w:val="en-US"/>
        </w:rPr>
        <w:t>harsh environmental conditions</w:t>
      </w:r>
      <w:r w:rsidR="00A15B9C">
        <w:rPr>
          <w:lang w:val="en-US"/>
        </w:rPr>
        <w:t xml:space="preserve"> on </w:t>
      </w:r>
      <w:r w:rsidR="002C588A">
        <w:rPr>
          <w:lang w:val="en-US"/>
        </w:rPr>
        <w:t>risk evaluation and possible prevention or mitigation associated with the performance of safety barriers.</w:t>
      </w:r>
    </w:p>
    <w:p w14:paraId="52A11FDF" w14:textId="77777777" w:rsidR="007F74E1" w:rsidRDefault="002C588A" w:rsidP="00E322F0">
      <w:pPr>
        <w:rPr>
          <w:lang w:val="en-US"/>
        </w:rPr>
      </w:pPr>
      <w:r>
        <w:rPr>
          <w:lang w:val="en-US"/>
        </w:rPr>
        <w:t xml:space="preserve">A preliminary attempt to analyze cascading events triggered by fire in harsh environmental conditions </w:t>
      </w:r>
      <w:r w:rsidR="007A4FD8">
        <w:rPr>
          <w:lang w:val="en-US"/>
        </w:rPr>
        <w:t xml:space="preserve">was developed by </w:t>
      </w:r>
      <w:r w:rsidR="007A4FD8">
        <w:rPr>
          <w:lang w:val="en-US"/>
        </w:rPr>
        <w:fldChar w:fldCharType="begin" w:fldLock="1"/>
      </w:r>
      <w:r w:rsidR="00131B8A">
        <w:rPr>
          <w:lang w:val="en-US"/>
        </w:rPr>
        <w:instrText>ADDIN CSL_CITATION { "citationItems" : [ { "id" : "ITEM-1", "itemData" : { "DOI" : "10.1016/j.ssci.2016.12.019", "ISSN" : "0925-7535", "author" : [ { "dropping-particle" : "", "family" : "Landucci", "given" : "Gabriele", "non-dropping-particle" : "", "parse-names" : false, "suffix" : "" }, { "dropping-particle" : "", "family" : "Bonvicini", "given" : "Sarah", "non-dropping-particle" : "", "parse-names" : false, "suffix" : "" }, { "dropping-particle" : "", "family" : "Cozzani", "given" : "Valerio", "non-dropping-particle" : "", "parse-names" : false, "suffix" : "" } ], "container-title" : "Safety Science", "id" : "ITEM-1", "issued" : { "date-parts" : [ [ "2017" ] ] }, "page" : "182-197", "publisher" : "Elsevier Ltd", "title" : "A methodology for the analysis of domino and cascading events in Oil &amp; Gas facilities operating in harsh environments", "type" : "article-journal", "volume" : "95" }, "uris" : [ "http://www.mendeley.com/documents/?uuid=6b99d480-36ec-4354-86af-649fdd5a1528" ] } ], "mendeley" : { "formattedCitation" : "(Gabriele Landucci et al., 2017)", "manualFormatting" : "Landucci et al. (2017)", "plainTextFormattedCitation" : "(Gabriele Landucci et al., 2017)", "previouslyFormattedCitation" : "(Gabriele Landucci et al., 2017)" }, "properties" : {  }, "schema" : "https://github.com/citation-style-language/schema/raw/master/csl-citation.json" }</w:instrText>
      </w:r>
      <w:r w:rsidR="007A4FD8">
        <w:rPr>
          <w:lang w:val="en-US"/>
        </w:rPr>
        <w:fldChar w:fldCharType="separate"/>
      </w:r>
      <w:r w:rsidR="007A4FD8" w:rsidRPr="007A4FD8">
        <w:rPr>
          <w:noProof/>
          <w:lang w:val="en-US"/>
        </w:rPr>
        <w:t>Landucci et al</w:t>
      </w:r>
      <w:r w:rsidR="0045030B" w:rsidRPr="007A4FD8">
        <w:rPr>
          <w:noProof/>
          <w:lang w:val="en-US"/>
        </w:rPr>
        <w:t>.</w:t>
      </w:r>
      <w:r w:rsidR="0045030B">
        <w:rPr>
          <w:noProof/>
          <w:lang w:val="en-US"/>
        </w:rPr>
        <w:t xml:space="preserve"> (</w:t>
      </w:r>
      <w:r w:rsidR="007A4FD8" w:rsidRPr="007A4FD8">
        <w:rPr>
          <w:noProof/>
          <w:lang w:val="en-US"/>
        </w:rPr>
        <w:t>2017)</w:t>
      </w:r>
      <w:r w:rsidR="007A4FD8">
        <w:rPr>
          <w:lang w:val="en-US"/>
        </w:rPr>
        <w:fldChar w:fldCharType="end"/>
      </w:r>
      <w:r w:rsidR="00725CB4">
        <w:rPr>
          <w:lang w:val="en-US"/>
        </w:rPr>
        <w:t>. The authors</w:t>
      </w:r>
      <w:r w:rsidR="00C2633C">
        <w:rPr>
          <w:lang w:val="en-US"/>
        </w:rPr>
        <w:t xml:space="preserve"> improved a methodology for the quantitative assessment of safety barriers based on event tree analysis </w:t>
      </w:r>
      <w:r w:rsidR="00C2633C">
        <w:rPr>
          <w:lang w:val="en-US"/>
        </w:rPr>
        <w:fldChar w:fldCharType="begin" w:fldLock="1"/>
      </w:r>
      <w:r w:rsidR="00131B8A">
        <w:rPr>
          <w:lang w:val="en-US"/>
        </w:rPr>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"id" : "ITEM-2", "itemData" : { "DOI" : "10.1016/j.jlp.2016.03.006", "author" : [ { "dropping-particle" : "", "family" : "Landucci", "given" : "Gabriele", "non-dropping-particle" : "", "parse-names" : false, "suffix" : "" }, { "dropping-particle" : "", "family" : "Argenti", "given" : "F.", "non-dropping-particle" : "", "parse-names" : false, "suffix" : "" }, { "dropping-particle" : "", "family" : "Spadoni", "given" : "G.", "non-dropping-particle" : "", "parse-names" : false, "suffix" : "" }, { "dropping-particle" : "", "family" : "Cozzani", "given" : "V.", "non-dropping-particle" : "", "parse-names" : false, "suffix" : "" } ], "container-title" : "Journal of Loss Prevention in the Process Industries", "id" : "ITEM-2", "issue" : "(article in press)", "issued" : { "date-parts" : [ [ "2016" ] ] }, "title" : "Domino effect frequency assessment: the role of safety barriers", "type" : "article-journal" }, "uris" : [ "http://www.mendeley.com/documents/?uuid=c6273684-ee86-4f79-97fa-16b86a987b97", "http://www.mendeley.com/documents/?uuid=3e157bee-5f5c-41d7-b248-0f2e618d7ab7", "http://www.mendeley.com/documents/?uuid=3016e549-bef0-4cdc-b3e3-5273fcd3b006" ] } ], "mendeley" : { "formattedCitation" : "(Landucci et al., 2016, 2015)", "plainTextFormattedCitation" : "(Landucci et al., 2016, 2015)", "previouslyFormattedCitation" : "(Landucci et al., 2016, 2015)" }, "properties" : {  }, "schema" : "https://github.com/citation-style-language/schema/raw/master/csl-citation.json" }</w:instrText>
      </w:r>
      <w:r w:rsidR="00C2633C">
        <w:rPr>
          <w:lang w:val="en-US"/>
        </w:rPr>
        <w:fldChar w:fldCharType="separate"/>
      </w:r>
      <w:r w:rsidR="00CB3B1F" w:rsidRPr="00CB3B1F">
        <w:rPr>
          <w:noProof/>
          <w:lang w:val="en-US"/>
        </w:rPr>
        <w:t>(Landucci et al., 2016, 2015)</w:t>
      </w:r>
      <w:r w:rsidR="00C2633C">
        <w:rPr>
          <w:lang w:val="en-US"/>
        </w:rPr>
        <w:fldChar w:fldCharType="end"/>
      </w:r>
      <w:r w:rsidR="00725CB4">
        <w:rPr>
          <w:lang w:val="en-US"/>
        </w:rPr>
        <w:t xml:space="preserve"> </w:t>
      </w:r>
      <w:r w:rsidR="009831F8">
        <w:rPr>
          <w:lang w:val="en-US"/>
        </w:rPr>
        <w:t>introducing the analysis of environmental effect on the performance of safety barriers, accounting for external factors such as cold weather, extreme snow, wind or other meteorological conditions.</w:t>
      </w:r>
      <w:r w:rsidR="00105D11">
        <w:rPr>
          <w:lang w:val="en-US"/>
        </w:rPr>
        <w:t xml:space="preserve"> However, the approach was </w:t>
      </w:r>
      <w:r w:rsidR="007E7FE7">
        <w:rPr>
          <w:lang w:val="en-US"/>
        </w:rPr>
        <w:t>primarily</w:t>
      </w:r>
      <w:r w:rsidR="00105D11">
        <w:rPr>
          <w:lang w:val="en-US"/>
        </w:rPr>
        <w:t xml:space="preserve"> </w:t>
      </w:r>
      <w:r w:rsidR="00F716CD">
        <w:rPr>
          <w:lang w:val="en-US"/>
        </w:rPr>
        <w:t>focused on the</w:t>
      </w:r>
      <w:r w:rsidR="00105D11">
        <w:rPr>
          <w:lang w:val="en-US"/>
        </w:rPr>
        <w:t xml:space="preserve"> assessment of </w:t>
      </w:r>
      <w:r w:rsidR="00F716CD">
        <w:rPr>
          <w:lang w:val="en-US"/>
        </w:rPr>
        <w:t xml:space="preserve">cascading event risk for </w:t>
      </w:r>
      <w:r w:rsidR="00105D11">
        <w:rPr>
          <w:lang w:val="en-US"/>
        </w:rPr>
        <w:t xml:space="preserve">onshore facilities, without specific and detailed analysis to the peculiar aspects of emergency </w:t>
      </w:r>
      <w:r w:rsidR="007F74E1">
        <w:rPr>
          <w:lang w:val="en-US"/>
        </w:rPr>
        <w:t xml:space="preserve">rescue and </w:t>
      </w:r>
      <w:r w:rsidR="00105D11">
        <w:rPr>
          <w:lang w:val="en-US"/>
        </w:rPr>
        <w:t>response</w:t>
      </w:r>
      <w:r w:rsidR="0092712D">
        <w:rPr>
          <w:lang w:val="en-US"/>
        </w:rPr>
        <w:t xml:space="preserve"> </w:t>
      </w:r>
      <w:r w:rsidR="00105D11">
        <w:rPr>
          <w:lang w:val="en-US"/>
        </w:rPr>
        <w:t>in O&amp;G offshore installation</w:t>
      </w:r>
      <w:r w:rsidR="007F74E1">
        <w:rPr>
          <w:lang w:val="en-US"/>
        </w:rPr>
        <w:t xml:space="preserve">s. </w:t>
      </w:r>
    </w:p>
    <w:p w14:paraId="0A509916" w14:textId="77777777" w:rsidR="00E144D3" w:rsidRDefault="00217149" w:rsidP="007C49D5">
      <w:pPr>
        <w:rPr>
          <w:lang w:val="en-US"/>
        </w:rPr>
      </w:pPr>
      <w:r w:rsidRPr="00377897">
        <w:rPr>
          <w:lang w:val="en-US"/>
        </w:rPr>
        <w:t>Therefore, t</w:t>
      </w:r>
      <w:r w:rsidR="009918E6" w:rsidRPr="00377897">
        <w:rPr>
          <w:lang w:val="en-US"/>
        </w:rPr>
        <w:t>he</w:t>
      </w:r>
      <w:r w:rsidR="00E322F0" w:rsidRPr="00377897">
        <w:rPr>
          <w:lang w:val="en-US"/>
        </w:rPr>
        <w:t xml:space="preserve"> present work addresses the</w:t>
      </w:r>
      <w:r w:rsidR="009918E6" w:rsidRPr="00377897">
        <w:rPr>
          <w:lang w:val="en-US"/>
        </w:rPr>
        <w:t xml:space="preserve"> </w:t>
      </w:r>
      <w:r w:rsidRPr="00377897">
        <w:rPr>
          <w:lang w:val="en-US"/>
        </w:rPr>
        <w:t>need</w:t>
      </w:r>
      <w:r w:rsidRPr="00377897">
        <w:t xml:space="preserve"> </w:t>
      </w:r>
      <w:r w:rsidR="00C96970">
        <w:t>for</w:t>
      </w:r>
      <w:r w:rsidR="00C96970" w:rsidRPr="00377897">
        <w:t xml:space="preserve"> </w:t>
      </w:r>
      <w:r w:rsidR="009918E6" w:rsidRPr="00377897">
        <w:t xml:space="preserve">a </w:t>
      </w:r>
      <w:r w:rsidR="00601EC7" w:rsidRPr="00377897">
        <w:t xml:space="preserve">systematic framework for </w:t>
      </w:r>
      <w:r w:rsidR="00FF3049">
        <w:t xml:space="preserve">risk analysis of </w:t>
      </w:r>
      <w:r w:rsidR="00601EC7" w:rsidRPr="00377897">
        <w:t xml:space="preserve">cascading </w:t>
      </w:r>
      <w:r w:rsidR="005D0C53" w:rsidRPr="00377897">
        <w:t>event</w:t>
      </w:r>
      <w:r w:rsidR="008E4C8A" w:rsidRPr="00377897">
        <w:t>s</w:t>
      </w:r>
      <w:r w:rsidR="007F74E1" w:rsidRPr="00377897">
        <w:t xml:space="preserve"> assessment</w:t>
      </w:r>
      <w:r w:rsidR="005D0C53" w:rsidRPr="00377897">
        <w:t xml:space="preserve"> and emergency </w:t>
      </w:r>
      <w:r w:rsidR="005F4394">
        <w:t>response</w:t>
      </w:r>
      <w:r w:rsidR="00377897" w:rsidRPr="00377897">
        <w:t xml:space="preserve">. </w:t>
      </w:r>
      <w:r w:rsidR="005F4394">
        <w:t>The</w:t>
      </w:r>
      <w:r w:rsidR="005D0C53" w:rsidRPr="00377897">
        <w:t xml:space="preserve"> focus</w:t>
      </w:r>
      <w:r w:rsidR="005F4394">
        <w:t xml:space="preserve"> is</w:t>
      </w:r>
      <w:r w:rsidR="005D0C53" w:rsidRPr="00377897">
        <w:t xml:space="preserve"> on </w:t>
      </w:r>
      <w:r w:rsidR="005F4394">
        <w:t xml:space="preserve">the performance of </w:t>
      </w:r>
      <w:r w:rsidR="005D0C53" w:rsidRPr="00377897">
        <w:t xml:space="preserve">safety barrier </w:t>
      </w:r>
      <w:r w:rsidR="005F4394">
        <w:t>mitigating fire</w:t>
      </w:r>
      <w:r w:rsidR="00D71422">
        <w:t>d</w:t>
      </w:r>
      <w:r w:rsidR="005F4394">
        <w:t xml:space="preserve"> domino scenarios</w:t>
      </w:r>
      <w:r w:rsidR="005F4394" w:rsidRPr="00377897">
        <w:t xml:space="preserve"> </w:t>
      </w:r>
      <w:r w:rsidR="007C49D5" w:rsidRPr="00377897">
        <w:t>in offshore platforms and facilities.</w:t>
      </w:r>
      <w:r w:rsidR="00F716CD" w:rsidRPr="00377897">
        <w:t xml:space="preserve"> </w:t>
      </w:r>
      <w:r w:rsidR="00FF3049">
        <w:t xml:space="preserve">The effects of </w:t>
      </w:r>
      <w:r w:rsidR="00F716CD" w:rsidRPr="00377897">
        <w:t xml:space="preserve">harsh environmental conditions </w:t>
      </w:r>
      <w:r w:rsidR="000D67F5" w:rsidRPr="00377897">
        <w:t>are</w:t>
      </w:r>
      <w:r w:rsidR="007C49D5" w:rsidRPr="00377897">
        <w:t xml:space="preserve"> included</w:t>
      </w:r>
      <w:r w:rsidR="005F4394">
        <w:t xml:space="preserve"> in the investigation in order to develop a comprehensive framework able to analyse how domino frequency (or probability) may vary due to external severe weather conditions</w:t>
      </w:r>
      <w:r w:rsidR="009918E6" w:rsidRPr="00377897">
        <w:rPr>
          <w:lang w:val="en-US"/>
        </w:rPr>
        <w:t>.</w:t>
      </w:r>
      <w:r w:rsidR="009918E6" w:rsidRPr="006A1E6D">
        <w:rPr>
          <w:lang w:val="en-US"/>
        </w:rPr>
        <w:t xml:space="preserve"> </w:t>
      </w:r>
    </w:p>
    <w:p w14:paraId="510DAA1F" w14:textId="77777777" w:rsidR="0026010A" w:rsidRPr="00B52146" w:rsidRDefault="008E4C8A" w:rsidP="00CB3B1F">
      <w:pPr>
        <w:rPr>
          <w:lang w:val="en-US"/>
        </w:rPr>
      </w:pPr>
      <w:r>
        <w:rPr>
          <w:lang w:val="en-US"/>
        </w:rPr>
        <w:t xml:space="preserve">The paper is structured as follows. In Section 2, </w:t>
      </w:r>
      <w:r w:rsidR="00693AB0">
        <w:rPr>
          <w:lang w:val="en-US"/>
        </w:rPr>
        <w:t xml:space="preserve">a detailed overview of the developed methodology is provided. </w:t>
      </w:r>
      <w:r w:rsidR="00FF3049">
        <w:rPr>
          <w:lang w:val="en-US"/>
        </w:rPr>
        <w:t xml:space="preserve">A description of the case study </w:t>
      </w:r>
      <w:r w:rsidR="00693AB0">
        <w:rPr>
          <w:lang w:val="en-US"/>
        </w:rPr>
        <w:t xml:space="preserve">installation and the meteorological characterization of the area where it operates are provided in Section 3. Results are </w:t>
      </w:r>
      <w:r w:rsidR="002A53B2">
        <w:rPr>
          <w:lang w:val="en-US"/>
        </w:rPr>
        <w:t>presented</w:t>
      </w:r>
      <w:r w:rsidR="00693AB0">
        <w:rPr>
          <w:lang w:val="en-US"/>
        </w:rPr>
        <w:t xml:space="preserve"> in Section 4 while Section 5 </w:t>
      </w:r>
      <w:r w:rsidR="00202931">
        <w:rPr>
          <w:lang w:val="en-US"/>
        </w:rPr>
        <w:t>discusses the overall findings</w:t>
      </w:r>
      <w:r w:rsidR="002A53B2">
        <w:rPr>
          <w:lang w:val="en-US"/>
        </w:rPr>
        <w:t>. Conclusions are provided in</w:t>
      </w:r>
      <w:r w:rsidR="00693AB0">
        <w:rPr>
          <w:lang w:val="en-US"/>
        </w:rPr>
        <w:t xml:space="preserve"> </w:t>
      </w:r>
      <w:r w:rsidR="00693AB0" w:rsidRPr="00B52146">
        <w:rPr>
          <w:lang w:val="en-US"/>
        </w:rPr>
        <w:t xml:space="preserve">Section 6. </w:t>
      </w:r>
    </w:p>
    <w:p w14:paraId="14444BE5" w14:textId="77777777" w:rsidR="00305B87" w:rsidRDefault="00C15C3C" w:rsidP="009270F7">
      <w:pPr>
        <w:pStyle w:val="Heading1"/>
      </w:pPr>
      <w:r>
        <w:lastRenderedPageBreak/>
        <w:t xml:space="preserve">2. </w:t>
      </w:r>
      <w:r w:rsidRPr="00C15C3C">
        <w:t>Methodology</w:t>
      </w:r>
    </w:p>
    <w:p w14:paraId="1B20417F" w14:textId="77777777" w:rsidR="009F64E9" w:rsidRDefault="00C15C3C" w:rsidP="009270F7">
      <w:pPr>
        <w:pStyle w:val="Heading2"/>
      </w:pPr>
      <w:r>
        <w:t xml:space="preserve">2.1 Overview </w:t>
      </w:r>
    </w:p>
    <w:p w14:paraId="3F7D6C8B" w14:textId="77777777" w:rsidR="0026243B" w:rsidRDefault="00D71422" w:rsidP="00D71422">
      <w:r>
        <w:t xml:space="preserve">The present work is based on a methodology aimed at evaluating the performance of safety barriers in O&amp;G facilities operating in offshore harsh environment. </w:t>
      </w:r>
      <w:r w:rsidR="009F64E9" w:rsidRPr="00BE36F2">
        <w:t xml:space="preserve">Figure </w:t>
      </w:r>
      <w:r w:rsidR="009A7A5F" w:rsidRPr="00BE36F2">
        <w:t>1</w:t>
      </w:r>
      <w:r w:rsidR="00FB7339">
        <w:t xml:space="preserve"> reports the</w:t>
      </w:r>
      <w:r w:rsidR="009F64E9" w:rsidRPr="00BE36F2">
        <w:t xml:space="preserve"> flowchart of the methodology</w:t>
      </w:r>
      <w:r w:rsidR="00FB7339">
        <w:t>,</w:t>
      </w:r>
      <w:r w:rsidR="009F64E9" w:rsidRPr="00BE36F2">
        <w:t xml:space="preserve"> </w:t>
      </w:r>
      <w:r w:rsidR="00BF0CB7">
        <w:t xml:space="preserve">detailing the specific features. </w:t>
      </w:r>
    </w:p>
    <w:p w14:paraId="49B9EE4E" w14:textId="77777777" w:rsidR="00BA7DE3" w:rsidRDefault="009F64E9" w:rsidP="009270F7">
      <w:r>
        <w:t xml:space="preserve"> </w:t>
      </w:r>
    </w:p>
    <w:p w14:paraId="7CF8100E" w14:textId="631E32AE" w:rsidR="00BA7DE3" w:rsidRPr="00F716CD" w:rsidRDefault="004C2E07" w:rsidP="00377897">
      <w:pPr>
        <w:jc w:val="center"/>
      </w:pPr>
      <w:r w:rsidRPr="004C2E07">
        <w:rPr>
          <w:noProof/>
          <w:lang w:val="nb-NO" w:eastAsia="nb-NO"/>
        </w:rPr>
        <w:drawing>
          <wp:inline distT="0" distB="0" distL="0" distR="0" wp14:anchorId="297C9E21" wp14:editId="55BED7A6">
            <wp:extent cx="5118100" cy="2377821"/>
            <wp:effectExtent l="0" t="0" r="635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4791" cy="2380929"/>
                    </a:xfrm>
                    <a:prstGeom prst="rect">
                      <a:avLst/>
                    </a:prstGeom>
                    <a:noFill/>
                    <a:ln>
                      <a:noFill/>
                    </a:ln>
                  </pic:spPr>
                </pic:pic>
              </a:graphicData>
            </a:graphic>
          </wp:inline>
        </w:drawing>
      </w:r>
    </w:p>
    <w:p w14:paraId="538CF49A" w14:textId="77F98C43" w:rsidR="00BA7DE3" w:rsidRPr="00D5000C" w:rsidRDefault="00BA7DE3" w:rsidP="009270F7">
      <w:pPr>
        <w:rPr>
          <w:i/>
          <w:color w:val="FF0000"/>
        </w:rPr>
      </w:pPr>
      <w:r w:rsidRPr="00D5000C">
        <w:rPr>
          <w:i/>
          <w:color w:val="FF0000"/>
        </w:rPr>
        <w:t xml:space="preserve">Figure </w:t>
      </w:r>
      <w:r w:rsidR="009A7A5F" w:rsidRPr="00D5000C">
        <w:rPr>
          <w:i/>
          <w:color w:val="FF0000"/>
        </w:rPr>
        <w:t>1.</w:t>
      </w:r>
      <w:r w:rsidRPr="00D5000C">
        <w:rPr>
          <w:i/>
          <w:color w:val="FF0000"/>
        </w:rPr>
        <w:t xml:space="preserve"> </w:t>
      </w:r>
      <w:r w:rsidR="000A1FD9" w:rsidRPr="00D5000C">
        <w:rPr>
          <w:i/>
          <w:color w:val="FF0000"/>
        </w:rPr>
        <w:t xml:space="preserve">Flowchart of the method developed in the present </w:t>
      </w:r>
      <w:r w:rsidR="00CD6280">
        <w:rPr>
          <w:i/>
          <w:color w:val="FF0000"/>
        </w:rPr>
        <w:t>study</w:t>
      </w:r>
      <w:r w:rsidR="004C2E07" w:rsidRPr="00D5000C">
        <w:rPr>
          <w:i/>
          <w:color w:val="FF0000"/>
        </w:rPr>
        <w:t xml:space="preserve"> </w:t>
      </w:r>
      <w:r w:rsidR="00CD6280">
        <w:rPr>
          <w:i/>
          <w:color w:val="FF0000"/>
        </w:rPr>
        <w:t>to assess</w:t>
      </w:r>
      <w:r w:rsidR="004C2E07" w:rsidRPr="00D5000C">
        <w:rPr>
          <w:i/>
          <w:color w:val="FF0000"/>
        </w:rPr>
        <w:t xml:space="preserve"> the probability and frequency assessment of cascading events triggered by fire in offshore </w:t>
      </w:r>
      <w:r w:rsidR="004A6446" w:rsidRPr="00D5000C">
        <w:rPr>
          <w:i/>
          <w:color w:val="FF0000"/>
        </w:rPr>
        <w:t>O&amp;G installations</w:t>
      </w:r>
      <w:r w:rsidR="004C2E07" w:rsidRPr="00D5000C">
        <w:rPr>
          <w:i/>
          <w:color w:val="FF0000"/>
        </w:rPr>
        <w:t xml:space="preserve">. The method accounts for the effect of harsh environmental conditions </w:t>
      </w:r>
      <w:r w:rsidR="004A6446" w:rsidRPr="00D5000C">
        <w:rPr>
          <w:i/>
          <w:color w:val="FF0000"/>
        </w:rPr>
        <w:t>on the protection performance of safety barriers</w:t>
      </w:r>
      <w:r w:rsidRPr="00D5000C">
        <w:rPr>
          <w:i/>
          <w:color w:val="FF0000"/>
        </w:rPr>
        <w:t>.</w:t>
      </w:r>
    </w:p>
    <w:p w14:paraId="61909A2D" w14:textId="77777777" w:rsidR="0085643D" w:rsidRDefault="0085643D" w:rsidP="009270F7"/>
    <w:p w14:paraId="03778F36" w14:textId="77777777" w:rsidR="004B5A5B" w:rsidRPr="004B5A5B" w:rsidRDefault="004B5A5B" w:rsidP="00C05558">
      <w:r w:rsidRPr="004B5A5B">
        <w:t xml:space="preserve">The preliminary step of the methodology (step 1 in Figure 1) is aimed at the identification of safety barriers that are </w:t>
      </w:r>
      <w:r w:rsidR="0042436B">
        <w:t>installed on</w:t>
      </w:r>
      <w:r w:rsidRPr="004B5A5B">
        <w:t xml:space="preserve"> offshore O&amp;G installations</w:t>
      </w:r>
      <w:r w:rsidR="0042436B">
        <w:t xml:space="preserve"> in order to prevent and/or mitigat</w:t>
      </w:r>
      <w:r w:rsidR="00C05558">
        <w:t>e</w:t>
      </w:r>
      <w:r w:rsidR="0042436B">
        <w:t xml:space="preserve"> the occurrence of cascading events. </w:t>
      </w:r>
      <w:r w:rsidR="00C05558">
        <w:t>B</w:t>
      </w:r>
      <w:r w:rsidR="0042436B">
        <w:t xml:space="preserve">arriers are identified according to specific standards and guidelines </w:t>
      </w:r>
      <w:r w:rsidR="0042436B">
        <w:fldChar w:fldCharType="begin" w:fldLock="1"/>
      </w:r>
      <w:r w:rsidR="00131B8A">
        <w:instrText>ADDIN CSL_CITATION { "citationItems" : [ { "id" : "ITEM-1", "itemData" : { "author" : [ { "dropping-particle" : "", "family" : "American Petroleum Institute", "given" : "", "non-dropping-particle" : "", "parse-names" : false, "suffix" : "" } ], "id" : "ITEM-1", "issued" : { "date-parts" : [ [ "2007" ] ] }, "title" : "API RP 14C - Recommended practice for analysis, design, installation and testing of basic surface safety systems for offshore production platforms", "type" : "report" }, "uris" : [ "http://www.mendeley.com/documents/?uuid=5fde5946-80bb-407e-b00b-e311948b266b", "http://www.mendeley.com/documents/?uuid=2d11fe4f-7d36-4069-825c-401af9f80d93", "http://www.mendeley.com/documents/?uuid=d539b764-1b38-4c00-b019-2833c0f4e5de" ] }, { "id" : "ITEM-2", "itemData" : { "author" : [ { "dropping-particle" : "", "family" : "HSE Health and Safety Executive", "given" : "", "non-dropping-particle" : "", "parse-names" : false, "suffix" : "" } ], "id" : "ITEM-2", "issued" : { "date-parts" : [ [ "1992" ] ] }, "publisher-place" : "London", "title" : "Generic foundation data to be used in the assessment of blast and fire scenarios and typical structural details for primary, secondary and supporting structures components - OTI92585", "type" : "book" }, "uris" : [ "http://www.mendeley.com/documents/?uuid=381f03bd-8768-4379-b963-aae3fe8633b0", "http://www.mendeley.com/documents/?uuid=5849e359-b9c9-4564-80fc-87aadc7c9585", "http://www.mendeley.com/documents/?uuid=3092bea7-0f6c-46b5-8337-9c91eb0343d0" ] }, { "id" : "ITEM-3", "itemData" : { "author" : [ { "dropping-particle" : "", "family" : "ISO-International standardization organization", "given" : "", "non-dropping-particle" : "", "parse-names" : false, "suffix" : "" } ], "id" : "ITEM-3", "issued" : { "date-parts" : [ [ "1999" ] ] }, "title" : "ISO 13702:1999 - Petroleum and natural gas industries - Control and mitigation of fires and explosions on offshore production installations - Requirements and guidelines", "type" : "book" }, "uris" : [ "http://www.mendeley.com/documents/?uuid=1031eabc-aac8-4fc9-ae41-1cb8bd20ccf3", "http://www.mendeley.com/documents/?uuid=b8051f19-ff62-41f4-960c-ae7a90026a3a", "http://www.mendeley.com/documents/?uuid=5c09c93c-bcee-4d93-9583-4d4ec49d2216" ] }, { "id" : "ITEM-4", "itemData" : { "author" : [ { "dropping-particle" : "", "family" : "PSA", "given" : "", "non-dropping-particle" : "", "parse-names" : false, "suffix" : "" } ], "id" : "ITEM-4", "issued" : { "date-parts" : [ [ "2013" ] ] }, "title" : "Principles for barrier management in the petroleum industry. Stavanger, Norway, Petroleum Safety Authority Norway.", "type" : "report" }, "uris" : [ "http://www.mendeley.com/documents/?uuid=7b83273c-d1da-4d36-852c-55f995a66198" ] } ], "mendeley" : { "formattedCitation" : "(American Petroleum Institute, 2007a; HSE Health and Safety Executive, 1992; ISO-International standardization organization, 1999; PSA, 2013)", "plainTextFormattedCitation" : "(American Petroleum Institute, 2007a; HSE Health and Safety Executive, 1992; ISO-International standardization organization, 1999; PSA, 2013)", "previouslyFormattedCitation" : "(American Petroleum Institute, 2007a; HSE Health and Safety Executive, 1992; ISO-International standardization organization, 1999; PSA, 2013)" }, "properties" : {  }, "schema" : "https://github.com/citation-style-language/schema/raw/master/csl-citation.json" }</w:instrText>
      </w:r>
      <w:r w:rsidR="0042436B">
        <w:fldChar w:fldCharType="separate"/>
      </w:r>
      <w:r w:rsidR="00131B8A" w:rsidRPr="00131B8A">
        <w:rPr>
          <w:noProof/>
        </w:rPr>
        <w:t>(American Petroleum Institute, 2007a; HSE Health and Safety Executive, 1992; ISO-International standardization organization, 1999; PSA, 2013)</w:t>
      </w:r>
      <w:r w:rsidR="0042436B">
        <w:fldChar w:fldCharType="end"/>
      </w:r>
      <w:r w:rsidR="0042436B">
        <w:t>.</w:t>
      </w:r>
      <w:r w:rsidRPr="004B5A5B">
        <w:t xml:space="preserve"> </w:t>
      </w:r>
      <w:r w:rsidR="005D7085">
        <w:t>Each safety barrier is characterized by protection performance parameter</w:t>
      </w:r>
      <w:r w:rsidR="00C05558">
        <w:t>s</w:t>
      </w:r>
      <w:r w:rsidR="005D7085">
        <w:t xml:space="preserve"> </w:t>
      </w:r>
      <w:r w:rsidRPr="004B5A5B">
        <w:t>in order to support further steps for the quantitative characterization. In step 2 (see Figure 1)</w:t>
      </w:r>
      <w:r w:rsidR="00463F38">
        <w:t>,</w:t>
      </w:r>
      <w:r w:rsidRPr="004B5A5B">
        <w:t xml:space="preserve"> a harsh environmental score, namely HES, is determined, based on a weighted combination of </w:t>
      </w:r>
      <w:r w:rsidR="005D7085">
        <w:t>penalties</w:t>
      </w:r>
      <w:r w:rsidR="005D7085" w:rsidRPr="004B5A5B">
        <w:t xml:space="preserve"> </w:t>
      </w:r>
      <w:r w:rsidRPr="004B5A5B">
        <w:t>associated with external climate and environmental factors (e.g., cold temperatures, wind, waves, snowfall, etc.). In this step, a specific elicitation process and</w:t>
      </w:r>
      <w:r w:rsidR="00231665">
        <w:t xml:space="preserve"> </w:t>
      </w:r>
      <w:r w:rsidR="00516BB7">
        <w:t>a novel</w:t>
      </w:r>
      <w:r w:rsidRPr="004B5A5B">
        <w:t xml:space="preserve"> aggregation procedure is adopted to reduce the uncertainties in the</w:t>
      </w:r>
      <w:r w:rsidR="00985F32">
        <w:t xml:space="preserve"> </w:t>
      </w:r>
      <w:r w:rsidRPr="004B5A5B">
        <w:t xml:space="preserve">methodology. </w:t>
      </w:r>
    </w:p>
    <w:p w14:paraId="1CBDBC72" w14:textId="7F5F8EDD" w:rsidR="004B5A5B" w:rsidRDefault="004B5A5B" w:rsidP="009270F7">
      <w:r w:rsidRPr="004B5A5B">
        <w:t xml:space="preserve">The so evaluated HES is applied in step 3 (see Figure 1) in order to determine the quantitative parameters related to the performance of the safety barriers in harsh environment. </w:t>
      </w:r>
      <w:r w:rsidR="00AF156A">
        <w:t>T</w:t>
      </w:r>
      <w:r w:rsidRPr="004B5A5B">
        <w:t xml:space="preserve">he safety barriers performance is expressed in terms of i) availability, i.e. the capability of the barrier to respond on demand and ii) effectiveness, i.e. the capability of the barrier to effectively mitigate or prevent an </w:t>
      </w:r>
      <w:r w:rsidRPr="004B5A5B">
        <w:lastRenderedPageBreak/>
        <w:t>escalation scenario once activated</w:t>
      </w:r>
      <w:r w:rsidR="006D78C3" w:rsidRPr="006D78C3">
        <w:t xml:space="preserve"> </w:t>
      </w:r>
      <w:r w:rsidR="006D78C3">
        <w:t>(</w:t>
      </w:r>
      <w:r w:rsidR="006D78C3" w:rsidRPr="004B5A5B">
        <w:t>Landucci et al. 2015, 2016)</w:t>
      </w:r>
      <w:r w:rsidR="006D78C3">
        <w:t>.</w:t>
      </w:r>
      <w:r w:rsidRPr="004B5A5B">
        <w:t xml:space="preserve"> </w:t>
      </w:r>
      <w:r>
        <w:t>It is worth noticing that the definition of availability provided in this framework has been proven to be in line with the ARAMIS project</w:t>
      </w:r>
      <w:r w:rsidR="00862570">
        <w:t xml:space="preserve"> </w:t>
      </w:r>
      <w:r w:rsidR="00862570" w:rsidRPr="00AF3DDC">
        <w:rPr>
          <w:color w:val="FF0000"/>
        </w:rPr>
        <w:t xml:space="preserve">(Dianous and </w:t>
      </w:r>
      <w:r w:rsidR="00AF3DDC" w:rsidRPr="00AF3DDC">
        <w:rPr>
          <w:color w:val="FF0000"/>
        </w:rPr>
        <w:t>Fiévez</w:t>
      </w:r>
      <w:r w:rsidR="00862570" w:rsidRPr="00AF3DDC">
        <w:rPr>
          <w:color w:val="FF0000"/>
        </w:rPr>
        <w:t>, 2006)</w:t>
      </w:r>
      <w:r w:rsidRPr="00AF3DDC">
        <w:rPr>
          <w:color w:val="FF0000"/>
        </w:rPr>
        <w:t xml:space="preserve"> </w:t>
      </w:r>
      <w:r>
        <w:t xml:space="preserve">definition of “level </w:t>
      </w:r>
      <w:r w:rsidR="00D1543F">
        <w:t xml:space="preserve">of confidence”, </w:t>
      </w:r>
      <w:r>
        <w:t xml:space="preserve">while the definition of effectiveness includes both definitions of “effectiveness” and “response time” of the ARAMIS project. </w:t>
      </w:r>
    </w:p>
    <w:p w14:paraId="35F3333D" w14:textId="77777777" w:rsidR="004B5A5B" w:rsidRPr="004B5A5B" w:rsidRDefault="004B5A5B" w:rsidP="009270F7">
      <w:r w:rsidRPr="004B5A5B">
        <w:t xml:space="preserve">Both availability and effectiveness are influenced by the harsh environmental conditions and HES is adopted to tailor these parameters for the location under </w:t>
      </w:r>
      <w:r w:rsidR="005D7085">
        <w:t>analysis</w:t>
      </w:r>
      <w:r w:rsidRPr="004B5A5B">
        <w:t xml:space="preserve">. An aspect that constitutes a relevant element of novelty in the present work is related to the detailed performance analysis of emergency response time specific for offshore </w:t>
      </w:r>
      <w:r w:rsidR="00463F38" w:rsidRPr="004B5A5B">
        <w:t>platforms</w:t>
      </w:r>
      <w:r w:rsidR="00463F38">
        <w:t>, which,</w:t>
      </w:r>
      <w:r w:rsidR="00957CAE">
        <w:t xml:space="preserve"> to the best of our knowledge, was never undertaken before in the framework of cascading events analysis</w:t>
      </w:r>
      <w:r w:rsidRPr="004B5A5B">
        <w:t>.</w:t>
      </w:r>
    </w:p>
    <w:p w14:paraId="4E016C1F" w14:textId="77777777" w:rsidR="00AE78C4" w:rsidRDefault="004B5A5B" w:rsidP="009270F7">
      <w:r w:rsidRPr="004B5A5B">
        <w:t xml:space="preserve">Finally, the safety barrier performance data </w:t>
      </w:r>
      <w:r w:rsidR="00BF0CB7">
        <w:t xml:space="preserve">obtained </w:t>
      </w:r>
      <w:r w:rsidRPr="004B5A5B">
        <w:t>are implemented in an event tree analysis based on specific gates for the analysis of fire induced cascading events in order to determine the annual probability of escalation scenarios (step 4 in Figure 1).</w:t>
      </w:r>
    </w:p>
    <w:p w14:paraId="279DCD9C" w14:textId="77777777" w:rsidR="004B5A5B" w:rsidRDefault="004B5A5B" w:rsidP="009270F7"/>
    <w:p w14:paraId="6BE5A62C" w14:textId="77777777" w:rsidR="00AE78C4" w:rsidRDefault="00AE78C4" w:rsidP="009270F7">
      <w:pPr>
        <w:pStyle w:val="Heading2"/>
      </w:pPr>
      <w:r>
        <w:t xml:space="preserve">2.2 Identification </w:t>
      </w:r>
      <w:r w:rsidR="005B4560">
        <w:t xml:space="preserve">and characterization </w:t>
      </w:r>
      <w:r>
        <w:t xml:space="preserve">of reference safety barriers </w:t>
      </w:r>
    </w:p>
    <w:p w14:paraId="6424D148" w14:textId="77777777" w:rsidR="00F3720C" w:rsidRDefault="00B872E3" w:rsidP="009270F7">
      <w:r>
        <w:t xml:space="preserve">Control and mitigation of fires and explosions in O&amp;G offshore facilities is ruled by different standards and guidelines </w:t>
      </w:r>
      <w:r>
        <w:fldChar w:fldCharType="begin" w:fldLock="1"/>
      </w:r>
      <w:r w:rsidR="00131B8A">
        <w:instrText>ADDIN CSL_CITATION { "citationItems" : [ { "id" : "ITEM-1", "itemData" : { "author" : [ { "dropping-particle" : "", "family" : "American Petroleum Institute", "given" : "", "non-dropping-particle" : "", "parse-names" : false, "suffix" : "" } ], "id" : "ITEM-1", "issued" : { "date-parts" : [ [ "2007" ] ] }, "title" : "API RP 14G - Recommended practice for fire prevention and control of fixed open-type offshore production platforms", "type" : "report" }, "uris" : [ "http://www.mendeley.com/documents/?uuid=bf90a5b9-e78b-4d1a-a971-a974c550c74e", "http://www.mendeley.com/documents/?uuid=d36b85f2-70cd-48cf-8520-0d590d14d1a3", "http://www.mendeley.com/documents/?uuid=ccdcec10-157d-4acf-ae28-77d7257b06b9" ] }, { "id" : "ITEM-2", "itemData" : { "author" : [ { "dropping-particle" : "", "family" : "ISO-International standardization organization", "given" : "", "non-dropping-particle" : "", "parse-names" : false, "suffix" : "" } ], "id" : "ITEM-2", "issued" : { "date-parts" : [ [ "1999" ] ] }, "title" : "ISO 13702:1999 - Petroleum and natural gas industries - Control and mitigation of fires and explosions on offshore production installations - Requirements and guidelines", "type" : "book" }, "uris" : [ "http://www.mendeley.com/documents/?uuid=b8051f19-ff62-41f4-960c-ae7a90026a3a", "http://www.mendeley.com/documents/?uuid=1031eabc-aac8-4fc9-ae41-1cb8bd20ccf3", "http://www.mendeley.com/documents/?uuid=af45b545-c0fc-45ac-a159-3a41bfb26380" ] }, { "id" : "ITEM-3", "itemData" : { "author" : [ { "dropping-particle" : "", "family" : "American Petroleum Institute", "given" : "", "non-dropping-particle" : "", "parse-names" : false, "suffix" : "" } ], "id" : "ITEM-3", "issued" : { "date-parts" : [ [ "2007" ] ] }, "title" : "API RP 14C - Recommended practice for analysis, design, installation and testing of basic surface safety systems for offshore production platforms", "type" : "report" }, "uris" : [ "http://www.mendeley.com/documents/?uuid=2d11fe4f-7d36-4069-825c-401af9f80d93", "http://www.mendeley.com/documents/?uuid=5fde5946-80bb-407e-b00b-e311948b266b", "http://www.mendeley.com/documents/?uuid=494a1b91-74ad-45db-b3a8-8321320e4218", "http://www.mendeley.com/documents/?uuid=92683296-2350-4c91-9db6-c39a92203031" ] }, { "id" : "ITEM-4", "itemData" : { "author" : [ { "dropping-particle" : "", "family" : "HSE Health and Safety Executive", "given" : "", "non-dropping-particle" : "", "parse-names" : false, "suffix" : "" } ], "id" : "ITEM-4", "issued" : { "date-parts" : [ [ "1992" ] ] }, "publisher-place" : "London", "title" : "Generic foundation data to be used in the assessment of blast and fire scenarios and typical structural details for primary, secondary and supporting structures components - OTI92585", "type" : "book" }, "uris" : [ "http://www.mendeley.com/documents/?uuid=3092bea7-0f6c-46b5-8337-9c91eb0343d0", "http://www.mendeley.com/documents/?uuid=5849e359-b9c9-4564-80fc-87aadc7c9585", "http://www.mendeley.com/documents/?uuid=381f03bd-8768-4379-b963-aae3fe8633b0", "http://www.mendeley.com/documents/?uuid=fb1efc00-8177-4a23-ab0b-3f382b90ba5f" ] } ], "mendeley" : { "formattedCitation" : "(American Petroleum Institute, 2007a, 2007b; HSE Health and Safety Executive, 1992; ISO-International standardization organization, 1999)", "plainTextFormattedCitation" : "(American Petroleum Institute, 2007a, 2007b; HSE Health and Safety Executive, 1992; ISO-International standardization organization, 1999)", "previouslyFormattedCitation" : "(American Petroleum Institute, 2007a, 2007b; HSE Health and Safety Executive, 1992; ISO-International standardization organization, 1999)" }, "properties" : {  }, "schema" : "https://github.com/citation-style-language/schema/raw/master/csl-citation.json" }</w:instrText>
      </w:r>
      <w:r>
        <w:fldChar w:fldCharType="separate"/>
      </w:r>
      <w:r w:rsidRPr="00EB4564">
        <w:rPr>
          <w:noProof/>
        </w:rPr>
        <w:t>(American Petroleum Institute, 2007a, 2007b; HSE Health and Safety Executive, 1992; ISO-International standardization organization, 1999)</w:t>
      </w:r>
      <w:r>
        <w:fldChar w:fldCharType="end"/>
      </w:r>
      <w:r>
        <w:t xml:space="preserve">, which are hereby taken as basis to identify the required safety measures. According to </w:t>
      </w:r>
      <w:r w:rsidRPr="006003FF">
        <w:fldChar w:fldCharType="begin" w:fldLock="1"/>
      </w:r>
      <w:r w:rsidR="00131B8A">
        <w:instrText>ADDIN CSL_CITATION { "citationItems" : [ { "id" : "ITEM-1", "itemData" : { "author" : [ { "dropping-particle" : "", "family" : "CCPS - Center of Chemical Process Safety", "given" : "", "non-dropping-particle" : "", "parse-names" : false, "suffix" : "" } ], "id" : "ITEM-1", "issued" : { "date-parts" : [ [ "2000" ] ] }, "publisher" : "American Institute of Chemical Engineers - Center of Chemical Process Safety", "publisher-place" : "New York", "title" : "Guidelines for chemical process quantitative risk analysis", "type" : "book" }, "uris" : [ "http://www.mendeley.com/documents/?uuid=009b76c7-044d-41a8-9626-695c0c69975a" ] } ], "mendeley" : { "formattedCitation" : "(CCPS - Center of Chemical Process Safety, 2000)", "manualFormatting" : "CCPS - Center of Chemical Process Safety (2000)", "plainTextFormattedCitation" : "(CCPS - Center of Chemical Process Safety, 2000)", "previouslyFormattedCitation" : "(CCPS - Center of Chemical Process Safety, 2000)" }, "properties" : {  }, "schema" : "https://github.com/citation-style-language/schema/raw/master/csl-citation.json" }</w:instrText>
      </w:r>
      <w:r w:rsidRPr="006003FF">
        <w:fldChar w:fldCharType="separate"/>
      </w:r>
      <w:r w:rsidRPr="006003FF">
        <w:rPr>
          <w:noProof/>
        </w:rPr>
        <w:t>CCPS - Center of Chemical Process Safety (2000)</w:t>
      </w:r>
      <w:r w:rsidRPr="006003FF">
        <w:fldChar w:fldCharType="end"/>
      </w:r>
      <w:r>
        <w:t>, barriers are classified as</w:t>
      </w:r>
      <w:r w:rsidR="00F3720C">
        <w:t>:</w:t>
      </w:r>
    </w:p>
    <w:p w14:paraId="737D9530" w14:textId="77777777" w:rsidR="00F3720C" w:rsidRDefault="00F3720C" w:rsidP="009270F7">
      <w:pPr>
        <w:pStyle w:val="ListParagraph"/>
        <w:numPr>
          <w:ilvl w:val="0"/>
          <w:numId w:val="16"/>
        </w:numPr>
      </w:pPr>
      <w:r>
        <w:t>passive protections, which are already in place and do not require external activation;</w:t>
      </w:r>
    </w:p>
    <w:p w14:paraId="33D15111" w14:textId="77777777" w:rsidR="00F3720C" w:rsidRDefault="00B872E3" w:rsidP="009270F7">
      <w:pPr>
        <w:pStyle w:val="ListParagraph"/>
        <w:numPr>
          <w:ilvl w:val="0"/>
          <w:numId w:val="16"/>
        </w:numPr>
      </w:pPr>
      <w:r w:rsidRPr="004B266E">
        <w:t>active protections</w:t>
      </w:r>
      <w:r w:rsidR="00F3720C" w:rsidRPr="004B266E">
        <w:t xml:space="preserve">, </w:t>
      </w:r>
      <w:r w:rsidR="00F3720C">
        <w:t>which require</w:t>
      </w:r>
      <w:r w:rsidR="00F3720C" w:rsidRPr="004B266E">
        <w:t xml:space="preserve"> automatic/external activation</w:t>
      </w:r>
      <w:r w:rsidR="00F3720C">
        <w:t xml:space="preserve"> </w:t>
      </w:r>
    </w:p>
    <w:p w14:paraId="001FD21F" w14:textId="77777777" w:rsidR="00D255D2" w:rsidRPr="00D255D2" w:rsidRDefault="00B872E3" w:rsidP="009270F7">
      <w:pPr>
        <w:pStyle w:val="ListParagraph"/>
        <w:numPr>
          <w:ilvl w:val="0"/>
          <w:numId w:val="16"/>
        </w:numPr>
      </w:pPr>
      <w:r w:rsidRPr="004B266E">
        <w:t>pro</w:t>
      </w:r>
      <w:r w:rsidR="00F3720C">
        <w:t>cedural and emergency measures, which involve the intervention of operators and emergency teams</w:t>
      </w:r>
    </w:p>
    <w:p w14:paraId="5FCC93AD" w14:textId="77777777" w:rsidR="00BF49BA" w:rsidRPr="009D2174" w:rsidRDefault="00F3720C" w:rsidP="000D14A2">
      <w:r>
        <w:t>Several pieces of equipment</w:t>
      </w:r>
      <w:r w:rsidR="00AA44FF">
        <w:t xml:space="preserve"> are installed on offshore </w:t>
      </w:r>
      <w:r w:rsidR="00277002">
        <w:t xml:space="preserve">installations </w:t>
      </w:r>
      <w:r w:rsidR="00AA44FF">
        <w:t>featuring</w:t>
      </w:r>
      <w:r>
        <w:t xml:space="preserve"> different sets of protection systems</w:t>
      </w:r>
      <w:r w:rsidR="00AA44FF">
        <w:t xml:space="preserve"> </w:t>
      </w:r>
      <w:r w:rsidR="00AA44FF">
        <w:fldChar w:fldCharType="begin" w:fldLock="1"/>
      </w:r>
      <w:r w:rsidR="00131B8A">
        <w:instrText>ADDIN CSL_CITATION { "citationItems" : [ { "id" : "ITEM-1", "itemData" : { "author" : [ { "dropping-particle" : "", "family" : "HSE Health and Safety Executive", "given" : "", "non-dropping-particle" : "", "parse-names" : false, "suffix" : "" } ], "id" : "ITEM-1", "issued" : { "date-parts" : [ [ "1992" ] ] }, "publisher-place" : "London", "title" : "Generic foundation data to be used in the assessment of blast and fire scenarios and typical structural details for primary, secondary and supporting structures components - OTI92585", "type" : "book" }, "uris" : [ "http://www.mendeley.com/documents/?uuid=5849e359-b9c9-4564-80fc-87aadc7c9585", "http://www.mendeley.com/documents/?uuid=9b9d7a17-a5b2-4688-9fdd-208adc41459a", "http://www.mendeley.com/documents/?uuid=381f03bd-8768-4379-b963-aae3fe8633b0" ] } ], "mendeley" : { "formattedCitation" : "(HSE Health and Safety Executive, 1992)", "manualFormatting" : "HSE (Health and Safety Executive, 1992)", "plainTextFormattedCitation" : "(HSE Health and Safety Executive, 1992)", "previouslyFormattedCitation" : "(HSE Health and Safety Executive, 1992)" }, "properties" : {  }, "schema" : "https://github.com/citation-style-language/schema/raw/master/csl-citation.json" }</w:instrText>
      </w:r>
      <w:r w:rsidR="00AA44FF">
        <w:fldChar w:fldCharType="separate"/>
      </w:r>
      <w:r w:rsidR="00AA44FF" w:rsidRPr="006273B4">
        <w:rPr>
          <w:noProof/>
        </w:rPr>
        <w:t xml:space="preserve">HSE </w:t>
      </w:r>
      <w:r w:rsidR="005A263A">
        <w:rPr>
          <w:noProof/>
        </w:rPr>
        <w:t>(</w:t>
      </w:r>
      <w:r w:rsidR="00AA44FF" w:rsidRPr="006273B4">
        <w:rPr>
          <w:noProof/>
        </w:rPr>
        <w:t>Health and Safety Executive, 1992)</w:t>
      </w:r>
      <w:r w:rsidR="00AA44FF">
        <w:fldChar w:fldCharType="end"/>
      </w:r>
      <w:r>
        <w:t xml:space="preserve">. </w:t>
      </w:r>
      <w:r w:rsidR="00AF156A">
        <w:t>A</w:t>
      </w:r>
      <w:r w:rsidR="00276444">
        <w:t xml:space="preserve"> </w:t>
      </w:r>
      <w:r>
        <w:t xml:space="preserve">synthetic </w:t>
      </w:r>
      <w:r w:rsidR="005A263A">
        <w:t>and</w:t>
      </w:r>
      <w:r>
        <w:t xml:space="preserve"> comprehensive set of reference safety barriers for offshore installations</w:t>
      </w:r>
      <w:r w:rsidR="00AF156A">
        <w:t xml:space="preserve"> are determined (</w:t>
      </w:r>
      <w:r w:rsidR="00AF156A" w:rsidRPr="004B266E">
        <w:t>Landucci et al. 2015)</w:t>
      </w:r>
      <w:r>
        <w:t xml:space="preserve">. In particular, inherent safety </w:t>
      </w:r>
      <w:r w:rsidR="0034270A">
        <w:t>analysis</w:t>
      </w:r>
      <w:r>
        <w:t xml:space="preserve"> </w:t>
      </w:r>
      <w:r w:rsidR="00AA44FF">
        <w:t xml:space="preserve">allowed </w:t>
      </w:r>
      <w:r w:rsidR="005A263A">
        <w:t>performing</w:t>
      </w:r>
      <w:r>
        <w:t xml:space="preserve"> a screening among the process unit</w:t>
      </w:r>
      <w:r w:rsidR="001B4444">
        <w:t>s typically installed</w:t>
      </w:r>
      <w:r>
        <w:t xml:space="preserve"> in extraction and production offshore </w:t>
      </w:r>
      <w:r w:rsidR="00AA44FF">
        <w:t xml:space="preserve">O&amp;G </w:t>
      </w:r>
      <w:r>
        <w:t xml:space="preserve">sites. </w:t>
      </w:r>
      <w:r w:rsidR="004E3291">
        <w:t>T</w:t>
      </w:r>
      <w:r w:rsidR="00AA44FF">
        <w:t xml:space="preserve">he </w:t>
      </w:r>
      <w:r w:rsidR="001B4444">
        <w:t xml:space="preserve">Domino Actual Hazard Index </w:t>
      </w:r>
      <w:r w:rsidR="005A263A">
        <w:fldChar w:fldCharType="begin" w:fldLock="1"/>
      </w:r>
      <w:r w:rsidR="00131B8A">
        <w:instrText>ADDIN CSL_CITATION { "citationItems" : [ { "id" : "ITEM-1", "itemData" : { "author" : [ { "dropping-particle" : "", "family" : "Cozzani", "given" : "Valerio", "non-dropping-particle" : "", "parse-names" : false, "suffix" : "" }, { "dropping-particle" : "", "family" : "Tugnoli", "given" : "Alessandro", "non-dropping-particle" : "", "parse-names" : false, "suffix" : "" }, { "dropping-particle" : "", "family" : "Bonvicini", "given" : "Sarah", "non-dropping-particle" : "", "parse-names" : false, "suffix" : "" }, { "dropping-particle" : "", "family" : "Salzano", "given" : "Ernesto", "non-dropping-particle" : "", "parse-names" : false, "suffix" : "" } ], "container-title" : "Domino effect in the process industries: modelling, prevention and managing", "editor" : [ { "dropping-particle" : "", "family" : "Reniers", "given" : "Genserik", "non-dropping-particle" : "", "parse-names" : false, "suffix" : "" }, { "dropping-particle" : "", "family" : "Cozzani", "given" : "Valerio", "non-dropping-particle" : "", "parse-names" : false, "suffix" : "" } ], "id" : "ITEM-1", "issued" : { "date-parts" : [ [ "2013" ] ] }, "page" : "189-207", "publisher" : "Elsevier", "publisher-place" : "Oxford, UK", "title" : "Threshold based approach", "type" : "chapter" }, "uris" : [ "http://www.mendeley.com/documents/?uuid=35dbd255-b5fc-4876-8df2-0e45b548cf9e", "http://www.mendeley.com/documents/?uuid=807bf3c6-e7c3-4fa4-949b-3c9f1d9905a9", "http://www.mendeley.com/documents/?uuid=811dba8a-6e58-4059-a5e7-84121ae2cd99" ] }, { "id" : "ITEM-2", "itemData" : { "author" : [ { "dropping-particle" : "", "family" : "Cozzani", "given" : "Valerio", "non-dropping-particle" : "", "parse-names" : false, "suffix" : "" }, { "dropping-particle" : "", "family" : "Tugnoli", "given" : "Alessandro", "non-dropping-particle" : "", "parse-names" : false, "suffix" : "" }, { "dropping-particle" : "", "family" : "Salzano", "given" : "Ernesto", "non-dropping-particle" : "", "parse-names" : false, "suffix" : "" } ], "container-title" : "Accident Analysis and Prevention", "id" : "ITEM-2", "issued" : { "date-parts" : [ [ "2009" ] ] }, "page" : "1216-27", "title" : "The development of an inherent safety approach to the prevention of domino accidents", "type" : "article-journal", "volume" : "41" }, "uris" : [ "http://www.mendeley.com/documents/?uuid=17b18522-3aff-4b25-9f86-59d186068137" ] } ], "mendeley" : { "formattedCitation" : "(Cozzani et al., 2013, 2009)", "plainTextFormattedCitation" : "(Cozzani et al., 2013, 2009)", "previouslyFormattedCitation" : "(Cozzani et al., 2013, 2009)" }, "properties" : {  }, "schema" : "https://github.com/citation-style-language/schema/raw/master/csl-citation.json" }</w:instrText>
      </w:r>
      <w:r w:rsidR="005A263A">
        <w:fldChar w:fldCharType="separate"/>
      </w:r>
      <w:r w:rsidR="005A263A" w:rsidRPr="0042436B">
        <w:rPr>
          <w:noProof/>
          <w:lang w:val="en-US"/>
        </w:rPr>
        <w:t>(Cozzani et al., 2013, 2009)</w:t>
      </w:r>
      <w:r w:rsidR="005A263A">
        <w:fldChar w:fldCharType="end"/>
      </w:r>
      <w:r w:rsidR="004E3291">
        <w:t xml:space="preserve"> has been applied in this analysis. It is a method based on the identification of penalties for process equipment and to the calculation of a dedicated index describing the criticality of each item to domino escalation scenarios. The procedure has been applied to the different process area equipment.</w:t>
      </w:r>
      <w:r w:rsidR="00AA44FF">
        <w:t xml:space="preserve"> </w:t>
      </w:r>
      <w:r w:rsidR="004E3291">
        <w:t>T</w:t>
      </w:r>
      <w:r w:rsidR="00AA44FF">
        <w:t xml:space="preserve">he first stage </w:t>
      </w:r>
      <w:r>
        <w:t>horizontal separator</w:t>
      </w:r>
      <w:r w:rsidR="00AA44FF">
        <w:t xml:space="preserve"> </w:t>
      </w:r>
      <w:r w:rsidR="008F4DE8">
        <w:t>was identified as the most critical unit for domino effect propagation</w:t>
      </w:r>
      <w:r w:rsidR="009C753A">
        <w:t xml:space="preserve"> and</w:t>
      </w:r>
      <w:r w:rsidR="008F4DE8">
        <w:t xml:space="preserve"> thus</w:t>
      </w:r>
      <w:r w:rsidR="009C753A">
        <w:t xml:space="preserve"> it was taken as reference unit. Then, according to </w:t>
      </w:r>
      <w:r w:rsidR="009C753A">
        <w:fldChar w:fldCharType="begin" w:fldLock="1"/>
      </w:r>
      <w:r w:rsidR="00131B8A">
        <w:instrText>ADDIN CSL_CITATION { "citationItems" : [ { "id" : "ITEM-1", "itemData" : { "author" : [ { "dropping-particle" : "", "family" : "HSE Health and Safety Executive", "given" : "", "non-dropping-particle" : "", "parse-names" : false, "suffix" : "" } ], "id" : "ITEM-1", "issued" : { "date-parts" : [ [ "1992" ] ] }, "publisher-place" : "London", "title" : "Generic foundation data to be used in the assessment of blast and fire scenarios and typical structural details for primary, secondary and supporting structures components - OTI92585", "type" : "book" }, "uris" : [ "http://www.mendeley.com/documents/?uuid=5849e359-b9c9-4564-80fc-87aadc7c9585", "http://www.mendeley.com/documents/?uuid=9b9d7a17-a5b2-4688-9fdd-208adc41459a", "http://www.mendeley.com/documents/?uuid=381f03bd-8768-4379-b963-aae3fe8633b0" ] } ], "mendeley" : { "formattedCitation" : "(HSE Health and Safety Executive, 1992)", "manualFormatting" : "HSE (Health and Safety Executive, 1992)", "plainTextFormattedCitation" : "(HSE Health and Safety Executive, 1992)", "previouslyFormattedCitation" : "(HSE Health and Safety Executive, 1992)" }, "properties" : {  }, "schema" : "https://github.com/citation-style-language/schema/raw/master/csl-citation.json" }</w:instrText>
      </w:r>
      <w:r w:rsidR="009C753A">
        <w:fldChar w:fldCharType="separate"/>
      </w:r>
      <w:r w:rsidR="009C753A" w:rsidRPr="006273B4">
        <w:rPr>
          <w:noProof/>
        </w:rPr>
        <w:t xml:space="preserve">HSE </w:t>
      </w:r>
      <w:r w:rsidR="005A263A">
        <w:rPr>
          <w:noProof/>
        </w:rPr>
        <w:t>(</w:t>
      </w:r>
      <w:r w:rsidR="009C753A" w:rsidRPr="006273B4">
        <w:rPr>
          <w:noProof/>
        </w:rPr>
        <w:t>Health and Safety Executive, 1992)</w:t>
      </w:r>
      <w:r w:rsidR="009C753A">
        <w:fldChar w:fldCharType="end"/>
      </w:r>
      <w:r w:rsidR="009C753A">
        <w:t xml:space="preserve"> the safety barriers associated to this type of </w:t>
      </w:r>
      <w:r w:rsidR="008F4DE8">
        <w:t>equipment</w:t>
      </w:r>
      <w:r w:rsidR="009C753A">
        <w:t xml:space="preserve"> were identified and constitute </w:t>
      </w:r>
      <w:r w:rsidR="008F4DE8">
        <w:t xml:space="preserve">the object of the present analysis; the selected safety barriers are summarized in Table 1. </w:t>
      </w:r>
      <w:r w:rsidR="009C1048">
        <w:t xml:space="preserve">It is worth to noticing that only the </w:t>
      </w:r>
      <w:r w:rsidR="009C1048">
        <w:lastRenderedPageBreak/>
        <w:t xml:space="preserve">systems relevant for domino prevention are listed below. </w:t>
      </w:r>
      <w:r w:rsidR="00BF49BA" w:rsidRPr="009D2174">
        <w:t>As shown in Table 1, two types of active fire protection systems are considered:</w:t>
      </w:r>
    </w:p>
    <w:p w14:paraId="464A3854" w14:textId="77777777" w:rsidR="00BF49BA" w:rsidRPr="009D2174" w:rsidRDefault="00BF49BA" w:rsidP="00BF49BA">
      <w:pPr>
        <w:pStyle w:val="Paragrafoelenco1"/>
        <w:numPr>
          <w:ilvl w:val="0"/>
          <w:numId w:val="15"/>
        </w:numPr>
        <w:rPr>
          <w:lang w:val="en-GB"/>
        </w:rPr>
      </w:pPr>
      <w:r w:rsidRPr="009D2174">
        <w:rPr>
          <w:lang w:val="en-GB"/>
        </w:rPr>
        <w:t>Systems for the delivery of fire-fighting agents (such as water or water-based foam), which are designed</w:t>
      </w:r>
      <w:r w:rsidR="004E3291">
        <w:rPr>
          <w:lang w:val="en-GB"/>
        </w:rPr>
        <w:t>, among other functions,</w:t>
      </w:r>
      <w:r w:rsidRPr="009D2174">
        <w:rPr>
          <w:lang w:val="en-GB"/>
        </w:rPr>
        <w:t xml:space="preserve"> to mitigate fire exposure of the target</w:t>
      </w:r>
      <w:r w:rsidR="004E3291">
        <w:rPr>
          <w:lang w:val="en-GB"/>
        </w:rPr>
        <w:t xml:space="preserve"> </w:t>
      </w:r>
      <w:r w:rsidR="004E3291">
        <w:rPr>
          <w:lang w:val="en-GB"/>
        </w:rPr>
        <w:fldChar w:fldCharType="begin" w:fldLock="1"/>
      </w:r>
      <w:r w:rsidR="004E3291">
        <w:rPr>
          <w:lang w:val="en-GB"/>
        </w:rPr>
        <w:instrText>ADDIN CSL_CITATION { "citationItems" : [ { "id" : "ITEM-1", "itemData" : { "author" : [ { "dropping-particle" : "", "family" : "NORSOK", "given" : "", "non-dropping-particle" : "", "parse-names" : false, "suffix" : "" } ], "id" : "ITEM-1", "issue" : "February", "issued" : { "date-parts" : [ [ "2008" ] ] }, "title" : "NORSOK S-001 Technical safety", "type" : "article-journal" }, "uris" : [ "http://www.mendeley.com/documents/?uuid=a3d0c15e-5348-49c9-bda4-f2c2489f253b" ] } ], "mendeley" : { "formattedCitation" : "(NORSOK, 2008)", "plainTextFormattedCitation" : "(NORSOK, 2008)", "previouslyFormattedCitation" : "(NORSOK, 2008)" }, "properties" : {  }, "schema" : "https://github.com/citation-style-language/schema/raw/master/csl-citation.json" }</w:instrText>
      </w:r>
      <w:r w:rsidR="004E3291">
        <w:rPr>
          <w:lang w:val="en-GB"/>
        </w:rPr>
        <w:fldChar w:fldCharType="separate"/>
      </w:r>
      <w:r w:rsidR="004E3291" w:rsidRPr="004E3291">
        <w:rPr>
          <w:noProof/>
          <w:lang w:val="en-GB"/>
        </w:rPr>
        <w:t>(NORSOK, 2008)</w:t>
      </w:r>
      <w:r w:rsidR="004E3291">
        <w:rPr>
          <w:lang w:val="en-GB"/>
        </w:rPr>
        <w:fldChar w:fldCharType="end"/>
      </w:r>
      <w:r w:rsidRPr="009D2174">
        <w:rPr>
          <w:lang w:val="en-GB"/>
        </w:rPr>
        <w:t>;</w:t>
      </w:r>
    </w:p>
    <w:p w14:paraId="285FC6A2" w14:textId="77777777" w:rsidR="00BF49BA" w:rsidRDefault="00BF49BA" w:rsidP="00BF49BA">
      <w:pPr>
        <w:pStyle w:val="Paragrafoelenco1"/>
        <w:numPr>
          <w:ilvl w:val="0"/>
          <w:numId w:val="15"/>
        </w:numPr>
        <w:rPr>
          <w:lang w:val="en-GB"/>
        </w:rPr>
      </w:pPr>
      <w:r w:rsidRPr="009D2174">
        <w:rPr>
          <w:lang w:val="en-GB"/>
        </w:rPr>
        <w:t>Emergency isolation systems through shutdown, which is designed to isolate a target unit, reducing the potential loss and consequent damage connected to the large inventory.</w:t>
      </w:r>
    </w:p>
    <w:p w14:paraId="7D53FFB4" w14:textId="77777777" w:rsidR="00BF0CB7" w:rsidRPr="009D2174" w:rsidRDefault="00BF0CB7" w:rsidP="00BF0CB7">
      <w:pPr>
        <w:pStyle w:val="Paragrafoelenco1"/>
        <w:ind w:left="0"/>
        <w:rPr>
          <w:lang w:val="en-GB"/>
        </w:rPr>
      </w:pPr>
    </w:p>
    <w:p w14:paraId="1A8587D7" w14:textId="77777777" w:rsidR="003C437D" w:rsidRPr="008E5FF4" w:rsidRDefault="003C437D" w:rsidP="009270F7">
      <w:r w:rsidRPr="008E5FF4">
        <w:t xml:space="preserve">Table 1. Summary of fire protection devices for offshore horizontal separator according to </w:t>
      </w:r>
      <w:r w:rsidRPr="008E5FF4">
        <w:fldChar w:fldCharType="begin" w:fldLock="1"/>
      </w:r>
      <w:r w:rsidR="00131B8A">
        <w:instrText>ADDIN CSL_CITATION { "citationItems" : [ { "id" : "ITEM-1", "itemData" : { "author" : [ { "dropping-particle" : "", "family" : "HSE Health and Safety Executive", "given" : "", "non-dropping-particle" : "", "parse-names" : false, "suffix" : "" } ], "id" : "ITEM-1", "issued" : { "date-parts" : [ [ "1992" ] ] }, "publisher-place" : "London", "title" : "Generic foundation data to be used in the assessment of blast and fire scenarios and typical structural details for primary, secondary and supporting structures components - OTI92585", "type" : "book" }, "uris" : [ "http://www.mendeley.com/documents/?uuid=5849e359-b9c9-4564-80fc-87aadc7c9585", "http://www.mendeley.com/documents/?uuid=9b9d7a17-a5b2-4688-9fdd-208adc41459a", "http://www.mendeley.com/documents/?uuid=381f03bd-8768-4379-b963-aae3fe8633b0" ] } ], "mendeley" : { "formattedCitation" : "(HSE Health and Safety Executive, 1992)", "manualFormatting" : "HSE Health and Safety Executive (1992)", "plainTextFormattedCitation" : "(HSE Health and Safety Executive, 1992)", "previouslyFormattedCitation" : "(HSE Health and Safety Executive, 1992)" }, "properties" : {  }, "schema" : "https://github.com/citation-style-language/schema/raw/master/csl-citation.json" }</w:instrText>
      </w:r>
      <w:r w:rsidRPr="008E5FF4">
        <w:fldChar w:fldCharType="separate"/>
      </w:r>
      <w:r w:rsidRPr="008E5FF4">
        <w:rPr>
          <w:noProof/>
        </w:rPr>
        <w:t>HSE Health and Safety Executive (1992)</w:t>
      </w:r>
      <w:r w:rsidRPr="008E5FF4">
        <w:fldChar w:fldCharType="end"/>
      </w:r>
      <w:r w:rsidRPr="008E5FF4">
        <w:t>.</w:t>
      </w:r>
    </w:p>
    <w:tbl>
      <w:tblPr>
        <w:tblStyle w:val="TableGrid"/>
        <w:tblW w:w="8926" w:type="dxa"/>
        <w:tblLook w:val="04A0" w:firstRow="1" w:lastRow="0" w:firstColumn="1" w:lastColumn="0" w:noHBand="0" w:noVBand="1"/>
      </w:tblPr>
      <w:tblGrid>
        <w:gridCol w:w="1424"/>
        <w:gridCol w:w="2633"/>
        <w:gridCol w:w="2527"/>
        <w:gridCol w:w="2342"/>
      </w:tblGrid>
      <w:tr w:rsidR="003C437D" w:rsidRPr="002A1C73" w14:paraId="47F8D761" w14:textId="77777777" w:rsidTr="00CC0811">
        <w:tc>
          <w:tcPr>
            <w:tcW w:w="1439" w:type="dxa"/>
          </w:tcPr>
          <w:p w14:paraId="0FB908DE" w14:textId="77777777" w:rsidR="003C437D" w:rsidRPr="000D14A2" w:rsidRDefault="003C437D" w:rsidP="005A263A">
            <w:pPr>
              <w:pStyle w:val="Table"/>
              <w:rPr>
                <w:b/>
              </w:rPr>
            </w:pPr>
            <w:r w:rsidRPr="000D14A2">
              <w:rPr>
                <w:b/>
              </w:rPr>
              <w:t>Target Equipment</w:t>
            </w:r>
          </w:p>
        </w:tc>
        <w:tc>
          <w:tcPr>
            <w:tcW w:w="2778" w:type="dxa"/>
          </w:tcPr>
          <w:p w14:paraId="4895E43F" w14:textId="77777777" w:rsidR="003C437D" w:rsidRPr="000D14A2" w:rsidRDefault="003C437D" w:rsidP="005A263A">
            <w:pPr>
              <w:pStyle w:val="Table"/>
              <w:rPr>
                <w:b/>
              </w:rPr>
            </w:pPr>
            <w:r w:rsidRPr="000D14A2">
              <w:rPr>
                <w:b/>
              </w:rPr>
              <w:t>Active protection systems</w:t>
            </w:r>
          </w:p>
        </w:tc>
        <w:tc>
          <w:tcPr>
            <w:tcW w:w="2665" w:type="dxa"/>
          </w:tcPr>
          <w:p w14:paraId="3962162F" w14:textId="77777777" w:rsidR="003C437D" w:rsidRPr="000D14A2" w:rsidRDefault="003C437D" w:rsidP="005A263A">
            <w:pPr>
              <w:pStyle w:val="Table"/>
              <w:rPr>
                <w:b/>
              </w:rPr>
            </w:pPr>
            <w:r w:rsidRPr="000D14A2">
              <w:rPr>
                <w:b/>
              </w:rPr>
              <w:t xml:space="preserve">Passive protection systems </w:t>
            </w:r>
          </w:p>
        </w:tc>
        <w:tc>
          <w:tcPr>
            <w:tcW w:w="2044" w:type="dxa"/>
          </w:tcPr>
          <w:p w14:paraId="02F9E5FD" w14:textId="77777777" w:rsidR="003C437D" w:rsidRPr="000D14A2" w:rsidRDefault="003C437D" w:rsidP="005A263A">
            <w:pPr>
              <w:pStyle w:val="Table"/>
              <w:rPr>
                <w:b/>
              </w:rPr>
            </w:pPr>
            <w:r w:rsidRPr="000D14A2">
              <w:rPr>
                <w:b/>
              </w:rPr>
              <w:t xml:space="preserve">Procedural/emergency measures </w:t>
            </w:r>
          </w:p>
        </w:tc>
      </w:tr>
      <w:tr w:rsidR="003C437D" w:rsidRPr="009270F7" w14:paraId="7411C75B" w14:textId="77777777" w:rsidTr="00CC0811">
        <w:tc>
          <w:tcPr>
            <w:tcW w:w="1439" w:type="dxa"/>
          </w:tcPr>
          <w:p w14:paraId="306B6E1F" w14:textId="77777777" w:rsidR="003C437D" w:rsidRDefault="003C437D" w:rsidP="005A263A">
            <w:pPr>
              <w:pStyle w:val="Table"/>
            </w:pPr>
            <w:r>
              <w:t>Horizontal Separator</w:t>
            </w:r>
          </w:p>
        </w:tc>
        <w:tc>
          <w:tcPr>
            <w:tcW w:w="2778" w:type="dxa"/>
          </w:tcPr>
          <w:p w14:paraId="246C697D" w14:textId="77777777" w:rsidR="003C437D" w:rsidRPr="004B266E" w:rsidRDefault="003C437D" w:rsidP="005A263A">
            <w:pPr>
              <w:pStyle w:val="Table"/>
            </w:pPr>
            <w:r w:rsidRPr="004B266E">
              <w:t xml:space="preserve">Water Deluge System (WDS01) </w:t>
            </w:r>
          </w:p>
          <w:p w14:paraId="6E17AC29" w14:textId="77777777" w:rsidR="003C437D" w:rsidRPr="004B266E" w:rsidRDefault="003C437D" w:rsidP="005A263A">
            <w:pPr>
              <w:pStyle w:val="Table"/>
            </w:pPr>
            <w:r w:rsidRPr="004B266E">
              <w:t xml:space="preserve">Emergency Shut Down (ESD01) </w:t>
            </w:r>
          </w:p>
        </w:tc>
        <w:tc>
          <w:tcPr>
            <w:tcW w:w="2665" w:type="dxa"/>
          </w:tcPr>
          <w:p w14:paraId="1D34933D" w14:textId="77777777" w:rsidR="003C437D" w:rsidRPr="004B266E" w:rsidRDefault="003C437D" w:rsidP="005A263A">
            <w:pPr>
              <w:pStyle w:val="Table"/>
            </w:pPr>
            <w:r w:rsidRPr="004B266E">
              <w:t xml:space="preserve">Pressure Safety Valve (PSV01) </w:t>
            </w:r>
          </w:p>
          <w:p w14:paraId="050145D5" w14:textId="77777777" w:rsidR="003C437D" w:rsidRPr="004B266E" w:rsidRDefault="003C437D" w:rsidP="005A263A">
            <w:pPr>
              <w:pStyle w:val="Table"/>
            </w:pPr>
            <w:r w:rsidRPr="004B266E">
              <w:t>Passive Fire Protection (PFP01) (2h rating)</w:t>
            </w:r>
          </w:p>
        </w:tc>
        <w:tc>
          <w:tcPr>
            <w:tcW w:w="2044" w:type="dxa"/>
          </w:tcPr>
          <w:p w14:paraId="1CE0B879" w14:textId="77777777" w:rsidR="003C437D" w:rsidRPr="004B266E" w:rsidRDefault="003C437D" w:rsidP="005A263A">
            <w:pPr>
              <w:pStyle w:val="Table"/>
            </w:pPr>
            <w:r w:rsidRPr="004B266E">
              <w:t xml:space="preserve">Emergency response </w:t>
            </w:r>
            <w:r w:rsidR="004B266E">
              <w:t xml:space="preserve">and rescue </w:t>
            </w:r>
            <w:r w:rsidRPr="004B266E">
              <w:t>(EE01)</w:t>
            </w:r>
          </w:p>
        </w:tc>
      </w:tr>
    </w:tbl>
    <w:p w14:paraId="6919E03F" w14:textId="77777777" w:rsidR="003C437D" w:rsidRPr="009C753A" w:rsidRDefault="003C437D" w:rsidP="009270F7"/>
    <w:p w14:paraId="20BCCA33" w14:textId="77777777" w:rsidR="006744DA" w:rsidRPr="009D2174" w:rsidRDefault="006744DA" w:rsidP="000D14A2">
      <w:r w:rsidRPr="009D2174">
        <w:t xml:space="preserve">In the framework of escalation prevention, the application of fireproofing materials </w:t>
      </w:r>
      <w:r w:rsidR="00EA04C4" w:rsidRPr="009D2174">
        <w:t>constitutes</w:t>
      </w:r>
      <w:r w:rsidRPr="009D2174">
        <w:t xml:space="preserve"> a relevant and effective passive safety barrier aimed </w:t>
      </w:r>
      <w:r w:rsidR="00C76597" w:rsidRPr="009D2174">
        <w:t>at</w:t>
      </w:r>
      <w:r w:rsidRPr="009D2174">
        <w:t xml:space="preserve"> delay</w:t>
      </w:r>
      <w:r w:rsidR="00C76597" w:rsidRPr="009D2174">
        <w:t>ing</w:t>
      </w:r>
      <w:r w:rsidRPr="009D2174">
        <w:t xml:space="preserve"> </w:t>
      </w:r>
      <w:r w:rsidR="005A263A" w:rsidRPr="009D2174">
        <w:t xml:space="preserve">fire </w:t>
      </w:r>
      <w:r w:rsidR="00C76597" w:rsidRPr="009D2174">
        <w:t>heat</w:t>
      </w:r>
      <w:r w:rsidR="005A263A">
        <w:t>ing</w:t>
      </w:r>
      <w:r w:rsidR="00C76597" w:rsidRPr="009D2174">
        <w:t>. Fireproofing is often</w:t>
      </w:r>
      <w:r w:rsidRPr="009D2174">
        <w:t xml:space="preserve"> combined with emergency relief systems </w:t>
      </w:r>
      <w:r w:rsidR="00C76597" w:rsidRPr="009D2174">
        <w:t xml:space="preserve">in order </w:t>
      </w:r>
      <w:r w:rsidRPr="009D2174">
        <w:t>to limit the vessel pressure build-up due to the liquid temperature</w:t>
      </w:r>
      <w:r w:rsidR="005A263A">
        <w:t xml:space="preserve"> increase</w:t>
      </w:r>
      <w:r w:rsidR="00EA04C4">
        <w:t xml:space="preserve"> </w:t>
      </w:r>
      <w:r w:rsidR="00EA04C4">
        <w:fldChar w:fldCharType="begin" w:fldLock="1"/>
      </w:r>
      <w:r w:rsidR="00131B8A">
        <w:instrText>ADDIN CSL_CITATION { "citationItems" : [ { "id" : "ITEM-1", "itemData" : { "author" : [ { "dropping-particle" : "", "family" : "American Petroleum Institute (API)", "given" : "", "non-dropping-particle" : "", "parse-names" : false, "suffix" : "" } ], "edition" : "2nd", "id" : "ITEM-1", "issued" : { "date-parts" : [ [ "1999" ] ] }, "publisher" : "American Petroleum Institute", "publisher-place" : "Washington, D.C.", "title" : "Fireproofing Practices in Petroleum and Petrochemical processing plants, API Publication 2218", "type" : "book" }, "uris" : [ "http://www.mendeley.com/documents/?uuid=e49fcb83-abb8-4066-a947-2abd32eee807" ] }, { "id" : "ITEM-2", "itemData" : { "author" : [ { "dropping-particle" : "", "family" : "SCI-Steel Construction Institute", "given" : "", "non-dropping-particle" : "", "parse-names" : false, "suffix" : "" } ], "id" : "ITEM-2", "issued" : { "date-parts" : [ [ "1992" ] ] }, "publisher" : "Health and Safety Executive, HM Stationery Office, London, UK", "publisher-place" : "London, UK", "title" : "Availability and properties of passive and active fire protection systems, OTI92607", "type" : "book" }, "uris" : [ "http://www.mendeley.com/documents/?uuid=b5530528-afa4-4acb-ad85-c438670bc2d9" ] } ], "mendeley" : { "formattedCitation" : "(American Petroleum Institute (API), 1999; SCI-Steel Construction Institute, 1992)", "plainTextFormattedCitation" : "(American Petroleum Institute (API), 1999; SCI-Steel Construction Institute, 1992)", "previouslyFormattedCitation" : "(American Petroleum Institute (API), 1999; SCI-Steel Construction Institute, 1992)" }, "properties" : {  }, "schema" : "https://github.com/citation-style-language/schema/raw/master/csl-citation.json" }</w:instrText>
      </w:r>
      <w:r w:rsidR="00EA04C4">
        <w:fldChar w:fldCharType="separate"/>
      </w:r>
      <w:r w:rsidR="00EA04C4" w:rsidRPr="00EA04C4">
        <w:rPr>
          <w:noProof/>
        </w:rPr>
        <w:t>(American Petroleum Institute (API), 1999; SCI-Steel Construction Institute, 1992)</w:t>
      </w:r>
      <w:r w:rsidR="00EA04C4">
        <w:fldChar w:fldCharType="end"/>
      </w:r>
      <w:r w:rsidR="00EA04C4">
        <w:t>.</w:t>
      </w:r>
    </w:p>
    <w:p w14:paraId="05A5BCEE" w14:textId="77777777" w:rsidR="00C85C20" w:rsidRPr="009D2174" w:rsidRDefault="006744DA" w:rsidP="000D14A2">
      <w:pPr>
        <w:pStyle w:val="Paragrafoelenco1"/>
        <w:ind w:left="0"/>
        <w:rPr>
          <w:color w:val="000000"/>
          <w:lang w:val="en-GB"/>
        </w:rPr>
      </w:pPr>
      <w:r w:rsidRPr="009D2174">
        <w:rPr>
          <w:lang w:val="en-GB"/>
        </w:rPr>
        <w:t xml:space="preserve">Finally, procedural and emergency measures include the relevant operating procedures with respect to escalation prevention and to support the </w:t>
      </w:r>
      <w:r w:rsidRPr="009D2174">
        <w:rPr>
          <w:color w:val="000000"/>
          <w:lang w:val="en-GB"/>
        </w:rPr>
        <w:t>coordinated response to a major accident scenario.</w:t>
      </w:r>
      <w:r w:rsidR="00C85C20" w:rsidRPr="009D2174">
        <w:rPr>
          <w:color w:val="000000"/>
          <w:lang w:val="en-GB"/>
        </w:rPr>
        <w:t xml:space="preserve"> For offshore installation</w:t>
      </w:r>
      <w:r w:rsidR="002E3C0C">
        <w:rPr>
          <w:color w:val="000000"/>
          <w:lang w:val="en-GB"/>
        </w:rPr>
        <w:t>s</w:t>
      </w:r>
      <w:r w:rsidR="00C85C20" w:rsidRPr="009D2174">
        <w:rPr>
          <w:color w:val="000000"/>
          <w:lang w:val="en-GB"/>
        </w:rPr>
        <w:t xml:space="preserve">, the emergency response consists in </w:t>
      </w:r>
      <w:r w:rsidR="005A263A" w:rsidRPr="009D2174">
        <w:rPr>
          <w:color w:val="000000"/>
          <w:lang w:val="en-GB"/>
        </w:rPr>
        <w:t xml:space="preserve">both </w:t>
      </w:r>
      <w:r w:rsidR="00C85C20" w:rsidRPr="009D2174">
        <w:rPr>
          <w:color w:val="000000"/>
          <w:lang w:val="en-GB"/>
        </w:rPr>
        <w:t xml:space="preserve">actions taken from personnel on board to contain and/or control the hazard and actions carried out by trained personnel approaching the facility from the safety and rescue vessels. </w:t>
      </w:r>
    </w:p>
    <w:p w14:paraId="424DA4FE" w14:textId="77777777" w:rsidR="00572B4E" w:rsidRDefault="00572B4E" w:rsidP="00F53A82">
      <w:r w:rsidRPr="000D14A2">
        <w:t>A survey of performance data for safety barriers summarized in Table 1 was carried out</w:t>
      </w:r>
      <w:r w:rsidR="00EF15BE" w:rsidRPr="000D14A2">
        <w:t xml:space="preserve"> in a previous work in which a specific data repository was built </w:t>
      </w:r>
      <w:r w:rsidR="00EF15BE" w:rsidRPr="000D14A2">
        <w:fldChar w:fldCharType="begin" w:fldLock="1"/>
      </w:r>
      <w:r w:rsidR="00131B8A">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"plainTextFormattedCitation" : "(Landucci et al., 2015)", "previouslyFormattedCitation" : "(Landucci et al., 2015)" }, "properties" : {  }, "schema" : "https://github.com/citation-style-language/schema/raw/master/csl-citation.json" }</w:instrText>
      </w:r>
      <w:r w:rsidR="00EF15BE" w:rsidRPr="000D14A2">
        <w:fldChar w:fldCharType="separate"/>
      </w:r>
      <w:r w:rsidR="00EF15BE" w:rsidRPr="000D14A2">
        <w:rPr>
          <w:noProof/>
        </w:rPr>
        <w:t>(Landucci et al., 2015)</w:t>
      </w:r>
      <w:r w:rsidR="00EF15BE" w:rsidRPr="000D14A2">
        <w:fldChar w:fldCharType="end"/>
      </w:r>
      <w:r w:rsidRPr="004A2B67">
        <w:t>.</w:t>
      </w:r>
      <w:r w:rsidR="00236778" w:rsidRPr="004A2B67">
        <w:t xml:space="preserve"> These performance data are hereby taken as initial reference to support the </w:t>
      </w:r>
      <w:r w:rsidR="00236778" w:rsidRPr="0030294D">
        <w:t>analysis of safety barrier performance in harsh environment conditions.</w:t>
      </w:r>
    </w:p>
    <w:p w14:paraId="37BF7665" w14:textId="77777777" w:rsidR="00D255D2" w:rsidRPr="00D255D2" w:rsidRDefault="00D255D2" w:rsidP="009270F7">
      <w:r w:rsidRPr="00D255D2">
        <w:t>Active fire protections are complex systems and their availability</w:t>
      </w:r>
      <w:r w:rsidR="00CB5A4F" w:rsidRPr="002A673C">
        <w:rPr>
          <w:color w:val="FF0000"/>
        </w:rPr>
        <w:t>, expressed in terms of PFD</w:t>
      </w:r>
      <w:r w:rsidRPr="002A673C">
        <w:rPr>
          <w:color w:val="FF0000"/>
        </w:rPr>
        <w:t xml:space="preserve"> (</w:t>
      </w:r>
      <w:r w:rsidR="00CB5A4F" w:rsidRPr="002A673C">
        <w:rPr>
          <w:color w:val="FF0000"/>
        </w:rPr>
        <w:t>probability of failure on demand</w:t>
      </w:r>
      <w:r w:rsidRPr="002A673C">
        <w:rPr>
          <w:color w:val="FF0000"/>
        </w:rPr>
        <w:t>)</w:t>
      </w:r>
      <w:r w:rsidR="00CB5A4F" w:rsidRPr="002A673C">
        <w:rPr>
          <w:color w:val="FF0000"/>
        </w:rPr>
        <w:t>,</w:t>
      </w:r>
      <w:r w:rsidRPr="002A673C">
        <w:rPr>
          <w:color w:val="FF0000"/>
        </w:rPr>
        <w:t xml:space="preserve"> </w:t>
      </w:r>
      <w:r w:rsidRPr="00D255D2">
        <w:t xml:space="preserve">is evaluated using fault tree analysis where dependencies and common cause </w:t>
      </w:r>
      <w:r w:rsidR="00BF0CB7">
        <w:t xml:space="preserve">of </w:t>
      </w:r>
      <w:r w:rsidRPr="00D255D2">
        <w:t>failure</w:t>
      </w:r>
      <w:r w:rsidR="002E3C0C">
        <w:t>s</w:t>
      </w:r>
      <w:r w:rsidRPr="00D255D2">
        <w:t xml:space="preserve"> are addressed through the “beta factor” method</w:t>
      </w:r>
      <w:r w:rsidR="004735A6">
        <w:t xml:space="preserve"> </w:t>
      </w:r>
      <w:r w:rsidR="004A2B67">
        <w:fldChar w:fldCharType="begin" w:fldLock="1"/>
      </w:r>
      <w:r w:rsidR="00131B8A">
        <w:instrText>ADDIN CSL_CITATION { "citationItems" : [ { "id" : "ITEM-1", "itemData" : { "author" : [ { "dropping-particle" : "", "family" : "Schueller", "given" : "J C H", "non-dropping-particle" : "", "parse-names" : false, "suffix" : "" } ], "id" : "ITEM-1", "issued" : { "date-parts" : [ [ "1997" ] ] }, "title" : "Methods for Determining and Processing Probabilities", "type" : "book" }, "uris" : [ "http://www.mendeley.com/documents/?uuid=36b09622-b3c1-49aa-b07c-47f7c9f45e87" ] } ], "mendeley" : { "formattedCitation" : "(Schueller, 1997)", "plainTextFormattedCitation" : "(Schueller, 1997)", "previouslyFormattedCitation" : "(Schueller, 1997)" }, "properties" : {  }, "schema" : "https://github.com/citation-style-language/schema/raw/master/csl-citation.json" }</w:instrText>
      </w:r>
      <w:r w:rsidR="004A2B67">
        <w:fldChar w:fldCharType="separate"/>
      </w:r>
      <w:r w:rsidR="004A2B67" w:rsidRPr="004A2B67">
        <w:rPr>
          <w:noProof/>
        </w:rPr>
        <w:t>(Schueller, 1997)</w:t>
      </w:r>
      <w:r w:rsidR="004A2B67">
        <w:fldChar w:fldCharType="end"/>
      </w:r>
      <w:r w:rsidRPr="00D255D2">
        <w:t>. The successful application of active fire protection does not guarantee the prevention of escalation hence the evaluation of system effectiveness through quantitative parameters is required. Passive fire protections can be considered as single components and then their availability is derived conservatively from specific literature (National Fire Protection Agency (NFPA), 2009).</w:t>
      </w:r>
    </w:p>
    <w:p w14:paraId="472DDD87" w14:textId="77777777" w:rsidR="00236778" w:rsidRPr="009C753A" w:rsidRDefault="00236778" w:rsidP="009270F7"/>
    <w:p w14:paraId="45985FE8" w14:textId="77777777" w:rsidR="00C15C3C" w:rsidRDefault="00C15C3C" w:rsidP="009270F7">
      <w:pPr>
        <w:pStyle w:val="Heading2"/>
      </w:pPr>
      <w:r>
        <w:lastRenderedPageBreak/>
        <w:t>2.</w:t>
      </w:r>
      <w:r w:rsidR="007406E3">
        <w:t xml:space="preserve">3 </w:t>
      </w:r>
      <w:r w:rsidRPr="00D375B6">
        <w:t xml:space="preserve">Definition of Harsh Environment Score </w:t>
      </w:r>
      <w:r w:rsidR="007406E3" w:rsidRPr="00D375B6">
        <w:t>(HES)</w:t>
      </w:r>
    </w:p>
    <w:p w14:paraId="01A41549" w14:textId="77777777" w:rsidR="004D7452" w:rsidRDefault="004D7452" w:rsidP="009270F7">
      <w:pPr>
        <w:pStyle w:val="Heading3"/>
      </w:pPr>
      <w:r>
        <w:t>2.</w:t>
      </w:r>
      <w:r w:rsidR="007406E3">
        <w:t>3</w:t>
      </w:r>
      <w:r>
        <w:t xml:space="preserve">.1 </w:t>
      </w:r>
      <w:r w:rsidR="007406E3">
        <w:t>HES evaluation approach</w:t>
      </w:r>
    </w:p>
    <w:p w14:paraId="0ED1485F" w14:textId="77777777" w:rsidR="00B73399" w:rsidRDefault="0006301C">
      <w:r>
        <w:t>I</w:t>
      </w:r>
      <w:r w:rsidR="00BF0CB7">
        <w:t>n order to assess the influence of harsh environment, i</w:t>
      </w:r>
      <w:r>
        <w:t xml:space="preserve">ndications about </w:t>
      </w:r>
      <w:r w:rsidR="00593694">
        <w:t xml:space="preserve">the influence of </w:t>
      </w:r>
      <w:r>
        <w:t xml:space="preserve">different </w:t>
      </w:r>
      <w:r w:rsidR="00090754">
        <w:t xml:space="preserve">site-specific </w:t>
      </w:r>
      <w:r>
        <w:t>environmental pa</w:t>
      </w:r>
      <w:r w:rsidR="00ED2375">
        <w:t xml:space="preserve">rameters, </w:t>
      </w:r>
      <w:r w:rsidR="007A3AFF">
        <w:t xml:space="preserve">such </w:t>
      </w:r>
      <w:r w:rsidR="00ED2375">
        <w:t xml:space="preserve">as temperature, wind and </w:t>
      </w:r>
      <w:r>
        <w:t xml:space="preserve">waves height, are combined in order to define the Harsh Environmental Score (HES). </w:t>
      </w:r>
      <w:r w:rsidR="00ED2375">
        <w:t>In sight</w:t>
      </w:r>
      <w:r w:rsidR="00090754">
        <w:t xml:space="preserve"> of indexes for extreme meteorological conditions, </w:t>
      </w:r>
      <w:r w:rsidR="00593694">
        <w:t xml:space="preserve">such </w:t>
      </w:r>
      <w:r w:rsidR="00090754">
        <w:t>as the Severe Weather Threat Index (SWEAT)</w:t>
      </w:r>
      <w:r w:rsidR="00C018F5">
        <w:t xml:space="preserve"> </w:t>
      </w:r>
      <w:r w:rsidR="00C018F5">
        <w:fldChar w:fldCharType="begin" w:fldLock="1"/>
      </w:r>
      <w:r w:rsidR="00131B8A">
        <w:instrText>ADDIN CSL_CITATION { "citationItems" : [ { "id" : "ITEM-1", "itemData" : { "author" : [ { "dropping-particle" : "", "family" : "R. C. Miller", "given" : "", "non-dropping-particle" : "", "parse-names" : false, "suffix" : "" } ], "id" : "ITEM-1", "issued" : { "date-parts" : [ [ "1972" ] ] }, "number-of-pages" : "184", "publisher-place" : "Illinois, USA", "title" : "Notes on the analysis and severe-storm forecasting procedures of the Air Force Global Weather Central", "type" : "report" }, "uris" : [ "http://www.mendeley.com/documents/?uuid=33d83e77-750a-438a-95c1-561adfa7783b", "http://www.mendeley.com/documents/?uuid=56638953-b692-4b73-81ce-11268ddab768", "http://www.mendeley.com/documents/?uuid=962cb5ed-7ba2-4d38-872b-517acdde2d88" ] } ], "mendeley" : { "formattedCitation" : "(R. C. Miller, 1972)", "manualFormatting" : "(Miller, 1972)", "plainTextFormattedCitation" : "(R. C. Miller, 1972)", "previouslyFormattedCitation" : "(R. C. Miller, 1972)" }, "properties" : {  }, "schema" : "https://github.com/citation-style-language/schema/raw/master/csl-citation.json" }</w:instrText>
      </w:r>
      <w:r w:rsidR="00C018F5">
        <w:fldChar w:fldCharType="separate"/>
      </w:r>
      <w:r w:rsidR="00C018F5" w:rsidRPr="00C018F5">
        <w:rPr>
          <w:noProof/>
        </w:rPr>
        <w:t>(Miller, 1972)</w:t>
      </w:r>
      <w:r w:rsidR="00C018F5">
        <w:fldChar w:fldCharType="end"/>
      </w:r>
      <w:r w:rsidR="00090754">
        <w:t xml:space="preserve"> and the Severe Thunderstorm Index (STI) </w:t>
      </w:r>
      <w:r w:rsidR="00C018F5">
        <w:fldChar w:fldCharType="begin" w:fldLock="1"/>
      </w:r>
      <w:r w:rsidR="00131B8A">
        <w:instrText>ADDIN CSL_CITATION { "citationItems" : [ { "id" : "ITEM-1", "itemData" : { "author" : [ { "dropping-particle" : "", "family" : "Maglaras", "given" : "G. J.", "non-dropping-particle" : "", "parse-names" : false, "suffix" : "" }, { "dropping-particle" : "", "family" : "LaPenta", "given" : "K. D.", "non-dropping-particle" : "", "parse-names" : false, "suffix" : "" } ], "container-title" : "National Weather Service Forecast Office", "id" : "ITEM-1", "issued" : { "date-parts" : [ [ "1997" ] ] }, "page" : "3-9", "title" : "Development of a forecast equation to predict the severity of thunderstorm events in New York State", "type" : "article-journal", "volume" : "21" }, "uris" : [ "http://www.mendeley.com/documents/?uuid=68c4d67c-4d84-40e9-bb6c-bb9474899f7a", "http://www.mendeley.com/documents/?uuid=2e960a3a-14d5-435c-8991-24544be1ece0", "http://www.mendeley.com/documents/?uuid=fd38db68-d04a-46eb-91f4-217692d73906" ] } ], "mendeley" : { "formattedCitation" : "(Maglaras and LaPenta, 1997)", "plainTextFormattedCitation" : "(Maglaras and LaPenta, 1997)", "previouslyFormattedCitation" : "(Maglaras and LaPenta, 1997)" }, "properties" : {  }, "schema" : "https://github.com/citation-style-language/schema/raw/master/csl-citation.json" }</w:instrText>
      </w:r>
      <w:r w:rsidR="00C018F5">
        <w:fldChar w:fldCharType="separate"/>
      </w:r>
      <w:r w:rsidR="002A1865" w:rsidRPr="002A1865">
        <w:rPr>
          <w:noProof/>
        </w:rPr>
        <w:t>(Maglaras and LaPenta, 1997)</w:t>
      </w:r>
      <w:r w:rsidR="00C018F5">
        <w:fldChar w:fldCharType="end"/>
      </w:r>
      <w:r w:rsidR="00090754">
        <w:t>, the HES is define</w:t>
      </w:r>
      <w:r w:rsidR="00ED2375">
        <w:t>d</w:t>
      </w:r>
      <w:r w:rsidR="00090754">
        <w:t xml:space="preserve"> as a weighted summation</w:t>
      </w:r>
      <w:r w:rsidR="007E7C1F">
        <w:t xml:space="preserve"> of the atmospheric parameters and it represents a preliminary metric to assess the harshness of the environment where the facility is located. </w:t>
      </w:r>
      <w:r w:rsidR="002D1D14">
        <w:t xml:space="preserve">HES </w:t>
      </w:r>
      <w:r w:rsidR="007E7C1F">
        <w:t xml:space="preserve">is used to </w:t>
      </w:r>
      <w:r w:rsidR="00281B8C">
        <w:t xml:space="preserve">consider </w:t>
      </w:r>
      <w:r w:rsidR="007E7C1F">
        <w:t xml:space="preserve">the influence of </w:t>
      </w:r>
      <w:r w:rsidR="00BF0CB7">
        <w:t>environmental</w:t>
      </w:r>
      <w:r w:rsidR="007E7C1F">
        <w:t xml:space="preserve"> </w:t>
      </w:r>
      <w:r w:rsidR="007E7C1F" w:rsidRPr="004B266E">
        <w:t xml:space="preserve">conditions on barrier performance as explained in sections </w:t>
      </w:r>
      <w:r w:rsidR="00F00CBE" w:rsidRPr="004B266E">
        <w:t>2.4</w:t>
      </w:r>
      <w:r w:rsidR="007E7C1F" w:rsidRPr="004B266E">
        <w:t xml:space="preserve"> and </w:t>
      </w:r>
      <w:r w:rsidR="00F00CBE" w:rsidRPr="004B266E">
        <w:t>2.5</w:t>
      </w:r>
      <w:r w:rsidR="007E7C1F" w:rsidRPr="004B266E">
        <w:t xml:space="preserve">. </w:t>
      </w:r>
      <w:r w:rsidR="002737BB" w:rsidRPr="004B266E">
        <w:t xml:space="preserve">Figure </w:t>
      </w:r>
      <w:r w:rsidR="0080109A" w:rsidRPr="004B266E">
        <w:t>2</w:t>
      </w:r>
      <w:r w:rsidR="002737BB" w:rsidRPr="004B266E">
        <w:t xml:space="preserve"> shows the hierarchical</w:t>
      </w:r>
      <w:r w:rsidR="002737BB">
        <w:t xml:space="preserve"> evaluation process for HES</w:t>
      </w:r>
      <w:r w:rsidR="006600F3">
        <w:t xml:space="preserve"> according to </w:t>
      </w:r>
      <w:r w:rsidR="008B3653">
        <w:fldChar w:fldCharType="begin" w:fldLock="1"/>
      </w:r>
      <w:r w:rsidR="00131B8A">
        <w:instrText>ADDIN CSL_CITATION { "citationItems" : [ { "id" : "ITEM-1", "itemData" : { "DOI" : "10.1016/j.ssci.2016.12.019", "ISSN" : "0925-7535", "author" : [ { "dropping-particle" : "", "family" : "Landucci", "given" : "Gabriele", "non-dropping-particle" : "", "parse-names" : false, "suffix" : "" }, { "dropping-particle" : "", "family" : "Bonvicini", "given" : "Sarah", "non-dropping-particle" : "", "parse-names" : false, "suffix" : "" }, { "dropping-particle" : "", "family" : "Cozzani", "given" : "Valerio", "non-dropping-particle" : "", "parse-names" : false, "suffix" : "" } ], "container-title" : "Safety Science", "id" : "ITEM-1", "issued" : { "date-parts" : [ [ "2017" ] ] }, "page" : "182-197", "publisher" : "Elsevier Ltd", "title" : "A methodology for the analysis of domino and cascading events in Oil &amp; Gas facilities operating in harsh environments", "type" : "article-journal", "volume" : "95" }, "uris" : [ "http://www.mendeley.com/documents/?uuid=5e3926d9-1f8f-4754-8ca0-0700670f8cda", "http://www.mendeley.com/documents/?uuid=849a50cb-bb1b-4e22-aa28-4b11775b24ee", "http://www.mendeley.com/documents/?uuid=6b99d480-36ec-4354-86af-649fdd5a1528" ] }, { "id" : "ITEM-2", "itemData" : { "author" : [ { "dropping-particle" : "", "family" : "Landucci", "given" : "G", "non-dropping-particle" : "", "parse-names" : false, "suffix" : "" }, { "dropping-particle" : "", "family" : "Necci", "given" : "A", "non-dropping-particle" : "", "parse-names" : false, "suffix" : "" }, { "dropping-particle" : "", "family" : "Antonioni", "given" : "G", "non-dropping-particle" : "", "parse-names" : false, "suffix" : "" }, { "dropping-particle" : "", "family" : "Argenti", "given" : "F", "non-dropping-particle" : "", "parse-names" : false, "suffix" : "" }, { "dropping-particle" : "", "family" : "Cozzani", "given" : "V", "non-dropping-particle" : "", "parse-names" : false, "suffix" : "" } ], "container-title" : "Reliability Engineering and System Safety", "id" : "ITEM-2", "issued" : { "date-parts" : [ [ "2017" ] ] }, "page" : "37-53", "title" : "Risk assessment of mitigated domino scenarios in process facilities", "type" : "article-journal", "volume" : "160" }, "uris" : [ "http://www.mendeley.com/documents/?uuid=8fb7bbdf-d2b2-409d-b896-aa6ed75e91ae" ] } ], "mendeley" : { "formattedCitation" : "(G Landucci et al., 2017; Gabriele Landucci et al., 2017)", "manualFormatting" : "(Landucci et al., 2017)", "plainTextFormattedCitation" : "(G Landucci et al., 2017; Gabriele Landucci et al., 2017)", "previouslyFormattedCitation" : "(G Landucci et al., 2017; Gabriele Landucci et al., 2017)" }, "properties" : {  }, "schema" : "https://github.com/citation-style-language/schema/raw/master/csl-citation.json" }</w:instrText>
      </w:r>
      <w:r w:rsidR="008B3653">
        <w:fldChar w:fldCharType="separate"/>
      </w:r>
      <w:r w:rsidR="008B3653" w:rsidRPr="008B3653">
        <w:rPr>
          <w:noProof/>
        </w:rPr>
        <w:t>(Landucci et al., 2017)</w:t>
      </w:r>
      <w:r w:rsidR="008B3653">
        <w:fldChar w:fldCharType="end"/>
      </w:r>
      <w:r w:rsidR="00593694">
        <w:t xml:space="preserve">, to which the </w:t>
      </w:r>
      <w:r w:rsidR="002E3C0C">
        <w:t xml:space="preserve">reader </w:t>
      </w:r>
      <w:r w:rsidR="00593694">
        <w:t>is referred for more details.</w:t>
      </w:r>
      <w:r w:rsidR="002737BB">
        <w:t xml:space="preserve"> </w:t>
      </w:r>
    </w:p>
    <w:p w14:paraId="0DD2167E" w14:textId="77777777" w:rsidR="0080109A" w:rsidRDefault="0080109A" w:rsidP="009270F7"/>
    <w:p w14:paraId="4FB5A4AB" w14:textId="42F60D24" w:rsidR="00AF1F5F" w:rsidRDefault="00875BDF" w:rsidP="00BE5004">
      <w:pPr>
        <w:jc w:val="center"/>
      </w:pPr>
      <w:r w:rsidRPr="00875BDF">
        <w:rPr>
          <w:noProof/>
          <w:lang w:val="nb-NO" w:eastAsia="nb-NO"/>
        </w:rPr>
        <w:drawing>
          <wp:inline distT="0" distB="0" distL="0" distR="0" wp14:anchorId="13559A98" wp14:editId="125C85D1">
            <wp:extent cx="2620967" cy="2216150"/>
            <wp:effectExtent l="0" t="0" r="825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5306" cy="2219818"/>
                    </a:xfrm>
                    <a:prstGeom prst="rect">
                      <a:avLst/>
                    </a:prstGeom>
                    <a:noFill/>
                    <a:ln>
                      <a:noFill/>
                    </a:ln>
                  </pic:spPr>
                </pic:pic>
              </a:graphicData>
            </a:graphic>
          </wp:inline>
        </w:drawing>
      </w:r>
    </w:p>
    <w:p w14:paraId="067B21DB" w14:textId="3E92737C" w:rsidR="00B73399" w:rsidRPr="00D5000C" w:rsidRDefault="00B73399" w:rsidP="009270F7">
      <w:pPr>
        <w:rPr>
          <w:i/>
          <w:color w:val="FF0000"/>
        </w:rPr>
      </w:pPr>
      <w:r w:rsidRPr="00D5000C">
        <w:rPr>
          <w:i/>
          <w:color w:val="FF0000"/>
        </w:rPr>
        <w:t xml:space="preserve">Figure </w:t>
      </w:r>
      <w:r w:rsidR="0080109A" w:rsidRPr="00D5000C">
        <w:rPr>
          <w:i/>
          <w:color w:val="FF0000"/>
        </w:rPr>
        <w:t>2</w:t>
      </w:r>
      <w:r w:rsidRPr="00D5000C">
        <w:rPr>
          <w:i/>
          <w:color w:val="FF0000"/>
        </w:rPr>
        <w:t xml:space="preserve">. Hierarchical approach for the evaluation of </w:t>
      </w:r>
      <w:r w:rsidR="00CD6280">
        <w:rPr>
          <w:i/>
          <w:color w:val="FF0000"/>
        </w:rPr>
        <w:t xml:space="preserve">the </w:t>
      </w:r>
      <w:r w:rsidR="0054047A" w:rsidRPr="00D5000C">
        <w:rPr>
          <w:i/>
          <w:color w:val="FF0000"/>
        </w:rPr>
        <w:t>Harsh Environmental Score (HES)</w:t>
      </w:r>
      <w:r w:rsidR="009F524C" w:rsidRPr="00D5000C">
        <w:rPr>
          <w:i/>
          <w:color w:val="FF0000"/>
        </w:rPr>
        <w:t>, adapted from</w:t>
      </w:r>
      <w:r w:rsidR="00ED2375" w:rsidRPr="00D5000C">
        <w:rPr>
          <w:i/>
          <w:color w:val="FF0000"/>
        </w:rPr>
        <w:t xml:space="preserve"> </w:t>
      </w:r>
      <w:r w:rsidR="00ED2375" w:rsidRPr="00D5000C">
        <w:rPr>
          <w:i/>
          <w:color w:val="FF0000"/>
        </w:rPr>
        <w:fldChar w:fldCharType="begin" w:fldLock="1"/>
      </w:r>
      <w:r w:rsidR="00131B8A" w:rsidRPr="00D5000C">
        <w:rPr>
          <w:i/>
          <w:color w:val="FF0000"/>
        </w:rPr>
        <w:instrText>ADDIN CSL_CITATION { "citationItems" : [ { "id" : "ITEM-1", "itemData" : { "DOI" : "10.1016/j.ssci.2016.12.019", "ISSN" : "0925-7535", "author" : [ { "dropping-particle" : "", "family" : "Landucci", "given" : "Gabriele", "non-dropping-particle" : "", "parse-names" : false, "suffix" : "" }, { "dropping-particle" : "", "family" : "Bonvicini", "given" : "Sarah", "non-dropping-particle" : "", "parse-names" : false, "suffix" : "" }, { "dropping-particle" : "", "family" : "Cozzani", "given" : "Valerio", "non-dropping-particle" : "", "parse-names" : false, "suffix" : "" } ], "container-title" : "Safety Science", "id" : "ITEM-1", "issued" : { "date-parts" : [ [ "2017" ] ] }, "page" : "182-197", "publisher" : "Elsevier Ltd", "title" : "A methodology for the analysis of domino and cascading events in Oil &amp; Gas facilities operating in harsh environments", "type" : "article-journal", "volume" : "95" }, "uris" : [ "http://www.mendeley.com/documents/?uuid=5e3926d9-1f8f-4754-8ca0-0700670f8cda", "http://www.mendeley.com/documents/?uuid=849a50cb-bb1b-4e22-aa28-4b11775b24ee", "http://www.mendeley.com/documents/?uuid=6b99d480-36ec-4354-86af-649fdd5a1528" ] } ], "mendeley" : { "formattedCitation" : "(Gabriele Landucci et al., 2017)", "manualFormatting" : "(Landucci et al., 2017)", "plainTextFormattedCitation" : "(Gabriele Landucci et al., 2017)", "previouslyFormattedCitation" : "(Gabriele Landucci et al., 2017)" }, "properties" : {  }, "schema" : "https://github.com/citation-style-language/schema/raw/master/csl-citation.json" }</w:instrText>
      </w:r>
      <w:r w:rsidR="00ED2375" w:rsidRPr="00D5000C">
        <w:rPr>
          <w:i/>
          <w:color w:val="FF0000"/>
        </w:rPr>
        <w:fldChar w:fldCharType="separate"/>
      </w:r>
      <w:r w:rsidR="007B05ED" w:rsidRPr="00D5000C">
        <w:rPr>
          <w:i/>
          <w:noProof/>
          <w:color w:val="FF0000"/>
        </w:rPr>
        <w:t>(</w:t>
      </w:r>
      <w:r w:rsidR="00D9525A" w:rsidRPr="00D5000C">
        <w:rPr>
          <w:i/>
          <w:noProof/>
          <w:color w:val="FF0000"/>
        </w:rPr>
        <w:t>Landucci et al., 2017</w:t>
      </w:r>
      <w:r w:rsidR="007B05ED" w:rsidRPr="00D5000C">
        <w:rPr>
          <w:i/>
          <w:noProof/>
          <w:color w:val="FF0000"/>
        </w:rPr>
        <w:t>)</w:t>
      </w:r>
      <w:r w:rsidR="00ED2375" w:rsidRPr="00D5000C">
        <w:rPr>
          <w:i/>
          <w:color w:val="FF0000"/>
        </w:rPr>
        <w:fldChar w:fldCharType="end"/>
      </w:r>
      <w:r w:rsidRPr="00D5000C">
        <w:rPr>
          <w:i/>
          <w:color w:val="FF0000"/>
        </w:rPr>
        <w:t>.</w:t>
      </w:r>
      <w:r w:rsidR="0054047A" w:rsidRPr="00D5000C">
        <w:rPr>
          <w:i/>
          <w:color w:val="FF0000"/>
        </w:rPr>
        <w:t xml:space="preserve"> An expert judgment elicitation procedure is adopted to score external factors associated with environmental conditions to evaluate the performance of safety barriers in harsh environment.</w:t>
      </w:r>
    </w:p>
    <w:p w14:paraId="3CCE95BE" w14:textId="77777777" w:rsidR="00B73399" w:rsidRDefault="00B73399" w:rsidP="009270F7"/>
    <w:p w14:paraId="5C5362ED" w14:textId="77777777" w:rsidR="00061C1F" w:rsidRDefault="002D1D14" w:rsidP="009270F7">
      <w:pPr>
        <w:pStyle w:val="Heading3"/>
      </w:pPr>
      <w:r>
        <w:t>2</w:t>
      </w:r>
      <w:r w:rsidR="00061C1F">
        <w:t>.</w:t>
      </w:r>
      <w:r>
        <w:t>3</w:t>
      </w:r>
      <w:r w:rsidR="00061C1F">
        <w:t>.2 Definition of stressors</w:t>
      </w:r>
      <w:r w:rsidR="005A5BCD">
        <w:t xml:space="preserve"> and penalties</w:t>
      </w:r>
    </w:p>
    <w:p w14:paraId="06071430" w14:textId="77777777" w:rsidR="00305B87" w:rsidRDefault="006600F3" w:rsidP="009270F7">
      <w:r>
        <w:t xml:space="preserve">The approach </w:t>
      </w:r>
      <w:r w:rsidR="00ED2375">
        <w:t>for the evaluation of HES shown in Figure 2 i</w:t>
      </w:r>
      <w:r>
        <w:t>s based on the identification of “stressors”. Stressors are factors that mostly affect the human performance in operation</w:t>
      </w:r>
      <w:r w:rsidR="00876494">
        <w:t>s</w:t>
      </w:r>
      <w:r>
        <w:t xml:space="preserve"> in extreme weather conditions. </w:t>
      </w:r>
      <w:r w:rsidR="00876494">
        <w:t xml:space="preserve">A generic taxonomy of stressors is provided by </w:t>
      </w:r>
      <w:r w:rsidR="00876494">
        <w:fldChar w:fldCharType="begin" w:fldLock="1"/>
      </w:r>
      <w:r w:rsidR="00BF0CB7">
        <w:instrText>ADDIN CSL_CITATION { "citationItems" : [ { "id" : "ITEM-1", "itemData" : { "author" : [ { "dropping-particle" : "", "family" : "Kim", "given" : "J. W.", "non-dropping-particle" : "", "parse-names" : false, "suffix" : "" }, { "dropping-particle" : "", "family" : "W. Jung", "given" : "", "non-dropping-particle" : "", "parse-names" : false, "suffix" : "" } ], "container-title" : "Journal of Loss Prevention in the Process Industries", "id" : "ITEM-1", "issued" : { "date-parts" : [ [ "2003" ] ] }, "page" : "479-495", "title" : "A taxonomy of performance influencing factors for human reliability analysis of emergency tasks", "type" : "article-journal", "volume" : "16" }, "uris" : [ "http://www.mendeley.com/documents/?uuid=2de829f3-352c-4f73-83d7-ce104b772751", "http://www.mendeley.com/documents/?uuid=231852db-34da-4f39-be0a-359742dbf523", "http://www.mendeley.com/documents/?uuid=9a95c2fa-02fb-4fb4-b665-0233bc713e71" ] } ], "mendeley" : { "formattedCitation" : "(Kim and W. Jung, 2003)", "manualFormatting" : "Kim &amp; Jung (2003)", "plainTextFormattedCitation" : "(Kim and W. Jung, 2003)", "previouslyFormattedCitation" : "(Kim and W. Jung, 2003)" }, "properties" : {  }, "schema" : "https://github.com/citation-style-language/schema/raw/master/csl-citation.json" }</w:instrText>
      </w:r>
      <w:r w:rsidR="00876494">
        <w:fldChar w:fldCharType="separate"/>
      </w:r>
      <w:r w:rsidR="00BF0CB7">
        <w:rPr>
          <w:noProof/>
        </w:rPr>
        <w:t xml:space="preserve">Kim &amp; </w:t>
      </w:r>
      <w:r w:rsidR="00876494">
        <w:rPr>
          <w:noProof/>
        </w:rPr>
        <w:t>Jung (</w:t>
      </w:r>
      <w:r w:rsidR="00876494" w:rsidRPr="00876494">
        <w:rPr>
          <w:noProof/>
        </w:rPr>
        <w:t>2003)</w:t>
      </w:r>
      <w:r w:rsidR="00876494">
        <w:fldChar w:fldCharType="end"/>
      </w:r>
      <w:r w:rsidR="00876494">
        <w:t xml:space="preserve">. </w:t>
      </w:r>
      <w:r w:rsidR="00B42112" w:rsidRPr="00B42112">
        <w:rPr>
          <w:color w:val="FF0000"/>
        </w:rPr>
        <w:t>Musharraf et al. (2013)</w:t>
      </w:r>
      <w:r w:rsidR="00B42112">
        <w:t xml:space="preserve"> </w:t>
      </w:r>
      <w:r w:rsidR="00876494">
        <w:t>analyse the most relevant stressors in harsh environment according to previous works from</w:t>
      </w:r>
      <w:r w:rsidR="00B42112" w:rsidRPr="00B42112">
        <w:rPr>
          <w:color w:val="FF0000"/>
        </w:rPr>
        <w:t xml:space="preserve"> Bercha (2006) and Bercha</w:t>
      </w:r>
      <w:r w:rsidR="00B42112">
        <w:rPr>
          <w:color w:val="FF0000"/>
        </w:rPr>
        <w:t xml:space="preserve"> et al. </w:t>
      </w:r>
      <w:r w:rsidR="00B42112" w:rsidRPr="00B42112">
        <w:rPr>
          <w:color w:val="FF0000"/>
        </w:rPr>
        <w:t>(2003</w:t>
      </w:r>
      <w:r w:rsidR="00B42112">
        <w:rPr>
          <w:color w:val="FF0000"/>
        </w:rPr>
        <w:t xml:space="preserve">). </w:t>
      </w:r>
      <w:r w:rsidR="00ED2375">
        <w:t>According to these studies, the significant stressors in harsh environments are</w:t>
      </w:r>
      <w:r w:rsidR="00305B87">
        <w:t xml:space="preserve">: </w:t>
      </w:r>
    </w:p>
    <w:p w14:paraId="589E331A" w14:textId="77777777" w:rsidR="00305B87" w:rsidRDefault="00305B87" w:rsidP="009270F7">
      <w:pPr>
        <w:pStyle w:val="ListParagraph"/>
        <w:numPr>
          <w:ilvl w:val="0"/>
          <w:numId w:val="1"/>
        </w:numPr>
      </w:pPr>
      <w:r>
        <w:t>Coldness (or warmth); ice slippery, difficulty in breathing;</w:t>
      </w:r>
    </w:p>
    <w:p w14:paraId="481B5917" w14:textId="77777777" w:rsidR="00305B87" w:rsidRDefault="00305B87" w:rsidP="009270F7">
      <w:pPr>
        <w:pStyle w:val="ListParagraph"/>
        <w:numPr>
          <w:ilvl w:val="0"/>
          <w:numId w:val="1"/>
        </w:numPr>
      </w:pPr>
      <w:r>
        <w:lastRenderedPageBreak/>
        <w:t>Combined weather effect;</w:t>
      </w:r>
    </w:p>
    <w:p w14:paraId="5C35AFBB" w14:textId="77777777" w:rsidR="00305B87" w:rsidRDefault="00305B87" w:rsidP="009270F7">
      <w:pPr>
        <w:pStyle w:val="ListParagraph"/>
        <w:numPr>
          <w:ilvl w:val="0"/>
          <w:numId w:val="1"/>
        </w:numPr>
      </w:pPr>
      <w:r>
        <w:t>Low visibility; and</w:t>
      </w:r>
    </w:p>
    <w:p w14:paraId="12A373C0" w14:textId="77777777" w:rsidR="00305B87" w:rsidRDefault="00305B87" w:rsidP="009270F7">
      <w:pPr>
        <w:pStyle w:val="ListParagraph"/>
        <w:numPr>
          <w:ilvl w:val="0"/>
          <w:numId w:val="1"/>
        </w:numPr>
      </w:pPr>
      <w:r>
        <w:t xml:space="preserve">Remoteness. </w:t>
      </w:r>
    </w:p>
    <w:p w14:paraId="3CDD9C25" w14:textId="77777777" w:rsidR="006E77C6" w:rsidRPr="0059555A" w:rsidRDefault="006E77C6" w:rsidP="006E77C6"/>
    <w:p w14:paraId="1CBC0418" w14:textId="77777777" w:rsidR="006E77C6" w:rsidRPr="00FE5B61" w:rsidRDefault="006E77C6" w:rsidP="006E77C6">
      <w:r w:rsidRPr="00FE5B61">
        <w:t>Table 2. Summary of stressors, external factors and penalty system for HES evaluation</w:t>
      </w:r>
      <w:r>
        <w:t xml:space="preserve"> adapted from </w:t>
      </w:r>
      <w:r>
        <w:fldChar w:fldCharType="begin" w:fldLock="1"/>
      </w:r>
      <w:r>
        <w:instrText>ADDIN CSL_CITATION { "citationItems" : [ { "id" : "ITEM-1", "itemData" : { "DOI" : "10.1016/j.ssci.2016.12.019", "ISSN" : "0925-7535", "author" : [ { "dropping-particle" : "", "family" : "Landucci", "given" : "Gabriele", "non-dropping-particle" : "", "parse-names" : false, "suffix" : "" }, { "dropping-particle" : "", "family" : "Bonvicini", "given" : "Sarah", "non-dropping-particle" : "", "parse-names" : false, "suffix" : "" }, { "dropping-particle" : "", "family" : "Cozzani", "given" : "Valerio", "non-dropping-particle" : "", "parse-names" : false, "suffix" : "" } ], "container-title" : "Safety Science", "id" : "ITEM-1", "issued" : { "date-parts" : [ [ "2017" ] ] }, "page" : "182-197", "publisher" : "Elsevier Ltd", "title" : "A methodology for the analysis of domino and cascading events in Oil &amp; Gas facilities operating in harsh environments", "type" : "article-journal", "volume" : "95" }, "uris" : [ "http://www.mendeley.com/documents/?uuid=6b99d480-36ec-4354-86af-649fdd5a1528" ] } ], "mendeley" : { "formattedCitation" : "(Gabriele Landucci et al., 2017)", "manualFormatting" : "Landucci et al. (2017)", "plainTextFormattedCitation" : "(Gabriele Landucci et al., 2017)", "previouslyFormattedCitation" : "(Gabriele Landucci et al., 2017)" }, "properties" : {  }, "schema" : "https://github.com/citation-style-language/schema/raw/master/csl-citation.json" }</w:instrText>
      </w:r>
      <w:r>
        <w:fldChar w:fldCharType="separate"/>
      </w:r>
      <w:r>
        <w:rPr>
          <w:noProof/>
        </w:rPr>
        <w:t>Landucci et al.</w:t>
      </w:r>
      <w:r w:rsidRPr="00BF0CB7">
        <w:rPr>
          <w:noProof/>
        </w:rPr>
        <w:t xml:space="preserve"> </w:t>
      </w:r>
      <w:r>
        <w:rPr>
          <w:noProof/>
        </w:rPr>
        <w:t>(</w:t>
      </w:r>
      <w:r w:rsidRPr="00BF0CB7">
        <w:rPr>
          <w:noProof/>
        </w:rPr>
        <w:t>2017)</w:t>
      </w:r>
      <w:r>
        <w:fldChar w:fldCharType="end"/>
      </w:r>
      <w:r w:rsidRPr="00FE5B61">
        <w:t xml:space="preserve">. </w:t>
      </w:r>
    </w:p>
    <w:tbl>
      <w:tblPr>
        <w:tblStyle w:val="TableGrid"/>
        <w:tblW w:w="0" w:type="auto"/>
        <w:tblLook w:val="04A0" w:firstRow="1" w:lastRow="0" w:firstColumn="1" w:lastColumn="0" w:noHBand="0" w:noVBand="1"/>
      </w:tblPr>
      <w:tblGrid>
        <w:gridCol w:w="3005"/>
        <w:gridCol w:w="3061"/>
        <w:gridCol w:w="1474"/>
        <w:gridCol w:w="1304"/>
      </w:tblGrid>
      <w:tr w:rsidR="006E77C6" w:rsidRPr="00283A75" w14:paraId="43113F05" w14:textId="77777777" w:rsidTr="002C1A35">
        <w:tc>
          <w:tcPr>
            <w:tcW w:w="3005" w:type="dxa"/>
          </w:tcPr>
          <w:p w14:paraId="73F5DF96" w14:textId="77777777" w:rsidR="006E77C6" w:rsidRPr="000D14A2" w:rsidRDefault="006E77C6" w:rsidP="002C1A35">
            <w:pPr>
              <w:pStyle w:val="Table"/>
              <w:rPr>
                <w:b/>
              </w:rPr>
            </w:pPr>
            <w:r w:rsidRPr="000D14A2">
              <w:rPr>
                <w:b/>
              </w:rPr>
              <w:t xml:space="preserve">Stressor </w:t>
            </w:r>
            <w:r w:rsidRPr="000D14A2">
              <w:rPr>
                <w:b/>
              </w:rPr>
              <w:fldChar w:fldCharType="begin" w:fldLock="1"/>
            </w:r>
            <w:r>
              <w:rPr>
                <w:b/>
              </w:rPr>
              <w:instrText>ADDIN CSL_CITATION { "citationItems" : [ { "id" : "ITEM-1", "itemData" : { "DOI" : "DOI: 10.1115/OMAE2013-10867", "author" : [ { "dropping-particle" : "", "family" : "Musharraf", "given" : "M.", "non-dropping-particle" : "", "parse-names" : false, "suffix" : "" }, { "dropping-particle" : "", "family" : "Khan", "given" : "Faisal", "non-dropping-particle" : "", "parse-names" : false, "suffix" : "" }, { "dropping-particle" : "", "family" : "Veitch", "given" : "Brian", "non-dropping-particle" : "", "parse-names" : false, "suffix" : "" }, { "dropping-particle" : "", "family" : "Mackinnon", "given" : "Scott", "non-dropping-particle" : "", "parse-names" : false, "suffix" : "" }, { "dropping-particle" : "", "family" : "Imtiaz", "given" : "Syed", "non-dropping-particle" : "", "parse-names" : false, "suffix" : "" } ], "container-title" : "Proceedings of the ASME 2013 32nd International Conference on Ocean, Offshore and Arctic Engineering (OMAE 2013), June 9-14, 2013, Nantes, France", "id" : "ITEM-1", "issued" : { "date-parts" : [ [ "2013" ] ] }, "page" : "1-9", "publisher" : "American Society of Mechanical Engineers", "publisher-place" : "New York, NY", "title" : "Human factor risk assessment during emergency condition in harsh environment", "type" : "paper-conference" }, "uris" : [ "http://www.mendeley.com/documents/?uuid=9774707c-93a5-4c53-bf86-89b6e74c4900" ] } ], "mendeley" : { "formattedCitation" : "(Musharraf et al., 2013)", "plainTextFormattedCitation" : "(Musharraf et al., 2013)", "previouslyFormattedCitation" : "(Musharraf et al., 2013)" }, "properties" : {  }, "schema" : "https://github.com/citation-style-language/schema/raw/master/csl-citation.json" }</w:instrText>
            </w:r>
            <w:r w:rsidRPr="000D14A2">
              <w:rPr>
                <w:b/>
              </w:rPr>
              <w:fldChar w:fldCharType="separate"/>
            </w:r>
            <w:r w:rsidRPr="000D14A2">
              <w:rPr>
                <w:b/>
                <w:noProof/>
              </w:rPr>
              <w:t>(Musharraf et al., 2013)</w:t>
            </w:r>
            <w:r w:rsidRPr="000D14A2">
              <w:rPr>
                <w:b/>
              </w:rPr>
              <w:fldChar w:fldCharType="end"/>
            </w:r>
          </w:p>
        </w:tc>
        <w:tc>
          <w:tcPr>
            <w:tcW w:w="3061" w:type="dxa"/>
          </w:tcPr>
          <w:p w14:paraId="3A8F79A6" w14:textId="77777777" w:rsidR="006E77C6" w:rsidRPr="000D14A2" w:rsidRDefault="006E77C6" w:rsidP="002C1A35">
            <w:pPr>
              <w:pStyle w:val="Table"/>
              <w:rPr>
                <w:b/>
              </w:rPr>
            </w:pPr>
            <w:r w:rsidRPr="000D14A2">
              <w:rPr>
                <w:b/>
              </w:rPr>
              <w:t>External Factor (EF)</w:t>
            </w:r>
          </w:p>
        </w:tc>
        <w:tc>
          <w:tcPr>
            <w:tcW w:w="1474" w:type="dxa"/>
          </w:tcPr>
          <w:p w14:paraId="2D3AAE65" w14:textId="77777777" w:rsidR="006E77C6" w:rsidRPr="000D14A2" w:rsidRDefault="006E77C6" w:rsidP="002C1A35">
            <w:pPr>
              <w:pStyle w:val="Table"/>
              <w:rPr>
                <w:b/>
              </w:rPr>
            </w:pPr>
            <w:r w:rsidRPr="000D14A2">
              <w:rPr>
                <w:b/>
              </w:rPr>
              <w:t xml:space="preserve">Range </w:t>
            </w:r>
          </w:p>
        </w:tc>
        <w:tc>
          <w:tcPr>
            <w:tcW w:w="1304" w:type="dxa"/>
          </w:tcPr>
          <w:p w14:paraId="3F413168" w14:textId="77777777" w:rsidR="006E77C6" w:rsidRPr="000D14A2" w:rsidRDefault="006E77C6" w:rsidP="002C1A35">
            <w:pPr>
              <w:pStyle w:val="Table"/>
              <w:rPr>
                <w:b/>
              </w:rPr>
            </w:pPr>
            <w:r w:rsidRPr="000D14A2">
              <w:rPr>
                <w:b/>
              </w:rPr>
              <w:t>Penalty (S)</w:t>
            </w:r>
          </w:p>
        </w:tc>
      </w:tr>
      <w:tr w:rsidR="006E77C6" w14:paraId="3CB03549" w14:textId="77777777" w:rsidTr="002C1A35">
        <w:tc>
          <w:tcPr>
            <w:tcW w:w="3005" w:type="dxa"/>
            <w:vMerge w:val="restart"/>
          </w:tcPr>
          <w:p w14:paraId="07AB6D4D" w14:textId="77777777" w:rsidR="006E77C6" w:rsidRDefault="006E77C6" w:rsidP="002C1A35">
            <w:pPr>
              <w:pStyle w:val="Table"/>
            </w:pPr>
            <w:r>
              <w:t xml:space="preserve">Coldness or warmth, Ice for slippery, difficulty in breathing </w:t>
            </w:r>
          </w:p>
        </w:tc>
        <w:tc>
          <w:tcPr>
            <w:tcW w:w="3061" w:type="dxa"/>
            <w:vMerge w:val="restart"/>
          </w:tcPr>
          <w:p w14:paraId="568CC537" w14:textId="77777777" w:rsidR="006E77C6" w:rsidRPr="0059555A" w:rsidRDefault="006E77C6" w:rsidP="002C1A35">
            <w:pPr>
              <w:pStyle w:val="Table"/>
            </w:pPr>
            <w:r w:rsidRPr="0059555A">
              <w:t>(1) Environmental Temperature (ͦ C)</w:t>
            </w:r>
          </w:p>
        </w:tc>
        <w:tc>
          <w:tcPr>
            <w:tcW w:w="1474" w:type="dxa"/>
          </w:tcPr>
          <w:p w14:paraId="7176A931" w14:textId="77777777" w:rsidR="006E77C6" w:rsidRDefault="006E77C6" w:rsidP="002C1A35">
            <w:pPr>
              <w:pStyle w:val="Table"/>
            </w:pPr>
            <w:r>
              <w:t xml:space="preserve">&gt; 45 </w:t>
            </w:r>
          </w:p>
        </w:tc>
        <w:tc>
          <w:tcPr>
            <w:tcW w:w="1304" w:type="dxa"/>
            <w:vAlign w:val="center"/>
          </w:tcPr>
          <w:p w14:paraId="7045B150" w14:textId="77777777" w:rsidR="006E77C6" w:rsidRDefault="006E77C6" w:rsidP="002C1A35">
            <w:pPr>
              <w:pStyle w:val="Table"/>
            </w:pPr>
            <w:r>
              <w:t>0.4</w:t>
            </w:r>
          </w:p>
        </w:tc>
      </w:tr>
      <w:tr w:rsidR="006E77C6" w14:paraId="181A4F87" w14:textId="77777777" w:rsidTr="002C1A35">
        <w:tc>
          <w:tcPr>
            <w:tcW w:w="3005" w:type="dxa"/>
            <w:vMerge/>
          </w:tcPr>
          <w:p w14:paraId="4EF908A9" w14:textId="77777777" w:rsidR="006E77C6" w:rsidRDefault="006E77C6" w:rsidP="002C1A35">
            <w:pPr>
              <w:pStyle w:val="Table"/>
            </w:pPr>
          </w:p>
        </w:tc>
        <w:tc>
          <w:tcPr>
            <w:tcW w:w="3061" w:type="dxa"/>
            <w:vMerge/>
          </w:tcPr>
          <w:p w14:paraId="42CE1EC0" w14:textId="77777777" w:rsidR="006E77C6" w:rsidRDefault="006E77C6" w:rsidP="002C1A35">
            <w:pPr>
              <w:pStyle w:val="Table"/>
            </w:pPr>
          </w:p>
        </w:tc>
        <w:tc>
          <w:tcPr>
            <w:tcW w:w="1474" w:type="dxa"/>
          </w:tcPr>
          <w:p w14:paraId="787E800B" w14:textId="77777777" w:rsidR="006E77C6" w:rsidRDefault="006E77C6" w:rsidP="002C1A35">
            <w:pPr>
              <w:pStyle w:val="Table"/>
            </w:pPr>
            <w:r>
              <w:t>4 to 45</w:t>
            </w:r>
          </w:p>
        </w:tc>
        <w:tc>
          <w:tcPr>
            <w:tcW w:w="1304" w:type="dxa"/>
            <w:vAlign w:val="center"/>
          </w:tcPr>
          <w:p w14:paraId="28030D19" w14:textId="77777777" w:rsidR="006E77C6" w:rsidRDefault="006E77C6" w:rsidP="002C1A35">
            <w:pPr>
              <w:pStyle w:val="Table"/>
            </w:pPr>
            <w:r>
              <w:t>0</w:t>
            </w:r>
          </w:p>
        </w:tc>
      </w:tr>
      <w:tr w:rsidR="006E77C6" w14:paraId="0F82BF7C" w14:textId="77777777" w:rsidTr="002C1A35">
        <w:tc>
          <w:tcPr>
            <w:tcW w:w="3005" w:type="dxa"/>
            <w:vMerge/>
          </w:tcPr>
          <w:p w14:paraId="4469A08B" w14:textId="77777777" w:rsidR="006E77C6" w:rsidRDefault="006E77C6" w:rsidP="002C1A35">
            <w:pPr>
              <w:pStyle w:val="Table"/>
            </w:pPr>
          </w:p>
        </w:tc>
        <w:tc>
          <w:tcPr>
            <w:tcW w:w="3061" w:type="dxa"/>
            <w:vMerge/>
          </w:tcPr>
          <w:p w14:paraId="2340DEAC" w14:textId="77777777" w:rsidR="006E77C6" w:rsidRDefault="006E77C6" w:rsidP="002C1A35">
            <w:pPr>
              <w:pStyle w:val="Table"/>
            </w:pPr>
          </w:p>
        </w:tc>
        <w:tc>
          <w:tcPr>
            <w:tcW w:w="1474" w:type="dxa"/>
          </w:tcPr>
          <w:p w14:paraId="0AAB2EB9" w14:textId="77777777" w:rsidR="006E77C6" w:rsidRDefault="006E77C6" w:rsidP="002C1A35">
            <w:pPr>
              <w:pStyle w:val="Table"/>
            </w:pPr>
            <w:r>
              <w:t xml:space="preserve">-4 to 4 </w:t>
            </w:r>
          </w:p>
        </w:tc>
        <w:tc>
          <w:tcPr>
            <w:tcW w:w="1304" w:type="dxa"/>
            <w:vAlign w:val="center"/>
          </w:tcPr>
          <w:p w14:paraId="642C388F" w14:textId="77777777" w:rsidR="006E77C6" w:rsidRDefault="006E77C6" w:rsidP="002C1A35">
            <w:pPr>
              <w:pStyle w:val="Table"/>
            </w:pPr>
            <w:r>
              <w:t>0.2</w:t>
            </w:r>
          </w:p>
        </w:tc>
      </w:tr>
      <w:tr w:rsidR="006E77C6" w14:paraId="2CE6C870" w14:textId="77777777" w:rsidTr="002C1A35">
        <w:tc>
          <w:tcPr>
            <w:tcW w:w="3005" w:type="dxa"/>
            <w:vMerge/>
          </w:tcPr>
          <w:p w14:paraId="25F8C35A" w14:textId="77777777" w:rsidR="006E77C6" w:rsidRDefault="006E77C6" w:rsidP="002C1A35">
            <w:pPr>
              <w:pStyle w:val="Table"/>
            </w:pPr>
          </w:p>
        </w:tc>
        <w:tc>
          <w:tcPr>
            <w:tcW w:w="3061" w:type="dxa"/>
            <w:vMerge/>
          </w:tcPr>
          <w:p w14:paraId="536B1C3A" w14:textId="77777777" w:rsidR="006E77C6" w:rsidRDefault="006E77C6" w:rsidP="002C1A35">
            <w:pPr>
              <w:pStyle w:val="Table"/>
            </w:pPr>
          </w:p>
        </w:tc>
        <w:tc>
          <w:tcPr>
            <w:tcW w:w="1474" w:type="dxa"/>
          </w:tcPr>
          <w:p w14:paraId="4F26B051" w14:textId="77777777" w:rsidR="006E77C6" w:rsidRDefault="006E77C6" w:rsidP="002C1A35">
            <w:pPr>
              <w:pStyle w:val="Table"/>
            </w:pPr>
            <w:r>
              <w:t>-10 to -4</w:t>
            </w:r>
          </w:p>
        </w:tc>
        <w:tc>
          <w:tcPr>
            <w:tcW w:w="1304" w:type="dxa"/>
            <w:vAlign w:val="center"/>
          </w:tcPr>
          <w:p w14:paraId="1A46E5B3" w14:textId="77777777" w:rsidR="006E77C6" w:rsidRDefault="006E77C6" w:rsidP="002C1A35">
            <w:pPr>
              <w:pStyle w:val="Table"/>
            </w:pPr>
            <w:r>
              <w:t>0.6</w:t>
            </w:r>
          </w:p>
        </w:tc>
      </w:tr>
      <w:tr w:rsidR="006E77C6" w14:paraId="42ABA449" w14:textId="77777777" w:rsidTr="002C1A35">
        <w:tc>
          <w:tcPr>
            <w:tcW w:w="3005" w:type="dxa"/>
            <w:vMerge/>
          </w:tcPr>
          <w:p w14:paraId="2CA4444F" w14:textId="77777777" w:rsidR="006E77C6" w:rsidRDefault="006E77C6" w:rsidP="002C1A35">
            <w:pPr>
              <w:pStyle w:val="Table"/>
            </w:pPr>
          </w:p>
        </w:tc>
        <w:tc>
          <w:tcPr>
            <w:tcW w:w="3061" w:type="dxa"/>
            <w:vMerge/>
          </w:tcPr>
          <w:p w14:paraId="34DD5973" w14:textId="77777777" w:rsidR="006E77C6" w:rsidRDefault="006E77C6" w:rsidP="002C1A35">
            <w:pPr>
              <w:pStyle w:val="Table"/>
            </w:pPr>
          </w:p>
        </w:tc>
        <w:tc>
          <w:tcPr>
            <w:tcW w:w="1474" w:type="dxa"/>
          </w:tcPr>
          <w:p w14:paraId="2ABD66F2" w14:textId="77777777" w:rsidR="006E77C6" w:rsidRDefault="006E77C6" w:rsidP="002C1A35">
            <w:pPr>
              <w:pStyle w:val="Table"/>
            </w:pPr>
            <w:r>
              <w:t>-30 to -10</w:t>
            </w:r>
          </w:p>
        </w:tc>
        <w:tc>
          <w:tcPr>
            <w:tcW w:w="1304" w:type="dxa"/>
            <w:vAlign w:val="center"/>
          </w:tcPr>
          <w:p w14:paraId="3F232768" w14:textId="77777777" w:rsidR="006E77C6" w:rsidRDefault="006E77C6" w:rsidP="002C1A35">
            <w:pPr>
              <w:pStyle w:val="Table"/>
            </w:pPr>
            <w:r>
              <w:t>0.8</w:t>
            </w:r>
          </w:p>
        </w:tc>
      </w:tr>
      <w:tr w:rsidR="006E77C6" w14:paraId="0E609523" w14:textId="77777777" w:rsidTr="002C1A35">
        <w:tc>
          <w:tcPr>
            <w:tcW w:w="3005" w:type="dxa"/>
            <w:vMerge/>
          </w:tcPr>
          <w:p w14:paraId="4DCA66C0" w14:textId="77777777" w:rsidR="006E77C6" w:rsidRDefault="006E77C6" w:rsidP="002C1A35">
            <w:pPr>
              <w:pStyle w:val="Table"/>
            </w:pPr>
          </w:p>
        </w:tc>
        <w:tc>
          <w:tcPr>
            <w:tcW w:w="3061" w:type="dxa"/>
            <w:vMerge/>
          </w:tcPr>
          <w:p w14:paraId="68D4B29B" w14:textId="77777777" w:rsidR="006E77C6" w:rsidRDefault="006E77C6" w:rsidP="002C1A35">
            <w:pPr>
              <w:pStyle w:val="Table"/>
            </w:pPr>
          </w:p>
        </w:tc>
        <w:tc>
          <w:tcPr>
            <w:tcW w:w="1474" w:type="dxa"/>
          </w:tcPr>
          <w:p w14:paraId="42D4E2DD" w14:textId="77777777" w:rsidR="006E77C6" w:rsidRDefault="006E77C6" w:rsidP="002C1A35">
            <w:pPr>
              <w:pStyle w:val="Table"/>
            </w:pPr>
            <w:r>
              <w:t>&lt;-30</w:t>
            </w:r>
          </w:p>
        </w:tc>
        <w:tc>
          <w:tcPr>
            <w:tcW w:w="1304" w:type="dxa"/>
            <w:vAlign w:val="center"/>
          </w:tcPr>
          <w:p w14:paraId="7C100A1A" w14:textId="77777777" w:rsidR="006E77C6" w:rsidRDefault="006E77C6" w:rsidP="002C1A35">
            <w:pPr>
              <w:pStyle w:val="Table"/>
            </w:pPr>
            <w:r>
              <w:t>1</w:t>
            </w:r>
          </w:p>
        </w:tc>
      </w:tr>
      <w:tr w:rsidR="006E77C6" w14:paraId="57B35436" w14:textId="77777777" w:rsidTr="002C1A35">
        <w:tc>
          <w:tcPr>
            <w:tcW w:w="3005" w:type="dxa"/>
            <w:vMerge w:val="restart"/>
          </w:tcPr>
          <w:p w14:paraId="2A4625C6" w14:textId="77777777" w:rsidR="006E77C6" w:rsidRDefault="006E77C6" w:rsidP="002C1A35">
            <w:pPr>
              <w:pStyle w:val="Table"/>
            </w:pPr>
            <w:r>
              <w:t>Combined weather effect</w:t>
            </w:r>
          </w:p>
        </w:tc>
        <w:tc>
          <w:tcPr>
            <w:tcW w:w="3061" w:type="dxa"/>
            <w:vMerge w:val="restart"/>
          </w:tcPr>
          <w:p w14:paraId="6023F066" w14:textId="77777777" w:rsidR="006E77C6" w:rsidRDefault="006E77C6" w:rsidP="002C1A35">
            <w:pPr>
              <w:pStyle w:val="Table"/>
            </w:pPr>
            <w:r>
              <w:t>(2) Extreme wind speed (annual speed range (m/s) at 10 m above sea level)</w:t>
            </w:r>
          </w:p>
        </w:tc>
        <w:tc>
          <w:tcPr>
            <w:tcW w:w="1474" w:type="dxa"/>
          </w:tcPr>
          <w:p w14:paraId="5DCA603B" w14:textId="77777777" w:rsidR="006E77C6" w:rsidRDefault="006E77C6" w:rsidP="002C1A35">
            <w:pPr>
              <w:pStyle w:val="Table"/>
            </w:pPr>
            <w:r>
              <w:t>0 to 3.3</w:t>
            </w:r>
          </w:p>
        </w:tc>
        <w:tc>
          <w:tcPr>
            <w:tcW w:w="1304" w:type="dxa"/>
            <w:vAlign w:val="center"/>
          </w:tcPr>
          <w:p w14:paraId="37DA95D8" w14:textId="77777777" w:rsidR="006E77C6" w:rsidRDefault="006E77C6" w:rsidP="002C1A35">
            <w:pPr>
              <w:pStyle w:val="Table"/>
            </w:pPr>
            <w:r>
              <w:t>0</w:t>
            </w:r>
          </w:p>
        </w:tc>
      </w:tr>
      <w:tr w:rsidR="006E77C6" w14:paraId="4B83E181" w14:textId="77777777" w:rsidTr="002C1A35">
        <w:tc>
          <w:tcPr>
            <w:tcW w:w="3005" w:type="dxa"/>
            <w:vMerge/>
          </w:tcPr>
          <w:p w14:paraId="15B2862B" w14:textId="77777777" w:rsidR="006E77C6" w:rsidRDefault="006E77C6" w:rsidP="002C1A35">
            <w:pPr>
              <w:pStyle w:val="Table"/>
            </w:pPr>
          </w:p>
        </w:tc>
        <w:tc>
          <w:tcPr>
            <w:tcW w:w="3061" w:type="dxa"/>
            <w:vMerge/>
          </w:tcPr>
          <w:p w14:paraId="7CD1DE55" w14:textId="77777777" w:rsidR="006E77C6" w:rsidRDefault="006E77C6" w:rsidP="002C1A35">
            <w:pPr>
              <w:pStyle w:val="Table"/>
            </w:pPr>
          </w:p>
        </w:tc>
        <w:tc>
          <w:tcPr>
            <w:tcW w:w="1474" w:type="dxa"/>
          </w:tcPr>
          <w:p w14:paraId="1A4B645C" w14:textId="77777777" w:rsidR="006E77C6" w:rsidRDefault="006E77C6" w:rsidP="002C1A35">
            <w:pPr>
              <w:pStyle w:val="Table"/>
            </w:pPr>
            <w:r>
              <w:t>3.3 to 5.5</w:t>
            </w:r>
          </w:p>
        </w:tc>
        <w:tc>
          <w:tcPr>
            <w:tcW w:w="1304" w:type="dxa"/>
            <w:vAlign w:val="center"/>
          </w:tcPr>
          <w:p w14:paraId="5955CC1A" w14:textId="77777777" w:rsidR="006E77C6" w:rsidRDefault="006E77C6" w:rsidP="002C1A35">
            <w:pPr>
              <w:pStyle w:val="Table"/>
            </w:pPr>
            <w:r>
              <w:t>0.2</w:t>
            </w:r>
          </w:p>
        </w:tc>
      </w:tr>
      <w:tr w:rsidR="006E77C6" w14:paraId="293D44D3" w14:textId="77777777" w:rsidTr="002C1A35">
        <w:tc>
          <w:tcPr>
            <w:tcW w:w="3005" w:type="dxa"/>
            <w:vMerge/>
          </w:tcPr>
          <w:p w14:paraId="1D6EE676" w14:textId="77777777" w:rsidR="006E77C6" w:rsidRDefault="006E77C6" w:rsidP="002C1A35">
            <w:pPr>
              <w:pStyle w:val="Table"/>
            </w:pPr>
          </w:p>
        </w:tc>
        <w:tc>
          <w:tcPr>
            <w:tcW w:w="3061" w:type="dxa"/>
            <w:vMerge/>
          </w:tcPr>
          <w:p w14:paraId="428BF31E" w14:textId="77777777" w:rsidR="006E77C6" w:rsidRDefault="006E77C6" w:rsidP="002C1A35">
            <w:pPr>
              <w:pStyle w:val="Table"/>
            </w:pPr>
          </w:p>
        </w:tc>
        <w:tc>
          <w:tcPr>
            <w:tcW w:w="1474" w:type="dxa"/>
          </w:tcPr>
          <w:p w14:paraId="0DFA8CDC" w14:textId="77777777" w:rsidR="006E77C6" w:rsidRDefault="006E77C6" w:rsidP="002C1A35">
            <w:pPr>
              <w:pStyle w:val="Table"/>
            </w:pPr>
            <w:r>
              <w:t>5.5 to 8</w:t>
            </w:r>
          </w:p>
        </w:tc>
        <w:tc>
          <w:tcPr>
            <w:tcW w:w="1304" w:type="dxa"/>
            <w:vAlign w:val="center"/>
          </w:tcPr>
          <w:p w14:paraId="5FFA87EC" w14:textId="77777777" w:rsidR="006E77C6" w:rsidRDefault="006E77C6" w:rsidP="002C1A35">
            <w:pPr>
              <w:pStyle w:val="Table"/>
            </w:pPr>
            <w:r>
              <w:t>0.4</w:t>
            </w:r>
          </w:p>
        </w:tc>
      </w:tr>
      <w:tr w:rsidR="006E77C6" w14:paraId="16DC624A" w14:textId="77777777" w:rsidTr="002C1A35">
        <w:tc>
          <w:tcPr>
            <w:tcW w:w="3005" w:type="dxa"/>
            <w:vMerge/>
          </w:tcPr>
          <w:p w14:paraId="2E860F32" w14:textId="77777777" w:rsidR="006E77C6" w:rsidRDefault="006E77C6" w:rsidP="002C1A35">
            <w:pPr>
              <w:pStyle w:val="Table"/>
            </w:pPr>
          </w:p>
        </w:tc>
        <w:tc>
          <w:tcPr>
            <w:tcW w:w="3061" w:type="dxa"/>
            <w:vMerge/>
          </w:tcPr>
          <w:p w14:paraId="6801C202" w14:textId="77777777" w:rsidR="006E77C6" w:rsidRDefault="006E77C6" w:rsidP="002C1A35">
            <w:pPr>
              <w:pStyle w:val="Table"/>
            </w:pPr>
          </w:p>
        </w:tc>
        <w:tc>
          <w:tcPr>
            <w:tcW w:w="1474" w:type="dxa"/>
          </w:tcPr>
          <w:p w14:paraId="267CC68E" w14:textId="77777777" w:rsidR="006E77C6" w:rsidRDefault="006E77C6" w:rsidP="002C1A35">
            <w:pPr>
              <w:pStyle w:val="Table"/>
            </w:pPr>
            <w:r>
              <w:t>8 to 10.8</w:t>
            </w:r>
          </w:p>
        </w:tc>
        <w:tc>
          <w:tcPr>
            <w:tcW w:w="1304" w:type="dxa"/>
            <w:vAlign w:val="center"/>
          </w:tcPr>
          <w:p w14:paraId="1BDA0AC8" w14:textId="77777777" w:rsidR="006E77C6" w:rsidRDefault="006E77C6" w:rsidP="002C1A35">
            <w:pPr>
              <w:pStyle w:val="Table"/>
            </w:pPr>
            <w:r>
              <w:t>0.6</w:t>
            </w:r>
          </w:p>
        </w:tc>
      </w:tr>
      <w:tr w:rsidR="006E77C6" w14:paraId="21419051" w14:textId="77777777" w:rsidTr="002C1A35">
        <w:tc>
          <w:tcPr>
            <w:tcW w:w="3005" w:type="dxa"/>
            <w:vMerge/>
          </w:tcPr>
          <w:p w14:paraId="1FB37D3D" w14:textId="77777777" w:rsidR="006E77C6" w:rsidRDefault="006E77C6" w:rsidP="002C1A35">
            <w:pPr>
              <w:pStyle w:val="Table"/>
            </w:pPr>
          </w:p>
        </w:tc>
        <w:tc>
          <w:tcPr>
            <w:tcW w:w="3061" w:type="dxa"/>
            <w:vMerge/>
          </w:tcPr>
          <w:p w14:paraId="43D84428" w14:textId="77777777" w:rsidR="006E77C6" w:rsidRDefault="006E77C6" w:rsidP="002C1A35">
            <w:pPr>
              <w:pStyle w:val="Table"/>
            </w:pPr>
          </w:p>
        </w:tc>
        <w:tc>
          <w:tcPr>
            <w:tcW w:w="1474" w:type="dxa"/>
          </w:tcPr>
          <w:p w14:paraId="5ABB98CF" w14:textId="77777777" w:rsidR="006E77C6" w:rsidRDefault="006E77C6" w:rsidP="002C1A35">
            <w:pPr>
              <w:pStyle w:val="Table"/>
            </w:pPr>
            <w:r>
              <w:t xml:space="preserve">10.8 to 13.9 </w:t>
            </w:r>
          </w:p>
        </w:tc>
        <w:tc>
          <w:tcPr>
            <w:tcW w:w="1304" w:type="dxa"/>
            <w:vAlign w:val="center"/>
          </w:tcPr>
          <w:p w14:paraId="69E214B7" w14:textId="77777777" w:rsidR="006E77C6" w:rsidRDefault="006E77C6" w:rsidP="002C1A35">
            <w:pPr>
              <w:pStyle w:val="Table"/>
            </w:pPr>
            <w:r>
              <w:t>0.8</w:t>
            </w:r>
          </w:p>
        </w:tc>
      </w:tr>
      <w:tr w:rsidR="006E77C6" w14:paraId="2C948D53" w14:textId="77777777" w:rsidTr="002C1A35">
        <w:tc>
          <w:tcPr>
            <w:tcW w:w="3005" w:type="dxa"/>
            <w:vMerge/>
          </w:tcPr>
          <w:p w14:paraId="6B4A331D" w14:textId="77777777" w:rsidR="006E77C6" w:rsidRDefault="006E77C6" w:rsidP="002C1A35">
            <w:pPr>
              <w:pStyle w:val="Table"/>
            </w:pPr>
          </w:p>
        </w:tc>
        <w:tc>
          <w:tcPr>
            <w:tcW w:w="3061" w:type="dxa"/>
            <w:vMerge/>
          </w:tcPr>
          <w:p w14:paraId="1897C883" w14:textId="77777777" w:rsidR="006E77C6" w:rsidRDefault="006E77C6" w:rsidP="002C1A35">
            <w:pPr>
              <w:pStyle w:val="Table"/>
            </w:pPr>
          </w:p>
        </w:tc>
        <w:tc>
          <w:tcPr>
            <w:tcW w:w="1474" w:type="dxa"/>
          </w:tcPr>
          <w:p w14:paraId="11F40F80" w14:textId="77777777" w:rsidR="006E77C6" w:rsidRPr="00C501DE" w:rsidRDefault="006E77C6" w:rsidP="002C1A35">
            <w:pPr>
              <w:pStyle w:val="Table"/>
            </w:pPr>
            <w:r w:rsidRPr="00C501DE">
              <w:t>&gt;</w:t>
            </w:r>
            <w:r>
              <w:t xml:space="preserve"> </w:t>
            </w:r>
            <w:r w:rsidRPr="00C501DE">
              <w:t xml:space="preserve">13.9 </w:t>
            </w:r>
          </w:p>
        </w:tc>
        <w:tc>
          <w:tcPr>
            <w:tcW w:w="1304" w:type="dxa"/>
            <w:vAlign w:val="center"/>
          </w:tcPr>
          <w:p w14:paraId="5B036708" w14:textId="77777777" w:rsidR="006E77C6" w:rsidRDefault="006E77C6" w:rsidP="002C1A35">
            <w:pPr>
              <w:pStyle w:val="Table"/>
            </w:pPr>
            <w:r>
              <w:t>1</w:t>
            </w:r>
          </w:p>
        </w:tc>
      </w:tr>
      <w:tr w:rsidR="006E77C6" w14:paraId="009C59E3" w14:textId="77777777" w:rsidTr="002C1A35">
        <w:tc>
          <w:tcPr>
            <w:tcW w:w="3005" w:type="dxa"/>
            <w:vMerge/>
          </w:tcPr>
          <w:p w14:paraId="59FE86D0" w14:textId="77777777" w:rsidR="006E77C6" w:rsidRDefault="006E77C6" w:rsidP="002C1A35">
            <w:pPr>
              <w:pStyle w:val="Table"/>
            </w:pPr>
          </w:p>
        </w:tc>
        <w:tc>
          <w:tcPr>
            <w:tcW w:w="3061" w:type="dxa"/>
            <w:vMerge w:val="restart"/>
          </w:tcPr>
          <w:p w14:paraId="1486B55A" w14:textId="77777777" w:rsidR="006E77C6" w:rsidRDefault="006E77C6" w:rsidP="002C1A35">
            <w:pPr>
              <w:pStyle w:val="Table"/>
            </w:pPr>
            <w:r>
              <w:t>(3) Waves height (significant waves height (m))</w:t>
            </w:r>
          </w:p>
        </w:tc>
        <w:tc>
          <w:tcPr>
            <w:tcW w:w="1474" w:type="dxa"/>
          </w:tcPr>
          <w:p w14:paraId="0EE804BB" w14:textId="77777777" w:rsidR="006E77C6" w:rsidRDefault="006E77C6" w:rsidP="002C1A35">
            <w:pPr>
              <w:pStyle w:val="Table"/>
            </w:pPr>
            <w:r>
              <w:t>&lt; 0.1</w:t>
            </w:r>
          </w:p>
        </w:tc>
        <w:tc>
          <w:tcPr>
            <w:tcW w:w="1304" w:type="dxa"/>
            <w:vAlign w:val="center"/>
          </w:tcPr>
          <w:p w14:paraId="760A34E6" w14:textId="77777777" w:rsidR="006E77C6" w:rsidRDefault="006E77C6" w:rsidP="002C1A35">
            <w:pPr>
              <w:pStyle w:val="Table"/>
            </w:pPr>
            <w:r>
              <w:t>0</w:t>
            </w:r>
          </w:p>
        </w:tc>
      </w:tr>
      <w:tr w:rsidR="006E77C6" w14:paraId="7BDA73D5" w14:textId="77777777" w:rsidTr="002C1A35">
        <w:tc>
          <w:tcPr>
            <w:tcW w:w="3005" w:type="dxa"/>
            <w:vMerge/>
          </w:tcPr>
          <w:p w14:paraId="09311689" w14:textId="77777777" w:rsidR="006E77C6" w:rsidRDefault="006E77C6" w:rsidP="002C1A35">
            <w:pPr>
              <w:pStyle w:val="Table"/>
            </w:pPr>
          </w:p>
        </w:tc>
        <w:tc>
          <w:tcPr>
            <w:tcW w:w="3061" w:type="dxa"/>
            <w:vMerge/>
          </w:tcPr>
          <w:p w14:paraId="3B3A3AAC" w14:textId="77777777" w:rsidR="006E77C6" w:rsidRDefault="006E77C6" w:rsidP="002C1A35">
            <w:pPr>
              <w:pStyle w:val="Table"/>
            </w:pPr>
          </w:p>
        </w:tc>
        <w:tc>
          <w:tcPr>
            <w:tcW w:w="1474" w:type="dxa"/>
          </w:tcPr>
          <w:p w14:paraId="43E9A09A" w14:textId="77777777" w:rsidR="006E77C6" w:rsidRDefault="006E77C6" w:rsidP="002C1A35">
            <w:pPr>
              <w:pStyle w:val="Table"/>
            </w:pPr>
            <w:r>
              <w:t>0.1 to 0.5</w:t>
            </w:r>
          </w:p>
        </w:tc>
        <w:tc>
          <w:tcPr>
            <w:tcW w:w="1304" w:type="dxa"/>
            <w:vAlign w:val="center"/>
          </w:tcPr>
          <w:p w14:paraId="74C31A72" w14:textId="77777777" w:rsidR="006E77C6" w:rsidRDefault="006E77C6" w:rsidP="002C1A35">
            <w:pPr>
              <w:pStyle w:val="Table"/>
            </w:pPr>
            <w:r>
              <w:t>0.2</w:t>
            </w:r>
          </w:p>
        </w:tc>
      </w:tr>
      <w:tr w:rsidR="006E77C6" w14:paraId="2E25724B" w14:textId="77777777" w:rsidTr="002C1A35">
        <w:tc>
          <w:tcPr>
            <w:tcW w:w="3005" w:type="dxa"/>
            <w:vMerge/>
          </w:tcPr>
          <w:p w14:paraId="069AAC4B" w14:textId="77777777" w:rsidR="006E77C6" w:rsidRDefault="006E77C6" w:rsidP="002C1A35">
            <w:pPr>
              <w:pStyle w:val="Table"/>
            </w:pPr>
          </w:p>
        </w:tc>
        <w:tc>
          <w:tcPr>
            <w:tcW w:w="3061" w:type="dxa"/>
            <w:vMerge/>
          </w:tcPr>
          <w:p w14:paraId="76D05ABC" w14:textId="77777777" w:rsidR="006E77C6" w:rsidRDefault="006E77C6" w:rsidP="002C1A35">
            <w:pPr>
              <w:pStyle w:val="Table"/>
            </w:pPr>
          </w:p>
        </w:tc>
        <w:tc>
          <w:tcPr>
            <w:tcW w:w="1474" w:type="dxa"/>
          </w:tcPr>
          <w:p w14:paraId="3235E5EB" w14:textId="77777777" w:rsidR="006E77C6" w:rsidRDefault="006E77C6" w:rsidP="002C1A35">
            <w:pPr>
              <w:pStyle w:val="Table"/>
            </w:pPr>
            <w:r>
              <w:t>0.5 to 1.25</w:t>
            </w:r>
          </w:p>
        </w:tc>
        <w:tc>
          <w:tcPr>
            <w:tcW w:w="1304" w:type="dxa"/>
            <w:vAlign w:val="center"/>
          </w:tcPr>
          <w:p w14:paraId="58C23984" w14:textId="77777777" w:rsidR="006E77C6" w:rsidRDefault="006E77C6" w:rsidP="002C1A35">
            <w:pPr>
              <w:pStyle w:val="Table"/>
            </w:pPr>
            <w:r>
              <w:t>0.4</w:t>
            </w:r>
          </w:p>
        </w:tc>
      </w:tr>
      <w:tr w:rsidR="006E77C6" w14:paraId="55412D79" w14:textId="77777777" w:rsidTr="002C1A35">
        <w:tc>
          <w:tcPr>
            <w:tcW w:w="3005" w:type="dxa"/>
            <w:vMerge/>
          </w:tcPr>
          <w:p w14:paraId="6D9E6BF4" w14:textId="77777777" w:rsidR="006E77C6" w:rsidRDefault="006E77C6" w:rsidP="002C1A35">
            <w:pPr>
              <w:pStyle w:val="Table"/>
            </w:pPr>
          </w:p>
        </w:tc>
        <w:tc>
          <w:tcPr>
            <w:tcW w:w="3061" w:type="dxa"/>
            <w:vMerge/>
          </w:tcPr>
          <w:p w14:paraId="71A05F22" w14:textId="77777777" w:rsidR="006E77C6" w:rsidRDefault="006E77C6" w:rsidP="002C1A35">
            <w:pPr>
              <w:pStyle w:val="Table"/>
            </w:pPr>
          </w:p>
        </w:tc>
        <w:tc>
          <w:tcPr>
            <w:tcW w:w="1474" w:type="dxa"/>
          </w:tcPr>
          <w:p w14:paraId="306E7FFB" w14:textId="77777777" w:rsidR="006E77C6" w:rsidRDefault="006E77C6" w:rsidP="002C1A35">
            <w:pPr>
              <w:pStyle w:val="Table"/>
            </w:pPr>
            <w:r>
              <w:t>1.25 to 2.5</w:t>
            </w:r>
          </w:p>
        </w:tc>
        <w:tc>
          <w:tcPr>
            <w:tcW w:w="1304" w:type="dxa"/>
            <w:vAlign w:val="center"/>
          </w:tcPr>
          <w:p w14:paraId="1A3097ED" w14:textId="77777777" w:rsidR="006E77C6" w:rsidRDefault="006E77C6" w:rsidP="002C1A35">
            <w:pPr>
              <w:pStyle w:val="Table"/>
            </w:pPr>
            <w:r>
              <w:t>0.6</w:t>
            </w:r>
          </w:p>
        </w:tc>
      </w:tr>
      <w:tr w:rsidR="006E77C6" w14:paraId="0E8FEE83" w14:textId="77777777" w:rsidTr="002C1A35">
        <w:tc>
          <w:tcPr>
            <w:tcW w:w="3005" w:type="dxa"/>
            <w:vMerge/>
          </w:tcPr>
          <w:p w14:paraId="407A54A6" w14:textId="77777777" w:rsidR="006E77C6" w:rsidRDefault="006E77C6" w:rsidP="002C1A35">
            <w:pPr>
              <w:pStyle w:val="Table"/>
            </w:pPr>
          </w:p>
        </w:tc>
        <w:tc>
          <w:tcPr>
            <w:tcW w:w="3061" w:type="dxa"/>
            <w:vMerge/>
          </w:tcPr>
          <w:p w14:paraId="300E280B" w14:textId="77777777" w:rsidR="006E77C6" w:rsidRDefault="006E77C6" w:rsidP="002C1A35">
            <w:pPr>
              <w:pStyle w:val="Table"/>
            </w:pPr>
          </w:p>
        </w:tc>
        <w:tc>
          <w:tcPr>
            <w:tcW w:w="1474" w:type="dxa"/>
          </w:tcPr>
          <w:p w14:paraId="2A22E944" w14:textId="77777777" w:rsidR="006E77C6" w:rsidRDefault="006E77C6" w:rsidP="002C1A35">
            <w:pPr>
              <w:pStyle w:val="Table"/>
            </w:pPr>
            <w:r>
              <w:t>2.5 to 4</w:t>
            </w:r>
          </w:p>
        </w:tc>
        <w:tc>
          <w:tcPr>
            <w:tcW w:w="1304" w:type="dxa"/>
            <w:vAlign w:val="center"/>
          </w:tcPr>
          <w:p w14:paraId="185BA32F" w14:textId="77777777" w:rsidR="006E77C6" w:rsidRDefault="006E77C6" w:rsidP="002C1A35">
            <w:pPr>
              <w:pStyle w:val="Table"/>
            </w:pPr>
            <w:r>
              <w:t>0.8</w:t>
            </w:r>
          </w:p>
        </w:tc>
      </w:tr>
      <w:tr w:rsidR="006E77C6" w14:paraId="2E3F4356" w14:textId="77777777" w:rsidTr="002C1A35">
        <w:tc>
          <w:tcPr>
            <w:tcW w:w="3005" w:type="dxa"/>
            <w:vMerge/>
          </w:tcPr>
          <w:p w14:paraId="42BDC00D" w14:textId="77777777" w:rsidR="006E77C6" w:rsidRDefault="006E77C6" w:rsidP="002C1A35">
            <w:pPr>
              <w:pStyle w:val="Table"/>
            </w:pPr>
          </w:p>
        </w:tc>
        <w:tc>
          <w:tcPr>
            <w:tcW w:w="3061" w:type="dxa"/>
            <w:vMerge/>
          </w:tcPr>
          <w:p w14:paraId="047D8FDD" w14:textId="77777777" w:rsidR="006E77C6" w:rsidRDefault="006E77C6" w:rsidP="002C1A35">
            <w:pPr>
              <w:pStyle w:val="Table"/>
            </w:pPr>
          </w:p>
        </w:tc>
        <w:tc>
          <w:tcPr>
            <w:tcW w:w="1474" w:type="dxa"/>
          </w:tcPr>
          <w:p w14:paraId="6004BC4B" w14:textId="77777777" w:rsidR="006E77C6" w:rsidRPr="00C501DE" w:rsidRDefault="006E77C6" w:rsidP="002C1A35">
            <w:pPr>
              <w:pStyle w:val="Table"/>
            </w:pPr>
            <w:r w:rsidRPr="00C501DE">
              <w:t>&gt;</w:t>
            </w:r>
            <w:r>
              <w:t xml:space="preserve"> </w:t>
            </w:r>
            <w:r w:rsidRPr="00C501DE">
              <w:t>4</w:t>
            </w:r>
          </w:p>
        </w:tc>
        <w:tc>
          <w:tcPr>
            <w:tcW w:w="1304" w:type="dxa"/>
            <w:vAlign w:val="center"/>
          </w:tcPr>
          <w:p w14:paraId="30B86D20" w14:textId="77777777" w:rsidR="006E77C6" w:rsidRDefault="006E77C6" w:rsidP="002C1A35">
            <w:pPr>
              <w:pStyle w:val="Table"/>
            </w:pPr>
            <w:r>
              <w:t>1</w:t>
            </w:r>
          </w:p>
        </w:tc>
      </w:tr>
      <w:tr w:rsidR="006E77C6" w14:paraId="2DA12A18" w14:textId="77777777" w:rsidTr="002C1A35">
        <w:tc>
          <w:tcPr>
            <w:tcW w:w="3005" w:type="dxa"/>
            <w:vMerge/>
          </w:tcPr>
          <w:p w14:paraId="4C07047F" w14:textId="77777777" w:rsidR="006E77C6" w:rsidRDefault="006E77C6" w:rsidP="002C1A35">
            <w:pPr>
              <w:pStyle w:val="Table"/>
            </w:pPr>
          </w:p>
        </w:tc>
        <w:tc>
          <w:tcPr>
            <w:tcW w:w="3061" w:type="dxa"/>
            <w:vMerge w:val="restart"/>
          </w:tcPr>
          <w:p w14:paraId="44445633" w14:textId="77777777" w:rsidR="006E77C6" w:rsidRDefault="006E77C6" w:rsidP="002C1A35">
            <w:pPr>
              <w:pStyle w:val="Table"/>
            </w:pPr>
            <w:r>
              <w:t>(4) Snow (snowfall (m/year))</w:t>
            </w:r>
          </w:p>
        </w:tc>
        <w:tc>
          <w:tcPr>
            <w:tcW w:w="1474" w:type="dxa"/>
          </w:tcPr>
          <w:p w14:paraId="0CABC91C" w14:textId="77777777" w:rsidR="006E77C6" w:rsidRDefault="006E77C6" w:rsidP="002C1A35">
            <w:pPr>
              <w:pStyle w:val="Table"/>
            </w:pPr>
            <w:r>
              <w:t>0 to 0.125</w:t>
            </w:r>
          </w:p>
        </w:tc>
        <w:tc>
          <w:tcPr>
            <w:tcW w:w="1304" w:type="dxa"/>
            <w:vAlign w:val="center"/>
          </w:tcPr>
          <w:p w14:paraId="354EDDD6" w14:textId="77777777" w:rsidR="006E77C6" w:rsidRDefault="006E77C6" w:rsidP="002C1A35">
            <w:pPr>
              <w:pStyle w:val="Table"/>
            </w:pPr>
            <w:r>
              <w:t>0</w:t>
            </w:r>
          </w:p>
        </w:tc>
      </w:tr>
      <w:tr w:rsidR="006E77C6" w14:paraId="78908F0B" w14:textId="77777777" w:rsidTr="002C1A35">
        <w:tc>
          <w:tcPr>
            <w:tcW w:w="3005" w:type="dxa"/>
            <w:vMerge/>
          </w:tcPr>
          <w:p w14:paraId="1AD89BE9" w14:textId="77777777" w:rsidR="006E77C6" w:rsidRDefault="006E77C6" w:rsidP="002C1A35">
            <w:pPr>
              <w:pStyle w:val="Table"/>
            </w:pPr>
          </w:p>
        </w:tc>
        <w:tc>
          <w:tcPr>
            <w:tcW w:w="3061" w:type="dxa"/>
            <w:vMerge/>
          </w:tcPr>
          <w:p w14:paraId="02E1EE2C" w14:textId="77777777" w:rsidR="006E77C6" w:rsidRDefault="006E77C6" w:rsidP="002C1A35">
            <w:pPr>
              <w:pStyle w:val="Table"/>
            </w:pPr>
          </w:p>
        </w:tc>
        <w:tc>
          <w:tcPr>
            <w:tcW w:w="1474" w:type="dxa"/>
          </w:tcPr>
          <w:p w14:paraId="307ACE20" w14:textId="77777777" w:rsidR="006E77C6" w:rsidRDefault="006E77C6" w:rsidP="002C1A35">
            <w:pPr>
              <w:pStyle w:val="Table"/>
            </w:pPr>
            <w:r>
              <w:t>0.125 to 0.5</w:t>
            </w:r>
          </w:p>
        </w:tc>
        <w:tc>
          <w:tcPr>
            <w:tcW w:w="1304" w:type="dxa"/>
            <w:vAlign w:val="center"/>
          </w:tcPr>
          <w:p w14:paraId="724267AF" w14:textId="77777777" w:rsidR="006E77C6" w:rsidRDefault="006E77C6" w:rsidP="002C1A35">
            <w:pPr>
              <w:pStyle w:val="Table"/>
            </w:pPr>
            <w:r>
              <w:t>0.2</w:t>
            </w:r>
          </w:p>
        </w:tc>
      </w:tr>
      <w:tr w:rsidR="006E77C6" w14:paraId="409E01F0" w14:textId="77777777" w:rsidTr="002C1A35">
        <w:tc>
          <w:tcPr>
            <w:tcW w:w="3005" w:type="dxa"/>
            <w:vMerge/>
          </w:tcPr>
          <w:p w14:paraId="5CCC9D8B" w14:textId="77777777" w:rsidR="006E77C6" w:rsidRDefault="006E77C6" w:rsidP="002C1A35">
            <w:pPr>
              <w:pStyle w:val="Table"/>
            </w:pPr>
          </w:p>
        </w:tc>
        <w:tc>
          <w:tcPr>
            <w:tcW w:w="3061" w:type="dxa"/>
            <w:vMerge/>
          </w:tcPr>
          <w:p w14:paraId="30C4C3C6" w14:textId="77777777" w:rsidR="006E77C6" w:rsidRDefault="006E77C6" w:rsidP="002C1A35">
            <w:pPr>
              <w:pStyle w:val="Table"/>
            </w:pPr>
          </w:p>
        </w:tc>
        <w:tc>
          <w:tcPr>
            <w:tcW w:w="1474" w:type="dxa"/>
          </w:tcPr>
          <w:p w14:paraId="07975A73" w14:textId="77777777" w:rsidR="006E77C6" w:rsidRDefault="006E77C6" w:rsidP="002C1A35">
            <w:pPr>
              <w:pStyle w:val="Table"/>
            </w:pPr>
            <w:r>
              <w:t>0.5 to 1</w:t>
            </w:r>
          </w:p>
        </w:tc>
        <w:tc>
          <w:tcPr>
            <w:tcW w:w="1304" w:type="dxa"/>
            <w:vAlign w:val="center"/>
          </w:tcPr>
          <w:p w14:paraId="5475A73F" w14:textId="77777777" w:rsidR="006E77C6" w:rsidRDefault="006E77C6" w:rsidP="002C1A35">
            <w:pPr>
              <w:pStyle w:val="Table"/>
            </w:pPr>
            <w:r>
              <w:t>0.4</w:t>
            </w:r>
          </w:p>
        </w:tc>
      </w:tr>
      <w:tr w:rsidR="006E77C6" w14:paraId="0795A3F4" w14:textId="77777777" w:rsidTr="002C1A35">
        <w:tc>
          <w:tcPr>
            <w:tcW w:w="3005" w:type="dxa"/>
            <w:vMerge/>
          </w:tcPr>
          <w:p w14:paraId="08BD3D2A" w14:textId="77777777" w:rsidR="006E77C6" w:rsidRDefault="006E77C6" w:rsidP="002C1A35">
            <w:pPr>
              <w:pStyle w:val="Table"/>
            </w:pPr>
          </w:p>
        </w:tc>
        <w:tc>
          <w:tcPr>
            <w:tcW w:w="3061" w:type="dxa"/>
            <w:vMerge/>
          </w:tcPr>
          <w:p w14:paraId="5EE03A17" w14:textId="77777777" w:rsidR="006E77C6" w:rsidRDefault="006E77C6" w:rsidP="002C1A35">
            <w:pPr>
              <w:pStyle w:val="Table"/>
            </w:pPr>
          </w:p>
        </w:tc>
        <w:tc>
          <w:tcPr>
            <w:tcW w:w="1474" w:type="dxa"/>
          </w:tcPr>
          <w:p w14:paraId="5B216948" w14:textId="77777777" w:rsidR="006E77C6" w:rsidRDefault="006E77C6" w:rsidP="002C1A35">
            <w:pPr>
              <w:pStyle w:val="Table"/>
            </w:pPr>
            <w:r>
              <w:t>1 to 1.5</w:t>
            </w:r>
          </w:p>
        </w:tc>
        <w:tc>
          <w:tcPr>
            <w:tcW w:w="1304" w:type="dxa"/>
            <w:vAlign w:val="center"/>
          </w:tcPr>
          <w:p w14:paraId="2BD0E2B2" w14:textId="77777777" w:rsidR="006E77C6" w:rsidRDefault="006E77C6" w:rsidP="002C1A35">
            <w:pPr>
              <w:pStyle w:val="Table"/>
            </w:pPr>
            <w:r>
              <w:t>0.6</w:t>
            </w:r>
          </w:p>
        </w:tc>
      </w:tr>
      <w:tr w:rsidR="006E77C6" w14:paraId="1FCE4E21" w14:textId="77777777" w:rsidTr="002C1A35">
        <w:tc>
          <w:tcPr>
            <w:tcW w:w="3005" w:type="dxa"/>
            <w:vMerge/>
          </w:tcPr>
          <w:p w14:paraId="12BF8097" w14:textId="77777777" w:rsidR="006E77C6" w:rsidRDefault="006E77C6" w:rsidP="002C1A35">
            <w:pPr>
              <w:pStyle w:val="Table"/>
            </w:pPr>
          </w:p>
        </w:tc>
        <w:tc>
          <w:tcPr>
            <w:tcW w:w="3061" w:type="dxa"/>
            <w:vMerge/>
          </w:tcPr>
          <w:p w14:paraId="57B4D621" w14:textId="77777777" w:rsidR="006E77C6" w:rsidRDefault="006E77C6" w:rsidP="002C1A35">
            <w:pPr>
              <w:pStyle w:val="Table"/>
            </w:pPr>
          </w:p>
        </w:tc>
        <w:tc>
          <w:tcPr>
            <w:tcW w:w="1474" w:type="dxa"/>
          </w:tcPr>
          <w:p w14:paraId="4F878F72" w14:textId="77777777" w:rsidR="006E77C6" w:rsidRDefault="006E77C6" w:rsidP="002C1A35">
            <w:pPr>
              <w:pStyle w:val="Table"/>
            </w:pPr>
            <w:r>
              <w:t>1.5 to 2</w:t>
            </w:r>
          </w:p>
        </w:tc>
        <w:tc>
          <w:tcPr>
            <w:tcW w:w="1304" w:type="dxa"/>
            <w:vAlign w:val="center"/>
          </w:tcPr>
          <w:p w14:paraId="1E96F1FE" w14:textId="77777777" w:rsidR="006E77C6" w:rsidRDefault="006E77C6" w:rsidP="002C1A35">
            <w:pPr>
              <w:pStyle w:val="Table"/>
            </w:pPr>
            <w:r>
              <w:t>0.8</w:t>
            </w:r>
          </w:p>
        </w:tc>
      </w:tr>
      <w:tr w:rsidR="006E77C6" w14:paraId="0F2E9108" w14:textId="77777777" w:rsidTr="002C1A35">
        <w:tc>
          <w:tcPr>
            <w:tcW w:w="3005" w:type="dxa"/>
            <w:vMerge/>
          </w:tcPr>
          <w:p w14:paraId="48980BF3" w14:textId="77777777" w:rsidR="006E77C6" w:rsidRDefault="006E77C6" w:rsidP="002C1A35">
            <w:pPr>
              <w:pStyle w:val="Table"/>
            </w:pPr>
          </w:p>
        </w:tc>
        <w:tc>
          <w:tcPr>
            <w:tcW w:w="3061" w:type="dxa"/>
            <w:vMerge/>
          </w:tcPr>
          <w:p w14:paraId="0C0F3974" w14:textId="77777777" w:rsidR="006E77C6" w:rsidRDefault="006E77C6" w:rsidP="002C1A35">
            <w:pPr>
              <w:pStyle w:val="Table"/>
            </w:pPr>
          </w:p>
        </w:tc>
        <w:tc>
          <w:tcPr>
            <w:tcW w:w="1474" w:type="dxa"/>
          </w:tcPr>
          <w:p w14:paraId="3F1BD841" w14:textId="77777777" w:rsidR="006E77C6" w:rsidRPr="00C501DE" w:rsidRDefault="006E77C6" w:rsidP="002C1A35">
            <w:pPr>
              <w:pStyle w:val="Table"/>
            </w:pPr>
            <w:r w:rsidRPr="00C501DE">
              <w:t>&gt;</w:t>
            </w:r>
            <w:r>
              <w:t xml:space="preserve"> </w:t>
            </w:r>
            <w:r w:rsidRPr="00C501DE">
              <w:t>2</w:t>
            </w:r>
          </w:p>
        </w:tc>
        <w:tc>
          <w:tcPr>
            <w:tcW w:w="1304" w:type="dxa"/>
            <w:vAlign w:val="center"/>
          </w:tcPr>
          <w:p w14:paraId="2A440989" w14:textId="77777777" w:rsidR="006E77C6" w:rsidRDefault="006E77C6" w:rsidP="002C1A35">
            <w:pPr>
              <w:pStyle w:val="Table"/>
            </w:pPr>
            <w:r>
              <w:t>1</w:t>
            </w:r>
          </w:p>
        </w:tc>
      </w:tr>
      <w:tr w:rsidR="006E77C6" w14:paraId="7673EC7F" w14:textId="77777777" w:rsidTr="002C1A35">
        <w:tc>
          <w:tcPr>
            <w:tcW w:w="3005" w:type="dxa"/>
            <w:vMerge w:val="restart"/>
          </w:tcPr>
          <w:p w14:paraId="087EA598" w14:textId="77777777" w:rsidR="006E77C6" w:rsidRDefault="006E77C6" w:rsidP="002C1A35">
            <w:pPr>
              <w:pStyle w:val="Table"/>
            </w:pPr>
            <w:r>
              <w:t>Low visibility</w:t>
            </w:r>
          </w:p>
        </w:tc>
        <w:tc>
          <w:tcPr>
            <w:tcW w:w="3061" w:type="dxa"/>
            <w:vMerge w:val="restart"/>
          </w:tcPr>
          <w:p w14:paraId="7DA368D8" w14:textId="77777777" w:rsidR="006E77C6" w:rsidRDefault="006E77C6" w:rsidP="002C1A35">
            <w:pPr>
              <w:pStyle w:val="Table"/>
            </w:pPr>
            <w:r>
              <w:t>(5) Fog/Snow effect</w:t>
            </w:r>
          </w:p>
          <w:p w14:paraId="00FA2241" w14:textId="77777777" w:rsidR="006E77C6" w:rsidRDefault="006E77C6" w:rsidP="002C1A35">
            <w:pPr>
              <w:pStyle w:val="Table"/>
            </w:pPr>
            <w:r>
              <w:t>(minimum visibility distance (m))</w:t>
            </w:r>
          </w:p>
        </w:tc>
        <w:tc>
          <w:tcPr>
            <w:tcW w:w="1474" w:type="dxa"/>
          </w:tcPr>
          <w:p w14:paraId="1700CDCA" w14:textId="77777777" w:rsidR="006E77C6" w:rsidRPr="00C501DE" w:rsidRDefault="006E77C6" w:rsidP="002C1A35">
            <w:pPr>
              <w:pStyle w:val="Table"/>
            </w:pPr>
            <w:r>
              <w:t>&lt; 50</w:t>
            </w:r>
          </w:p>
        </w:tc>
        <w:tc>
          <w:tcPr>
            <w:tcW w:w="1304" w:type="dxa"/>
            <w:vAlign w:val="center"/>
          </w:tcPr>
          <w:p w14:paraId="14E37E60" w14:textId="77777777" w:rsidR="006E77C6" w:rsidRDefault="006E77C6" w:rsidP="002C1A35">
            <w:pPr>
              <w:pStyle w:val="Table"/>
            </w:pPr>
            <w:r>
              <w:t>1</w:t>
            </w:r>
          </w:p>
        </w:tc>
      </w:tr>
      <w:tr w:rsidR="006E77C6" w14:paraId="6F5886C3" w14:textId="77777777" w:rsidTr="002C1A35">
        <w:tc>
          <w:tcPr>
            <w:tcW w:w="3005" w:type="dxa"/>
            <w:vMerge/>
          </w:tcPr>
          <w:p w14:paraId="5844AE7F" w14:textId="77777777" w:rsidR="006E77C6" w:rsidRDefault="006E77C6" w:rsidP="002C1A35">
            <w:pPr>
              <w:pStyle w:val="Table"/>
            </w:pPr>
          </w:p>
        </w:tc>
        <w:tc>
          <w:tcPr>
            <w:tcW w:w="3061" w:type="dxa"/>
            <w:vMerge/>
          </w:tcPr>
          <w:p w14:paraId="5DE72503" w14:textId="77777777" w:rsidR="006E77C6" w:rsidRDefault="006E77C6" w:rsidP="002C1A35">
            <w:pPr>
              <w:pStyle w:val="Table"/>
            </w:pPr>
          </w:p>
        </w:tc>
        <w:tc>
          <w:tcPr>
            <w:tcW w:w="1474" w:type="dxa"/>
          </w:tcPr>
          <w:p w14:paraId="0783CCFE" w14:textId="77777777" w:rsidR="006E77C6" w:rsidRPr="00C501DE" w:rsidRDefault="006E77C6" w:rsidP="002C1A35">
            <w:pPr>
              <w:pStyle w:val="Table"/>
            </w:pPr>
            <w:r>
              <w:t>50 to 200</w:t>
            </w:r>
          </w:p>
        </w:tc>
        <w:tc>
          <w:tcPr>
            <w:tcW w:w="1304" w:type="dxa"/>
            <w:vAlign w:val="center"/>
          </w:tcPr>
          <w:p w14:paraId="665BEB23" w14:textId="77777777" w:rsidR="006E77C6" w:rsidRDefault="006E77C6" w:rsidP="002C1A35">
            <w:pPr>
              <w:pStyle w:val="Table"/>
            </w:pPr>
            <w:r>
              <w:t>0.8</w:t>
            </w:r>
          </w:p>
        </w:tc>
      </w:tr>
      <w:tr w:rsidR="006E77C6" w14:paraId="26F649C1" w14:textId="77777777" w:rsidTr="002C1A35">
        <w:tc>
          <w:tcPr>
            <w:tcW w:w="3005" w:type="dxa"/>
            <w:vMerge/>
          </w:tcPr>
          <w:p w14:paraId="3236DA01" w14:textId="77777777" w:rsidR="006E77C6" w:rsidRDefault="006E77C6" w:rsidP="002C1A35">
            <w:pPr>
              <w:pStyle w:val="Table"/>
            </w:pPr>
          </w:p>
        </w:tc>
        <w:tc>
          <w:tcPr>
            <w:tcW w:w="3061" w:type="dxa"/>
            <w:vMerge/>
          </w:tcPr>
          <w:p w14:paraId="7D56393E" w14:textId="77777777" w:rsidR="006E77C6" w:rsidRDefault="006E77C6" w:rsidP="002C1A35">
            <w:pPr>
              <w:pStyle w:val="Table"/>
            </w:pPr>
          </w:p>
        </w:tc>
        <w:tc>
          <w:tcPr>
            <w:tcW w:w="1474" w:type="dxa"/>
          </w:tcPr>
          <w:p w14:paraId="6FDEFA67" w14:textId="77777777" w:rsidR="006E77C6" w:rsidRPr="00C501DE" w:rsidRDefault="006E77C6" w:rsidP="002C1A35">
            <w:pPr>
              <w:pStyle w:val="Table"/>
            </w:pPr>
            <w:r>
              <w:t>200 to 500</w:t>
            </w:r>
          </w:p>
        </w:tc>
        <w:tc>
          <w:tcPr>
            <w:tcW w:w="1304" w:type="dxa"/>
            <w:vAlign w:val="center"/>
          </w:tcPr>
          <w:p w14:paraId="58393D6C" w14:textId="77777777" w:rsidR="006E77C6" w:rsidRDefault="006E77C6" w:rsidP="002C1A35">
            <w:pPr>
              <w:pStyle w:val="Table"/>
            </w:pPr>
            <w:r>
              <w:t>0.6</w:t>
            </w:r>
          </w:p>
        </w:tc>
      </w:tr>
      <w:tr w:rsidR="006E77C6" w14:paraId="7632DB07" w14:textId="77777777" w:rsidTr="002C1A35">
        <w:tc>
          <w:tcPr>
            <w:tcW w:w="3005" w:type="dxa"/>
            <w:vMerge/>
          </w:tcPr>
          <w:p w14:paraId="51782BB5" w14:textId="77777777" w:rsidR="006E77C6" w:rsidRDefault="006E77C6" w:rsidP="002C1A35">
            <w:pPr>
              <w:pStyle w:val="Table"/>
            </w:pPr>
          </w:p>
        </w:tc>
        <w:tc>
          <w:tcPr>
            <w:tcW w:w="3061" w:type="dxa"/>
            <w:vMerge/>
          </w:tcPr>
          <w:p w14:paraId="0A319A3F" w14:textId="77777777" w:rsidR="006E77C6" w:rsidRDefault="006E77C6" w:rsidP="002C1A35">
            <w:pPr>
              <w:pStyle w:val="Table"/>
            </w:pPr>
          </w:p>
        </w:tc>
        <w:tc>
          <w:tcPr>
            <w:tcW w:w="1474" w:type="dxa"/>
          </w:tcPr>
          <w:p w14:paraId="2BF70E0C" w14:textId="77777777" w:rsidR="006E77C6" w:rsidRPr="00C501DE" w:rsidRDefault="006E77C6" w:rsidP="002C1A35">
            <w:pPr>
              <w:pStyle w:val="Table"/>
            </w:pPr>
            <w:r>
              <w:t>500 to 1000</w:t>
            </w:r>
          </w:p>
        </w:tc>
        <w:tc>
          <w:tcPr>
            <w:tcW w:w="1304" w:type="dxa"/>
            <w:vAlign w:val="center"/>
          </w:tcPr>
          <w:p w14:paraId="3FE2ADD0" w14:textId="77777777" w:rsidR="006E77C6" w:rsidRDefault="006E77C6" w:rsidP="002C1A35">
            <w:pPr>
              <w:pStyle w:val="Table"/>
            </w:pPr>
            <w:r>
              <w:t>0.4</w:t>
            </w:r>
          </w:p>
        </w:tc>
      </w:tr>
      <w:tr w:rsidR="006E77C6" w14:paraId="401C0BD9" w14:textId="77777777" w:rsidTr="002C1A35">
        <w:tc>
          <w:tcPr>
            <w:tcW w:w="3005" w:type="dxa"/>
            <w:vMerge/>
          </w:tcPr>
          <w:p w14:paraId="18098CEA" w14:textId="77777777" w:rsidR="006E77C6" w:rsidRDefault="006E77C6" w:rsidP="002C1A35">
            <w:pPr>
              <w:pStyle w:val="Table"/>
            </w:pPr>
          </w:p>
        </w:tc>
        <w:tc>
          <w:tcPr>
            <w:tcW w:w="3061" w:type="dxa"/>
            <w:vMerge/>
          </w:tcPr>
          <w:p w14:paraId="416F99BE" w14:textId="77777777" w:rsidR="006E77C6" w:rsidRDefault="006E77C6" w:rsidP="002C1A35">
            <w:pPr>
              <w:pStyle w:val="Table"/>
            </w:pPr>
          </w:p>
        </w:tc>
        <w:tc>
          <w:tcPr>
            <w:tcW w:w="1474" w:type="dxa"/>
          </w:tcPr>
          <w:p w14:paraId="7169D25B" w14:textId="77777777" w:rsidR="006E77C6" w:rsidRPr="00C501DE" w:rsidRDefault="006E77C6" w:rsidP="002C1A35">
            <w:pPr>
              <w:pStyle w:val="Table"/>
            </w:pPr>
            <w:r>
              <w:t>1000 to 2000</w:t>
            </w:r>
          </w:p>
        </w:tc>
        <w:tc>
          <w:tcPr>
            <w:tcW w:w="1304" w:type="dxa"/>
            <w:vAlign w:val="center"/>
          </w:tcPr>
          <w:p w14:paraId="03B7E014" w14:textId="77777777" w:rsidR="006E77C6" w:rsidRDefault="006E77C6" w:rsidP="002C1A35">
            <w:pPr>
              <w:pStyle w:val="Table"/>
            </w:pPr>
            <w:r>
              <w:t>0.2</w:t>
            </w:r>
          </w:p>
        </w:tc>
      </w:tr>
      <w:tr w:rsidR="006E77C6" w14:paraId="4B80CB83" w14:textId="77777777" w:rsidTr="002C1A35">
        <w:tc>
          <w:tcPr>
            <w:tcW w:w="3005" w:type="dxa"/>
            <w:vMerge/>
          </w:tcPr>
          <w:p w14:paraId="0EFF6099" w14:textId="77777777" w:rsidR="006E77C6" w:rsidRDefault="006E77C6" w:rsidP="002C1A35">
            <w:pPr>
              <w:pStyle w:val="Table"/>
            </w:pPr>
          </w:p>
        </w:tc>
        <w:tc>
          <w:tcPr>
            <w:tcW w:w="3061" w:type="dxa"/>
            <w:vMerge/>
          </w:tcPr>
          <w:p w14:paraId="76297C1C" w14:textId="77777777" w:rsidR="006E77C6" w:rsidRDefault="006E77C6" w:rsidP="002C1A35">
            <w:pPr>
              <w:pStyle w:val="Table"/>
            </w:pPr>
          </w:p>
        </w:tc>
        <w:tc>
          <w:tcPr>
            <w:tcW w:w="1474" w:type="dxa"/>
          </w:tcPr>
          <w:p w14:paraId="308B36A8" w14:textId="77777777" w:rsidR="006E77C6" w:rsidRPr="00C36EDD" w:rsidRDefault="006E77C6" w:rsidP="002C1A35">
            <w:pPr>
              <w:pStyle w:val="Table"/>
            </w:pPr>
            <w:r w:rsidRPr="00C36EDD">
              <w:t>&gt;</w:t>
            </w:r>
            <w:r>
              <w:t xml:space="preserve"> </w:t>
            </w:r>
            <w:r w:rsidRPr="00C36EDD">
              <w:t>2000</w:t>
            </w:r>
          </w:p>
        </w:tc>
        <w:tc>
          <w:tcPr>
            <w:tcW w:w="1304" w:type="dxa"/>
            <w:vAlign w:val="center"/>
          </w:tcPr>
          <w:p w14:paraId="67BCA7DE" w14:textId="77777777" w:rsidR="006E77C6" w:rsidRDefault="006E77C6" w:rsidP="002C1A35">
            <w:pPr>
              <w:pStyle w:val="Table"/>
            </w:pPr>
            <w:r>
              <w:t>0</w:t>
            </w:r>
          </w:p>
        </w:tc>
      </w:tr>
      <w:tr w:rsidR="006E77C6" w14:paraId="2A4D5834" w14:textId="77777777" w:rsidTr="002C1A35">
        <w:tc>
          <w:tcPr>
            <w:tcW w:w="3005" w:type="dxa"/>
            <w:vMerge/>
          </w:tcPr>
          <w:p w14:paraId="270C2E98" w14:textId="77777777" w:rsidR="006E77C6" w:rsidRDefault="006E77C6" w:rsidP="002C1A35">
            <w:pPr>
              <w:pStyle w:val="Table"/>
            </w:pPr>
          </w:p>
        </w:tc>
        <w:tc>
          <w:tcPr>
            <w:tcW w:w="3061" w:type="dxa"/>
            <w:vMerge w:val="restart"/>
          </w:tcPr>
          <w:p w14:paraId="19643412" w14:textId="77777777" w:rsidR="006E77C6" w:rsidRDefault="006E77C6" w:rsidP="002C1A35">
            <w:pPr>
              <w:pStyle w:val="Table"/>
            </w:pPr>
            <w:r>
              <w:t xml:space="preserve">(6) Sunlight hours (sunshine duration (h/year)) </w:t>
            </w:r>
          </w:p>
        </w:tc>
        <w:tc>
          <w:tcPr>
            <w:tcW w:w="1474" w:type="dxa"/>
          </w:tcPr>
          <w:p w14:paraId="342E4884" w14:textId="77777777" w:rsidR="006E77C6" w:rsidRPr="00C501DE" w:rsidRDefault="006E77C6" w:rsidP="002C1A35">
            <w:pPr>
              <w:pStyle w:val="Table"/>
            </w:pPr>
            <w:r>
              <w:t>&lt; 1200</w:t>
            </w:r>
          </w:p>
        </w:tc>
        <w:tc>
          <w:tcPr>
            <w:tcW w:w="1304" w:type="dxa"/>
            <w:vAlign w:val="center"/>
          </w:tcPr>
          <w:p w14:paraId="6EA0CFB5" w14:textId="77777777" w:rsidR="006E77C6" w:rsidRDefault="006E77C6" w:rsidP="002C1A35">
            <w:pPr>
              <w:pStyle w:val="Table"/>
            </w:pPr>
            <w:r>
              <w:t>1</w:t>
            </w:r>
          </w:p>
        </w:tc>
      </w:tr>
      <w:tr w:rsidR="006E77C6" w14:paraId="39FDB083" w14:textId="77777777" w:rsidTr="002C1A35">
        <w:tc>
          <w:tcPr>
            <w:tcW w:w="3005" w:type="dxa"/>
            <w:vMerge/>
          </w:tcPr>
          <w:p w14:paraId="743D89B2" w14:textId="77777777" w:rsidR="006E77C6" w:rsidRDefault="006E77C6" w:rsidP="002C1A35">
            <w:pPr>
              <w:pStyle w:val="Table"/>
            </w:pPr>
          </w:p>
        </w:tc>
        <w:tc>
          <w:tcPr>
            <w:tcW w:w="3061" w:type="dxa"/>
            <w:vMerge/>
          </w:tcPr>
          <w:p w14:paraId="77D86473" w14:textId="77777777" w:rsidR="006E77C6" w:rsidRDefault="006E77C6" w:rsidP="002C1A35">
            <w:pPr>
              <w:pStyle w:val="Table"/>
            </w:pPr>
          </w:p>
        </w:tc>
        <w:tc>
          <w:tcPr>
            <w:tcW w:w="1474" w:type="dxa"/>
          </w:tcPr>
          <w:p w14:paraId="43929A78" w14:textId="77777777" w:rsidR="006E77C6" w:rsidRPr="00C501DE" w:rsidRDefault="006E77C6" w:rsidP="002C1A35">
            <w:pPr>
              <w:pStyle w:val="Table"/>
            </w:pPr>
            <w:r>
              <w:t>1200 to 1600</w:t>
            </w:r>
          </w:p>
        </w:tc>
        <w:tc>
          <w:tcPr>
            <w:tcW w:w="1304" w:type="dxa"/>
            <w:vAlign w:val="center"/>
          </w:tcPr>
          <w:p w14:paraId="6A3CCFD3" w14:textId="77777777" w:rsidR="006E77C6" w:rsidRDefault="006E77C6" w:rsidP="002C1A35">
            <w:pPr>
              <w:pStyle w:val="Table"/>
            </w:pPr>
            <w:r>
              <w:t>0.8</w:t>
            </w:r>
          </w:p>
        </w:tc>
      </w:tr>
      <w:tr w:rsidR="006E77C6" w14:paraId="578EA341" w14:textId="77777777" w:rsidTr="002C1A35">
        <w:tc>
          <w:tcPr>
            <w:tcW w:w="3005" w:type="dxa"/>
            <w:vMerge/>
          </w:tcPr>
          <w:p w14:paraId="546969C8" w14:textId="77777777" w:rsidR="006E77C6" w:rsidRDefault="006E77C6" w:rsidP="002C1A35">
            <w:pPr>
              <w:pStyle w:val="Table"/>
            </w:pPr>
          </w:p>
        </w:tc>
        <w:tc>
          <w:tcPr>
            <w:tcW w:w="3061" w:type="dxa"/>
            <w:vMerge/>
          </w:tcPr>
          <w:p w14:paraId="6B0BEF7A" w14:textId="77777777" w:rsidR="006E77C6" w:rsidRDefault="006E77C6" w:rsidP="002C1A35">
            <w:pPr>
              <w:pStyle w:val="Table"/>
            </w:pPr>
          </w:p>
        </w:tc>
        <w:tc>
          <w:tcPr>
            <w:tcW w:w="1474" w:type="dxa"/>
          </w:tcPr>
          <w:p w14:paraId="43EF02A6" w14:textId="77777777" w:rsidR="006E77C6" w:rsidRPr="00C501DE" w:rsidRDefault="006E77C6" w:rsidP="002C1A35">
            <w:pPr>
              <w:pStyle w:val="Table"/>
            </w:pPr>
            <w:r>
              <w:t>1600 to 2000</w:t>
            </w:r>
          </w:p>
        </w:tc>
        <w:tc>
          <w:tcPr>
            <w:tcW w:w="1304" w:type="dxa"/>
            <w:vAlign w:val="center"/>
          </w:tcPr>
          <w:p w14:paraId="4345605D" w14:textId="77777777" w:rsidR="006E77C6" w:rsidRDefault="006E77C6" w:rsidP="002C1A35">
            <w:pPr>
              <w:pStyle w:val="Table"/>
            </w:pPr>
            <w:r>
              <w:t>0.6</w:t>
            </w:r>
          </w:p>
        </w:tc>
      </w:tr>
      <w:tr w:rsidR="006E77C6" w14:paraId="11CF26F5" w14:textId="77777777" w:rsidTr="002C1A35">
        <w:tc>
          <w:tcPr>
            <w:tcW w:w="3005" w:type="dxa"/>
            <w:vMerge/>
          </w:tcPr>
          <w:p w14:paraId="1619DBCB" w14:textId="77777777" w:rsidR="006E77C6" w:rsidRDefault="006E77C6" w:rsidP="002C1A35">
            <w:pPr>
              <w:pStyle w:val="Table"/>
            </w:pPr>
          </w:p>
        </w:tc>
        <w:tc>
          <w:tcPr>
            <w:tcW w:w="3061" w:type="dxa"/>
            <w:vMerge/>
          </w:tcPr>
          <w:p w14:paraId="7911B2CA" w14:textId="77777777" w:rsidR="006E77C6" w:rsidRDefault="006E77C6" w:rsidP="002C1A35">
            <w:pPr>
              <w:pStyle w:val="Table"/>
            </w:pPr>
          </w:p>
        </w:tc>
        <w:tc>
          <w:tcPr>
            <w:tcW w:w="1474" w:type="dxa"/>
          </w:tcPr>
          <w:p w14:paraId="3704EA7E" w14:textId="77777777" w:rsidR="006E77C6" w:rsidRPr="00C501DE" w:rsidRDefault="006E77C6" w:rsidP="002C1A35">
            <w:pPr>
              <w:pStyle w:val="Table"/>
            </w:pPr>
            <w:r>
              <w:t>2000 to 2400</w:t>
            </w:r>
          </w:p>
        </w:tc>
        <w:tc>
          <w:tcPr>
            <w:tcW w:w="1304" w:type="dxa"/>
            <w:vAlign w:val="center"/>
          </w:tcPr>
          <w:p w14:paraId="52A4A808" w14:textId="77777777" w:rsidR="006E77C6" w:rsidRDefault="006E77C6" w:rsidP="002C1A35">
            <w:pPr>
              <w:pStyle w:val="Table"/>
            </w:pPr>
            <w:r>
              <w:t>0.4</w:t>
            </w:r>
          </w:p>
        </w:tc>
      </w:tr>
      <w:tr w:rsidR="006E77C6" w14:paraId="3F31F018" w14:textId="77777777" w:rsidTr="002C1A35">
        <w:tc>
          <w:tcPr>
            <w:tcW w:w="3005" w:type="dxa"/>
            <w:vMerge/>
          </w:tcPr>
          <w:p w14:paraId="531635A2" w14:textId="77777777" w:rsidR="006E77C6" w:rsidRDefault="006E77C6" w:rsidP="002C1A35">
            <w:pPr>
              <w:pStyle w:val="Table"/>
            </w:pPr>
          </w:p>
        </w:tc>
        <w:tc>
          <w:tcPr>
            <w:tcW w:w="3061" w:type="dxa"/>
            <w:vMerge/>
          </w:tcPr>
          <w:p w14:paraId="16145D46" w14:textId="77777777" w:rsidR="006E77C6" w:rsidRDefault="006E77C6" w:rsidP="002C1A35">
            <w:pPr>
              <w:pStyle w:val="Table"/>
            </w:pPr>
          </w:p>
        </w:tc>
        <w:tc>
          <w:tcPr>
            <w:tcW w:w="1474" w:type="dxa"/>
          </w:tcPr>
          <w:p w14:paraId="264AFC9B" w14:textId="77777777" w:rsidR="006E77C6" w:rsidRPr="00C501DE" w:rsidRDefault="006E77C6" w:rsidP="002C1A35">
            <w:pPr>
              <w:pStyle w:val="Table"/>
            </w:pPr>
            <w:r>
              <w:t>2400 to 3000</w:t>
            </w:r>
          </w:p>
        </w:tc>
        <w:tc>
          <w:tcPr>
            <w:tcW w:w="1304" w:type="dxa"/>
            <w:vAlign w:val="center"/>
          </w:tcPr>
          <w:p w14:paraId="25C9864D" w14:textId="77777777" w:rsidR="006E77C6" w:rsidRDefault="006E77C6" w:rsidP="002C1A35">
            <w:pPr>
              <w:pStyle w:val="Table"/>
            </w:pPr>
            <w:r>
              <w:t>0.2</w:t>
            </w:r>
          </w:p>
        </w:tc>
      </w:tr>
      <w:tr w:rsidR="006E77C6" w14:paraId="39B2E06E" w14:textId="77777777" w:rsidTr="002C1A35">
        <w:tc>
          <w:tcPr>
            <w:tcW w:w="3005" w:type="dxa"/>
            <w:vMerge/>
          </w:tcPr>
          <w:p w14:paraId="79D4A46E" w14:textId="77777777" w:rsidR="006E77C6" w:rsidRDefault="006E77C6" w:rsidP="002C1A35">
            <w:pPr>
              <w:pStyle w:val="Table"/>
            </w:pPr>
          </w:p>
        </w:tc>
        <w:tc>
          <w:tcPr>
            <w:tcW w:w="3061" w:type="dxa"/>
            <w:vMerge/>
          </w:tcPr>
          <w:p w14:paraId="6DB4F663" w14:textId="77777777" w:rsidR="006E77C6" w:rsidRDefault="006E77C6" w:rsidP="002C1A35">
            <w:pPr>
              <w:pStyle w:val="Table"/>
            </w:pPr>
          </w:p>
        </w:tc>
        <w:tc>
          <w:tcPr>
            <w:tcW w:w="1474" w:type="dxa"/>
          </w:tcPr>
          <w:p w14:paraId="525D197E" w14:textId="77777777" w:rsidR="006E77C6" w:rsidRPr="00C36EDD" w:rsidRDefault="006E77C6" w:rsidP="002C1A35">
            <w:pPr>
              <w:pStyle w:val="Table"/>
            </w:pPr>
            <w:r w:rsidRPr="00C36EDD">
              <w:t>&gt;</w:t>
            </w:r>
            <w:r>
              <w:t xml:space="preserve"> </w:t>
            </w:r>
            <w:r w:rsidRPr="00C36EDD">
              <w:t>3000</w:t>
            </w:r>
          </w:p>
        </w:tc>
        <w:tc>
          <w:tcPr>
            <w:tcW w:w="1304" w:type="dxa"/>
            <w:vAlign w:val="center"/>
          </w:tcPr>
          <w:p w14:paraId="58A7D568" w14:textId="77777777" w:rsidR="006E77C6" w:rsidRDefault="006E77C6" w:rsidP="002C1A35">
            <w:pPr>
              <w:pStyle w:val="Table"/>
            </w:pPr>
            <w:r>
              <w:t>0</w:t>
            </w:r>
          </w:p>
        </w:tc>
      </w:tr>
      <w:tr w:rsidR="006E77C6" w14:paraId="70770176" w14:textId="77777777" w:rsidTr="002C1A35">
        <w:tc>
          <w:tcPr>
            <w:tcW w:w="3005" w:type="dxa"/>
            <w:vMerge w:val="restart"/>
          </w:tcPr>
          <w:p w14:paraId="1E58BA26" w14:textId="77777777" w:rsidR="006E77C6" w:rsidRDefault="006E77C6" w:rsidP="002C1A35">
            <w:pPr>
              <w:pStyle w:val="Table"/>
            </w:pPr>
            <w:r>
              <w:t xml:space="preserve">Remoteness </w:t>
            </w:r>
          </w:p>
        </w:tc>
        <w:tc>
          <w:tcPr>
            <w:tcW w:w="3061" w:type="dxa"/>
            <w:vMerge w:val="restart"/>
          </w:tcPr>
          <w:p w14:paraId="4CEA03A5" w14:textId="77777777" w:rsidR="006E77C6" w:rsidRDefault="006E77C6" w:rsidP="002C1A35">
            <w:pPr>
              <w:pStyle w:val="Table"/>
            </w:pPr>
            <w:r>
              <w:t xml:space="preserve">(7) Distance from shore, fear of unknown </w:t>
            </w:r>
          </w:p>
        </w:tc>
        <w:tc>
          <w:tcPr>
            <w:tcW w:w="1474" w:type="dxa"/>
          </w:tcPr>
          <w:p w14:paraId="489AA17D" w14:textId="77777777" w:rsidR="006E77C6" w:rsidRPr="00C501DE" w:rsidRDefault="006E77C6" w:rsidP="002C1A35">
            <w:pPr>
              <w:pStyle w:val="Table"/>
            </w:pPr>
            <w:r>
              <w:t xml:space="preserve">Low </w:t>
            </w:r>
          </w:p>
        </w:tc>
        <w:tc>
          <w:tcPr>
            <w:tcW w:w="1304" w:type="dxa"/>
            <w:vAlign w:val="center"/>
          </w:tcPr>
          <w:p w14:paraId="6F321C5D" w14:textId="77777777" w:rsidR="006E77C6" w:rsidRDefault="006E77C6" w:rsidP="002C1A35">
            <w:pPr>
              <w:pStyle w:val="Table"/>
            </w:pPr>
            <w:r>
              <w:t>0</w:t>
            </w:r>
          </w:p>
        </w:tc>
      </w:tr>
      <w:tr w:rsidR="006E77C6" w14:paraId="23A94CEC" w14:textId="77777777" w:rsidTr="002C1A35">
        <w:tc>
          <w:tcPr>
            <w:tcW w:w="3005" w:type="dxa"/>
            <w:vMerge/>
          </w:tcPr>
          <w:p w14:paraId="207FF871" w14:textId="77777777" w:rsidR="006E77C6" w:rsidRDefault="006E77C6" w:rsidP="002C1A35">
            <w:pPr>
              <w:pStyle w:val="Table"/>
            </w:pPr>
          </w:p>
        </w:tc>
        <w:tc>
          <w:tcPr>
            <w:tcW w:w="3061" w:type="dxa"/>
            <w:vMerge/>
          </w:tcPr>
          <w:p w14:paraId="686AC22B" w14:textId="77777777" w:rsidR="006E77C6" w:rsidRDefault="006E77C6" w:rsidP="002C1A35">
            <w:pPr>
              <w:pStyle w:val="Table"/>
            </w:pPr>
          </w:p>
        </w:tc>
        <w:tc>
          <w:tcPr>
            <w:tcW w:w="1474" w:type="dxa"/>
          </w:tcPr>
          <w:p w14:paraId="62A7D186" w14:textId="77777777" w:rsidR="006E77C6" w:rsidRPr="00C501DE" w:rsidRDefault="006E77C6" w:rsidP="002C1A35">
            <w:pPr>
              <w:pStyle w:val="Table"/>
            </w:pPr>
            <w:r>
              <w:t xml:space="preserve">Medium </w:t>
            </w:r>
          </w:p>
        </w:tc>
        <w:tc>
          <w:tcPr>
            <w:tcW w:w="1304" w:type="dxa"/>
            <w:vAlign w:val="center"/>
          </w:tcPr>
          <w:p w14:paraId="5B1DDCB7" w14:textId="77777777" w:rsidR="006E77C6" w:rsidRDefault="006E77C6" w:rsidP="002C1A35">
            <w:pPr>
              <w:pStyle w:val="Table"/>
            </w:pPr>
            <w:r>
              <w:t>0.5</w:t>
            </w:r>
          </w:p>
        </w:tc>
      </w:tr>
      <w:tr w:rsidR="006E77C6" w14:paraId="0D7E8AB5" w14:textId="77777777" w:rsidTr="002C1A35">
        <w:tc>
          <w:tcPr>
            <w:tcW w:w="3005" w:type="dxa"/>
            <w:vMerge/>
          </w:tcPr>
          <w:p w14:paraId="30F8B78D" w14:textId="77777777" w:rsidR="006E77C6" w:rsidRDefault="006E77C6" w:rsidP="002C1A35">
            <w:pPr>
              <w:pStyle w:val="Table"/>
            </w:pPr>
          </w:p>
        </w:tc>
        <w:tc>
          <w:tcPr>
            <w:tcW w:w="3061" w:type="dxa"/>
            <w:vMerge/>
          </w:tcPr>
          <w:p w14:paraId="50A67071" w14:textId="77777777" w:rsidR="006E77C6" w:rsidRDefault="006E77C6" w:rsidP="002C1A35">
            <w:pPr>
              <w:pStyle w:val="Table"/>
            </w:pPr>
          </w:p>
        </w:tc>
        <w:tc>
          <w:tcPr>
            <w:tcW w:w="1474" w:type="dxa"/>
          </w:tcPr>
          <w:p w14:paraId="1C347F30" w14:textId="77777777" w:rsidR="006E77C6" w:rsidRPr="00C501DE" w:rsidRDefault="006E77C6" w:rsidP="002C1A35">
            <w:pPr>
              <w:pStyle w:val="Table"/>
            </w:pPr>
            <w:r>
              <w:t>High</w:t>
            </w:r>
          </w:p>
        </w:tc>
        <w:tc>
          <w:tcPr>
            <w:tcW w:w="1304" w:type="dxa"/>
            <w:vAlign w:val="center"/>
          </w:tcPr>
          <w:p w14:paraId="250009A3" w14:textId="77777777" w:rsidR="006E77C6" w:rsidRDefault="006E77C6" w:rsidP="002C1A35">
            <w:pPr>
              <w:pStyle w:val="Table"/>
            </w:pPr>
            <w:r>
              <w:t>1</w:t>
            </w:r>
          </w:p>
        </w:tc>
      </w:tr>
    </w:tbl>
    <w:p w14:paraId="4A9C0916" w14:textId="77777777" w:rsidR="006E77C6" w:rsidRDefault="006E77C6" w:rsidP="006E77C6"/>
    <w:p w14:paraId="5F1567D5" w14:textId="77777777" w:rsidR="006E77C6" w:rsidRDefault="006E77C6"/>
    <w:p w14:paraId="7BCFE162" w14:textId="77777777" w:rsidR="005738BA" w:rsidRDefault="005738BA" w:rsidP="005738BA">
      <w:r>
        <w:lastRenderedPageBreak/>
        <w:t>To each stressor, one or more external factors (EF) are associated. EFs are climate or environmental conditions that can be measured or quantified for the site under analysis and that have a significant impact on the correspondent stressor. A non-dimensional penalty (S) is assigned</w:t>
      </w:r>
      <w:r w:rsidRPr="008761EB">
        <w:t xml:space="preserve"> </w:t>
      </w:r>
      <w:r>
        <w:t xml:space="preserve">to each EF. This represents the </w:t>
      </w:r>
      <w:r w:rsidRPr="006B4DAE">
        <w:t xml:space="preserve">distance from </w:t>
      </w:r>
      <w:r w:rsidRPr="00FE5B61">
        <w:t>favourable</w:t>
      </w:r>
      <w:r w:rsidRPr="006B4DAE">
        <w:t xml:space="preserve"> environmental conditions and it scores from 0 to 1, where 0 represents the good conditions and 1 the worst ones. </w:t>
      </w:r>
      <w:r>
        <w:t>Penalties are then combined according to the rules described in Section 2.3.3.</w:t>
      </w:r>
    </w:p>
    <w:p w14:paraId="533D4439" w14:textId="3AA8B99C" w:rsidR="00B53625" w:rsidRDefault="007F47C3">
      <w:r w:rsidRPr="006B4DAE">
        <w:t>Specific environmental conditions of the site of interest should be collected</w:t>
      </w:r>
      <w:r>
        <w:t xml:space="preserve"> </w:t>
      </w:r>
      <w:r w:rsidR="00281B8C">
        <w:t xml:space="preserve">while </w:t>
      </w:r>
      <w:r>
        <w:t>assigning the penalt</w:t>
      </w:r>
      <w:r w:rsidR="00DE77E9">
        <w:t>ies</w:t>
      </w:r>
      <w:r>
        <w:t>. The penalty</w:t>
      </w:r>
      <w:r w:rsidR="002E5D4C">
        <w:t xml:space="preserve"> increases </w:t>
      </w:r>
      <w:r>
        <w:t xml:space="preserve">the relevance of the EF for the case study under analysis. </w:t>
      </w:r>
      <w:r w:rsidR="00B07002">
        <w:t>T</w:t>
      </w:r>
      <w:r>
        <w:t>he overview of stressors, external factors and penalty system applied in the present study</w:t>
      </w:r>
      <w:r w:rsidR="00B07002">
        <w:t xml:space="preserve"> is provided in Table 2</w:t>
      </w:r>
      <w:r>
        <w:t xml:space="preserve">. </w:t>
      </w:r>
      <w:r w:rsidRPr="003969D8">
        <w:t xml:space="preserve">The parameters aimed at determining the EF score are ranked </w:t>
      </w:r>
      <w:r w:rsidR="003969D8" w:rsidRPr="003969D8">
        <w:t>in order to</w:t>
      </w:r>
      <w:r w:rsidRPr="003969D8">
        <w:t xml:space="preserve"> assess the effect of adverse meteorological conditions on plant operation performance. </w:t>
      </w:r>
      <w:r w:rsidR="003969D8" w:rsidRPr="003969D8">
        <w:t>The ranges of the parameter are derived</w:t>
      </w:r>
      <w:r w:rsidR="003969D8">
        <w:t xml:space="preserve"> from literature survey</w:t>
      </w:r>
      <w:r w:rsidR="00D53BE3">
        <w:t xml:space="preserve"> and documented elsewhere </w:t>
      </w:r>
      <w:r w:rsidR="00D53BE3" w:rsidRPr="00FE5B61">
        <w:t>(Landucci et al., 2017</w:t>
      </w:r>
      <w:r w:rsidR="00D53BE3" w:rsidRPr="00BF0CB7">
        <w:t>)</w:t>
      </w:r>
      <w:r w:rsidR="003969D8" w:rsidRPr="00BF0CB7">
        <w:t xml:space="preserve">. </w:t>
      </w:r>
      <w:r w:rsidR="00B53625" w:rsidRPr="00BF0CB7">
        <w:t>The weather parameters used are average values over a year. The aim of the HES is to describe to some extent the harshness of the environment where the installation is located. It is not meant to describe the condition at a given point in time (e.g. today).</w:t>
      </w:r>
      <w:r w:rsidR="00B53625">
        <w:t xml:space="preserve"> </w:t>
      </w:r>
    </w:p>
    <w:p w14:paraId="706F237C" w14:textId="77777777" w:rsidR="007F47C3" w:rsidRDefault="00036E24">
      <w:r>
        <w:t>The following sections report</w:t>
      </w:r>
      <w:r w:rsidR="003969D8">
        <w:t xml:space="preserve"> the main highlights about </w:t>
      </w:r>
      <w:r w:rsidR="00C520FB">
        <w:t xml:space="preserve">the effect of each </w:t>
      </w:r>
      <w:r w:rsidR="003969D8">
        <w:t xml:space="preserve">external factor </w:t>
      </w:r>
      <w:r w:rsidR="00C520FB">
        <w:t>on</w:t>
      </w:r>
      <w:r w:rsidR="003969D8">
        <w:t xml:space="preserve"> human performance </w:t>
      </w:r>
      <w:r w:rsidR="00C520FB">
        <w:t>and about the penalty system adopted</w:t>
      </w:r>
      <w:r w:rsidR="00140344">
        <w:t xml:space="preserve"> in Table 2</w:t>
      </w:r>
      <w:r w:rsidR="003969D8">
        <w:t>.</w:t>
      </w:r>
      <w:r w:rsidR="00C520FB">
        <w:t xml:space="preserve"> </w:t>
      </w:r>
    </w:p>
    <w:p w14:paraId="72B131A6" w14:textId="77777777" w:rsidR="00BF49BA" w:rsidRDefault="00BF49BA" w:rsidP="00BF49BA">
      <w:r w:rsidRPr="0059555A">
        <w:t xml:space="preserve">Cold weather inhibits operator’s performance inducing difficulty in breathing or slippery due to ice </w:t>
      </w:r>
      <w:r w:rsidRPr="0059555A">
        <w:fldChar w:fldCharType="begin" w:fldLock="1"/>
      </w:r>
      <w:r w:rsidR="00131B8A">
        <w:instrText>ADDIN CSL_CITATION { "citationItems" : [ { "id" : "ITEM-1", "itemData" : { "DOI" : "DOI: 10.1115/OMAE2013-10867", "author" : [ { "dropping-particle" : "", "family" : "Musharraf", "given" : "M.", "non-dropping-particle" : "", "parse-names" : false, "suffix" : "" }, { "dropping-particle" : "", "family" : "Khan", "given" : "Faisal", "non-dropping-particle" : "", "parse-names" : false, "suffix" : "" }, { "dropping-particle" : "", "family" : "Veitch", "given" : "Brian", "non-dropping-particle" : "", "parse-names" : false, "suffix" : "" }, { "dropping-particle" : "", "family" : "Mackinnon", "given" : "Scott", "non-dropping-particle" : "", "parse-names" : false, "suffix" : "" }, { "dropping-particle" : "", "family" : "Imtiaz", "given" : "Syed", "non-dropping-particle" : "", "parse-names" : false, "suffix" : "" } ], "container-title" : "Proceedings of the ASME 2013 32nd International Conference on Ocean, Offshore and Arctic Engineering (OMAE 2013), June 9-14, 2013, Nantes, France", "id" : "ITEM-1", "issued" : { "date-parts" : [ [ "2013" ] ] }, "page" : "1-9", "publisher" : "American Society of Mechanical Engineers", "publisher-place" : "New York, NY", "title" : "Human factor risk assessment during emergency condition in harsh environment", "type" : "paper-conference" }, "uris" : [ "http://www.mendeley.com/documents/?uuid=9774707c-93a5-4c53-bf86-89b6e74c4900" ] } ], "mendeley" : { "formattedCitation" : "(Musharraf et al., 2013)", "plainTextFormattedCitation" : "(Musharraf et al., 2013)", "previouslyFormattedCitation" : "(Musharraf et al., 2013)" }, "properties" : {  }, "schema" : "https://github.com/citation-style-language/schema/raw/master/csl-citation.json" }</w:instrText>
      </w:r>
      <w:r w:rsidRPr="0059555A">
        <w:fldChar w:fldCharType="separate"/>
      </w:r>
      <w:r w:rsidRPr="0059555A">
        <w:rPr>
          <w:noProof/>
        </w:rPr>
        <w:t>(Musharraf et al., 2013)</w:t>
      </w:r>
      <w:r w:rsidRPr="0059555A">
        <w:fldChar w:fldCharType="end"/>
      </w:r>
      <w:r w:rsidRPr="0059555A">
        <w:t xml:space="preserve">. In Recommended Practices RP 581 from </w:t>
      </w:r>
      <w:r w:rsidRPr="0059555A">
        <w:fldChar w:fldCharType="begin" w:fldLock="1"/>
      </w:r>
      <w:r w:rsidR="00131B8A">
        <w:instrText>ADDIN CSL_CITATION { "citationItems" : [ { "id" : "ITEM-1", "itemData" : { "author" : [ { "dropping-particle" : "", "family" : "American Petroleum Institute", "given" : "", "non-dropping-particle" : "", "parse-names" : false, "suffix" : "" } ], "id" : "ITEM-1", "issued" : { "date-parts" : [ [ "2000" ] ] }, "publisher" : "American Petroleum Institute", "publisher-place" : "New York", "title" : "API Publication 581. Risk-based inspection base resource document", "type" : "article" }, "uris" : [ "http://www.mendeley.com/documents/?uuid=106402c0-09e2-424a-b4df-cb7d39c38b2e" ] } ], "mendeley" : { "formattedCitation" : "(American Petroleum Institute, 2000)", "manualFormatting" : "American Petroleum Institute (2000)", "plainTextFormattedCitation" : "(American Petroleum Institute, 2000)", "previouslyFormattedCitation" : "(American Petroleum Institute, 2000)" }, "properties" : {  }, "schema" : "https://github.com/citation-style-language/schema/raw/master/csl-citation.json" }</w:instrText>
      </w:r>
      <w:r w:rsidRPr="0059555A">
        <w:fldChar w:fldCharType="separate"/>
      </w:r>
      <w:r w:rsidRPr="0059555A">
        <w:rPr>
          <w:noProof/>
        </w:rPr>
        <w:t>American Petroleum Institute (2000)</w:t>
      </w:r>
      <w:r w:rsidRPr="0059555A">
        <w:fldChar w:fldCharType="end"/>
      </w:r>
      <w:r w:rsidRPr="0059555A">
        <w:t xml:space="preserve"> specific penalties are associated to operation in cold environments on the basis of the external temperature (external factor (1)). These penalties</w:t>
      </w:r>
      <w:r>
        <w:t>,</w:t>
      </w:r>
      <w:r w:rsidRPr="0059555A">
        <w:t xml:space="preserve"> as shown in Table </w:t>
      </w:r>
      <w:r>
        <w:t>2,</w:t>
      </w:r>
      <w:r w:rsidRPr="0059555A">
        <w:t xml:space="preserve"> are adapted in this framework. A further penalty is considered in the presence of hot weather conditions, when the temperature is higher than the one representing tropical ambient conditions (45</w:t>
      </w:r>
      <w:r>
        <w:t>°</w:t>
      </w:r>
      <w:r w:rsidRPr="0059555A">
        <w:t xml:space="preserve">C) </w:t>
      </w:r>
      <w:r w:rsidRPr="0059555A">
        <w:fldChar w:fldCharType="begin" w:fldLock="1"/>
      </w:r>
      <w:r w:rsidR="00131B8A">
        <w:instrText>ADDIN CSL_CITATION { "citationItems" : [ { "id" : "ITEM-1", "itemData" : { "author" : [ { "dropping-particle" : "", "family" : "IACS - International Association of Classification Societies", "given" : "", "non-dropping-particle" : "", "parse-names" : false, "suffix" : "" } ], "id" : "ITEM-1", "issued" : { "date-parts" : [ [ "1978" ] ] }, "publisher-place" : "London, UK", "title" : "IACS M28 - Tropical ambient reference conditions", "type" : "report" }, "uris" : [ "http://www.mendeley.com/documents/?uuid=411ba6cd-570e-43a6-bf95-83025b64b2de", "http://www.mendeley.com/documents/?uuid=50e2b419-bd5f-40d0-af20-2d106250ce2d", "http://www.mendeley.com/documents/?uuid=e36c0b81-2801-47e7-a75e-8b5e55a94d5f" ] } ], "mendeley" : { "formattedCitation" : "(IACS - International Association of Classification Societies, 1978)", "plainTextFormattedCitation" : "(IACS - International Association of Classification Societies, 1978)", "previouslyFormattedCitation" : "(IACS - International Association of Classification Societies, 1978)" }, "properties" : {  }, "schema" : "https://github.com/citation-style-language/schema/raw/master/csl-citation.json" }</w:instrText>
      </w:r>
      <w:r w:rsidRPr="0059555A">
        <w:fldChar w:fldCharType="separate"/>
      </w:r>
      <w:r w:rsidRPr="0059555A">
        <w:rPr>
          <w:noProof/>
        </w:rPr>
        <w:t>(IACS - International Association of Classification Societies, 1978)</w:t>
      </w:r>
      <w:r w:rsidRPr="0059555A">
        <w:fldChar w:fldCharType="end"/>
      </w:r>
      <w:r w:rsidRPr="0059555A">
        <w:t xml:space="preserve">.  </w:t>
      </w:r>
    </w:p>
    <w:p w14:paraId="12CA92D6" w14:textId="77777777" w:rsidR="00CA1281" w:rsidRDefault="00CA1281" w:rsidP="009270F7">
      <w:r w:rsidRPr="0059555A">
        <w:t>Wind affects human</w:t>
      </w:r>
      <w:r w:rsidR="006F77C9">
        <w:t xml:space="preserve"> </w:t>
      </w:r>
      <w:r w:rsidRPr="0059555A">
        <w:t xml:space="preserve">and </w:t>
      </w:r>
      <w:r w:rsidRPr="003B7BEB">
        <w:t xml:space="preserve">objects. The Beaufort wind force scale </w:t>
      </w:r>
      <w:r w:rsidRPr="003B7BEB">
        <w:fldChar w:fldCharType="begin" w:fldLock="1"/>
      </w:r>
      <w:r w:rsidR="00131B8A">
        <w:instrText>ADDIN CSL_CITATION { "citationItems" : [ { "id" : "ITEM-1", "itemData" : { "author" : [ { "dropping-particle" : "", "family" : "Shaw", "given" : "N", "non-dropping-particle" : "", "parse-names" : false, "suffix" : "" }, { "dropping-particle" : "", "family" : "Austin", "given" : "E J", "non-dropping-particle" : "", "parse-names" : false, "suffix" : "" } ], "editor" : [ { "dropping-particle" : "", "family" : "Cambridge University Press", "given" : "", "non-dropping-particle" : "", "parse-names" : false, "suffix" : "" } ], "id" : "ITEM-1", "issued" : { "date-parts" : [ [ "1919" ] ] }, "publisher-place" : "Cambridge, UK", "title" : "Manual of meteorology: comparative meteorology.", "type" : "book" }, "uris" : [ "http://www.mendeley.com/documents/?uuid=43bd85ff-4c4d-49be-9491-4d0a40b4e2e2", "http://www.mendeley.com/documents/?uuid=b6f232fe-46b6-4a2f-8e3f-52b1fbef8690", "http://www.mendeley.com/documents/?uuid=cc83c232-fdd8-4bdc-b935-bef21bef6b1e" ] } ], "mendeley" : { "formattedCitation" : "(Shaw and Austin, 1919)", "plainTextFormattedCitation" : "(Shaw and Austin, 1919)", "previouslyFormattedCitation" : "(Shaw and Austin, 1919)" }, "properties" : {  }, "schema" : "https://github.com/citation-style-language/schema/raw/master/csl-citation.json" }</w:instrText>
      </w:r>
      <w:r w:rsidRPr="003B7BEB">
        <w:fldChar w:fldCharType="separate"/>
      </w:r>
      <w:r w:rsidRPr="002A1865">
        <w:rPr>
          <w:noProof/>
        </w:rPr>
        <w:t>(Shaw and Austin, 1919)</w:t>
      </w:r>
      <w:r w:rsidRPr="003B7BEB">
        <w:fldChar w:fldCharType="end"/>
      </w:r>
      <w:r w:rsidRPr="003B7BEB">
        <w:t xml:space="preserve"> is considered in this framework </w:t>
      </w:r>
      <w:r w:rsidR="00BC0550">
        <w:t xml:space="preserve">in </w:t>
      </w:r>
      <w:r w:rsidRPr="003B7BEB">
        <w:t xml:space="preserve">order to account of the </w:t>
      </w:r>
      <w:r w:rsidR="00C914F8">
        <w:t>EF</w:t>
      </w:r>
      <w:r w:rsidR="00C914F8">
        <w:rPr>
          <w:vertAlign w:val="subscript"/>
        </w:rPr>
        <w:t>2</w:t>
      </w:r>
      <w:r w:rsidRPr="003B7BEB">
        <w:t xml:space="preserve"> “extreme wind speed”.</w:t>
      </w:r>
      <w:r>
        <w:t xml:space="preserve"> The scale identifies 13 classes associated to different Beaufort numbers (from force 0 to force 12</w:t>
      </w:r>
      <w:r w:rsidR="002E5D4C">
        <w:t>)</w:t>
      </w:r>
      <w:r>
        <w:t xml:space="preserve">. The intermediate levels are identified according to a linearly increasing behaviour with respect to the wind speed at 10 m </w:t>
      </w:r>
      <w:r w:rsidR="00D326F4">
        <w:t>above</w:t>
      </w:r>
      <w:r>
        <w:t xml:space="preserve"> sea level. Each class represents different sea and land conditions. The present work considers the scale up to force 8, defined as “gale”. In this condition, the operators walking against the wind feel inconvenience. </w:t>
      </w:r>
      <w:r w:rsidR="00B12B2D" w:rsidRPr="00336EB7">
        <w:t xml:space="preserve">On offshore installations, the edges are the critical areas exposed to high wind. The process area is conventionally protected against </w:t>
      </w:r>
      <w:r w:rsidR="00E7548D" w:rsidRPr="00336EB7">
        <w:t>external wind. Anyway, strong wind may significantly affect the</w:t>
      </w:r>
      <w:r w:rsidR="009B08FF" w:rsidRPr="00336EB7">
        <w:t xml:space="preserve"> safety vessel response and the operations carried out by the emergency crew then it is a factor that should be taken into account in the present analysis. </w:t>
      </w:r>
      <w:r w:rsidR="00E7548D" w:rsidRPr="00336EB7">
        <w:t xml:space="preserve"> </w:t>
      </w:r>
      <w:r>
        <w:t xml:space="preserve">Conservatively, the present framework assigns the unitary penalty to the gale condition and no penalty is considered below the “light breeze” condition (force 2 in Beaufort scale). The intermediate wind speed ranges are scored with penalties linearly increasing from 0 to 1 </w:t>
      </w:r>
      <w:r w:rsidRPr="002E5218">
        <w:fldChar w:fldCharType="begin" w:fldLock="1"/>
      </w:r>
      <w:r w:rsidR="00131B8A">
        <w:instrText>ADDIN CSL_CITATION { "citationItems" : [ { "id" : "ITEM-1", "itemData" : { "author" : [ { "dropping-particle" : "", "family" : "Shaw", "given" : "N", "non-dropping-particle" : "", "parse-names" : false, "suffix" : "" }, { "dropping-particle" : "", "family" : "Austin", "given" : "E J", "non-dropping-particle" : "", "parse-names" : false, "suffix" : "" } ], "editor" : [ { "dropping-particle" : "", "family" : "Cambridge University Press", "given" : "", "non-dropping-particle" : "", "parse-names" : false, "suffix" : "" } ], "id" : "ITEM-1", "issued" : { "date-parts" : [ [ "1919" ] ] }, "publisher-place" : "Cambridge, UK", "title" : "Manual of meteorology: comparative meteorology.", "type" : "book" }, "uris" : [ "http://www.mendeley.com/documents/?uuid=cc83c232-fdd8-4bdc-b935-bef21bef6b1e", "http://www.mendeley.com/documents/?uuid=b6f232fe-46b6-4a2f-8e3f-52b1fbef8690", "http://www.mendeley.com/documents/?uuid=43bd85ff-4c4d-49be-9491-4d0a40b4e2e2" ] } ], "mendeley" : { "formattedCitation" : "(Shaw and Austin, 1919)", "plainTextFormattedCitation" : "(Shaw and Austin, 1919)", "previouslyFormattedCitation" : "(Shaw and Austin, 1919)" }, "properties" : {  }, "schema" : "https://github.com/citation-style-language/schema/raw/master/csl-citation.json" }</w:instrText>
      </w:r>
      <w:r w:rsidRPr="002E5218">
        <w:fldChar w:fldCharType="separate"/>
      </w:r>
      <w:r w:rsidRPr="002A1865">
        <w:rPr>
          <w:noProof/>
        </w:rPr>
        <w:t>(Shaw and Austin, 1919)</w:t>
      </w:r>
      <w:r w:rsidRPr="002E5218">
        <w:fldChar w:fldCharType="end"/>
      </w:r>
      <w:r w:rsidRPr="002E5218">
        <w:t xml:space="preserve">. </w:t>
      </w:r>
    </w:p>
    <w:p w14:paraId="006FD404" w14:textId="77777777" w:rsidR="00B07002" w:rsidRPr="00BE5FB6" w:rsidRDefault="00BE5FB6" w:rsidP="009270F7">
      <w:r w:rsidRPr="00BE5FB6">
        <w:lastRenderedPageBreak/>
        <w:t>Waves (</w:t>
      </w:r>
      <w:r w:rsidR="00C914F8">
        <w:t>EF</w:t>
      </w:r>
      <w:r w:rsidR="00C914F8">
        <w:rPr>
          <w:vertAlign w:val="subscript"/>
        </w:rPr>
        <w:t>3</w:t>
      </w:r>
      <w:r w:rsidRPr="00BE5FB6">
        <w:t xml:space="preserve">) may generates seasickness on offshore operators. </w:t>
      </w:r>
      <w:r w:rsidR="00705470">
        <w:t xml:space="preserve">The effect of waves is different on different type of installations. </w:t>
      </w:r>
      <w:r w:rsidR="004F0C84">
        <w:t>For example</w:t>
      </w:r>
      <w:r w:rsidR="00705470">
        <w:t xml:space="preserve">, fixed installations do not experience at all any problem due to the state of the sea. The situation is critical for floating units, both processing installations and supply vessels. </w:t>
      </w:r>
      <w:r w:rsidRPr="00BE5FB6">
        <w:t xml:space="preserve">The parameter considered in assessing the severity of wave conditions is the “significant wave height”, i.e. the average of the higher one third of the waves considering a stated sea surface and ordering the waves for increasing height. According to </w:t>
      </w:r>
      <w:r w:rsidRPr="00BE5FB6">
        <w:fldChar w:fldCharType="begin" w:fldLock="1"/>
      </w:r>
      <w:r w:rsidR="00131B8A">
        <w:instrText>ADDIN CSL_CITATION { "citationItems" : [ { "id" : "ITEM-1", "itemData" : { "author" : [ { "dropping-particle" : "", "family" : "PAFA Consulting Engineers", "given" : "", "non-dropping-particle" : "", "parse-names" : false, "suffix" : "" } ], "id" : "ITEM-1", "issued" : { "date-parts" : [ [ "2001" ] ] }, "publisher-place" : "London, UK", "title" : "Weather-sensitive offshore operations and metocean data - Offshore technology report 2001/022", "type" : "report" }, "uris" : [ "http://www.mendeley.com/documents/?uuid=eb3f7352-ab9e-4c11-bc6e-c550efe64e0b", "http://www.mendeley.com/documents/?uuid=3866fa1a-fac3-4cc2-8b94-589833ee3220", "http://www.mendeley.com/documents/?uuid=4e58bbb1-a784-4f82-8c61-a0811463439b" ] } ], "mendeley" : { "formattedCitation" : "(PAFA Consulting Engineers, 2001)", "manualFormatting" : "PAFA Consulting Engineers (2001)", "plainTextFormattedCitation" : "(PAFA Consulting Engineers, 2001)", "previouslyFormattedCitation" : "(PAFA Consulting Engineers, 2001)" }, "properties" : {  }, "schema" : "https://github.com/citation-style-language/schema/raw/master/csl-citation.json" }</w:instrText>
      </w:r>
      <w:r w:rsidRPr="00BE5FB6">
        <w:fldChar w:fldCharType="separate"/>
      </w:r>
      <w:r w:rsidRPr="00BE5FB6">
        <w:rPr>
          <w:noProof/>
        </w:rPr>
        <w:t>PAFA Consulting Engineers (2001)</w:t>
      </w:r>
      <w:r w:rsidRPr="00BE5FB6">
        <w:fldChar w:fldCharType="end"/>
      </w:r>
      <w:r w:rsidRPr="00BE5FB6">
        <w:t xml:space="preserve">, the critical waves height resulting in adverse sea state is in the range of 3-4 m. </w:t>
      </w:r>
      <w:r w:rsidR="00B07002" w:rsidRPr="00BE5FB6">
        <w:t xml:space="preserve">Then, the maximum penalty is associated to waves exceeding 4 m height. The classification of severity classes for waves according to Douglas sea scale </w:t>
      </w:r>
      <w:r w:rsidR="00B07002" w:rsidRPr="00BE5FB6">
        <w:fldChar w:fldCharType="begin" w:fldLock="1"/>
      </w:r>
      <w:r w:rsidR="00131B8A">
        <w:instrText>ADDIN CSL_CITATION { "citationItems" : [ { "id" : "ITEM-1", "itemData" : { "author" : [ { "dropping-particle" : "", "family" : "PAFA Consulting Engineers", "given" : "", "non-dropping-particle" : "", "parse-names" : false, "suffix" : "" } ], "id" : "ITEM-1", "issued" : { "date-parts" : [ [ "2001" ] ] }, "publisher-place" : "London, UK", "title" : "Weather-sensitive offshore operations and metocean data - Offshore technology report 2001/022", "type" : "report" }, "uris" : [ "http://www.mendeley.com/documents/?uuid=4e58bbb1-a784-4f82-8c61-a0811463439b", "http://www.mendeley.com/documents/?uuid=3866fa1a-fac3-4cc2-8b94-589833ee3220", "http://www.mendeley.com/documents/?uuid=eb3f7352-ab9e-4c11-bc6e-c550efe64e0b" ] } ], "mendeley" : { "formattedCitation" : "(PAFA Consulting Engineers, 2001)", "plainTextFormattedCitation" : "(PAFA Consulting Engineers, 2001)", "previouslyFormattedCitation" : "(PAFA Consulting Engineers, 2001)" }, "properties" : {  }, "schema" : "https://github.com/citation-style-language/schema/raw/master/csl-citation.json" }</w:instrText>
      </w:r>
      <w:r w:rsidR="00B07002" w:rsidRPr="00BE5FB6">
        <w:fldChar w:fldCharType="separate"/>
      </w:r>
      <w:r w:rsidR="00B07002" w:rsidRPr="00BE5FB6">
        <w:rPr>
          <w:noProof/>
        </w:rPr>
        <w:t>(PAFA Consulting Engineers, 2001)</w:t>
      </w:r>
      <w:r w:rsidR="00B07002" w:rsidRPr="00BE5FB6">
        <w:fldChar w:fldCharType="end"/>
      </w:r>
      <w:r w:rsidR="00B07002" w:rsidRPr="00BE5FB6">
        <w:t xml:space="preserve"> is adopted in order to identify the ranges of heights and to associate them a penalty. </w:t>
      </w:r>
      <w:r>
        <w:t xml:space="preserve">Douglas scale identifies ten degrees of severity for wave conditions with nearly logarithmic increment with respect to wave height. No penalty is associated </w:t>
      </w:r>
      <w:r w:rsidR="00ED47CC">
        <w:t xml:space="preserve">with </w:t>
      </w:r>
      <w:r>
        <w:t xml:space="preserve">“calm sea” condition, i.e. wave height less than 0.1 m. </w:t>
      </w:r>
    </w:p>
    <w:p w14:paraId="5D2560BD" w14:textId="77777777" w:rsidR="00B07002" w:rsidRPr="00BE5FB6" w:rsidRDefault="00BE5FB6" w:rsidP="009270F7">
      <w:r w:rsidRPr="00BE5FB6">
        <w:t>Snow</w:t>
      </w:r>
      <w:r>
        <w:t xml:space="preserve"> load</w:t>
      </w:r>
      <w:r w:rsidRPr="00BE5FB6">
        <w:t xml:space="preserve"> (</w:t>
      </w:r>
      <w:r w:rsidR="00C914F8">
        <w:t>EF</w:t>
      </w:r>
      <w:r w:rsidR="00C914F8">
        <w:rPr>
          <w:vertAlign w:val="subscript"/>
        </w:rPr>
        <w:t>4</w:t>
      </w:r>
      <w:r w:rsidRPr="00BE5FB6">
        <w:t xml:space="preserve">) may limit operator movements in offshore installation. The parameter adopted in quantifying its effect is the “snowfall”, i.e. the depth of snow that accumulate between an observation and another one. </w:t>
      </w:r>
      <w:r w:rsidR="00B07002" w:rsidRPr="00BE5FB6">
        <w:t xml:space="preserve">In order to penalize snowfall on human performance, the scoring system is based on the classes of annual </w:t>
      </w:r>
      <w:r w:rsidRPr="00BE5FB6">
        <w:t>snowfall</w:t>
      </w:r>
      <w:r w:rsidR="00B07002" w:rsidRPr="00BE5FB6">
        <w:t xml:space="preserve"> identified by </w:t>
      </w:r>
      <w:r w:rsidR="00B07002" w:rsidRPr="00BE5FB6">
        <w:fldChar w:fldCharType="begin" w:fldLock="1"/>
      </w:r>
      <w:r w:rsidR="00131B8A">
        <w:instrText>ADDIN CSL_CITATION { "citationItems" : [ { "id" : "ITEM-1", "itemData" : { "author" : [ { "dropping-particle" : "", "family" : "Kunkel", "given" : "K E", "non-dropping-particle" : "", "parse-names" : false, "suffix" : "" }, { "dropping-particle" : "", "family" : "Palecki", "given" : "M A", "non-dropping-particle" : "", "parse-names" : false, "suffix" : "" }, { "dropping-particle" : "", "family" : "Hubbard", "given" : "K G", "non-dropping-particle" : "", "parse-names" : false, "suffix" : "" }, { "dropping-particle" : "", "family" : "Robinson", "given" : "D A", "non-dropping-particle" : "", "parse-names" : false, "suffix" : "" }, { "dropping-particle" : "", "family" : "Redmont", "given" : "K T", "non-dropping-particle" : "", "parse-names" : false, "suffix" : "" }, { "dropping-particle" : "", "family" : "Easterling", "given" : "D R", "non-dropping-particle" : "", "parse-names" : false, "suffix" : "" } ], "container-title" : "Journal of Atmospheric and Oceanic Technology", "id" : "ITEM-1", "issued" : { "date-parts" : [ [ "2007" ] ] }, "page" : "64-73", "title" : "Trend identification in twentieth-century U.S. snowfall: the challenges", "type" : "article-journal", "volume" : "24" }, "uris" : [ "http://www.mendeley.com/documents/?uuid=f3049b80-b963-4aaf-8491-8745ff78c113", "http://www.mendeley.com/documents/?uuid=1d3d4b25-ee53-4851-9a05-a8e0e857bd31", "http://www.mendeley.com/documents/?uuid=f446fb95-f52f-47fe-823c-7981b0366c52" ] } ], "mendeley" : { "formattedCitation" : "(Kunkel et al., 2007)", "manualFormatting" : "Kunkel et al. (2007)", "plainTextFormattedCitation" : "(Kunkel et al., 2007)", "previouslyFormattedCitation" : "(Kunkel et al., 2007)" }, "properties" : {  }, "schema" : "https://github.com/citation-style-language/schema/raw/master/csl-citation.json" }</w:instrText>
      </w:r>
      <w:r w:rsidR="00B07002" w:rsidRPr="00BE5FB6">
        <w:fldChar w:fldCharType="separate"/>
      </w:r>
      <w:r w:rsidR="00B07002" w:rsidRPr="00BE5FB6">
        <w:rPr>
          <w:noProof/>
        </w:rPr>
        <w:t>Kunkel et al. (2007)</w:t>
      </w:r>
      <w:r w:rsidR="00B07002" w:rsidRPr="00BE5FB6">
        <w:fldChar w:fldCharType="end"/>
      </w:r>
      <w:r w:rsidR="00B07002" w:rsidRPr="00BE5FB6">
        <w:t xml:space="preserve">. </w:t>
      </w:r>
      <w:r>
        <w:t xml:space="preserve">The scale identifies three classes of severity for snowfall precipitation. The maximum penalty is assigned for precipitation higher than 2 m/year while no penalty is considered for snowfall lower than 0.125 m/year. Intermediate values are defined according to a linearly increasing law. </w:t>
      </w:r>
    </w:p>
    <w:p w14:paraId="7DFD10D8" w14:textId="77777777" w:rsidR="00BE5FB6" w:rsidRPr="00657C6D" w:rsidRDefault="00BE5FB6" w:rsidP="009270F7">
      <w:r w:rsidRPr="00657C6D">
        <w:t xml:space="preserve">Visibility may be reduced due to the combined effect of fog and snow </w:t>
      </w:r>
      <w:r w:rsidR="00B57CAD" w:rsidRPr="00657C6D">
        <w:t>(</w:t>
      </w:r>
      <w:r w:rsidR="00C914F8">
        <w:t>EF</w:t>
      </w:r>
      <w:r w:rsidR="00C914F8">
        <w:rPr>
          <w:vertAlign w:val="subscript"/>
        </w:rPr>
        <w:t>5</w:t>
      </w:r>
      <w:r w:rsidR="00B57CAD" w:rsidRPr="00657C6D">
        <w:t xml:space="preserve">) </w:t>
      </w:r>
      <w:r w:rsidRPr="00657C6D">
        <w:t>and sunlight hours</w:t>
      </w:r>
      <w:r w:rsidR="00B57CAD" w:rsidRPr="00657C6D">
        <w:t xml:space="preserve"> (</w:t>
      </w:r>
      <w:r w:rsidR="00C914F8">
        <w:t>EF</w:t>
      </w:r>
      <w:r w:rsidR="00C914F8">
        <w:rPr>
          <w:vertAlign w:val="subscript"/>
        </w:rPr>
        <w:t>6</w:t>
      </w:r>
      <w:r w:rsidR="00B57CAD" w:rsidRPr="00657C6D">
        <w:t>)</w:t>
      </w:r>
      <w:r w:rsidRPr="00657C6D">
        <w:t xml:space="preserve">. </w:t>
      </w:r>
      <w:r w:rsidR="008C7A08" w:rsidRPr="00336EB7">
        <w:t>It is a critical factor for emergency intervention and platform rescue and evacuation. Limited visibility may delay significantly these operations and it may lead to severe scenarios.</w:t>
      </w:r>
      <w:r w:rsidR="008C7A08">
        <w:t xml:space="preserve"> </w:t>
      </w:r>
    </w:p>
    <w:p w14:paraId="707C2022" w14:textId="77777777" w:rsidR="00BE5FB6" w:rsidRPr="00657C6D" w:rsidRDefault="00B07002" w:rsidP="009270F7">
      <w:r w:rsidRPr="00657C6D">
        <w:t>The metric for visibility penalization due to fog</w:t>
      </w:r>
      <w:r w:rsidR="00B57CAD" w:rsidRPr="00657C6D">
        <w:t xml:space="preserve"> and snow</w:t>
      </w:r>
      <w:r w:rsidRPr="00657C6D">
        <w:t xml:space="preserve"> is determined according to visibility table from</w:t>
      </w:r>
      <w:r w:rsidR="00B57CAD" w:rsidRPr="00657C6D">
        <w:t xml:space="preserve"> supplementary surface weather report (SUPREP) code by</w:t>
      </w:r>
      <w:r w:rsidRPr="00657C6D">
        <w:t xml:space="preserve"> </w:t>
      </w:r>
      <w:r w:rsidRPr="00657C6D">
        <w:fldChar w:fldCharType="begin" w:fldLock="1"/>
      </w:r>
      <w:r w:rsidR="00131B8A">
        <w:instrText>ADDIN CSL_CITATION { "citationItems" : [ { "id" : "ITEM-1", "itemData" : { "author" : [ { "dropping-particle" : "", "family" : "DOA - Department of Army", "given" : "", "non-dropping-particle" : "", "parse-names" : false, "suffix" : "" } ], "id" : "ITEM-1", "issued" : { "date-parts" : [ [ "1982" ] ] }, "publisher-place" : "Washington DC", "title" : "FM 6-16-2 Tables for Artillery Meteorology (Visual) Ballistic Type 3 and Computer Messages and Limited Surface Observations", "type" : "report" }, "uris" : [ "http://www.mendeley.com/documents/?uuid=a5f10889-7c2c-4938-a38d-fe90cd868d9e", "http://www.mendeley.com/documents/?uuid=79115895-ed66-41fd-9d2e-4b953b2f60e4", "http://www.mendeley.com/documents/?uuid=8b5fc839-7f4f-468e-a002-3648aa7a1051" ] } ], "mendeley" : { "formattedCitation" : "(DOA - Department of Army, 1982)", "manualFormatting" : "DOA - Department of Army (1982)", "plainTextFormattedCitation" : "(DOA - Department of Army, 1982)", "previouslyFormattedCitation" : "(DOA - Department of Army, 1982)" }, "properties" : {  }, "schema" : "https://github.com/citation-style-language/schema/raw/master/csl-citation.json" }</w:instrText>
      </w:r>
      <w:r w:rsidRPr="00657C6D">
        <w:fldChar w:fldCharType="separate"/>
      </w:r>
      <w:r w:rsidRPr="00657C6D">
        <w:rPr>
          <w:noProof/>
        </w:rPr>
        <w:t>DOA - Department of Army (1982)</w:t>
      </w:r>
      <w:r w:rsidRPr="00657C6D">
        <w:fldChar w:fldCharType="end"/>
      </w:r>
      <w:r w:rsidRPr="00657C6D">
        <w:t xml:space="preserve">. </w:t>
      </w:r>
      <w:r w:rsidR="00B57CAD" w:rsidRPr="00657C6D">
        <w:t>The minimum visibility range in SUPREP code is associate to the maximum penalty (</w:t>
      </w:r>
      <w:r w:rsidR="00B22220">
        <w:t xml:space="preserve">e.g., </w:t>
      </w:r>
      <w:r w:rsidR="00B57CAD" w:rsidRPr="00657C6D">
        <w:t xml:space="preserve">1). A logarithmic decreasing penalty is associated to intermediate visibility classes. No penalty is associate to visibility equal or higher than the typical maximum extension of an industrial facility. </w:t>
      </w:r>
    </w:p>
    <w:p w14:paraId="64E9A752" w14:textId="77777777" w:rsidR="00B07002" w:rsidRPr="00657C6D" w:rsidRDefault="00B57CAD" w:rsidP="009270F7">
      <w:r w:rsidRPr="00657C6D">
        <w:t>In order to assess the visibility reduction due to darkness, the climatological indicator “sunshine duration” is adopted. It measures the cumulative time during which an area receives direct irradiance from the sun for at least 120W/m</w:t>
      </w:r>
      <w:r w:rsidRPr="00657C6D">
        <w:rPr>
          <w:vertAlign w:val="superscript"/>
        </w:rPr>
        <w:t>2</w:t>
      </w:r>
      <w:r w:rsidRPr="00657C6D">
        <w:t xml:space="preserve">. </w:t>
      </w:r>
      <w:r w:rsidR="00B07002" w:rsidRPr="00657C6D">
        <w:t xml:space="preserve">The ranges for sunlight hours in a given location are defined according to the categorization by </w:t>
      </w:r>
      <w:r w:rsidR="00B07002" w:rsidRPr="00657C6D">
        <w:fldChar w:fldCharType="begin" w:fldLock="1"/>
      </w:r>
      <w:r w:rsidR="00131B8A">
        <w:instrText>ADDIN CSL_CITATION { "citationItems" : [ { "id" : "ITEM-1", "itemData" : { "author" : [ { "dropping-particle" : "", "family" : "Landsberg", "given" : "HE", "non-dropping-particle" : "", "parse-names" : false, "suffix" : "" }, { "dropping-particle" : "", "family" : "Pinna", "given" : "M", "non-dropping-particle" : "", "parse-names" : false, "suffix" : "" } ], "editor" : [ { "dropping-particle" : "", "family" : "UTET", "given" : "", "non-dropping-particle" : "", "parse-names" : false, "suffix" : "" } ], "id" : "ITEM-1", "issued" : { "date-parts" : [ [ "1978" ] ] }, "publisher-place" : "Torino, Italy", "title" : "L'atmosfera e il clima", "type" : "book" }, "uris" : [ "http://www.mendeley.com/documents/?uuid=76fc7ea1-5ec7-479a-9035-9d8b2c379014", "http://www.mendeley.com/documents/?uuid=f44266e9-472e-462b-a779-f64eff6670b6", "http://www.mendeley.com/documents/?uuid=2567024c-3184-4aa4-a3c8-a16b792cf8a9" ] } ], "mendeley" : { "formattedCitation" : "(Landsberg and Pinna, 1978)", "manualFormatting" : "Landsberg &amp; Pinna (1978)", "plainTextFormattedCitation" : "(Landsberg and Pinna, 1978)", "previouslyFormattedCitation" : "(Landsberg and Pinna, 1978)" }, "properties" : {  }, "schema" : "https://github.com/citation-style-language/schema/raw/master/csl-citation.json" }</w:instrText>
      </w:r>
      <w:r w:rsidR="00B07002" w:rsidRPr="00657C6D">
        <w:fldChar w:fldCharType="separate"/>
      </w:r>
      <w:r w:rsidR="00B07002" w:rsidRPr="00657C6D">
        <w:rPr>
          <w:noProof/>
        </w:rPr>
        <w:t>Landsberg &amp; Pinna (1978)</w:t>
      </w:r>
      <w:r w:rsidR="00B07002" w:rsidRPr="00657C6D">
        <w:fldChar w:fldCharType="end"/>
      </w:r>
      <w:r w:rsidR="00B07002" w:rsidRPr="00657C6D">
        <w:t xml:space="preserve">. The maximum penalty is assumed for these area with the minimum range of annual sunshine hours while no penalties is considered in locations with ordinary sunlight duration (i.e. one third of the total time as annual average). </w:t>
      </w:r>
    </w:p>
    <w:p w14:paraId="72C4CF13" w14:textId="77777777" w:rsidR="00B07002" w:rsidRDefault="00B07002" w:rsidP="009270F7">
      <w:r w:rsidRPr="00657C6D">
        <w:t>The remoteness factor (</w:t>
      </w:r>
      <w:r w:rsidR="00CD27E6">
        <w:t>EF</w:t>
      </w:r>
      <w:r w:rsidR="00CD27E6">
        <w:rPr>
          <w:vertAlign w:val="subscript"/>
        </w:rPr>
        <w:t>7</w:t>
      </w:r>
      <w:r w:rsidR="00881768">
        <w:t xml:space="preserve"> in Table 2</w:t>
      </w:r>
      <w:r w:rsidRPr="00657C6D">
        <w:t xml:space="preserve">) is associated </w:t>
      </w:r>
      <w:r w:rsidR="00881768">
        <w:t>with</w:t>
      </w:r>
      <w:r w:rsidRPr="00657C6D">
        <w:t xml:space="preserve"> fear and homesickness </w:t>
      </w:r>
      <w:r w:rsidRPr="00657C6D">
        <w:fldChar w:fldCharType="begin" w:fldLock="1"/>
      </w:r>
      <w:r w:rsidR="00131B8A">
        <w:instrText>ADDIN CSL_CITATION { "citationItems" : [ { "id" : "ITEM-1", "itemData" : { "DOI" : "DOI: 10.1115/OMAE2013-10867", "author" : [ { "dropping-particle" : "", "family" : "Musharraf", "given" : "M.", "non-dropping-particle" : "", "parse-names" : false, "suffix" : "" }, { "dropping-particle" : "", "family" : "Khan", "given" : "Faisal", "non-dropping-particle" : "", "parse-names" : false, "suffix" : "" }, { "dropping-particle" : "", "family" : "Veitch", "given" : "Brian", "non-dropping-particle" : "", "parse-names" : false, "suffix" : "" }, { "dropping-particle" : "", "family" : "Mackinnon", "given" : "Scott", "non-dropping-particle" : "", "parse-names" : false, "suffix" : "" }, { "dropping-particle" : "", "family" : "Imtiaz", "given" : "Syed", "non-dropping-particle" : "", "parse-names" : false, "suffix" : "" } ], "container-title" : "Proceedings of the ASME 2013 32nd International Conference on Ocean, Offshore and Arctic Engineering (OMAE 2013), June 9-14, 2013, Nantes, France", "id" : "ITEM-1", "issued" : { "date-parts" : [ [ "2013" ] ] }, "page" : "1-9", "publisher" : "American Society of Mechanical Engineers", "publisher-place" : "New York, NY", "title" : "Human factor risk assessment during emergency condition in harsh environment", "type" : "paper-conference" }, "uris" : [ "http://www.mendeley.com/documents/?uuid=9774707c-93a5-4c53-bf86-89b6e74c4900" ] } ], "mendeley" : { "formattedCitation" : "(Musharraf et al., 2013)", "plainTextFormattedCitation" : "(Musharraf et al., 2013)", "previouslyFormattedCitation" : "(Musharraf et al., 2013)" }, "properties" : {  }, "schema" : "https://github.com/citation-style-language/schema/raw/master/csl-citation.json" }</w:instrText>
      </w:r>
      <w:r w:rsidRPr="00657C6D">
        <w:fldChar w:fldCharType="separate"/>
      </w:r>
      <w:r w:rsidRPr="00657C6D">
        <w:rPr>
          <w:noProof/>
        </w:rPr>
        <w:t>(Musharraf et al., 2013)</w:t>
      </w:r>
      <w:r w:rsidRPr="00657C6D">
        <w:fldChar w:fldCharType="end"/>
      </w:r>
      <w:r w:rsidRPr="00BE5FB6">
        <w:t xml:space="preserve">. Due to relevant uncertainties in measuring the impact of remoteness on human behaviour, the framework </w:t>
      </w:r>
      <w:r w:rsidR="00072EE8" w:rsidRPr="00BE5FB6">
        <w:t>adopts</w:t>
      </w:r>
      <w:r w:rsidRPr="00BE5FB6">
        <w:t xml:space="preserve"> a semi-quantitative approach. In case the analyst deems that this aspect is critical, </w:t>
      </w:r>
      <w:r w:rsidR="00A973A7">
        <w:t xml:space="preserve">a </w:t>
      </w:r>
      <w:r w:rsidR="00A973A7">
        <w:lastRenderedPageBreak/>
        <w:t>unitary penalty is assigned</w:t>
      </w:r>
      <w:r w:rsidRPr="00BE5FB6">
        <w:t xml:space="preserve">. </w:t>
      </w:r>
      <w:r w:rsidR="00A973A7">
        <w:t>An intermediate score (e.g., 0.5) may be also assigned in case the analyst deems relevant to consider this factor at medium priority, while a null score is assigned otherwise.</w:t>
      </w:r>
    </w:p>
    <w:p w14:paraId="03490763" w14:textId="77777777" w:rsidR="00FB10A5" w:rsidRDefault="00FB10A5" w:rsidP="009270F7"/>
    <w:p w14:paraId="23AD21A1" w14:textId="77777777" w:rsidR="00FB10A5" w:rsidRDefault="00FB10A5" w:rsidP="009270F7">
      <w:pPr>
        <w:pStyle w:val="Heading3"/>
      </w:pPr>
      <w:r>
        <w:t>2.</w:t>
      </w:r>
      <w:r w:rsidR="00F00CBE">
        <w:t>3</w:t>
      </w:r>
      <w:r>
        <w:t>.3 Penalties aggregation</w:t>
      </w:r>
    </w:p>
    <w:p w14:paraId="43EFEDF7" w14:textId="77777777" w:rsidR="005747B4" w:rsidRDefault="00AB6F66" w:rsidP="009270F7">
      <w:r>
        <w:t>Once the penalties (</w:t>
      </w:r>
      <w:r w:rsidRPr="00CD27E6">
        <w:rPr>
          <w:i/>
        </w:rPr>
        <w:t>S</w:t>
      </w:r>
      <w:r>
        <w:t xml:space="preserve">) are associated to each of the </w:t>
      </w:r>
      <w:r w:rsidRPr="00CD27E6">
        <w:rPr>
          <w:i/>
        </w:rPr>
        <w:t>N</w:t>
      </w:r>
      <w:r>
        <w:t xml:space="preserve"> external factors relevant for the case under analysis, </w:t>
      </w:r>
      <w:r w:rsidR="00207D66" w:rsidRPr="0059555A">
        <w:t xml:space="preserve">HES is </w:t>
      </w:r>
      <w:r>
        <w:t>evaluated</w:t>
      </w:r>
      <w:r w:rsidRPr="0059555A">
        <w:t xml:space="preserve"> </w:t>
      </w:r>
      <w:r w:rsidR="00207D66" w:rsidRPr="0059555A">
        <w:t xml:space="preserve">as a weighted summation </w:t>
      </w:r>
      <w:r>
        <w:t>as follows</w:t>
      </w:r>
      <w:r w:rsidR="00182BC8">
        <w:t>:</w:t>
      </w:r>
    </w:p>
    <w:p w14:paraId="6688EA5B" w14:textId="77777777" w:rsidR="005747B4" w:rsidRDefault="005747B4" w:rsidP="009270F7"/>
    <w:p w14:paraId="2D9385CB" w14:textId="77777777" w:rsidR="00C85C20" w:rsidRPr="005747B4" w:rsidRDefault="005747B4" w:rsidP="009270F7">
      <m:oMath>
        <m:r>
          <w:rPr>
            <w:rFonts w:ascii="Cambria Math" w:hAnsi="Cambria Math"/>
          </w:rPr>
          <m:t>HES=</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S</m:t>
                </m:r>
              </m:e>
              <m:sub>
                <m:r>
                  <w:rPr>
                    <w:rFonts w:ascii="Cambria Math" w:hAnsi="Cambria Math"/>
                  </w:rPr>
                  <m:t>i</m:t>
                </m:r>
              </m:sub>
            </m:sSub>
          </m:e>
        </m:nary>
      </m:oMath>
      <w:r w:rsidR="00C85C20">
        <w:rPr>
          <w:rFonts w:eastAsiaTheme="minorEastAsia"/>
        </w:rPr>
        <w:t xml:space="preserve">  </w:t>
      </w:r>
      <w:r w:rsidR="00C85C20">
        <w:rPr>
          <w:rFonts w:eastAsiaTheme="minorEastAsia"/>
        </w:rPr>
        <w:tab/>
      </w:r>
      <w:r w:rsidR="00C85C20">
        <w:rPr>
          <w:rFonts w:eastAsiaTheme="minorEastAsia"/>
        </w:rPr>
        <w:tab/>
      </w:r>
      <w:r w:rsidR="00C85C20">
        <w:rPr>
          <w:rFonts w:eastAsiaTheme="minorEastAsia"/>
        </w:rPr>
        <w:tab/>
      </w:r>
      <w:r w:rsidR="00C85C20">
        <w:rPr>
          <w:rFonts w:eastAsiaTheme="minorEastAsia"/>
        </w:rPr>
        <w:tab/>
      </w:r>
      <w:r w:rsidR="00C85C20">
        <w:rPr>
          <w:rFonts w:eastAsiaTheme="minorEastAsia"/>
        </w:rPr>
        <w:tab/>
      </w:r>
      <w:r w:rsidR="00C85C20">
        <w:rPr>
          <w:rFonts w:eastAsiaTheme="minorEastAsia"/>
        </w:rPr>
        <w:tab/>
      </w:r>
      <w:r w:rsidR="00C85C20">
        <w:rPr>
          <w:rFonts w:eastAsiaTheme="minorEastAsia"/>
        </w:rPr>
        <w:tab/>
      </w:r>
      <w:r w:rsidR="00C85C20">
        <w:rPr>
          <w:rFonts w:eastAsiaTheme="minorEastAsia"/>
        </w:rPr>
        <w:tab/>
      </w:r>
      <w:r w:rsidR="002E5D4C">
        <w:rPr>
          <w:rFonts w:eastAsiaTheme="minorEastAsia"/>
        </w:rPr>
        <w:tab/>
      </w:r>
      <w:r w:rsidR="002E5D4C">
        <w:rPr>
          <w:rFonts w:eastAsiaTheme="minorEastAsia"/>
        </w:rPr>
        <w:tab/>
      </w:r>
      <w:r w:rsidR="00C85C20">
        <w:rPr>
          <w:rFonts w:eastAsiaTheme="minorEastAsia"/>
        </w:rPr>
        <w:t>(</w:t>
      </w:r>
      <w:r>
        <w:rPr>
          <w:rFonts w:eastAsiaTheme="minorEastAsia"/>
        </w:rPr>
        <w:t>1</w:t>
      </w:r>
      <w:r w:rsidR="00C85C20">
        <w:rPr>
          <w:rFonts w:eastAsiaTheme="minorEastAsia"/>
        </w:rPr>
        <w:t xml:space="preserve">) </w:t>
      </w:r>
    </w:p>
    <w:p w14:paraId="0F808355" w14:textId="77777777" w:rsidR="00A46601" w:rsidRPr="0059555A" w:rsidRDefault="00A46601" w:rsidP="009270F7"/>
    <w:p w14:paraId="503B0B66" w14:textId="4C044BC5" w:rsidR="002245FE" w:rsidRDefault="00AB6F66" w:rsidP="009270F7">
      <w:r w:rsidRPr="000D42C9">
        <w:t xml:space="preserve">where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A46601" w:rsidRPr="000D42C9">
        <w:t xml:space="preserve"> and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sidR="00A46601" w:rsidRPr="000D42C9">
        <w:t xml:space="preserve"> are respectively the score and the weight associated to the i-th EF.</w:t>
      </w:r>
      <w:r w:rsidR="00D56C02" w:rsidRPr="00D56C02">
        <w:rPr>
          <w:color w:val="FF0000"/>
        </w:rPr>
        <w:t xml:space="preserve"> The choice</w:t>
      </w:r>
      <w:r w:rsidR="00D56C02">
        <w:rPr>
          <w:color w:val="FF0000"/>
        </w:rPr>
        <w:t xml:space="preserve"> of </w:t>
      </w:r>
      <w:r w:rsidR="001871E9">
        <w:rPr>
          <w:color w:val="FF0000"/>
        </w:rPr>
        <w:t>the</w:t>
      </w:r>
      <w:r w:rsidR="00D56C02">
        <w:rPr>
          <w:color w:val="FF0000"/>
        </w:rPr>
        <w:t xml:space="preserve"> weighted </w:t>
      </w:r>
      <w:r w:rsidR="001871E9">
        <w:rPr>
          <w:color w:val="FF0000"/>
        </w:rPr>
        <w:t xml:space="preserve">summation for </w:t>
      </w:r>
      <w:r w:rsidR="00D56C02">
        <w:rPr>
          <w:color w:val="FF0000"/>
        </w:rPr>
        <w:t>penalties</w:t>
      </w:r>
      <w:r w:rsidR="001871E9">
        <w:rPr>
          <w:color w:val="FF0000"/>
        </w:rPr>
        <w:t xml:space="preserve"> aggregation</w:t>
      </w:r>
      <w:r w:rsidR="00D56C02">
        <w:rPr>
          <w:color w:val="FF0000"/>
        </w:rPr>
        <w:t xml:space="preserve"> is in accordance with a previous work (Landucci et al., 2017).</w:t>
      </w:r>
      <w:r w:rsidR="00A46601" w:rsidRPr="0059555A">
        <w:t xml:space="preserve"> </w:t>
      </w:r>
    </w:p>
    <w:p w14:paraId="043138C0" w14:textId="77777777" w:rsidR="0059555A" w:rsidRDefault="00207D66" w:rsidP="009270F7">
      <w:pPr>
        <w:rPr>
          <w:lang w:val="en-US"/>
        </w:rPr>
      </w:pPr>
      <w:r w:rsidRPr="0059555A">
        <w:t>Weights are assigned in order to associate a different leve</w:t>
      </w:r>
      <w:r w:rsidR="00A46601" w:rsidRPr="0059555A">
        <w:t xml:space="preserve">l of importance within each EF or eventually to exclude those that are not relevant for the case study. </w:t>
      </w:r>
      <w:r w:rsidR="00766843" w:rsidRPr="0059555A">
        <w:t xml:space="preserve">Weights are assigned to each EF and they are representative of the judgement of the assessor, also on the basis of interviews with workers and managers of the company operating facility. </w:t>
      </w:r>
      <w:r w:rsidR="0059555A" w:rsidRPr="0059555A">
        <w:t>Zipf’s l</w:t>
      </w:r>
      <w:r w:rsidR="0059555A">
        <w:t>aw has been adopted in order to obtain</w:t>
      </w:r>
      <w:r w:rsidR="00332EDA">
        <w:t xml:space="preserve"> a</w:t>
      </w:r>
      <w:r w:rsidR="0059555A">
        <w:t xml:space="preserve"> preliminary</w:t>
      </w:r>
      <w:r w:rsidR="00332EDA">
        <w:t xml:space="preserve"> set of</w:t>
      </w:r>
      <w:r w:rsidR="0059555A">
        <w:t xml:space="preserve"> weights</w:t>
      </w:r>
      <w:r w:rsidR="005747B4">
        <w:t xml:space="preserve"> </w:t>
      </w:r>
      <w:r w:rsidR="005747B4">
        <w:fldChar w:fldCharType="begin" w:fldLock="1"/>
      </w:r>
      <w:r w:rsidR="00131B8A">
        <w:instrText>ADDIN CSL_CITATION { "citationItems" : [ { "id" : "ITEM-1", "itemData" : { "author" : [ { "dropping-particle" : "", "family" : "Zipf", "given" : "G.K.", "non-dropping-particle" : "", "parse-names" : false, "suffix" : "" } ], "id" : "ITEM-1", "issued" : { "date-parts" : [ [ "1949" ] ] }, "publisher" : "Addison-Wesley", "publisher-place" : "Cambridge, MA", "title" : "Human Behaviour and the Principles of Least Effort", "type" : "book" }, "uris" : [ "http://www.mendeley.com/documents/?uuid=1046ed87-b906-467e-a7ac-85a2f4a7f42d" ] } ], "mendeley" : { "formattedCitation" : "(Zipf, 1949)", "plainTextFormattedCitation" : "(Zipf, 1949)", "previouslyFormattedCitation" : "(Zipf, 1949)" }, "properties" : {  }, "schema" : "https://github.com/citation-style-language/schema/raw/master/csl-citation.json" }</w:instrText>
      </w:r>
      <w:r w:rsidR="005747B4">
        <w:fldChar w:fldCharType="separate"/>
      </w:r>
      <w:r w:rsidR="005747B4" w:rsidRPr="005747B4">
        <w:rPr>
          <w:noProof/>
        </w:rPr>
        <w:t>(Zipf, 1949)</w:t>
      </w:r>
      <w:r w:rsidR="005747B4">
        <w:fldChar w:fldCharType="end"/>
      </w:r>
      <w:r w:rsidR="0059555A">
        <w:t xml:space="preserve">. </w:t>
      </w:r>
      <w:r w:rsidR="0059555A" w:rsidRPr="0059555A">
        <w:rPr>
          <w:lang w:val="en-US"/>
        </w:rPr>
        <w:t xml:space="preserve">A simplified version of Zipf’s law predicts that out of a population of N elements, the frequency of elements of rank </w:t>
      </w:r>
      <w:r w:rsidR="0059555A">
        <w:rPr>
          <w:lang w:val="en-US"/>
        </w:rPr>
        <w:t xml:space="preserve">j, called </w:t>
      </w:r>
      <m:oMath>
        <m:r>
          <w:rPr>
            <w:rFonts w:ascii="Cambria Math" w:hAnsi="Cambria Math"/>
          </w:rPr>
          <m:t>f</m:t>
        </m:r>
        <m:d>
          <m:dPr>
            <m:ctrlPr>
              <w:rPr>
                <w:rFonts w:ascii="Cambria Math" w:hAnsi="Cambria Math"/>
                <w:i/>
              </w:rPr>
            </m:ctrlPr>
          </m:dPr>
          <m:e>
            <m:r>
              <w:rPr>
                <w:rFonts w:ascii="Cambria Math" w:hAnsi="Cambria Math"/>
              </w:rPr>
              <m:t>j,N</m:t>
            </m:r>
          </m:e>
        </m:d>
      </m:oMath>
      <w:r w:rsidR="0059555A">
        <w:rPr>
          <w:lang w:val="en-US"/>
        </w:rPr>
        <w:t xml:space="preserve"> </w:t>
      </w:r>
      <w:r w:rsidR="0059555A" w:rsidRPr="0059555A">
        <w:rPr>
          <w:lang w:val="en-US"/>
        </w:rPr>
        <w:t>is</w:t>
      </w:r>
      <w:r w:rsidR="0059555A">
        <w:rPr>
          <w:lang w:val="en-US"/>
        </w:rPr>
        <w:t>:</w:t>
      </w:r>
    </w:p>
    <w:p w14:paraId="6F5AD86B" w14:textId="77777777" w:rsidR="005747B4" w:rsidRDefault="005747B4" w:rsidP="009270F7">
      <w:pPr>
        <w:rPr>
          <w:lang w:val="en-US"/>
        </w:rPr>
      </w:pPr>
    </w:p>
    <w:p w14:paraId="0B2D6355" w14:textId="77777777" w:rsidR="0059555A" w:rsidRDefault="005747B4">
      <m:oMath>
        <m:r>
          <w:rPr>
            <w:rFonts w:ascii="Cambria Math" w:hAnsi="Cambria Math"/>
          </w:rPr>
          <m:t>f</m:t>
        </m:r>
        <m:d>
          <m:dPr>
            <m:ctrlPr>
              <w:rPr>
                <w:rFonts w:ascii="Cambria Math" w:hAnsi="Cambria Math"/>
                <w:i/>
              </w:rPr>
            </m:ctrlPr>
          </m:dPr>
          <m:e>
            <m:r>
              <w:rPr>
                <w:rFonts w:ascii="Cambria Math" w:hAnsi="Cambria Math"/>
              </w:rPr>
              <m:t>j,N</m:t>
            </m:r>
          </m:e>
        </m:d>
        <m:r>
          <w:rPr>
            <w:rFonts w:ascii="Cambria Math" w:hAnsi="Cambria Math"/>
          </w:rPr>
          <m:t>=</m:t>
        </m:r>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j</m:t>
                </m:r>
              </m:den>
            </m:f>
          </m:num>
          <m:den>
            <m:nary>
              <m:naryPr>
                <m:chr m:val="∑"/>
                <m:limLoc m:val="subSup"/>
                <m:ctrlPr>
                  <w:rPr>
                    <w:rFonts w:ascii="Cambria Math" w:hAnsi="Cambria Math"/>
                    <w:i/>
                  </w:rPr>
                </m:ctrlPr>
              </m:naryPr>
              <m:sub>
                <m:r>
                  <w:rPr>
                    <w:rFonts w:ascii="Cambria Math" w:hAnsi="Cambria Math"/>
                  </w:rPr>
                  <m:t>n=1</m:t>
                </m:r>
              </m:sub>
              <m:sup>
                <m:r>
                  <w:rPr>
                    <w:rFonts w:ascii="Cambria Math" w:hAnsi="Cambria Math"/>
                  </w:rPr>
                  <m:t>N</m:t>
                </m:r>
              </m:sup>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j</m:t>
                        </m:r>
                      </m:e>
                      <m:sub>
                        <m:r>
                          <w:rPr>
                            <w:rFonts w:ascii="Cambria Math" w:hAnsi="Cambria Math"/>
                          </w:rPr>
                          <m:t>N</m:t>
                        </m:r>
                      </m:sub>
                    </m:sSub>
                  </m:den>
                </m:f>
              </m:e>
            </m:nary>
          </m:den>
        </m:f>
      </m:oMath>
      <w:r>
        <w:t xml:space="preserve">  </w:t>
      </w:r>
      <w:r>
        <w:tab/>
      </w:r>
      <w:r>
        <w:tab/>
      </w:r>
      <w:r>
        <w:tab/>
      </w:r>
      <w:r>
        <w:tab/>
      </w:r>
      <w:r>
        <w:tab/>
      </w:r>
      <w:r>
        <w:tab/>
      </w:r>
      <w:r>
        <w:tab/>
      </w:r>
      <w:r w:rsidR="002E5D4C">
        <w:tab/>
      </w:r>
      <w:r w:rsidR="002E5D4C">
        <w:tab/>
      </w:r>
      <w:r w:rsidR="002E5D4C">
        <w:tab/>
      </w:r>
      <w:r>
        <w:t>(2)</w:t>
      </w:r>
    </w:p>
    <w:p w14:paraId="67485B10" w14:textId="77777777" w:rsidR="005747B4" w:rsidRDefault="005747B4" w:rsidP="009270F7"/>
    <w:p w14:paraId="5DDA74F0" w14:textId="77777777" w:rsidR="0059555A" w:rsidRDefault="0059555A" w:rsidP="009270F7">
      <w:r>
        <w:t xml:space="preserve">The EFs are ranked in five classes according to the judgement of the assessor and also on the basis of interviews with workers and managers operating on offshore floating units. Table 3 shows the ranking of the EFs </w:t>
      </w:r>
      <w:r w:rsidR="00332EDA">
        <w:t xml:space="preserve">obtained from </w:t>
      </w:r>
      <w:r w:rsidR="002A1C73">
        <w:t>experts’</w:t>
      </w:r>
      <w:r w:rsidR="00332EDA">
        <w:t xml:space="preserve"> elicitation and adopted </w:t>
      </w:r>
      <w:r>
        <w:t xml:space="preserve">in this framework. EFs classified in the higher ranks (1, 2) are </w:t>
      </w:r>
      <w:r w:rsidR="00336EB7">
        <w:t>those</w:t>
      </w:r>
      <w:r>
        <w:t xml:space="preserve"> judged as more critical. On the basis of the ranking defined for offshore installations, weights are assigned to each EF, as shown in Table 3. </w:t>
      </w:r>
    </w:p>
    <w:p w14:paraId="20C50C42" w14:textId="77777777" w:rsidR="00BF49BA" w:rsidRDefault="00BF49BA" w:rsidP="009270F7"/>
    <w:p w14:paraId="4273F720" w14:textId="77777777" w:rsidR="0059555A" w:rsidRPr="00CD27E6" w:rsidRDefault="0059555A" w:rsidP="009270F7">
      <w:r w:rsidRPr="00CD27E6">
        <w:t xml:space="preserve">Table 3. Ranking and weights assigned to EFs in the present framework, </w:t>
      </w:r>
    </w:p>
    <w:tbl>
      <w:tblPr>
        <w:tblStyle w:val="TableGrid"/>
        <w:tblW w:w="5000" w:type="pct"/>
        <w:jc w:val="center"/>
        <w:tblLook w:val="04A0" w:firstRow="1" w:lastRow="0" w:firstColumn="1" w:lastColumn="0" w:noHBand="0" w:noVBand="1"/>
      </w:tblPr>
      <w:tblGrid>
        <w:gridCol w:w="1265"/>
        <w:gridCol w:w="4613"/>
        <w:gridCol w:w="3138"/>
      </w:tblGrid>
      <w:tr w:rsidR="001634D5" w:rsidRPr="002A1C73" w14:paraId="5540B539" w14:textId="77777777" w:rsidTr="00CD27E6">
        <w:trPr>
          <w:jc w:val="center"/>
        </w:trPr>
        <w:tc>
          <w:tcPr>
            <w:tcW w:w="702" w:type="pct"/>
          </w:tcPr>
          <w:p w14:paraId="75DC5479" w14:textId="77777777" w:rsidR="001634D5" w:rsidRPr="000D14A2" w:rsidRDefault="001634D5" w:rsidP="00EC1326">
            <w:pPr>
              <w:pStyle w:val="Table"/>
              <w:rPr>
                <w:b/>
              </w:rPr>
            </w:pPr>
            <w:r w:rsidRPr="000D14A2">
              <w:rPr>
                <w:b/>
              </w:rPr>
              <w:t>Rank (j)</w:t>
            </w:r>
          </w:p>
        </w:tc>
        <w:tc>
          <w:tcPr>
            <w:tcW w:w="2558" w:type="pct"/>
          </w:tcPr>
          <w:p w14:paraId="20A19B99" w14:textId="77777777" w:rsidR="001634D5" w:rsidRPr="000D14A2" w:rsidRDefault="001634D5" w:rsidP="00EC1326">
            <w:pPr>
              <w:pStyle w:val="Table"/>
              <w:rPr>
                <w:b/>
              </w:rPr>
            </w:pPr>
            <w:r w:rsidRPr="000D14A2">
              <w:rPr>
                <w:b/>
              </w:rPr>
              <w:t>EF</w:t>
            </w:r>
            <w:r w:rsidR="002245FE" w:rsidRPr="000D14A2">
              <w:rPr>
                <w:b/>
              </w:rPr>
              <w:t xml:space="preserve"> (see ID in Table 2)</w:t>
            </w:r>
          </w:p>
        </w:tc>
        <w:tc>
          <w:tcPr>
            <w:tcW w:w="1741" w:type="pct"/>
          </w:tcPr>
          <w:p w14:paraId="72DAF6F3" w14:textId="77777777" w:rsidR="001634D5" w:rsidRPr="000D14A2" w:rsidRDefault="001634D5" w:rsidP="00EC1326">
            <w:pPr>
              <w:pStyle w:val="Table"/>
              <w:rPr>
                <w:b/>
              </w:rPr>
            </w:pPr>
            <w:r w:rsidRPr="000D14A2">
              <w:rPr>
                <w:b/>
              </w:rPr>
              <w:t xml:space="preserve">Weight, </w:t>
            </w:r>
            <m:oMath>
              <m:r>
                <m:rPr>
                  <m:sty m:val="bi"/>
                </m:rPr>
                <w:rPr>
                  <w:rFonts w:ascii="Cambria Math" w:hAnsi="Cambria Math"/>
                </w:rPr>
                <m:t>w</m:t>
              </m:r>
            </m:oMath>
          </w:p>
        </w:tc>
      </w:tr>
      <w:tr w:rsidR="001634D5" w14:paraId="7EE1E2B0" w14:textId="77777777" w:rsidTr="00CD27E6">
        <w:trPr>
          <w:jc w:val="center"/>
        </w:trPr>
        <w:tc>
          <w:tcPr>
            <w:tcW w:w="702" w:type="pct"/>
          </w:tcPr>
          <w:p w14:paraId="2E7529BE" w14:textId="77777777" w:rsidR="001634D5" w:rsidRDefault="001634D5" w:rsidP="00EC1326">
            <w:pPr>
              <w:pStyle w:val="Table"/>
            </w:pPr>
            <w:r>
              <w:t>1</w:t>
            </w:r>
          </w:p>
        </w:tc>
        <w:tc>
          <w:tcPr>
            <w:tcW w:w="2558" w:type="pct"/>
          </w:tcPr>
          <w:p w14:paraId="5FCF364A" w14:textId="77777777" w:rsidR="001634D5" w:rsidRDefault="001634D5" w:rsidP="00EC1326">
            <w:pPr>
              <w:pStyle w:val="Table"/>
            </w:pPr>
            <w:r>
              <w:t xml:space="preserve">Environmental </w:t>
            </w:r>
            <w:r w:rsidR="002245FE">
              <w:t>temperature</w:t>
            </w:r>
            <w:r>
              <w:t xml:space="preserve"> (</w:t>
            </w:r>
            <w:r w:rsidR="00CD27E6">
              <w:t>EF</w:t>
            </w:r>
            <w:r w:rsidR="00CD27E6">
              <w:rPr>
                <w:vertAlign w:val="subscript"/>
              </w:rPr>
              <w:t>1</w:t>
            </w:r>
            <w:r>
              <w:t>)</w:t>
            </w:r>
          </w:p>
        </w:tc>
        <w:tc>
          <w:tcPr>
            <w:tcW w:w="1741" w:type="pct"/>
          </w:tcPr>
          <w:p w14:paraId="2B628DAD" w14:textId="77777777" w:rsidR="001634D5" w:rsidRDefault="001634D5" w:rsidP="00EC1326">
            <w:pPr>
              <w:pStyle w:val="Table"/>
            </w:pPr>
            <w:r>
              <w:t>0.33</w:t>
            </w:r>
          </w:p>
        </w:tc>
      </w:tr>
      <w:tr w:rsidR="001634D5" w14:paraId="5BD6B379" w14:textId="77777777" w:rsidTr="00CD27E6">
        <w:trPr>
          <w:jc w:val="center"/>
        </w:trPr>
        <w:tc>
          <w:tcPr>
            <w:tcW w:w="702" w:type="pct"/>
          </w:tcPr>
          <w:p w14:paraId="3AC266A9" w14:textId="77777777" w:rsidR="001634D5" w:rsidRDefault="001634D5" w:rsidP="00EC1326">
            <w:pPr>
              <w:pStyle w:val="Table"/>
            </w:pPr>
            <w:r>
              <w:t>2</w:t>
            </w:r>
          </w:p>
        </w:tc>
        <w:tc>
          <w:tcPr>
            <w:tcW w:w="2558" w:type="pct"/>
          </w:tcPr>
          <w:p w14:paraId="4EE92A73" w14:textId="77777777" w:rsidR="001634D5" w:rsidRDefault="001634D5" w:rsidP="00EC1326">
            <w:pPr>
              <w:pStyle w:val="Table"/>
            </w:pPr>
            <w:r>
              <w:t>Extreme wind speed (</w:t>
            </w:r>
            <w:r w:rsidR="00CD27E6" w:rsidRPr="00CD27E6">
              <w:t>EF</w:t>
            </w:r>
            <w:r w:rsidR="00CD27E6">
              <w:rPr>
                <w:vertAlign w:val="subscript"/>
              </w:rPr>
              <w:t>2</w:t>
            </w:r>
            <w:r>
              <w:t>); Waves height (</w:t>
            </w:r>
            <w:r w:rsidR="00CD27E6">
              <w:t>EF</w:t>
            </w:r>
            <w:r w:rsidR="00CD27E6">
              <w:rPr>
                <w:vertAlign w:val="subscript"/>
              </w:rPr>
              <w:t>3</w:t>
            </w:r>
            <w:r>
              <w:t>)</w:t>
            </w:r>
          </w:p>
        </w:tc>
        <w:tc>
          <w:tcPr>
            <w:tcW w:w="1741" w:type="pct"/>
          </w:tcPr>
          <w:p w14:paraId="620E5B70" w14:textId="77777777" w:rsidR="001634D5" w:rsidRDefault="001634D5" w:rsidP="00EC1326">
            <w:pPr>
              <w:pStyle w:val="Table"/>
            </w:pPr>
            <w:r>
              <w:t>0.17</w:t>
            </w:r>
          </w:p>
        </w:tc>
      </w:tr>
      <w:tr w:rsidR="001634D5" w14:paraId="44BE6E82" w14:textId="77777777" w:rsidTr="00CD27E6">
        <w:trPr>
          <w:jc w:val="center"/>
        </w:trPr>
        <w:tc>
          <w:tcPr>
            <w:tcW w:w="702" w:type="pct"/>
          </w:tcPr>
          <w:p w14:paraId="56B0165A" w14:textId="77777777" w:rsidR="001634D5" w:rsidRDefault="001634D5" w:rsidP="00EC1326">
            <w:pPr>
              <w:pStyle w:val="Table"/>
            </w:pPr>
            <w:r>
              <w:t>3</w:t>
            </w:r>
          </w:p>
        </w:tc>
        <w:tc>
          <w:tcPr>
            <w:tcW w:w="2558" w:type="pct"/>
          </w:tcPr>
          <w:p w14:paraId="3C565C07" w14:textId="77777777" w:rsidR="001634D5" w:rsidRDefault="001634D5" w:rsidP="00EC1326">
            <w:pPr>
              <w:pStyle w:val="Table"/>
            </w:pPr>
            <w:r>
              <w:t>Sunlight hours (</w:t>
            </w:r>
            <w:r w:rsidR="00CD27E6">
              <w:t>EF</w:t>
            </w:r>
            <w:r w:rsidR="00CD27E6">
              <w:rPr>
                <w:vertAlign w:val="subscript"/>
              </w:rPr>
              <w:t>6</w:t>
            </w:r>
            <w:r>
              <w:t>)</w:t>
            </w:r>
          </w:p>
        </w:tc>
        <w:tc>
          <w:tcPr>
            <w:tcW w:w="1741" w:type="pct"/>
          </w:tcPr>
          <w:p w14:paraId="58155082" w14:textId="77777777" w:rsidR="001634D5" w:rsidRDefault="001634D5" w:rsidP="00EC1326">
            <w:pPr>
              <w:pStyle w:val="Table"/>
            </w:pPr>
            <w:r>
              <w:t>0.11</w:t>
            </w:r>
          </w:p>
        </w:tc>
      </w:tr>
      <w:tr w:rsidR="001634D5" w14:paraId="6038A912" w14:textId="77777777" w:rsidTr="00CD27E6">
        <w:trPr>
          <w:jc w:val="center"/>
        </w:trPr>
        <w:tc>
          <w:tcPr>
            <w:tcW w:w="702" w:type="pct"/>
          </w:tcPr>
          <w:p w14:paraId="58A23E8D" w14:textId="77777777" w:rsidR="001634D5" w:rsidRDefault="001634D5" w:rsidP="00EC1326">
            <w:pPr>
              <w:pStyle w:val="Table"/>
            </w:pPr>
            <w:r>
              <w:t>4</w:t>
            </w:r>
          </w:p>
        </w:tc>
        <w:tc>
          <w:tcPr>
            <w:tcW w:w="2558" w:type="pct"/>
          </w:tcPr>
          <w:p w14:paraId="63469271" w14:textId="77777777" w:rsidR="001634D5" w:rsidRDefault="001634D5" w:rsidP="00EC1326">
            <w:pPr>
              <w:pStyle w:val="Table"/>
            </w:pPr>
            <w:r>
              <w:t>Distance from home, fear on unknown (</w:t>
            </w:r>
            <w:r w:rsidR="00CD27E6">
              <w:t>EF</w:t>
            </w:r>
            <w:r w:rsidR="00CD27E6">
              <w:rPr>
                <w:vertAlign w:val="subscript"/>
              </w:rPr>
              <w:t>7</w:t>
            </w:r>
            <w:r>
              <w:t>)</w:t>
            </w:r>
          </w:p>
        </w:tc>
        <w:tc>
          <w:tcPr>
            <w:tcW w:w="1741" w:type="pct"/>
          </w:tcPr>
          <w:p w14:paraId="256CF67C" w14:textId="77777777" w:rsidR="001634D5" w:rsidRDefault="001634D5" w:rsidP="00EC1326">
            <w:pPr>
              <w:pStyle w:val="Table"/>
            </w:pPr>
            <w:r>
              <w:t>0.08</w:t>
            </w:r>
          </w:p>
        </w:tc>
      </w:tr>
      <w:tr w:rsidR="001634D5" w14:paraId="7EB3A682" w14:textId="77777777" w:rsidTr="00CD27E6">
        <w:trPr>
          <w:jc w:val="center"/>
        </w:trPr>
        <w:tc>
          <w:tcPr>
            <w:tcW w:w="702" w:type="pct"/>
          </w:tcPr>
          <w:p w14:paraId="78BAEFF4" w14:textId="77777777" w:rsidR="001634D5" w:rsidRDefault="001634D5" w:rsidP="00EC1326">
            <w:pPr>
              <w:pStyle w:val="Table"/>
            </w:pPr>
            <w:r>
              <w:t>5</w:t>
            </w:r>
          </w:p>
        </w:tc>
        <w:tc>
          <w:tcPr>
            <w:tcW w:w="2558" w:type="pct"/>
          </w:tcPr>
          <w:p w14:paraId="36944A5E" w14:textId="77777777" w:rsidR="001634D5" w:rsidRDefault="001634D5" w:rsidP="00EC1326">
            <w:pPr>
              <w:pStyle w:val="Table"/>
            </w:pPr>
            <w:r>
              <w:t>Snow (</w:t>
            </w:r>
            <w:r w:rsidR="00CD27E6">
              <w:t>EF</w:t>
            </w:r>
            <w:r w:rsidR="00CD27E6">
              <w:rPr>
                <w:vertAlign w:val="subscript"/>
              </w:rPr>
              <w:t>4</w:t>
            </w:r>
            <w:r>
              <w:t>); Fog/snow (for visibility) (</w:t>
            </w:r>
            <w:r w:rsidR="00CD27E6">
              <w:t>EF</w:t>
            </w:r>
            <w:r w:rsidR="00CD27E6">
              <w:rPr>
                <w:vertAlign w:val="subscript"/>
              </w:rPr>
              <w:t>5</w:t>
            </w:r>
            <w:r>
              <w:t>)</w:t>
            </w:r>
          </w:p>
        </w:tc>
        <w:tc>
          <w:tcPr>
            <w:tcW w:w="1741" w:type="pct"/>
          </w:tcPr>
          <w:p w14:paraId="71F5D32F" w14:textId="77777777" w:rsidR="001634D5" w:rsidRDefault="001634D5" w:rsidP="00EC1326">
            <w:pPr>
              <w:pStyle w:val="Table"/>
            </w:pPr>
            <w:r>
              <w:t>0.07</w:t>
            </w:r>
          </w:p>
        </w:tc>
      </w:tr>
    </w:tbl>
    <w:p w14:paraId="4D07D3EB" w14:textId="77777777" w:rsidR="001634D5" w:rsidRPr="0059555A" w:rsidRDefault="001634D5" w:rsidP="009270F7"/>
    <w:p w14:paraId="4059C09A" w14:textId="77777777" w:rsidR="00C15C3C" w:rsidRDefault="00C15C3C" w:rsidP="009270F7">
      <w:pPr>
        <w:pStyle w:val="Heading2"/>
      </w:pPr>
      <w:r>
        <w:lastRenderedPageBreak/>
        <w:t>2.</w:t>
      </w:r>
      <w:r w:rsidR="00F00CBE">
        <w:t xml:space="preserve">4 </w:t>
      </w:r>
      <w:r>
        <w:t>Hardware barrier performance assessment</w:t>
      </w:r>
    </w:p>
    <w:p w14:paraId="4E3EB2CE" w14:textId="77777777" w:rsidR="00572B4E" w:rsidRPr="00BE5004" w:rsidRDefault="00C30DE4" w:rsidP="009270F7">
      <w:r w:rsidRPr="00D639A7">
        <w:t xml:space="preserve">Extreme environmental conditions may seriously affect the availability of </w:t>
      </w:r>
      <w:r w:rsidR="00C36EDD" w:rsidRPr="00D639A7">
        <w:t xml:space="preserve">hardware </w:t>
      </w:r>
      <w:r w:rsidRPr="00D639A7">
        <w:t>components</w:t>
      </w:r>
      <w:r w:rsidR="00C36EDD" w:rsidRPr="00D639A7">
        <w:t xml:space="preserve"> </w:t>
      </w:r>
      <w:r w:rsidR="00C36EDD" w:rsidRPr="00D639A7">
        <w:fldChar w:fldCharType="begin" w:fldLock="1"/>
      </w:r>
      <w:r w:rsidR="00131B8A">
        <w:instrText>ADDIN CSL_CITATION { "citationItems" : [ { "id" : "ITEM-1", "itemData" : { "ISSN" : "0951-8320", "abstract" : "As the oil and gas (O&amp;amp;G) industry is increasing the focus on petroleum exploration and development in the Arctic region, it is becoming increasingly important to design exploration and production facilities to suit the local operating conditions. The cold and harsh climate, the long distance from customer and suppliers\u2019 markets, and the sensitive environment may have considerable influence on the choice of design solutions and production performance characteristics such as throughput capacity, reliability, availability, maintainability, and supportability (RAMS) as well as operational and maintenance activities. Due to this, data and information collected for similar systems used in a normal climate may not be suitable. Hence, it is important to study and develop methods for prediction of the production performance characteristics during the design and operation phases. The aim of this paper is to present an approach for prediction of the production performance for oil and gas production facilities considering influencing factors in Arctic conditions. The proportional repair model (PRM) is developed in order to predict repair rate in Arctic conditions. The model is based on the proportional hazard model (PHM). A simple case study is used to demonstrate how the proposed approach can be applied.", "author" : [ { "dropping-particle" : "", "family" : "Gao", "given" : "Xueli", "non-dropping-particle" : "", "parse-names" : false, "suffix" : "" }, { "dropping-particle" : "", "family" : "Barabady", "given" : "Javad", "non-dropping-particle" : "", "parse-names" : false, "suffix" : "" }, { "dropping-particle" : "", "family" : "Markeset", "given" : "Tore", "non-dropping-particle" : "", "parse-names" : false, "suffix" : "" } ], "container-title" : "Reliability Engineering &amp; System Safety", "id" : "ITEM-1", "issue" : "8", "issued" : { "date-parts" : [ [ "2010" ] ] }, "page" : "837-846", "title" : "An approach for prediction of petroleum production facility performance considering Arctic influence factors", "type" : "article-journal", "volume" : "95" }, "uris" : [ "http://www.mendeley.com/documents/?uuid=c2641d27-9054-47bf-a6e7-df685c4fa2c2" ] } ], "mendeley" : { "formattedCitation" : "(Gao et al., 2010)", "plainTextFormattedCitation" : "(Gao et al., 2010)", "previouslyFormattedCitation" : "(Gao et al., 2010)" }, "properties" : {  }, "schema" : "https://github.com/citation-style-language/schema/raw/master/csl-citation.json" }</w:instrText>
      </w:r>
      <w:r w:rsidR="00C36EDD" w:rsidRPr="00D639A7">
        <w:fldChar w:fldCharType="separate"/>
      </w:r>
      <w:r w:rsidR="0013085D" w:rsidRPr="0013085D">
        <w:rPr>
          <w:noProof/>
        </w:rPr>
        <w:t>(Gao et al., 2010)</w:t>
      </w:r>
      <w:r w:rsidR="00C36EDD" w:rsidRPr="00D639A7">
        <w:fldChar w:fldCharType="end"/>
      </w:r>
      <w:r w:rsidR="00C36EDD" w:rsidRPr="00D639A7">
        <w:t xml:space="preserve">. </w:t>
      </w:r>
      <w:r w:rsidR="008C0FA7">
        <w:t>Both</w:t>
      </w:r>
      <w:r w:rsidR="00C36EDD" w:rsidRPr="00D639A7">
        <w:t xml:space="preserve"> active and passive</w:t>
      </w:r>
      <w:r w:rsidR="008C0FA7">
        <w:t xml:space="preserve"> barriers</w:t>
      </w:r>
      <w:r w:rsidR="00C36EDD" w:rsidRPr="00D639A7">
        <w:t xml:space="preserve"> may deteriorate due to cold, e</w:t>
      </w:r>
      <w:r w:rsidR="00330950" w:rsidRPr="00D639A7">
        <w:t>rosion, wind, snow and ice</w:t>
      </w:r>
      <w:r w:rsidR="00DF48A1">
        <w:t xml:space="preserve">, </w:t>
      </w:r>
      <w:r w:rsidR="00330950" w:rsidRPr="00D639A7">
        <w:t xml:space="preserve">with significant worsening of their protective performance. In this </w:t>
      </w:r>
      <w:r w:rsidR="00572B4E">
        <w:t>study</w:t>
      </w:r>
      <w:r w:rsidR="00330950" w:rsidRPr="00D639A7">
        <w:t xml:space="preserve">, it is assumed that harsh environment seriously affect barrier availability while no significant effects are associated to the effectiveness </w:t>
      </w:r>
      <w:r w:rsidR="00330950" w:rsidRPr="00D639A7">
        <w:fldChar w:fldCharType="begin" w:fldLock="1"/>
      </w:r>
      <w:r w:rsidR="00131B8A">
        <w:instrText>ADDIN CSL_CITATION { "citationItems" : [ { "id" : "ITEM-1", "itemData" : { "ISSN" : "0951-8320", "abstract" : "As the oil and gas (O&amp;amp;G) industry is increasing the focus on petroleum exploration and development in the Arctic region, it is becoming increasingly important to design exploration and production facilities to suit the local operating conditions. The cold and harsh climate, the long distance from customer and suppliers\u2019 markets, and the sensitive environment may have considerable influence on the choice of design solutions and production performance characteristics such as throughput capacity, reliability, availability, maintainability, and supportability (RAMS) as well as operational and maintenance activities. Due to this, data and information collected for similar systems used in a normal climate may not be suitable. Hence, it is important to study and develop methods for prediction of the production performance characteristics during the design and operation phases. The aim of this paper is to present an approach for prediction of the production performance for oil and gas production facilities considering influencing factors in Arctic conditions. The proportional repair model (PRM) is developed in order to predict repair rate in Arctic conditions. The model is based on the proportional hazard model (PHM). A simple case study is used to demonstrate how the proposed approach can be applied.", "author" : [ { "dropping-particle" : "", "family" : "Gao", "given" : "Xueli", "non-dropping-particle" : "", "parse-names" : false, "suffix" : "" }, { "dropping-particle" : "", "family" : "Barabady", "given" : "Javad", "non-dropping-particle" : "", "parse-names" : false, "suffix" : "" }, { "dropping-particle" : "", "family" : "Markeset", "given" : "Tore", "non-dropping-particle" : "", "parse-names" : false, "suffix" : "" } ], "container-title" : "Reliability Engineering &amp; System Safety", "id" : "ITEM-1", "issue" : "8", "issued" : { "date-parts" : [ [ "2010" ] ] }, "page" : "837-846", "title" : "An approach for prediction of petroleum production facility performance considering Arctic influence factors", "type" : "article-journal", "volume" : "95" }, "uris" : [ "http://www.mendeley.com/documents/?uuid=c2641d27-9054-47bf-a6e7-df685c4fa2c2" ] } ], "mendeley" : { "formattedCitation" : "(Gao et al., 2010)", "plainTextFormattedCitation" : "(Gao et al., 2010)", "previouslyFormattedCitation" : "(Gao et al., 2010)" }, "properties" : {  }, "schema" : "https://github.com/citation-style-language/schema/raw/master/csl-citation.json" }</w:instrText>
      </w:r>
      <w:r w:rsidR="00330950" w:rsidRPr="00D639A7">
        <w:fldChar w:fldCharType="separate"/>
      </w:r>
      <w:r w:rsidR="00330950" w:rsidRPr="00BE5004">
        <w:rPr>
          <w:noProof/>
        </w:rPr>
        <w:t>(Gao et al., 2010)</w:t>
      </w:r>
      <w:r w:rsidR="00330950" w:rsidRPr="00D639A7">
        <w:fldChar w:fldCharType="end"/>
      </w:r>
      <w:r w:rsidR="00330950" w:rsidRPr="00BE5004">
        <w:t xml:space="preserve">. </w:t>
      </w:r>
    </w:p>
    <w:p w14:paraId="565E6107" w14:textId="77777777" w:rsidR="0092574A" w:rsidRDefault="00330950" w:rsidP="009270F7">
      <w:r w:rsidRPr="00BE5004">
        <w:t xml:space="preserve">According to </w:t>
      </w:r>
      <w:r w:rsidR="004C65C2" w:rsidRPr="00BE5004">
        <w:t xml:space="preserve">the </w:t>
      </w:r>
      <w:r w:rsidRPr="00BE5004">
        <w:t xml:space="preserve">recommended practices </w:t>
      </w:r>
      <w:r w:rsidR="009F2558" w:rsidRPr="00BE5004">
        <w:t xml:space="preserve">RP </w:t>
      </w:r>
      <w:r w:rsidRPr="00BE5004">
        <w:t xml:space="preserve">581 by </w:t>
      </w:r>
      <w:r w:rsidR="004C65C2" w:rsidRPr="00BE5004">
        <w:t xml:space="preserve">the </w:t>
      </w:r>
      <w:r w:rsidRPr="00D639A7">
        <w:fldChar w:fldCharType="begin" w:fldLock="1"/>
      </w:r>
      <w:r w:rsidR="00131B8A">
        <w:instrText>ADDIN CSL_CITATION { "citationItems" : [ { "id" : "ITEM-1", "itemData" : { "author" : [ { "dropping-particle" : "", "family" : "American Petroleum Institute", "given" : "", "non-dropping-particle" : "", "parse-names" : false, "suffix" : "" } ], "id" : "ITEM-1", "issued" : { "date-parts" : [ [ "2000" ] ] }, "publisher" : "American Petroleum Institute", "publisher-place" : "New York", "title" : "API Publication 581. Risk-based inspection base resource document", "type" : "article" }, "uris" : [ "http://www.mendeley.com/documents/?uuid=106402c0-09e2-424a-b4df-cb7d39c38b2e" ] } ], "mendeley" : { "formattedCitation" : "(American Petroleum Institute, 2000)", "manualFormatting" : "American Petroleum Institute (2000)", "plainTextFormattedCitation" : "(American Petroleum Institute, 2000)", "previouslyFormattedCitation" : "(American Petroleum Institute, 2000)" }, "properties" : {  }, "schema" : "https://github.com/citation-style-language/schema/raw/master/csl-citation.json" }</w:instrText>
      </w:r>
      <w:r w:rsidRPr="00D639A7">
        <w:fldChar w:fldCharType="separate"/>
      </w:r>
      <w:r w:rsidRPr="00BE5004">
        <w:rPr>
          <w:noProof/>
        </w:rPr>
        <w:t>American Petroleum Institute (2000)</w:t>
      </w:r>
      <w:r w:rsidRPr="00D639A7">
        <w:fldChar w:fldCharType="end"/>
      </w:r>
      <w:r w:rsidR="00D639A7" w:rsidRPr="00BE5004">
        <w:t xml:space="preserve">, the depletion of barrier performance in harsh conditions is </w:t>
      </w:r>
      <w:r w:rsidR="00572B4E" w:rsidRPr="00BE5004">
        <w:t xml:space="preserve">strictly </w:t>
      </w:r>
      <w:r w:rsidR="00D639A7" w:rsidRPr="00BE5004">
        <w:t xml:space="preserve">related to environmental temperature. </w:t>
      </w:r>
      <w:r w:rsidR="00D639A7">
        <w:t>In particular, environmental temperature may affect barrier availability when it</w:t>
      </w:r>
      <w:r w:rsidR="009F2558">
        <w:t>s values</w:t>
      </w:r>
      <w:r w:rsidR="00D639A7">
        <w:t xml:space="preserve"> is below </w:t>
      </w:r>
      <w:r w:rsidR="00280AC8">
        <w:t xml:space="preserve">a given </w:t>
      </w:r>
      <w:r w:rsidR="00D639A7">
        <w:t xml:space="preserve">threshold value of -6.7 ͦ C </w:t>
      </w:r>
      <w:r w:rsidR="00D639A7">
        <w:fldChar w:fldCharType="begin" w:fldLock="1"/>
      </w:r>
      <w:r w:rsidR="00131B8A">
        <w:instrText>ADDIN CSL_CITATION { "citationItems" : [ { "id" : "ITEM-1", "itemData" : { "author" : [ { "dropping-particle" : "", "family" : "American Petroleum Institute", "given" : "", "non-dropping-particle" : "", "parse-names" : false, "suffix" : "" } ], "id" : "ITEM-1", "issued" : { "date-parts" : [ [ "2000" ] ] }, "publisher" : "American Petroleum Institute", "publisher-place" : "New York", "title" : "API Publication 581. Risk-based inspection base resource document", "type" : "article" }, "uris" : [ "http://www.mendeley.com/documents/?uuid=106402c0-09e2-424a-b4df-cb7d39c38b2e" ] } ], "mendeley" : { "formattedCitation" : "(American Petroleum Institute, 2000)", "plainTextFormattedCitation" : "(American Petroleum Institute, 2000)", "previouslyFormattedCitation" : "(American Petroleum Institute, 2000)" }, "properties" : {  }, "schema" : "https://github.com/citation-style-language/schema/raw/master/csl-citation.json" }</w:instrText>
      </w:r>
      <w:r w:rsidR="00D639A7">
        <w:fldChar w:fldCharType="separate"/>
      </w:r>
      <w:r w:rsidR="00D639A7" w:rsidRPr="00D639A7">
        <w:rPr>
          <w:noProof/>
        </w:rPr>
        <w:t>(American Petroleum Institute, 2000)</w:t>
      </w:r>
      <w:r w:rsidR="00D639A7">
        <w:fldChar w:fldCharType="end"/>
      </w:r>
      <w:r w:rsidR="00D639A7">
        <w:t>. This value corresponds to a penalty for external temperature (S</w:t>
      </w:r>
      <w:r w:rsidR="00D639A7" w:rsidRPr="002D117C">
        <w:rPr>
          <w:vertAlign w:val="subscript"/>
        </w:rPr>
        <w:t>1</w:t>
      </w:r>
      <w:r w:rsidR="00D639A7">
        <w:t xml:space="preserve">) in Table </w:t>
      </w:r>
      <w:r w:rsidR="009F2558">
        <w:t>2</w:t>
      </w:r>
      <w:r w:rsidR="00D639A7">
        <w:t xml:space="preserve"> equal to 0.6. In this framework, we assumed that</w:t>
      </w:r>
      <w:r w:rsidR="002D117C">
        <w:t xml:space="preserve"> f</w:t>
      </w:r>
      <w:r w:rsidR="00D639A7">
        <w:t>or</w:t>
      </w:r>
      <w:r w:rsidR="002D117C">
        <w:t xml:space="preserve"> </w:t>
      </w:r>
      <w:r w:rsidR="00D639A7">
        <w:t>S</w:t>
      </w:r>
      <w:r w:rsidR="00D639A7" w:rsidRPr="002D117C">
        <w:rPr>
          <w:vertAlign w:val="subscript"/>
        </w:rPr>
        <w:t>1</w:t>
      </w:r>
      <w:r w:rsidR="00D639A7">
        <w:t xml:space="preserve"> </w:t>
      </w:r>
      <w:r w:rsidR="002D117C">
        <w:t>lower than</w:t>
      </w:r>
      <w:r w:rsidR="00D639A7">
        <w:t xml:space="preserve"> 0.6, no relevant performance modifications are </w:t>
      </w:r>
      <w:r w:rsidR="002D117C">
        <w:t xml:space="preserve">accounted and </w:t>
      </w:r>
      <w:r w:rsidR="0092574A">
        <w:t>data for safety barriers operating in normal environment may be adopted (see e.g., the data repository reported</w:t>
      </w:r>
      <w:r w:rsidR="000D2E3A">
        <w:t xml:space="preserve"> by</w:t>
      </w:r>
      <w:r w:rsidR="0092574A">
        <w:t xml:space="preserve"> </w:t>
      </w:r>
      <w:r w:rsidR="002D117C">
        <w:fldChar w:fldCharType="begin" w:fldLock="1"/>
      </w:r>
      <w:r w:rsidR="00131B8A">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"manualFormatting" : "Landucci et al. (2015)", "plainTextFormattedCitation" : "(Landucci et al., 2015)", "previouslyFormattedCitation" : "(Landucci et al., 2015)" }, "properties" : {  }, "schema" : "https://github.com/citation-style-language/schema/raw/master/csl-citation.json" }</w:instrText>
      </w:r>
      <w:r w:rsidR="002D117C">
        <w:fldChar w:fldCharType="separate"/>
      </w:r>
      <w:r w:rsidR="002D117C">
        <w:rPr>
          <w:noProof/>
        </w:rPr>
        <w:t>Landucci et al. (</w:t>
      </w:r>
      <w:r w:rsidR="002D117C" w:rsidRPr="002D117C">
        <w:rPr>
          <w:noProof/>
        </w:rPr>
        <w:t>2015)</w:t>
      </w:r>
      <w:r w:rsidR="002D117C">
        <w:fldChar w:fldCharType="end"/>
      </w:r>
      <w:r w:rsidR="0092574A">
        <w:t>)</w:t>
      </w:r>
      <w:r w:rsidR="002D117C">
        <w:t xml:space="preserve">. </w:t>
      </w:r>
    </w:p>
    <w:p w14:paraId="7DBD1B5C" w14:textId="77777777" w:rsidR="00C36EDD" w:rsidRDefault="002D117C" w:rsidP="009270F7">
      <w:r>
        <w:t>For S</w:t>
      </w:r>
      <w:r w:rsidRPr="002D117C">
        <w:rPr>
          <w:vertAlign w:val="subscript"/>
        </w:rPr>
        <w:t>1</w:t>
      </w:r>
      <w:r>
        <w:t xml:space="preserve"> higher than 0.6, depletion of barrier availability in Arctic environment is addressed using the </w:t>
      </w:r>
      <w:r w:rsidR="00280AC8">
        <w:t>PHM</w:t>
      </w:r>
      <w:r>
        <w:t xml:space="preserve"> </w:t>
      </w:r>
      <w:r>
        <w:fldChar w:fldCharType="begin" w:fldLock="1"/>
      </w:r>
      <w:r w:rsidR="00131B8A">
        <w:instrText>ADDIN CSL_CITATION { "citationItems" : [ { "id" : "ITEM-1", "itemData" : { "author" : [ { "dropping-particle" : "", "family" : "Cox", "given" : "D R", "non-dropping-particle" : "", "parse-names" : false, "suffix" : "" } ], "container-title" : "Journal of the Royal Statistical Society. Series B (Methodological)", "id" : "ITEM-1", "issue" : "2", "issued" : { "date-parts" : [ [ "1972" ] ] }, "page" : "187-220", "title" : "Regression Models and Life-Tables", "type" : "article-journal", "volume" : "34" }, "uris" : [ "http://www.mendeley.com/documents/?uuid=dbbacbc5-9c14-4a4e-aa48-f364de396476", "http://www.mendeley.com/documents/?uuid=ca3167e6-57b9-4c40-9a86-a007b4ad4ce3", "http://www.mendeley.com/documents/?uuid=43962045-484d-4e9d-863c-dedb9924e865" ] } ], "mendeley" : { "formattedCitation" : "(Cox, 1972)", "plainTextFormattedCitation" : "(Cox, 1972)", "previouslyFormattedCitation" : "(Cox, 1972)" }, "properties" : {  }, "schema" : "https://github.com/citation-style-language/schema/raw/master/csl-citation.json" }</w:instrText>
      </w:r>
      <w:r>
        <w:fldChar w:fldCharType="separate"/>
      </w:r>
      <w:r w:rsidR="00ED2AAB" w:rsidRPr="00ED2AAB">
        <w:rPr>
          <w:noProof/>
        </w:rPr>
        <w:t>(Cox, 1972)</w:t>
      </w:r>
      <w:r>
        <w:fldChar w:fldCharType="end"/>
      </w:r>
      <w:r w:rsidR="00F474DC">
        <w:t>,</w:t>
      </w:r>
      <w:r>
        <w:t xml:space="preserve"> as suggested by </w:t>
      </w:r>
      <w:r>
        <w:fldChar w:fldCharType="begin" w:fldLock="1"/>
      </w:r>
      <w:r w:rsidR="00131B8A">
        <w:instrText>ADDIN CSL_CITATION { "citationItems" : [ { "id" : "ITEM-1", "itemData" : { "ISSN" : "0951-8320", "abstract" : "As the oil and gas (O&amp;amp;G) industry is increasing the focus on petroleum exploration and development in the Arctic region, it is becoming increasingly important to design exploration and production facilities to suit the local operating conditions. The cold and harsh climate, the long distance from customer and suppliers\u2019 markets, and the sensitive environment may have considerable influence on the choice of design solutions and production performance characteristics such as throughput capacity, reliability, availability, maintainability, and supportability (RAMS) as well as operational and maintenance activities. Due to this, data and information collected for similar systems used in a normal climate may not be suitable. Hence, it is important to study and develop methods for prediction of the production performance characteristics during the design and operation phases. The aim of this paper is to present an approach for prediction of the production performance for oil and gas production facilities considering influencing factors in Arctic conditions. The proportional repair model (PRM) is developed in order to predict repair rate in Arctic conditions. The model is based on the proportional hazard model (PHM). A simple case study is used to demonstrate how the proposed approach can be applied.", "author" : [ { "dropping-particle" : "", "family" : "Gao", "given" : "Xueli", "non-dropping-particle" : "", "parse-names" : false, "suffix" : "" }, { "dropping-particle" : "", "family" : "Barabady", "given" : "Javad", "non-dropping-particle" : "", "parse-names" : false, "suffix" : "" }, { "dropping-particle" : "", "family" : "Markeset", "given" : "Tore", "non-dropping-particle" : "", "parse-names" : false, "suffix" : "" } ], "container-title" : "Reliability Engineering &amp; System Safety", "id" : "ITEM-1", "issue" : "8", "issued" : { "date-parts" : [ [ "2010" ] ] }, "page" : "837-846", "title" : "An approach for prediction of petroleum production facility performance considering Arctic influence factors", "type" : "article-journal", "volume" : "95" }, "uris" : [ "http://www.mendeley.com/documents/?uuid=c2641d27-9054-47bf-a6e7-df685c4fa2c2" ] } ], "mendeley" : { "formattedCitation" : "(Gao et al., 2010)", "manualFormatting" : "Gao et al. (2010)", "plainTextFormattedCitation" : "(Gao et al., 2010)", "previouslyFormattedCitation" : "(Gao et al., 2010)" }, "properties" : {  }, "schema" : "https://github.com/citation-style-language/schema/raw/master/csl-citation.json" }</w:instrText>
      </w:r>
      <w:r>
        <w:fldChar w:fldCharType="separate"/>
      </w:r>
      <w:r>
        <w:rPr>
          <w:noProof/>
        </w:rPr>
        <w:t>Gao et al. (</w:t>
      </w:r>
      <w:r w:rsidRPr="002D117C">
        <w:rPr>
          <w:noProof/>
        </w:rPr>
        <w:t>2010)</w:t>
      </w:r>
      <w:r>
        <w:fldChar w:fldCharType="end"/>
      </w:r>
      <w:r>
        <w:t xml:space="preserve">. </w:t>
      </w:r>
      <w:r w:rsidR="00ED2AAB">
        <w:t xml:space="preserve">The approach modifies the failure rate of a generic component, λ, in case of harsh environment as: </w:t>
      </w:r>
    </w:p>
    <w:p w14:paraId="5ACFA61C" w14:textId="77777777" w:rsidR="008C6760" w:rsidRDefault="008C6760" w:rsidP="009270F7"/>
    <w:p w14:paraId="6B246C97" w14:textId="77777777" w:rsidR="00ED2AAB" w:rsidRDefault="00ED2AAB">
      <w:pPr>
        <w:rPr>
          <w:rFonts w:eastAsiaTheme="minorEastAsia"/>
        </w:rPr>
      </w:pPr>
      <m:oMath>
        <m:r>
          <w:rPr>
            <w:rFonts w:ascii="Cambria Math" w:hAnsi="Cambria Math"/>
          </w:rPr>
          <m:t>λ</m:t>
        </m:r>
        <m:d>
          <m:dPr>
            <m:ctrlPr>
              <w:rPr>
                <w:rFonts w:ascii="Cambria Math" w:hAnsi="Cambria Math"/>
              </w:rPr>
            </m:ctrlPr>
          </m:dPr>
          <m:e>
            <m:r>
              <w:rPr>
                <w:rFonts w:ascii="Cambria Math" w:hAnsi="Cambria Math"/>
              </w:rPr>
              <m:t>z</m:t>
            </m:r>
          </m:e>
        </m:d>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0</m:t>
            </m:r>
          </m:sub>
        </m:sSub>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-1.409</m:t>
            </m:r>
            <m:sSub>
              <m:sSubPr>
                <m:ctrlPr>
                  <w:rPr>
                    <w:rFonts w:ascii="Cambria Math" w:hAnsi="Cambria Math"/>
                  </w:rPr>
                </m:ctrlPr>
              </m:sSubPr>
              <m:e>
                <m:r>
                  <w:rPr>
                    <w:rFonts w:ascii="Cambria Math" w:hAnsi="Cambria Math"/>
                  </w:rPr>
                  <m:t>z</m:t>
                </m:r>
              </m:e>
              <m:sub>
                <m:r>
                  <m:rPr>
                    <m:sty m:val="p"/>
                  </m:rPr>
                  <w:rPr>
                    <w:rFonts w:ascii="Cambria Math" w:hAnsi="Cambria Math"/>
                  </w:rPr>
                  <m:t>1</m:t>
                </m:r>
              </m:sub>
            </m:sSub>
            <m:r>
              <m:rPr>
                <m:sty m:val="p"/>
              </m:rPr>
              <w:rPr>
                <w:rFonts w:ascii="Cambria Math" w:hAnsi="Cambria Math"/>
              </w:rPr>
              <m:t>-1.013</m:t>
            </m:r>
            <m:sSub>
              <m:sSubPr>
                <m:ctrlPr>
                  <w:rPr>
                    <w:rFonts w:ascii="Cambria Math" w:hAnsi="Cambria Math"/>
                  </w:rPr>
                </m:ctrlPr>
              </m:sSubPr>
              <m:e>
                <m:r>
                  <w:rPr>
                    <w:rFonts w:ascii="Cambria Math" w:hAnsi="Cambria Math"/>
                  </w:rPr>
                  <m:t>z</m:t>
                </m:r>
              </m:e>
              <m:sub>
                <m:r>
                  <m:rPr>
                    <m:sty m:val="p"/>
                  </m:rPr>
                  <w:rPr>
                    <w:rFonts w:ascii="Cambria Math" w:hAnsi="Cambria Math"/>
                  </w:rPr>
                  <m:t>2</m:t>
                </m:r>
              </m:sub>
            </m:sSub>
          </m:sup>
        </m:sSup>
      </m:oMath>
      <w:r w:rsidR="00C66A96">
        <w:rPr>
          <w:rFonts w:eastAsiaTheme="minorEastAsia"/>
        </w:rPr>
        <w:t xml:space="preserve">  </w:t>
      </w:r>
      <w:r w:rsidR="008C6760">
        <w:rPr>
          <w:rFonts w:eastAsiaTheme="minorEastAsia"/>
        </w:rPr>
        <w:tab/>
      </w:r>
      <w:r w:rsidR="008C6760">
        <w:rPr>
          <w:rFonts w:eastAsiaTheme="minorEastAsia"/>
        </w:rPr>
        <w:tab/>
      </w:r>
      <w:r w:rsidR="008C6760">
        <w:rPr>
          <w:rFonts w:eastAsiaTheme="minorEastAsia"/>
        </w:rPr>
        <w:tab/>
      </w:r>
      <w:r w:rsidR="008C6760">
        <w:rPr>
          <w:rFonts w:eastAsiaTheme="minorEastAsia"/>
        </w:rPr>
        <w:tab/>
      </w:r>
      <w:r w:rsidR="008C6760">
        <w:rPr>
          <w:rFonts w:eastAsiaTheme="minorEastAsia"/>
        </w:rPr>
        <w:tab/>
      </w:r>
      <w:r w:rsidR="008C6760">
        <w:rPr>
          <w:rFonts w:eastAsiaTheme="minorEastAsia"/>
        </w:rPr>
        <w:tab/>
      </w:r>
      <w:r w:rsidR="008C6760">
        <w:rPr>
          <w:rFonts w:eastAsiaTheme="minorEastAsia"/>
        </w:rPr>
        <w:tab/>
      </w:r>
      <w:r w:rsidR="008C6760">
        <w:rPr>
          <w:rFonts w:eastAsiaTheme="minorEastAsia"/>
        </w:rPr>
        <w:tab/>
      </w:r>
      <w:r w:rsidR="008C6760">
        <w:rPr>
          <w:rFonts w:eastAsiaTheme="minorEastAsia"/>
        </w:rPr>
        <w:tab/>
      </w:r>
      <w:r w:rsidR="005747B4">
        <w:rPr>
          <w:rFonts w:eastAsiaTheme="minorEastAsia"/>
        </w:rPr>
        <w:t xml:space="preserve"> </w:t>
      </w:r>
      <w:r w:rsidR="00C66A96">
        <w:rPr>
          <w:rFonts w:eastAsiaTheme="minorEastAsia"/>
        </w:rPr>
        <w:t>(</w:t>
      </w:r>
      <w:r w:rsidR="008C6760">
        <w:rPr>
          <w:rFonts w:eastAsiaTheme="minorEastAsia"/>
        </w:rPr>
        <w:t>3</w:t>
      </w:r>
      <w:r w:rsidR="00C66A96">
        <w:rPr>
          <w:rFonts w:eastAsiaTheme="minorEastAsia"/>
        </w:rPr>
        <w:t xml:space="preserve">) </w:t>
      </w:r>
    </w:p>
    <w:p w14:paraId="6F66D6B0" w14:textId="77777777" w:rsidR="008C6760" w:rsidRDefault="008C6760" w:rsidP="009270F7"/>
    <w:p w14:paraId="57470543" w14:textId="77777777" w:rsidR="00ED2AAB" w:rsidRDefault="00ED2AAB" w:rsidP="009270F7">
      <w:r>
        <w:t xml:space="preserve">Where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t xml:space="preserve"> is the </w:t>
      </w:r>
      <w:r w:rsidR="00FF2BBA">
        <w:t xml:space="preserve">baseline </w:t>
      </w:r>
      <w:r>
        <w:t xml:space="preserve">failure rate in normal environment (assumed as constant during the lifecycle of the facility) and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00FF2BBA">
        <w:t xml:space="preserve"> are the covariates, assumed as binary, described in Table </w:t>
      </w:r>
      <w:r w:rsidR="00CF192D">
        <w:t>4</w:t>
      </w:r>
      <w:r w:rsidR="00FF2BBA">
        <w:t xml:space="preserve">. </w:t>
      </w:r>
    </w:p>
    <w:p w14:paraId="5AA1C7C3" w14:textId="77777777" w:rsidR="00BF6E33" w:rsidRDefault="00BF6E33" w:rsidP="009270F7"/>
    <w:p w14:paraId="0B795750" w14:textId="77777777" w:rsidR="00BF6E33" w:rsidRPr="00CD27E6" w:rsidRDefault="00BF6E33" w:rsidP="009270F7">
      <w:r w:rsidRPr="00CD27E6">
        <w:t>Table 4. Covariate values for failure rate modification</w:t>
      </w:r>
      <w:r w:rsidR="00AD0F5B">
        <w:t xml:space="preserve"> (adapted from </w:t>
      </w:r>
      <w:r w:rsidR="00AD0F5B">
        <w:fldChar w:fldCharType="begin" w:fldLock="1"/>
      </w:r>
      <w:r w:rsidR="00131B8A">
        <w:instrText>ADDIN CSL_CITATION { "citationItems" : [ { "id" : "ITEM-1", "itemData" : { "ISSN" : "0951-8320", "abstract" : "As the oil and gas (O&amp;amp;G) industry is increasing the focus on petroleum exploration and development in the Arctic region, it is becoming increasingly important to design exploration and production facilities to suit the local operating conditions. The cold and harsh climate, the long distance from customer and suppliers\u2019 markets, and the sensitive environment may have considerable influence on the choice of design solutions and production performance characteristics such as throughput capacity, reliability, availability, maintainability, and supportability (RAMS) as well as operational and maintenance activities. Due to this, data and information collected for similar systems used in a normal climate may not be suitable. Hence, it is important to study and develop methods for prediction of the production performance characteristics during the design and operation phases. The aim of this paper is to present an approach for prediction of the production performance for oil and gas production facilities considering influencing factors in Arctic conditions. The proportional repair model (PRM) is developed in order to predict repair rate in Arctic conditions. The model is based on the proportional hazard model (PHM). A simple case study is used to demonstrate how the proposed approach can be applied.", "author" : [ { "dropping-particle" : "", "family" : "Gao", "given" : "Xueli", "non-dropping-particle" : "", "parse-names" : false, "suffix" : "" }, { "dropping-particle" : "", "family" : "Barabady", "given" : "Javad", "non-dropping-particle" : "", "parse-names" : false, "suffix" : "" }, { "dropping-particle" : "", "family" : "Markeset", "given" : "Tore", "non-dropping-particle" : "", "parse-names" : false, "suffix" : "" } ], "container-title" : "Reliability Engineering &amp; System Safety", "id" : "ITEM-1", "issue" : "8", "issued" : { "date-parts" : [ [ "2010" ] ] }, "page" : "837-846", "title" : "An approach for prediction of petroleum production facility performance considering Arctic influence factors", "type" : "article-journal", "volume" : "95" }, "uris" : [ "http://www.mendeley.com/documents/?uuid=c2641d27-9054-47bf-a6e7-df685c4fa2c2" ] } ], "mendeley" : { "formattedCitation" : "(Gao et al., 2010)", "plainTextFormattedCitation" : "(Gao et al., 2010)", "previouslyFormattedCitation" : "(Gao et al., 2010)" }, "properties" : {  }, "schema" : "https://github.com/citation-style-language/schema/raw/master/csl-citation.json" }</w:instrText>
      </w:r>
      <w:r w:rsidR="00AD0F5B">
        <w:fldChar w:fldCharType="separate"/>
      </w:r>
      <w:r w:rsidR="00AD0F5B" w:rsidRPr="00AD0F5B">
        <w:rPr>
          <w:noProof/>
        </w:rPr>
        <w:t>(Gao et al., 2010)</w:t>
      </w:r>
      <w:r w:rsidR="00AD0F5B">
        <w:fldChar w:fldCharType="end"/>
      </w:r>
      <w:r w:rsidR="00AD0F5B">
        <w:t>)</w:t>
      </w:r>
      <w:r w:rsidRPr="00CD27E6">
        <w:t xml:space="preserve">. </w:t>
      </w:r>
    </w:p>
    <w:tbl>
      <w:tblPr>
        <w:tblStyle w:val="TableGrid"/>
        <w:tblW w:w="0" w:type="auto"/>
        <w:tblLook w:val="04A0" w:firstRow="1" w:lastRow="0" w:firstColumn="1" w:lastColumn="0" w:noHBand="0" w:noVBand="1"/>
      </w:tblPr>
      <w:tblGrid>
        <w:gridCol w:w="2254"/>
        <w:gridCol w:w="2254"/>
        <w:gridCol w:w="2254"/>
        <w:gridCol w:w="2254"/>
      </w:tblGrid>
      <w:tr w:rsidR="00AD64B6" w:rsidRPr="005961F4" w14:paraId="7C734962" w14:textId="77777777" w:rsidTr="006E65B0">
        <w:tc>
          <w:tcPr>
            <w:tcW w:w="2254" w:type="dxa"/>
            <w:vMerge w:val="restart"/>
          </w:tcPr>
          <w:p w14:paraId="491758E0" w14:textId="77777777" w:rsidR="00AD64B6" w:rsidRPr="000D14A2" w:rsidRDefault="00AD64B6" w:rsidP="000D14A2">
            <w:pPr>
              <w:pStyle w:val="Table"/>
              <w:jc w:val="left"/>
              <w:rPr>
                <w:b/>
              </w:rPr>
            </w:pPr>
            <w:r w:rsidRPr="000D14A2">
              <w:rPr>
                <w:b/>
              </w:rPr>
              <w:t>Covariate</w:t>
            </w:r>
          </w:p>
        </w:tc>
        <w:tc>
          <w:tcPr>
            <w:tcW w:w="2254" w:type="dxa"/>
            <w:vMerge w:val="restart"/>
          </w:tcPr>
          <w:p w14:paraId="1FB967C9" w14:textId="77777777" w:rsidR="00AD64B6" w:rsidRPr="000D14A2" w:rsidRDefault="00AD64B6" w:rsidP="000D14A2">
            <w:pPr>
              <w:pStyle w:val="Table"/>
              <w:jc w:val="left"/>
              <w:rPr>
                <w:b/>
              </w:rPr>
            </w:pPr>
            <w:r w:rsidRPr="000D14A2">
              <w:rPr>
                <w:b/>
              </w:rPr>
              <w:t>Definition</w:t>
            </w:r>
          </w:p>
        </w:tc>
        <w:tc>
          <w:tcPr>
            <w:tcW w:w="4508" w:type="dxa"/>
            <w:gridSpan w:val="2"/>
          </w:tcPr>
          <w:p w14:paraId="26CF5EC4" w14:textId="77777777" w:rsidR="00AD64B6" w:rsidRPr="000D14A2" w:rsidRDefault="00AD64B6" w:rsidP="00EC1326">
            <w:pPr>
              <w:pStyle w:val="Table"/>
              <w:rPr>
                <w:b/>
              </w:rPr>
            </w:pPr>
            <w:r w:rsidRPr="000D14A2">
              <w:rPr>
                <w:b/>
              </w:rPr>
              <w:t>Values</w:t>
            </w:r>
          </w:p>
        </w:tc>
      </w:tr>
      <w:tr w:rsidR="00AD64B6" w14:paraId="68923851" w14:textId="77777777" w:rsidTr="00FF2BBA">
        <w:tc>
          <w:tcPr>
            <w:tcW w:w="2254" w:type="dxa"/>
            <w:vMerge/>
          </w:tcPr>
          <w:p w14:paraId="6DD3400A" w14:textId="77777777" w:rsidR="00AD64B6" w:rsidRPr="00C370D3" w:rsidRDefault="00AD64B6" w:rsidP="000D14A2">
            <w:pPr>
              <w:pStyle w:val="Table"/>
              <w:jc w:val="left"/>
            </w:pPr>
          </w:p>
        </w:tc>
        <w:tc>
          <w:tcPr>
            <w:tcW w:w="2254" w:type="dxa"/>
            <w:vMerge/>
          </w:tcPr>
          <w:p w14:paraId="5C4CC12F" w14:textId="77777777" w:rsidR="00AD64B6" w:rsidRDefault="00AD64B6" w:rsidP="000D14A2">
            <w:pPr>
              <w:pStyle w:val="Table"/>
              <w:jc w:val="left"/>
            </w:pPr>
          </w:p>
        </w:tc>
        <w:tc>
          <w:tcPr>
            <w:tcW w:w="2254" w:type="dxa"/>
          </w:tcPr>
          <w:p w14:paraId="079C042A" w14:textId="77777777" w:rsidR="00AD64B6" w:rsidRPr="004F307C" w:rsidRDefault="00AD64B6" w:rsidP="00EC1326">
            <w:pPr>
              <w:pStyle w:val="Table"/>
            </w:pPr>
            <w:r w:rsidRPr="004F307C">
              <w:t xml:space="preserve">+1 </w:t>
            </w:r>
          </w:p>
        </w:tc>
        <w:tc>
          <w:tcPr>
            <w:tcW w:w="2254" w:type="dxa"/>
          </w:tcPr>
          <w:p w14:paraId="07587BCE" w14:textId="77777777" w:rsidR="00AD64B6" w:rsidRPr="004F307C" w:rsidRDefault="00AD64B6" w:rsidP="00EC1326">
            <w:pPr>
              <w:pStyle w:val="Table"/>
            </w:pPr>
            <w:r w:rsidRPr="004F307C">
              <w:t>-1</w:t>
            </w:r>
          </w:p>
        </w:tc>
      </w:tr>
      <w:tr w:rsidR="00FF2BBA" w14:paraId="5929CF4B" w14:textId="77777777" w:rsidTr="00FF2BBA">
        <w:tc>
          <w:tcPr>
            <w:tcW w:w="2254" w:type="dxa"/>
          </w:tcPr>
          <w:p w14:paraId="4C877B41" w14:textId="77777777" w:rsidR="00FF2BBA" w:rsidRDefault="00AC4127" w:rsidP="000D14A2">
            <w:pPr>
              <w:pStyle w:val="Table"/>
              <w:jc w:val="left"/>
              <w:rPr>
                <w:rFonts w:eastAsiaTheme="minorEastAsia"/>
              </w:rPr>
            </w:pPr>
            <w:r>
              <w:rPr>
                <w:rFonts w:eastAsiaTheme="minorEastAsia"/>
              </w:rPr>
              <w:t>z</w:t>
            </w:r>
            <w:r w:rsidRPr="000D14A2">
              <w:rPr>
                <w:rFonts w:eastAsiaTheme="minorEastAsia"/>
                <w:vertAlign w:val="subscript"/>
              </w:rPr>
              <w:t>1</w:t>
            </w:r>
          </w:p>
        </w:tc>
        <w:tc>
          <w:tcPr>
            <w:tcW w:w="2254" w:type="dxa"/>
          </w:tcPr>
          <w:p w14:paraId="049041D0" w14:textId="77777777" w:rsidR="00FF2BBA" w:rsidRDefault="00FF2BBA" w:rsidP="000D14A2">
            <w:pPr>
              <w:pStyle w:val="Table"/>
              <w:jc w:val="left"/>
            </w:pPr>
            <w:r>
              <w:t>Protection conditions</w:t>
            </w:r>
          </w:p>
        </w:tc>
        <w:tc>
          <w:tcPr>
            <w:tcW w:w="2254" w:type="dxa"/>
          </w:tcPr>
          <w:p w14:paraId="2D3969D5" w14:textId="77777777" w:rsidR="00FF2BBA" w:rsidRDefault="00213DCF" w:rsidP="00EC1326">
            <w:pPr>
              <w:pStyle w:val="Table"/>
            </w:pPr>
            <w:r>
              <w:t xml:space="preserve">Inadequate </w:t>
            </w:r>
            <w:r w:rsidR="00FF2BBA">
              <w:t>protection</w:t>
            </w:r>
          </w:p>
        </w:tc>
        <w:tc>
          <w:tcPr>
            <w:tcW w:w="2254" w:type="dxa"/>
          </w:tcPr>
          <w:p w14:paraId="0E9DDCBC" w14:textId="77777777" w:rsidR="00FF2BBA" w:rsidRDefault="00213DCF" w:rsidP="00EC1326">
            <w:pPr>
              <w:pStyle w:val="Table"/>
            </w:pPr>
            <w:r>
              <w:t xml:space="preserve">Adequate </w:t>
            </w:r>
            <w:r w:rsidR="00FF2BBA">
              <w:t>protection</w:t>
            </w:r>
          </w:p>
        </w:tc>
      </w:tr>
      <w:tr w:rsidR="00FF2BBA" w14:paraId="2C0D4BEA" w14:textId="77777777" w:rsidTr="00FF2BBA">
        <w:tc>
          <w:tcPr>
            <w:tcW w:w="2254" w:type="dxa"/>
          </w:tcPr>
          <w:p w14:paraId="34025686" w14:textId="77777777" w:rsidR="00FF2BBA" w:rsidRDefault="00AC4127" w:rsidP="000D14A2">
            <w:pPr>
              <w:pStyle w:val="Table"/>
              <w:jc w:val="left"/>
              <w:rPr>
                <w:rFonts w:eastAsiaTheme="minorEastAsia"/>
              </w:rPr>
            </w:pPr>
            <w:r>
              <w:rPr>
                <w:rFonts w:eastAsiaTheme="minorEastAsia"/>
              </w:rPr>
              <w:t>z</w:t>
            </w:r>
            <w:r>
              <w:rPr>
                <w:rFonts w:eastAsiaTheme="minorEastAsia"/>
                <w:vertAlign w:val="subscript"/>
              </w:rPr>
              <w:t>2</w:t>
            </w:r>
          </w:p>
        </w:tc>
        <w:tc>
          <w:tcPr>
            <w:tcW w:w="2254" w:type="dxa"/>
          </w:tcPr>
          <w:p w14:paraId="58BE2A32" w14:textId="77777777" w:rsidR="00FF2BBA" w:rsidRDefault="00FF2BBA" w:rsidP="000D14A2">
            <w:pPr>
              <w:pStyle w:val="Table"/>
              <w:jc w:val="left"/>
            </w:pPr>
            <w:r>
              <w:t>Equipment quality</w:t>
            </w:r>
          </w:p>
        </w:tc>
        <w:tc>
          <w:tcPr>
            <w:tcW w:w="2254" w:type="dxa"/>
          </w:tcPr>
          <w:p w14:paraId="1265A000" w14:textId="77777777" w:rsidR="00FF2BBA" w:rsidRDefault="00213DCF" w:rsidP="00213DCF">
            <w:pPr>
              <w:pStyle w:val="Table"/>
            </w:pPr>
            <w:r>
              <w:t xml:space="preserve">Poor </w:t>
            </w:r>
            <w:r w:rsidR="00FF2BBA">
              <w:t xml:space="preserve">quality </w:t>
            </w:r>
          </w:p>
        </w:tc>
        <w:tc>
          <w:tcPr>
            <w:tcW w:w="2254" w:type="dxa"/>
          </w:tcPr>
          <w:p w14:paraId="5FB7DFB0" w14:textId="77777777" w:rsidR="00FF2BBA" w:rsidRDefault="00FF2BBA" w:rsidP="00EC1326">
            <w:pPr>
              <w:pStyle w:val="Table"/>
            </w:pPr>
            <w:r>
              <w:t>Good quality</w:t>
            </w:r>
          </w:p>
        </w:tc>
      </w:tr>
    </w:tbl>
    <w:p w14:paraId="152615D8" w14:textId="77777777" w:rsidR="007C6FAF" w:rsidRDefault="007C6FAF" w:rsidP="009270F7"/>
    <w:p w14:paraId="7120BE08" w14:textId="357564A6" w:rsidR="00ED2AAB" w:rsidRDefault="00FF2BBA" w:rsidP="009270F7">
      <w:r>
        <w:t xml:space="preserve">In order to obtain baseline failure rates value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t xml:space="preserve">, </w:t>
      </w:r>
      <w:r w:rsidR="00AF156A">
        <w:t xml:space="preserve">a </w:t>
      </w:r>
      <w:r w:rsidR="00230F0C">
        <w:t xml:space="preserve">PFD </w:t>
      </w:r>
      <w:r>
        <w:t>data repository</w:t>
      </w:r>
      <w:r w:rsidR="00AF156A">
        <w:t xml:space="preserve"> for the considered barrier is needed (</w:t>
      </w:r>
      <w:r>
        <w:fldChar w:fldCharType="begin" w:fldLock="1"/>
      </w:r>
      <w:r w:rsidR="00131B8A">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"manualFormatting" : "Landucci et al. 2015)", "plainTextFormattedCitation" : "(Landucci et al., 2015)", "previouslyFormattedCitation" : "(Landucci et al., 2015)" }, "properties" : {  }, "schema" : "https://github.com/citation-style-language/schema/raw/master/csl-citation.json" }</w:instrText>
      </w:r>
      <w:r>
        <w:fldChar w:fldCharType="separate"/>
      </w:r>
      <w:r>
        <w:rPr>
          <w:noProof/>
        </w:rPr>
        <w:t xml:space="preserve">Landucci et al. </w:t>
      </w:r>
      <w:r w:rsidRPr="00FF2BBA">
        <w:rPr>
          <w:noProof/>
        </w:rPr>
        <w:t>2015)</w:t>
      </w:r>
      <w:r>
        <w:fldChar w:fldCharType="end"/>
      </w:r>
      <w:r>
        <w:t xml:space="preserve">. </w:t>
      </w:r>
      <w:r w:rsidR="00230F0C">
        <w:t>An equivalent failure rate was derived by applying the base relationship for the estimation of tested component unavailability</w:t>
      </w:r>
      <w:r w:rsidR="007906B5">
        <w:t xml:space="preserve"> (</w:t>
      </w:r>
      <w:r w:rsidR="007906B5" w:rsidRPr="007906B5">
        <w:rPr>
          <w:color w:val="FF0000"/>
        </w:rPr>
        <w:t>Lees, 1996</w:t>
      </w:r>
      <w:r w:rsidR="007906B5">
        <w:t>)</w:t>
      </w:r>
      <w:r w:rsidR="00230F0C">
        <w:t xml:space="preserve"> to </w:t>
      </w:r>
      <m:oMath>
        <m:sSub>
          <m:sSubPr>
            <m:ctrlPr>
              <w:rPr>
                <w:rFonts w:ascii="Cambria Math" w:hAnsi="Cambria Math"/>
                <w:i/>
              </w:rPr>
            </m:ctrlPr>
          </m:sSubPr>
          <m:e>
            <m:r>
              <w:rPr>
                <w:rFonts w:ascii="Cambria Math" w:hAnsi="Cambria Math"/>
              </w:rPr>
              <m:t>PFD</m:t>
            </m:r>
          </m:e>
          <m:sub>
            <m:r>
              <w:rPr>
                <w:rFonts w:ascii="Cambria Math" w:hAnsi="Cambria Math"/>
              </w:rPr>
              <m:t>0</m:t>
            </m:r>
          </m:sub>
        </m:sSub>
      </m:oMath>
      <w:r w:rsidR="00230F0C">
        <w:t xml:space="preserve">. The baseline failure rate is then: </w:t>
      </w:r>
    </w:p>
    <w:p w14:paraId="10272C73" w14:textId="77777777" w:rsidR="0008665E" w:rsidRDefault="0008665E" w:rsidP="009270F7"/>
    <w:p w14:paraId="49E0EED9" w14:textId="77777777" w:rsidR="0008665E" w:rsidRDefault="0008665E" w:rsidP="009270F7">
      <w:pPr>
        <w:rPr>
          <w:rFonts w:eastAsiaTheme="minorEastAsia"/>
        </w:rPr>
      </w:pPr>
      <m:oMath>
        <m:r>
          <w:rPr>
            <w:rFonts w:ascii="Cambria Math" w:hAnsi="Cambria Math"/>
          </w:rPr>
          <m:t>PFD</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λθ</m:t>
        </m:r>
        <m:r>
          <m:rPr>
            <m:sty m:val="p"/>
          </m:rPr>
          <w:rPr>
            <w:rFonts w:ascii="Cambria Math" w:hAnsi="Cambria Math"/>
          </w:rPr>
          <m:t xml:space="preserve">→ </m:t>
        </m:r>
        <m:sSub>
          <m:sSubPr>
            <m:ctrlPr>
              <w:rPr>
                <w:rFonts w:ascii="Cambria Math" w:hAnsi="Cambria Math"/>
              </w:rPr>
            </m:ctrlPr>
          </m:sSubPr>
          <m:e>
            <m:r>
              <w:rPr>
                <w:rFonts w:ascii="Cambria Math" w:hAnsi="Cambria Math"/>
              </w:rPr>
              <m:t>λ</m:t>
            </m:r>
          </m:e>
          <m:sub>
            <m:r>
              <m:rPr>
                <m:sty m:val="p"/>
              </m:rPr>
              <w:rPr>
                <w:rFonts w:ascii="Cambria Math" w:hAnsi="Cambria Math"/>
              </w:rPr>
              <m:t>0</m:t>
            </m:r>
          </m:sub>
        </m:sSub>
        <m:r>
          <m:rPr>
            <m:sty m:val="p"/>
          </m:rP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PFD</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θ</m:t>
                </m:r>
              </m:e>
              <m:sub>
                <m:r>
                  <m:rPr>
                    <m:sty m:val="p"/>
                  </m:rPr>
                  <w:rPr>
                    <w:rFonts w:ascii="Cambria Math" w:hAnsi="Cambria Math"/>
                  </w:rPr>
                  <m:t>0</m:t>
                </m:r>
              </m:sub>
            </m:sSub>
          </m:den>
        </m:f>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sidR="003348B8">
        <w:rPr>
          <w:rFonts w:eastAsiaTheme="minorEastAsia"/>
        </w:rPr>
        <w:tab/>
      </w:r>
      <w:r>
        <w:rPr>
          <w:rFonts w:eastAsiaTheme="minorEastAsia"/>
        </w:rPr>
        <w:tab/>
      </w:r>
      <w:r w:rsidR="004C65C2">
        <w:rPr>
          <w:rFonts w:eastAsiaTheme="minorEastAsia"/>
        </w:rPr>
        <w:tab/>
      </w:r>
      <w:r w:rsidR="004C65C2">
        <w:rPr>
          <w:rFonts w:eastAsiaTheme="minorEastAsia"/>
        </w:rPr>
        <w:tab/>
      </w:r>
      <w:r w:rsidR="004C65C2">
        <w:rPr>
          <w:rFonts w:eastAsiaTheme="minorEastAsia"/>
        </w:rPr>
        <w:tab/>
      </w:r>
      <w:r>
        <w:rPr>
          <w:rFonts w:eastAsiaTheme="minorEastAsia"/>
        </w:rPr>
        <w:t xml:space="preserve">(4) </w:t>
      </w:r>
    </w:p>
    <w:p w14:paraId="5537E814" w14:textId="77777777" w:rsidR="0008665E" w:rsidRDefault="0008665E" w:rsidP="009270F7"/>
    <w:p w14:paraId="5CCF1AA9" w14:textId="77777777" w:rsidR="00230F0C" w:rsidRDefault="00D85B01" w:rsidP="009270F7">
      <w:r>
        <w:t>w</w:t>
      </w:r>
      <w:r w:rsidR="00230F0C">
        <w:t xml:space="preserve">here </w:t>
      </w:r>
      <m:oMath>
        <m:sSub>
          <m:sSubPr>
            <m:ctrlPr>
              <w:rPr>
                <w:rFonts w:ascii="Cambria Math" w:hAnsi="Cambria Math"/>
                <w:i/>
              </w:rPr>
            </m:ctrlPr>
          </m:sSubPr>
          <m:e>
            <m:r>
              <w:rPr>
                <w:rFonts w:ascii="Cambria Math" w:hAnsi="Cambria Math"/>
              </w:rPr>
              <m:t>θ</m:t>
            </m:r>
          </m:e>
          <m:sub>
            <m:r>
              <w:rPr>
                <w:rFonts w:ascii="Cambria Math" w:hAnsi="Cambria Math"/>
              </w:rPr>
              <m:t>0</m:t>
            </m:r>
          </m:sub>
        </m:sSub>
      </m:oMath>
      <w:r w:rsidR="00230F0C">
        <w:t xml:space="preserve"> is the baseline test interval, assumed equal to 1 year (8760 hours) for industrial facility located in normal environment. </w:t>
      </w:r>
      <w:r w:rsidR="00C66A96">
        <w:t xml:space="preserve">Eq. (1) is then applied to calculate the modified failure rate </w:t>
      </w:r>
      <m:oMath>
        <m:r>
          <w:rPr>
            <w:rFonts w:ascii="Cambria Math" w:hAnsi="Cambria Math"/>
          </w:rPr>
          <m:t>λ</m:t>
        </m:r>
        <m:d>
          <m:dPr>
            <m:ctrlPr>
              <w:rPr>
                <w:rFonts w:ascii="Cambria Math" w:hAnsi="Cambria Math"/>
                <w:i/>
              </w:rPr>
            </m:ctrlPr>
          </m:dPr>
          <m:e>
            <m:r>
              <w:rPr>
                <w:rFonts w:ascii="Cambria Math" w:hAnsi="Cambria Math"/>
              </w:rPr>
              <m:t>z</m:t>
            </m:r>
          </m:e>
        </m:d>
      </m:oMath>
      <w:r w:rsidR="00C66A96">
        <w:t xml:space="preserve"> and then the </w:t>
      </w:r>
      <w:r w:rsidR="00C66A96">
        <w:lastRenderedPageBreak/>
        <w:t>PFD in harsh environment may be calculated according to the previous Eq. (</w:t>
      </w:r>
      <w:r w:rsidR="0008665E">
        <w:t>4</w:t>
      </w:r>
      <w:r w:rsidR="00C66A96">
        <w:t xml:space="preserve">). In this case, a modified test interval </w:t>
      </w:r>
      <m:oMath>
        <m:r>
          <w:rPr>
            <w:rFonts w:ascii="Cambria Math" w:hAnsi="Cambria Math"/>
          </w:rPr>
          <m:t>θ</m:t>
        </m:r>
      </m:oMath>
      <w:r w:rsidR="00C66A96">
        <w:t xml:space="preserve"> is considered in order to take into account of delays in maintenance operations, less frequent </w:t>
      </w:r>
      <w:r w:rsidR="004C65C2">
        <w:t>shutdowns</w:t>
      </w:r>
      <w:r w:rsidR="00C66A96">
        <w:t xml:space="preserve"> due to difficulties in accessing the area or difficulties in performing tests that harsh environment may involve. Such problems are accounted by an increase of test interval based on the information gathered for the facility under analysis. </w:t>
      </w:r>
      <w:r w:rsidR="0027472E">
        <w:t xml:space="preserve">The test interval is set as 10000 h in harsh environmental conditions. </w:t>
      </w:r>
    </w:p>
    <w:p w14:paraId="103EA59B" w14:textId="77777777" w:rsidR="00D7284B" w:rsidRPr="00CD27E6" w:rsidRDefault="00D85B01" w:rsidP="00FD453E">
      <w:r w:rsidRPr="000D14A2">
        <w:t>In the present work it is assumed that cold environment does not affect the effectiveness of active barriers, once activated (see (Landucci et al., 2017) for</w:t>
      </w:r>
      <w:r w:rsidR="00336EB7">
        <w:t xml:space="preserve"> more details). </w:t>
      </w:r>
      <w:r w:rsidR="00BF67B5">
        <w:t>T</w:t>
      </w:r>
      <w:r w:rsidR="00BF67B5" w:rsidRPr="000D14A2">
        <w:t>herefore,</w:t>
      </w:r>
      <w:r w:rsidRPr="000D14A2">
        <w:t xml:space="preserve"> t</w:t>
      </w:r>
      <w:r w:rsidR="003605F5" w:rsidRPr="00D85B01">
        <w:t>he effectiveness associated with the active safety barriers listed in Table 1 may be considered as in the case of normal environment</w:t>
      </w:r>
      <w:r w:rsidR="00A90FA9" w:rsidRPr="00D85B01">
        <w:t xml:space="preserve"> (</w:t>
      </w:r>
      <w:r w:rsidR="003605F5" w:rsidRPr="00D85B01">
        <w:t>Landucci et al. 2015).</w:t>
      </w:r>
      <w:r w:rsidR="003605F5" w:rsidRPr="00CD27E6">
        <w:t xml:space="preserve"> </w:t>
      </w:r>
    </w:p>
    <w:p w14:paraId="4E63E77A" w14:textId="77777777" w:rsidR="007C6FAF" w:rsidRDefault="00A868F0" w:rsidP="009270F7">
      <w:r>
        <w:t xml:space="preserve">The </w:t>
      </w:r>
      <w:r w:rsidR="003605F5" w:rsidRPr="00CD27E6">
        <w:t>effectiveness</w:t>
      </w:r>
      <w:r>
        <w:t xml:space="preserve"> of the Water Deluge System (</w:t>
      </w:r>
      <w:r w:rsidRPr="00CD27E6">
        <w:t>WDS</w:t>
      </w:r>
      <w:r w:rsidR="00D411CA">
        <w:t>01</w:t>
      </w:r>
      <w:r>
        <w:t>)</w:t>
      </w:r>
      <w:r w:rsidR="003605F5" w:rsidRPr="00CD27E6">
        <w:t xml:space="preserve"> is determined based on the outcomes of experimental studies </w:t>
      </w:r>
      <w:r w:rsidR="003605F5" w:rsidRPr="00CD27E6">
        <w:fldChar w:fldCharType="begin" w:fldLock="1"/>
      </w:r>
      <w:r w:rsidR="00131B8A">
        <w:instrText>ADDIN CSL_CITATION { "citationItems" : [ { "id" : "ITEM-1", "itemData" : { "author" : [ { "dropping-particle" : "", "family" : "Shirvill", "given" : "LC", "non-dropping-particle" : "", "parse-names" : false, "suffix" : "" } ], "container-title" : "Journal of Loss Prevention in the Process Industries", "id" : "ITEM-1", "issued" : { "date-parts" : [ [ "2004" ] ] }, "page" : "111-118", "title" : "Efficacy of water spray protection against propane and butane jet fires impinging on LPG storage tanks", "type" : "article-journal", "volume" : "17" }, "uris" : [ "http://www.mendeley.com/documents/?uuid=53a2210b-55e7-4ff7-ad6c-6c75f74510d2", "http://www.mendeley.com/documents/?uuid=78e502df-5ebe-462a-8ebb-e8f81e2179f6", "http://www.mendeley.com/documents/?uuid=ae3c111c-ba1b-4d6c-9aea-ec3060680630" ] }, { "id" : "ITEM-2", "itemData" : { "author" : [ { "dropping-particle" : "", "family" : "Roberts", "given" : "TA", "non-dropping-particle" : "", "parse-names" : false, "suffix" : "" } ], "container-title" : "Journal of Loss Prevention in the Process Industries", "id" : "ITEM-2", "issued" : { "date-parts" : [ [ "2004" ] ] }, "page" : "103-109", "title" : "Directed deluge system designs and determination of the effectiveness of the currently recommended minimum deluge rate for the protection of LPG tanks", "type" : "article-journal", "volume" : "17" }, "uris" : [ "http://www.mendeley.com/documents/?uuid=bde192ac-7fbb-4f86-b69c-fccf644721cf", "http://www.mendeley.com/documents/?uuid=e4055421-e66c-4220-806d-4d618c101785", "http://www.mendeley.com/documents/?uuid=9a0b388c-cdb3-462f-bc71-ccb9806584fa" ] }, { "id" : "ITEM-3", "itemData" : { "author" : [ { "dropping-particle" : "", "family" : "Roberts", "given" : "TA", "non-dropping-particle" : "", "parse-names" : false, "suffix" : "" } ], "container-title" : "Journal of Loss Prevention in the Process Industries", "id" : "ITEM-3", "issued" : { "date-parts" : [ [ "2004" ] ] }, "page" : "151-158", "title" : "Effectiveness of an enhanced deluge system to protect LPG tanks and sensitivity to blocked nozzles and delayed deluge initiation", "type" : "article-journal", "volume" : "17" }, "uris" : [ "http://www.mendeley.com/documents/?uuid=bce09ff5-f6e4-4c12-82a2-4bc804552d94", "http://www.mendeley.com/documents/?uuid=28b09d55-2b11-40b6-95e7-afe23a447a69", "http://www.mendeley.com/documents/?uuid=e090fdc8-5cbb-4d6f-8219-ea2daf108145" ] }, { "id" : "ITEM-4", "itemData" : { "author" : [ { "dropping-particle" : "", "family" : "Hankinson", "given" : "G", "non-dropping-particle" : "", "parse-names" : false, "suffix" : "" }, { "dropping-particle" : "", "family" : "Lowesmith", "given" : "B J", "non-dropping-particle" : "", "parse-names" : false, "suffix" : "" } ], "container-title" : "Journal of Loss Prevention in the Process Industries", "id" : "ITEM-4", "issued" : { "date-parts" : [ [ "2004" ] ] }, "page" : "119-125", "title" : "Effectiveness of area and dedicated water deluge in protecting objects impacted by crude oil/gas jet fires on offshore installations", "type" : "article-journal", "volume" : "17" }, "uris" : [ "http://www.mendeley.com/documents/?uuid=c8c70a4f-dd24-413e-8f1f-de2d1472a328", "http://www.mendeley.com/documents/?uuid=d9d33057-bfcc-4c59-87e9-d16327dc3539", "http://www.mendeley.com/documents/?uuid=e0f82b6d-29d2-4739-811b-a990f9d1c35a" ] } ], "mendeley" : { "formattedCitation" : "(Hankinson and Lowesmith, 2004; Roberts, 2004a, 2004b; Shirvill, 2004)", "plainTextFormattedCitation" : "(Hankinson and Lowesmith, 2004; Roberts, 2004a, 2004b; Shirvill, 2004)", "previouslyFormattedCitation" : "(Hankinson and Lowesmith, 2004; Roberts, 2004a, 2004b; Shirvill, 2004)" }, "properties" : {  }, "schema" : "https://github.com/citation-style-language/schema/raw/master/csl-citation.json" }</w:instrText>
      </w:r>
      <w:r w:rsidR="003605F5" w:rsidRPr="00CD27E6">
        <w:fldChar w:fldCharType="separate"/>
      </w:r>
      <w:r w:rsidR="003605F5" w:rsidRPr="00CD27E6">
        <w:rPr>
          <w:noProof/>
        </w:rPr>
        <w:t>(Hankinson and Lowesmith, 2004; Roberts, 2004a, 2004b; Shirvill, 2004)</w:t>
      </w:r>
      <w:r w:rsidR="003605F5" w:rsidRPr="00CD27E6">
        <w:fldChar w:fldCharType="end"/>
      </w:r>
      <w:r w:rsidR="003605F5" w:rsidRPr="00CD27E6">
        <w:t xml:space="preserve"> on pressurized vessels engulfed by fire, in which the reduction in the incident thermal radiation due to WDS was evaluated. These studies allowed defining </w:t>
      </w:r>
      <w:r w:rsidR="00B816A5" w:rsidRPr="00CD27E6">
        <w:t xml:space="preserve">a numerical parameter, namely intensity reduction factor </w:t>
      </w:r>
      <w:r w:rsidR="00B816A5" w:rsidRPr="00CD27E6">
        <w:rPr>
          <w:rFonts w:ascii="Calibri" w:hAnsi="Calibri" w:cs="Calibri"/>
        </w:rPr>
        <w:t>ϕ</w:t>
      </w:r>
      <w:r w:rsidR="00B816A5" w:rsidRPr="00CD27E6">
        <w:t>, in order to quantify the WDS effectiveness</w:t>
      </w:r>
      <w:r w:rsidR="003605F5" w:rsidRPr="00CD27E6">
        <w:t xml:space="preserve">; </w:t>
      </w:r>
      <w:r w:rsidR="00B816A5" w:rsidRPr="00CD27E6">
        <w:rPr>
          <w:rFonts w:ascii="Calibri" w:hAnsi="Calibri" w:cs="Calibri"/>
        </w:rPr>
        <w:t>ϕ</w:t>
      </w:r>
      <w:r w:rsidR="00B816A5" w:rsidRPr="00CD27E6">
        <w:t xml:space="preserve"> represents the reduction in heat load </w:t>
      </w:r>
      <m:oMath>
        <m:sSub>
          <m:sSubPr>
            <m:ctrlPr>
              <w:rPr>
                <w:rFonts w:ascii="Cambria Math" w:hAnsi="Cambria Math"/>
                <w:i/>
              </w:rPr>
            </m:ctrlPr>
          </m:sSubPr>
          <m:e>
            <m:r>
              <w:rPr>
                <w:rFonts w:ascii="Cambria Math" w:hAnsi="Cambria Math"/>
              </w:rPr>
              <m:t>Q</m:t>
            </m:r>
          </m:e>
          <m:sub>
            <m:r>
              <w:rPr>
                <w:rFonts w:ascii="Cambria Math" w:hAnsi="Cambria Math"/>
              </w:rPr>
              <m:t>HL</m:t>
            </m:r>
          </m:sub>
        </m:sSub>
      </m:oMath>
      <w:r w:rsidR="00B816A5" w:rsidRPr="00CD27E6">
        <w:t xml:space="preserve"> due to the presence of the activated WDS. </w:t>
      </w:r>
      <w:r w:rsidR="00912261" w:rsidRPr="00CD27E6">
        <w:t>Based on</w:t>
      </w:r>
      <w:r w:rsidR="00B816A5" w:rsidRPr="00CD27E6">
        <w:t xml:space="preserve"> the numerical results of the experimental studies, </w:t>
      </w:r>
      <w:r w:rsidR="00B816A5" w:rsidRPr="00CD27E6">
        <w:rPr>
          <w:rFonts w:ascii="Calibri" w:hAnsi="Calibri" w:cs="Calibri"/>
        </w:rPr>
        <w:t>ϕ</w:t>
      </w:r>
      <w:r w:rsidR="00B816A5" w:rsidRPr="00CD27E6">
        <w:t xml:space="preserve"> has been selected as 0.50. The heat load </w:t>
      </w:r>
      <m:oMath>
        <m:sSub>
          <m:sSubPr>
            <m:ctrlPr>
              <w:rPr>
                <w:rFonts w:ascii="Cambria Math" w:hAnsi="Cambria Math"/>
                <w:i/>
              </w:rPr>
            </m:ctrlPr>
          </m:sSubPr>
          <m:e>
            <m:r>
              <w:rPr>
                <w:rFonts w:ascii="Cambria Math" w:hAnsi="Cambria Math"/>
              </w:rPr>
              <m:t>Q</m:t>
            </m:r>
          </m:e>
          <m:sub>
            <m:r>
              <w:rPr>
                <w:rFonts w:ascii="Cambria Math" w:hAnsi="Cambria Math"/>
              </w:rPr>
              <m:t>WDS</m:t>
            </m:r>
          </m:sub>
        </m:sSub>
      </m:oMath>
      <w:r w:rsidR="00B816A5" w:rsidRPr="00CD27E6">
        <w:t xml:space="preserve"> in case of available WDS</w:t>
      </w:r>
      <w:r w:rsidR="00912261">
        <w:t xml:space="preserve"> indicates WDS performance and</w:t>
      </w:r>
      <w:r w:rsidR="00B816A5" w:rsidRPr="00CD27E6">
        <w:t xml:space="preserve"> is obtained as: </w:t>
      </w:r>
    </w:p>
    <w:p w14:paraId="69B407B0" w14:textId="77777777" w:rsidR="002A6D01" w:rsidRDefault="002A6D01" w:rsidP="009270F7"/>
    <w:p w14:paraId="3A97D902" w14:textId="77777777" w:rsidR="003348B8" w:rsidRDefault="00FC2205" w:rsidP="009270F7">
      <m:oMath>
        <m:sSub>
          <m:sSubPr>
            <m:ctrlPr>
              <w:rPr>
                <w:rFonts w:ascii="Cambria Math" w:hAnsi="Cambria Math"/>
              </w:rPr>
            </m:ctrlPr>
          </m:sSubPr>
          <m:e>
            <m:r>
              <w:rPr>
                <w:rFonts w:ascii="Cambria Math" w:hAnsi="Cambria Math"/>
              </w:rPr>
              <m:t>Q</m:t>
            </m:r>
          </m:e>
          <m:sub>
            <m:r>
              <w:rPr>
                <w:rFonts w:ascii="Cambria Math" w:hAnsi="Cambria Math"/>
              </w:rPr>
              <m:t>WDS</m:t>
            </m:r>
          </m:sub>
        </m:sSub>
        <m:r>
          <m:rPr>
            <m:sty m:val="p"/>
          </m:rPr>
          <w:rPr>
            <w:rFonts w:ascii="Cambria Math" w:hAnsi="Cambria Math"/>
          </w:rPr>
          <m:t>=</m:t>
        </m:r>
        <m:r>
          <w:rPr>
            <w:rFonts w:ascii="Cambria Math" w:hAnsi="Cambria Math"/>
          </w:rPr>
          <m:t>φ</m:t>
        </m:r>
        <m:sSub>
          <m:sSubPr>
            <m:ctrlPr>
              <w:rPr>
                <w:rFonts w:ascii="Cambria Math" w:hAnsi="Cambria Math"/>
              </w:rPr>
            </m:ctrlPr>
          </m:sSubPr>
          <m:e>
            <m:r>
              <w:rPr>
                <w:rFonts w:ascii="Cambria Math" w:hAnsi="Cambria Math"/>
              </w:rPr>
              <m:t>Q</m:t>
            </m:r>
          </m:e>
          <m:sub>
            <m:r>
              <w:rPr>
                <w:rFonts w:ascii="Cambria Math" w:hAnsi="Cambria Math"/>
              </w:rPr>
              <m:t>HL</m:t>
            </m:r>
          </m:sub>
        </m:sSub>
      </m:oMath>
      <w:r w:rsidR="003348B8">
        <w:t xml:space="preserve">  </w:t>
      </w:r>
      <w:r w:rsidR="003348B8">
        <w:tab/>
      </w:r>
      <w:r w:rsidR="003348B8">
        <w:tab/>
      </w:r>
      <w:r w:rsidR="003348B8">
        <w:tab/>
      </w:r>
      <w:r w:rsidR="003348B8">
        <w:tab/>
      </w:r>
      <w:r w:rsidR="003348B8">
        <w:tab/>
      </w:r>
      <w:r w:rsidR="003348B8">
        <w:tab/>
      </w:r>
      <w:r w:rsidR="003348B8">
        <w:tab/>
      </w:r>
      <w:r w:rsidR="003348B8">
        <w:tab/>
      </w:r>
      <w:r w:rsidR="004C65C2">
        <w:tab/>
      </w:r>
      <w:r w:rsidR="004C65C2">
        <w:tab/>
      </w:r>
      <w:r w:rsidR="003348B8">
        <w:t xml:space="preserve">(5) </w:t>
      </w:r>
    </w:p>
    <w:p w14:paraId="6E6CF50B" w14:textId="77777777" w:rsidR="003348B8" w:rsidRPr="00CD27E6" w:rsidRDefault="003348B8" w:rsidP="009270F7"/>
    <w:p w14:paraId="6501A699" w14:textId="77777777" w:rsidR="00B816A5" w:rsidRPr="00CD27E6" w:rsidRDefault="00912261" w:rsidP="009270F7">
      <w:r>
        <w:t>The Emergency Shut Down (</w:t>
      </w:r>
      <w:r w:rsidR="003605F5" w:rsidRPr="00CD27E6">
        <w:t>ESD</w:t>
      </w:r>
      <w:r>
        <w:t>)</w:t>
      </w:r>
      <w:r w:rsidR="005022ED" w:rsidRPr="00CD27E6">
        <w:t xml:space="preserve"> system is activated to stop the leakage that feeds the primary fire scenario. The effectiveness of the ESD is related to the maximum response time of the system. </w:t>
      </w:r>
      <w:r w:rsidR="00F712D5" w:rsidRPr="00CD27E6">
        <w:t>In case of successful activation, it is assumed that the ESD system isolate the leak within 3 minutes with unitary effectiveness</w:t>
      </w:r>
      <w:r w:rsidR="001C272E" w:rsidRPr="00CD27E6">
        <w:t xml:space="preserve"> (Landucci et al., 2015)</w:t>
      </w:r>
      <w:r w:rsidR="00F712D5" w:rsidRPr="00CD27E6">
        <w:t xml:space="preserve">. </w:t>
      </w:r>
    </w:p>
    <w:p w14:paraId="0B612250" w14:textId="77777777" w:rsidR="00F712D5" w:rsidRDefault="00D76A01" w:rsidP="009270F7">
      <w:r w:rsidRPr="00CD27E6">
        <w:t xml:space="preserve">Passive safety protections include Pressure Safety Valve (PSV) and Fireproofing Coatings. </w:t>
      </w:r>
      <w:r w:rsidR="00A76DBA" w:rsidRPr="00CD27E6">
        <w:t xml:space="preserve">The presence of the PSV alone is proved </w:t>
      </w:r>
      <w:r w:rsidR="00A76DBA" w:rsidRPr="00CD27E6">
        <w:fldChar w:fldCharType="begin" w:fldLock="1"/>
      </w:r>
      <w:r w:rsidR="00131B8A">
        <w:instrText>ADDIN CSL_CITATION { "citationItems" : [ { "id" : "ITEM-1", "itemData" : { "author" : [ { "dropping-particle" : "", "family" : "Birk", "given" : "A M", "non-dropping-particle" : "", "parse-names" : false, "suffix" : "" } ], "id" : "ITEM-1", "issued" : { "date-parts" : [ [ "2006" ] ] }, "publisher-place" : "Ottawa, Canada", "title" : "Fire testing and computer modelling of rail tank-cars engulfed in fires: literature review", "type" : "report" }, "uris" : [ "http://www.mendeley.com/documents/?uuid=9f755e38-269a-469c-8057-886bb5deddd6", "http://www.mendeley.com/documents/?uuid=8a3e810f-debe-4735-acf6-e473c562a8bb", "http://www.mendeley.com/documents/?uuid=2c99c61c-16c6-49b7-bfa9-9a60f1e0132b" ] } ], "mendeley" : { "formattedCitation" : "(Birk, 2006)", "plainTextFormattedCitation" : "(Birk, 2006)", "previouslyFormattedCitation" : "(Birk, 2006)" }, "properties" : {  }, "schema" : "https://github.com/citation-style-language/schema/raw/master/csl-citation.json" }</w:instrText>
      </w:r>
      <w:r w:rsidR="00A76DBA" w:rsidRPr="00CD27E6">
        <w:fldChar w:fldCharType="separate"/>
      </w:r>
      <w:r w:rsidR="00A76DBA" w:rsidRPr="00CD27E6">
        <w:rPr>
          <w:noProof/>
        </w:rPr>
        <w:t>(Birk, 2006)</w:t>
      </w:r>
      <w:r w:rsidR="00A76DBA" w:rsidRPr="00CD27E6">
        <w:fldChar w:fldCharType="end"/>
      </w:r>
      <w:r w:rsidR="00A76DBA" w:rsidRPr="00CD27E6">
        <w:t xml:space="preserve"> not to be sufficient to</w:t>
      </w:r>
      <w:r w:rsidR="00A76DBA">
        <w:t xml:space="preserve"> significantly delay the time to failure (TTF) of the target equipment. In this case, the effectiveness is considered as unitary but the TTF is evaluated using the unprotected vessel correlation. </w:t>
      </w:r>
    </w:p>
    <w:p w14:paraId="286E0BAA" w14:textId="77777777" w:rsidR="00A76DBA" w:rsidRPr="00D222CE" w:rsidRDefault="00A76DBA" w:rsidP="009270F7">
      <w:r>
        <w:t>Fireproofing coating</w:t>
      </w:r>
      <w:r w:rsidR="00570F20">
        <w:t>s</w:t>
      </w:r>
      <w:r>
        <w:t xml:space="preserve"> are able to </w:t>
      </w:r>
      <w:r w:rsidR="00D222CE">
        <w:t>delay the vessel failure. In case of availability of this protection a unitary effectiveness is assumed in this framework. The TTF of the unprotected target equipment is added by a further term, namely TTF</w:t>
      </w:r>
      <w:r w:rsidR="00D222CE">
        <w:rPr>
          <w:vertAlign w:val="subscript"/>
        </w:rPr>
        <w:t>C</w:t>
      </w:r>
      <w:r w:rsidR="00D222CE">
        <w:t>, representing the delay action of the coating. TTF</w:t>
      </w:r>
      <w:r w:rsidR="00D222CE">
        <w:rPr>
          <w:vertAlign w:val="subscript"/>
        </w:rPr>
        <w:t>C</w:t>
      </w:r>
      <w:r w:rsidR="00D222CE">
        <w:t xml:space="preserve"> is evaluated according to a simplified approach: if high performance materials designed to specifically withstand severe fire conditions are adopted (intumescent, vermiculite spray, fibrous mineral wool), the TTF</w:t>
      </w:r>
      <w:r w:rsidR="00D222CE">
        <w:rPr>
          <w:vertAlign w:val="subscript"/>
        </w:rPr>
        <w:t>C</w:t>
      </w:r>
      <w:r w:rsidR="00D222CE">
        <w:t xml:space="preserve"> is assumed conservatively as 70 minutes; if common insulating materials (glass wool, rock wool) are used </w:t>
      </w:r>
      <w:r w:rsidR="00D222CE">
        <w:lastRenderedPageBreak/>
        <w:t>as protection, the TTF</w:t>
      </w:r>
      <w:r w:rsidR="00D222CE">
        <w:rPr>
          <w:vertAlign w:val="subscript"/>
        </w:rPr>
        <w:t>C</w:t>
      </w:r>
      <w:r w:rsidR="00D222CE">
        <w:t xml:space="preserve"> is set equal to 0 minutes considering inadequate the fireproofing protections in delaying the target failure. </w:t>
      </w:r>
      <w:r w:rsidR="004F307C">
        <w:t xml:space="preserve">Further details are provided in </w:t>
      </w:r>
      <w:r w:rsidR="004F307C" w:rsidRPr="00FA0CD2">
        <w:t>Section 2</w:t>
      </w:r>
      <w:r w:rsidR="004F307C" w:rsidRPr="00CD27E6">
        <w:t>.</w:t>
      </w:r>
      <w:r w:rsidR="00FA0CD2">
        <w:t>5</w:t>
      </w:r>
      <w:r w:rsidR="004F307C" w:rsidRPr="00CD27E6">
        <w:t>.</w:t>
      </w:r>
    </w:p>
    <w:p w14:paraId="20C23FDE" w14:textId="77777777" w:rsidR="00C30DE4" w:rsidRPr="00C30DE4" w:rsidRDefault="00C30DE4" w:rsidP="009270F7"/>
    <w:p w14:paraId="5718E996" w14:textId="77777777" w:rsidR="00C15C3C" w:rsidRDefault="00C15C3C" w:rsidP="009270F7">
      <w:pPr>
        <w:pStyle w:val="Heading2"/>
      </w:pPr>
      <w:r>
        <w:t>2.</w:t>
      </w:r>
      <w:r w:rsidR="00F00CBE">
        <w:t xml:space="preserve">5 </w:t>
      </w:r>
      <w:r>
        <w:t xml:space="preserve">Emergency response performance assessment </w:t>
      </w:r>
    </w:p>
    <w:p w14:paraId="71C5F356" w14:textId="77777777" w:rsidR="007802A1" w:rsidRDefault="007802A1" w:rsidP="009270F7">
      <w:r w:rsidRPr="002B7A7C">
        <w:fldChar w:fldCharType="begin" w:fldLock="1"/>
      </w:r>
      <w:r w:rsidR="00131B8A">
        <w:instrText>ADDIN CSL_CITATION { "citationItems" : [ { "id" : "ITEM-1", "itemData" : { "DOI" : "DOI: 10.1115/OMAE2013-10867", "author" : [ { "dropping-particle" : "", "family" : "Musharraf", "given" : "M.", "non-dropping-particle" : "", "parse-names" : false, "suffix" : "" }, { "dropping-particle" : "", "family" : "Khan", "given" : "Faisal", "non-dropping-particle" : "", "parse-names" : false, "suffix" : "" }, { "dropping-particle" : "", "family" : "Veitch", "given" : "Brian", "non-dropping-particle" : "", "parse-names" : false, "suffix" : "" }, { "dropping-particle" : "", "family" : "Mackinnon", "given" : "Scott", "non-dropping-particle" : "", "parse-names" : false, "suffix" : "" }, { "dropping-particle" : "", "family" : "Imtiaz", "given" : "Syed", "non-dropping-particle" : "", "parse-names" : false, "suffix" : "" } ], "container-title" : "Proceedings of the ASME 2013 32nd International Conference on Ocean, Offshore and Arctic Engineering (OMAE 2013), June 9-14, 2013, Nantes, France", "id" : "ITEM-1", "issued" : { "date-parts" : [ [ "2013" ] ] }, "page" : "1-9", "publisher" : "American Society of Mechanical Engineers", "publisher-place" : "New York, NY", "title" : "Human factor risk assessment during emergency condition in harsh environment", "type" : "paper-conference" }, "uris" : [ "http://www.mendeley.com/documents/?uuid=9774707c-93a5-4c53-bf86-89b6e74c4900" ] } ], "mendeley" : { "formattedCitation" : "(Musharraf et al., 2013)", "manualFormatting" : "Musharraf et al. (2013)", "plainTextFormattedCitation" : "(Musharraf et al., 2013)", "previouslyFormattedCitation" : "(Musharraf et al., 2013)" }, "properties" : {  }, "schema" : "https://github.com/citation-style-language/schema/raw/master/csl-citation.json" }</w:instrText>
      </w:r>
      <w:r w:rsidRPr="002B7A7C">
        <w:fldChar w:fldCharType="separate"/>
      </w:r>
      <w:r w:rsidRPr="002B7A7C">
        <w:rPr>
          <w:noProof/>
        </w:rPr>
        <w:t>Musharraf et al. (2013)</w:t>
      </w:r>
      <w:r w:rsidRPr="002B7A7C">
        <w:fldChar w:fldCharType="end"/>
      </w:r>
      <w:r w:rsidRPr="002B7A7C">
        <w:t xml:space="preserve"> point out how human reliability may be significantly affected by extreme weather causing the increment of PFD of emergency barriers where human interventions are </w:t>
      </w:r>
      <w:r w:rsidR="00963DB8" w:rsidRPr="002B7A7C">
        <w:t>involved</w:t>
      </w:r>
      <w:r w:rsidRPr="002B7A7C">
        <w:t xml:space="preserve"> and </w:t>
      </w:r>
      <w:r w:rsidR="00963DB8" w:rsidRPr="002B7A7C">
        <w:t xml:space="preserve">possible delays in deployment and operations. </w:t>
      </w:r>
    </w:p>
    <w:p w14:paraId="52150DE5" w14:textId="77777777" w:rsidR="002B7A7C" w:rsidRDefault="002B7A7C" w:rsidP="009270F7">
      <w:r>
        <w:t xml:space="preserve">The decrement in the availability </w:t>
      </w:r>
      <w:r w:rsidR="00753924">
        <w:t xml:space="preserve">(increment of PFD) </w:t>
      </w:r>
      <w:r>
        <w:t>of the emergency response in harsh environment</w:t>
      </w:r>
      <w:r w:rsidR="0053469F">
        <w:t xml:space="preserve"> is estimated bas</w:t>
      </w:r>
      <w:r w:rsidR="00CD0AA8">
        <w:t>ed</w:t>
      </w:r>
      <w:r w:rsidR="0053469F">
        <w:t xml:space="preserve"> on the framework proposed in the Success Likelihood Index Methodology (SLIM) method </w:t>
      </w:r>
      <w:r w:rsidR="00ED26D6">
        <w:fldChar w:fldCharType="begin" w:fldLock="1"/>
      </w:r>
      <w:r w:rsidR="00131B8A">
        <w:instrText>ADDIN CSL_CITATION { "citationItems" : [ { "id" : "ITEM-1", "itemData" : { "author" : [ { "dropping-particle" : "", "family" : "Embrey", "given" : "D.E.", "non-dropping-particle" : "", "parse-names" : false, "suffix" : "" } ], "container-title" : "International Journal of Quality and Reliability Management", "id" : "ITEM-1", "issued" : { "date-parts" : [ [ "1986" ] ] }, "page" : "15-12", "title" : "SLIM-MAUD: a computer based technique for human reliability assessment", "type" : "article-journal", "volume" : "3" }, "uris" : [ "http://www.mendeley.com/documents/?uuid=1dc3572a-3e52-42a1-a719-f4b52cfd38d1", "http://www.mendeley.com/documents/?uuid=2d293d47-7e04-4692-abc3-1893e59af57b", "http://www.mendeley.com/documents/?uuid=1bfd7392-010c-4374-82dd-4ce354a11126" ] } ], "mendeley" : { "formattedCitation" : "(Embrey, 1986)", "plainTextFormattedCitation" : "(Embrey, 1986)", "previouslyFormattedCitation" : "(Embrey, 1986)" }, "properties" : {  }, "schema" : "https://github.com/citation-style-language/schema/raw/master/csl-citation.json" }</w:instrText>
      </w:r>
      <w:r w:rsidR="00ED26D6">
        <w:fldChar w:fldCharType="separate"/>
      </w:r>
      <w:r w:rsidR="00ED26D6" w:rsidRPr="00ED26D6">
        <w:rPr>
          <w:noProof/>
        </w:rPr>
        <w:t>(Embrey, 1986)</w:t>
      </w:r>
      <w:r w:rsidR="00ED26D6">
        <w:fldChar w:fldCharType="end"/>
      </w:r>
      <w:r w:rsidR="00ED26D6">
        <w:t xml:space="preserve">. SLIM is a </w:t>
      </w:r>
      <w:r w:rsidR="00502C69">
        <w:t xml:space="preserve">technique used for assessing human error probability in the framework of tasks based on procedures. </w:t>
      </w:r>
      <w:r w:rsidR="00934658">
        <w:t>A set of Performance Shaping Factors</w:t>
      </w:r>
      <w:r w:rsidR="00CD0AA8">
        <w:t xml:space="preserve"> (PSF) is defined for each task, </w:t>
      </w:r>
      <w:r w:rsidR="00934658">
        <w:t xml:space="preserve">and for each </w:t>
      </w:r>
      <w:r w:rsidR="00CD0AA8">
        <w:t>PSF</w:t>
      </w:r>
      <w:r w:rsidR="00934658">
        <w:t xml:space="preserve"> the assessor is requested to assign a weight. The combination of PSFs is </w:t>
      </w:r>
      <w:r w:rsidR="00E03DFF">
        <w:t xml:space="preserve">defined </w:t>
      </w:r>
      <w:r w:rsidR="00934658">
        <w:t xml:space="preserve">as </w:t>
      </w:r>
      <w:r w:rsidR="000E1498">
        <w:t>Success Likelihood Index (SLI), ranging from zero to one. SLI approaching one represents a situation close to the idea</w:t>
      </w:r>
      <w:r w:rsidR="00E03DFF">
        <w:t>l</w:t>
      </w:r>
      <w:r w:rsidR="000E1498">
        <w:t xml:space="preserve"> conditions in performing the task. SLI is converted </w:t>
      </w:r>
      <w:r w:rsidR="00E03DFF">
        <w:t xml:space="preserve">to </w:t>
      </w:r>
      <w:r w:rsidR="000E1498">
        <w:t xml:space="preserve">human PFD according to: </w:t>
      </w:r>
    </w:p>
    <w:p w14:paraId="0CC2FA83" w14:textId="77777777" w:rsidR="003348B8" w:rsidRDefault="003348B8" w:rsidP="009270F7"/>
    <w:p w14:paraId="2F1131C8" w14:textId="77777777" w:rsidR="003348B8" w:rsidRDefault="00FC2205">
      <w:pPr>
        <w:rPr>
          <w:rFonts w:eastAsiaTheme="minorEastAsia"/>
        </w:rPr>
      </w:pP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PFD</m:t>
            </m:r>
          </m:e>
        </m:func>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SLI</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oMath>
      <w:r w:rsidR="003348B8">
        <w:rPr>
          <w:rFonts w:eastAsiaTheme="minorEastAsia"/>
        </w:rPr>
        <w:t xml:space="preserve"> </w:t>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t xml:space="preserve">(6) </w:t>
      </w:r>
    </w:p>
    <w:p w14:paraId="41AF965B" w14:textId="77777777" w:rsidR="003348B8" w:rsidRDefault="003348B8" w:rsidP="009270F7"/>
    <w:p w14:paraId="0827EC97" w14:textId="77777777" w:rsidR="005C330F" w:rsidRDefault="000E1498" w:rsidP="009270F7">
      <w:r>
        <w:t xml:space="preserve">Where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t xml:space="preserve"> are determined assuming two known values of PFD corresponding to </w:t>
      </w:r>
      <w:r w:rsidR="005C330F">
        <w:t xml:space="preserve">SLI = 0 and SLI = 1 </w:t>
      </w:r>
      <w:r w:rsidR="005C330F">
        <w:fldChar w:fldCharType="begin" w:fldLock="1"/>
      </w:r>
      <w:r w:rsidR="00131B8A">
        <w:instrText>ADDIN CSL_CITATION { "citationItems" : [ { "id" : "ITEM-1", "itemData" : { "author" : [ { "dropping-particle" : "", "family" : "Embrey", "given" : "D.E.", "non-dropping-particle" : "", "parse-names" : false, "suffix" : "" } ], "container-title" : "International Journal of Quality and Reliability Management", "id" : "ITEM-1", "issued" : { "date-parts" : [ [ "1986" ] ] }, "page" : "15-12", "title" : "SLIM-MAUD: a computer based technique for human reliability assessment", "type" : "article-journal", "volume" : "3" }, "uris" : [ "http://www.mendeley.com/documents/?uuid=1bfd7392-010c-4374-82dd-4ce354a11126", "http://www.mendeley.com/documents/?uuid=2d293d47-7e04-4692-abc3-1893e59af57b", "http://www.mendeley.com/documents/?uuid=1dc3572a-3e52-42a1-a719-f4b52cfd38d1" ] } ], "mendeley" : { "formattedCitation" : "(Embrey, 1986)", "plainTextFormattedCitation" : "(Embrey, 1986)", "previouslyFormattedCitation" : "(Embrey, 1986)" }, "properties" : {  }, "schema" : "https://github.com/citation-style-language/schema/raw/master/csl-citation.json" }</w:instrText>
      </w:r>
      <w:r w:rsidR="005C330F">
        <w:fldChar w:fldCharType="separate"/>
      </w:r>
      <w:r w:rsidR="005C330F" w:rsidRPr="005C330F">
        <w:rPr>
          <w:noProof/>
        </w:rPr>
        <w:t>(Embrey, 1986)</w:t>
      </w:r>
      <w:r w:rsidR="005C330F">
        <w:fldChar w:fldCharType="end"/>
      </w:r>
      <w:r w:rsidR="005C330F">
        <w:t>.</w:t>
      </w:r>
    </w:p>
    <w:p w14:paraId="7EAC13ED" w14:textId="77777777" w:rsidR="000E1498" w:rsidRDefault="005C330F" w:rsidP="009270F7">
      <w:r w:rsidRPr="00FA0CD2">
        <w:t xml:space="preserve">In the present methodology, the HES defined in </w:t>
      </w:r>
      <w:r w:rsidR="00FA0CD2" w:rsidRPr="00FA0CD2">
        <w:t>section 2.3</w:t>
      </w:r>
      <w:r>
        <w:t xml:space="preserve"> is assumed as a simplified ranking of the PSFs affecting the emergency response in harsh environments</w:t>
      </w:r>
      <w:r w:rsidR="00A90FA9">
        <w:t xml:space="preserve"> (</w:t>
      </w:r>
      <w:r w:rsidR="00A90FA9" w:rsidRPr="00FA0CD2">
        <w:fldChar w:fldCharType="begin" w:fldLock="1"/>
      </w:r>
      <w:r w:rsidR="00131B8A">
        <w:instrText>ADDIN CSL_CITATION { "citationItems" : [ { "id" : "ITEM-1", "itemData" : { "DOI" : "10.1016/j.ssci.2016.12.019", "ISSN" : "0925-7535", "author" : [ { "dropping-particle" : "", "family" : "Landucci", "given" : "Gabriele", "non-dropping-particle" : "", "parse-names" : false, "suffix" : "" }, { "dropping-particle" : "", "family" : "Bonvicini", "given" : "Sarah", "non-dropping-particle" : "", "parse-names" : false, "suffix" : "" }, { "dropping-particle" : "", "family" : "Cozzani", "given" : "Valerio", "non-dropping-particle" : "", "parse-names" : false, "suffix" : "" } ], "container-title" : "Safety Science", "id" : "ITEM-1", "issued" : { "date-parts" : [ [ "2017" ] ] }, "page" : "182-197", "publisher" : "Elsevier Ltd", "title" : "A methodology for the analysis of domino and cascading events in Oil &amp; Gas facilities operating in harsh environments", "type" : "article-journal", "volume" : "95" }, "uris" : [ "http://www.mendeley.com/documents/?uuid=5e3926d9-1f8f-4754-8ca0-0700670f8cda", "http://www.mendeley.com/documents/?uuid=849a50cb-bb1b-4e22-aa28-4b11775b24ee", "http://www.mendeley.com/documents/?uuid=6b99d480-36ec-4354-86af-649fdd5a1528" ] } ], "mendeley" : { "formattedCitation" : "(Gabriele Landucci et al., 2017)", "manualFormatting" : "Landucci et al. 2017)", "plainTextFormattedCitation" : "(Gabriele Landucci et al., 2017)", "previouslyFormattedCitation" : "(Gabriele Landucci et al., 2017)" }, "properties" : {  }, "schema" : "https://github.com/citation-style-language/schema/raw/master/csl-citation.json" }</w:instrText>
      </w:r>
      <w:r w:rsidR="00A90FA9" w:rsidRPr="00FA0CD2">
        <w:fldChar w:fldCharType="separate"/>
      </w:r>
      <w:r w:rsidR="00A90FA9" w:rsidRPr="00FA0CD2">
        <w:rPr>
          <w:noProof/>
        </w:rPr>
        <w:t>Landucci et al. 2017)</w:t>
      </w:r>
      <w:r w:rsidR="00A90FA9" w:rsidRPr="00FA0CD2">
        <w:fldChar w:fldCharType="end"/>
      </w:r>
      <w:r>
        <w:t>. The higher the HES value, the lower the likelihood of success for the emergency response task. Eq.(</w:t>
      </w:r>
      <w:r w:rsidR="003348B8">
        <w:t>6</w:t>
      </w:r>
      <w:r>
        <w:t xml:space="preserve">) is then modified as: </w:t>
      </w:r>
    </w:p>
    <w:p w14:paraId="2A855858" w14:textId="77777777" w:rsidR="003348B8" w:rsidRDefault="003348B8" w:rsidP="009270F7"/>
    <w:p w14:paraId="589AFB83" w14:textId="77777777" w:rsidR="003348B8" w:rsidRDefault="00FC2205">
      <w:pPr>
        <w:rPr>
          <w:rFonts w:eastAsiaTheme="minorEastAsia"/>
        </w:rPr>
      </w:pP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w:rPr>
                <w:rFonts w:ascii="Cambria Math" w:hAnsi="Cambria Math"/>
              </w:rPr>
              <m:t>PFD</m:t>
            </m:r>
          </m:e>
        </m:func>
        <m:r>
          <m:rPr>
            <m:sty m:val="p"/>
          </m:rPr>
          <w:rPr>
            <w:rFonts w:ascii="Cambria Math" w:hAnsi="Cambria Math"/>
          </w:rPr>
          <m:t>=</m:t>
        </m:r>
        <m:r>
          <w:rPr>
            <w:rFonts w:ascii="Cambria Math" w:hAnsi="Cambria Math"/>
          </w:rPr>
          <m:t>a</m:t>
        </m:r>
        <m:r>
          <m:rPr>
            <m:sty m:val="p"/>
          </m:rPr>
          <w:rPr>
            <w:rFonts w:ascii="Cambria Math" w:hAnsi="Cambria Math"/>
          </w:rPr>
          <m:t xml:space="preserve"> (1-</m:t>
        </m:r>
        <m:r>
          <w:rPr>
            <w:rFonts w:ascii="Cambria Math" w:hAnsi="Cambria Math"/>
          </w:rPr>
          <m:t>HES</m:t>
        </m:r>
        <m:r>
          <m:rPr>
            <m:sty m:val="p"/>
          </m:rPr>
          <w:rPr>
            <w:rFonts w:ascii="Cambria Math" w:hAnsi="Cambria Math"/>
          </w:rPr>
          <m:t>)+</m:t>
        </m:r>
        <m:r>
          <w:rPr>
            <w:rFonts w:ascii="Cambria Math" w:hAnsi="Cambria Math"/>
          </w:rPr>
          <m:t>b</m:t>
        </m:r>
      </m:oMath>
      <w:r w:rsidR="003348B8">
        <w:rPr>
          <w:rFonts w:eastAsiaTheme="minorEastAsia"/>
        </w:rPr>
        <w:t xml:space="preserve">  </w:t>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t xml:space="preserve">(7) </w:t>
      </w:r>
    </w:p>
    <w:p w14:paraId="4CAFBEBC" w14:textId="77777777" w:rsidR="003348B8" w:rsidRDefault="003348B8" w:rsidP="009270F7"/>
    <w:p w14:paraId="0D350C97" w14:textId="77777777" w:rsidR="00CB3D41" w:rsidRDefault="00CB3D41" w:rsidP="009270F7">
      <w:r>
        <w:t xml:space="preserve">Where </w:t>
      </w:r>
      <m:oMath>
        <m:r>
          <w:rPr>
            <w:rFonts w:ascii="Cambria Math" w:hAnsi="Cambria Math"/>
          </w:rPr>
          <m:t>a</m:t>
        </m:r>
      </m:oMath>
      <w:r>
        <w:t xml:space="preserve"> and </w:t>
      </w:r>
      <m:oMath>
        <m:r>
          <w:rPr>
            <w:rFonts w:ascii="Cambria Math" w:hAnsi="Cambria Math"/>
          </w:rPr>
          <m:t>b</m:t>
        </m:r>
      </m:oMath>
      <w:r>
        <w:t xml:space="preserve"> are respectively – 0.954 and – 0.046 and they are determined on the basis of the following assumptions:</w:t>
      </w:r>
    </w:p>
    <w:p w14:paraId="4730AB9C" w14:textId="77777777" w:rsidR="00CB3D41" w:rsidRDefault="00CB3D41" w:rsidP="009270F7">
      <w:pPr>
        <w:pStyle w:val="ListParagraph"/>
        <w:numPr>
          <w:ilvl w:val="0"/>
          <w:numId w:val="1"/>
        </w:numPr>
      </w:pPr>
      <w:r>
        <w:t xml:space="preserve">In the case of favourable environmental conditions (HES=0), the PFD is set equal to 0.1 according to standards from the emergency team intervention </w:t>
      </w:r>
      <w:r>
        <w:fldChar w:fldCharType="begin" w:fldLock="1"/>
      </w:r>
      <w:r w:rsidR="00131B8A">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"plainTextFormattedCitation" : "(Landucci et al., 2015)", "previouslyFormattedCitation" : "(Landucci et al., 2015)" }, "properties" : {  }, "schema" : "https://github.com/citation-style-language/schema/raw/master/csl-citation.json" }</w:instrText>
      </w:r>
      <w:r>
        <w:fldChar w:fldCharType="separate"/>
      </w:r>
      <w:r w:rsidR="00CB3B1F" w:rsidRPr="00CB3B1F">
        <w:rPr>
          <w:noProof/>
        </w:rPr>
        <w:t>(Landucci et al., 2015)</w:t>
      </w:r>
      <w:r>
        <w:fldChar w:fldCharType="end"/>
      </w:r>
      <w:r>
        <w:t>;</w:t>
      </w:r>
    </w:p>
    <w:p w14:paraId="313466B3" w14:textId="77777777" w:rsidR="00CB3D41" w:rsidRDefault="00CB3D41" w:rsidP="009270F7">
      <w:pPr>
        <w:pStyle w:val="ListParagraph"/>
        <w:numPr>
          <w:ilvl w:val="0"/>
          <w:numId w:val="1"/>
        </w:numPr>
      </w:pPr>
      <w:r>
        <w:t xml:space="preserve">In the case of worst environmental conditions (HES=1), the PFD is set equal to 0.9 as </w:t>
      </w:r>
      <w:r w:rsidR="00E03DFF">
        <w:t xml:space="preserve">a </w:t>
      </w:r>
      <w:r>
        <w:t xml:space="preserve">conservative maximum human error probability </w:t>
      </w:r>
      <w:r>
        <w:fldChar w:fldCharType="begin" w:fldLock="1"/>
      </w:r>
      <w:r w:rsidR="00131B8A">
        <w:instrText>ADDIN CSL_CITATION { "citationItems" : [ { "id" : "ITEM-1", "itemData" : { "DOI" : "DOI: 10.1115/OMAE2013-10867", "author" : [ { "dropping-particle" : "", "family" : "Musharraf", "given" : "M.", "non-dropping-particle" : "", "parse-names" : false, "suffix" : "" }, { "dropping-particle" : "", "family" : "Khan", "given" : "Faisal", "non-dropping-particle" : "", "parse-names" : false, "suffix" : "" }, { "dropping-particle" : "", "family" : "Veitch", "given" : "Brian", "non-dropping-particle" : "", "parse-names" : false, "suffix" : "" }, { "dropping-particle" : "", "family" : "Mackinnon", "given" : "Scott", "non-dropping-particle" : "", "parse-names" : false, "suffix" : "" }, { "dropping-particle" : "", "family" : "Imtiaz", "given" : "Syed", "non-dropping-particle" : "", "parse-names" : false, "suffix" : "" } ], "container-title" : "Proceedings of the ASME 2013 32nd International Conference on Ocean, Offshore and Arctic Engineering (OMAE 2013), June 9-14, 2013, Nantes, France", "id" : "ITEM-1", "issued" : { "date-parts" : [ [ "2013" ] ] }, "page" : "1-9", "publisher" : "American Society of Mechanical Engineers", "publisher-place" : "New York, NY", "title" : "Human factor risk assessment during emergency condition in harsh environment", "type" : "paper-conference" }, "uris" : [ "http://www.mendeley.com/documents/?uuid=9774707c-93a5-4c53-bf86-89b6e74c4900" ] } ], "mendeley" : { "formattedCitation" : "(Musharraf et al., 2013)", "plainTextFormattedCitation" : "(Musharraf et al., 2013)", "previouslyFormattedCitation" : "(Musharraf et al., 2013)" }, "properties" : {  }, "schema" : "https://github.com/citation-style-language/schema/raw/master/csl-citation.json" }</w:instrText>
      </w:r>
      <w:r>
        <w:fldChar w:fldCharType="separate"/>
      </w:r>
      <w:r w:rsidRPr="00CB3D41">
        <w:rPr>
          <w:noProof/>
        </w:rPr>
        <w:t>(Musharraf et al., 2013)</w:t>
      </w:r>
      <w:r>
        <w:fldChar w:fldCharType="end"/>
      </w:r>
      <w:r>
        <w:t>.</w:t>
      </w:r>
    </w:p>
    <w:p w14:paraId="4254B180" w14:textId="77777777" w:rsidR="00F74E34" w:rsidRDefault="00276D18" w:rsidP="009270F7">
      <w:r>
        <w:t>For the evaluation of emergency intervention effectiveness,</w:t>
      </w:r>
      <w:r w:rsidR="00753924">
        <w:t xml:space="preserve"> </w:t>
      </w:r>
      <w:r w:rsidR="00F74E34">
        <w:t>a specific approach was developed for offshore installations.</w:t>
      </w:r>
    </w:p>
    <w:p w14:paraId="462A587C" w14:textId="77777777" w:rsidR="00F74E34" w:rsidRDefault="00A90FA9" w:rsidP="009270F7">
      <w:r>
        <w:lastRenderedPageBreak/>
        <w:t>T</w:t>
      </w:r>
      <w:r w:rsidR="00320134">
        <w:t xml:space="preserve">he effectiveness of the emergency response is quantified by </w:t>
      </w:r>
      <w:r w:rsidR="00E1292B">
        <w:t>defining a time s</w:t>
      </w:r>
      <w:r w:rsidR="00753924">
        <w:t>cale for emergency intervention</w:t>
      </w:r>
      <w:r>
        <w:t xml:space="preserve"> (</w:t>
      </w:r>
      <w:r>
        <w:fldChar w:fldCharType="begin" w:fldLock="1"/>
      </w:r>
      <w:r w:rsidR="00131B8A">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"manualFormatting" : "Landucci et al. 2015)", "plainTextFormattedCitation" : "(Landucci et al., 2015)", "previouslyFormattedCitation" : "(Landucci et al., 2015)" }, "properties" : {  }, "schema" : "https://github.com/citation-style-language/schema/raw/master/csl-citation.json" }</w:instrText>
      </w:r>
      <w:r>
        <w:fldChar w:fldCharType="separate"/>
      </w:r>
      <w:r>
        <w:rPr>
          <w:noProof/>
        </w:rPr>
        <w:t xml:space="preserve">Landucci et al. </w:t>
      </w:r>
      <w:r w:rsidRPr="00320134">
        <w:rPr>
          <w:noProof/>
        </w:rPr>
        <w:t>2015)</w:t>
      </w:r>
      <w:r>
        <w:fldChar w:fldCharType="end"/>
      </w:r>
      <w:r w:rsidR="00753924">
        <w:t xml:space="preserve">. A specific metric, namely Time for Final Mitigation (TFM), is defined. </w:t>
      </w:r>
      <w:r w:rsidR="007367A3">
        <w:t xml:space="preserve">TFM is the characteristic time for the effective intervention of the external emergency teams and it is defined as the maximum time needed to primary fire suppression or effective cooling action on the target equipment. </w:t>
      </w:r>
      <w:r w:rsidR="00DC0109">
        <w:t xml:space="preserve">The present approach details </w:t>
      </w:r>
      <w:r w:rsidR="00D41C8A">
        <w:t>a specific</w:t>
      </w:r>
      <w:r w:rsidR="0054438F">
        <w:t xml:space="preserve"> time scale for emergency intervention in</w:t>
      </w:r>
      <w:r w:rsidR="00875C58">
        <w:t xml:space="preserve"> manned</w:t>
      </w:r>
      <w:r w:rsidR="0054438F">
        <w:t xml:space="preserve"> offshore facilities</w:t>
      </w:r>
      <w:r w:rsidR="00DC0109">
        <w:t xml:space="preserve"> on the basis of NORSOK standard Z-013</w:t>
      </w:r>
      <w:r w:rsidR="00875C58">
        <w:t xml:space="preserve"> </w:t>
      </w:r>
      <w:r w:rsidR="00875C58">
        <w:fldChar w:fldCharType="begin" w:fldLock="1"/>
      </w:r>
      <w:r w:rsidR="00131B8A">
        <w:instrText>ADDIN CSL_CITATION { "citationItems" : [ { "id" : "ITEM-1", "itemData" : { "ISBN" : "9282695492", "author" : [ { "dropping-particle" : "", "family" : "NORSOK", "given" : "", "non-dropping-particle" : "", "parse-names" : false, "suffix" : "" } ], "container-title" : "NOROSK Standard Z-013, Rev", "id" : "ITEM-1", "issue" : "2010", "issued" : { "date-parts" : [ [ "2010" ] ] }, "number-of-pages" : "16-18", "title" : "Risk and emergency preparedness analysis - NORSOK standard Z-013", "type" : "report", "volume" : "3" }, "uris" : [ "http://www.mendeley.com/documents/?uuid=259ce6bb-c627-4dcc-90c5-73e107036f66", "http://www.mendeley.com/documents/?uuid=f5eb5b16-1480-48c9-b3aa-70559c8fd7b5", "http://www.mendeley.com/documents/?uuid=493bd69d-76c1-4115-aa2c-54ba42fbf87a" ] } ], "mendeley" : { "formattedCitation" : "(NORSOK, 2010)", "plainTextFormattedCitation" : "(NORSOK, 2010)", "previouslyFormattedCitation" : "(NORSOK, 2010)" }, "properties" : {  }, "schema" : "https://github.com/citation-style-language/schema/raw/master/csl-citation.json" }</w:instrText>
      </w:r>
      <w:r w:rsidR="00875C58">
        <w:fldChar w:fldCharType="separate"/>
      </w:r>
      <w:r w:rsidR="00875C58" w:rsidRPr="00875C58">
        <w:rPr>
          <w:noProof/>
        </w:rPr>
        <w:t>(NORSOK, 2010)</w:t>
      </w:r>
      <w:r w:rsidR="00875C58">
        <w:fldChar w:fldCharType="end"/>
      </w:r>
      <w:r w:rsidR="00875C58">
        <w:t xml:space="preserve">. </w:t>
      </w:r>
      <w:r w:rsidR="00D41C8A">
        <w:t>Figure</w:t>
      </w:r>
      <w:r w:rsidR="008455BF">
        <w:t xml:space="preserve"> </w:t>
      </w:r>
      <w:r w:rsidR="008B695B">
        <w:t xml:space="preserve">3a </w:t>
      </w:r>
      <w:r w:rsidR="00D41C8A">
        <w:t>graphically represent</w:t>
      </w:r>
      <w:r w:rsidR="008B695B">
        <w:t>s</w:t>
      </w:r>
      <w:r w:rsidR="00D41C8A">
        <w:t xml:space="preserve"> the different phases involved in </w:t>
      </w:r>
      <w:r w:rsidR="001348E6">
        <w:t xml:space="preserve">offshore </w:t>
      </w:r>
      <w:r w:rsidR="00D41C8A">
        <w:t>external emergency response</w:t>
      </w:r>
      <w:r w:rsidR="00AD0F5B">
        <w:t xml:space="preserve">. </w:t>
      </w:r>
    </w:p>
    <w:p w14:paraId="619176D8" w14:textId="77777777" w:rsidR="00F74E34" w:rsidRDefault="00AD0F5B" w:rsidP="009270F7">
      <w:r>
        <w:t>The emergency intervention</w:t>
      </w:r>
      <w:r w:rsidR="005B4CF4">
        <w:t xml:space="preserve"> time scale</w:t>
      </w:r>
      <w:r>
        <w:t xml:space="preserve"> </w:t>
      </w:r>
      <w:r w:rsidR="005B4CF4">
        <w:t>is described in the following five different phases:</w:t>
      </w:r>
    </w:p>
    <w:p w14:paraId="24892898" w14:textId="77777777" w:rsidR="005B4CF4" w:rsidRPr="00981180" w:rsidRDefault="005B4CF4" w:rsidP="009270F7">
      <w:pPr>
        <w:pStyle w:val="ListParagraph"/>
        <w:numPr>
          <w:ilvl w:val="0"/>
          <w:numId w:val="19"/>
        </w:numPr>
      </w:pPr>
      <w:r>
        <w:t xml:space="preserve">Time to Alert </w:t>
      </w:r>
      <m:oMath>
        <m:sSub>
          <m:sSubPr>
            <m:ctrlPr>
              <w:rPr>
                <w:rFonts w:ascii="Cambria Math" w:hAnsi="Cambria Math"/>
                <w:i/>
              </w:rPr>
            </m:ctrlPr>
          </m:sSubPr>
          <m:e>
            <m:r>
              <w:rPr>
                <w:rFonts w:ascii="Cambria Math" w:hAnsi="Cambria Math"/>
              </w:rPr>
              <m:t>τ</m:t>
            </m:r>
          </m:e>
          <m:sub>
            <m:r>
              <w:rPr>
                <w:rFonts w:ascii="Cambria Math" w:hAnsi="Cambria Math"/>
              </w:rPr>
              <m:t>1</m:t>
            </m:r>
          </m:sub>
        </m:sSub>
      </m:oMath>
      <w:r>
        <w:t>: it is the maximum time required to start emergency operations. It is defined as the time needed for the (primary) fire to be detected and the alarm to be given onsite</w:t>
      </w:r>
      <w:r w:rsidR="00981180">
        <w:t xml:space="preserve"> (alerting personnel on-</w:t>
      </w:r>
      <w:r>
        <w:t>board) and offsite</w:t>
      </w:r>
      <w:r w:rsidR="009B0305">
        <w:t xml:space="preserve"> </w:t>
      </w:r>
      <w:r>
        <w:t>(activation of external emergency response)</w:t>
      </w:r>
      <w:r w:rsidR="00981180">
        <w:t>;</w:t>
      </w:r>
    </w:p>
    <w:p w14:paraId="3CE706D1" w14:textId="77777777" w:rsidR="00981180" w:rsidRPr="00981180" w:rsidRDefault="00981180" w:rsidP="009270F7">
      <w:pPr>
        <w:pStyle w:val="ListParagraph"/>
        <w:numPr>
          <w:ilvl w:val="0"/>
          <w:numId w:val="19"/>
        </w:numPr>
      </w:pPr>
      <w:r>
        <w:t xml:space="preserve">Time for Mustering </w:t>
      </w:r>
      <m:oMath>
        <m:sSub>
          <m:sSubPr>
            <m:ctrlPr>
              <w:rPr>
                <w:rFonts w:ascii="Cambria Math" w:hAnsi="Cambria Math"/>
                <w:i/>
              </w:rPr>
            </m:ctrlPr>
          </m:sSubPr>
          <m:e>
            <m:r>
              <w:rPr>
                <w:rFonts w:ascii="Cambria Math" w:hAnsi="Cambria Math"/>
              </w:rPr>
              <m:t>τ</m:t>
            </m:r>
          </m:e>
          <m:sub>
            <m:r>
              <w:rPr>
                <w:rFonts w:ascii="Cambria Math" w:hAnsi="Cambria Math"/>
              </w:rPr>
              <m:t>2</m:t>
            </m:r>
          </m:sub>
        </m:sSub>
      </m:oMath>
      <w:r>
        <w:t xml:space="preserve">: it is the time needed for on-board personnel to reach the temporary refugee (TR) (that </w:t>
      </w:r>
      <w:r w:rsidR="00E03DFF">
        <w:t>usually acts as</w:t>
      </w:r>
      <w:r>
        <w:t xml:space="preserve"> mustering point). During the mustering phase, information about the (primary) fire are collected and provided to the operators in the control room;</w:t>
      </w:r>
    </w:p>
    <w:p w14:paraId="05FD513A" w14:textId="77777777" w:rsidR="00981180" w:rsidRPr="00981180" w:rsidRDefault="00981180" w:rsidP="009270F7">
      <w:pPr>
        <w:pStyle w:val="ListParagraph"/>
        <w:numPr>
          <w:ilvl w:val="0"/>
          <w:numId w:val="19"/>
        </w:numPr>
      </w:pPr>
      <w:r>
        <w:t xml:space="preserve">Time for Onsite Mitigation </w:t>
      </w:r>
      <m:oMath>
        <m:sSub>
          <m:sSubPr>
            <m:ctrlPr>
              <w:rPr>
                <w:rFonts w:ascii="Cambria Math" w:hAnsi="Cambria Math"/>
                <w:i/>
              </w:rPr>
            </m:ctrlPr>
          </m:sSubPr>
          <m:e>
            <m:r>
              <w:rPr>
                <w:rFonts w:ascii="Cambria Math" w:hAnsi="Cambria Math"/>
              </w:rPr>
              <m:t>τ</m:t>
            </m:r>
          </m:e>
          <m:sub>
            <m:r>
              <w:rPr>
                <w:rFonts w:ascii="Cambria Math" w:hAnsi="Cambria Math"/>
              </w:rPr>
              <m:t>3</m:t>
            </m:r>
          </m:sub>
        </m:sSub>
      </m:oMath>
      <w:r>
        <w:t xml:space="preserve">: it is the time needed by expert on-board personnel for carrying out control actions. In that phase, the personnel on-board not involved in this operations starts the evacuation in the case the escalation is considered likely to occur; </w:t>
      </w:r>
    </w:p>
    <w:p w14:paraId="6221D49E" w14:textId="77777777" w:rsidR="00981180" w:rsidRPr="00981180" w:rsidRDefault="00981180" w:rsidP="009270F7">
      <w:pPr>
        <w:pStyle w:val="ListParagraph"/>
        <w:numPr>
          <w:ilvl w:val="0"/>
          <w:numId w:val="19"/>
        </w:numPr>
      </w:pPr>
      <w:r>
        <w:t xml:space="preserve">Time for Evacuation and Rescue </w:t>
      </w:r>
      <m:oMath>
        <m:sSub>
          <m:sSubPr>
            <m:ctrlPr>
              <w:rPr>
                <w:rFonts w:ascii="Cambria Math" w:hAnsi="Cambria Math"/>
                <w:i/>
              </w:rPr>
            </m:ctrlPr>
          </m:sSubPr>
          <m:e>
            <m:r>
              <w:rPr>
                <w:rFonts w:ascii="Cambria Math" w:hAnsi="Cambria Math"/>
              </w:rPr>
              <m:t>τ</m:t>
            </m:r>
          </m:e>
          <m:sub>
            <m:r>
              <w:rPr>
                <w:rFonts w:ascii="Cambria Math" w:hAnsi="Cambria Math"/>
              </w:rPr>
              <m:t>4</m:t>
            </m:r>
          </m:sub>
        </m:sSub>
      </m:oMath>
      <w:r>
        <w:t>: it is the time needed for reaching the lifeboats by both expert and other personnel. The rescue is considered completed when the lifeboats enter the safe area;</w:t>
      </w:r>
    </w:p>
    <w:p w14:paraId="46E6943B" w14:textId="77777777" w:rsidR="00981180" w:rsidRPr="00981180" w:rsidRDefault="00981180" w:rsidP="009270F7">
      <w:pPr>
        <w:pStyle w:val="ListParagraph"/>
        <w:numPr>
          <w:ilvl w:val="0"/>
          <w:numId w:val="19"/>
        </w:numPr>
      </w:pPr>
      <w:r>
        <w:t xml:space="preserve">Time for external firefighting intervention </w:t>
      </w:r>
      <m:oMath>
        <m:sSub>
          <m:sSubPr>
            <m:ctrlPr>
              <w:rPr>
                <w:rFonts w:ascii="Cambria Math" w:hAnsi="Cambria Math"/>
                <w:i/>
              </w:rPr>
            </m:ctrlPr>
          </m:sSubPr>
          <m:e>
            <m:r>
              <w:rPr>
                <w:rFonts w:ascii="Cambria Math" w:hAnsi="Cambria Math"/>
              </w:rPr>
              <m:t>τ</m:t>
            </m:r>
          </m:e>
          <m:sub>
            <m:r>
              <w:rPr>
                <w:rFonts w:ascii="Cambria Math" w:hAnsi="Cambria Math"/>
              </w:rPr>
              <m:t>5</m:t>
            </m:r>
          </m:sub>
        </m:sSub>
      </m:oMath>
      <w:r>
        <w:t xml:space="preserve">: it is the time needed by the stand-by vessel to approach the installation and extinguish the primary fire and cooling the target equipment. </w:t>
      </w:r>
    </w:p>
    <w:p w14:paraId="16D16551" w14:textId="77777777" w:rsidR="00F74E34" w:rsidRPr="005B4CF4" w:rsidRDefault="00F74E34" w:rsidP="009270F7">
      <w:pPr>
        <w:rPr>
          <w:lang w:val="en-US"/>
        </w:rPr>
      </w:pPr>
    </w:p>
    <w:p w14:paraId="7A288BA5" w14:textId="77777777" w:rsidR="00C12986" w:rsidRPr="005B4CF4" w:rsidRDefault="00C12986" w:rsidP="009270F7">
      <w:pPr>
        <w:rPr>
          <w:lang w:val="en-US"/>
        </w:rPr>
        <w:sectPr w:rsidR="00C12986" w:rsidRPr="005B4CF4">
          <w:footerReference w:type="default" r:id="rId10"/>
          <w:pgSz w:w="11906" w:h="16838"/>
          <w:pgMar w:top="1440" w:right="1440" w:bottom="1440" w:left="1440" w:header="708" w:footer="708" w:gutter="0"/>
          <w:cols w:space="708"/>
          <w:docGrid w:linePitch="360"/>
        </w:sectPr>
      </w:pPr>
    </w:p>
    <w:p w14:paraId="00823421" w14:textId="77777777" w:rsidR="00D41C8A" w:rsidRDefault="00BF49BA" w:rsidP="009270F7">
      <w:r w:rsidRPr="00BF49BA">
        <w:lastRenderedPageBreak/>
        <w:t xml:space="preserve"> </w:t>
      </w:r>
      <w:r w:rsidRPr="00BF49BA">
        <w:rPr>
          <w:noProof/>
          <w:lang w:val="nb-NO" w:eastAsia="nb-NO"/>
        </w:rPr>
        <w:drawing>
          <wp:inline distT="0" distB="0" distL="0" distR="0" wp14:anchorId="291BF423" wp14:editId="4C4C2CD5">
            <wp:extent cx="8001000" cy="4566093"/>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6093" cy="4568999"/>
                    </a:xfrm>
                    <a:prstGeom prst="rect">
                      <a:avLst/>
                    </a:prstGeom>
                    <a:noFill/>
                    <a:ln>
                      <a:noFill/>
                    </a:ln>
                  </pic:spPr>
                </pic:pic>
              </a:graphicData>
            </a:graphic>
          </wp:inline>
        </w:drawing>
      </w:r>
    </w:p>
    <w:p w14:paraId="1E167AC8" w14:textId="76F2CC03" w:rsidR="00AB2A85" w:rsidRPr="00D5000C" w:rsidRDefault="00280DEE" w:rsidP="009270F7">
      <w:pPr>
        <w:rPr>
          <w:i/>
          <w:color w:val="FF0000"/>
        </w:rPr>
      </w:pPr>
      <w:r w:rsidRPr="00D5000C">
        <w:rPr>
          <w:i/>
          <w:color w:val="FF0000"/>
        </w:rPr>
        <w:t>Figure</w:t>
      </w:r>
      <w:r w:rsidR="00AB2A85" w:rsidRPr="00D5000C">
        <w:rPr>
          <w:i/>
          <w:color w:val="FF0000"/>
        </w:rPr>
        <w:t xml:space="preserve"> </w:t>
      </w:r>
      <w:r w:rsidR="00CF192D" w:rsidRPr="00D5000C">
        <w:rPr>
          <w:i/>
          <w:color w:val="FF0000"/>
        </w:rPr>
        <w:t>3</w:t>
      </w:r>
      <w:r w:rsidR="00AB2A85" w:rsidRPr="00D5000C">
        <w:rPr>
          <w:i/>
          <w:color w:val="FF0000"/>
        </w:rPr>
        <w:t xml:space="preserve">. </w:t>
      </w:r>
      <w:r w:rsidR="004079D0" w:rsidRPr="00D5000C">
        <w:rPr>
          <w:i/>
          <w:color w:val="FF0000"/>
        </w:rPr>
        <w:t>Schematization of the procedure for p</w:t>
      </w:r>
      <w:r w:rsidR="003E7A17" w:rsidRPr="00D5000C">
        <w:rPr>
          <w:i/>
          <w:color w:val="FF0000"/>
        </w:rPr>
        <w:t xml:space="preserve">erformance assessment of external emergency </w:t>
      </w:r>
      <w:r w:rsidR="004079D0" w:rsidRPr="00D5000C">
        <w:rPr>
          <w:i/>
          <w:color w:val="FF0000"/>
        </w:rPr>
        <w:t>measures</w:t>
      </w:r>
      <w:r w:rsidR="003E7A17" w:rsidRPr="00D5000C">
        <w:rPr>
          <w:i/>
          <w:color w:val="FF0000"/>
        </w:rPr>
        <w:t xml:space="preserve">: </w:t>
      </w:r>
      <w:r w:rsidR="00B53F19" w:rsidRPr="00D5000C">
        <w:rPr>
          <w:i/>
          <w:color w:val="FF0000"/>
        </w:rPr>
        <w:t>a</w:t>
      </w:r>
      <w:r w:rsidR="00DF5066" w:rsidRPr="00D5000C">
        <w:rPr>
          <w:i/>
          <w:color w:val="FF0000"/>
        </w:rPr>
        <w:t xml:space="preserve">) </w:t>
      </w:r>
      <w:r w:rsidR="004079D0" w:rsidRPr="00D5000C">
        <w:rPr>
          <w:i/>
          <w:color w:val="FF0000"/>
        </w:rPr>
        <w:t>definition and explanation of the emergency operations and associated time-scale</w:t>
      </w:r>
      <w:r w:rsidR="00DF5066" w:rsidRPr="00D5000C">
        <w:rPr>
          <w:i/>
          <w:color w:val="FF0000"/>
        </w:rPr>
        <w:t xml:space="preserve">; </w:t>
      </w:r>
      <w:r w:rsidR="00B53F19" w:rsidRPr="00D5000C">
        <w:rPr>
          <w:i/>
          <w:color w:val="FF0000"/>
        </w:rPr>
        <w:t>b</w:t>
      </w:r>
      <w:r w:rsidR="00DF5066" w:rsidRPr="00D5000C">
        <w:rPr>
          <w:i/>
          <w:color w:val="FF0000"/>
        </w:rPr>
        <w:t xml:space="preserve">) </w:t>
      </w:r>
      <w:r w:rsidR="004079D0" w:rsidRPr="00D5000C">
        <w:rPr>
          <w:i/>
          <w:color w:val="FF0000"/>
        </w:rPr>
        <w:t>g</w:t>
      </w:r>
      <w:r w:rsidR="00DF5066" w:rsidRPr="00D5000C">
        <w:rPr>
          <w:i/>
          <w:color w:val="FF0000"/>
        </w:rPr>
        <w:t xml:space="preserve">raphical representation of </w:t>
      </w:r>
      <w:r w:rsidR="004079D0" w:rsidRPr="00D5000C">
        <w:rPr>
          <w:i/>
          <w:color w:val="FF0000"/>
        </w:rPr>
        <w:t xml:space="preserve">the timeline associated with the </w:t>
      </w:r>
      <w:r w:rsidR="00DF5066" w:rsidRPr="00D5000C">
        <w:rPr>
          <w:i/>
          <w:color w:val="FF0000"/>
        </w:rPr>
        <w:t xml:space="preserve">different </w:t>
      </w:r>
      <w:r w:rsidR="004079D0" w:rsidRPr="00D5000C">
        <w:rPr>
          <w:i/>
          <w:color w:val="FF0000"/>
        </w:rPr>
        <w:t xml:space="preserve">phases of </w:t>
      </w:r>
      <w:r w:rsidR="00DF5066" w:rsidRPr="00D5000C">
        <w:rPr>
          <w:i/>
          <w:color w:val="FF0000"/>
        </w:rPr>
        <w:t xml:space="preserve">emergency response. </w:t>
      </w:r>
    </w:p>
    <w:p w14:paraId="5F710540" w14:textId="77777777" w:rsidR="00C12986" w:rsidRDefault="00C12986" w:rsidP="009270F7">
      <w:pPr>
        <w:sectPr w:rsidR="00C12986" w:rsidSect="005B4895">
          <w:pgSz w:w="16838" w:h="11906" w:orient="landscape"/>
          <w:pgMar w:top="1440" w:right="1440" w:bottom="1440" w:left="1440" w:header="708" w:footer="708" w:gutter="0"/>
          <w:cols w:space="708"/>
          <w:docGrid w:linePitch="360"/>
        </w:sectPr>
      </w:pPr>
    </w:p>
    <w:p w14:paraId="0DE34F3E" w14:textId="39340F2D" w:rsidR="000723E1" w:rsidRDefault="00AF7B04">
      <w:r>
        <w:lastRenderedPageBreak/>
        <w:t xml:space="preserve">It is worth noticing that the main aim of emergency intervention in manned installation is the safe rescue of personnel while the purpose of this framework is to evaluate the safety of assets in </w:t>
      </w:r>
      <w:r w:rsidR="006C7FE7">
        <w:t xml:space="preserve">the </w:t>
      </w:r>
      <w:r>
        <w:t>presence of fire scenario</w:t>
      </w:r>
      <w:r w:rsidR="006C7FE7">
        <w:t>s</w:t>
      </w:r>
      <w:r>
        <w:t xml:space="preserve"> potentially esc</w:t>
      </w:r>
      <w:r w:rsidR="00CD0AA8">
        <w:t>alating in domino event. For this</w:t>
      </w:r>
      <w:r>
        <w:t xml:space="preserve"> reason,</w:t>
      </w:r>
      <w:r w:rsidR="00AC7A23">
        <w:rPr>
          <w:rFonts w:eastAsiaTheme="minorEastAsia"/>
        </w:rP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τ</m:t>
            </m:r>
          </m:e>
          <m:sub>
            <m:r>
              <w:rPr>
                <w:rFonts w:ascii="Cambria Math" w:hAnsi="Cambria Math"/>
              </w:rPr>
              <m:t>5</m:t>
            </m:r>
          </m:sub>
        </m:sSub>
      </m:oMath>
      <w:r w:rsidR="00AC7A23">
        <w:t xml:space="preserve"> </w:t>
      </w:r>
      <w:r w:rsidR="00280DEE">
        <w:t>is included in the analysis (</w:t>
      </w:r>
      <w:r w:rsidR="00912261">
        <w:t xml:space="preserve">unlike </w:t>
      </w:r>
      <w:r w:rsidR="00CD0AA8">
        <w:t xml:space="preserve">in </w:t>
      </w:r>
      <w:r w:rsidR="00912261">
        <w:t>the</w:t>
      </w:r>
      <w:r w:rsidR="00280DEE">
        <w:t xml:space="preserve"> NORSOK </w:t>
      </w:r>
      <w:r w:rsidR="00D06083" w:rsidRPr="00D06083">
        <w:rPr>
          <w:color w:val="FF0000"/>
        </w:rPr>
        <w:t>standard (NORSOK, 2010))</w:t>
      </w:r>
      <w:r w:rsidRPr="00D06083">
        <w:rPr>
          <w:color w:val="FF0000"/>
        </w:rPr>
        <w:t>.</w:t>
      </w:r>
      <w:r w:rsidR="008F00E2" w:rsidRPr="00D06083">
        <w:rPr>
          <w:color w:val="FF0000"/>
        </w:rPr>
        <w:t xml:space="preserve"> </w:t>
      </w:r>
      <w:r w:rsidR="000723E1">
        <w:t xml:space="preserve">The TFM </w:t>
      </w:r>
      <w:r w:rsidR="00B53F19">
        <w:t xml:space="preserve">with respect </w:t>
      </w:r>
      <w:r w:rsidR="00AC7A23">
        <w:t xml:space="preserve">to asset safety </w:t>
      </w:r>
      <w:r w:rsidR="000723E1">
        <w:t>is the</w:t>
      </w:r>
      <w:r w:rsidR="00D825A0">
        <w:t>n</w:t>
      </w:r>
      <w:r w:rsidR="000723E1">
        <w:t xml:space="preserve"> defined as </w:t>
      </w:r>
      <w:r w:rsidR="00D825A0">
        <w:t>the summation of operations time</w:t>
      </w:r>
      <w:r w:rsidR="00B53F19">
        <w:t>s</w:t>
      </w:r>
      <w:r w:rsidR="00D825A0">
        <w:t xml:space="preserve"> </w:t>
      </w:r>
      <m:oMath>
        <m:sSub>
          <m:sSubPr>
            <m:ctrlPr>
              <w:rPr>
                <w:rFonts w:ascii="Cambria Math" w:hAnsi="Cambria Math"/>
                <w:i/>
              </w:rPr>
            </m:ctrlPr>
          </m:sSubPr>
          <m:e>
            <m:r>
              <w:rPr>
                <w:rFonts w:ascii="Cambria Math" w:hAnsi="Cambria Math"/>
              </w:rPr>
              <m:t>τ</m:t>
            </m:r>
          </m:e>
          <m:sub>
            <m:r>
              <w:rPr>
                <w:rFonts w:ascii="Cambria Math" w:hAnsi="Cambria Math"/>
              </w:rPr>
              <m:t>i</m:t>
            </m:r>
          </m:sub>
        </m:sSub>
      </m:oMath>
      <w:r w:rsidR="00AC7A23">
        <w:rPr>
          <w:rFonts w:eastAsiaTheme="minorEastAsia"/>
        </w:rPr>
        <w:t xml:space="preserve"> </w:t>
      </w:r>
      <w:r w:rsidR="00D825A0">
        <w:t xml:space="preserve">as follows: </w:t>
      </w:r>
    </w:p>
    <w:p w14:paraId="6463B75E" w14:textId="77777777" w:rsidR="005B4CF4" w:rsidRDefault="005B4CF4" w:rsidP="009270F7"/>
    <w:p w14:paraId="607E73AD" w14:textId="77777777" w:rsidR="006B6D02" w:rsidRDefault="005B4CF4" w:rsidP="009270F7">
      <m:oMath>
        <m:r>
          <w:rPr>
            <w:rFonts w:ascii="Cambria Math" w:hAnsi="Cambria Math"/>
          </w:rPr>
          <m:t>TFM=</m:t>
        </m:r>
        <m:sSub>
          <m:sSubPr>
            <m:ctrlPr>
              <w:rPr>
                <w:rFonts w:ascii="Cambria Math" w:hAnsi="Cambria Math"/>
                <w:i/>
              </w:rPr>
            </m:ctrlPr>
          </m:sSubPr>
          <m:e>
            <m:r>
              <w:rPr>
                <w:rFonts w:ascii="Cambria Math" w:hAnsi="Cambria Math"/>
              </w:rPr>
              <m:t>τ</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5</m:t>
            </m:r>
          </m:sub>
        </m:sSub>
      </m:oMath>
      <w:r>
        <w:t xml:space="preserve">  </w:t>
      </w:r>
      <w:r>
        <w:tab/>
      </w:r>
      <w:r>
        <w:tab/>
      </w:r>
      <w:r>
        <w:tab/>
      </w:r>
      <w:r>
        <w:tab/>
      </w:r>
      <w:r>
        <w:tab/>
      </w:r>
      <w:r>
        <w:tab/>
      </w:r>
      <w:r>
        <w:tab/>
      </w:r>
      <w:r w:rsidR="004C65C2">
        <w:tab/>
      </w:r>
      <w:r w:rsidR="004C65C2">
        <w:tab/>
      </w:r>
      <w:r w:rsidR="004C65C2">
        <w:tab/>
      </w:r>
      <w:r>
        <w:t>(</w:t>
      </w:r>
      <w:r w:rsidR="003348B8">
        <w:t>8</w:t>
      </w:r>
      <w:r>
        <w:t>)</w:t>
      </w:r>
    </w:p>
    <w:p w14:paraId="6E28AE94" w14:textId="77777777" w:rsidR="005B4CF4" w:rsidRDefault="005B4CF4" w:rsidP="009270F7"/>
    <w:p w14:paraId="29BE51D6" w14:textId="77777777" w:rsidR="00F72464" w:rsidRDefault="00CF192D">
      <w:r>
        <w:t xml:space="preserve">Figure </w:t>
      </w:r>
      <w:r w:rsidR="00DF5066">
        <w:t>3</w:t>
      </w:r>
      <w:r w:rsidR="00B53F19">
        <w:t>b</w:t>
      </w:r>
      <w:r w:rsidR="00280DEE">
        <w:t xml:space="preserve"> provides a graphical representation of </w:t>
      </w:r>
      <w:r w:rsidR="00F72464">
        <w:t>the time scale</w:t>
      </w:r>
      <w:r w:rsidR="00DF5066">
        <w:t xml:space="preserve"> for sake of clarity. </w:t>
      </w:r>
      <w:r w:rsidR="003C7910">
        <w:t>T</w:t>
      </w:r>
      <w:r w:rsidR="00F72464">
        <w:t>he TFM is compared with the T</w:t>
      </w:r>
      <w:r w:rsidR="00C036C0">
        <w:t xml:space="preserve">TF </w:t>
      </w:r>
      <w:r w:rsidR="00F72464">
        <w:t xml:space="preserve">of the target equipment </w:t>
      </w:r>
      <w:r w:rsidR="003C7910">
        <w:t>while assessing the emergency response effectiveness (</w:t>
      </w:r>
      <w:r w:rsidR="00F72464">
        <w:fldChar w:fldCharType="begin" w:fldLock="1"/>
      </w:r>
      <w:r w:rsidR="00131B8A">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"manualFormatting" : "Landucci et al., 2015", "plainTextFormattedCitation" : "(Landucci et al., 2015)", "previouslyFormattedCitation" : "(Landucci et al., 2015)" }, "properties" : {  }, "schema" : "https://github.com/citation-style-language/schema/raw/master/csl-citation.json" }</w:instrText>
      </w:r>
      <w:r w:rsidR="00F72464">
        <w:fldChar w:fldCharType="separate"/>
      </w:r>
      <w:r w:rsidR="00F72464" w:rsidRPr="00DC0109">
        <w:rPr>
          <w:noProof/>
        </w:rPr>
        <w:t>Landucci et al., 2015</w:t>
      </w:r>
      <w:r w:rsidR="00F72464">
        <w:fldChar w:fldCharType="end"/>
      </w:r>
      <w:r w:rsidR="003C7910">
        <w:t>)</w:t>
      </w:r>
      <w:r w:rsidR="00F72464">
        <w:t xml:space="preserve">. The effectiveness is set as unitary when TFM is lower than TTF. </w:t>
      </w:r>
    </w:p>
    <w:p w14:paraId="05565224" w14:textId="77777777" w:rsidR="00FD453E" w:rsidRDefault="008F00E2">
      <w:r>
        <w:t>In normal conditions</w:t>
      </w:r>
      <w:r w:rsidR="003C7910">
        <w:t>,</w:t>
      </w:r>
      <w:r>
        <w:t xml:space="preserve"> the </w:t>
      </w:r>
      <w:r w:rsidR="003C7910">
        <w:t xml:space="preserve">time to alarm </w:t>
      </w:r>
      <m:oMath>
        <m:sSub>
          <m:sSubPr>
            <m:ctrlPr>
              <w:rPr>
                <w:rFonts w:ascii="Cambria Math" w:hAnsi="Cambria Math"/>
                <w:i/>
              </w:rPr>
            </m:ctrlPr>
          </m:sSubPr>
          <m:e>
            <m:r>
              <w:rPr>
                <w:rFonts w:ascii="Cambria Math" w:hAnsi="Cambria Math"/>
              </w:rPr>
              <m:t>τ</m:t>
            </m:r>
          </m:e>
          <m:sub>
            <m:r>
              <w:rPr>
                <w:rFonts w:ascii="Cambria Math" w:hAnsi="Cambria Math"/>
              </w:rPr>
              <m:t>1</m:t>
            </m:r>
          </m:sub>
        </m:sSub>
      </m:oMath>
      <w:r w:rsidR="003C7910">
        <w:rPr>
          <w:rFonts w:eastAsiaTheme="minorEastAsia"/>
        </w:rPr>
        <w:t xml:space="preserve"> </w:t>
      </w:r>
      <w:r>
        <w:t xml:space="preserve">value in </w:t>
      </w:r>
      <w:r w:rsidR="003C7910">
        <w:t xml:space="preserve">an </w:t>
      </w:r>
      <w:r>
        <w:t>offshore facility is assumed equal to</w:t>
      </w:r>
      <w:r w:rsidR="00BD066E">
        <w:t xml:space="preserve"> 3 minutes (baseline value). The time for external intervention </w:t>
      </w:r>
      <m:oMath>
        <m:sSub>
          <m:sSubPr>
            <m:ctrlPr>
              <w:rPr>
                <w:rFonts w:ascii="Cambria Math" w:hAnsi="Cambria Math"/>
                <w:i/>
              </w:rPr>
            </m:ctrlPr>
          </m:sSubPr>
          <m:e>
            <m:r>
              <w:rPr>
                <w:rFonts w:ascii="Cambria Math" w:hAnsi="Cambria Math"/>
              </w:rPr>
              <m:t>τ</m:t>
            </m:r>
          </m:e>
          <m:sub>
            <m:r>
              <w:rPr>
                <w:rFonts w:ascii="Cambria Math" w:hAnsi="Cambria Math"/>
              </w:rPr>
              <m:t>5</m:t>
            </m:r>
          </m:sub>
        </m:sSub>
      </m:oMath>
      <w:r w:rsidR="00BD066E">
        <w:t xml:space="preserve"> depends on site</w:t>
      </w:r>
      <w:r w:rsidR="00303ADF">
        <w:t>-</w:t>
      </w:r>
      <w:r w:rsidR="00BD066E">
        <w:t>specific characteristics and on the vessel policy adopted by the company.</w:t>
      </w:r>
      <w:r w:rsidR="000B4059">
        <w:t xml:space="preserve"> </w:t>
      </w:r>
      <w:r w:rsidR="00303ADF">
        <w:t xml:space="preserve">The baseline value depends on the distance between the shore and the installation and it should be assessed for the facility under analysis in favourable meteorological conditions. </w:t>
      </w:r>
      <w:r w:rsidR="002069DC">
        <w:t>An e</w:t>
      </w:r>
      <w:r w:rsidR="00BD066E">
        <w:t xml:space="preserve">xample is provided in the case study section of this work. </w:t>
      </w:r>
    </w:p>
    <w:p w14:paraId="5B99E8EC" w14:textId="77777777" w:rsidR="000723E1" w:rsidRDefault="000723E1">
      <w:r>
        <w:t xml:space="preserve">Harsh conditions may seriously affect the TFM with possible delay associated </w:t>
      </w:r>
      <w:r w:rsidR="00AC7A23">
        <w:t xml:space="preserve">for instance </w:t>
      </w:r>
      <w:r>
        <w:t xml:space="preserve">to increased deployment time, difficulties in reaching remote locations or difficult in operations. </w:t>
      </w:r>
      <w:r w:rsidR="00AC7A23">
        <w:t>Detailed studies on emergency service response time</w:t>
      </w:r>
      <w:r w:rsidR="00FD453E">
        <w:t xml:space="preserve"> on land</w:t>
      </w:r>
      <w:r w:rsidR="00AC7A23">
        <w:t xml:space="preserve"> are available in </w:t>
      </w:r>
      <w:r w:rsidR="002069DC">
        <w:t xml:space="preserve">the </w:t>
      </w:r>
      <w:r w:rsidR="00AC7A23">
        <w:t xml:space="preserve">literature based on statistical analyses devoted to fire brigade response </w:t>
      </w:r>
      <w:r w:rsidR="00532125">
        <w:fldChar w:fldCharType="begin" w:fldLock="1"/>
      </w:r>
      <w:r w:rsidR="00131B8A">
        <w:instrText>ADDIN CSL_CITATION { "citationItems" : [ { "id" : "ITEM-1", "itemData" : { "author" : [ { "dropping-particle" : "", "family" : "B M Taylor", "given" : "", "non-dropping-particle" : "", "parse-names" : false, "suffix" : "" } ], "container-title" : "Journal of the Royal Statistical Society. Series A Statistics in Society", "id" : "ITEM-1", "issued" : { "date-parts" : [ [ "2016" ] ] }, "title" : "Spatial modelling of emergency service response times", "type" : "article-journal" }, "uris" : [ "http://www.mendeley.com/documents/?uuid=6bead79a-b73c-49ba-af93-5958ee06052c", "http://www.mendeley.com/documents/?uuid=c127a2a1-8451-4aa4-9145-ef45626cb31a", "http://www.mendeley.com/documents/?uuid=5352de3e-ac4a-45ca-a283-8077f907936f" ] } ], "mendeley" : { "formattedCitation" : "(B M Taylor, 2016)", "manualFormatting" : "(Taylor, 2016)", "plainTextFormattedCitation" : "(B M Taylor, 2016)", "previouslyFormattedCitation" : "(B M Taylor, 2016)" }, "properties" : {  }, "schema" : "https://github.com/citation-style-language/schema/raw/master/csl-citation.json" }</w:instrText>
      </w:r>
      <w:r w:rsidR="00532125">
        <w:fldChar w:fldCharType="separate"/>
      </w:r>
      <w:r w:rsidR="00532125" w:rsidRPr="00532125">
        <w:rPr>
          <w:noProof/>
        </w:rPr>
        <w:t>(Taylor, 2016)</w:t>
      </w:r>
      <w:r w:rsidR="00532125">
        <w:fldChar w:fldCharType="end"/>
      </w:r>
      <w:r w:rsidR="00532125">
        <w:t xml:space="preserve"> and emergency medical service </w:t>
      </w:r>
      <w:r w:rsidR="00F07DC3">
        <w:fldChar w:fldCharType="begin" w:fldLock="1"/>
      </w:r>
      <w:r w:rsidR="00131B8A">
        <w:instrText>ADDIN CSL_CITATION { "citationItems" : [ { "id" : "ITEM-1", "itemData" : { "author" : [ { "dropping-particle" : "", "family" : "Matteson", "given" : "D S", "non-dropping-particle" : "", "parse-names" : false, "suffix" : "" }, { "dropping-particle" : "", "family" : "McLean", "given" : "M W", "non-dropping-particle" : "", "parse-names" : false, "suffix" : "" }, { "dropping-particle" : "", "family" : "Woodard", "given" : "D B", "non-dropping-particle" : "", "parse-names" : false, "suffix" : "" }, { "dropping-particle" : "", "family" : "S G Henderson", "given" : "", "non-dropping-particle" : "", "parse-names" : false, "suffix" : "" } ], "container-title" : "Annals of Applied Statistics", "id" : "ITEM-1", "issued" : { "date-parts" : [ [ "2011" ] ] }, "page" : "1379-1406", "title" : "Forecasting emergency medical service call arrival rates", "type" : "article-journal", "volume" : "5" }, "uris" : [ "http://www.mendeley.com/documents/?uuid=48da6490-e3ec-4e2c-be32-f47d3651ddeb", "http://www.mendeley.com/documents/?uuid=127e0be8-b51f-45a5-9838-2a4929cfc1b3", "http://www.mendeley.com/documents/?uuid=2a969ecb-5187-449f-8b0b-700924460287" ] } ], "mendeley" : { "formattedCitation" : "(Matteson et al., 2011)", "plainTextFormattedCitation" : "(Matteson et al., 2011)", "previouslyFormattedCitation" : "(Matteson et al., 2011)" }, "properties" : {  }, "schema" : "https://github.com/citation-style-language/schema/raw/master/csl-citation.json" }</w:instrText>
      </w:r>
      <w:r w:rsidR="00F07DC3">
        <w:fldChar w:fldCharType="separate"/>
      </w:r>
      <w:r w:rsidR="002A1865" w:rsidRPr="002A1865">
        <w:rPr>
          <w:noProof/>
        </w:rPr>
        <w:t>(Matteson et al., 2011)</w:t>
      </w:r>
      <w:r w:rsidR="00F07DC3">
        <w:fldChar w:fldCharType="end"/>
      </w:r>
      <w:r w:rsidR="00F07DC3">
        <w:t xml:space="preserve">. </w:t>
      </w:r>
      <w:r w:rsidR="00FD453E">
        <w:t xml:space="preserve">In the present </w:t>
      </w:r>
      <w:r w:rsidR="002069DC">
        <w:t>study</w:t>
      </w:r>
      <w:r w:rsidR="00FD453E">
        <w:t xml:space="preserve">, the </w:t>
      </w:r>
      <w:r w:rsidR="00267338">
        <w:t xml:space="preserve">following relationship is adopted in order to </w:t>
      </w:r>
      <w:r w:rsidR="00B23364">
        <w:t xml:space="preserve">take into </w:t>
      </w:r>
      <w:r w:rsidR="00267338">
        <w:t xml:space="preserve">account the delaying effect of harsh environment on the emergency response time: </w:t>
      </w:r>
    </w:p>
    <w:p w14:paraId="3A898844" w14:textId="77777777" w:rsidR="005B4CF4" w:rsidRDefault="005B4CF4" w:rsidP="009270F7"/>
    <w:p w14:paraId="493D6D12" w14:textId="77777777" w:rsidR="005B4CF4" w:rsidRDefault="00FC2205" w:rsidP="009270F7">
      <m:oMath>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sSub>
              <m:sSubPr>
                <m:ctrlPr>
                  <w:rPr>
                    <w:rFonts w:ascii="Cambria Math" w:hAnsi="Cambria Math"/>
                    <w:i/>
                  </w:rPr>
                </m:ctrlPr>
              </m:sSubPr>
              <m:e>
                <m:r>
                  <w:rPr>
                    <w:rFonts w:ascii="Cambria Math" w:hAnsi="Cambria Math"/>
                  </w:rPr>
                  <m:t>τ</m:t>
                </m:r>
              </m:e>
              <m:sub>
                <m:r>
                  <w:rPr>
                    <w:rFonts w:ascii="Cambria Math" w:hAnsi="Cambria Math"/>
                  </w:rPr>
                  <m:t>j</m:t>
                </m:r>
              </m:sub>
            </m:sSub>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m:t>
            </m:r>
          </m:sub>
        </m:sSub>
        <m:d>
          <m:dPr>
            <m:ctrlPr>
              <w:rPr>
                <w:rFonts w:ascii="Cambria Math" w:hAnsi="Cambria Math"/>
                <w:i/>
              </w:rPr>
            </m:ctrlPr>
          </m:dPr>
          <m:e>
            <m:r>
              <w:rPr>
                <w:rFonts w:ascii="Cambria Math" w:hAnsi="Cambria Math"/>
              </w:rPr>
              <m:t>1-HES</m:t>
            </m:r>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oMath>
      <w:r w:rsidR="005B4CF4">
        <w:rPr>
          <w:rFonts w:eastAsiaTheme="minorEastAsia"/>
        </w:rPr>
        <w:t xml:space="preserve">  </w:t>
      </w:r>
      <w:r w:rsidR="005B4CF4">
        <w:rPr>
          <w:rFonts w:eastAsiaTheme="minorEastAsia"/>
        </w:rPr>
        <w:tab/>
      </w:r>
      <w:r w:rsidR="005B4CF4">
        <w:rPr>
          <w:rFonts w:eastAsiaTheme="minorEastAsia"/>
        </w:rPr>
        <w:tab/>
      </w:r>
      <w:r w:rsidR="005B4CF4">
        <w:rPr>
          <w:rFonts w:eastAsiaTheme="minorEastAsia"/>
        </w:rPr>
        <w:tab/>
      </w:r>
      <w:r w:rsidR="005B4CF4">
        <w:rPr>
          <w:rFonts w:eastAsiaTheme="minorEastAsia"/>
        </w:rPr>
        <w:tab/>
      </w:r>
      <w:r w:rsidR="005B4CF4">
        <w:rPr>
          <w:rFonts w:eastAsiaTheme="minorEastAsia"/>
        </w:rPr>
        <w:tab/>
      </w:r>
      <w:r w:rsidR="005B4CF4">
        <w:rPr>
          <w:rFonts w:eastAsiaTheme="minorEastAsia"/>
        </w:rPr>
        <w:tab/>
      </w:r>
      <w:r w:rsidR="005B4CF4">
        <w:rPr>
          <w:rFonts w:eastAsiaTheme="minorEastAsia"/>
        </w:rPr>
        <w:tab/>
      </w:r>
      <w:r w:rsidR="004C65C2">
        <w:rPr>
          <w:rFonts w:eastAsiaTheme="minorEastAsia"/>
        </w:rPr>
        <w:tab/>
      </w:r>
      <w:r w:rsidR="004C65C2">
        <w:rPr>
          <w:rFonts w:eastAsiaTheme="minorEastAsia"/>
        </w:rPr>
        <w:tab/>
      </w:r>
      <w:r w:rsidR="005B4CF4">
        <w:rPr>
          <w:rFonts w:eastAsiaTheme="minorEastAsia"/>
        </w:rPr>
        <w:t>(</w:t>
      </w:r>
      <w:r w:rsidR="003348B8">
        <w:rPr>
          <w:rFonts w:eastAsiaTheme="minorEastAsia"/>
        </w:rPr>
        <w:t>9</w:t>
      </w:r>
      <w:r w:rsidR="005B4CF4">
        <w:rPr>
          <w:rFonts w:eastAsiaTheme="minorEastAsia"/>
        </w:rPr>
        <w:t>)</w:t>
      </w:r>
    </w:p>
    <w:p w14:paraId="548E399C" w14:textId="77777777" w:rsidR="005B4CF4" w:rsidRDefault="005B4CF4" w:rsidP="009270F7"/>
    <w:p w14:paraId="6F44E8FD" w14:textId="77777777" w:rsidR="003A3204" w:rsidRDefault="00FD453E" w:rsidP="009270F7">
      <w:r>
        <w:t xml:space="preserve">where </w:t>
      </w:r>
      <m:oMath>
        <m:sSub>
          <m:sSubPr>
            <m:ctrlPr>
              <w:rPr>
                <w:rFonts w:ascii="Cambria Math" w:hAnsi="Cambria Math"/>
                <w:i/>
              </w:rPr>
            </m:ctrlPr>
          </m:sSubPr>
          <m:e>
            <m:r>
              <w:rPr>
                <w:rFonts w:ascii="Cambria Math" w:hAnsi="Cambria Math"/>
              </w:rPr>
              <m:t>τ</m:t>
            </m:r>
          </m:e>
          <m:sub>
            <m:r>
              <w:rPr>
                <w:rFonts w:ascii="Cambria Math" w:hAnsi="Cambria Math"/>
              </w:rPr>
              <m:t>j</m:t>
            </m:r>
          </m:sub>
        </m:sSub>
      </m:oMath>
      <w:r w:rsidR="003A3204">
        <w:t xml:space="preserve"> is the time needed to perform the generic j-th operation described in </w:t>
      </w:r>
      <w:r w:rsidR="00D76A01">
        <w:t xml:space="preserve">Figure </w:t>
      </w:r>
      <w:r>
        <w:t>3b</w:t>
      </w:r>
      <w:r w:rsidR="003A3204">
        <w:t xml:space="preserve">. The logarithmic relationship has been adopted to scale the intervention time as a function of environmental conditions. This allows </w:t>
      </w:r>
      <w:r w:rsidR="00DA72A3">
        <w:t xml:space="preserve">introducing an increase in the response time even for a limited worsening of environmental conditions (represented by HES score). In order to calibrate the two coefficients </w:t>
      </w:r>
      <m:oMath>
        <m:sSub>
          <m:sSubPr>
            <m:ctrlPr>
              <w:rPr>
                <w:rFonts w:ascii="Cambria Math" w:hAnsi="Cambria Math"/>
                <w:i/>
              </w:rPr>
            </m:ctrlPr>
          </m:sSubPr>
          <m:e>
            <m:r>
              <w:rPr>
                <w:rFonts w:ascii="Cambria Math" w:hAnsi="Cambria Math"/>
              </w:rPr>
              <m:t>c</m:t>
            </m:r>
          </m:e>
          <m:sub>
            <m:r>
              <w:rPr>
                <w:rFonts w:ascii="Cambria Math" w:hAnsi="Cambria Math"/>
              </w:rPr>
              <m:t>j</m:t>
            </m:r>
          </m:sub>
        </m:sSub>
      </m:oMath>
      <w:r w:rsidR="00DA72A3">
        <w:t xml:space="preserve"> and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rsidR="00DA72A3">
        <w:t xml:space="preserve"> in Eq. (</w:t>
      </w:r>
      <w:r w:rsidR="000C457D" w:rsidRPr="000C457D">
        <w:rPr>
          <w:color w:val="FF0000"/>
        </w:rPr>
        <w:t>9</w:t>
      </w:r>
      <w:r w:rsidR="00DA72A3">
        <w:t>), for each operation a time increment associated to harsh environmental conditions need</w:t>
      </w:r>
      <w:r w:rsidR="002069DC">
        <w:t>s</w:t>
      </w:r>
      <w:r w:rsidR="00DA72A3">
        <w:t xml:space="preserve"> to be estimated. </w:t>
      </w:r>
      <w:r w:rsidR="00DF16C8">
        <w:t xml:space="preserve">According to fire brigade statistics published for cold weather areas of North America </w:t>
      </w:r>
      <w:r w:rsidR="00561657">
        <w:fldChar w:fldCharType="begin" w:fldLock="1"/>
      </w:r>
      <w:r w:rsidR="00131B8A">
        <w:instrText>ADDIN CSL_CITATION { "citationItems" : [ { "id" : "ITEM-1", "itemData" : { "author" : [ { "dropping-particle" : "", "family" : "J D Flynn", "given" : "", "non-dropping-particle" : "", "parse-names" : false, "suffix" : "" } ], "id" : "ITEM-1", "issued" : { "date-parts" : [ [ "2009" ] ] }, "publisher-place" : "Quincy (MA)", "title" : "Fire service performance measures", "type" : "report" }, "uris" : [ "http://www.mendeley.com/documents/?uuid=aa50a34c-8c4e-424b-964f-97975466a8cb", "http://www.mendeley.com/documents/?uuid=88725b3a-d5ed-4f51-8ed3-a4912ee3443e", "http://www.mendeley.com/documents/?uuid=10b029e4-ee0e-41c8-bab8-399298a27efc" ] }, { "id" : "ITEM-2", "itemData" : { "author" : [ { "dropping-particle" : "", "family" : "US Fire Administration", "given" : "", "non-dropping-particle" : "", "parse-names" : false, "suffix" : "" } ], "id" : "ITEM-2", "issued" : { "date-parts" : [ [ "2006" ] ] }, "publisher-place" : "Emmitsburg, Maryland", "title" : "Structure fire response times", "type" : "report" }, "uris" : [ "http://www.mendeley.com/documents/?uuid=572ec066-fd27-4559-9119-9470463892d2", "http://www.mendeley.com/documents/?uuid=37ee163b-655c-44ef-8dc4-c9b15671cb11", "http://www.mendeley.com/documents/?uuid=d2e966a6-0eaf-4e67-997f-3bc3adb472aa" ] } ], "mendeley" : { "formattedCitation" : "(J D Flynn, 2009; US Fire Administration, 2006)", "manualFormatting" : "(Flynn, 2009; US Fire Administration, 2006)", "plainTextFormattedCitation" : "(J D Flynn, 2009; US Fire Administration, 2006)", "previouslyFormattedCitation" : "(J D Flynn, 2009; US Fire Administration, 2006)" }, "properties" : {  }, "schema" : "https://github.com/citation-style-language/schema/raw/master/csl-citation.json" }</w:instrText>
      </w:r>
      <w:r w:rsidR="00561657">
        <w:fldChar w:fldCharType="separate"/>
      </w:r>
      <w:r w:rsidR="00561657" w:rsidRPr="00561657">
        <w:rPr>
          <w:noProof/>
        </w:rPr>
        <w:t>(Flynn, 2009; US Fire Administration, 2006)</w:t>
      </w:r>
      <w:r w:rsidR="00561657">
        <w:fldChar w:fldCharType="end"/>
      </w:r>
      <w:r w:rsidR="00561657">
        <w:t xml:space="preserve">, the time for each operation is doubled in harsh environmental conditions with respect to normal environment. Therefore, HES equal to zero </w:t>
      </w:r>
      <w:r w:rsidR="00B23364">
        <w:t xml:space="preserve">it is assumed </w:t>
      </w:r>
      <w:r w:rsidR="00561657">
        <w:t xml:space="preserve">for baseline values and HES equal to one for </w:t>
      </w:r>
      <w:r w:rsidR="00B23364">
        <w:t xml:space="preserve">a doubling of </w:t>
      </w:r>
      <w:r w:rsidR="00561657">
        <w:t xml:space="preserve">times. </w:t>
      </w:r>
    </w:p>
    <w:p w14:paraId="41AB3183" w14:textId="7F10C8A0" w:rsidR="00A135CC" w:rsidRDefault="004354A0" w:rsidP="004354A0">
      <w:r w:rsidRPr="004354A0">
        <w:rPr>
          <w:color w:val="FF0000"/>
        </w:rPr>
        <w:t xml:space="preserve">The baseline </w:t>
      </w:r>
      <w:r>
        <w:rPr>
          <w:color w:val="FF0000"/>
        </w:rPr>
        <w:t xml:space="preserve">value </w:t>
      </w:r>
      <w:r w:rsidRPr="004354A0">
        <w:rPr>
          <w:color w:val="FF0000"/>
        </w:rPr>
        <w:t xml:space="preserve">for the </w:t>
      </w:r>
      <w:r w:rsidR="00561657" w:rsidRPr="004354A0">
        <w:rPr>
          <w:color w:val="FF0000"/>
        </w:rPr>
        <w:t xml:space="preserve">Time to Alert </w:t>
      </w:r>
      <m:oMath>
        <m:sSub>
          <m:sSubPr>
            <m:ctrlPr>
              <w:rPr>
                <w:rFonts w:ascii="Cambria Math" w:hAnsi="Cambria Math"/>
                <w:i/>
                <w:color w:val="FF0000"/>
              </w:rPr>
            </m:ctrlPr>
          </m:sSubPr>
          <m:e>
            <m:r>
              <w:rPr>
                <w:rFonts w:ascii="Cambria Math" w:hAnsi="Cambria Math"/>
                <w:color w:val="FF0000"/>
              </w:rPr>
              <m:t>τ</m:t>
            </m:r>
          </m:e>
          <m:sub>
            <m:r>
              <w:rPr>
                <w:rFonts w:ascii="Cambria Math" w:hAnsi="Cambria Math"/>
                <w:color w:val="FF0000"/>
              </w:rPr>
              <m:t>1</m:t>
            </m:r>
          </m:sub>
        </m:sSub>
      </m:oMath>
      <w:r w:rsidR="00330D54" w:rsidRPr="004354A0">
        <w:rPr>
          <w:color w:val="FF0000"/>
        </w:rPr>
        <w:t xml:space="preserve"> </w:t>
      </w:r>
      <w:r>
        <w:rPr>
          <w:color w:val="FF0000"/>
        </w:rPr>
        <w:t>was set equal to 3 min (Landucci et al. 2017)</w:t>
      </w:r>
      <w:r w:rsidR="004230F9">
        <w:rPr>
          <w:color w:val="FF0000"/>
        </w:rPr>
        <w:t xml:space="preserve">; next, Eq. (9) was applied </w:t>
      </w:r>
      <w:r>
        <w:rPr>
          <w:color w:val="FF0000"/>
        </w:rPr>
        <w:t xml:space="preserve">to estimate the increment in </w:t>
      </w:r>
      <m:oMath>
        <m:sSub>
          <m:sSubPr>
            <m:ctrlPr>
              <w:rPr>
                <w:rFonts w:ascii="Cambria Math" w:hAnsi="Cambria Math"/>
                <w:i/>
                <w:color w:val="FF0000"/>
              </w:rPr>
            </m:ctrlPr>
          </m:sSubPr>
          <m:e>
            <m:r>
              <w:rPr>
                <w:rFonts w:ascii="Cambria Math" w:hAnsi="Cambria Math"/>
                <w:color w:val="FF0000"/>
              </w:rPr>
              <m:t>τ</m:t>
            </m:r>
          </m:e>
          <m:sub>
            <m:r>
              <w:rPr>
                <w:rFonts w:ascii="Cambria Math" w:hAnsi="Cambria Math"/>
                <w:color w:val="FF0000"/>
              </w:rPr>
              <m:t>1</m:t>
            </m:r>
          </m:sub>
        </m:sSub>
      </m:oMath>
      <w:r>
        <w:rPr>
          <w:color w:val="FF0000"/>
        </w:rPr>
        <w:t xml:space="preserve"> </w:t>
      </w:r>
      <w:r w:rsidR="00330D54" w:rsidRPr="004354A0">
        <w:rPr>
          <w:color w:val="FF0000"/>
        </w:rPr>
        <w:t>due to harsh condi</w:t>
      </w:r>
      <w:r>
        <w:rPr>
          <w:color w:val="FF0000"/>
        </w:rPr>
        <w:t>tions in offshore installations:</w:t>
      </w:r>
    </w:p>
    <w:p w14:paraId="5F975551" w14:textId="77777777" w:rsidR="00561657" w:rsidRDefault="00561657" w:rsidP="009270F7"/>
    <w:p w14:paraId="4BB0DF63" w14:textId="33780A50" w:rsidR="005B4CF4" w:rsidRPr="004230F9" w:rsidRDefault="00FC2205">
      <w:pPr>
        <w:rPr>
          <w:color w:val="FF0000"/>
        </w:rPr>
      </w:pPr>
      <m:oMath>
        <m:func>
          <m:funcPr>
            <m:ctrlPr>
              <w:rPr>
                <w:rFonts w:ascii="Cambria Math" w:hAnsi="Cambria Math"/>
                <w:i/>
                <w:color w:val="FF0000"/>
              </w:rPr>
            </m:ctrlPr>
          </m:funcPr>
          <m:fName>
            <m:sSub>
              <m:sSubPr>
                <m:ctrlPr>
                  <w:rPr>
                    <w:rFonts w:ascii="Cambria Math" w:hAnsi="Cambria Math"/>
                    <w:i/>
                    <w:color w:val="FF0000"/>
                  </w:rPr>
                </m:ctrlPr>
              </m:sSubPr>
              <m:e>
                <m:r>
                  <m:rPr>
                    <m:sty m:val="p"/>
                  </m:rPr>
                  <w:rPr>
                    <w:rFonts w:ascii="Cambria Math" w:hAnsi="Cambria Math"/>
                    <w:color w:val="FF0000"/>
                  </w:rPr>
                  <m:t>log</m:t>
                </m:r>
              </m:e>
              <m:sub>
                <m:r>
                  <w:rPr>
                    <w:rFonts w:ascii="Cambria Math" w:hAnsi="Cambria Math"/>
                    <w:color w:val="FF0000"/>
                  </w:rPr>
                  <m:t>10</m:t>
                </m:r>
              </m:sub>
            </m:sSub>
          </m:fName>
          <m:e>
            <m:sSub>
              <m:sSubPr>
                <m:ctrlPr>
                  <w:rPr>
                    <w:rFonts w:ascii="Cambria Math" w:hAnsi="Cambria Math"/>
                    <w:i/>
                    <w:color w:val="FF0000"/>
                  </w:rPr>
                </m:ctrlPr>
              </m:sSubPr>
              <m:e>
                <m:r>
                  <w:rPr>
                    <w:rFonts w:ascii="Cambria Math" w:hAnsi="Cambria Math"/>
                    <w:color w:val="FF0000"/>
                  </w:rPr>
                  <m:t>τ</m:t>
                </m:r>
              </m:e>
              <m:sub>
                <m:r>
                  <w:rPr>
                    <w:rFonts w:ascii="Cambria Math" w:hAnsi="Cambria Math"/>
                    <w:color w:val="FF0000"/>
                  </w:rPr>
                  <m:t>1</m:t>
                </m:r>
              </m:sub>
            </m:sSub>
          </m:e>
        </m:func>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1</m:t>
            </m:r>
          </m:sub>
        </m:sSub>
        <m:d>
          <m:dPr>
            <m:ctrlPr>
              <w:rPr>
                <w:rFonts w:ascii="Cambria Math" w:hAnsi="Cambria Math"/>
                <w:i/>
                <w:color w:val="FF0000"/>
              </w:rPr>
            </m:ctrlPr>
          </m:dPr>
          <m:e>
            <m:r>
              <w:rPr>
                <w:rFonts w:ascii="Cambria Math" w:hAnsi="Cambria Math"/>
                <w:color w:val="FF0000"/>
              </w:rPr>
              <m:t>1-HES</m:t>
            </m:r>
          </m:e>
        </m:d>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1</m:t>
            </m:r>
          </m:sub>
        </m:sSub>
      </m:oMath>
      <w:r w:rsidR="005B4CF4" w:rsidRPr="004230F9">
        <w:rPr>
          <w:color w:val="FF0000"/>
        </w:rPr>
        <w:t xml:space="preserve">  </w:t>
      </w:r>
      <w:r w:rsidR="005B4CF4" w:rsidRPr="004230F9">
        <w:rPr>
          <w:color w:val="FF0000"/>
        </w:rPr>
        <w:tab/>
      </w:r>
      <w:r w:rsidR="004C65C2" w:rsidRPr="004230F9">
        <w:rPr>
          <w:color w:val="FF0000"/>
        </w:rPr>
        <w:tab/>
      </w:r>
      <w:r w:rsidR="004C65C2" w:rsidRPr="004230F9">
        <w:rPr>
          <w:color w:val="FF0000"/>
        </w:rPr>
        <w:tab/>
      </w:r>
      <w:r w:rsidR="004C65C2" w:rsidRPr="004230F9">
        <w:rPr>
          <w:color w:val="FF0000"/>
        </w:rPr>
        <w:tab/>
      </w:r>
      <w:r w:rsidR="004C65C2" w:rsidRPr="004230F9">
        <w:rPr>
          <w:color w:val="FF0000"/>
        </w:rPr>
        <w:tab/>
      </w:r>
      <w:r w:rsidR="004C65C2" w:rsidRPr="004230F9">
        <w:rPr>
          <w:color w:val="FF0000"/>
        </w:rPr>
        <w:tab/>
      </w:r>
      <w:r w:rsidR="004C65C2" w:rsidRPr="004230F9">
        <w:rPr>
          <w:color w:val="FF0000"/>
        </w:rPr>
        <w:tab/>
      </w:r>
      <w:r w:rsidR="005B4CF4" w:rsidRPr="004230F9">
        <w:rPr>
          <w:color w:val="FF0000"/>
        </w:rPr>
        <w:t>(</w:t>
      </w:r>
      <w:r w:rsidR="003348B8" w:rsidRPr="004230F9">
        <w:rPr>
          <w:color w:val="FF0000"/>
        </w:rPr>
        <w:t>10</w:t>
      </w:r>
      <w:r w:rsidR="005B4CF4" w:rsidRPr="004230F9">
        <w:rPr>
          <w:color w:val="FF0000"/>
        </w:rPr>
        <w:t>)</w:t>
      </w:r>
    </w:p>
    <w:p w14:paraId="5B76C66F" w14:textId="281A71E3" w:rsidR="00A135CC" w:rsidRDefault="00A135CC" w:rsidP="009270F7"/>
    <w:p w14:paraId="198FD461" w14:textId="6C9E25E6" w:rsidR="004230F9" w:rsidRPr="004230F9" w:rsidRDefault="004230F9" w:rsidP="009270F7">
      <w:pPr>
        <w:rPr>
          <w:color w:val="FF0000"/>
        </w:rPr>
      </w:pPr>
      <w:r w:rsidRPr="004230F9">
        <w:rPr>
          <w:color w:val="FF0000"/>
        </w:rPr>
        <w:t xml:space="preserve">in which </w:t>
      </w:r>
      <m:oMath>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1</m:t>
            </m:r>
          </m:sub>
        </m:sSub>
      </m:oMath>
      <w:r w:rsidRPr="004230F9">
        <w:rPr>
          <w:color w:val="FF0000"/>
        </w:rPr>
        <w:t xml:space="preserve"> </w:t>
      </w:r>
      <w:r>
        <w:rPr>
          <w:color w:val="FF0000"/>
        </w:rPr>
        <w:t xml:space="preserve">= -0.699 </w:t>
      </w:r>
      <w:r w:rsidRPr="004230F9">
        <w:rPr>
          <w:color w:val="FF0000"/>
        </w:rPr>
        <w:t xml:space="preserve">and </w:t>
      </w:r>
      <m:oMath>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1</m:t>
            </m:r>
          </m:sub>
        </m:sSub>
      </m:oMath>
      <w:r w:rsidRPr="004230F9">
        <w:rPr>
          <w:color w:val="FF0000"/>
        </w:rPr>
        <w:t xml:space="preserve"> </w:t>
      </w:r>
      <w:r>
        <w:rPr>
          <w:color w:val="FF0000"/>
        </w:rPr>
        <w:t>=1.176. The coefficients were obtained applying</w:t>
      </w:r>
      <w:r w:rsidRPr="004230F9">
        <w:rPr>
          <w:color w:val="FF0000"/>
        </w:rPr>
        <w:t xml:space="preserve"> the p</w:t>
      </w:r>
      <w:r>
        <w:rPr>
          <w:color w:val="FF0000"/>
        </w:rPr>
        <w:t>reviously described procedure.</w:t>
      </w:r>
    </w:p>
    <w:p w14:paraId="76A7789F" w14:textId="77777777" w:rsidR="001D640E" w:rsidRDefault="00330D54" w:rsidP="009270F7">
      <w:r>
        <w:t xml:space="preserve">The increase of the Time for External Fire Fighting Intervention </w:t>
      </w:r>
      <m:oMath>
        <m:sSub>
          <m:sSubPr>
            <m:ctrlPr>
              <w:rPr>
                <w:rFonts w:ascii="Cambria Math" w:hAnsi="Cambria Math"/>
                <w:i/>
              </w:rPr>
            </m:ctrlPr>
          </m:sSubPr>
          <m:e>
            <m:r>
              <w:rPr>
                <w:rFonts w:ascii="Cambria Math" w:hAnsi="Cambria Math"/>
              </w:rPr>
              <m:t>τ</m:t>
            </m:r>
          </m:e>
          <m:sub>
            <m:r>
              <w:rPr>
                <w:rFonts w:ascii="Cambria Math" w:hAnsi="Cambria Math"/>
              </w:rPr>
              <m:t>5</m:t>
            </m:r>
          </m:sub>
        </m:sSub>
      </m:oMath>
      <w:r>
        <w:t xml:space="preserve"> is site-specific and has to be evaluated </w:t>
      </w:r>
      <w:r w:rsidR="004C65C2">
        <w:t>based on</w:t>
      </w:r>
      <w:r>
        <w:t xml:space="preserve"> the characteristics </w:t>
      </w:r>
      <w:r w:rsidR="001D640E">
        <w:t>of the emergency response team characteristics</w:t>
      </w:r>
      <w:r>
        <w:t xml:space="preserve">. </w:t>
      </w:r>
      <w:r w:rsidR="001D640E">
        <w:t xml:space="preserve">The external intervention for offshore O&amp;G installation is provided by stand-by safety vessels. Usually more than one vessel is available in the production field and, for areas densely populated, the vessels are normally shared among different installations and operators. The time for vessel intervention depends on its distance from the facility and on its speeds. </w:t>
      </w:r>
    </w:p>
    <w:p w14:paraId="11CB65F9" w14:textId="77777777" w:rsidR="008079DA" w:rsidRPr="00330D54" w:rsidRDefault="001D640E" w:rsidP="009270F7">
      <w:r>
        <w:t xml:space="preserve">In order to evaluate the emergency intervention time, specific field information </w:t>
      </w:r>
      <w:r w:rsidR="00FD453E">
        <w:t>is</w:t>
      </w:r>
      <w:r>
        <w:t xml:space="preserve"> required. As the distance depends on the facility location, the vessel speed is strongly influenced by meteorological parameters as the wave height and the wind intensity. Adverse meteorological conditions result in delays. In order to keep the present approach conservative, </w:t>
      </w:r>
      <w:r w:rsidR="003D4591">
        <w:t>the logarithmic relationship used to evaluate the possible vessel intervention delay (according to Eq. (9)) is tuned considering two extreme conditions. The collection and analysis of specific meteorological data is necessary to identify the worst</w:t>
      </w:r>
      <w:r w:rsidR="00FD453E">
        <w:t>-</w:t>
      </w:r>
      <w:r w:rsidR="003D4591">
        <w:t xml:space="preserve"> and </w:t>
      </w:r>
      <w:r w:rsidR="00FD453E">
        <w:t>best-case</w:t>
      </w:r>
      <w:r w:rsidR="003D4591">
        <w:t xml:space="preserve"> scenarios. The first one is characterized by lower vessel velocities due to adverse meteorological conditions. </w:t>
      </w:r>
      <w:r w:rsidR="00FD453E">
        <w:t>On the contrary</w:t>
      </w:r>
      <w:r w:rsidR="003D4591">
        <w:t xml:space="preserve">, in the </w:t>
      </w:r>
      <w:r w:rsidR="00FD453E">
        <w:t>best-</w:t>
      </w:r>
      <w:r w:rsidR="003D4591">
        <w:t xml:space="preserve">case scenario, the vessel is fast and </w:t>
      </w:r>
      <w:r w:rsidR="002069DC">
        <w:t xml:space="preserve">the </w:t>
      </w:r>
      <w:r w:rsidR="003D4591">
        <w:t>time for approaching the installation is the lowest, as the meteorological effects</w:t>
      </w:r>
      <w:r>
        <w:t xml:space="preserve"> </w:t>
      </w:r>
      <w:r w:rsidR="003D4591">
        <w:t>are negl</w:t>
      </w:r>
      <w:r w:rsidR="002069DC">
        <w:t>igible</w:t>
      </w:r>
      <w:r w:rsidR="003D4591">
        <w:t xml:space="preserve">. </w:t>
      </w:r>
      <w:r w:rsidR="005129D7">
        <w:t xml:space="preserve">Section </w:t>
      </w:r>
      <w:r w:rsidR="00CF192D">
        <w:t>3</w:t>
      </w:r>
      <w:r>
        <w:t xml:space="preserve"> describes the procedure for the reference case considered</w:t>
      </w:r>
      <w:r w:rsidR="00832099">
        <w:t xml:space="preserve">. </w:t>
      </w:r>
    </w:p>
    <w:p w14:paraId="4313BED3" w14:textId="77777777" w:rsidR="00330D54" w:rsidRPr="00330D54" w:rsidRDefault="00330D54" w:rsidP="009270F7"/>
    <w:p w14:paraId="678C756C" w14:textId="77777777" w:rsidR="00C15C3C" w:rsidRDefault="00C15C3C" w:rsidP="009270F7">
      <w:pPr>
        <w:pStyle w:val="Heading2"/>
      </w:pPr>
      <w:r>
        <w:t>2.</w:t>
      </w:r>
      <w:r w:rsidR="00F00CBE">
        <w:t xml:space="preserve">6 </w:t>
      </w:r>
      <w:r>
        <w:t xml:space="preserve">Evaluation of escalation probability </w:t>
      </w:r>
    </w:p>
    <w:p w14:paraId="1281A919" w14:textId="77777777" w:rsidR="008C01BF" w:rsidRDefault="00FD453E" w:rsidP="00E05D1C">
      <w:r>
        <w:t>An ETA assessment is</w:t>
      </w:r>
      <w:r w:rsidR="0047447C">
        <w:t xml:space="preserve"> adopted in this framework</w:t>
      </w:r>
      <w:r w:rsidR="00C97AA9">
        <w:t xml:space="preserve"> to evaluate the</w:t>
      </w:r>
      <w:r w:rsidR="00A94343">
        <w:t xml:space="preserve"> probability and frequency</w:t>
      </w:r>
      <w:r w:rsidR="00C97AA9">
        <w:t xml:space="preserve"> of cascading events triggered by fire</w:t>
      </w:r>
      <w:r w:rsidR="00A94343">
        <w:t xml:space="preserve">. </w:t>
      </w:r>
      <w:r w:rsidR="001E25DD">
        <w:t xml:space="preserve">ETA approach is integrated with the quantitative analysis of barrier performance in order to assess how harsh environmental conditions ultimately affect the probability and frequency of domino scenarios. </w:t>
      </w:r>
      <w:r w:rsidR="00382887">
        <w:t xml:space="preserve">The availability and effectiveness of safety protections </w:t>
      </w:r>
      <w:r w:rsidR="00703D6B">
        <w:t xml:space="preserve">evaluated as described in </w:t>
      </w:r>
      <w:r w:rsidR="00703D6B" w:rsidRPr="008472F8">
        <w:t xml:space="preserve">Sections 2.3 and 2.4 is addressed in the ETA by mean of dedicated logical gates. A summary is shown in Table </w:t>
      </w:r>
      <w:r w:rsidR="00CF192D" w:rsidRPr="008472F8">
        <w:t>5</w:t>
      </w:r>
      <w:r w:rsidR="00703D6B" w:rsidRPr="008472F8">
        <w:t xml:space="preserve">. </w:t>
      </w:r>
      <w:r w:rsidR="00E05D1C">
        <w:t>Gate A represents a simple composite probability. In this case, the availability (expressed in terms of PFD) is multiplied by a single probability value expressing the probability of barrier success in the prevention of the escalation. Gate B represents a composite probability distribution. In this case, the PFD is multiplied by a probability distribution expressing the probability of barrier success in the prevention of escalation, thus obtaining a composite probability of barrier failure on demand. In this work, the integrated probability is adopted, obtaining the rule for gate quantification reported in Table 5. Gate C is associated with a dis</w:t>
      </w:r>
      <w:r w:rsidR="008C01BF">
        <w:t>crete probability distribution.</w:t>
      </w:r>
    </w:p>
    <w:p w14:paraId="1340D709" w14:textId="77777777" w:rsidR="00E25EBD" w:rsidRDefault="00E25EBD" w:rsidP="00E05D1C"/>
    <w:p w14:paraId="39863B87" w14:textId="77777777" w:rsidR="00E25EBD" w:rsidRDefault="00E25EBD" w:rsidP="00E05D1C"/>
    <w:p w14:paraId="6DA679EA" w14:textId="77777777" w:rsidR="00E25EBD" w:rsidRDefault="00E25EBD" w:rsidP="00E05D1C"/>
    <w:p w14:paraId="269FF7FA" w14:textId="77777777" w:rsidR="00E25EBD" w:rsidRPr="008472F8" w:rsidRDefault="00E25EBD" w:rsidP="00E25EBD">
      <w:r w:rsidRPr="008472F8">
        <w:t>Table 5. Summary of gates introduced in the ETA accounting of barrier performance (</w:t>
      </w:r>
      <w:r>
        <w:t xml:space="preserve">adapted </w:t>
      </w:r>
      <w:r w:rsidRPr="008472F8">
        <w:t xml:space="preserve">from </w:t>
      </w:r>
      <w:r w:rsidRPr="008472F8">
        <w:fldChar w:fldCharType="begin" w:fldLock="1"/>
      </w:r>
      <w:r>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"manualFormatting" : "Landucci et al., 2015", "plainTextFormattedCitation" : "(Landucci et al., 2015)", "previouslyFormattedCitation" : "(Landucci et al., 2015)" }, "properties" : {  }, "schema" : "https://github.com/citation-style-language/schema/raw/master/csl-citation.json" }</w:instrText>
      </w:r>
      <w:r w:rsidRPr="008472F8">
        <w:fldChar w:fldCharType="separate"/>
      </w:r>
      <w:r w:rsidRPr="008472F8">
        <w:rPr>
          <w:noProof/>
        </w:rPr>
        <w:t>Landucci et al., 2015</w:t>
      </w:r>
      <w:r w:rsidRPr="008472F8">
        <w:fldChar w:fldCharType="end"/>
      </w:r>
      <w:r w:rsidRPr="008472F8">
        <w:t>, 2016)</w:t>
      </w:r>
    </w:p>
    <w:tbl>
      <w:tblPr>
        <w:tblStyle w:val="TableGrid"/>
        <w:tblW w:w="5000" w:type="pct"/>
        <w:tblLook w:val="04A0" w:firstRow="1" w:lastRow="0" w:firstColumn="1" w:lastColumn="0" w:noHBand="0" w:noVBand="1"/>
      </w:tblPr>
      <w:tblGrid>
        <w:gridCol w:w="669"/>
        <w:gridCol w:w="5196"/>
        <w:gridCol w:w="3151"/>
      </w:tblGrid>
      <w:tr w:rsidR="00E25EBD" w14:paraId="152592E1" w14:textId="77777777" w:rsidTr="00E25EBD">
        <w:tc>
          <w:tcPr>
            <w:tcW w:w="401" w:type="pct"/>
          </w:tcPr>
          <w:p w14:paraId="61F8EFEF" w14:textId="77777777" w:rsidR="00E25EBD" w:rsidRPr="000D14A2" w:rsidRDefault="00E25EBD" w:rsidP="004354A0">
            <w:pPr>
              <w:pStyle w:val="Table"/>
              <w:rPr>
                <w:b/>
              </w:rPr>
            </w:pPr>
            <w:r w:rsidRPr="000D14A2">
              <w:rPr>
                <w:b/>
              </w:rPr>
              <w:t>Gate type</w:t>
            </w:r>
          </w:p>
        </w:tc>
        <w:tc>
          <w:tcPr>
            <w:tcW w:w="1688" w:type="pct"/>
          </w:tcPr>
          <w:p w14:paraId="261993EB" w14:textId="77777777" w:rsidR="00E25EBD" w:rsidRPr="000D14A2" w:rsidRDefault="00E25EBD" w:rsidP="004354A0">
            <w:pPr>
              <w:pStyle w:val="Table"/>
              <w:rPr>
                <w:b/>
              </w:rPr>
            </w:pPr>
            <w:r w:rsidRPr="000D14A2">
              <w:rPr>
                <w:b/>
              </w:rPr>
              <w:t>Graphical representation</w:t>
            </w:r>
          </w:p>
        </w:tc>
        <w:tc>
          <w:tcPr>
            <w:tcW w:w="2911" w:type="pct"/>
          </w:tcPr>
          <w:p w14:paraId="3E4C6E05" w14:textId="77777777" w:rsidR="00E25EBD" w:rsidRPr="000D14A2" w:rsidRDefault="00E25EBD" w:rsidP="004354A0">
            <w:pPr>
              <w:pStyle w:val="Table"/>
              <w:rPr>
                <w:b/>
              </w:rPr>
            </w:pPr>
            <w:r w:rsidRPr="000D14A2">
              <w:rPr>
                <w:b/>
              </w:rPr>
              <w:t>Description</w:t>
            </w:r>
          </w:p>
        </w:tc>
      </w:tr>
      <w:tr w:rsidR="00E25EBD" w:rsidRPr="009270F7" w14:paraId="7BFE90A9" w14:textId="77777777" w:rsidTr="00E25EBD">
        <w:tc>
          <w:tcPr>
            <w:tcW w:w="401" w:type="pct"/>
          </w:tcPr>
          <w:p w14:paraId="5D808C24" w14:textId="77777777" w:rsidR="00E25EBD" w:rsidRDefault="00E25EBD" w:rsidP="004354A0">
            <w:pPr>
              <w:pStyle w:val="Table"/>
            </w:pPr>
            <w:r>
              <w:t>A</w:t>
            </w:r>
          </w:p>
        </w:tc>
        <w:tc>
          <w:tcPr>
            <w:tcW w:w="1688" w:type="pct"/>
            <w:vAlign w:val="center"/>
          </w:tcPr>
          <w:p w14:paraId="278D2915" w14:textId="77777777" w:rsidR="00E25EBD" w:rsidRDefault="00E25EBD" w:rsidP="004354A0">
            <w:pPr>
              <w:pStyle w:val="Table"/>
            </w:pPr>
            <w:r w:rsidRPr="00C43CBA">
              <w:rPr>
                <w:noProof/>
                <w:lang w:val="nb-NO" w:eastAsia="nb-NO"/>
              </w:rPr>
              <w:drawing>
                <wp:inline distT="0" distB="0" distL="0" distR="0" wp14:anchorId="5BBF2FC6" wp14:editId="73FEA195">
                  <wp:extent cx="3162507" cy="731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1212" cy="738160"/>
                          </a:xfrm>
                          <a:prstGeom prst="rect">
                            <a:avLst/>
                          </a:prstGeom>
                          <a:noFill/>
                          <a:ln>
                            <a:noFill/>
                          </a:ln>
                        </pic:spPr>
                      </pic:pic>
                    </a:graphicData>
                  </a:graphic>
                </wp:inline>
              </w:drawing>
            </w:r>
          </w:p>
        </w:tc>
        <w:tc>
          <w:tcPr>
            <w:tcW w:w="2911" w:type="pct"/>
            <w:vAlign w:val="center"/>
          </w:tcPr>
          <w:p w14:paraId="6D6DC299" w14:textId="77777777" w:rsidR="00E25EBD" w:rsidRDefault="00E25EBD" w:rsidP="004354A0">
            <w:pPr>
              <w:pStyle w:val="Table"/>
            </w:pPr>
            <w:r>
              <w:t xml:space="preserve">Simple composite probability. </w:t>
            </w:r>
          </w:p>
          <w:p w14:paraId="26CF5BB9" w14:textId="77777777" w:rsidR="00E25EBD" w:rsidRDefault="00E25EBD" w:rsidP="004354A0">
            <w:pPr>
              <w:pStyle w:val="Table"/>
            </w:pPr>
            <w:r>
              <w:t xml:space="preserve">The availability (PFD) of the barrier is multiplied by a single probability value of effectiveness ƞ. </w:t>
            </w:r>
          </w:p>
        </w:tc>
      </w:tr>
      <w:tr w:rsidR="00E25EBD" w:rsidRPr="009270F7" w14:paraId="2F73321E" w14:textId="77777777" w:rsidTr="00E25EBD">
        <w:tc>
          <w:tcPr>
            <w:tcW w:w="401" w:type="pct"/>
          </w:tcPr>
          <w:p w14:paraId="70009608" w14:textId="77777777" w:rsidR="00E25EBD" w:rsidRDefault="00E25EBD" w:rsidP="004354A0">
            <w:pPr>
              <w:pStyle w:val="Table"/>
            </w:pPr>
            <w:r>
              <w:t>B</w:t>
            </w:r>
          </w:p>
        </w:tc>
        <w:tc>
          <w:tcPr>
            <w:tcW w:w="1688" w:type="pct"/>
            <w:vAlign w:val="center"/>
          </w:tcPr>
          <w:p w14:paraId="6188ADCF" w14:textId="77777777" w:rsidR="00E25EBD" w:rsidRDefault="00E25EBD" w:rsidP="004354A0">
            <w:pPr>
              <w:pStyle w:val="Table"/>
            </w:pPr>
            <w:r w:rsidRPr="00C43CBA">
              <w:rPr>
                <w:noProof/>
                <w:lang w:val="nb-NO" w:eastAsia="nb-NO"/>
              </w:rPr>
              <w:drawing>
                <wp:inline distT="0" distB="0" distL="0" distR="0" wp14:anchorId="0BCFF0B9" wp14:editId="21783746">
                  <wp:extent cx="3093889" cy="65995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471" cy="674587"/>
                          </a:xfrm>
                          <a:prstGeom prst="rect">
                            <a:avLst/>
                          </a:prstGeom>
                          <a:noFill/>
                          <a:ln>
                            <a:noFill/>
                          </a:ln>
                        </pic:spPr>
                      </pic:pic>
                    </a:graphicData>
                  </a:graphic>
                </wp:inline>
              </w:drawing>
            </w:r>
          </w:p>
        </w:tc>
        <w:tc>
          <w:tcPr>
            <w:tcW w:w="2911" w:type="pct"/>
            <w:vAlign w:val="center"/>
          </w:tcPr>
          <w:p w14:paraId="5380D69C" w14:textId="77777777" w:rsidR="00E25EBD" w:rsidRDefault="00E25EBD" w:rsidP="004354A0">
            <w:pPr>
              <w:pStyle w:val="Table"/>
            </w:pPr>
            <w:r>
              <w:t xml:space="preserve">Composite probability distribution. </w:t>
            </w:r>
          </w:p>
          <w:p w14:paraId="10B5F48B" w14:textId="77777777" w:rsidR="00E25EBD" w:rsidRDefault="00E25EBD" w:rsidP="004354A0">
            <w:pPr>
              <w:pStyle w:val="Table"/>
            </w:pPr>
            <w:r>
              <w:t>The availability (PFD) is multiplied by a probability distribution of effectiveness ƞ.</w:t>
            </w:r>
          </w:p>
        </w:tc>
      </w:tr>
      <w:tr w:rsidR="00E25EBD" w:rsidRPr="009270F7" w14:paraId="1A8C5EBF" w14:textId="77777777" w:rsidTr="00E25EBD">
        <w:tc>
          <w:tcPr>
            <w:tcW w:w="401" w:type="pct"/>
          </w:tcPr>
          <w:p w14:paraId="71567685" w14:textId="77777777" w:rsidR="00E25EBD" w:rsidRDefault="00E25EBD" w:rsidP="004354A0">
            <w:pPr>
              <w:pStyle w:val="Table"/>
            </w:pPr>
            <w:r>
              <w:t>C</w:t>
            </w:r>
          </w:p>
        </w:tc>
        <w:tc>
          <w:tcPr>
            <w:tcW w:w="1688" w:type="pct"/>
            <w:vAlign w:val="center"/>
          </w:tcPr>
          <w:p w14:paraId="1D0DD36A" w14:textId="77777777" w:rsidR="00E25EBD" w:rsidRDefault="00E25EBD" w:rsidP="004354A0">
            <w:pPr>
              <w:pStyle w:val="Table"/>
            </w:pPr>
            <w:r w:rsidRPr="00C43CBA">
              <w:rPr>
                <w:noProof/>
                <w:lang w:val="nb-NO" w:eastAsia="nb-NO"/>
              </w:rPr>
              <w:drawing>
                <wp:inline distT="0" distB="0" distL="0" distR="0" wp14:anchorId="513B0F4D" wp14:editId="76102687">
                  <wp:extent cx="2910177" cy="647692"/>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3237" cy="666178"/>
                          </a:xfrm>
                          <a:prstGeom prst="rect">
                            <a:avLst/>
                          </a:prstGeom>
                          <a:noFill/>
                          <a:ln>
                            <a:noFill/>
                          </a:ln>
                        </pic:spPr>
                      </pic:pic>
                    </a:graphicData>
                  </a:graphic>
                </wp:inline>
              </w:drawing>
            </w:r>
          </w:p>
        </w:tc>
        <w:tc>
          <w:tcPr>
            <w:tcW w:w="2911" w:type="pct"/>
            <w:vAlign w:val="center"/>
          </w:tcPr>
          <w:p w14:paraId="3674502B" w14:textId="77777777" w:rsidR="00E25EBD" w:rsidRDefault="00E25EBD" w:rsidP="004354A0">
            <w:pPr>
              <w:pStyle w:val="Table"/>
            </w:pPr>
            <w:r>
              <w:t>Discrete probability distribution.</w:t>
            </w:r>
          </w:p>
          <w:p w14:paraId="2734401D" w14:textId="77777777" w:rsidR="00E25EBD" w:rsidRDefault="00E25EBD" w:rsidP="004354A0">
            <w:pPr>
              <w:pStyle w:val="Table"/>
            </w:pPr>
            <w:r>
              <w:t xml:space="preserve">Depending on the barrier effectiveness, three (or more) events may originate. </w:t>
            </w:r>
          </w:p>
        </w:tc>
      </w:tr>
      <w:tr w:rsidR="00E25EBD" w:rsidRPr="009270F7" w14:paraId="0265E466" w14:textId="77777777" w:rsidTr="00E25EBD">
        <w:tc>
          <w:tcPr>
            <w:tcW w:w="401" w:type="pct"/>
          </w:tcPr>
          <w:p w14:paraId="161B806F" w14:textId="77777777" w:rsidR="00E25EBD" w:rsidRDefault="00E25EBD" w:rsidP="004354A0">
            <w:pPr>
              <w:pStyle w:val="Table"/>
            </w:pPr>
            <w:r>
              <w:t>D</w:t>
            </w:r>
          </w:p>
        </w:tc>
        <w:tc>
          <w:tcPr>
            <w:tcW w:w="1688" w:type="pct"/>
            <w:vAlign w:val="center"/>
          </w:tcPr>
          <w:p w14:paraId="381ADAE5" w14:textId="77777777" w:rsidR="00E25EBD" w:rsidRPr="00C43CBA" w:rsidRDefault="00E25EBD" w:rsidP="004354A0">
            <w:pPr>
              <w:pStyle w:val="Table"/>
              <w:rPr>
                <w:noProof/>
                <w:lang w:eastAsia="nb-NO"/>
              </w:rPr>
            </w:pPr>
            <w:r w:rsidRPr="00D255D2">
              <w:rPr>
                <w:noProof/>
                <w:lang w:val="nb-NO" w:eastAsia="nb-NO"/>
              </w:rPr>
              <w:drawing>
                <wp:inline distT="0" distB="0" distL="0" distR="0" wp14:anchorId="23FDBD4E" wp14:editId="0F5698E9">
                  <wp:extent cx="3038159" cy="7712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2519" cy="777461"/>
                          </a:xfrm>
                          <a:prstGeom prst="rect">
                            <a:avLst/>
                          </a:prstGeom>
                          <a:noFill/>
                          <a:ln>
                            <a:noFill/>
                          </a:ln>
                        </pic:spPr>
                      </pic:pic>
                    </a:graphicData>
                  </a:graphic>
                </wp:inline>
              </w:drawing>
            </w:r>
          </w:p>
        </w:tc>
        <w:tc>
          <w:tcPr>
            <w:tcW w:w="2911" w:type="pct"/>
            <w:vAlign w:val="center"/>
          </w:tcPr>
          <w:p w14:paraId="794C6259" w14:textId="77777777" w:rsidR="00E25EBD" w:rsidRDefault="00E25EBD" w:rsidP="004354A0">
            <w:pPr>
              <w:pStyle w:val="Table"/>
            </w:pPr>
            <w:r>
              <w:t>Vessel fragility gate; P</w:t>
            </w:r>
            <w:r w:rsidRPr="008472F8">
              <w:rPr>
                <w:vertAlign w:val="subscript"/>
              </w:rPr>
              <w:t>d</w:t>
            </w:r>
            <w:r>
              <w:t xml:space="preserve"> is the probability of vessel failure based on equipment vulnerability models</w:t>
            </w:r>
          </w:p>
        </w:tc>
      </w:tr>
    </w:tbl>
    <w:p w14:paraId="19F7DE78" w14:textId="77777777" w:rsidR="00E25EBD" w:rsidRDefault="00E25EBD" w:rsidP="00E25EBD"/>
    <w:p w14:paraId="551E6B06" w14:textId="77777777" w:rsidR="00E25EBD" w:rsidRDefault="00E25EBD" w:rsidP="00E05D1C"/>
    <w:p w14:paraId="0AFCB653" w14:textId="77777777" w:rsidR="00E25EBD" w:rsidRDefault="00E25EBD" w:rsidP="00E05D1C"/>
    <w:p w14:paraId="1BEB4C45" w14:textId="77777777" w:rsidR="00E25EBD" w:rsidRDefault="00E25EBD" w:rsidP="00E05D1C"/>
    <w:p w14:paraId="2CD9BCCC" w14:textId="77777777" w:rsidR="00E25EBD" w:rsidRDefault="00E25EBD">
      <w:pPr>
        <w:spacing w:after="160" w:line="259" w:lineRule="auto"/>
        <w:jc w:val="left"/>
        <w:sectPr w:rsidR="00E25EBD">
          <w:pgSz w:w="11906" w:h="16838"/>
          <w:pgMar w:top="1440" w:right="1440" w:bottom="1440" w:left="1440" w:header="708" w:footer="708" w:gutter="0"/>
          <w:cols w:space="708"/>
          <w:docGrid w:linePitch="360"/>
        </w:sectPr>
      </w:pPr>
    </w:p>
    <w:p w14:paraId="382CADC2" w14:textId="77777777" w:rsidR="00824F79" w:rsidRPr="008472F8" w:rsidRDefault="00824F79" w:rsidP="00824F79">
      <w:r w:rsidRPr="008472F8">
        <w:lastRenderedPageBreak/>
        <w:t xml:space="preserve">Table 6. Calculation of vessel failure probability due to fire exposure accounting </w:t>
      </w:r>
      <w:r w:rsidR="002069DC">
        <w:t>for</w:t>
      </w:r>
      <w:r w:rsidRPr="008472F8">
        <w:t xml:space="preserve"> harsh environment conditions.</w:t>
      </w:r>
    </w:p>
    <w:tbl>
      <w:tblPr>
        <w:tblStyle w:val="TableGrid"/>
        <w:tblW w:w="0" w:type="auto"/>
        <w:tblLook w:val="04A0" w:firstRow="1" w:lastRow="0" w:firstColumn="1" w:lastColumn="0" w:noHBand="0" w:noVBand="1"/>
      </w:tblPr>
      <w:tblGrid>
        <w:gridCol w:w="769"/>
        <w:gridCol w:w="2844"/>
        <w:gridCol w:w="5902"/>
        <w:gridCol w:w="4433"/>
      </w:tblGrid>
      <w:tr w:rsidR="00E25EBD" w:rsidRPr="00824F79" w14:paraId="79AF29B1" w14:textId="77777777" w:rsidTr="00E25EBD">
        <w:tc>
          <w:tcPr>
            <w:tcW w:w="769" w:type="dxa"/>
          </w:tcPr>
          <w:p w14:paraId="2512C88A" w14:textId="77777777" w:rsidR="00E25EBD" w:rsidRPr="000D14A2" w:rsidRDefault="00E25EBD" w:rsidP="00276323">
            <w:pPr>
              <w:pStyle w:val="Table"/>
              <w:rPr>
                <w:b/>
              </w:rPr>
            </w:pPr>
            <w:r w:rsidRPr="000D14A2">
              <w:rPr>
                <w:b/>
              </w:rPr>
              <w:t xml:space="preserve">Item </w:t>
            </w:r>
          </w:p>
        </w:tc>
        <w:tc>
          <w:tcPr>
            <w:tcW w:w="2844" w:type="dxa"/>
          </w:tcPr>
          <w:p w14:paraId="5CA42089" w14:textId="77777777" w:rsidR="00E25EBD" w:rsidRPr="000D14A2" w:rsidRDefault="00E25EBD" w:rsidP="00276323">
            <w:pPr>
              <w:pStyle w:val="Table"/>
              <w:rPr>
                <w:b/>
              </w:rPr>
            </w:pPr>
            <w:r w:rsidRPr="000D14A2">
              <w:rPr>
                <w:b/>
              </w:rPr>
              <w:t xml:space="preserve">Definition </w:t>
            </w:r>
          </w:p>
        </w:tc>
        <w:tc>
          <w:tcPr>
            <w:tcW w:w="5902" w:type="dxa"/>
          </w:tcPr>
          <w:p w14:paraId="1F810FC6" w14:textId="77777777" w:rsidR="00E25EBD" w:rsidRPr="00E25EBD" w:rsidRDefault="00E25EBD" w:rsidP="00276323">
            <w:pPr>
              <w:pStyle w:val="Table"/>
              <w:rPr>
                <w:b/>
                <w:color w:val="FF0000"/>
              </w:rPr>
            </w:pPr>
            <w:r w:rsidRPr="00E25EBD">
              <w:rPr>
                <w:b/>
                <w:color w:val="FF0000"/>
              </w:rPr>
              <w:t>Description</w:t>
            </w:r>
          </w:p>
        </w:tc>
        <w:tc>
          <w:tcPr>
            <w:tcW w:w="4433" w:type="dxa"/>
          </w:tcPr>
          <w:p w14:paraId="3546D6E7" w14:textId="77777777" w:rsidR="00E25EBD" w:rsidRPr="00E25EBD" w:rsidRDefault="00E25EBD" w:rsidP="00276323">
            <w:pPr>
              <w:pStyle w:val="Table"/>
              <w:rPr>
                <w:b/>
                <w:color w:val="FF0000"/>
              </w:rPr>
            </w:pPr>
            <w:r w:rsidRPr="00E25EBD">
              <w:rPr>
                <w:b/>
                <w:color w:val="FF0000"/>
              </w:rPr>
              <w:t>Reference</w:t>
            </w:r>
          </w:p>
        </w:tc>
      </w:tr>
      <w:tr w:rsidR="00E25EBD" w14:paraId="76E36DF2" w14:textId="77777777" w:rsidTr="00E25EBD">
        <w:tc>
          <w:tcPr>
            <w:tcW w:w="769" w:type="dxa"/>
          </w:tcPr>
          <w:p w14:paraId="4FDF59F8" w14:textId="77777777" w:rsidR="00E25EBD" w:rsidRDefault="00E25EBD" w:rsidP="00276323">
            <w:pPr>
              <w:pStyle w:val="Table"/>
            </w:pPr>
            <m:oMathPara>
              <m:oMath>
                <m:r>
                  <w:rPr>
                    <w:rFonts w:ascii="Cambria Math" w:hAnsi="Cambria Math"/>
                  </w:rPr>
                  <m:t>Y</m:t>
                </m:r>
              </m:oMath>
            </m:oMathPara>
          </w:p>
        </w:tc>
        <w:tc>
          <w:tcPr>
            <w:tcW w:w="2844" w:type="dxa"/>
          </w:tcPr>
          <w:p w14:paraId="468B63DF" w14:textId="77777777" w:rsidR="00E25EBD" w:rsidRDefault="00E25EBD" w:rsidP="00276323">
            <w:pPr>
              <w:pStyle w:val="Table"/>
            </w:pPr>
            <w:r>
              <w:t xml:space="preserve">Probit value </w:t>
            </w:r>
          </w:p>
        </w:tc>
        <w:tc>
          <w:tcPr>
            <w:tcW w:w="5902" w:type="dxa"/>
          </w:tcPr>
          <w:p w14:paraId="6C83479D" w14:textId="77777777" w:rsidR="00E25EBD" w:rsidRDefault="00E25EBD" w:rsidP="00E25EBD">
            <w:pPr>
              <w:pStyle w:val="Table"/>
              <w:jc w:val="left"/>
            </w:pPr>
            <m:oMathPara>
              <m:oMath>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func>
                  <m:funcPr>
                    <m:ctrlPr>
                      <w:rPr>
                        <w:rFonts w:ascii="Cambria Math" w:hAnsi="Cambria Math"/>
                      </w:rPr>
                    </m:ctrlPr>
                  </m:funcPr>
                  <m:fName>
                    <m:r>
                      <m:rPr>
                        <m:sty m:val="p"/>
                      </m:rPr>
                      <w:rPr>
                        <w:rFonts w:ascii="Cambria Math" w:hAnsi="Cambria Math"/>
                      </w:rPr>
                      <m:t>ln</m:t>
                    </m:r>
                  </m:fName>
                  <m:e>
                    <m:r>
                      <w:rPr>
                        <w:rFonts w:ascii="Cambria Math" w:hAnsi="Cambria Math"/>
                      </w:rPr>
                      <m:t>TTF</m:t>
                    </m:r>
                  </m:e>
                </m:func>
              </m:oMath>
            </m:oMathPara>
          </w:p>
        </w:tc>
        <w:tc>
          <w:tcPr>
            <w:tcW w:w="4433" w:type="dxa"/>
          </w:tcPr>
          <w:p w14:paraId="035F3791" w14:textId="77777777" w:rsidR="00E25EBD" w:rsidRDefault="00E25EBD" w:rsidP="00276323">
            <w:pPr>
              <w:pStyle w:val="Table"/>
              <w:rPr>
                <w:rFonts w:ascii="Calibri Light" w:eastAsia="Times New Roman" w:hAnsi="Calibri Light"/>
              </w:rPr>
            </w:pPr>
            <w:r w:rsidRPr="00E25EBD">
              <w:rPr>
                <w:color w:val="FF0000"/>
                <w:lang w:val="fr-FR"/>
              </w:rPr>
              <w:t>(Landucci et al., 2009)</w:t>
            </w:r>
          </w:p>
        </w:tc>
      </w:tr>
      <w:tr w:rsidR="00E25EBD" w14:paraId="6EC84C86" w14:textId="77777777" w:rsidTr="00E25EBD">
        <w:tc>
          <w:tcPr>
            <w:tcW w:w="769" w:type="dxa"/>
          </w:tcPr>
          <w:p w14:paraId="0DFDC691" w14:textId="77777777" w:rsidR="00E25EBD" w:rsidRDefault="00FC2205" w:rsidP="00276323">
            <w:pPr>
              <w:pStyle w:val="Table"/>
            </w:pPr>
            <m:oMathPara>
              <m:oMath>
                <m:sSub>
                  <m:sSubPr>
                    <m:ctrlPr>
                      <w:rPr>
                        <w:rFonts w:ascii="Cambria Math" w:hAnsi="Cambria Math"/>
                      </w:rPr>
                    </m:ctrlPr>
                  </m:sSubPr>
                  <m:e>
                    <m:r>
                      <w:rPr>
                        <w:rFonts w:ascii="Cambria Math" w:hAnsi="Cambria Math"/>
                      </w:rPr>
                      <m:t>k</m:t>
                    </m:r>
                  </m:e>
                  <m:sub>
                    <m:r>
                      <m:rPr>
                        <m:sty m:val="p"/>
                      </m:rPr>
                      <w:rPr>
                        <w:rFonts w:ascii="Cambria Math" w:hAnsi="Cambria Math"/>
                      </w:rPr>
                      <m:t>1</m:t>
                    </m:r>
                  </m:sub>
                </m:sSub>
              </m:oMath>
            </m:oMathPara>
          </w:p>
        </w:tc>
        <w:tc>
          <w:tcPr>
            <w:tcW w:w="2844" w:type="dxa"/>
          </w:tcPr>
          <w:p w14:paraId="5BB760A5" w14:textId="77777777" w:rsidR="00E25EBD" w:rsidRDefault="00E25EBD" w:rsidP="00276323">
            <w:pPr>
              <w:pStyle w:val="Table"/>
            </w:pPr>
            <w:r>
              <w:t>Probit coefficient 1</w:t>
            </w:r>
          </w:p>
        </w:tc>
        <w:tc>
          <w:tcPr>
            <w:tcW w:w="5902" w:type="dxa"/>
          </w:tcPr>
          <w:p w14:paraId="25038E15" w14:textId="77777777" w:rsidR="00E25EBD" w:rsidRDefault="00FC2205" w:rsidP="00E25EBD">
            <w:pPr>
              <w:pStyle w:val="Table"/>
              <w:jc w:val="left"/>
            </w:pPr>
            <m:oMathPara>
              <m:oMath>
                <m:sSub>
                  <m:sSubPr>
                    <m:ctrlPr>
                      <w:rPr>
                        <w:rFonts w:ascii="Cambria Math" w:hAnsi="Cambria Math"/>
                      </w:rPr>
                    </m:ctrlPr>
                  </m:sSubPr>
                  <m:e>
                    <m:r>
                      <w:rPr>
                        <w:rFonts w:ascii="Cambria Math" w:hAnsi="Cambria Math"/>
                      </w:rPr>
                      <m:t>k</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3.718</m:t>
                    </m:r>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τ</m:t>
                            </m:r>
                          </m:e>
                          <m:sub>
                            <m:r>
                              <m:rPr>
                                <m:sty m:val="p"/>
                              </m:rPr>
                              <w:rPr>
                                <w:rFonts w:ascii="Cambria Math" w:hAnsi="Cambria Math"/>
                              </w:rPr>
                              <m:t>1</m:t>
                            </m:r>
                          </m:sub>
                        </m:sSub>
                        <m:r>
                          <m:rPr>
                            <m:sty m:val="p"/>
                          </m:rPr>
                          <w:rPr>
                            <w:rFonts w:ascii="Cambria Math" w:hAnsi="Cambria Math"/>
                          </w:rPr>
                          <m:t>-6.283</m:t>
                        </m:r>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τ</m:t>
                                </m:r>
                              </m:e>
                              <m:sub>
                                <m:r>
                                  <m:rPr>
                                    <m:sty m:val="p"/>
                                  </m:rPr>
                                  <w:rPr>
                                    <w:rFonts w:ascii="Cambria Math" w:hAnsi="Cambria Math"/>
                                  </w:rPr>
                                  <m:t>2</m:t>
                                </m:r>
                              </m:sub>
                            </m:sSub>
                          </m:e>
                        </m:func>
                      </m:e>
                    </m:func>
                  </m:num>
                  <m:den>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τ</m:t>
                            </m:r>
                          </m:e>
                          <m:sub>
                            <m:r>
                              <m:rPr>
                                <m:sty m:val="p"/>
                              </m:rPr>
                              <w:rPr>
                                <w:rFonts w:ascii="Cambria Math" w:hAnsi="Cambria Math"/>
                              </w:rPr>
                              <m:t>1</m:t>
                            </m:r>
                          </m:sub>
                        </m:sSub>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τ</m:t>
                            </m:r>
                          </m:e>
                          <m:sub>
                            <m:r>
                              <m:rPr>
                                <m:sty m:val="p"/>
                              </m:rPr>
                              <w:rPr>
                                <w:rFonts w:ascii="Cambria Math" w:hAnsi="Cambria Math"/>
                              </w:rPr>
                              <m:t>2</m:t>
                            </m:r>
                          </m:sub>
                        </m:sSub>
                      </m:e>
                    </m:func>
                  </m:den>
                </m:f>
              </m:oMath>
            </m:oMathPara>
          </w:p>
        </w:tc>
        <w:tc>
          <w:tcPr>
            <w:tcW w:w="4433" w:type="dxa"/>
          </w:tcPr>
          <w:p w14:paraId="146E83F0" w14:textId="77777777" w:rsidR="00E25EBD" w:rsidRDefault="00E25EBD" w:rsidP="00276323">
            <w:pPr>
              <w:pStyle w:val="Table"/>
              <w:rPr>
                <w:rFonts w:ascii="Calibri Light" w:eastAsia="Times New Roman" w:hAnsi="Calibri Light"/>
              </w:rPr>
            </w:pPr>
            <w:r w:rsidRPr="00E25EBD">
              <w:rPr>
                <w:color w:val="FF0000"/>
                <w:lang w:val="fr-FR"/>
              </w:rPr>
              <w:t>(Landucci et al., 2009)</w:t>
            </w:r>
          </w:p>
        </w:tc>
      </w:tr>
      <w:tr w:rsidR="00E25EBD" w14:paraId="4DC38CC4" w14:textId="77777777" w:rsidTr="00E25EBD">
        <w:tc>
          <w:tcPr>
            <w:tcW w:w="769" w:type="dxa"/>
          </w:tcPr>
          <w:p w14:paraId="152CB5AE" w14:textId="77777777" w:rsidR="00E25EBD" w:rsidRDefault="00FC2205" w:rsidP="00276323">
            <w:pPr>
              <w:pStyle w:val="Table"/>
            </w:pPr>
            <m:oMathPara>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oMath>
            </m:oMathPara>
          </w:p>
        </w:tc>
        <w:tc>
          <w:tcPr>
            <w:tcW w:w="2844" w:type="dxa"/>
          </w:tcPr>
          <w:p w14:paraId="6F429792" w14:textId="77777777" w:rsidR="00E25EBD" w:rsidRDefault="00E25EBD" w:rsidP="00276323">
            <w:pPr>
              <w:pStyle w:val="Table"/>
            </w:pPr>
            <w:r>
              <w:t xml:space="preserve">Probit coefficient 2 </w:t>
            </w:r>
          </w:p>
        </w:tc>
        <w:tc>
          <w:tcPr>
            <w:tcW w:w="5902" w:type="dxa"/>
          </w:tcPr>
          <w:p w14:paraId="68BDA131" w14:textId="77777777" w:rsidR="00E25EBD" w:rsidRDefault="00FC2205" w:rsidP="00E25EBD">
            <w:pPr>
              <w:pStyle w:val="Table"/>
              <w:jc w:val="left"/>
            </w:pPr>
            <m:oMathPara>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2.565</m:t>
                    </m:r>
                  </m:num>
                  <m:den>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τ</m:t>
                            </m:r>
                          </m:e>
                          <m:sub>
                            <m:r>
                              <m:rPr>
                                <m:sty m:val="p"/>
                              </m:rPr>
                              <w:rPr>
                                <w:rFonts w:ascii="Cambria Math" w:hAnsi="Cambria Math"/>
                              </w:rPr>
                              <m:t>1</m:t>
                            </m:r>
                          </m:sub>
                        </m:sSub>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τ</m:t>
                            </m:r>
                          </m:e>
                          <m:sub>
                            <m:r>
                              <m:rPr>
                                <m:sty m:val="p"/>
                              </m:rPr>
                              <w:rPr>
                                <w:rFonts w:ascii="Cambria Math" w:hAnsi="Cambria Math"/>
                              </w:rPr>
                              <m:t>2</m:t>
                            </m:r>
                          </m:sub>
                        </m:sSub>
                      </m:e>
                    </m:func>
                  </m:den>
                </m:f>
              </m:oMath>
            </m:oMathPara>
          </w:p>
        </w:tc>
        <w:tc>
          <w:tcPr>
            <w:tcW w:w="4433" w:type="dxa"/>
          </w:tcPr>
          <w:p w14:paraId="4DDDB708" w14:textId="77777777" w:rsidR="00E25EBD" w:rsidRDefault="00E25EBD" w:rsidP="00276323">
            <w:pPr>
              <w:pStyle w:val="Table"/>
              <w:rPr>
                <w:rFonts w:eastAsia="Calibri"/>
              </w:rPr>
            </w:pPr>
            <w:r w:rsidRPr="00E25EBD">
              <w:rPr>
                <w:color w:val="FF0000"/>
                <w:lang w:val="fr-FR"/>
              </w:rPr>
              <w:t>(Landucci et al., 2009)</w:t>
            </w:r>
          </w:p>
        </w:tc>
      </w:tr>
      <w:tr w:rsidR="00E25EBD" w14:paraId="28A66790" w14:textId="77777777" w:rsidTr="00E25EBD">
        <w:tc>
          <w:tcPr>
            <w:tcW w:w="769" w:type="dxa"/>
          </w:tcPr>
          <w:p w14:paraId="61FC1364" w14:textId="77777777" w:rsidR="00E25EBD" w:rsidRDefault="00FC2205" w:rsidP="00276323">
            <w:pPr>
              <w:pStyle w:val="Table"/>
            </w:pPr>
            <m:oMathPara>
              <m:oMath>
                <m:sSub>
                  <m:sSubPr>
                    <m:ctrlPr>
                      <w:rPr>
                        <w:rFonts w:ascii="Cambria Math" w:hAnsi="Cambria Math"/>
                      </w:rPr>
                    </m:ctrlPr>
                  </m:sSubPr>
                  <m:e>
                    <m:r>
                      <w:rPr>
                        <w:rFonts w:ascii="Cambria Math" w:hAnsi="Cambria Math"/>
                      </w:rPr>
                      <m:t>τ</m:t>
                    </m:r>
                  </m:e>
                  <m:sub>
                    <m:r>
                      <m:rPr>
                        <m:sty m:val="p"/>
                      </m:rPr>
                      <w:rPr>
                        <w:rFonts w:ascii="Cambria Math" w:hAnsi="Cambria Math"/>
                      </w:rPr>
                      <m:t>1</m:t>
                    </m:r>
                  </m:sub>
                </m:sSub>
              </m:oMath>
            </m:oMathPara>
          </w:p>
        </w:tc>
        <w:tc>
          <w:tcPr>
            <w:tcW w:w="2844" w:type="dxa"/>
          </w:tcPr>
          <w:p w14:paraId="1E80DB84" w14:textId="77777777" w:rsidR="00E25EBD" w:rsidRDefault="00E25EBD" w:rsidP="00276323">
            <w:pPr>
              <w:pStyle w:val="Table"/>
            </w:pPr>
            <w:r>
              <w:t xml:space="preserve">Time to alert </w:t>
            </w:r>
          </w:p>
        </w:tc>
        <w:tc>
          <w:tcPr>
            <w:tcW w:w="5902" w:type="dxa"/>
          </w:tcPr>
          <w:p w14:paraId="507217EA" w14:textId="77777777" w:rsidR="00E25EBD" w:rsidRDefault="00E25EBD" w:rsidP="00276323">
            <w:pPr>
              <w:pStyle w:val="Table"/>
            </w:pPr>
            <w:r>
              <w:t>See Section 2.5</w:t>
            </w:r>
          </w:p>
        </w:tc>
        <w:tc>
          <w:tcPr>
            <w:tcW w:w="4433" w:type="dxa"/>
          </w:tcPr>
          <w:p w14:paraId="440C585B" w14:textId="77777777" w:rsidR="00E25EBD" w:rsidRDefault="00E25EBD" w:rsidP="00276323">
            <w:pPr>
              <w:pStyle w:val="Table"/>
            </w:pPr>
            <w:r>
              <w:t>-</w:t>
            </w:r>
          </w:p>
        </w:tc>
      </w:tr>
      <w:tr w:rsidR="00E25EBD" w14:paraId="40889097" w14:textId="77777777" w:rsidTr="00E25EBD">
        <w:tc>
          <w:tcPr>
            <w:tcW w:w="769" w:type="dxa"/>
          </w:tcPr>
          <w:p w14:paraId="12DFC440" w14:textId="77777777" w:rsidR="00E25EBD" w:rsidRDefault="00FC2205" w:rsidP="00276323">
            <w:pPr>
              <w:pStyle w:val="Table"/>
            </w:pPr>
            <m:oMathPara>
              <m:oMath>
                <m:sSub>
                  <m:sSubPr>
                    <m:ctrlPr>
                      <w:rPr>
                        <w:rFonts w:ascii="Cambria Math" w:hAnsi="Cambria Math"/>
                      </w:rPr>
                    </m:ctrlPr>
                  </m:sSubPr>
                  <m:e>
                    <m:r>
                      <w:rPr>
                        <w:rFonts w:ascii="Cambria Math" w:hAnsi="Cambria Math"/>
                      </w:rPr>
                      <m:t>τ</m:t>
                    </m:r>
                  </m:e>
                  <m:sub>
                    <m:r>
                      <m:rPr>
                        <m:sty m:val="p"/>
                      </m:rPr>
                      <w:rPr>
                        <w:rFonts w:ascii="Cambria Math" w:hAnsi="Cambria Math"/>
                      </w:rPr>
                      <m:t>2</m:t>
                    </m:r>
                  </m:sub>
                </m:sSub>
              </m:oMath>
            </m:oMathPara>
          </w:p>
        </w:tc>
        <w:tc>
          <w:tcPr>
            <w:tcW w:w="2844" w:type="dxa"/>
          </w:tcPr>
          <w:p w14:paraId="2D7882EC" w14:textId="77777777" w:rsidR="00E25EBD" w:rsidRDefault="00E25EBD" w:rsidP="00276323">
            <w:pPr>
              <w:pStyle w:val="Table"/>
            </w:pPr>
            <w:r>
              <w:t xml:space="preserve">Time for external firefighting intervention </w:t>
            </w:r>
          </w:p>
        </w:tc>
        <w:tc>
          <w:tcPr>
            <w:tcW w:w="5902" w:type="dxa"/>
          </w:tcPr>
          <w:p w14:paraId="03437001" w14:textId="77777777" w:rsidR="00E25EBD" w:rsidRDefault="00E25EBD" w:rsidP="00276323">
            <w:pPr>
              <w:pStyle w:val="Table"/>
            </w:pPr>
            <w:r>
              <w:t>See Section 2.5</w:t>
            </w:r>
          </w:p>
        </w:tc>
        <w:tc>
          <w:tcPr>
            <w:tcW w:w="4433" w:type="dxa"/>
          </w:tcPr>
          <w:p w14:paraId="4D2C88CA" w14:textId="77777777" w:rsidR="00E25EBD" w:rsidRDefault="00E25EBD" w:rsidP="00276323">
            <w:pPr>
              <w:pStyle w:val="Table"/>
            </w:pPr>
            <w:r>
              <w:t>-</w:t>
            </w:r>
          </w:p>
        </w:tc>
      </w:tr>
      <w:tr w:rsidR="00E25EBD" w14:paraId="0D9DF25D" w14:textId="77777777" w:rsidTr="00E25EBD">
        <w:tc>
          <w:tcPr>
            <w:tcW w:w="769" w:type="dxa"/>
          </w:tcPr>
          <w:p w14:paraId="521FCE37" w14:textId="77777777" w:rsidR="00E25EBD" w:rsidRDefault="00E25EBD" w:rsidP="00276323">
            <w:pPr>
              <w:pStyle w:val="Table"/>
            </w:pPr>
            <m:oMathPara>
              <m:oMath>
                <m:r>
                  <w:rPr>
                    <w:rFonts w:ascii="Cambria Math" w:hAnsi="Cambria Math"/>
                  </w:rPr>
                  <m:t>TTF</m:t>
                </m:r>
              </m:oMath>
            </m:oMathPara>
          </w:p>
        </w:tc>
        <w:tc>
          <w:tcPr>
            <w:tcW w:w="2844" w:type="dxa"/>
          </w:tcPr>
          <w:p w14:paraId="2936FA42" w14:textId="77777777" w:rsidR="00E25EBD" w:rsidRDefault="00E25EBD" w:rsidP="00276323">
            <w:pPr>
              <w:pStyle w:val="Table"/>
            </w:pPr>
            <w:r>
              <w:t>Time to Failure of the target vessel (min)</w:t>
            </w:r>
          </w:p>
        </w:tc>
        <w:tc>
          <w:tcPr>
            <w:tcW w:w="5902" w:type="dxa"/>
          </w:tcPr>
          <w:p w14:paraId="3D2B8D7E" w14:textId="77777777" w:rsidR="00E25EBD" w:rsidRDefault="00E25EBD" w:rsidP="00276323">
            <w:pPr>
              <w:pStyle w:val="Table"/>
            </w:pPr>
            <m:oMathPara>
              <m:oMath>
                <m:r>
                  <w:rPr>
                    <w:rFonts w:ascii="Cambria Math" w:hAnsi="Cambria Math"/>
                  </w:rPr>
                  <m:t>TTF</m:t>
                </m:r>
                <m:r>
                  <m:rPr>
                    <m:sty m:val="p"/>
                  </m:rPr>
                  <w:rPr>
                    <w:rFonts w:ascii="Cambria Math" w:hAnsi="Cambria Math"/>
                  </w:rPr>
                  <m:t>=</m:t>
                </m:r>
                <m:sSub>
                  <m:sSubPr>
                    <m:ctrlPr>
                      <w:rPr>
                        <w:rFonts w:ascii="Cambria Math" w:hAnsi="Cambria Math"/>
                      </w:rPr>
                    </m:ctrlPr>
                  </m:sSubPr>
                  <m:e>
                    <m:r>
                      <w:rPr>
                        <w:rFonts w:ascii="Cambria Math" w:hAnsi="Cambria Math"/>
                      </w:rPr>
                      <m:t>TTF</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TTF</m:t>
                    </m:r>
                  </m:e>
                  <m:sub>
                    <m:r>
                      <w:rPr>
                        <w:rFonts w:ascii="Cambria Math" w:hAnsi="Cambria Math"/>
                      </w:rPr>
                      <m:t>p</m:t>
                    </m:r>
                  </m:sub>
                </m:sSub>
              </m:oMath>
            </m:oMathPara>
          </w:p>
        </w:tc>
        <w:tc>
          <w:tcPr>
            <w:tcW w:w="4433" w:type="dxa"/>
          </w:tcPr>
          <w:p w14:paraId="4ADFFA9B" w14:textId="41E377F0" w:rsidR="00E25EBD" w:rsidRDefault="00983AAF" w:rsidP="00276323">
            <w:pPr>
              <w:pStyle w:val="Table"/>
              <w:rPr>
                <w:rFonts w:eastAsia="Calibri"/>
              </w:rPr>
            </w:pPr>
            <w:r w:rsidRPr="00983AAF">
              <w:rPr>
                <w:color w:val="FF0000"/>
              </w:rPr>
              <w:fldChar w:fldCharType="begin" w:fldLock="1"/>
            </w:r>
            <w:r w:rsidRPr="00983AAF">
              <w:rPr>
                <w:color w:val="FF0000"/>
              </w:rPr>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"plainTextFormattedCitation" : "(Landucci et al., 2015)", "previouslyFormattedCitation" : "(Landucci et al., 2015)" }, "properties" : {  }, "schema" : "https://github.com/citation-style-language/schema/raw/master/csl-citation.json" }</w:instrText>
            </w:r>
            <w:r w:rsidRPr="00983AAF">
              <w:rPr>
                <w:color w:val="FF0000"/>
              </w:rPr>
              <w:fldChar w:fldCharType="separate"/>
            </w:r>
            <w:r w:rsidRPr="00983AAF">
              <w:rPr>
                <w:noProof/>
                <w:color w:val="FF0000"/>
              </w:rPr>
              <w:t>(Landucci et al., 2015)</w:t>
            </w:r>
            <w:r w:rsidRPr="00983AAF">
              <w:rPr>
                <w:color w:val="FF0000"/>
              </w:rPr>
              <w:fldChar w:fldCharType="end"/>
            </w:r>
          </w:p>
        </w:tc>
      </w:tr>
      <w:tr w:rsidR="00E25EBD" w14:paraId="5FF38DB9" w14:textId="77777777" w:rsidTr="00E25EBD">
        <w:tc>
          <w:tcPr>
            <w:tcW w:w="769" w:type="dxa"/>
          </w:tcPr>
          <w:p w14:paraId="7F679C65" w14:textId="77777777" w:rsidR="00E25EBD" w:rsidRDefault="00FC2205" w:rsidP="00276323">
            <w:pPr>
              <w:pStyle w:val="Table"/>
            </w:pPr>
            <m:oMathPara>
              <m:oMath>
                <m:sSub>
                  <m:sSubPr>
                    <m:ctrlPr>
                      <w:rPr>
                        <w:rFonts w:ascii="Cambria Math" w:hAnsi="Cambria Math"/>
                      </w:rPr>
                    </m:ctrlPr>
                  </m:sSubPr>
                  <m:e>
                    <m:r>
                      <w:rPr>
                        <w:rFonts w:ascii="Cambria Math" w:hAnsi="Cambria Math"/>
                      </w:rPr>
                      <m:t>TTF</m:t>
                    </m:r>
                  </m:e>
                  <m:sub>
                    <m:r>
                      <w:rPr>
                        <w:rFonts w:ascii="Cambria Math" w:hAnsi="Cambria Math"/>
                      </w:rPr>
                      <m:t>t</m:t>
                    </m:r>
                  </m:sub>
                </m:sSub>
              </m:oMath>
            </m:oMathPara>
          </w:p>
        </w:tc>
        <w:tc>
          <w:tcPr>
            <w:tcW w:w="2844" w:type="dxa"/>
          </w:tcPr>
          <w:p w14:paraId="44E7BAE3" w14:textId="77777777" w:rsidR="00E25EBD" w:rsidRDefault="00E25EBD" w:rsidP="00276323">
            <w:pPr>
              <w:pStyle w:val="Table"/>
            </w:pPr>
            <w:r>
              <w:t xml:space="preserve">Time to failure of unprotected vessel (min) </w:t>
            </w:r>
          </w:p>
        </w:tc>
        <w:tc>
          <w:tcPr>
            <w:tcW w:w="5902" w:type="dxa"/>
          </w:tcPr>
          <w:p w14:paraId="08F97B66" w14:textId="13A5A8AD" w:rsidR="00E25EBD" w:rsidRPr="00E25EBD" w:rsidRDefault="00E25EBD" w:rsidP="00276323">
            <w:pPr>
              <w:pStyle w:val="Table"/>
            </w:pPr>
            <w:r w:rsidRPr="00E25EBD">
              <w:t>Simplified correlations:</w:t>
            </w:r>
          </w:p>
          <w:p w14:paraId="65FF9EDE" w14:textId="77777777" w:rsidR="00E25EBD" w:rsidRPr="008472F8" w:rsidRDefault="00E25EBD" w:rsidP="00E25EBD">
            <w:pPr>
              <w:pStyle w:val="Table"/>
              <w:numPr>
                <w:ilvl w:val="0"/>
                <w:numId w:val="21"/>
              </w:numPr>
            </w:pPr>
            <w:r w:rsidRPr="008472F8">
              <w:t>Pressurized vessel</w:t>
            </w:r>
            <w:r>
              <w:t>:</w:t>
            </w:r>
          </w:p>
          <w:p w14:paraId="1A7E87F0" w14:textId="77777777" w:rsidR="00E25EBD" w:rsidRDefault="00FC2205" w:rsidP="00276323">
            <w:pPr>
              <w:pStyle w:val="Table"/>
            </w:pPr>
            <m:oMathPara>
              <m:oMath>
                <m:sSub>
                  <m:sSubPr>
                    <m:ctrlPr>
                      <w:rPr>
                        <w:rFonts w:ascii="Cambria Math" w:hAnsi="Cambria Math"/>
                      </w:rPr>
                    </m:ctrlPr>
                  </m:sSubPr>
                  <m:e>
                    <m:r>
                      <w:rPr>
                        <w:rFonts w:ascii="Cambria Math" w:hAnsi="Cambria Math"/>
                      </w:rPr>
                      <m:t>TTF</m:t>
                    </m:r>
                  </m:e>
                  <m:sub>
                    <m:r>
                      <w:rPr>
                        <w:rFonts w:ascii="Cambria Math" w:hAnsi="Cambria Math"/>
                      </w:rPr>
                      <m:t>t</m:t>
                    </m:r>
                  </m:sub>
                </m:sSub>
                <m:r>
                  <m:rPr>
                    <m:sty m:val="p"/>
                  </m:rPr>
                  <w:rPr>
                    <w:rFonts w:ascii="Cambria Math" w:hAnsi="Cambria Math"/>
                  </w:rPr>
                  <m:t xml:space="preserve">=0.0167 </m:t>
                </m:r>
                <m:r>
                  <w:rPr>
                    <w:rFonts w:ascii="Cambria Math" w:hAnsi="Cambria Math"/>
                  </w:rPr>
                  <m:t>x</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 xml:space="preserve">(8.845 </m:t>
                    </m:r>
                    <m:sSup>
                      <m:sSupPr>
                        <m:ctrlPr>
                          <w:rPr>
                            <w:rFonts w:ascii="Cambria Math" w:hAnsi="Cambria Math"/>
                          </w:rPr>
                        </m:ctrlPr>
                      </m:sSupPr>
                      <m:e>
                        <m:r>
                          <w:rPr>
                            <w:rFonts w:ascii="Cambria Math" w:hAnsi="Cambria Math"/>
                          </w:rPr>
                          <m:t>V</m:t>
                        </m:r>
                      </m:e>
                      <m:sup>
                        <m:r>
                          <m:rPr>
                            <m:sty m:val="p"/>
                          </m:rPr>
                          <w:rPr>
                            <w:rFonts w:ascii="Cambria Math" w:hAnsi="Cambria Math"/>
                          </w:rPr>
                          <m:t>0.032</m:t>
                        </m:r>
                      </m:sup>
                    </m:sSup>
                    <m:r>
                      <m:rPr>
                        <m:sty m:val="p"/>
                      </m:rPr>
                      <w:rPr>
                        <w:rFonts w:ascii="Cambria Math" w:hAnsi="Cambria Math"/>
                      </w:rPr>
                      <m:t>-0.95</m:t>
                    </m:r>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Q</m:t>
                            </m:r>
                          </m:e>
                          <m:sub>
                            <m:r>
                              <w:rPr>
                                <w:rFonts w:ascii="Cambria Math" w:hAnsi="Cambria Math"/>
                              </w:rPr>
                              <m:t>HL</m:t>
                            </m:r>
                          </m:sub>
                        </m:sSub>
                        <m:r>
                          <m:rPr>
                            <m:sty m:val="p"/>
                          </m:rPr>
                          <w:rPr>
                            <w:rFonts w:ascii="Cambria Math" w:hAnsi="Cambria Math"/>
                          </w:rPr>
                          <m:t>)</m:t>
                        </m:r>
                      </m:e>
                    </m:func>
                  </m:sup>
                </m:sSup>
              </m:oMath>
            </m:oMathPara>
          </w:p>
          <w:p w14:paraId="0331BB23" w14:textId="77777777" w:rsidR="00E25EBD" w:rsidRDefault="00E25EBD" w:rsidP="00E25EBD">
            <w:pPr>
              <w:pStyle w:val="Table"/>
              <w:numPr>
                <w:ilvl w:val="0"/>
                <w:numId w:val="21"/>
              </w:numPr>
            </w:pPr>
            <w:r w:rsidRPr="008472F8">
              <w:t xml:space="preserve">Atmospheric vessel </w:t>
            </w:r>
          </w:p>
          <w:p w14:paraId="25E4E2FE" w14:textId="77777777" w:rsidR="00E25EBD" w:rsidRPr="00896530" w:rsidRDefault="00FC2205" w:rsidP="00E25EBD">
            <w:pPr>
              <w:pStyle w:val="Table"/>
            </w:pPr>
            <m:oMathPara>
              <m:oMath>
                <m:sSub>
                  <m:sSubPr>
                    <m:ctrlPr>
                      <w:rPr>
                        <w:rFonts w:ascii="Cambria Math" w:hAnsi="Cambria Math"/>
                      </w:rPr>
                    </m:ctrlPr>
                  </m:sSubPr>
                  <m:e>
                    <m:r>
                      <w:rPr>
                        <w:rFonts w:ascii="Cambria Math" w:hAnsi="Cambria Math"/>
                      </w:rPr>
                      <m:t>TTF</m:t>
                    </m:r>
                  </m:e>
                  <m:sub>
                    <m:r>
                      <w:rPr>
                        <w:rFonts w:ascii="Cambria Math" w:hAnsi="Cambria Math"/>
                      </w:rPr>
                      <m:t>t</m:t>
                    </m:r>
                  </m:sub>
                </m:sSub>
                <m:r>
                  <m:rPr>
                    <m:sty m:val="p"/>
                  </m:rPr>
                  <w:rPr>
                    <w:rFonts w:ascii="Cambria Math" w:hAnsi="Cambria Math"/>
                  </w:rPr>
                  <m:t xml:space="preserve">=0.0167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e</m:t>
                    </m:r>
                  </m:e>
                  <m:sup>
                    <m:r>
                      <m:rPr>
                        <m:sty m:val="p"/>
                      </m:rPr>
                      <w:rPr>
                        <w:rFonts w:ascii="Cambria Math" w:hAnsi="Cambria Math"/>
                      </w:rPr>
                      <m:t>(-2.67</m:t>
                    </m:r>
                    <m:sSup>
                      <m:sSupPr>
                        <m:ctrlPr>
                          <w:rPr>
                            <w:rFonts w:ascii="Cambria Math" w:hAnsi="Cambria Math"/>
                          </w:rPr>
                        </m:ctrlPr>
                      </m:sSupPr>
                      <m:e>
                        <m:r>
                          <w:rPr>
                            <w:rFonts w:ascii="Cambria Math" w:hAnsi="Cambria Math"/>
                          </w:rPr>
                          <m:t>x</m:t>
                        </m:r>
                        <m:r>
                          <m:rPr>
                            <m:sty m:val="p"/>
                          </m:rPr>
                          <w:rPr>
                            <w:rFonts w:ascii="Cambria Math" w:hAnsi="Cambria Math"/>
                          </w:rPr>
                          <m:t xml:space="preserve"> 10</m:t>
                        </m:r>
                      </m:e>
                      <m:sup>
                        <m:r>
                          <m:rPr>
                            <m:sty m:val="p"/>
                          </m:rPr>
                          <w:rPr>
                            <w:rFonts w:ascii="Cambria Math" w:hAnsi="Cambria Math"/>
                          </w:rPr>
                          <m:t>-5</m:t>
                        </m:r>
                      </m:sup>
                    </m:sSup>
                    <m:r>
                      <m:rPr>
                        <m:sty m:val="p"/>
                      </m:rPr>
                      <w:rPr>
                        <w:rFonts w:ascii="Cambria Math" w:hAnsi="Cambria Math"/>
                      </w:rPr>
                      <m:t xml:space="preserve"> </m:t>
                    </m:r>
                    <m:r>
                      <w:rPr>
                        <w:rFonts w:ascii="Cambria Math" w:hAnsi="Cambria Math"/>
                      </w:rPr>
                      <m:t>V</m:t>
                    </m:r>
                    <m:r>
                      <m:rPr>
                        <m:sty m:val="p"/>
                      </m:rPr>
                      <w:rPr>
                        <w:rFonts w:ascii="Cambria Math" w:hAnsi="Cambria Math"/>
                      </w:rPr>
                      <m:t>-1.13</m:t>
                    </m:r>
                    <m:func>
                      <m:funcPr>
                        <m:ctrlPr>
                          <w:rPr>
                            <w:rFonts w:ascii="Cambria Math" w:hAnsi="Cambria Math"/>
                          </w:rPr>
                        </m:ctrlPr>
                      </m:funcPr>
                      <m:fName>
                        <m:r>
                          <m:rPr>
                            <m:sty m:val="p"/>
                          </m:rPr>
                          <w:rPr>
                            <w:rFonts w:ascii="Cambria Math" w:hAnsi="Cambria Math"/>
                          </w:rPr>
                          <m:t>ln</m:t>
                        </m:r>
                      </m:fName>
                      <m:e>
                        <m:sSub>
                          <m:sSubPr>
                            <m:ctrlPr>
                              <w:rPr>
                                <w:rFonts w:ascii="Cambria Math" w:hAnsi="Cambria Math"/>
                              </w:rPr>
                            </m:ctrlPr>
                          </m:sSubPr>
                          <m:e>
                            <m:r>
                              <w:rPr>
                                <w:rFonts w:ascii="Cambria Math" w:hAnsi="Cambria Math"/>
                              </w:rPr>
                              <m:t>Q</m:t>
                            </m:r>
                          </m:e>
                          <m:sub>
                            <m:r>
                              <w:rPr>
                                <w:rFonts w:ascii="Cambria Math" w:hAnsi="Cambria Math"/>
                              </w:rPr>
                              <m:t>HL</m:t>
                            </m:r>
                          </m:sub>
                        </m:sSub>
                      </m:e>
                    </m:func>
                    <m:r>
                      <m:rPr>
                        <m:sty m:val="p"/>
                      </m:rPr>
                      <w:rPr>
                        <w:rFonts w:ascii="Cambria Math" w:hAnsi="Cambria Math"/>
                      </w:rPr>
                      <m:t>+9.877)</m:t>
                    </m:r>
                  </m:sup>
                </m:sSup>
              </m:oMath>
            </m:oMathPara>
          </w:p>
        </w:tc>
        <w:tc>
          <w:tcPr>
            <w:tcW w:w="4433" w:type="dxa"/>
          </w:tcPr>
          <w:p w14:paraId="58E4E35F" w14:textId="77777777" w:rsidR="00E25EBD" w:rsidRPr="008472F8" w:rsidRDefault="00E25EBD" w:rsidP="00276323">
            <w:pPr>
              <w:pStyle w:val="Table"/>
              <w:rPr>
                <w:lang w:val="fr-FR"/>
              </w:rPr>
            </w:pPr>
            <w:r w:rsidRPr="00E25EBD">
              <w:rPr>
                <w:color w:val="FF0000"/>
                <w:lang w:val="fr-FR"/>
              </w:rPr>
              <w:t>(Landucci et al., 2009)</w:t>
            </w:r>
          </w:p>
        </w:tc>
      </w:tr>
      <w:tr w:rsidR="00E25EBD" w:rsidRPr="009270F7" w14:paraId="7C9EB6CE" w14:textId="77777777" w:rsidTr="00E25EBD">
        <w:tc>
          <w:tcPr>
            <w:tcW w:w="769" w:type="dxa"/>
          </w:tcPr>
          <w:p w14:paraId="1D90E6B9" w14:textId="77777777" w:rsidR="00E25EBD" w:rsidRDefault="00FC2205" w:rsidP="00276323">
            <w:pPr>
              <w:pStyle w:val="Table"/>
            </w:pPr>
            <m:oMathPara>
              <m:oMath>
                <m:sSub>
                  <m:sSubPr>
                    <m:ctrlPr>
                      <w:rPr>
                        <w:rFonts w:ascii="Cambria Math" w:hAnsi="Cambria Math"/>
                      </w:rPr>
                    </m:ctrlPr>
                  </m:sSubPr>
                  <m:e>
                    <m:r>
                      <w:rPr>
                        <w:rFonts w:ascii="Cambria Math" w:hAnsi="Cambria Math"/>
                      </w:rPr>
                      <m:t>TTF</m:t>
                    </m:r>
                  </m:e>
                  <m:sub>
                    <m:r>
                      <w:rPr>
                        <w:rFonts w:ascii="Cambria Math" w:hAnsi="Cambria Math"/>
                      </w:rPr>
                      <m:t>p</m:t>
                    </m:r>
                  </m:sub>
                </m:sSub>
              </m:oMath>
            </m:oMathPara>
          </w:p>
        </w:tc>
        <w:tc>
          <w:tcPr>
            <w:tcW w:w="2844" w:type="dxa"/>
          </w:tcPr>
          <w:p w14:paraId="5AF00BFD" w14:textId="77777777" w:rsidR="00E25EBD" w:rsidRDefault="00E25EBD" w:rsidP="00276323">
            <w:pPr>
              <w:pStyle w:val="Table"/>
            </w:pPr>
            <w:r>
              <w:t>Time to failure of passive fire protection (min)</w:t>
            </w:r>
          </w:p>
        </w:tc>
        <w:tc>
          <w:tcPr>
            <w:tcW w:w="5902" w:type="dxa"/>
          </w:tcPr>
          <w:p w14:paraId="4608DF5F" w14:textId="77777777" w:rsidR="00E25EBD" w:rsidRDefault="00E25EBD" w:rsidP="00276323">
            <w:pPr>
              <w:pStyle w:val="Table"/>
            </w:pPr>
            <w:r>
              <w:t xml:space="preserve">= 0 for low performance coatings </w:t>
            </w:r>
          </w:p>
          <w:p w14:paraId="5D6E2005" w14:textId="77777777" w:rsidR="00E25EBD" w:rsidRDefault="00E25EBD" w:rsidP="00E25EBD">
            <w:pPr>
              <w:pStyle w:val="Table"/>
            </w:pPr>
            <w:r>
              <w:t xml:space="preserve">= 70 min for high performance insulation materials </w:t>
            </w:r>
          </w:p>
        </w:tc>
        <w:tc>
          <w:tcPr>
            <w:tcW w:w="4433" w:type="dxa"/>
          </w:tcPr>
          <w:p w14:paraId="64CF37DB" w14:textId="77777777" w:rsidR="00E25EBD" w:rsidRDefault="00E25EBD" w:rsidP="00276323">
            <w:pPr>
              <w:pStyle w:val="Table"/>
            </w:pPr>
            <w:r>
              <w:fldChar w:fldCharType="begin" w:fldLock="1"/>
            </w:r>
            <w:r>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"plainTextFormattedCitation" : "(Landucci et al., 2015)", "previouslyFormattedCitation" : "(Landucci et al., 2015)" }, "properties" : {  }, "schema" : "https://github.com/citation-style-language/schema/raw/master/csl-citation.json" }</w:instrText>
            </w:r>
            <w:r>
              <w:fldChar w:fldCharType="separate"/>
            </w:r>
            <w:r w:rsidRPr="00CB3B1F">
              <w:rPr>
                <w:noProof/>
              </w:rPr>
              <w:t>(Landucci et al., 2015)</w:t>
            </w:r>
            <w:r>
              <w:fldChar w:fldCharType="end"/>
            </w:r>
          </w:p>
        </w:tc>
      </w:tr>
      <w:tr w:rsidR="00E25EBD" w:rsidRPr="009270F7" w14:paraId="1ED0E00A" w14:textId="77777777" w:rsidTr="00E25EBD">
        <w:tc>
          <w:tcPr>
            <w:tcW w:w="769" w:type="dxa"/>
          </w:tcPr>
          <w:p w14:paraId="6FD7EC67" w14:textId="77777777" w:rsidR="00E25EBD" w:rsidRDefault="00FC2205" w:rsidP="00276323">
            <w:pPr>
              <w:pStyle w:val="Table"/>
            </w:pPr>
            <m:oMathPara>
              <m:oMath>
                <m:sSub>
                  <m:sSubPr>
                    <m:ctrlPr>
                      <w:rPr>
                        <w:rFonts w:ascii="Cambria Math" w:hAnsi="Cambria Math"/>
                      </w:rPr>
                    </m:ctrlPr>
                  </m:sSubPr>
                  <m:e>
                    <m:r>
                      <w:rPr>
                        <w:rFonts w:ascii="Cambria Math" w:hAnsi="Cambria Math"/>
                      </w:rPr>
                      <m:t>Q</m:t>
                    </m:r>
                  </m:e>
                  <m:sub>
                    <m:r>
                      <w:rPr>
                        <w:rFonts w:ascii="Cambria Math" w:hAnsi="Cambria Math"/>
                      </w:rPr>
                      <m:t>HL</m:t>
                    </m:r>
                  </m:sub>
                </m:sSub>
              </m:oMath>
            </m:oMathPara>
          </w:p>
        </w:tc>
        <w:tc>
          <w:tcPr>
            <w:tcW w:w="2844" w:type="dxa"/>
          </w:tcPr>
          <w:p w14:paraId="49951717" w14:textId="77777777" w:rsidR="00E25EBD" w:rsidRPr="00EE3231" w:rsidRDefault="00E25EBD" w:rsidP="00276323">
            <w:pPr>
              <w:pStyle w:val="Table"/>
            </w:pPr>
            <w:r>
              <w:t>Heat load (KW/m</w:t>
            </w:r>
            <w:r>
              <w:rPr>
                <w:vertAlign w:val="superscript"/>
              </w:rPr>
              <w:t>2</w:t>
            </w:r>
            <w:r>
              <w:t>)</w:t>
            </w:r>
          </w:p>
        </w:tc>
        <w:tc>
          <w:tcPr>
            <w:tcW w:w="5902" w:type="dxa"/>
          </w:tcPr>
          <w:p w14:paraId="77A3A7F1" w14:textId="77777777" w:rsidR="00E25EBD" w:rsidRDefault="00E25EBD" w:rsidP="00E25EBD">
            <w:pPr>
              <w:pStyle w:val="Table"/>
            </w:pPr>
            <w:r>
              <w:t xml:space="preserve">Considering the mitigating effect of active barriers </w:t>
            </w:r>
          </w:p>
        </w:tc>
        <w:tc>
          <w:tcPr>
            <w:tcW w:w="4433" w:type="dxa"/>
          </w:tcPr>
          <w:p w14:paraId="5C6EB98B" w14:textId="77777777" w:rsidR="00E25EBD" w:rsidRDefault="00E25EBD" w:rsidP="00276323">
            <w:pPr>
              <w:pStyle w:val="Table"/>
            </w:pPr>
            <w:r>
              <w:fldChar w:fldCharType="begin" w:fldLock="1"/>
            </w:r>
            <w:r>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"plainTextFormattedCitation" : "(Landucci et al., 2015)", "previouslyFormattedCitation" : "(Landucci et al., 2015)" }, "properties" : {  }, "schema" : "https://github.com/citation-style-language/schema/raw/master/csl-citation.json" }</w:instrText>
            </w:r>
            <w:r>
              <w:fldChar w:fldCharType="separate"/>
            </w:r>
            <w:r w:rsidRPr="00CB3B1F">
              <w:rPr>
                <w:noProof/>
              </w:rPr>
              <w:t>(Landucci et al., 2015)</w:t>
            </w:r>
            <w:r>
              <w:fldChar w:fldCharType="end"/>
            </w:r>
          </w:p>
        </w:tc>
      </w:tr>
      <w:tr w:rsidR="00E25EBD" w14:paraId="349213D0" w14:textId="77777777" w:rsidTr="00E25EBD">
        <w:tc>
          <w:tcPr>
            <w:tcW w:w="769" w:type="dxa"/>
          </w:tcPr>
          <w:p w14:paraId="4E2FB19B" w14:textId="77777777" w:rsidR="00E25EBD" w:rsidRDefault="00E25EBD" w:rsidP="00276323">
            <w:pPr>
              <w:pStyle w:val="Table"/>
            </w:pPr>
            <m:oMathPara>
              <m:oMath>
                <m:r>
                  <w:rPr>
                    <w:rFonts w:ascii="Cambria Math" w:hAnsi="Cambria Math"/>
                  </w:rPr>
                  <m:t>V</m:t>
                </m:r>
              </m:oMath>
            </m:oMathPara>
          </w:p>
        </w:tc>
        <w:tc>
          <w:tcPr>
            <w:tcW w:w="2844" w:type="dxa"/>
          </w:tcPr>
          <w:p w14:paraId="16BD5636" w14:textId="77777777" w:rsidR="00E25EBD" w:rsidRPr="00610925" w:rsidRDefault="00E25EBD" w:rsidP="00276323">
            <w:pPr>
              <w:pStyle w:val="Table"/>
              <w:rPr>
                <w:vertAlign w:val="superscript"/>
              </w:rPr>
            </w:pPr>
            <w:r>
              <w:t>Vessel volume in m</w:t>
            </w:r>
            <w:r>
              <w:rPr>
                <w:vertAlign w:val="superscript"/>
              </w:rPr>
              <w:t>3</w:t>
            </w:r>
          </w:p>
        </w:tc>
        <w:tc>
          <w:tcPr>
            <w:tcW w:w="5902" w:type="dxa"/>
          </w:tcPr>
          <w:p w14:paraId="78A1135B" w14:textId="77777777" w:rsidR="00E25EBD" w:rsidRDefault="00E25EBD" w:rsidP="00276323">
            <w:pPr>
              <w:pStyle w:val="Table"/>
            </w:pPr>
            <w:r>
              <w:t>-</w:t>
            </w:r>
          </w:p>
        </w:tc>
        <w:tc>
          <w:tcPr>
            <w:tcW w:w="4433" w:type="dxa"/>
          </w:tcPr>
          <w:p w14:paraId="56707DAC" w14:textId="77777777" w:rsidR="00E25EBD" w:rsidRDefault="00E25EBD" w:rsidP="00276323">
            <w:pPr>
              <w:pStyle w:val="Table"/>
            </w:pPr>
            <w:r>
              <w:t>-</w:t>
            </w:r>
          </w:p>
        </w:tc>
      </w:tr>
    </w:tbl>
    <w:p w14:paraId="630EF4B7" w14:textId="77777777" w:rsidR="00824F79" w:rsidRDefault="00824F79" w:rsidP="00824F79"/>
    <w:p w14:paraId="4FCF0EBC" w14:textId="77777777" w:rsidR="00E25EBD" w:rsidRDefault="00E25EBD" w:rsidP="00824F79">
      <w:pPr>
        <w:sectPr w:rsidR="00E25EBD" w:rsidSect="00E25EBD">
          <w:pgSz w:w="16838" w:h="11906" w:orient="landscape"/>
          <w:pgMar w:top="1440" w:right="1440" w:bottom="1440" w:left="1440" w:header="708" w:footer="708" w:gutter="0"/>
          <w:cols w:space="708"/>
          <w:docGrid w:linePitch="360"/>
        </w:sectPr>
      </w:pPr>
    </w:p>
    <w:p w14:paraId="55751E9C" w14:textId="77777777" w:rsidR="008C01BF" w:rsidRDefault="008C01BF" w:rsidP="008C01BF">
      <w:r>
        <w:lastRenderedPageBreak/>
        <w:t xml:space="preserve">Finally, Gate D incorporates equipment vulnerability models based on probit approaches for the estimation of PD (the probability of vessel failure). The effect of harsh environmental conditions has been addressed in the probit models in describing the vessel resistance behaviour. </w:t>
      </w:r>
      <w:r w:rsidRPr="008472F8">
        <w:t>Further detailed information</w:t>
      </w:r>
      <w:r>
        <w:t xml:space="preserve"> on gates definition</w:t>
      </w:r>
      <w:r w:rsidRPr="008472F8">
        <w:t xml:space="preserve"> may be gathered in </w:t>
      </w:r>
      <w:r w:rsidRPr="008472F8">
        <w:fldChar w:fldCharType="begin" w:fldLock="1"/>
      </w:r>
      <w:r>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"manualFormatting" : "Landucci et al. (2015", "plainTextFormattedCitation" : "(Landucci et al., 2015)", "previouslyFormattedCitation" : "(Landucci et al., 2015)" }, "properties" : {  }, "schema" : "https://github.com/citation-style-language/schema/raw/master/csl-citation.json" }</w:instrText>
      </w:r>
      <w:r w:rsidRPr="008472F8">
        <w:fldChar w:fldCharType="separate"/>
      </w:r>
      <w:r w:rsidRPr="008472F8">
        <w:rPr>
          <w:noProof/>
        </w:rPr>
        <w:t>Landucci et al. (2015</w:t>
      </w:r>
      <w:r w:rsidRPr="008472F8">
        <w:fldChar w:fldCharType="end"/>
      </w:r>
      <w:r>
        <w:t xml:space="preserve">, </w:t>
      </w:r>
      <w:r w:rsidRPr="008472F8">
        <w:t>2016</w:t>
      </w:r>
      <w:r>
        <w:t>).</w:t>
      </w:r>
    </w:p>
    <w:p w14:paraId="0924181F" w14:textId="29C20B3D" w:rsidR="00887D97" w:rsidRDefault="00C7295A" w:rsidP="009270F7">
      <w:r>
        <w:t>The failure probability of the target vessel P</w:t>
      </w:r>
      <w:r>
        <w:rPr>
          <w:vertAlign w:val="subscript"/>
        </w:rPr>
        <w:t>d</w:t>
      </w:r>
      <w:r>
        <w:t xml:space="preserve"> is computed using vulnerability models based on probit </w:t>
      </w:r>
      <w:r w:rsidRPr="003348B8">
        <w:t>functions</w:t>
      </w:r>
      <w:r w:rsidR="000E6A3A" w:rsidRPr="003348B8">
        <w:t xml:space="preserve"> (see Table 6)</w:t>
      </w:r>
      <w:r w:rsidRPr="003348B8">
        <w:t xml:space="preserve">. </w:t>
      </w:r>
      <w:r w:rsidR="00887D97" w:rsidRPr="003348B8">
        <w:t>The higher the vessel resist to the external fire the lower the likelihood of failure</w:t>
      </w:r>
      <w:r w:rsidR="00887D97">
        <w:t xml:space="preserve"> and hence the escalation is less credible. The vessel resistance may be expressed in terms of </w:t>
      </w:r>
      <w:r w:rsidR="000E6A3A">
        <w:t>TTF</w:t>
      </w:r>
      <w:r w:rsidR="00887D97">
        <w:t>, which is the time lapse between the start of the external fire and the fired vessel failure induced by heat-up and consequent pressurization</w:t>
      </w:r>
      <w:r w:rsidR="00861F53">
        <w:t xml:space="preserve"> </w:t>
      </w:r>
      <w:r w:rsidR="00861F53" w:rsidRPr="007E44CF">
        <w:rPr>
          <w:noProof/>
        </w:rPr>
        <w:t>(Birk and Cunningham, 1994; Landucci et al.,</w:t>
      </w:r>
      <w:r w:rsidR="00861F53">
        <w:rPr>
          <w:noProof/>
        </w:rPr>
        <w:t xml:space="preserve"> </w:t>
      </w:r>
      <w:r w:rsidR="00861F53" w:rsidRPr="00861F53">
        <w:rPr>
          <w:noProof/>
          <w:color w:val="FF0000"/>
        </w:rPr>
        <w:t>2009</w:t>
      </w:r>
      <w:r w:rsidR="00861F53">
        <w:rPr>
          <w:noProof/>
        </w:rPr>
        <w:t>)</w:t>
      </w:r>
      <w:r w:rsidR="00887D97">
        <w:t xml:space="preserve">. Higher TTF allows the intervention of external firefighting teams and then reducing probability of damage and escalation. </w:t>
      </w:r>
    </w:p>
    <w:p w14:paraId="48BE21BF" w14:textId="77777777" w:rsidR="00162133" w:rsidRDefault="00B80249">
      <w:pPr>
        <w:rPr>
          <w:rFonts w:eastAsiaTheme="minorEastAsia"/>
        </w:rPr>
      </w:pPr>
      <w:r>
        <w:t xml:space="preserve">According to the approach suggested in previous works </w:t>
      </w:r>
      <w:r>
        <w:fldChar w:fldCharType="begin" w:fldLock="1"/>
      </w:r>
      <w:r w:rsidR="00131B8A">
        <w:instrText>ADDIN CSL_CITATION { "citationItems" : [ { "id" : "ITEM-1", "itemData" : { "DOI" : "10.1016/j.aap.2008.05.006", "author" : [ { "dropping-particle" : "", "family" : "Landucci", "given" : "Gabriele", "non-dropping-particle" : "", "parse-names" : false, "suffix" : "" }, { "dropping-particle" : "", "family" : "Gubinelli", "given" : "Gianfilippo", "non-dropping-particle" : "", "parse-names" : false, "suffix" : "" }, { "dropping-particle" : "", "family" : "Antonioni", "given" : "Giacomo", "non-dropping-particle" : "", "parse-names" : false, "suffix" : "" }, { "dropping-particle" : "", "family" : "Cozzani", "given" : "Valerio", "non-dropping-particle" : "", "parse-names" : false, "suffix" : "" } ], "id" : "ITEM-1", "issued" : { "date-parts" : [ [ "2009" ] ] }, "page" : "1206-1215", "title" : "The assessment of the damage probability of storage tanks in domino events triggered by fire", "type" : "article-journal", "volume" : "41" }, "uris" : [ "http://www.mendeley.com/documents/?uuid=ebde20da-4b56-4c38-b77c-bd927d3ea8c9", "http://www.mendeley.com/documents/?uuid=a8214c17-68a7-40c5-8310-d17f44010147", "http://www.mendeley.com/documents/?uuid=540f265b-c7da-4d91-879d-3501696c9e77" ] } ], "mendeley" : { "formattedCitation" : "(Landucci et al., 2009)", "plainTextFormattedCitation" : "(Landucci et al., 2009)", "previouslyFormattedCitation" : "(Landucci et al., 2009)" }, "properties" : {  }, "schema" : "https://github.com/citation-style-language/schema/raw/master/csl-citation.json" }</w:instrText>
      </w:r>
      <w:r>
        <w:fldChar w:fldCharType="separate"/>
      </w:r>
      <w:r w:rsidR="002A1865" w:rsidRPr="002A1865">
        <w:rPr>
          <w:noProof/>
        </w:rPr>
        <w:t>(Landucci et al., 2009)</w:t>
      </w:r>
      <w:r>
        <w:fldChar w:fldCharType="end"/>
      </w:r>
      <w:r>
        <w:t xml:space="preserve">, the probit coefficient </w:t>
      </w:r>
      <w:r w:rsidR="00887D97">
        <w:t xml:space="preserve">describing the vulnerability model </w:t>
      </w:r>
      <w:r>
        <w:t>are derived assuming log-normal distribution of failure probability</w:t>
      </w:r>
      <w:r w:rsidR="00575697">
        <w:t xml:space="preserve">. </w:t>
      </w:r>
      <w:r>
        <w:t xml:space="preserve">90% probability of failure for TTF equal </w:t>
      </w:r>
      <w:r w:rsidR="00575697">
        <w:t xml:space="preserve">is associated </w:t>
      </w:r>
      <w:r>
        <w:t xml:space="preserve">to the time required to start the emergency operations onsite (considered equal to the time to alert </w:t>
      </w:r>
      <m:oMath>
        <m:sSub>
          <m:sSubPr>
            <m:ctrlPr>
              <w:rPr>
                <w:rFonts w:ascii="Cambria Math" w:hAnsi="Cambria Math"/>
                <w:i/>
              </w:rPr>
            </m:ctrlPr>
          </m:sSubPr>
          <m:e>
            <m:r>
              <w:rPr>
                <w:rFonts w:ascii="Cambria Math" w:hAnsi="Cambria Math"/>
              </w:rPr>
              <m:t>τ</m:t>
            </m:r>
          </m:e>
          <m:sub>
            <m:r>
              <w:rPr>
                <w:rFonts w:ascii="Cambria Math" w:hAnsi="Cambria Math"/>
              </w:rPr>
              <m:t>1</m:t>
            </m:r>
          </m:sub>
        </m:sSub>
      </m:oMath>
      <w:r w:rsidR="005D4EB2">
        <w:rPr>
          <w:rFonts w:eastAsiaTheme="minorEastAsia"/>
        </w:rPr>
        <w:t xml:space="preserve"> in S</w:t>
      </w:r>
      <w:r>
        <w:rPr>
          <w:rFonts w:eastAsiaTheme="minorEastAsia"/>
        </w:rPr>
        <w:t xml:space="preserve">ection </w:t>
      </w:r>
      <w:r w:rsidR="005D4EB2">
        <w:rPr>
          <w:rFonts w:eastAsiaTheme="minorEastAsia"/>
        </w:rPr>
        <w:t>2.4</w:t>
      </w:r>
      <w:r w:rsidR="00575697">
        <w:rPr>
          <w:rFonts w:eastAsiaTheme="minorEastAsia"/>
        </w:rPr>
        <w:t>)</w:t>
      </w:r>
      <w:r w:rsidR="005D4EB2">
        <w:rPr>
          <w:rFonts w:eastAsiaTheme="minorEastAsia"/>
        </w:rPr>
        <w:t xml:space="preserve"> and 10% probability of failure for TTF </w:t>
      </w:r>
      <w:r w:rsidR="00575697">
        <w:rPr>
          <w:rFonts w:eastAsiaTheme="minorEastAsia"/>
        </w:rPr>
        <w:t xml:space="preserve">is </w:t>
      </w:r>
      <w:r w:rsidR="005D4EB2">
        <w:rPr>
          <w:rFonts w:eastAsiaTheme="minorEastAsia"/>
        </w:rPr>
        <w:t xml:space="preserve">equal to the time to start the mitigation actions (considered as the time for external firefighting intervention </w:t>
      </w:r>
      <m:oMath>
        <m:sSub>
          <m:sSubPr>
            <m:ctrlPr>
              <w:rPr>
                <w:rFonts w:ascii="Cambria Math" w:hAnsi="Cambria Math"/>
                <w:i/>
              </w:rPr>
            </m:ctrlPr>
          </m:sSubPr>
          <m:e>
            <m:r>
              <w:rPr>
                <w:rFonts w:ascii="Cambria Math" w:hAnsi="Cambria Math"/>
              </w:rPr>
              <m:t>τ</m:t>
            </m:r>
          </m:e>
          <m:sub>
            <m:r>
              <w:rPr>
                <w:rFonts w:ascii="Cambria Math" w:hAnsi="Cambria Math"/>
              </w:rPr>
              <m:t>2</m:t>
            </m:r>
          </m:sub>
        </m:sSub>
      </m:oMath>
      <w:r w:rsidR="005D4EB2">
        <w:rPr>
          <w:rFonts w:eastAsiaTheme="minorEastAsia"/>
        </w:rPr>
        <w:t xml:space="preserve"> in Section 2.4). </w:t>
      </w:r>
      <w:r w:rsidR="00575697">
        <w:rPr>
          <w:rFonts w:eastAsiaTheme="minorEastAsia"/>
        </w:rPr>
        <w:t xml:space="preserve">Based on </w:t>
      </w:r>
      <w:r w:rsidR="005D4EB2">
        <w:rPr>
          <w:rFonts w:eastAsiaTheme="minorEastAsia"/>
        </w:rPr>
        <w:t>these assumptions, it is possible to modify the probit coefficient accounting of delayed response times in harsh environment.</w:t>
      </w:r>
    </w:p>
    <w:p w14:paraId="412176FA" w14:textId="77777777" w:rsidR="00DB0698" w:rsidRDefault="00F92D91" w:rsidP="009270F7">
      <w:r>
        <w:t>In Section 4.</w:t>
      </w:r>
      <w:r w:rsidR="00FA0CD2">
        <w:t>2</w:t>
      </w:r>
      <w:r>
        <w:t xml:space="preserve"> the customized ETA accounting of new gates described in this section is applied to the case study. </w:t>
      </w:r>
    </w:p>
    <w:p w14:paraId="3BDE1F73" w14:textId="77777777" w:rsidR="00DB0698" w:rsidRDefault="005D0DAF" w:rsidP="009270F7">
      <w:pPr>
        <w:pStyle w:val="Heading1"/>
      </w:pPr>
      <w:r>
        <w:t>3. Case study d</w:t>
      </w:r>
      <w:r w:rsidR="00DB0698">
        <w:t xml:space="preserve">escription </w:t>
      </w:r>
    </w:p>
    <w:p w14:paraId="53695552" w14:textId="77777777" w:rsidR="00FB7343" w:rsidRDefault="00FB7343" w:rsidP="009270F7">
      <w:pPr>
        <w:pStyle w:val="Heading2"/>
      </w:pPr>
      <w:r>
        <w:t xml:space="preserve">3.1. Overview </w:t>
      </w:r>
    </w:p>
    <w:p w14:paraId="0AFAFCC4" w14:textId="77777777" w:rsidR="00C167BA" w:rsidRDefault="00C972D1">
      <w:r>
        <w:t>The methodology described in Section 2 is applied to a real case study located in harsh environment. This will allow testing</w:t>
      </w:r>
      <w:r w:rsidR="009922DA">
        <w:t xml:space="preserve"> the potentialities of the present methodology in supporting detailed offshore risk assessment studies dedicated to the analysis of cascading events</w:t>
      </w:r>
      <w:r>
        <w:t xml:space="preserve">. </w:t>
      </w:r>
      <w:r w:rsidR="00986C89">
        <w:t>The installation</w:t>
      </w:r>
      <w:r w:rsidR="009922DA">
        <w:t xml:space="preserve"> selected for the case study</w:t>
      </w:r>
      <w:r w:rsidR="00986C89">
        <w:t xml:space="preserve"> is </w:t>
      </w:r>
      <w:r w:rsidR="002069DC">
        <w:t xml:space="preserve">the </w:t>
      </w:r>
      <w:r w:rsidR="00986C89">
        <w:t>Goliat</w:t>
      </w:r>
      <w:r w:rsidR="00C167BA">
        <w:t xml:space="preserve"> Floating Production Storage and Offloading (FPSO) unit</w:t>
      </w:r>
      <w:r w:rsidR="00986C89">
        <w:t xml:space="preserve">, operating </w:t>
      </w:r>
      <w:r w:rsidR="00C0563B">
        <w:t>in the Barents Sea</w:t>
      </w:r>
      <w:r w:rsidR="00A94343">
        <w:t>,</w:t>
      </w:r>
      <w:r w:rsidR="00C0563B">
        <w:t xml:space="preserve"> </w:t>
      </w:r>
      <w:r w:rsidR="00986C89">
        <w:t xml:space="preserve">north </w:t>
      </w:r>
      <w:r w:rsidR="00C0563B">
        <w:t xml:space="preserve">of </w:t>
      </w:r>
      <w:r w:rsidR="00986C89">
        <w:t>the Arctic circle in the Norwegian Continent Shelf</w:t>
      </w:r>
      <w:r w:rsidR="00B910F7">
        <w:t>.</w:t>
      </w:r>
      <w:r w:rsidR="00C167BA">
        <w:t xml:space="preserve"> Goliat FPSO is the largest and most complex circular shaped unit of its kind with a spread mooring system that prevent</w:t>
      </w:r>
      <w:r w:rsidR="002069DC">
        <w:t>s</w:t>
      </w:r>
      <w:r w:rsidR="00C167BA">
        <w:t xml:space="preserve"> its rotation. </w:t>
      </w:r>
    </w:p>
    <w:p w14:paraId="59BF93BD" w14:textId="77777777" w:rsidR="00B910F7" w:rsidRDefault="00B910F7" w:rsidP="009270F7">
      <w:r w:rsidRPr="0008665E">
        <w:t xml:space="preserve">The layout considered of the case study is shown in Figure </w:t>
      </w:r>
      <w:r w:rsidR="00DF5066">
        <w:t>4</w:t>
      </w:r>
      <w:r w:rsidRPr="0008665E">
        <w:t>. It has been defined according to standards</w:t>
      </w:r>
      <w:r>
        <w:t xml:space="preserve"> </w:t>
      </w:r>
      <w:r>
        <w:fldChar w:fldCharType="begin" w:fldLock="1"/>
      </w:r>
      <w:r w:rsidR="00131B8A">
        <w:instrText>ADDIN CSL_CITATION { "citationItems" : [ { "id" : "ITEM-1", "itemData" : { "author" : [ { "dropping-particle" : "", "family" : "HSE Health and Safety Executive", "given" : "", "non-dropping-particle" : "", "parse-names" : false, "suffix" : "" } ], "id" : "ITEM-1", "issued" : { "date-parts" : [ [ "1992" ] ] }, "publisher-place" : "London", "title" : "Generic foundation data to be used in the assessment of blast and fire scenarios and typical structural details for primary, secondary and supporting structures components - OTI92585", "type" : "book" }, "uris" : [ "http://www.mendeley.com/documents/?uuid=5849e359-b9c9-4564-80fc-87aadc7c9585", "http://www.mendeley.com/documents/?uuid=9b9d7a17-a5b2-4688-9fdd-208adc41459a", "http://www.mendeley.com/documents/?uuid=381f03bd-8768-4379-b963-aae3fe8633b0" ] } ], "mendeley" : { "formattedCitation" : "(HSE Health and Safety Executive, 1992)", "plainTextFormattedCitation" : "(HSE Health and Safety Executive, 1992)", "previouslyFormattedCitation" : "(HSE Health and Safety Executive, 1992)" }, "properties" : {  }, "schema" : "https://github.com/citation-style-language/schema/raw/master/csl-citation.json" }</w:instrText>
      </w:r>
      <w:r>
        <w:fldChar w:fldCharType="separate"/>
      </w:r>
      <w:r w:rsidRPr="00B910F7">
        <w:rPr>
          <w:noProof/>
        </w:rPr>
        <w:t>(HSE Health and Safety Executive, 1992)</w:t>
      </w:r>
      <w:r>
        <w:fldChar w:fldCharType="end"/>
      </w:r>
      <w:r w:rsidR="00A8005B">
        <w:t xml:space="preserve"> and </w:t>
      </w:r>
      <w:r w:rsidR="002069DC">
        <w:t xml:space="preserve">to </w:t>
      </w:r>
      <w:r w:rsidR="00885E6E">
        <w:t xml:space="preserve">general </w:t>
      </w:r>
      <w:r w:rsidR="00A8005B">
        <w:t>information</w:t>
      </w:r>
      <w:r w:rsidR="002069DC">
        <w:t xml:space="preserve"> available</w:t>
      </w:r>
      <w:r w:rsidR="00A8005B">
        <w:t xml:space="preserve"> about Goliat </w:t>
      </w:r>
      <w:r w:rsidR="00C167BA">
        <w:t>FPSO</w:t>
      </w:r>
      <w:r w:rsidR="00A8005B">
        <w:t xml:space="preserve"> </w:t>
      </w:r>
      <w:r w:rsidR="00A8005B">
        <w:fldChar w:fldCharType="begin" w:fldLock="1"/>
      </w:r>
      <w:r w:rsidR="00131B8A">
        <w:instrText>ADDIN CSL_CITATION { "citationItems" : [ { "id" : "ITEM-1", "itemData" : { "URL" : "www.eninorge.com/en/field-development/goliat/", "accessed" : { "date-parts" : [ [ "2016", "4", "11" ] ] }, "author" : [ { "dropping-particle" : "", "family" : "Eni Norge", "given" : "", "non-dropping-particle" : "", "parse-names" : false, "suffix" : "" } ], "id" : "ITEM-1", "issued" : { "date-parts" : [ [ "2016" ] ] }, "title" : "Goliat - Eni Norge", "type" : "webpage" }, "uris" : [ "http://www.mendeley.com/documents/?uuid=950fbbcb-ec05-44d9-9953-044563ef95a7" ] } ], "mendeley" : { "formattedCitation" : "(Eni Norge, 2016)", "plainTextFormattedCitation" : "(Eni Norge, 2016)", "previouslyFormattedCitation" : "(Eni Norge, 2016)" }, "properties" : {  }, "schema" : "https://github.com/citation-style-language/schema/raw/master/csl-citation.json" }</w:instrText>
      </w:r>
      <w:r w:rsidR="00A8005B">
        <w:fldChar w:fldCharType="separate"/>
      </w:r>
      <w:r w:rsidR="00A8005B" w:rsidRPr="00A8005B">
        <w:rPr>
          <w:noProof/>
        </w:rPr>
        <w:t>(Eni Norge, 2016)</w:t>
      </w:r>
      <w:r w:rsidR="00A8005B">
        <w:fldChar w:fldCharType="end"/>
      </w:r>
      <w:r w:rsidR="00A8005B">
        <w:t xml:space="preserve">. </w:t>
      </w:r>
    </w:p>
    <w:p w14:paraId="25939DC4" w14:textId="77777777" w:rsidR="00701710" w:rsidRDefault="00701710" w:rsidP="009270F7"/>
    <w:p w14:paraId="2B183575" w14:textId="77777777" w:rsidR="00780828" w:rsidRDefault="00CA5D4A" w:rsidP="00A56C14">
      <w:pPr>
        <w:jc w:val="center"/>
      </w:pPr>
      <w:r w:rsidRPr="00CA5D4A">
        <w:rPr>
          <w:noProof/>
          <w:lang w:val="nb-NO" w:eastAsia="nb-NO"/>
        </w:rPr>
        <w:lastRenderedPageBreak/>
        <w:drawing>
          <wp:inline distT="0" distB="0" distL="0" distR="0" wp14:anchorId="719186B4" wp14:editId="76E994B5">
            <wp:extent cx="3851043" cy="3654879"/>
            <wp:effectExtent l="0" t="0" r="0" b="31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1521" cy="3655333"/>
                    </a:xfrm>
                    <a:prstGeom prst="rect">
                      <a:avLst/>
                    </a:prstGeom>
                    <a:noFill/>
                    <a:ln>
                      <a:noFill/>
                    </a:ln>
                  </pic:spPr>
                </pic:pic>
              </a:graphicData>
            </a:graphic>
          </wp:inline>
        </w:drawing>
      </w:r>
    </w:p>
    <w:p w14:paraId="5AC78765" w14:textId="2E32A73B" w:rsidR="001627D5" w:rsidRPr="00D5000C" w:rsidRDefault="001627D5" w:rsidP="009270F7">
      <w:pPr>
        <w:rPr>
          <w:i/>
          <w:color w:val="FF0000"/>
        </w:rPr>
      </w:pPr>
      <w:r w:rsidRPr="00D5000C">
        <w:rPr>
          <w:i/>
          <w:color w:val="FF0000"/>
        </w:rPr>
        <w:t xml:space="preserve">Figure </w:t>
      </w:r>
      <w:r w:rsidR="00DF5066" w:rsidRPr="00D5000C">
        <w:rPr>
          <w:i/>
          <w:color w:val="FF0000"/>
        </w:rPr>
        <w:t>4</w:t>
      </w:r>
      <w:r w:rsidRPr="00D5000C">
        <w:rPr>
          <w:i/>
          <w:color w:val="FF0000"/>
        </w:rPr>
        <w:t xml:space="preserve">. Layout defined for the </w:t>
      </w:r>
      <w:r w:rsidR="003012A5" w:rsidRPr="00D5000C">
        <w:rPr>
          <w:i/>
          <w:color w:val="FF0000"/>
        </w:rPr>
        <w:t xml:space="preserve">analysis of the </w:t>
      </w:r>
      <w:r w:rsidRPr="00D5000C">
        <w:rPr>
          <w:i/>
          <w:color w:val="FF0000"/>
        </w:rPr>
        <w:t>case study</w:t>
      </w:r>
      <w:r w:rsidR="003012A5" w:rsidRPr="00D5000C">
        <w:rPr>
          <w:i/>
          <w:color w:val="FF0000"/>
        </w:rPr>
        <w:t xml:space="preserve">. Information on equipment layout and features were derived </w:t>
      </w:r>
      <w:r w:rsidR="0060336C" w:rsidRPr="00D5000C">
        <w:rPr>
          <w:i/>
          <w:color w:val="FF0000"/>
        </w:rPr>
        <w:t xml:space="preserve">from </w:t>
      </w:r>
      <w:r w:rsidR="003012A5" w:rsidRPr="00D5000C">
        <w:rPr>
          <w:i/>
          <w:color w:val="FF0000"/>
        </w:rPr>
        <w:t>(</w:t>
      </w:r>
      <w:r w:rsidR="0060336C" w:rsidRPr="00D5000C">
        <w:rPr>
          <w:i/>
          <w:color w:val="FF0000"/>
        </w:rPr>
        <w:fldChar w:fldCharType="begin" w:fldLock="1"/>
      </w:r>
      <w:r w:rsidR="00131B8A" w:rsidRPr="00D5000C">
        <w:rPr>
          <w:i/>
          <w:color w:val="FF0000"/>
        </w:rPr>
        <w:instrText>ADDIN CSL_CITATION { "citationItems" : [ { "id" : "ITEM-1", "itemData" : { "author" : [ { "dropping-particle" : "", "family" : "HSE Health and Safety Executive", "given" : "", "non-dropping-particle" : "", "parse-names" : false, "suffix" : "" } ], "id" : "ITEM-1", "issued" : { "date-parts" : [ [ "1992" ] ] }, "publisher-place" : "London", "title" : "Generic foundation data to be used in the assessment of blast and fire scenarios and typical structural details for primary, secondary and supporting structures components - OTI92585", "type" : "book" }, "uris" : [ "http://www.mendeley.com/documents/?uuid=5849e359-b9c9-4564-80fc-87aadc7c9585", "http://www.mendeley.com/documents/?uuid=9b9d7a17-a5b2-4688-9fdd-208adc41459a", "http://www.mendeley.com/documents/?uuid=381f03bd-8768-4379-b963-aae3fe8633b0" ] } ], "mendeley" : { "formattedCitation" : "(HSE Health and Safety Executive, 1992)", "manualFormatting" : "HSE Health and Safety Executive, 1992)", "plainTextFormattedCitation" : "(HSE Health and Safety Executive, 1992)", "previouslyFormattedCitation" : "(HSE Health and Safety Executive, 1992)" }, "properties" : {  }, "schema" : "https://github.com/citation-style-language/schema/raw/master/csl-citation.json" }</w:instrText>
      </w:r>
      <w:r w:rsidR="0060336C" w:rsidRPr="00D5000C">
        <w:rPr>
          <w:i/>
          <w:color w:val="FF0000"/>
        </w:rPr>
        <w:fldChar w:fldCharType="separate"/>
      </w:r>
      <w:r w:rsidR="0060336C" w:rsidRPr="00D5000C">
        <w:rPr>
          <w:i/>
          <w:noProof/>
          <w:color w:val="FF0000"/>
        </w:rPr>
        <w:t>HSE Health and Safety Executive, 1992)</w:t>
      </w:r>
      <w:r w:rsidR="0060336C" w:rsidRPr="00D5000C">
        <w:rPr>
          <w:i/>
          <w:color w:val="FF0000"/>
        </w:rPr>
        <w:fldChar w:fldCharType="end"/>
      </w:r>
      <w:r w:rsidR="00E77156" w:rsidRPr="00D5000C">
        <w:rPr>
          <w:i/>
          <w:color w:val="FF0000"/>
        </w:rPr>
        <w:t xml:space="preserve">. </w:t>
      </w:r>
      <w:r w:rsidR="003012A5" w:rsidRPr="00D5000C">
        <w:rPr>
          <w:i/>
          <w:color w:val="FF0000"/>
        </w:rPr>
        <w:t>The figure also shows the result of the consequence assessment for the jet fire following the rupture of the production manifold VM01 (i</w:t>
      </w:r>
      <w:r w:rsidR="0025288D" w:rsidRPr="00D5000C">
        <w:rPr>
          <w:i/>
          <w:color w:val="FF0000"/>
        </w:rPr>
        <w:t>ntensity radiation levels</w:t>
      </w:r>
      <w:r w:rsidR="00E345EE" w:rsidRPr="00D5000C">
        <w:rPr>
          <w:i/>
          <w:color w:val="FF0000"/>
        </w:rPr>
        <w:t xml:space="preserve"> in kW/m</w:t>
      </w:r>
      <w:r w:rsidR="00E345EE" w:rsidRPr="00D5000C">
        <w:rPr>
          <w:i/>
          <w:color w:val="FF0000"/>
          <w:vertAlign w:val="superscript"/>
        </w:rPr>
        <w:t>2</w:t>
      </w:r>
      <w:r w:rsidR="003012A5" w:rsidRPr="00D5000C">
        <w:rPr>
          <w:i/>
          <w:color w:val="FF0000"/>
        </w:rPr>
        <w:t>)</w:t>
      </w:r>
      <w:r w:rsidR="00C65623" w:rsidRPr="00D5000C">
        <w:rPr>
          <w:i/>
          <w:color w:val="FF0000"/>
        </w:rPr>
        <w:t xml:space="preserve"> and impacting on the separator VS01, with po</w:t>
      </w:r>
      <w:r w:rsidR="00CD6280">
        <w:rPr>
          <w:i/>
          <w:color w:val="FF0000"/>
        </w:rPr>
        <w:t>tential domino effect</w:t>
      </w:r>
      <w:r w:rsidR="00C65623" w:rsidRPr="00D5000C">
        <w:rPr>
          <w:i/>
          <w:color w:val="FF0000"/>
        </w:rPr>
        <w:t>.</w:t>
      </w:r>
    </w:p>
    <w:p w14:paraId="33A208E1" w14:textId="77777777" w:rsidR="00780828" w:rsidRDefault="00780828" w:rsidP="009270F7"/>
    <w:p w14:paraId="6A3B7BBF" w14:textId="77777777" w:rsidR="009C0F56" w:rsidRDefault="001627D5">
      <w:r>
        <w:t xml:space="preserve">Figure </w:t>
      </w:r>
      <w:r w:rsidR="00DF5066">
        <w:t>4</w:t>
      </w:r>
      <w:r>
        <w:t xml:space="preserve"> represents the process area of the installation. </w:t>
      </w:r>
      <w:r w:rsidR="00780828">
        <w:t>The production risers from the subsea templates are conveyed to the production manifold</w:t>
      </w:r>
      <w:r w:rsidR="009C0F56">
        <w:t xml:space="preserve"> </w:t>
      </w:r>
      <w:r w:rsidR="00340ED6">
        <w:t xml:space="preserve">VM01 </w:t>
      </w:r>
      <w:r w:rsidR="009C0F56">
        <w:t>in the process area</w:t>
      </w:r>
      <w:r w:rsidR="00780828">
        <w:t xml:space="preserve">. The reservoirs at the Goliat field, Kobbe and Realgrunnen, are classified as low pressure wells </w:t>
      </w:r>
      <w:r w:rsidR="00780828">
        <w:fldChar w:fldCharType="begin" w:fldLock="1"/>
      </w:r>
      <w:r w:rsidR="00131B8A">
        <w:instrText>ADDIN CSL_CITATION { "citationItems" : [ { "id" : "ITEM-1", "itemData" : { "URL" : "www.eninorge.com/en/FrontPageTabs/Goliat-news/Crude/", "accessed" : { "date-parts" : [ [ "2016", "11", "4" ] ] }, "author" : [ { "dropping-particle" : "", "family" : "Eni Norge", "given" : "", "non-dropping-particle" : "", "parse-names" : false, "suffix" : "" } ], "id" : "ITEM-1", "issue" : "February", "issued" : { "date-parts" : [ [ "2015" ] ] }, "title" : "Goliat Blend", "type" : "webpage" }, "uris" : [ "http://www.mendeley.com/documents/?uuid=f15b5094-1cf0-4226-8445-24d167458321", "http://www.mendeley.com/documents/?uuid=376c2067-c254-4f55-9c82-433bab4b538d" ] } ], "mendeley" : { "formattedCitation" : "(Eni Norge, 2015)", "plainTextFormattedCitation" : "(Eni Norge, 2015)", "previouslyFormattedCitation" : "(Eni Norge, 2015)" }, "properties" : {  }, "schema" : "https://github.com/citation-style-language/schema/raw/master/csl-citation.json" }</w:instrText>
      </w:r>
      <w:r w:rsidR="00780828">
        <w:fldChar w:fldCharType="separate"/>
      </w:r>
      <w:r w:rsidR="00780828" w:rsidRPr="00780828">
        <w:rPr>
          <w:noProof/>
        </w:rPr>
        <w:t>(Eni Norge, 2015)</w:t>
      </w:r>
      <w:r w:rsidR="00780828">
        <w:fldChar w:fldCharType="end"/>
      </w:r>
      <w:r w:rsidR="00780828">
        <w:t xml:space="preserve">. The manifold operating pressure is then assumed </w:t>
      </w:r>
      <w:r w:rsidR="00B654B6">
        <w:t xml:space="preserve">equal to </w:t>
      </w:r>
      <w:r w:rsidR="00780828">
        <w:t>9 bar.</w:t>
      </w:r>
      <w:r w:rsidR="007D5463">
        <w:t xml:space="preserve"> The oil </w:t>
      </w:r>
      <w:r w:rsidR="00C52D12">
        <w:t xml:space="preserve">from the manifold </w:t>
      </w:r>
      <w:r w:rsidR="007D5463">
        <w:t xml:space="preserve">enters the </w:t>
      </w:r>
      <w:r w:rsidR="0067431D">
        <w:t>low-pressure</w:t>
      </w:r>
      <w:r w:rsidR="009C0F56">
        <w:t xml:space="preserve"> </w:t>
      </w:r>
      <w:r w:rsidR="007D5463">
        <w:t xml:space="preserve">separation train </w:t>
      </w:r>
      <w:r w:rsidR="00340ED6">
        <w:t>(VS01/VS02)</w:t>
      </w:r>
      <w:r w:rsidR="00CA5D4A">
        <w:t xml:space="preserve">, then </w:t>
      </w:r>
      <w:r w:rsidR="007D5463">
        <w:t>it is stabilized and stored</w:t>
      </w:r>
      <w:r w:rsidR="00C167BA">
        <w:t xml:space="preserve"> </w:t>
      </w:r>
      <w:r w:rsidR="009C0F56">
        <w:t xml:space="preserve">into dedicated tankers </w:t>
      </w:r>
      <w:r w:rsidR="00C167BA">
        <w:t>until it can be offloaded</w:t>
      </w:r>
      <w:r w:rsidR="009C0F56">
        <w:t xml:space="preserve"> by means of </w:t>
      </w:r>
      <w:r w:rsidR="003F5C86">
        <w:t>specifically designed</w:t>
      </w:r>
      <w:r w:rsidR="009C0F56">
        <w:t xml:space="preserve"> vessels</w:t>
      </w:r>
      <w:r w:rsidR="007D5463">
        <w:t xml:space="preserve">. </w:t>
      </w:r>
    </w:p>
    <w:p w14:paraId="070750B1" w14:textId="77777777" w:rsidR="00305EF6" w:rsidRDefault="00305EF6" w:rsidP="009270F7">
      <w:r>
        <w:t xml:space="preserve">The jet fire following the rupture of the manifold </w:t>
      </w:r>
      <w:r w:rsidR="003F5C86">
        <w:t>VM01</w:t>
      </w:r>
      <w:r w:rsidR="00C52D12">
        <w:t xml:space="preserve"> </w:t>
      </w:r>
      <w:r>
        <w:t>is considered as primary event affecting the target separator</w:t>
      </w:r>
      <w:r w:rsidR="00C52D12">
        <w:t xml:space="preserve"> </w:t>
      </w:r>
      <w:r w:rsidR="003F5C86">
        <w:t>VS01</w:t>
      </w:r>
      <w:r w:rsidR="00CA5D4A">
        <w:t xml:space="preserve"> and potentially triggering the chain of cascading events</w:t>
      </w:r>
      <w:r>
        <w:t xml:space="preserve">. In order to illustrate the methodology, a </w:t>
      </w:r>
      <w:r w:rsidR="00C52D12">
        <w:t xml:space="preserve">rupture of 25.4 mm (1”) </w:t>
      </w:r>
      <w:r w:rsidR="00C52D12">
        <w:fldChar w:fldCharType="begin" w:fldLock="1"/>
      </w:r>
      <w:r w:rsidR="00131B8A">
        <w:instrText>ADDIN CSL_CITATION { "citationItems" : [ { "id" : "ITEM-1", "itemData" : { "author" : [ { "dropping-particle" : "", "family" : "American Petroleum Institute", "given" : "", "non-dropping-particle" : "", "parse-names" : false, "suffix" : "" } ], "id" : "ITEM-1", "issued" : { "date-parts" : [ [ "2000" ] ] }, "publisher" : "American Petroleum Institute", "publisher-place" : "New York", "title" : "API Publication 581. Risk-based inspection base resource document", "type" : "article" }, "uris" : [ "http://www.mendeley.com/documents/?uuid=106402c0-09e2-424a-b4df-cb7d39c38b2e" ] } ], "mendeley" : { "formattedCitation" : "(American Petroleum Institute, 2000)", "plainTextFormattedCitation" : "(American Petroleum Institute, 2000)", "previouslyFormattedCitation" : "(American Petroleum Institute, 2000)" }, "properties" : {  }, "schema" : "https://github.com/citation-style-language/schema/raw/master/csl-citation.json" }</w:instrText>
      </w:r>
      <w:r w:rsidR="00C52D12">
        <w:fldChar w:fldCharType="separate"/>
      </w:r>
      <w:r w:rsidR="00C52D12" w:rsidRPr="00C52D12">
        <w:rPr>
          <w:noProof/>
        </w:rPr>
        <w:t>(American Petroleum Institute, 2000)</w:t>
      </w:r>
      <w:r w:rsidR="00C52D12">
        <w:fldChar w:fldCharType="end"/>
      </w:r>
      <w:r w:rsidR="00C52D12">
        <w:t xml:space="preserve"> equivalent diameter </w:t>
      </w:r>
      <w:r w:rsidR="009C0F56">
        <w:t>at</w:t>
      </w:r>
      <w:r w:rsidR="00C52D12">
        <w:t xml:space="preserve"> the manifold is considered. A </w:t>
      </w:r>
      <w:r>
        <w:t xml:space="preserve">standard frequency of </w:t>
      </w:r>
      <w:r w:rsidR="00512025">
        <w:t>3.36</w:t>
      </w:r>
      <w:r w:rsidR="00512025" w:rsidRPr="00512025">
        <w:rPr>
          <w:sz w:val="18"/>
          <w:szCs w:val="18"/>
        </w:rPr>
        <w:t>x</w:t>
      </w:r>
      <w:r w:rsidR="00512025">
        <w:t>10</w:t>
      </w:r>
      <w:r w:rsidR="00512025" w:rsidRPr="00512025">
        <w:rPr>
          <w:vertAlign w:val="superscript"/>
        </w:rPr>
        <w:t>-7</w:t>
      </w:r>
      <w:r>
        <w:t xml:space="preserve"> 1/y</w:t>
      </w:r>
      <w:r w:rsidR="003F5C86">
        <w:t>ear</w:t>
      </w:r>
      <w:r>
        <w:t xml:space="preserve"> was assumed for the jet fire</w:t>
      </w:r>
      <w:r w:rsidR="00C52D12">
        <w:t xml:space="preserve"> resulting as primary event</w:t>
      </w:r>
      <w:r>
        <w:t xml:space="preserve">. </w:t>
      </w:r>
      <w:r w:rsidR="00251B2D">
        <w:t xml:space="preserve">The physical effects associated with the jet fire </w:t>
      </w:r>
      <w:r w:rsidR="00F4646D">
        <w:t xml:space="preserve">have been analysed </w:t>
      </w:r>
      <w:r w:rsidR="0067431D">
        <w:t xml:space="preserve">applying conventional literature integral models </w:t>
      </w:r>
      <w:r w:rsidR="0067431D">
        <w:fldChar w:fldCharType="begin" w:fldLock="1"/>
      </w:r>
      <w:r w:rsidR="00131B8A">
        <w:instrText>ADDIN CSL_CITATION { "citationItems" : [ { "id" : "ITEM-1", "itemData" : { "author" : [ { "dropping-particle" : "", "family" : "Bosh", "given" : "C.J.H.", "non-dropping-particle" : "Van Den", "parse-names" : false, "suffix" : "" }, { "dropping-particle" : "", "family" : "Weterings", "given" : "R.A.P.M.", "non-dropping-particle" : "", "parse-names" : false, "suffix" : "" } ], "edition" : "third", "id" : "ITEM-1", "issued" : { "date-parts" : [ [ "2005" ] ] }, "publisher" : "Committee for the Prevention of Disasters", "publisher-place" : "the Hague (NL)", "title" : "Methods for the calculation of physical effects (Yellow Book)", "type" : "book" }, "uris" : [ "http://www.mendeley.com/documents/?uuid=19c24fbd-0411-447c-ac8e-4e6fa911c141" ] } ], "mendeley" : { "formattedCitation" : "(Van Den Bosh and Weterings, 2005)", "plainTextFormattedCitation" : "(Van Den Bosh and Weterings, 2005)", "previouslyFormattedCitation" : "(Van Den Bosh and Weterings, 2005)" }, "properties" : {  }, "schema" : "https://github.com/citation-style-language/schema/raw/master/csl-citation.json" }</w:instrText>
      </w:r>
      <w:r w:rsidR="0067431D">
        <w:fldChar w:fldCharType="separate"/>
      </w:r>
      <w:r w:rsidR="0067431D" w:rsidRPr="0067431D">
        <w:rPr>
          <w:noProof/>
        </w:rPr>
        <w:t>(Van Den Bosh and Weterings, 2005)</w:t>
      </w:r>
      <w:r w:rsidR="0067431D">
        <w:fldChar w:fldCharType="end"/>
      </w:r>
      <w:r w:rsidR="0067431D">
        <w:t xml:space="preserve"> implemented in the software </w:t>
      </w:r>
      <w:r w:rsidR="00F4646D">
        <w:t>DNV GL Phast 7</w:t>
      </w:r>
      <w:r w:rsidR="00CF192D">
        <w:t>.</w:t>
      </w:r>
      <w:r w:rsidR="00F4646D">
        <w:t xml:space="preserve">11. The radiative heat load at the </w:t>
      </w:r>
      <w:r w:rsidR="009C0F56">
        <w:t xml:space="preserve">target </w:t>
      </w:r>
      <w:r w:rsidR="00F4646D">
        <w:t xml:space="preserve">separator </w:t>
      </w:r>
      <w:r w:rsidR="0067431D">
        <w:t>due to the jet fire is shown in</w:t>
      </w:r>
      <w:r w:rsidR="00C22897">
        <w:t xml:space="preserve"> Figure </w:t>
      </w:r>
      <w:r w:rsidR="00DF5066">
        <w:t>4</w:t>
      </w:r>
      <w:r w:rsidR="00C22897">
        <w:t>.</w:t>
      </w:r>
      <w:r w:rsidR="00F4646D">
        <w:t xml:space="preserve"> It is worth noticing the serious hazard posed by jet fire scenarios in O&amp;G offshore installations</w:t>
      </w:r>
      <w:r w:rsidR="009E4E08">
        <w:t xml:space="preserve"> </w:t>
      </w:r>
      <w:r w:rsidR="009E4E08">
        <w:fldChar w:fldCharType="begin" w:fldLock="1"/>
      </w:r>
      <w:r w:rsidR="00131B8A">
        <w:instrText>ADDIN CSL_CITATION { "citationItems" : [ { "id" : "ITEM-1", "itemData" : { "author" : [ { "dropping-particle" : "", "family" : "Lowesmith", "given" : "B J", "non-dropping-particle" : "", "parse-names" : false, "suffix" : "" }, { "dropping-particle" : "", "family" : "Hankinson", "given" : "G", "non-dropping-particle" : "", "parse-names" : false, "suffix" : "" }, { "dropping-particle" : "", "family" : "Acton", "given" : "M R", "non-dropping-particle" : "", "parse-names" : false, "suffix" : "" }, { "dropping-particle" : "", "family" : "Chamberlain", "given" : "G", "non-dropping-particle" : "", "parse-names" : false, "suffix" : "" } ], "container-title" : "Process Safety and Environmental Protection - Institution of Chemical Engineers", "id" : "ITEM-1", "issued" : { "date-parts" : [ [ "2007" ] ] }, "page" : "207-220", "title" : "An overview of the nature of hydrocarbon jet fire hazards in the oil and gas industry and a simplified approach to assessing the hazards", "type" : "article-journal", "volume" : "85" }, "uris" : [ "http://www.mendeley.com/documents/?uuid=1c371548-78ca-448e-91e9-9bbd2f6caa45", "http://www.mendeley.com/documents/?uuid=35acf0d3-e1f8-456f-a37b-6e15644a9ae2", "http://www.mendeley.com/documents/?uuid=5a482c54-8190-4416-bfa3-b420c2ad6377" ] } ], "mendeley" : { "formattedCitation" : "(Lowesmith et al., 2007)", "plainTextFormattedCitation" : "(Lowesmith et al., 2007)", "previouslyFormattedCitation" : "(Lowesmith et al., 2007)" }, "properties" : {  }, "schema" : "https://github.com/citation-style-language/schema/raw/master/csl-citation.json" }</w:instrText>
      </w:r>
      <w:r w:rsidR="009E4E08">
        <w:fldChar w:fldCharType="separate"/>
      </w:r>
      <w:r w:rsidR="002A1865" w:rsidRPr="002A1865">
        <w:rPr>
          <w:noProof/>
        </w:rPr>
        <w:t>(Lowesmith et al., 2007)</w:t>
      </w:r>
      <w:r w:rsidR="009E4E08">
        <w:fldChar w:fldCharType="end"/>
      </w:r>
      <w:r w:rsidR="00F4646D">
        <w:t xml:space="preserve">. </w:t>
      </w:r>
    </w:p>
    <w:p w14:paraId="3EAF44E8" w14:textId="77777777" w:rsidR="00305EF6" w:rsidRDefault="00305EF6" w:rsidP="009270F7">
      <w:r>
        <w:lastRenderedPageBreak/>
        <w:t>Safety barrier</w:t>
      </w:r>
      <w:r w:rsidR="005E0C7E">
        <w:t>s are</w:t>
      </w:r>
      <w:r>
        <w:t xml:space="preserve"> in place </w:t>
      </w:r>
      <w:r w:rsidR="005E0C7E">
        <w:t>in order to</w:t>
      </w:r>
      <w:r>
        <w:t xml:space="preserve"> protect the separator </w:t>
      </w:r>
      <w:r w:rsidR="003F5C86">
        <w:t>VS01</w:t>
      </w:r>
      <w:r w:rsidR="005E0C7E">
        <w:t xml:space="preserve">. They are listed in </w:t>
      </w:r>
      <w:r w:rsidR="003F5C86">
        <w:t>Table 1 and</w:t>
      </w:r>
      <w:r w:rsidR="005E0C7E">
        <w:t xml:space="preserve"> their performance assessment</w:t>
      </w:r>
      <w:r w:rsidR="00893CE9">
        <w:t xml:space="preserve"> in normal and harsh environmental conditions</w:t>
      </w:r>
      <w:r w:rsidR="005E0C7E">
        <w:t xml:space="preserve"> is carried out</w:t>
      </w:r>
      <w:r w:rsidR="003F5C86">
        <w:t xml:space="preserve"> in Section 4.1</w:t>
      </w:r>
      <w:r w:rsidR="005E0C7E">
        <w:t xml:space="preserve">. </w:t>
      </w:r>
    </w:p>
    <w:p w14:paraId="64F3515E" w14:textId="77777777" w:rsidR="005E0C7E" w:rsidRDefault="005E0C7E" w:rsidP="009270F7">
      <w:pPr>
        <w:rPr>
          <w:rFonts w:eastAsiaTheme="minorEastAsia"/>
        </w:rPr>
      </w:pPr>
      <w:r>
        <w:t>In order to exemplify the methodology</w:t>
      </w:r>
      <w:r w:rsidR="00A11A2C">
        <w:t xml:space="preserve"> obtaining conservative evaluations</w:t>
      </w:r>
      <w:r>
        <w:t xml:space="preserve">, low </w:t>
      </w:r>
      <w:r w:rsidR="0047369E">
        <w:t>quality e</w:t>
      </w:r>
      <w:r>
        <w:t xml:space="preserve">quipment and protection devices </w:t>
      </w:r>
      <w:r w:rsidR="00A11A2C">
        <w:t>are assumed for the considered facility</w:t>
      </w:r>
      <w:r w:rsidR="008D5443">
        <w:t xml:space="preserve">, </w:t>
      </w:r>
      <w:r w:rsidR="00A11A2C">
        <w:t xml:space="preserve">hence, </w:t>
      </w:r>
      <m:oMath>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=-1</m:t>
        </m:r>
      </m:oMath>
      <w:r w:rsidR="008D5443">
        <w:rPr>
          <w:rFonts w:eastAsiaTheme="minorEastAsia"/>
        </w:rPr>
        <w:t xml:space="preserve"> in Eq. (3) (</w:t>
      </w:r>
      <w:r>
        <w:rPr>
          <w:rFonts w:eastAsiaTheme="minorEastAsia"/>
        </w:rPr>
        <w:t xml:space="preserve">see Section 2.3). </w:t>
      </w:r>
    </w:p>
    <w:p w14:paraId="6585823A" w14:textId="77777777" w:rsidR="00FB7343" w:rsidRPr="000D14A2" w:rsidRDefault="00FB7343" w:rsidP="009270F7"/>
    <w:p w14:paraId="4DE1C74E" w14:textId="77777777" w:rsidR="00FB7343" w:rsidRDefault="00FB7343" w:rsidP="009270F7">
      <w:pPr>
        <w:pStyle w:val="Heading2"/>
        <w:rPr>
          <w:rFonts w:eastAsiaTheme="minorEastAsia"/>
        </w:rPr>
      </w:pPr>
      <w:r>
        <w:rPr>
          <w:rFonts w:eastAsiaTheme="minorEastAsia"/>
        </w:rPr>
        <w:t xml:space="preserve">3.2. Environmental and meteorological conditions </w:t>
      </w:r>
    </w:p>
    <w:p w14:paraId="69A7EC2D" w14:textId="77777777" w:rsidR="005E0C7E" w:rsidRDefault="00C167BA" w:rsidP="009270F7">
      <w:pPr>
        <w:rPr>
          <w:lang w:val="en-US"/>
        </w:rPr>
      </w:pPr>
      <w:r>
        <w:t xml:space="preserve">Goliat FPSO </w:t>
      </w:r>
      <w:r w:rsidR="00C22897">
        <w:t xml:space="preserve">operates </w:t>
      </w:r>
      <w:r>
        <w:t>in the periphery of the Arctic region</w:t>
      </w:r>
      <w:r w:rsidR="00A35E2D">
        <w:t xml:space="preserve"> and the climatic conditions in that area are therefore </w:t>
      </w:r>
      <w:r w:rsidR="00402E14">
        <w:t xml:space="preserve">more severe and cold </w:t>
      </w:r>
      <w:r w:rsidR="00A35E2D">
        <w:t xml:space="preserve">than </w:t>
      </w:r>
      <w:r w:rsidR="002069DC">
        <w:t>those</w:t>
      </w:r>
      <w:r w:rsidR="009C0F56">
        <w:t xml:space="preserve"> </w:t>
      </w:r>
      <w:r w:rsidR="00A35E2D">
        <w:t>normally experienc</w:t>
      </w:r>
      <w:r w:rsidR="009E4E08">
        <w:t xml:space="preserve">ed </w:t>
      </w:r>
      <w:r w:rsidR="009C0F56">
        <w:t>by offshore installation in the</w:t>
      </w:r>
      <w:r w:rsidR="009E4E08">
        <w:t xml:space="preserve"> North Sea. </w:t>
      </w:r>
      <w:r w:rsidR="005D0DAF">
        <w:rPr>
          <w:lang w:val="en-US"/>
        </w:rPr>
        <w:t xml:space="preserve">Table </w:t>
      </w:r>
      <w:r w:rsidR="00CF192D">
        <w:rPr>
          <w:lang w:val="en-US"/>
        </w:rPr>
        <w:t>7</w:t>
      </w:r>
      <w:r w:rsidR="005D0DAF">
        <w:rPr>
          <w:lang w:val="en-US"/>
        </w:rPr>
        <w:t xml:space="preserve"> summarizes the meteorological data </w:t>
      </w:r>
      <w:r w:rsidR="00CB18AA">
        <w:rPr>
          <w:lang w:val="en-US"/>
        </w:rPr>
        <w:t>concerning</w:t>
      </w:r>
      <w:r w:rsidR="005D0DAF">
        <w:rPr>
          <w:lang w:val="en-US"/>
        </w:rPr>
        <w:t xml:space="preserve"> the Barents Sea</w:t>
      </w:r>
      <w:r w:rsidR="003F5C86">
        <w:rPr>
          <w:lang w:val="en-US"/>
        </w:rPr>
        <w:t xml:space="preserve"> gathered</w:t>
      </w:r>
      <w:r w:rsidR="005D0DAF">
        <w:rPr>
          <w:lang w:val="en-US"/>
        </w:rPr>
        <w:t xml:space="preserve"> in order to exemplify the level of detail requested by the methodology</w:t>
      </w:r>
      <w:r w:rsidR="009E4E08">
        <w:rPr>
          <w:lang w:val="en-US"/>
        </w:rPr>
        <w:t xml:space="preserve">, as </w:t>
      </w:r>
      <w:r w:rsidR="00CB18AA">
        <w:rPr>
          <w:lang w:val="en-US"/>
        </w:rPr>
        <w:t>described</w:t>
      </w:r>
      <w:r w:rsidR="009E4E08">
        <w:rPr>
          <w:lang w:val="en-US"/>
        </w:rPr>
        <w:t xml:space="preserve"> </w:t>
      </w:r>
      <w:r w:rsidR="003F5C86">
        <w:rPr>
          <w:lang w:val="en-US"/>
        </w:rPr>
        <w:t xml:space="preserve">in </w:t>
      </w:r>
      <w:r w:rsidR="006D605B">
        <w:rPr>
          <w:lang w:val="en-US"/>
        </w:rPr>
        <w:t>detail</w:t>
      </w:r>
      <w:r w:rsidR="003F5C86">
        <w:rPr>
          <w:lang w:val="en-US"/>
        </w:rPr>
        <w:t xml:space="preserve"> </w:t>
      </w:r>
      <w:r w:rsidR="009E4E08">
        <w:rPr>
          <w:lang w:val="en-US"/>
        </w:rPr>
        <w:t>in Section 2</w:t>
      </w:r>
      <w:r w:rsidR="005D0DAF">
        <w:rPr>
          <w:lang w:val="en-US"/>
        </w:rPr>
        <w:t xml:space="preserve">. </w:t>
      </w:r>
      <w:r w:rsidR="00CB18AA">
        <w:rPr>
          <w:lang w:val="en-US"/>
        </w:rPr>
        <w:t>For each data, a penalty</w:t>
      </w:r>
      <w:r w:rsidR="003F5C86">
        <w:rPr>
          <w:lang w:val="en-US"/>
        </w:rPr>
        <w:t xml:space="preserve"> score</w:t>
      </w:r>
      <w:r w:rsidR="00CB18AA">
        <w:rPr>
          <w:lang w:val="en-US"/>
        </w:rPr>
        <w:t xml:space="preserve">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CB18AA">
        <w:t xml:space="preserve"> is </w:t>
      </w:r>
      <w:r w:rsidR="009C0F56">
        <w:t>assigned</w:t>
      </w:r>
      <w:r w:rsidR="00CB18AA">
        <w:t xml:space="preserve"> according to Table </w:t>
      </w:r>
      <w:r w:rsidR="00CF192D">
        <w:t>7</w:t>
      </w:r>
      <w:r w:rsidR="00CB18AA">
        <w:rPr>
          <w:lang w:val="en-US"/>
        </w:rPr>
        <w:t xml:space="preserve">. </w:t>
      </w:r>
    </w:p>
    <w:p w14:paraId="6A1C6950" w14:textId="77777777" w:rsidR="00CB18AA" w:rsidRDefault="00CB18AA" w:rsidP="009270F7"/>
    <w:p w14:paraId="5F0122A3" w14:textId="77777777" w:rsidR="00701710" w:rsidRPr="008472F8" w:rsidRDefault="00701710" w:rsidP="009270F7">
      <w:pPr>
        <w:rPr>
          <w:lang w:val="en-US"/>
        </w:rPr>
      </w:pPr>
      <w:r w:rsidRPr="008472F8">
        <w:rPr>
          <w:lang w:val="en-US"/>
        </w:rPr>
        <w:t xml:space="preserve">Table 7. Meteorological characterization of Barents Sea according to the parameters required for HES evaluation in Table 2. </w:t>
      </w:r>
    </w:p>
    <w:tbl>
      <w:tblPr>
        <w:tblStyle w:val="TableGrid"/>
        <w:tblW w:w="5000" w:type="pct"/>
        <w:tblLook w:val="04A0" w:firstRow="1" w:lastRow="0" w:firstColumn="1" w:lastColumn="0" w:noHBand="0" w:noVBand="1"/>
      </w:tblPr>
      <w:tblGrid>
        <w:gridCol w:w="1940"/>
        <w:gridCol w:w="3350"/>
        <w:gridCol w:w="2586"/>
        <w:gridCol w:w="1140"/>
      </w:tblGrid>
      <w:tr w:rsidR="000C19D8" w:rsidRPr="006D605B" w14:paraId="1EC9EC7E" w14:textId="77777777" w:rsidTr="00BE5004">
        <w:tc>
          <w:tcPr>
            <w:tcW w:w="1076" w:type="pct"/>
          </w:tcPr>
          <w:p w14:paraId="499ABBBA" w14:textId="77777777" w:rsidR="00931477" w:rsidRPr="000D14A2" w:rsidRDefault="00931477" w:rsidP="00EC1326">
            <w:pPr>
              <w:pStyle w:val="Table"/>
              <w:rPr>
                <w:b/>
              </w:rPr>
            </w:pPr>
            <w:r w:rsidRPr="000D14A2">
              <w:rPr>
                <w:b/>
              </w:rPr>
              <w:t>External Factor</w:t>
            </w:r>
          </w:p>
        </w:tc>
        <w:tc>
          <w:tcPr>
            <w:tcW w:w="1858" w:type="pct"/>
          </w:tcPr>
          <w:p w14:paraId="5020B9B8" w14:textId="77777777" w:rsidR="00931477" w:rsidRPr="000D14A2" w:rsidRDefault="00C01E52" w:rsidP="00EC1326">
            <w:pPr>
              <w:pStyle w:val="Table"/>
              <w:rPr>
                <w:b/>
              </w:rPr>
            </w:pPr>
            <w:r w:rsidRPr="000D14A2">
              <w:rPr>
                <w:b/>
              </w:rPr>
              <w:t xml:space="preserve">Meteorological data </w:t>
            </w:r>
          </w:p>
        </w:tc>
        <w:tc>
          <w:tcPr>
            <w:tcW w:w="1434" w:type="pct"/>
          </w:tcPr>
          <w:p w14:paraId="128197F2" w14:textId="77777777" w:rsidR="00931477" w:rsidRPr="000D14A2" w:rsidRDefault="00931477" w:rsidP="00EC1326">
            <w:pPr>
              <w:pStyle w:val="Table"/>
              <w:rPr>
                <w:b/>
              </w:rPr>
            </w:pPr>
            <w:r w:rsidRPr="000D14A2">
              <w:rPr>
                <w:b/>
              </w:rPr>
              <w:t xml:space="preserve">Reference </w:t>
            </w:r>
          </w:p>
        </w:tc>
        <w:tc>
          <w:tcPr>
            <w:tcW w:w="632" w:type="pct"/>
          </w:tcPr>
          <w:p w14:paraId="10AED910" w14:textId="77777777" w:rsidR="00931477" w:rsidRPr="000D14A2" w:rsidRDefault="00931477" w:rsidP="00EC1326">
            <w:pPr>
              <w:pStyle w:val="Table"/>
              <w:rPr>
                <w:b/>
              </w:rPr>
            </w:pPr>
            <w:r w:rsidRPr="000D14A2">
              <w:rPr>
                <w:rFonts w:eastAsiaTheme="minorEastAsia"/>
                <w:b/>
              </w:rPr>
              <w:t xml:space="preserve">Score </w:t>
            </w:r>
            <m:oMath>
              <m:sSub>
                <m:sSubPr>
                  <m:ctrlPr>
                    <w:rPr>
                      <w:rFonts w:ascii="Cambria Math" w:hAnsi="Cambria Math"/>
                      <w:b/>
                    </w:rPr>
                  </m:ctrlPr>
                </m:sSubPr>
                <m:e>
                  <m:r>
                    <m:rPr>
                      <m:sty m:val="bi"/>
                    </m:rPr>
                    <w:rPr>
                      <w:rFonts w:ascii="Cambria Math" w:hAnsi="Cambria Math"/>
                    </w:rPr>
                    <m:t>S</m:t>
                  </m:r>
                </m:e>
                <m:sub>
                  <m:r>
                    <m:rPr>
                      <m:sty m:val="bi"/>
                    </m:rPr>
                    <w:rPr>
                      <w:rFonts w:ascii="Cambria Math" w:hAnsi="Cambria Math"/>
                    </w:rPr>
                    <m:t>i</m:t>
                  </m:r>
                </m:sub>
              </m:sSub>
            </m:oMath>
          </w:p>
        </w:tc>
      </w:tr>
      <w:tr w:rsidR="000C19D8" w14:paraId="26915953" w14:textId="77777777" w:rsidTr="00BE5004">
        <w:tc>
          <w:tcPr>
            <w:tcW w:w="1076" w:type="pct"/>
          </w:tcPr>
          <w:p w14:paraId="438261A9" w14:textId="77777777" w:rsidR="00931477" w:rsidRPr="00931477" w:rsidRDefault="00931477" w:rsidP="00EC1326">
            <w:pPr>
              <w:pStyle w:val="Table"/>
            </w:pPr>
            <w:r w:rsidRPr="00931477">
              <w:t>(1</w:t>
            </w:r>
            <w:r>
              <w:t xml:space="preserve">) </w:t>
            </w:r>
            <w:r w:rsidRPr="00931477">
              <w:t xml:space="preserve">Environmental Temperature </w:t>
            </w:r>
          </w:p>
        </w:tc>
        <w:tc>
          <w:tcPr>
            <w:tcW w:w="1858" w:type="pct"/>
          </w:tcPr>
          <w:p w14:paraId="7BE95999" w14:textId="77777777" w:rsidR="00931477" w:rsidRPr="00931477" w:rsidRDefault="00931477" w:rsidP="00EC1326">
            <w:pPr>
              <w:pStyle w:val="Table"/>
            </w:pPr>
            <w:r w:rsidRPr="00931477">
              <w:t>Minimum average T</w:t>
            </w:r>
            <w:r w:rsidR="00C01E52">
              <w:t>:</w:t>
            </w:r>
            <w:r w:rsidRPr="00931477">
              <w:t xml:space="preserve"> -7.7 ͦC (265.45 K). </w:t>
            </w:r>
          </w:p>
          <w:p w14:paraId="421F2E2E" w14:textId="77777777" w:rsidR="00931477" w:rsidRPr="006A7C96" w:rsidRDefault="00931477" w:rsidP="00EC1326">
            <w:pPr>
              <w:pStyle w:val="Table"/>
              <w:rPr>
                <w:highlight w:val="yellow"/>
              </w:rPr>
            </w:pPr>
            <w:r w:rsidRPr="00931477">
              <w:t>For the South-West area</w:t>
            </w:r>
            <w:r w:rsidR="00C01E52">
              <w:t>:</w:t>
            </w:r>
            <w:r w:rsidRPr="00931477">
              <w:t xml:space="preserve"> typical T range from -15 to -20</w:t>
            </w:r>
            <w:r w:rsidR="00193177">
              <w:t>°C</w:t>
            </w:r>
          </w:p>
        </w:tc>
        <w:tc>
          <w:tcPr>
            <w:tcW w:w="1434" w:type="pct"/>
            <w:shd w:val="clear" w:color="auto" w:fill="auto"/>
          </w:tcPr>
          <w:p w14:paraId="413B6E42" w14:textId="77777777" w:rsidR="00931477" w:rsidRDefault="00931477" w:rsidP="00EC1326">
            <w:pPr>
              <w:pStyle w:val="Table"/>
            </w:pPr>
            <w:r w:rsidRPr="00C01E52">
              <w:fldChar w:fldCharType="begin" w:fldLock="1"/>
            </w:r>
            <w:r w:rsidR="00131B8A">
              <w:instrText>ADDIN CSL_CITATION { "citationItems" : [ { "id" : "ITEM-1", "itemData" : { "author" : [ { "dropping-particle" : "", "family" : "ISO-International standardization organization", "given" : "", "non-dropping-particle" : "", "parse-names" : false, "suffix" : "" } ], "id" : "ITEM-1", "issued" : { "date-parts" : [ [ "2010" ] ] }, "title" : "ISO 19906:2010 Petroleum and natural gas industries - Arctic and offshore structures", "type" : "book", "volume" : "2010" }, "uris" : [ "http://www.mendeley.com/documents/?uuid=872fe0e0-7361-43fc-91a0-ceecd199da13", "http://www.mendeley.com/documents/?uuid=a6b7446e-27e2-4c06-9372-685e88cba8bd", "http://www.mendeley.com/documents/?uuid=7cf59aac-9829-4e9f-9d72-da675957c017" ] }, { "id" : "ITEM-2", "itemData" : { "author" : [ { "dropping-particle" : "", "family" : "NORSOK", "given" : "", "non-dropping-particle" : "", "parse-names" : false, "suffix" : "" } ], "id" : "ITEM-2", "issue" : "September", "issued" : { "date-parts" : [ [ "2007" ] ] }, "title" : "NORSOK STANDARD N-003 Actions and action effects", "type" : "book" }, "uris" : [ "http://www.mendeley.com/documents/?uuid=c9173299-e153-4aa2-9bc6-9ef765ed3d32", "http://www.mendeley.com/documents/?uuid=6c577738-e010-487a-b5f5-6e7d01781f34", "http://www.mendeley.com/documents/?uuid=60546c42-1d91-403d-be30-c8ea5a5cacfa" ] } ], "mendeley" : { "formattedCitation" : "(ISO-International standardization organization, 2010; NORSOK, 2007)", "manualFormatting" : "ISO-International standardization organization, 2010; NORSOK, 2007", "plainTextFormattedCitation" : "(ISO-International standardization organization, 2010; NORSOK, 2007)", "previouslyFormattedCitation" : "(ISO-International standardization organization, 2010; NORSOK, 2007)" }, "properties" : {  }, "schema" : "https://github.com/citation-style-language/schema/raw/master/csl-citation.json" }</w:instrText>
            </w:r>
            <w:r w:rsidRPr="00C01E52">
              <w:fldChar w:fldCharType="separate"/>
            </w:r>
            <w:r w:rsidRPr="00C01E52">
              <w:rPr>
                <w:noProof/>
              </w:rPr>
              <w:t>ISO-International standardization organization, 2010; NORSOK, 2007</w:t>
            </w:r>
            <w:r w:rsidRPr="00C01E52">
              <w:fldChar w:fldCharType="end"/>
            </w:r>
          </w:p>
          <w:p w14:paraId="2001A1C3" w14:textId="77777777" w:rsidR="00C01E52" w:rsidRPr="00C01E52" w:rsidRDefault="00C01E52" w:rsidP="00EC1326">
            <w:pPr>
              <w:pStyle w:val="Table"/>
            </w:pPr>
          </w:p>
        </w:tc>
        <w:tc>
          <w:tcPr>
            <w:tcW w:w="632" w:type="pct"/>
          </w:tcPr>
          <w:p w14:paraId="79A769C3" w14:textId="77777777" w:rsidR="00931477" w:rsidRPr="00931477" w:rsidRDefault="00931477" w:rsidP="00EC1326">
            <w:pPr>
              <w:pStyle w:val="Table"/>
            </w:pPr>
            <w:r w:rsidRPr="00931477">
              <w:t>0.8</w:t>
            </w:r>
          </w:p>
        </w:tc>
      </w:tr>
      <w:tr w:rsidR="000C19D8" w14:paraId="2F86BB27" w14:textId="77777777" w:rsidTr="00BE5004">
        <w:tc>
          <w:tcPr>
            <w:tcW w:w="1076" w:type="pct"/>
          </w:tcPr>
          <w:p w14:paraId="311C85D1" w14:textId="77777777" w:rsidR="00931477" w:rsidRDefault="00931477" w:rsidP="00EC1326">
            <w:pPr>
              <w:pStyle w:val="Table"/>
            </w:pPr>
            <w:r>
              <w:t xml:space="preserve">(2) Extreme wind speed </w:t>
            </w:r>
          </w:p>
        </w:tc>
        <w:tc>
          <w:tcPr>
            <w:tcW w:w="1858" w:type="pct"/>
          </w:tcPr>
          <w:p w14:paraId="2E467366" w14:textId="77777777" w:rsidR="00931477" w:rsidRPr="00C01E52" w:rsidRDefault="00C01E52" w:rsidP="00EC1326">
            <w:pPr>
              <w:pStyle w:val="Table"/>
            </w:pPr>
            <w:r w:rsidRPr="00C01E52">
              <w:t>Maximum wind speed at 10 m on the sea level: 26.6 m/s</w:t>
            </w:r>
          </w:p>
          <w:p w14:paraId="5FC5ED0A" w14:textId="77777777" w:rsidR="00C01E52" w:rsidRPr="00C01E52" w:rsidRDefault="00C01E52" w:rsidP="00EC1326">
            <w:pPr>
              <w:pStyle w:val="Table"/>
            </w:pPr>
            <w:r w:rsidRPr="00C01E52">
              <w:t>Annual range: 25-28 m/s</w:t>
            </w:r>
          </w:p>
          <w:p w14:paraId="4723826E" w14:textId="77777777" w:rsidR="00C01E52" w:rsidRPr="006A7C96" w:rsidRDefault="00C01E52" w:rsidP="00EC1326">
            <w:pPr>
              <w:pStyle w:val="Table"/>
              <w:rPr>
                <w:highlight w:val="yellow"/>
              </w:rPr>
            </w:pPr>
            <w:r w:rsidRPr="00C01E52">
              <w:t>Dominant direction during winter: North-East</w:t>
            </w:r>
            <w:r>
              <w:t>.</w:t>
            </w:r>
          </w:p>
        </w:tc>
        <w:tc>
          <w:tcPr>
            <w:tcW w:w="1434" w:type="pct"/>
          </w:tcPr>
          <w:p w14:paraId="384FA215" w14:textId="77777777" w:rsidR="00931477" w:rsidRPr="00C01E52" w:rsidRDefault="00C01E52" w:rsidP="00EC1326">
            <w:pPr>
              <w:pStyle w:val="Table"/>
            </w:pPr>
            <w:r w:rsidRPr="00C01E52">
              <w:fldChar w:fldCharType="begin" w:fldLock="1"/>
            </w:r>
            <w:r w:rsidR="00131B8A">
              <w:instrText>ADDIN CSL_CITATION { "citationItems" : [ { "id" : "ITEM-1", "itemData" : { "author" : [ { "dropping-particle" : "", "family" : "ISO-International standardization organization", "given" : "", "non-dropping-particle" : "", "parse-names" : false, "suffix" : "" } ], "id" : "ITEM-1", "issued" : { "date-parts" : [ [ "2010" ] ] }, "title" : "ISO 19906:2010 Petroleum and natural gas industries - Arctic and offshore structures", "type" : "book", "volume" : "2010" }, "uris" : [ "http://www.mendeley.com/documents/?uuid=7cf59aac-9829-4e9f-9d72-da675957c017", "http://www.mendeley.com/documents/?uuid=a6b7446e-27e2-4c06-9372-685e88cba8bd", "http://www.mendeley.com/documents/?uuid=872fe0e0-7361-43fc-91a0-ceecd199da13" ] }, { "id" : "ITEM-2", "itemData" : { "author" : [ { "dropping-particle" : "", "family" : "NORSOK", "given" : "", "non-dropping-particle" : "", "parse-names" : false, "suffix" : "" } ], "id" : "ITEM-2", "issue" : "September", "issued" : { "date-parts" : [ [ "2007" ] ] }, "title" : "NORSOK STANDARD N-003 Actions and action effects", "type" : "book" }, "uris" : [ "http://www.mendeley.com/documents/?uuid=60546c42-1d91-403d-be30-c8ea5a5cacfa", "http://www.mendeley.com/documents/?uuid=6c577738-e010-487a-b5f5-6e7d01781f34", "http://www.mendeley.com/documents/?uuid=c9173299-e153-4aa2-9bc6-9ef765ed3d32", "http://www.mendeley.com/documents/?uuid=c064aa0b-8c01-4531-9a39-d2fdff15b43d", "http://www.mendeley.com/documents/?uuid=03fa912f-1bb6-4ac9-bfa6-b8eed4b7d85c" ] } ], "mendeley" : { "formattedCitation" : "(ISO-International standardization organization, 2010; NORSOK, 2007)", "manualFormatting" : "ISO-International standardization organization, 2010 ", "plainTextFormattedCitation" : "(ISO-International standardization organization, 2010; NORSOK, 2007)", "previouslyFormattedCitation" : "(ISO-International standardization organization, 2010; NORSOK, 2007)" }, "properties" : {  }, "schema" : "https://github.com/citation-style-language/schema/raw/master/csl-citation.json" }</w:instrText>
            </w:r>
            <w:r w:rsidRPr="00C01E52">
              <w:fldChar w:fldCharType="separate"/>
            </w:r>
            <w:r w:rsidRPr="00C01E52">
              <w:rPr>
                <w:noProof/>
              </w:rPr>
              <w:t xml:space="preserve">ISO-International standardization organization, 2010 </w:t>
            </w:r>
            <w:r w:rsidRPr="00C01E52">
              <w:fldChar w:fldCharType="end"/>
            </w:r>
          </w:p>
        </w:tc>
        <w:tc>
          <w:tcPr>
            <w:tcW w:w="632" w:type="pct"/>
          </w:tcPr>
          <w:p w14:paraId="6209DD96" w14:textId="77777777" w:rsidR="00931477" w:rsidRPr="00931477" w:rsidRDefault="00931477" w:rsidP="00EC1326">
            <w:pPr>
              <w:pStyle w:val="Table"/>
            </w:pPr>
            <w:r w:rsidRPr="00931477">
              <w:t>1</w:t>
            </w:r>
          </w:p>
        </w:tc>
      </w:tr>
      <w:tr w:rsidR="000C19D8" w14:paraId="4C480D76" w14:textId="77777777" w:rsidTr="00BE5004">
        <w:tc>
          <w:tcPr>
            <w:tcW w:w="1076" w:type="pct"/>
          </w:tcPr>
          <w:p w14:paraId="5EC6A414" w14:textId="77777777" w:rsidR="00931477" w:rsidRDefault="00931477" w:rsidP="00EC1326">
            <w:pPr>
              <w:pStyle w:val="Table"/>
            </w:pPr>
            <w:r>
              <w:t xml:space="preserve">(3) Waves height </w:t>
            </w:r>
          </w:p>
        </w:tc>
        <w:tc>
          <w:tcPr>
            <w:tcW w:w="1858" w:type="pct"/>
          </w:tcPr>
          <w:p w14:paraId="0591761A" w14:textId="77777777" w:rsidR="00931477" w:rsidRPr="006A7C96" w:rsidRDefault="00C01E52" w:rsidP="00EC1326">
            <w:pPr>
              <w:pStyle w:val="Table"/>
              <w:rPr>
                <w:highlight w:val="yellow"/>
              </w:rPr>
            </w:pPr>
            <w:r w:rsidRPr="00C01E52">
              <w:t>Significant wave height: 15 m</w:t>
            </w:r>
          </w:p>
        </w:tc>
        <w:tc>
          <w:tcPr>
            <w:tcW w:w="1434" w:type="pct"/>
          </w:tcPr>
          <w:p w14:paraId="386C66F6" w14:textId="77777777" w:rsidR="00931477" w:rsidRPr="006A7C96" w:rsidRDefault="00C01E52" w:rsidP="00EC1326">
            <w:pPr>
              <w:pStyle w:val="Table"/>
              <w:rPr>
                <w:highlight w:val="green"/>
              </w:rPr>
            </w:pPr>
            <w:r w:rsidRPr="00C01E52">
              <w:fldChar w:fldCharType="begin" w:fldLock="1"/>
            </w:r>
            <w:r w:rsidR="00131B8A">
              <w:instrText>ADDIN CSL_CITATION { "citationItems" : [ { "id" : "ITEM-1", "itemData" : { "author" : [ { "dropping-particle" : "", "family" : "ISO-International standardization organization", "given" : "", "non-dropping-particle" : "", "parse-names" : false, "suffix" : "" } ], "id" : "ITEM-1", "issued" : { "date-parts" : [ [ "2010" ] ] }, "title" : "ISO 19906:2010 Petroleum and natural gas industries - Arctic and offshore structures", "type" : "book", "volume" : "2010" }, "uris" : [ "http://www.mendeley.com/documents/?uuid=7cf59aac-9829-4e9f-9d72-da675957c017", "http://www.mendeley.com/documents/?uuid=a6b7446e-27e2-4c06-9372-685e88cba8bd", "http://www.mendeley.com/documents/?uuid=872fe0e0-7361-43fc-91a0-ceecd199da13" ] }, { "id" : "ITEM-2", "itemData" : { "author" : [ { "dropping-particle" : "", "family" : "NORSOK", "given" : "", "non-dropping-particle" : "", "parse-names" : false, "suffix" : "" } ], "id" : "ITEM-2", "issue" : "September", "issued" : { "date-parts" : [ [ "2007" ] ] }, "title" : "NORSOK STANDARD N-003 Actions and action effects", "type" : "book" }, "uris" : [ "http://www.mendeley.com/documents/?uuid=60546c42-1d91-403d-be30-c8ea5a5cacfa", "http://www.mendeley.com/documents/?uuid=6c577738-e010-487a-b5f5-6e7d01781f34", "http://www.mendeley.com/documents/?uuid=c9173299-e153-4aa2-9bc6-9ef765ed3d32", "http://www.mendeley.com/documents/?uuid=f56a0a14-cc0b-43bb-9000-d625990c8b0e", "http://www.mendeley.com/documents/?uuid=cbd2e66f-bab3-4f85-9870-90097fd47ac6" ] } ], "mendeley" : { "formattedCitation" : "(ISO-International standardization organization, 2010; NORSOK, 2007)", "manualFormatting" : "NORSOK, 2007", "plainTextFormattedCitation" : "(ISO-International standardization organization, 2010; NORSOK, 2007)", "previouslyFormattedCitation" : "(ISO-International standardization organization, 2010; NORSOK, 2007)" }, "properties" : {  }, "schema" : "https://github.com/citation-style-language/schema/raw/master/csl-citation.json" }</w:instrText>
            </w:r>
            <w:r w:rsidRPr="00C01E52">
              <w:fldChar w:fldCharType="separate"/>
            </w:r>
            <w:r w:rsidRPr="00C01E52">
              <w:rPr>
                <w:noProof/>
              </w:rPr>
              <w:t>NORSOK, 2007</w:t>
            </w:r>
            <w:r w:rsidRPr="00C01E52">
              <w:fldChar w:fldCharType="end"/>
            </w:r>
          </w:p>
        </w:tc>
        <w:tc>
          <w:tcPr>
            <w:tcW w:w="632" w:type="pct"/>
          </w:tcPr>
          <w:p w14:paraId="31B6C8F4" w14:textId="77777777" w:rsidR="00931477" w:rsidRPr="00931477" w:rsidRDefault="00931477" w:rsidP="00EC1326">
            <w:pPr>
              <w:pStyle w:val="Table"/>
            </w:pPr>
            <w:r w:rsidRPr="00931477">
              <w:t>1</w:t>
            </w:r>
          </w:p>
        </w:tc>
      </w:tr>
      <w:tr w:rsidR="000C19D8" w14:paraId="44F05A71" w14:textId="77777777" w:rsidTr="00BE5004">
        <w:tc>
          <w:tcPr>
            <w:tcW w:w="1076" w:type="pct"/>
          </w:tcPr>
          <w:p w14:paraId="03393306" w14:textId="77777777" w:rsidR="00931477" w:rsidRDefault="00931477" w:rsidP="00EC1326">
            <w:pPr>
              <w:pStyle w:val="Table"/>
            </w:pPr>
            <w:r>
              <w:t xml:space="preserve">(4) Snow </w:t>
            </w:r>
          </w:p>
        </w:tc>
        <w:tc>
          <w:tcPr>
            <w:tcW w:w="1858" w:type="pct"/>
          </w:tcPr>
          <w:p w14:paraId="446727C6" w14:textId="77777777" w:rsidR="00C01E52" w:rsidRPr="006A7C96" w:rsidRDefault="00C01E52" w:rsidP="00EC1326">
            <w:pPr>
              <w:pStyle w:val="Table"/>
              <w:rPr>
                <w:highlight w:val="yellow"/>
              </w:rPr>
            </w:pPr>
            <w:r w:rsidRPr="00C01E52">
              <w:t>Average snowfall during winter (December-May): 0.21 m</w:t>
            </w:r>
          </w:p>
        </w:tc>
        <w:tc>
          <w:tcPr>
            <w:tcW w:w="1434" w:type="pct"/>
          </w:tcPr>
          <w:p w14:paraId="446DB26B" w14:textId="77777777" w:rsidR="00931477" w:rsidRPr="006A7C96" w:rsidRDefault="00395200" w:rsidP="00395200">
            <w:pPr>
              <w:pStyle w:val="Table"/>
              <w:rPr>
                <w:highlight w:val="green"/>
              </w:rPr>
            </w:pPr>
            <w:r>
              <w:fldChar w:fldCharType="begin" w:fldLock="1"/>
            </w:r>
            <w:r w:rsidR="00131B8A">
              <w:instrText>ADDIN CSL_CITATION { "citationItems" : [ { "id" : "ITEM-1", "itemData" : { "author" : [ { "dropping-particle" : "", "family" : "Norwegian Meteorological Institute", "given" : "", "non-dropping-particle" : "", "parse-names" : false, "suffix" : "" } ], "id" : "ITEM-1", "issued" : { "date-parts" : [ [ "2017" ] ] }, "title" : "www.yr.no", "type" : "webpage" }, "uris" : [ "http://www.mendeley.com/documents/?uuid=92d89f47-b783-49f0-ae83-ed5a50e4f082", "http://www.mendeley.com/documents/?uuid=50d48212-357a-47d7-90a5-38f35d361e11" ] } ], "mendeley" : { "formattedCitation" : "(Norwegian Meteorological Institute, 2017)", "manualFormatting" : "Norwegian Meteorological Institute, 2017", "plainTextFormattedCitation" : "(Norwegian Meteorological Institute, 2017)", "previouslyFormattedCitation" : "(Norwegian Meteorological Institute, 2017)" }, "properties" : {  }, "schema" : "https://github.com/citation-style-language/schema/raw/master/csl-citation.json" }</w:instrText>
            </w:r>
            <w:r>
              <w:fldChar w:fldCharType="separate"/>
            </w:r>
            <w:r w:rsidRPr="00395200">
              <w:rPr>
                <w:noProof/>
              </w:rPr>
              <w:t>Norwegian Meteorological Institute, 2017</w:t>
            </w:r>
            <w:r>
              <w:fldChar w:fldCharType="end"/>
            </w:r>
            <w:r w:rsidR="00931477" w:rsidRPr="00C01E52">
              <w:t xml:space="preserve"> </w:t>
            </w:r>
          </w:p>
        </w:tc>
        <w:tc>
          <w:tcPr>
            <w:tcW w:w="632" w:type="pct"/>
          </w:tcPr>
          <w:p w14:paraId="3F629B65" w14:textId="77777777" w:rsidR="00931477" w:rsidRPr="00931477" w:rsidRDefault="00931477" w:rsidP="00EC1326">
            <w:pPr>
              <w:pStyle w:val="Table"/>
            </w:pPr>
            <w:r w:rsidRPr="00931477">
              <w:t>0.2</w:t>
            </w:r>
          </w:p>
        </w:tc>
      </w:tr>
      <w:tr w:rsidR="000C19D8" w14:paraId="6F724743" w14:textId="77777777" w:rsidTr="00BE5004">
        <w:tc>
          <w:tcPr>
            <w:tcW w:w="1076" w:type="pct"/>
          </w:tcPr>
          <w:p w14:paraId="53CA7857" w14:textId="77777777" w:rsidR="00931477" w:rsidRDefault="00931477" w:rsidP="00EC1326">
            <w:pPr>
              <w:pStyle w:val="Table"/>
            </w:pPr>
            <w:r>
              <w:t xml:space="preserve">(5) Fog/Snow effects </w:t>
            </w:r>
          </w:p>
        </w:tc>
        <w:tc>
          <w:tcPr>
            <w:tcW w:w="1858" w:type="pct"/>
          </w:tcPr>
          <w:p w14:paraId="197792E6" w14:textId="77777777" w:rsidR="00931477" w:rsidRPr="00C01E52" w:rsidRDefault="00C01E52" w:rsidP="00EC1326">
            <w:pPr>
              <w:pStyle w:val="Table"/>
            </w:pPr>
            <w:r w:rsidRPr="00C01E52">
              <w:t>64 day/year with visibility lower than 2000 m due to snow precipitation</w:t>
            </w:r>
          </w:p>
          <w:p w14:paraId="1B4B4D9C" w14:textId="77777777" w:rsidR="00C01E52" w:rsidRPr="006A7C96" w:rsidRDefault="00C01E52" w:rsidP="00EC1326">
            <w:pPr>
              <w:pStyle w:val="Table"/>
              <w:rPr>
                <w:highlight w:val="yellow"/>
              </w:rPr>
            </w:pPr>
            <w:r w:rsidRPr="00C01E52">
              <w:t>76 day/year with visibility lower than 1000 m due to fog</w:t>
            </w:r>
          </w:p>
        </w:tc>
        <w:tc>
          <w:tcPr>
            <w:tcW w:w="1434" w:type="pct"/>
          </w:tcPr>
          <w:p w14:paraId="32ED1B29" w14:textId="77777777" w:rsidR="00931477" w:rsidRPr="006A7C96" w:rsidRDefault="00C01E52" w:rsidP="00EC1326">
            <w:pPr>
              <w:pStyle w:val="Table"/>
              <w:rPr>
                <w:highlight w:val="green"/>
              </w:rPr>
            </w:pPr>
            <w:r w:rsidRPr="00C01E52">
              <w:fldChar w:fldCharType="begin" w:fldLock="1"/>
            </w:r>
            <w:r w:rsidR="00131B8A">
              <w:instrText>ADDIN CSL_CITATION { "citationItems" : [ { "id" : "ITEM-1", "itemData" : { "author" : [ { "dropping-particle" : "", "family" : "ISO-International standardization organization", "given" : "", "non-dropping-particle" : "", "parse-names" : false, "suffix" : "" } ], "id" : "ITEM-1", "issued" : { "date-parts" : [ [ "2010" ] ] }, "title" : "ISO 19906:2010 Petroleum and natural gas industries - Arctic and offshore structures", "type" : "book", "volume" : "2010" }, "uris" : [ "http://www.mendeley.com/documents/?uuid=7cf59aac-9829-4e9f-9d72-da675957c017", "http://www.mendeley.com/documents/?uuid=a6b7446e-27e2-4c06-9372-685e88cba8bd", "http://www.mendeley.com/documents/?uuid=872fe0e0-7361-43fc-91a0-ceecd199da13" ] }, { "id" : "ITEM-2", "itemData" : { "author" : [ { "dropping-particle" : "", "family" : "NORSOK", "given" : "", "non-dropping-particle" : "", "parse-names" : false, "suffix" : "" } ], "id" : "ITEM-2", "issue" : "September", "issued" : { "date-parts" : [ [ "2007" ] ] }, "title" : "NORSOK STANDARD N-003 Actions and action effects", "type" : "book" }, "uris" : [ "http://www.mendeley.com/documents/?uuid=60546c42-1d91-403d-be30-c8ea5a5cacfa", "http://www.mendeley.com/documents/?uuid=6c577738-e010-487a-b5f5-6e7d01781f34", "http://www.mendeley.com/documents/?uuid=c9173299-e153-4aa2-9bc6-9ef765ed3d32", "http://www.mendeley.com/documents/?uuid=ccd7d073-757f-4b8d-9a0c-7d563d60fdb1", "http://www.mendeley.com/documents/?uuid=2a53bcf9-9e80-4092-a695-64c96c108190" ] } ], "mendeley" : { "formattedCitation" : "(ISO-International standardization organization, 2010; NORSOK, 2007)", "manualFormatting" : "ISO-International standardization organization, 2010 ", "plainTextFormattedCitation" : "(ISO-International standardization organization, 2010; NORSOK, 2007)", "previouslyFormattedCitation" : "(ISO-International standardization organization, 2010; NORSOK, 2007)" }, "properties" : {  }, "schema" : "https://github.com/citation-style-language/schema/raw/master/csl-citation.json" }</w:instrText>
            </w:r>
            <w:r w:rsidRPr="00C01E52">
              <w:fldChar w:fldCharType="separate"/>
            </w:r>
            <w:r w:rsidRPr="00C01E52">
              <w:rPr>
                <w:noProof/>
              </w:rPr>
              <w:t xml:space="preserve">ISO-International standardization organization, 2010 </w:t>
            </w:r>
            <w:r w:rsidRPr="00C01E52">
              <w:fldChar w:fldCharType="end"/>
            </w:r>
          </w:p>
        </w:tc>
        <w:tc>
          <w:tcPr>
            <w:tcW w:w="632" w:type="pct"/>
          </w:tcPr>
          <w:p w14:paraId="4D37C44B" w14:textId="77777777" w:rsidR="00931477" w:rsidRPr="00931477" w:rsidRDefault="00931477" w:rsidP="00EC1326">
            <w:pPr>
              <w:pStyle w:val="Table"/>
            </w:pPr>
            <w:r w:rsidRPr="00931477">
              <w:t>0.4</w:t>
            </w:r>
          </w:p>
        </w:tc>
      </w:tr>
      <w:tr w:rsidR="000C19D8" w14:paraId="2F309C59" w14:textId="77777777" w:rsidTr="00BE5004">
        <w:tc>
          <w:tcPr>
            <w:tcW w:w="1076" w:type="pct"/>
          </w:tcPr>
          <w:p w14:paraId="0E24C343" w14:textId="77777777" w:rsidR="00931477" w:rsidRPr="00E1292B" w:rsidRDefault="00931477" w:rsidP="00EC1326">
            <w:pPr>
              <w:pStyle w:val="Table"/>
            </w:pPr>
            <w:r>
              <w:t xml:space="preserve">(6) </w:t>
            </w:r>
            <w:r w:rsidRPr="00E1292B">
              <w:t xml:space="preserve">Sunlight hours </w:t>
            </w:r>
          </w:p>
        </w:tc>
        <w:tc>
          <w:tcPr>
            <w:tcW w:w="1858" w:type="pct"/>
          </w:tcPr>
          <w:p w14:paraId="3363A6CD" w14:textId="77777777" w:rsidR="00931477" w:rsidRPr="006A7C96" w:rsidRDefault="00931477" w:rsidP="00EC1326">
            <w:pPr>
              <w:pStyle w:val="Table"/>
              <w:rPr>
                <w:highlight w:val="yellow"/>
              </w:rPr>
            </w:pPr>
            <w:r w:rsidRPr="000C19D8">
              <w:t>1200-1600</w:t>
            </w:r>
            <w:r w:rsidR="000C19D8">
              <w:t xml:space="preserve"> h/year</w:t>
            </w:r>
          </w:p>
        </w:tc>
        <w:tc>
          <w:tcPr>
            <w:tcW w:w="1434" w:type="pct"/>
          </w:tcPr>
          <w:p w14:paraId="1102C890" w14:textId="77777777" w:rsidR="00931477" w:rsidRPr="00C01E52" w:rsidRDefault="00931477" w:rsidP="00EC1326">
            <w:pPr>
              <w:pStyle w:val="Table"/>
            </w:pPr>
            <w:r w:rsidRPr="00C01E52">
              <w:fldChar w:fldCharType="begin" w:fldLock="1"/>
            </w:r>
            <w:r w:rsidR="00131B8A">
              <w:instrText>ADDIN CSL_CITATION { "citationItems" : [ { "id" : "ITEM-1", "itemData" : { "author" : [ { "dropping-particle" : "", "family" : "Landsberg", "given" : "HE", "non-dropping-particle" : "", "parse-names" : false, "suffix" : "" }, { "dropping-particle" : "", "family" : "Pinna", "given" : "M", "non-dropping-particle" : "", "parse-names" : false, "suffix" : "" } ], "editor" : [ { "dropping-particle" : "", "family" : "UTET", "given" : "", "non-dropping-particle" : "", "parse-names" : false, "suffix" : "" } ], "id" : "ITEM-1", "issued" : { "date-parts" : [ [ "1978" ] ] }, "publisher-place" : "Torino, Italy", "title" : "L'atmosfera e il clima", "type" : "book" }, "uris" : [ "http://www.mendeley.com/documents/?uuid=2567024c-3184-4aa4-a3c8-a16b792cf8a9", "http://www.mendeley.com/documents/?uuid=f44266e9-472e-462b-a779-f64eff6670b6", "http://www.mendeley.com/documents/?uuid=76fc7ea1-5ec7-479a-9035-9d8b2c379014" ] } ], "mendeley" : { "formattedCitation" : "(Landsberg and Pinna, 1978)", "manualFormatting" : "Landsberg &amp; Pinna, 1978", "plainTextFormattedCitation" : "(Landsberg and Pinna, 1978)", "previouslyFormattedCitation" : "(Landsberg and Pinna, 1978)" }, "properties" : {  }, "schema" : "https://github.com/citation-style-language/schema/raw/master/csl-citation.json" }</w:instrText>
            </w:r>
            <w:r w:rsidRPr="00C01E52">
              <w:fldChar w:fldCharType="separate"/>
            </w:r>
            <w:r w:rsidRPr="00C01E52">
              <w:rPr>
                <w:noProof/>
              </w:rPr>
              <w:t>Landsberg &amp; Pinna, 1978</w:t>
            </w:r>
            <w:r w:rsidRPr="00C01E52">
              <w:fldChar w:fldCharType="end"/>
            </w:r>
          </w:p>
        </w:tc>
        <w:tc>
          <w:tcPr>
            <w:tcW w:w="632" w:type="pct"/>
          </w:tcPr>
          <w:p w14:paraId="32D4F7BB" w14:textId="77777777" w:rsidR="00931477" w:rsidRPr="00931477" w:rsidRDefault="00931477" w:rsidP="00EC1326">
            <w:pPr>
              <w:pStyle w:val="Table"/>
            </w:pPr>
            <w:r w:rsidRPr="00931477">
              <w:t>0.8</w:t>
            </w:r>
          </w:p>
        </w:tc>
      </w:tr>
      <w:tr w:rsidR="000C19D8" w14:paraId="0488F721" w14:textId="77777777" w:rsidTr="00BE5004">
        <w:tc>
          <w:tcPr>
            <w:tcW w:w="1076" w:type="pct"/>
          </w:tcPr>
          <w:p w14:paraId="76EACCE2" w14:textId="77777777" w:rsidR="00931477" w:rsidRDefault="00931477" w:rsidP="00EC1326">
            <w:pPr>
              <w:pStyle w:val="Table"/>
            </w:pPr>
            <w:r>
              <w:t xml:space="preserve">(7) Distance from home, fear of unknown </w:t>
            </w:r>
          </w:p>
        </w:tc>
        <w:tc>
          <w:tcPr>
            <w:tcW w:w="1858" w:type="pct"/>
          </w:tcPr>
          <w:p w14:paraId="28C2F00A" w14:textId="77777777" w:rsidR="00931477" w:rsidRPr="000C19D8" w:rsidRDefault="00931477" w:rsidP="00EC1326">
            <w:pPr>
              <w:pStyle w:val="Table"/>
            </w:pPr>
            <w:r w:rsidRPr="000C19D8">
              <w:t xml:space="preserve">High </w:t>
            </w:r>
          </w:p>
        </w:tc>
        <w:tc>
          <w:tcPr>
            <w:tcW w:w="1434" w:type="pct"/>
          </w:tcPr>
          <w:p w14:paraId="597F85E0" w14:textId="77777777" w:rsidR="00931477" w:rsidRPr="000C19D8" w:rsidRDefault="00931477" w:rsidP="00EC1326">
            <w:pPr>
              <w:pStyle w:val="Table"/>
            </w:pPr>
            <w:r w:rsidRPr="000C19D8">
              <w:fldChar w:fldCharType="begin" w:fldLock="1"/>
            </w:r>
            <w:r w:rsidR="00131B8A">
              <w:instrText>ADDIN CSL_CITATION { "citationItems" : [ { "id" : "ITEM-1", "itemData" : { "author" : [ { "dropping-particle" : "", "family" : "Suedfeld", "given" : "Peter", "non-dropping-particle" : "", "parse-names" : false, "suffix" : "" }, { "dropping-particle" : "", "family" : "Steel", "given" : "G Daniel", "non-dropping-particle" : "", "parse-names" : false, "suffix" : "" } ], "container-title" : "Annual Review of Psychology", "id" : "ITEM-1", "issued" : { "date-parts" : [ [ "2000" ] ] }, "page" : "227-253", "title" : "The environmental psychology of capsule habitats", "type" : "article-journal", "volume" : "51" }, "uris" : [ "http://www.mendeley.com/documents/?uuid=988fa091-3c31-4cac-9b40-02be0841abcf", "http://www.mendeley.com/documents/?uuid=00aff449-ccbb-428e-b83f-f4204e17b902", "http://www.mendeley.com/documents/?uuid=cae4328b-2695-4551-9bda-8a974e2b97e2" ] } ], "mendeley" : { "formattedCitation" : "(Suedfeld and Steel, 2000)", "manualFormatting" : "Suedfeld &amp; Steel, 2000", "plainTextFormattedCitation" : "(Suedfeld and Steel, 2000)", "previouslyFormattedCitation" : "(Suedfeld and Steel, 2000)" }, "properties" : {  }, "schema" : "https://github.com/citation-style-language/schema/raw/master/csl-citation.json" }</w:instrText>
            </w:r>
            <w:r w:rsidRPr="000C19D8">
              <w:fldChar w:fldCharType="separate"/>
            </w:r>
            <w:r w:rsidRPr="000C19D8">
              <w:rPr>
                <w:noProof/>
              </w:rPr>
              <w:t>Suedfeld &amp; Steel, 2000</w:t>
            </w:r>
            <w:r w:rsidRPr="000C19D8">
              <w:fldChar w:fldCharType="end"/>
            </w:r>
          </w:p>
        </w:tc>
        <w:tc>
          <w:tcPr>
            <w:tcW w:w="632" w:type="pct"/>
          </w:tcPr>
          <w:p w14:paraId="0C3FBED7" w14:textId="77777777" w:rsidR="00931477" w:rsidRPr="00931477" w:rsidRDefault="00931477" w:rsidP="00EC1326">
            <w:pPr>
              <w:pStyle w:val="Table"/>
            </w:pPr>
            <w:r w:rsidRPr="00931477">
              <w:t>1</w:t>
            </w:r>
          </w:p>
        </w:tc>
      </w:tr>
    </w:tbl>
    <w:p w14:paraId="157D693C" w14:textId="77777777" w:rsidR="005D0DAF" w:rsidRDefault="005D0DAF" w:rsidP="009270F7">
      <w:pPr>
        <w:rPr>
          <w:lang w:val="en-US"/>
        </w:rPr>
      </w:pPr>
    </w:p>
    <w:p w14:paraId="073AD7C6" w14:textId="77777777" w:rsidR="002A2BDE" w:rsidRPr="00B83A72" w:rsidRDefault="002A2BDE" w:rsidP="009270F7">
      <w:pPr>
        <w:rPr>
          <w:lang w:val="en-US"/>
        </w:rPr>
      </w:pPr>
      <w:r>
        <w:rPr>
          <w:lang w:val="en-US"/>
        </w:rPr>
        <w:t>The location of Goliat FPSO is remote from other communities</w:t>
      </w:r>
      <w:r w:rsidR="00B83A72">
        <w:rPr>
          <w:lang w:val="en-US"/>
        </w:rPr>
        <w:t>.</w:t>
      </w:r>
      <w:r w:rsidR="00B83A72" w:rsidRPr="00B83A72">
        <w:rPr>
          <w:lang w:val="en-US"/>
        </w:rPr>
        <w:t xml:space="preserve"> </w:t>
      </w:r>
      <w:r w:rsidR="00B83A72">
        <w:rPr>
          <w:lang w:val="en-US"/>
        </w:rPr>
        <w:t>The closest municipality is Hammerfest, in the Norwegian county of Finnmark. It count around 10,000 citizens spread in a total of 848 km</w:t>
      </w:r>
      <w:r w:rsidR="00B83A72">
        <w:rPr>
          <w:vertAlign w:val="superscript"/>
          <w:lang w:val="en-US"/>
        </w:rPr>
        <w:t>2</w:t>
      </w:r>
      <w:r w:rsidR="00B83A72">
        <w:rPr>
          <w:lang w:val="en-US"/>
        </w:rPr>
        <w:t xml:space="preserve"> </w:t>
      </w:r>
      <w:r w:rsidR="00395200">
        <w:rPr>
          <w:lang w:val="en-US"/>
        </w:rPr>
        <w:fldChar w:fldCharType="begin" w:fldLock="1"/>
      </w:r>
      <w:r w:rsidR="00131B8A">
        <w:rPr>
          <w:lang w:val="en-US"/>
        </w:rPr>
        <w:instrText>ADDIN CSL_CITATION { "citationItems" : [ { "id" : "ITEM-1", "itemData" : { "author" : [ { "dropping-particle" : "", "family" : "Hammerfest Kommune", "given" : "", "non-dropping-particle" : "", "parse-names" : false, "suffix" : "" } ], "id" : "ITEM-1", "issued" : { "date-parts" : [ [ "2017" ] ] }, "title" : "www.hammerfest.kommune.no", "type" : "webpage" }, "uris" : [ "http://www.mendeley.com/documents/?uuid=0451b1c0-82a0-4c09-979c-14b142ae2073", "http://www.mendeley.com/documents/?uuid=77b0984b-e307-46d5-9edf-f94d3504b920" ] } ], "mendeley" : { "formattedCitation" : "(Hammerfest Kommune, 2017)", "plainTextFormattedCitation" : "(Hammerfest Kommune, 2017)", "previouslyFormattedCitation" : "(Hammerfest Kommune, 2017)" }, "properties" : {  }, "schema" : "https://github.com/citation-style-language/schema/raw/master/csl-citation.json" }</w:instrText>
      </w:r>
      <w:r w:rsidR="00395200">
        <w:rPr>
          <w:lang w:val="en-US"/>
        </w:rPr>
        <w:fldChar w:fldCharType="separate"/>
      </w:r>
      <w:r w:rsidR="00395200" w:rsidRPr="00395200">
        <w:rPr>
          <w:noProof/>
          <w:lang w:val="en-US"/>
        </w:rPr>
        <w:t>(Hammerfest Kommune, 2017)</w:t>
      </w:r>
      <w:r w:rsidR="00395200">
        <w:rPr>
          <w:lang w:val="en-US"/>
        </w:rPr>
        <w:fldChar w:fldCharType="end"/>
      </w:r>
      <w:r w:rsidR="00395200">
        <w:rPr>
          <w:lang w:val="en-US"/>
        </w:rPr>
        <w:t>.</w:t>
      </w:r>
      <w:r w:rsidR="00B83A72">
        <w:rPr>
          <w:lang w:val="en-US"/>
        </w:rPr>
        <w:t xml:space="preserve"> Moreover, t</w:t>
      </w:r>
      <w:r>
        <w:rPr>
          <w:lang w:val="en-US"/>
        </w:rPr>
        <w:t xml:space="preserve">he physical parameters of </w:t>
      </w:r>
      <w:r w:rsidR="008E6393">
        <w:rPr>
          <w:lang w:val="en-US"/>
        </w:rPr>
        <w:t>that</w:t>
      </w:r>
      <w:r>
        <w:rPr>
          <w:lang w:val="en-US"/>
        </w:rPr>
        <w:t xml:space="preserve"> area are inimical to human life</w:t>
      </w:r>
      <w:r w:rsidR="002069DC">
        <w:rPr>
          <w:lang w:val="en-US"/>
        </w:rPr>
        <w:t xml:space="preserve">. Thus </w:t>
      </w:r>
      <w:r w:rsidR="008E6393">
        <w:rPr>
          <w:lang w:val="en-US"/>
        </w:rPr>
        <w:t xml:space="preserve">for what concern the assessment of the remoteness stressor, the </w:t>
      </w:r>
      <w:r w:rsidR="00FD2579">
        <w:rPr>
          <w:lang w:val="en-US"/>
        </w:rPr>
        <w:t>“</w:t>
      </w:r>
      <w:r w:rsidR="008E6393" w:rsidRPr="00F9370F">
        <w:rPr>
          <w:lang w:val="en-US"/>
        </w:rPr>
        <w:t>capsule</w:t>
      </w:r>
      <w:r w:rsidR="008E6393">
        <w:rPr>
          <w:lang w:val="en-US"/>
        </w:rPr>
        <w:t xml:space="preserve"> concept</w:t>
      </w:r>
      <w:r w:rsidR="00FD2579">
        <w:rPr>
          <w:lang w:val="en-US"/>
        </w:rPr>
        <w:t>”</w:t>
      </w:r>
      <w:r w:rsidR="008E6393">
        <w:rPr>
          <w:lang w:val="en-US"/>
        </w:rPr>
        <w:t xml:space="preserve"> by </w:t>
      </w:r>
      <w:r w:rsidR="008E6393">
        <w:rPr>
          <w:lang w:val="en-US"/>
        </w:rPr>
        <w:fldChar w:fldCharType="begin" w:fldLock="1"/>
      </w:r>
      <w:r w:rsidR="00131B8A">
        <w:rPr>
          <w:lang w:val="en-US"/>
        </w:rPr>
        <w:instrText>ADDIN CSL_CITATION { "citationItems" : [ { "id" : "ITEM-1", "itemData" : { "author" : [ { "dropping-particle" : "", "family" : "Suedfeld", "given" : "Peter", "non-dropping-particle" : "", "parse-names" : false, "suffix" : "" }, { "dropping-particle" : "", "family" : "Steel", "given" : "G Daniel", "non-dropping-particle" : "", "parse-names" : false, "suffix" : "" } ], "container-title" : "Annual Review of Psychology", "id" : "ITEM-1", "issued" : { "date-parts" : [ [ "2000" ] ] }, "page" : "227-253", "title" : "The environmental psychology of capsule habitats", "type" : "article-journal", "volume" : "51" }, "uris" : [ "http://www.mendeley.com/documents/?uuid=cae4328b-2695-4551-9bda-8a974e2b97e2", "http://www.mendeley.com/documents/?uuid=00aff449-ccbb-428e-b83f-f4204e17b902", "http://www.mendeley.com/documents/?uuid=988fa091-3c31-4cac-9b40-02be0841abcf" ] } ], "mendeley" : { "formattedCitation" : "(Suedfeld and Steel, 2000)", "manualFormatting" : "Suedfeld &amp; Steel (2000)", "plainTextFormattedCitation" : "(Suedfeld and Steel, 2000)", "previouslyFormattedCitation" : "(Suedfeld and Steel, 2000)" }, "properties" : {  }, "schema" : "https://github.com/citation-style-language/schema/raw/master/csl-citation.json" }</w:instrText>
      </w:r>
      <w:r w:rsidR="008E6393">
        <w:rPr>
          <w:lang w:val="en-US"/>
        </w:rPr>
        <w:fldChar w:fldCharType="separate"/>
      </w:r>
      <w:r w:rsidR="008E6393">
        <w:rPr>
          <w:noProof/>
          <w:lang w:val="en-US"/>
        </w:rPr>
        <w:t>S</w:t>
      </w:r>
      <w:r w:rsidR="008E6393" w:rsidRPr="002A2BDE">
        <w:rPr>
          <w:noProof/>
          <w:lang w:val="en-US"/>
        </w:rPr>
        <w:t>uedfeld &amp; Steel</w:t>
      </w:r>
      <w:r w:rsidR="008E6393">
        <w:rPr>
          <w:noProof/>
          <w:lang w:val="en-US"/>
        </w:rPr>
        <w:t xml:space="preserve"> (</w:t>
      </w:r>
      <w:r w:rsidR="008E6393" w:rsidRPr="002A2BDE">
        <w:rPr>
          <w:noProof/>
          <w:lang w:val="en-US"/>
        </w:rPr>
        <w:t>2000)</w:t>
      </w:r>
      <w:r w:rsidR="008E6393">
        <w:rPr>
          <w:lang w:val="en-US"/>
        </w:rPr>
        <w:fldChar w:fldCharType="end"/>
      </w:r>
      <w:r w:rsidR="008E6393">
        <w:rPr>
          <w:lang w:val="en-US"/>
        </w:rPr>
        <w:t xml:space="preserve"> has been assumed and the maximum score has been assigned.</w:t>
      </w:r>
    </w:p>
    <w:p w14:paraId="77748A83" w14:textId="77777777" w:rsidR="00893CE9" w:rsidRDefault="00893CE9" w:rsidP="009270F7">
      <w:pPr>
        <w:rPr>
          <w:lang w:val="en-US"/>
        </w:rPr>
      </w:pPr>
    </w:p>
    <w:p w14:paraId="4CF2BDA6" w14:textId="77777777" w:rsidR="00FB7343" w:rsidRDefault="005129D7" w:rsidP="009270F7">
      <w:pPr>
        <w:pStyle w:val="Heading2"/>
        <w:rPr>
          <w:lang w:val="en-US"/>
        </w:rPr>
      </w:pPr>
      <w:r>
        <w:rPr>
          <w:lang w:val="en-US"/>
        </w:rPr>
        <w:t xml:space="preserve">3.3. Emergency Firefighting Response </w:t>
      </w:r>
      <w:r w:rsidR="00893CE9">
        <w:rPr>
          <w:lang w:val="en-US"/>
        </w:rPr>
        <w:t xml:space="preserve">at the field </w:t>
      </w:r>
    </w:p>
    <w:p w14:paraId="17625F1A" w14:textId="77777777" w:rsidR="00A903B5" w:rsidRDefault="00893CE9" w:rsidP="009270F7">
      <w:r w:rsidRPr="002A25C1">
        <w:t xml:space="preserve">The external emergency intervention at Goliat field is provided by Strill Barents supply and stand-by vessel. Under normal circumstances, it operates mainly as supply vessel but it can provide first response in the case of emergency life-saving intervention and oil spill situations </w:t>
      </w:r>
      <w:r w:rsidRPr="002A25C1">
        <w:fldChar w:fldCharType="begin" w:fldLock="1"/>
      </w:r>
      <w:r w:rsidR="00131B8A">
        <w:instrText>ADDIN CSL_CITATION { "citationItems" : [ { "id" : "ITEM-1", "itemData" : { "URL" : "http://www.eninorge.com/en/Field-development/Goliat/Vessels/", "accessed" : { "date-parts" : [ [ "2017", "6", "27" ] ] }, "author" : [ { "dropping-particle" : "", "family" : "Eni Norge", "given" : "", "non-dropping-particle" : "", "parse-names" : false, "suffix" : "" } ], "id" : "ITEM-1", "issued" : { "date-parts" : [ [ "2017" ] ] }, "title" : "Vessels", "type" : "webpage" }, "uris" : [ "http://www.mendeley.com/documents/?uuid=f16e459d-03a0-47ff-af3c-5cd30c224c4e", "http://www.mendeley.com/documents/?uuid=29b6d325-f1fe-436d-9613-fd43a7b49459", "http://www.mendeley.com/documents/?uuid=cce42d6e-137e-4084-853a-9af47ce8eb95" ] } ], "mendeley" : { "formattedCitation" : "(Eni Norge, 2017)", "plainTextFormattedCitation" : "(Eni Norge, 2017)", "previouslyFormattedCitation" : "(Eni Norge, 2017)" }, "properties" : {  }, "schema" : "https://github.com/citation-style-language/schema/raw/master/csl-citation.json" }</w:instrText>
      </w:r>
      <w:r w:rsidRPr="002A25C1">
        <w:fldChar w:fldCharType="separate"/>
      </w:r>
      <w:r w:rsidR="00131B8A" w:rsidRPr="00131B8A">
        <w:rPr>
          <w:noProof/>
        </w:rPr>
        <w:t>(Eni Norge, 2017)</w:t>
      </w:r>
      <w:r w:rsidRPr="002A25C1">
        <w:fldChar w:fldCharType="end"/>
      </w:r>
      <w:r w:rsidRPr="002A25C1">
        <w:t xml:space="preserve">. </w:t>
      </w:r>
      <w:r w:rsidR="00A76B74">
        <w:t xml:space="preserve">Figure </w:t>
      </w:r>
      <w:r w:rsidR="00DF5066">
        <w:t>5</w:t>
      </w:r>
      <w:r w:rsidR="00A76B74">
        <w:t xml:space="preserve"> shows the Strill Barents vessel route, from Hammerfest to Goliat field, publicly available </w:t>
      </w:r>
      <w:r w:rsidR="008F7856">
        <w:t xml:space="preserve">from </w:t>
      </w:r>
      <w:r w:rsidR="008F7856">
        <w:fldChar w:fldCharType="begin" w:fldLock="1"/>
      </w:r>
      <w:r w:rsidR="00131B8A">
        <w:instrText>ADDIN CSL_CITATION { "citationItems" : [ { "id" : "ITEM-1", "itemData" : { "author" : [ { "dropping-particle" : "", "family" : "Marine Traffic", "given" : "", "non-dropping-particle" : "", "parse-names" : false, "suffix" : "" } ], "id" : "ITEM-1", "issued" : { "date-parts" : [ [ "2017" ] ] }, "title" : "www.marinetraffic.com/no/", "type" : "webpage" }, "uris" : [ "http://www.mendeley.com/documents/?uuid=4296d627-d435-4fae-a8bc-8533a372953a", "http://www.mendeley.com/documents/?uuid=83c22cbe-f1f0-4436-b3d6-1b2134de0beb" ] } ], "mendeley" : { "formattedCitation" : "(Marine Traffic, 2017)", "manualFormatting" : "Marine Traffic (2017)", "plainTextFormattedCitation" : "(Marine Traffic, 2017)", "previouslyFormattedCitation" : "(Marine Traffic, 2017)" }, "properties" : {  }, "schema" : "https://github.com/citation-style-language/schema/raw/master/csl-citation.json" }</w:instrText>
      </w:r>
      <w:r w:rsidR="008F7856">
        <w:fldChar w:fldCharType="separate"/>
      </w:r>
      <w:r w:rsidR="008F7856">
        <w:rPr>
          <w:noProof/>
        </w:rPr>
        <w:t>Marine Traffic (</w:t>
      </w:r>
      <w:r w:rsidR="008F7856" w:rsidRPr="008F7856">
        <w:rPr>
          <w:noProof/>
        </w:rPr>
        <w:t>2017)</w:t>
      </w:r>
      <w:r w:rsidR="008F7856">
        <w:fldChar w:fldCharType="end"/>
      </w:r>
      <w:r w:rsidR="008F7856">
        <w:t xml:space="preserve">. </w:t>
      </w:r>
      <w:r w:rsidR="00A76B74">
        <w:t xml:space="preserve"> </w:t>
      </w:r>
    </w:p>
    <w:p w14:paraId="33E71B19" w14:textId="77777777" w:rsidR="00D7284B" w:rsidRDefault="00D7284B" w:rsidP="009270F7"/>
    <w:p w14:paraId="44075FD4" w14:textId="77777777" w:rsidR="004F307C" w:rsidRDefault="004F307C" w:rsidP="000D14A2">
      <w:pPr>
        <w:jc w:val="center"/>
        <w:rPr>
          <w:rFonts w:eastAsiaTheme="minorEastAsia"/>
        </w:rPr>
      </w:pPr>
      <w:r w:rsidRPr="004F307C">
        <w:rPr>
          <w:noProof/>
          <w:lang w:val="nb-NO" w:eastAsia="nb-NO"/>
        </w:rPr>
        <w:drawing>
          <wp:inline distT="0" distB="0" distL="0" distR="0" wp14:anchorId="79FAE48D" wp14:editId="49324927">
            <wp:extent cx="5615426" cy="4435606"/>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271" cy="4437063"/>
                    </a:xfrm>
                    <a:prstGeom prst="rect">
                      <a:avLst/>
                    </a:prstGeom>
                    <a:noFill/>
                    <a:ln>
                      <a:noFill/>
                    </a:ln>
                  </pic:spPr>
                </pic:pic>
              </a:graphicData>
            </a:graphic>
          </wp:inline>
        </w:drawing>
      </w:r>
    </w:p>
    <w:p w14:paraId="69F4285F" w14:textId="0D8D2797" w:rsidR="00A76B74" w:rsidRPr="00D5000C" w:rsidRDefault="00A76B74" w:rsidP="009270F7">
      <w:pPr>
        <w:rPr>
          <w:i/>
          <w:color w:val="FF0000"/>
        </w:rPr>
      </w:pPr>
      <w:r w:rsidRPr="00D5000C">
        <w:rPr>
          <w:i/>
          <w:color w:val="FF0000"/>
        </w:rPr>
        <w:t xml:space="preserve">Figure </w:t>
      </w:r>
      <w:r w:rsidR="00C128E8" w:rsidRPr="00D5000C">
        <w:rPr>
          <w:i/>
          <w:color w:val="FF0000"/>
        </w:rPr>
        <w:t>5</w:t>
      </w:r>
      <w:r w:rsidR="00CF192D" w:rsidRPr="00D5000C">
        <w:rPr>
          <w:i/>
          <w:color w:val="FF0000"/>
        </w:rPr>
        <w:t>.</w:t>
      </w:r>
      <w:r w:rsidRPr="00D5000C">
        <w:rPr>
          <w:i/>
          <w:color w:val="FF0000"/>
        </w:rPr>
        <w:t xml:space="preserve"> Strill Barents stand-by vessel route at Goliat field </w:t>
      </w:r>
      <w:r w:rsidR="008F7856" w:rsidRPr="00D5000C">
        <w:rPr>
          <w:i/>
          <w:color w:val="FF0000"/>
        </w:rPr>
        <w:fldChar w:fldCharType="begin" w:fldLock="1"/>
      </w:r>
      <w:r w:rsidR="00131B8A" w:rsidRPr="00D5000C">
        <w:rPr>
          <w:i/>
          <w:color w:val="FF0000"/>
        </w:rPr>
        <w:instrText>ADDIN CSL_CITATION { "citationItems" : [ { "id" : "ITEM-1", "itemData" : { "author" : [ { "dropping-particle" : "", "family" : "Marine Traffic", "given" : "", "non-dropping-particle" : "", "parse-names" : false, "suffix" : "" } ], "id" : "ITEM-1", "issued" : { "date-parts" : [ [ "2017" ] ] }, "title" : "www.marinetraffic.com/no/", "type" : "webpage" }, "uris" : [ "http://www.mendeley.com/documents/?uuid=83c22cbe-f1f0-4436-b3d6-1b2134de0beb", "http://www.mendeley.com/documents/?uuid=4296d627-d435-4fae-a8bc-8533a372953a" ] } ], "mendeley" : { "formattedCitation" : "(Marine Traffic, 2017)", "plainTextFormattedCitation" : "(Marine Traffic, 2017)", "previouslyFormattedCitation" : "(Marine Traffic, 2017)" }, "properties" : {  }, "schema" : "https://github.com/citation-style-language/schema/raw/master/csl-citation.json" }</w:instrText>
      </w:r>
      <w:r w:rsidR="008F7856" w:rsidRPr="00D5000C">
        <w:rPr>
          <w:i/>
          <w:color w:val="FF0000"/>
        </w:rPr>
        <w:fldChar w:fldCharType="separate"/>
      </w:r>
      <w:r w:rsidR="008F7856" w:rsidRPr="00D5000C">
        <w:rPr>
          <w:i/>
          <w:noProof/>
          <w:color w:val="FF0000"/>
        </w:rPr>
        <w:t>(Marine Traffic, 2017)</w:t>
      </w:r>
      <w:r w:rsidR="008F7856" w:rsidRPr="00D5000C">
        <w:rPr>
          <w:i/>
          <w:color w:val="FF0000"/>
        </w:rPr>
        <w:fldChar w:fldCharType="end"/>
      </w:r>
      <w:r w:rsidR="00FE23B0" w:rsidRPr="00D5000C">
        <w:rPr>
          <w:i/>
          <w:color w:val="FF0000"/>
        </w:rPr>
        <w:t xml:space="preserve">, </w:t>
      </w:r>
      <w:r w:rsidR="00CD6280">
        <w:rPr>
          <w:i/>
          <w:color w:val="FF0000"/>
        </w:rPr>
        <w:t>site</w:t>
      </w:r>
      <w:r w:rsidR="00FE23B0" w:rsidRPr="00D5000C">
        <w:rPr>
          <w:i/>
          <w:color w:val="FF0000"/>
        </w:rPr>
        <w:t xml:space="preserve"> selected for the </w:t>
      </w:r>
      <w:r w:rsidR="00F5525E">
        <w:rPr>
          <w:i/>
          <w:color w:val="FF0000"/>
        </w:rPr>
        <w:t xml:space="preserve">present </w:t>
      </w:r>
      <w:r w:rsidR="00FE23B0" w:rsidRPr="00D5000C">
        <w:rPr>
          <w:i/>
          <w:color w:val="FF0000"/>
        </w:rPr>
        <w:t>case study</w:t>
      </w:r>
      <w:r w:rsidR="008F7856" w:rsidRPr="00D5000C">
        <w:rPr>
          <w:i/>
          <w:color w:val="FF0000"/>
        </w:rPr>
        <w:t xml:space="preserve">. </w:t>
      </w:r>
      <w:r w:rsidR="00894C95" w:rsidRPr="00D5000C">
        <w:rPr>
          <w:i/>
          <w:color w:val="FF0000"/>
        </w:rPr>
        <w:t xml:space="preserve">This </w:t>
      </w:r>
      <w:r w:rsidR="00195775" w:rsidRPr="00D5000C">
        <w:rPr>
          <w:i/>
          <w:color w:val="FF0000"/>
        </w:rPr>
        <w:t>vessel</w:t>
      </w:r>
      <w:r w:rsidRPr="00D5000C">
        <w:rPr>
          <w:i/>
          <w:color w:val="FF0000"/>
        </w:rPr>
        <w:t xml:space="preserve"> </w:t>
      </w:r>
      <w:r w:rsidR="00894C95" w:rsidRPr="00D5000C">
        <w:rPr>
          <w:i/>
          <w:color w:val="FF0000"/>
        </w:rPr>
        <w:t>provides first response in the case of emergency life-saving intervention and oil spill situations and its typical route is traced in order to support the quantitative assessment of emergency response</w:t>
      </w:r>
      <w:r w:rsidR="00266446">
        <w:rPr>
          <w:i/>
          <w:color w:val="FF0000"/>
        </w:rPr>
        <w:t xml:space="preserve"> measures</w:t>
      </w:r>
      <w:r w:rsidR="00894C95" w:rsidRPr="00D5000C">
        <w:rPr>
          <w:i/>
          <w:color w:val="FF0000"/>
        </w:rPr>
        <w:t>.</w:t>
      </w:r>
    </w:p>
    <w:p w14:paraId="56BDB4FA" w14:textId="77777777" w:rsidR="00A76B74" w:rsidRDefault="00A76B74" w:rsidP="009270F7"/>
    <w:p w14:paraId="46D4CD50" w14:textId="77777777" w:rsidR="00893CE9" w:rsidRPr="002A25C1" w:rsidRDefault="00893CE9" w:rsidP="009270F7">
      <w:r w:rsidRPr="002A25C1">
        <w:t xml:space="preserve">Goliat emergency preparedness includes also another stand-by safety vessel, the Esvagt Aurora. However, this vessel has Danish flag and its route covers the entire </w:t>
      </w:r>
      <w:r w:rsidR="009D0AC8">
        <w:t xml:space="preserve">Norwegian Continent Shelf </w:t>
      </w:r>
      <w:r w:rsidRPr="002A25C1">
        <w:t xml:space="preserve">and the Danish water </w:t>
      </w:r>
      <w:r w:rsidR="008F7856">
        <w:fldChar w:fldCharType="begin" w:fldLock="1"/>
      </w:r>
      <w:r w:rsidR="00131B8A">
        <w:instrText>ADDIN CSL_CITATION { "citationItems" : [ { "id" : "ITEM-1", "itemData" : { "author" : [ { "dropping-particle" : "", "family" : "Vessel Finder", "given" : "", "non-dropping-particle" : "", "parse-names" : false, "suffix" : "" } ], "id" : "ITEM-1", "issued" : { "date-parts" : [ [ "2017" ] ] }, "title" : "www.vesselfinder.com/vessels/ESVAGT-AURORA-IMO-9594042-MMSI-219017214", "type" : "webpage" }, "uris" : [ "http://www.mendeley.com/documents/?uuid=82ad8170-295b-4e62-9a6f-89ef5f54386d", "http://www.mendeley.com/documents/?uuid=933284a3-caae-43f1-8867-a12b52c43a6c" ] } ], "mendeley" : { "formattedCitation" : "(Vessel Finder, 2017a)", "plainTextFormattedCitation" : "(Vessel Finder, 2017a)", "previouslyFormattedCitation" : "(Vessel Finder, 2017a)" }, "properties" : {  }, "schema" : "https://github.com/citation-style-language/schema/raw/master/csl-citation.json" }</w:instrText>
      </w:r>
      <w:r w:rsidR="008F7856">
        <w:fldChar w:fldCharType="separate"/>
      </w:r>
      <w:r w:rsidR="008F7856" w:rsidRPr="008F7856">
        <w:rPr>
          <w:noProof/>
        </w:rPr>
        <w:t>(Vessel Finder, 2017a)</w:t>
      </w:r>
      <w:r w:rsidR="008F7856">
        <w:fldChar w:fldCharType="end"/>
      </w:r>
      <w:r w:rsidR="008F7856">
        <w:t xml:space="preserve">. </w:t>
      </w:r>
      <w:r w:rsidRPr="002A25C1">
        <w:t xml:space="preserve">For that reason, </w:t>
      </w:r>
      <w:r w:rsidR="002069DC">
        <w:t xml:space="preserve">in the present study only the presence and operation of the Strill Barent vessel were considered. </w:t>
      </w:r>
      <w:r w:rsidRPr="002A25C1">
        <w:t xml:space="preserve"> </w:t>
      </w:r>
    </w:p>
    <w:p w14:paraId="6CD53E84" w14:textId="77777777" w:rsidR="00893CE9" w:rsidRPr="002A25C1" w:rsidRDefault="00893CE9" w:rsidP="009270F7">
      <w:r w:rsidRPr="002A25C1">
        <w:rPr>
          <w:lang w:val="en-US"/>
        </w:rPr>
        <w:lastRenderedPageBreak/>
        <w:t xml:space="preserve">The response time </w:t>
      </w:r>
      <w:r w:rsidRPr="002A25C1">
        <w:t>depends on distance between the stand-by vessel and the installation and on the speed of the vessel. Vessels are tracked by means of Automatic Identification System. Data as the latitude and longitude coordinates of the vessel, its speed in different meteorological conditions</w:t>
      </w:r>
      <w:r w:rsidR="002069DC">
        <w:t>,</w:t>
      </w:r>
      <w:r w:rsidRPr="002A25C1">
        <w:t xml:space="preserve"> and different time over the day are gathered from the vessel tracking service provider </w:t>
      </w:r>
      <w:r w:rsidR="008F7856">
        <w:fldChar w:fldCharType="begin" w:fldLock="1"/>
      </w:r>
      <w:r w:rsidR="00131B8A">
        <w:instrText>ADDIN CSL_CITATION { "citationItems" : [ { "id" : "ITEM-1", "itemData" : { "author" : [ { "dropping-particle" : "", "family" : "Vessel Finder", "given" : "", "non-dropping-particle" : "", "parse-names" : false, "suffix" : "" } ], "id" : "ITEM-1", "issued" : { "date-parts" : [ [ "2017" ] ] }, "title" : "www.vesselfinder.com", "type" : "webpage" }, "uris" : [ "http://www.mendeley.com/documents/?uuid=e78e3ad0-4b8b-45e3-9eb4-b7413fc5d72b", "http://www.mendeley.com/documents/?uuid=eef6641b-0c92-4af4-b8e5-5b41b421cc42" ] } ], "mendeley" : { "formattedCitation" : "(Vessel Finder, 2017b)", "manualFormatting" : "Vessel Finder (2017b)", "plainTextFormattedCitation" : "(Vessel Finder, 2017b)", "previouslyFormattedCitation" : "(Vessel Finder, 2017b)" }, "properties" : {  }, "schema" : "https://github.com/citation-style-language/schema/raw/master/csl-citation.json" }</w:instrText>
      </w:r>
      <w:r w:rsidR="008F7856">
        <w:fldChar w:fldCharType="separate"/>
      </w:r>
      <w:r w:rsidR="008F7856">
        <w:rPr>
          <w:noProof/>
        </w:rPr>
        <w:t>Vessel Finder (</w:t>
      </w:r>
      <w:r w:rsidR="008F7856" w:rsidRPr="008F7856">
        <w:rPr>
          <w:noProof/>
        </w:rPr>
        <w:t>2017b)</w:t>
      </w:r>
      <w:r w:rsidR="008F7856">
        <w:fldChar w:fldCharType="end"/>
      </w:r>
      <w:r w:rsidRPr="002A25C1">
        <w:t xml:space="preserve">. </w:t>
      </w:r>
    </w:p>
    <w:p w14:paraId="4BCC4098" w14:textId="77777777" w:rsidR="00BC6DB6" w:rsidRDefault="007E23CA" w:rsidP="009270F7">
      <w:pPr>
        <w:rPr>
          <w:lang w:val="en-US"/>
        </w:rPr>
      </w:pPr>
      <w:r>
        <w:rPr>
          <w:lang w:val="en-US"/>
        </w:rPr>
        <w:t xml:space="preserve">Data about </w:t>
      </w:r>
      <w:r w:rsidR="00480942">
        <w:rPr>
          <w:lang w:val="en-US"/>
        </w:rPr>
        <w:t>vessel location (in term of latitude and longitude) and speed are provided fro</w:t>
      </w:r>
      <w:r w:rsidR="000307E8">
        <w:rPr>
          <w:lang w:val="en-US"/>
        </w:rPr>
        <w:t xml:space="preserve">m April 2016 to April 2017 with hourly time resolution. The vessel velocity is affected by meteorological conditions and adverse weather may result in delay in </w:t>
      </w:r>
      <w:r w:rsidR="00FC2B1F">
        <w:rPr>
          <w:lang w:val="en-US"/>
        </w:rPr>
        <w:t xml:space="preserve">intervention and deployment. </w:t>
      </w:r>
      <w:r w:rsidR="006E65B0">
        <w:rPr>
          <w:lang w:val="en-US"/>
        </w:rPr>
        <w:t>Therefore, in</w:t>
      </w:r>
      <w:r w:rsidR="00543984">
        <w:rPr>
          <w:lang w:val="en-US"/>
        </w:rPr>
        <w:t xml:space="preserve"> </w:t>
      </w:r>
      <w:r w:rsidR="006E65B0">
        <w:rPr>
          <w:lang w:val="en-US"/>
        </w:rPr>
        <w:t>order to obtain safe side evaluations, d</w:t>
      </w:r>
      <w:r w:rsidR="002069DC">
        <w:rPr>
          <w:lang w:val="en-US"/>
        </w:rPr>
        <w:t>ata we</w:t>
      </w:r>
      <w:r w:rsidR="00FC2B1F">
        <w:rPr>
          <w:lang w:val="en-US"/>
        </w:rPr>
        <w:t xml:space="preserve">re analyzed </w:t>
      </w:r>
      <w:r w:rsidR="006E65B0">
        <w:rPr>
          <w:lang w:val="en-US"/>
        </w:rPr>
        <w:t xml:space="preserve">in order to determine </w:t>
      </w:r>
      <w:r w:rsidR="00FC2B1F">
        <w:rPr>
          <w:lang w:val="en-US"/>
        </w:rPr>
        <w:t>two extreme weather conditions</w:t>
      </w:r>
      <w:r w:rsidR="006E65B0">
        <w:rPr>
          <w:lang w:val="en-US"/>
        </w:rPr>
        <w:t xml:space="preserve">, which have </w:t>
      </w:r>
      <w:r w:rsidR="00FC2B1F">
        <w:rPr>
          <w:lang w:val="en-US"/>
        </w:rPr>
        <w:t xml:space="preserve">been considered in determining the logarithmic relationship </w:t>
      </w:r>
      <w:r w:rsidR="006E65B0">
        <w:rPr>
          <w:lang w:val="en-US"/>
        </w:rPr>
        <w:t xml:space="preserve">for </w:t>
      </w:r>
      <w:r w:rsidR="00FC2B1F">
        <w:rPr>
          <w:lang w:val="en-US"/>
        </w:rPr>
        <w:t xml:space="preserve">the delay in external emergency </w:t>
      </w:r>
      <w:r w:rsidR="00FC2B1F" w:rsidRPr="003348B8">
        <w:rPr>
          <w:lang w:val="en-US"/>
        </w:rPr>
        <w:t xml:space="preserve">intervention due to harsh environment. The two conditions are summarized in Table </w:t>
      </w:r>
      <w:r w:rsidR="00BC6DB6" w:rsidRPr="003348B8">
        <w:rPr>
          <w:lang w:val="en-US"/>
        </w:rPr>
        <w:t>8.</w:t>
      </w:r>
    </w:p>
    <w:p w14:paraId="75D6DDC2" w14:textId="77777777" w:rsidR="00BC6DB6" w:rsidRDefault="00BC6DB6" w:rsidP="009270F7">
      <w:pPr>
        <w:rPr>
          <w:lang w:val="en-US"/>
        </w:rPr>
      </w:pPr>
    </w:p>
    <w:p w14:paraId="4F0653D0" w14:textId="77777777" w:rsidR="0000424F" w:rsidRPr="00F9370F" w:rsidRDefault="0000424F">
      <w:pPr>
        <w:rPr>
          <w:lang w:val="en-US"/>
        </w:rPr>
      </w:pPr>
      <w:r w:rsidRPr="00F9370F">
        <w:rPr>
          <w:lang w:val="en-US"/>
        </w:rPr>
        <w:t xml:space="preserve">Table 8. Meteorological characterization of the two environmental conditions used for tuning the relationship </w:t>
      </w:r>
      <w:r w:rsidR="009978C3">
        <w:rPr>
          <w:lang w:val="en-US"/>
        </w:rPr>
        <w:t>estimating</w:t>
      </w:r>
      <w:r w:rsidRPr="00F9370F">
        <w:rPr>
          <w:lang w:val="en-US"/>
        </w:rPr>
        <w:t xml:space="preserve"> the delay in emergency intervention. Data are provided by </w:t>
      </w:r>
      <w:r w:rsidR="008F7856">
        <w:rPr>
          <w:lang w:val="en-US"/>
        </w:rPr>
        <w:fldChar w:fldCharType="begin" w:fldLock="1"/>
      </w:r>
      <w:r w:rsidR="00131B8A">
        <w:rPr>
          <w:lang w:val="en-US"/>
        </w:rPr>
        <w:instrText>ADDIN CSL_CITATION { "citationItems" : [ { "id" : "ITEM-1", "itemData" : { "author" : [ { "dropping-particle" : "", "family" : "Vessel Finder", "given" : "", "non-dropping-particle" : "", "parse-names" : false, "suffix" : "" } ], "id" : "ITEM-1", "issued" : { "date-parts" : [ [ "2017" ] ] }, "title" : "www.vesselfinder.com", "type" : "webpage" }, "uris" : [ "http://www.mendeley.com/documents/?uuid=eef6641b-0c92-4af4-b8e5-5b41b421cc42", "http://www.mendeley.com/documents/?uuid=e78e3ad0-4b8b-45e3-9eb4-b7413fc5d72b" ] } ], "mendeley" : { "formattedCitation" : "(Vessel Finder, 2017b)", "manualFormatting" : "Vessel Finder (2017b)", "plainTextFormattedCitation" : "(Vessel Finder, 2017b)", "previouslyFormattedCitation" : "(Vessel Finder, 2017b)" }, "properties" : {  }, "schema" : "https://github.com/citation-style-language/schema/raw/master/csl-citation.json" }</w:instrText>
      </w:r>
      <w:r w:rsidR="008F7856">
        <w:rPr>
          <w:lang w:val="en-US"/>
        </w:rPr>
        <w:fldChar w:fldCharType="separate"/>
      </w:r>
      <w:r w:rsidR="008F7856" w:rsidRPr="008F7856">
        <w:rPr>
          <w:noProof/>
          <w:lang w:val="en-US"/>
        </w:rPr>
        <w:t>Vessel Finder</w:t>
      </w:r>
      <w:r w:rsidR="008F7856">
        <w:rPr>
          <w:noProof/>
          <w:lang w:val="en-US"/>
        </w:rPr>
        <w:t xml:space="preserve"> (</w:t>
      </w:r>
      <w:r w:rsidR="008F7856" w:rsidRPr="008F7856">
        <w:rPr>
          <w:noProof/>
          <w:lang w:val="en-US"/>
        </w:rPr>
        <w:t>2017b)</w:t>
      </w:r>
      <w:r w:rsidR="008F7856">
        <w:rPr>
          <w:lang w:val="en-US"/>
        </w:rPr>
        <w:fldChar w:fldCharType="end"/>
      </w:r>
      <w:r w:rsidRPr="00F9370F">
        <w:rPr>
          <w:lang w:val="en-US"/>
        </w:rPr>
        <w:t xml:space="preserve">. </w:t>
      </w:r>
    </w:p>
    <w:tbl>
      <w:tblPr>
        <w:tblStyle w:val="TableGrid"/>
        <w:tblW w:w="0" w:type="auto"/>
        <w:tblLook w:val="04A0" w:firstRow="1" w:lastRow="0" w:firstColumn="1" w:lastColumn="0" w:noHBand="0" w:noVBand="1"/>
      </w:tblPr>
      <w:tblGrid>
        <w:gridCol w:w="4508"/>
        <w:gridCol w:w="4508"/>
      </w:tblGrid>
      <w:tr w:rsidR="00BC6DB6" w:rsidRPr="00543984" w14:paraId="1396E47E" w14:textId="77777777" w:rsidTr="00BC6DB6">
        <w:tc>
          <w:tcPr>
            <w:tcW w:w="4508" w:type="dxa"/>
          </w:tcPr>
          <w:p w14:paraId="40CA219D" w14:textId="77777777" w:rsidR="00BC6DB6" w:rsidRPr="000D14A2" w:rsidRDefault="00543984" w:rsidP="00EC1326">
            <w:pPr>
              <w:pStyle w:val="Table"/>
              <w:rPr>
                <w:b/>
                <w:lang w:val="en-US"/>
              </w:rPr>
            </w:pPr>
            <w:r w:rsidRPr="000D14A2">
              <w:rPr>
                <w:b/>
                <w:lang w:val="en-US"/>
              </w:rPr>
              <w:t>Worst</w:t>
            </w:r>
            <w:r>
              <w:rPr>
                <w:b/>
                <w:lang w:val="en-US"/>
              </w:rPr>
              <w:t>-</w:t>
            </w:r>
            <w:r w:rsidR="00BC6DB6" w:rsidRPr="000D14A2">
              <w:rPr>
                <w:b/>
                <w:lang w:val="en-US"/>
              </w:rPr>
              <w:t>case scenario</w:t>
            </w:r>
          </w:p>
        </w:tc>
        <w:tc>
          <w:tcPr>
            <w:tcW w:w="4508" w:type="dxa"/>
          </w:tcPr>
          <w:p w14:paraId="25784FB7" w14:textId="77777777" w:rsidR="00BC6DB6" w:rsidRPr="000D14A2" w:rsidRDefault="00543984" w:rsidP="00EC1326">
            <w:pPr>
              <w:pStyle w:val="Table"/>
              <w:rPr>
                <w:b/>
                <w:lang w:val="en-US"/>
              </w:rPr>
            </w:pPr>
            <w:r w:rsidRPr="000D14A2">
              <w:rPr>
                <w:b/>
                <w:lang w:val="en-US"/>
              </w:rPr>
              <w:t>Best</w:t>
            </w:r>
            <w:r>
              <w:rPr>
                <w:b/>
                <w:lang w:val="en-US"/>
              </w:rPr>
              <w:t>-</w:t>
            </w:r>
            <w:r w:rsidR="00BC6DB6" w:rsidRPr="000D14A2">
              <w:rPr>
                <w:b/>
                <w:lang w:val="en-US"/>
              </w:rPr>
              <w:t>case scenario</w:t>
            </w:r>
          </w:p>
        </w:tc>
      </w:tr>
      <w:tr w:rsidR="00543984" w:rsidRPr="009270F7" w14:paraId="6C9F11D5" w14:textId="77777777" w:rsidTr="00BC6DB6">
        <w:tc>
          <w:tcPr>
            <w:tcW w:w="4508" w:type="dxa"/>
          </w:tcPr>
          <w:p w14:paraId="1EC8746A" w14:textId="77777777" w:rsidR="00543984" w:rsidRPr="00F9370F" w:rsidRDefault="00543984" w:rsidP="00EC1326">
            <w:pPr>
              <w:pStyle w:val="Table"/>
              <w:rPr>
                <w:lang w:val="nl-NL"/>
              </w:rPr>
            </w:pPr>
            <w:r>
              <w:rPr>
                <w:lang w:val="nl-NL"/>
              </w:rPr>
              <w:t>HES = 1</w:t>
            </w:r>
          </w:p>
        </w:tc>
        <w:tc>
          <w:tcPr>
            <w:tcW w:w="4508" w:type="dxa"/>
          </w:tcPr>
          <w:p w14:paraId="0B26DAA8" w14:textId="77777777" w:rsidR="00543984" w:rsidRPr="00F9370F" w:rsidRDefault="00543984" w:rsidP="00EC1326">
            <w:pPr>
              <w:pStyle w:val="Table"/>
              <w:rPr>
                <w:lang w:val="nl-NL"/>
              </w:rPr>
            </w:pPr>
            <w:r>
              <w:rPr>
                <w:lang w:val="nl-NL"/>
              </w:rPr>
              <w:t>HES = 0</w:t>
            </w:r>
          </w:p>
        </w:tc>
      </w:tr>
      <w:tr w:rsidR="00BC6DB6" w:rsidRPr="009270F7" w14:paraId="4C47857A" w14:textId="77777777" w:rsidTr="00BC6DB6">
        <w:tc>
          <w:tcPr>
            <w:tcW w:w="4508" w:type="dxa"/>
          </w:tcPr>
          <w:p w14:paraId="2D7BF810" w14:textId="77777777" w:rsidR="00BC6DB6" w:rsidRPr="00FC4D7C" w:rsidRDefault="00BC6DB6" w:rsidP="00EC1326">
            <w:pPr>
              <w:pStyle w:val="Table"/>
              <w:rPr>
                <w:lang w:val="nl-NL"/>
              </w:rPr>
            </w:pPr>
            <w:r w:rsidRPr="00FC4D7C">
              <w:rPr>
                <w:lang w:val="nl-NL"/>
              </w:rPr>
              <w:t>Average vessel speed 12 km/h (6.5 knots)</w:t>
            </w:r>
          </w:p>
          <w:p w14:paraId="07E85602" w14:textId="77777777" w:rsidR="00BC6DB6" w:rsidRDefault="00BC6DB6" w:rsidP="00EC1326">
            <w:pPr>
              <w:pStyle w:val="Table"/>
              <w:rPr>
                <w:lang w:val="en-US"/>
              </w:rPr>
            </w:pPr>
            <w:r>
              <w:rPr>
                <w:lang w:val="en-US"/>
              </w:rPr>
              <w:t>Time needed to approach Goliat 7.30 h</w:t>
            </w:r>
          </w:p>
        </w:tc>
        <w:tc>
          <w:tcPr>
            <w:tcW w:w="4508" w:type="dxa"/>
          </w:tcPr>
          <w:p w14:paraId="7738362F" w14:textId="77777777" w:rsidR="00BC6DB6" w:rsidRPr="00FC4D7C" w:rsidRDefault="00BC6DB6" w:rsidP="00EC1326">
            <w:pPr>
              <w:pStyle w:val="Table"/>
              <w:rPr>
                <w:lang w:val="nl-NL"/>
              </w:rPr>
            </w:pPr>
            <w:r w:rsidRPr="00FC4D7C">
              <w:rPr>
                <w:lang w:val="nl-NL"/>
              </w:rPr>
              <w:t>Average vessel speed 20 km/h (11 knots)</w:t>
            </w:r>
          </w:p>
          <w:p w14:paraId="42839067" w14:textId="77777777" w:rsidR="00BC6DB6" w:rsidRDefault="00BC6DB6" w:rsidP="00EC1326">
            <w:pPr>
              <w:pStyle w:val="Table"/>
              <w:rPr>
                <w:lang w:val="en-US"/>
              </w:rPr>
            </w:pPr>
            <w:r>
              <w:rPr>
                <w:lang w:val="en-US"/>
              </w:rPr>
              <w:t>Time needed to approach Goliat 4.30 h</w:t>
            </w:r>
          </w:p>
        </w:tc>
      </w:tr>
    </w:tbl>
    <w:p w14:paraId="6ED86CCA" w14:textId="77777777" w:rsidR="00BC6DB6" w:rsidRDefault="00BC6DB6" w:rsidP="009270F7">
      <w:pPr>
        <w:rPr>
          <w:lang w:val="en-US"/>
        </w:rPr>
      </w:pPr>
    </w:p>
    <w:p w14:paraId="7FD2688E" w14:textId="343EAC95" w:rsidR="00FC2B1F" w:rsidRDefault="00FC2B1F">
      <w:r>
        <w:t xml:space="preserve">The </w:t>
      </w:r>
      <w:r w:rsidRPr="002E5218">
        <w:t xml:space="preserve">increase of the Time to Emergency intervention </w:t>
      </w:r>
      <m:oMath>
        <m:sSub>
          <m:sSubPr>
            <m:ctrlPr>
              <w:rPr>
                <w:rFonts w:ascii="Cambria Math" w:hAnsi="Cambria Math"/>
                <w:i/>
              </w:rPr>
            </m:ctrlPr>
          </m:sSubPr>
          <m:e>
            <m:r>
              <w:rPr>
                <w:rFonts w:ascii="Cambria Math" w:hAnsi="Cambria Math"/>
              </w:rPr>
              <m:t>τ</m:t>
            </m:r>
          </m:e>
          <m:sub>
            <m:r>
              <w:rPr>
                <w:rFonts w:ascii="Cambria Math" w:hAnsi="Cambria Math"/>
              </w:rPr>
              <m:t>5</m:t>
            </m:r>
          </m:sub>
        </m:sSub>
      </m:oMath>
      <w:r w:rsidRPr="002E5218">
        <w:t xml:space="preserve"> due to harsh conditions at Goliat FPSO is then obtained according to the Eq. (</w:t>
      </w:r>
      <w:r w:rsidR="009978C3">
        <w:t>7</w:t>
      </w:r>
      <w:r w:rsidRPr="00F9370F">
        <w:t>)</w:t>
      </w:r>
      <w:r w:rsidR="00242071" w:rsidRPr="00F9370F">
        <w:t xml:space="preserve"> </w:t>
      </w:r>
      <w:r w:rsidR="00144116">
        <w:rPr>
          <w:color w:val="FF0000"/>
        </w:rPr>
        <w:t>following the same</w:t>
      </w:r>
      <w:r w:rsidR="00242071" w:rsidRPr="00144116">
        <w:rPr>
          <w:color w:val="FF0000"/>
        </w:rPr>
        <w:t xml:space="preserve"> </w:t>
      </w:r>
      <w:r w:rsidR="00242071" w:rsidRPr="00F9370F">
        <w:t>approach applied in the estimation of the Time to Alert</w:t>
      </w:r>
      <w:r w:rsidRPr="00F9370F">
        <w:t xml:space="preserve"> </w:t>
      </w:r>
      <m:oMath>
        <m:sSub>
          <m:sSubPr>
            <m:ctrlPr>
              <w:rPr>
                <w:rFonts w:ascii="Cambria Math" w:hAnsi="Cambria Math"/>
                <w:i/>
              </w:rPr>
            </m:ctrlPr>
          </m:sSubPr>
          <m:e>
            <m:r>
              <w:rPr>
                <w:rFonts w:ascii="Cambria Math" w:hAnsi="Cambria Math"/>
              </w:rPr>
              <m:t>τ</m:t>
            </m:r>
          </m:e>
          <m:sub>
            <m:r>
              <w:rPr>
                <w:rFonts w:ascii="Cambria Math" w:hAnsi="Cambria Math"/>
              </w:rPr>
              <m:t>1</m:t>
            </m:r>
          </m:sub>
        </m:sSub>
      </m:oMath>
      <w:r w:rsidR="00242071" w:rsidRPr="00F9370F">
        <w:t>:</w:t>
      </w:r>
    </w:p>
    <w:p w14:paraId="4602146F" w14:textId="77777777" w:rsidR="003348B8" w:rsidRPr="00F9370F" w:rsidRDefault="003348B8" w:rsidP="009270F7"/>
    <w:p w14:paraId="58D6C21C" w14:textId="77777777" w:rsidR="00FC2B1F" w:rsidRPr="00775912" w:rsidRDefault="00FC2205" w:rsidP="009270F7">
      <w:pPr>
        <w:rPr>
          <w:rFonts w:eastAsiaTheme="minorEastAsia"/>
        </w:rPr>
      </w:pPr>
      <m:oMath>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τ</m:t>
                </m:r>
              </m:e>
              <m:sub>
                <m:r>
                  <m:rPr>
                    <m:sty m:val="p"/>
                  </m:rPr>
                  <w:rPr>
                    <w:rFonts w:ascii="Cambria Math" w:hAnsi="Cambria Math"/>
                  </w:rPr>
                  <m:t>5</m:t>
                </m:r>
              </m:sub>
            </m:sSub>
          </m:e>
        </m:func>
        <m:r>
          <m:rPr>
            <m:sty m:val="p"/>
          </m:rPr>
          <w:rPr>
            <w:rFonts w:ascii="Cambria Math" w:hAnsi="Cambria Math"/>
          </w:rPr>
          <m:t xml:space="preserve">=-0.228 </m:t>
        </m:r>
        <m:d>
          <m:dPr>
            <m:ctrlPr>
              <w:rPr>
                <w:rFonts w:ascii="Cambria Math" w:hAnsi="Cambria Math"/>
              </w:rPr>
            </m:ctrlPr>
          </m:dPr>
          <m:e>
            <m:r>
              <m:rPr>
                <m:sty m:val="p"/>
              </m:rPr>
              <w:rPr>
                <w:rFonts w:ascii="Cambria Math" w:hAnsi="Cambria Math"/>
              </w:rPr>
              <m:t>1-</m:t>
            </m:r>
            <m:r>
              <w:rPr>
                <w:rFonts w:ascii="Cambria Math" w:hAnsi="Cambria Math"/>
              </w:rPr>
              <m:t>HES</m:t>
            </m:r>
          </m:e>
        </m:d>
        <m:r>
          <m:rPr>
            <m:sty m:val="p"/>
          </m:rPr>
          <w:rPr>
            <w:rFonts w:ascii="Cambria Math" w:hAnsi="Cambria Math"/>
          </w:rPr>
          <m:t>+0.864</m:t>
        </m:r>
      </m:oMath>
      <w:r w:rsidR="003348B8">
        <w:rPr>
          <w:rFonts w:eastAsiaTheme="minorEastAsia"/>
        </w:rPr>
        <w:t xml:space="preserve"> </w:t>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3348B8">
        <w:rPr>
          <w:rFonts w:eastAsiaTheme="minorEastAsia"/>
        </w:rPr>
        <w:tab/>
      </w:r>
      <w:r w:rsidR="00FC2B1F" w:rsidRPr="002E5218">
        <w:rPr>
          <w:rFonts w:eastAsiaTheme="minorEastAsia"/>
        </w:rPr>
        <w:t>(</w:t>
      </w:r>
      <w:r w:rsidR="003348B8">
        <w:rPr>
          <w:rFonts w:eastAsiaTheme="minorEastAsia"/>
        </w:rPr>
        <w:t>11</w:t>
      </w:r>
      <w:r w:rsidR="00FC2B1F" w:rsidRPr="00775912">
        <w:rPr>
          <w:rFonts w:eastAsiaTheme="minorEastAsia"/>
        </w:rPr>
        <w:t xml:space="preserve">) </w:t>
      </w:r>
    </w:p>
    <w:p w14:paraId="41E19991" w14:textId="77777777" w:rsidR="003348B8" w:rsidRDefault="003348B8" w:rsidP="009270F7">
      <w:pPr>
        <w:rPr>
          <w:lang w:val="en-US"/>
        </w:rPr>
      </w:pPr>
    </w:p>
    <w:p w14:paraId="06CD3103" w14:textId="77777777" w:rsidR="00FC2B1F" w:rsidRPr="002E5218" w:rsidRDefault="00242071">
      <w:pPr>
        <w:rPr>
          <w:lang w:val="en-US"/>
        </w:rPr>
      </w:pPr>
      <w:r w:rsidRPr="00F9370F">
        <w:rPr>
          <w:lang w:val="en-US"/>
        </w:rPr>
        <w:t xml:space="preserve">Where </w:t>
      </w:r>
      <m:oMath>
        <m:sSub>
          <m:sSubPr>
            <m:ctrlPr>
              <w:rPr>
                <w:rFonts w:ascii="Cambria Math" w:hAnsi="Cambria Math"/>
                <w:i/>
              </w:rPr>
            </m:ctrlPr>
          </m:sSubPr>
          <m:e>
            <m:r>
              <w:rPr>
                <w:rFonts w:ascii="Cambria Math" w:hAnsi="Cambria Math"/>
              </w:rPr>
              <m:t>τ</m:t>
            </m:r>
          </m:e>
          <m:sub>
            <m:r>
              <w:rPr>
                <w:rFonts w:ascii="Cambria Math" w:hAnsi="Cambria Math"/>
              </w:rPr>
              <m:t>5</m:t>
            </m:r>
          </m:sub>
        </m:sSub>
      </m:oMath>
      <w:r w:rsidRPr="00F9370F">
        <w:rPr>
          <w:rFonts w:eastAsiaTheme="minorEastAsia"/>
        </w:rPr>
        <w:t xml:space="preserve"> is expressed in </w:t>
      </w:r>
      <w:r w:rsidR="00EC784D" w:rsidRPr="00F9370F">
        <w:rPr>
          <w:rFonts w:eastAsiaTheme="minorEastAsia"/>
        </w:rPr>
        <w:t>hours</w:t>
      </w:r>
      <w:r w:rsidRPr="00F9370F">
        <w:rPr>
          <w:rFonts w:eastAsiaTheme="minorEastAsia"/>
        </w:rPr>
        <w:t xml:space="preserve">. </w:t>
      </w:r>
      <w:r w:rsidR="00A76B74" w:rsidRPr="002E5218">
        <w:rPr>
          <w:lang w:val="en-US"/>
        </w:rPr>
        <w:t xml:space="preserve">This relationship is </w:t>
      </w:r>
      <w:r w:rsidR="002069DC">
        <w:rPr>
          <w:lang w:val="en-US"/>
        </w:rPr>
        <w:t>that</w:t>
      </w:r>
      <w:r w:rsidR="00A76B74" w:rsidRPr="002E5218">
        <w:rPr>
          <w:lang w:val="en-US"/>
        </w:rPr>
        <w:t xml:space="preserve"> used </w:t>
      </w:r>
      <w:r w:rsidR="009978C3">
        <w:rPr>
          <w:lang w:val="en-US"/>
        </w:rPr>
        <w:t>for</w:t>
      </w:r>
      <w:r w:rsidR="009978C3" w:rsidRPr="002E5218">
        <w:rPr>
          <w:lang w:val="en-US"/>
        </w:rPr>
        <w:t xml:space="preserve"> </w:t>
      </w:r>
      <w:r w:rsidR="00A76B74" w:rsidRPr="002E5218">
        <w:rPr>
          <w:lang w:val="en-US"/>
        </w:rPr>
        <w:t xml:space="preserve">assessing emergency response effectiveness in the case study. </w:t>
      </w:r>
    </w:p>
    <w:p w14:paraId="08DDF1B2" w14:textId="77777777" w:rsidR="005D0DAF" w:rsidRDefault="005D0DAF" w:rsidP="009270F7">
      <w:pPr>
        <w:pStyle w:val="Heading1"/>
        <w:rPr>
          <w:lang w:val="en-US"/>
        </w:rPr>
      </w:pPr>
      <w:r>
        <w:rPr>
          <w:lang w:val="en-US"/>
        </w:rPr>
        <w:t xml:space="preserve">4. Results </w:t>
      </w:r>
    </w:p>
    <w:p w14:paraId="458DF695" w14:textId="77777777" w:rsidR="00B34EAC" w:rsidRDefault="00B34EAC" w:rsidP="009270F7">
      <w:pPr>
        <w:pStyle w:val="Heading2"/>
        <w:rPr>
          <w:lang w:val="en-US"/>
        </w:rPr>
      </w:pPr>
      <w:r>
        <w:rPr>
          <w:lang w:val="en-US"/>
        </w:rPr>
        <w:t xml:space="preserve">4.1 Performance assessment of safety barriers </w:t>
      </w:r>
    </w:p>
    <w:p w14:paraId="72397F74" w14:textId="77777777" w:rsidR="00736979" w:rsidRPr="002E5218" w:rsidRDefault="000A778A" w:rsidP="009270F7">
      <w:pPr>
        <w:rPr>
          <w:lang w:val="en-US"/>
        </w:rPr>
      </w:pPr>
      <w:r w:rsidRPr="00F9370F">
        <w:rPr>
          <w:lang w:val="en-US"/>
        </w:rPr>
        <w:t xml:space="preserve">Adverse meteorological conditions decrease sensitively the protection effect of safety devices on offshore O&amp;G installations. </w:t>
      </w:r>
      <w:r w:rsidR="00B34EAC" w:rsidRPr="00F9370F">
        <w:rPr>
          <w:lang w:val="en-US"/>
        </w:rPr>
        <w:t xml:space="preserve">In order to </w:t>
      </w:r>
      <w:r w:rsidR="00E93305" w:rsidRPr="00F9370F">
        <w:rPr>
          <w:lang w:val="en-US"/>
        </w:rPr>
        <w:t xml:space="preserve">account </w:t>
      </w:r>
      <w:r w:rsidR="002069DC">
        <w:rPr>
          <w:lang w:val="en-US"/>
        </w:rPr>
        <w:t>for</w:t>
      </w:r>
      <w:r w:rsidR="00E93305" w:rsidRPr="00F9370F">
        <w:rPr>
          <w:lang w:val="en-US"/>
        </w:rPr>
        <w:t xml:space="preserve"> </w:t>
      </w:r>
      <w:r w:rsidRPr="00F9370F">
        <w:rPr>
          <w:lang w:val="en-US"/>
        </w:rPr>
        <w:t>this effect, the present methodology defines the HES, a preliminary quantification of the harshness of the environment where the facility is operating.</w:t>
      </w:r>
      <w:r w:rsidR="00914C14" w:rsidRPr="00F9370F">
        <w:rPr>
          <w:lang w:val="en-US"/>
        </w:rPr>
        <w:t xml:space="preserve"> </w:t>
      </w:r>
    </w:p>
    <w:p w14:paraId="22DB705D" w14:textId="77777777" w:rsidR="00B977D4" w:rsidRPr="00A30712" w:rsidRDefault="001F277A" w:rsidP="009270F7">
      <w:pPr>
        <w:rPr>
          <w:lang w:val="en-US"/>
        </w:rPr>
      </w:pPr>
      <w:r w:rsidRPr="00775912">
        <w:rPr>
          <w:lang w:val="en-US"/>
        </w:rPr>
        <w:t xml:space="preserve">Applying the rules described in Section 2.2 and the data reported in Table </w:t>
      </w:r>
      <w:r w:rsidR="00CF192D" w:rsidRPr="00775912">
        <w:rPr>
          <w:lang w:val="en-US"/>
        </w:rPr>
        <w:t>7</w:t>
      </w:r>
      <w:r w:rsidRPr="00775912">
        <w:rPr>
          <w:lang w:val="en-US"/>
        </w:rPr>
        <w:t xml:space="preserve">, the HES </w:t>
      </w:r>
      <w:r w:rsidR="002069DC">
        <w:rPr>
          <w:lang w:val="en-US"/>
        </w:rPr>
        <w:t>equals</w:t>
      </w:r>
      <w:r w:rsidRPr="00775912">
        <w:rPr>
          <w:lang w:val="en-US"/>
        </w:rPr>
        <w:t xml:space="preserve"> as 0.8</w:t>
      </w:r>
      <w:r w:rsidR="00757742" w:rsidRPr="00775912">
        <w:rPr>
          <w:lang w:val="en-US"/>
        </w:rPr>
        <w:t>1</w:t>
      </w:r>
      <w:r w:rsidRPr="002A1865">
        <w:rPr>
          <w:lang w:val="en-US"/>
        </w:rPr>
        <w:t xml:space="preserve">. </w:t>
      </w:r>
      <w:r w:rsidR="002069DC">
        <w:rPr>
          <w:lang w:val="en-US"/>
        </w:rPr>
        <w:t>A h</w:t>
      </w:r>
      <w:r w:rsidR="00B977D4" w:rsidRPr="00A30712">
        <w:rPr>
          <w:lang w:val="en-US"/>
        </w:rPr>
        <w:t xml:space="preserve">igher influence of waves is considered for </w:t>
      </w:r>
      <w:r w:rsidR="00681A8C">
        <w:rPr>
          <w:lang w:val="en-US"/>
        </w:rPr>
        <w:t xml:space="preserve">this </w:t>
      </w:r>
      <w:r w:rsidR="00B977D4" w:rsidRPr="00A30712">
        <w:rPr>
          <w:lang w:val="en-US"/>
        </w:rPr>
        <w:t xml:space="preserve">floating offshore installation. </w:t>
      </w:r>
      <w:r w:rsidR="002069DC">
        <w:rPr>
          <w:lang w:val="en-US"/>
        </w:rPr>
        <w:t>A h</w:t>
      </w:r>
      <w:r w:rsidR="00C450BE" w:rsidRPr="00A30712">
        <w:rPr>
          <w:lang w:val="en-US"/>
        </w:rPr>
        <w:t xml:space="preserve">igher importance has been given to the remoteness stressor. The HES value decreases up to almost 10% if the installation is </w:t>
      </w:r>
      <w:r w:rsidR="00681A8C">
        <w:rPr>
          <w:lang w:val="en-US"/>
        </w:rPr>
        <w:lastRenderedPageBreak/>
        <w:t>moved to</w:t>
      </w:r>
      <w:r w:rsidR="00C450BE" w:rsidRPr="00A30712">
        <w:rPr>
          <w:lang w:val="en-US"/>
        </w:rPr>
        <w:t xml:space="preserve"> an area where services and supplier are easily available, i.e. if it could not be considered as remote. </w:t>
      </w:r>
    </w:p>
    <w:p w14:paraId="577276ED" w14:textId="51735340" w:rsidR="00615ECC" w:rsidRDefault="002C5562" w:rsidP="009270F7">
      <w:pPr>
        <w:rPr>
          <w:lang w:val="en-US"/>
        </w:rPr>
      </w:pPr>
      <w:r w:rsidRPr="00F9370F">
        <w:rPr>
          <w:lang w:val="en-US"/>
        </w:rPr>
        <w:t xml:space="preserve">HES is </w:t>
      </w:r>
      <w:r w:rsidR="00681A8C">
        <w:rPr>
          <w:lang w:val="en-US"/>
        </w:rPr>
        <w:t xml:space="preserve">then </w:t>
      </w:r>
      <w:r w:rsidRPr="00F9370F">
        <w:rPr>
          <w:lang w:val="en-US"/>
        </w:rPr>
        <w:t xml:space="preserve">implemented to </w:t>
      </w:r>
      <w:r w:rsidR="00914C14" w:rsidRPr="00F9370F">
        <w:rPr>
          <w:lang w:val="en-US"/>
        </w:rPr>
        <w:t>evaluate the performance of the safety barriers</w:t>
      </w:r>
      <w:r w:rsidR="00A53D93">
        <w:rPr>
          <w:lang w:val="en-US"/>
        </w:rPr>
        <w:t xml:space="preserve"> associated with VS01 and identified in Section </w:t>
      </w:r>
      <w:r w:rsidR="003348B8">
        <w:rPr>
          <w:lang w:val="en-US"/>
        </w:rPr>
        <w:t>2</w:t>
      </w:r>
      <w:r w:rsidR="00D22FE9">
        <w:rPr>
          <w:lang w:val="en-US"/>
        </w:rPr>
        <w:t>.</w:t>
      </w:r>
      <w:r w:rsidR="00F54E7D">
        <w:rPr>
          <w:lang w:val="en-US"/>
        </w:rPr>
        <w:t xml:space="preserve"> </w:t>
      </w:r>
      <w:r>
        <w:rPr>
          <w:lang w:val="en-US"/>
        </w:rPr>
        <w:t xml:space="preserve">In order to compare the results of the present analysis, data were also calculated for </w:t>
      </w:r>
      <w:r w:rsidR="00615ECC">
        <w:rPr>
          <w:lang w:val="en-US"/>
        </w:rPr>
        <w:t>normal environment</w:t>
      </w:r>
      <w:r>
        <w:rPr>
          <w:lang w:val="en-US"/>
        </w:rPr>
        <w:t>al conditions</w:t>
      </w:r>
      <w:r w:rsidR="00615ECC">
        <w:rPr>
          <w:lang w:val="en-US"/>
        </w:rPr>
        <w:t xml:space="preserve"> (</w:t>
      </w:r>
      <w:r>
        <w:rPr>
          <w:lang w:val="en-US"/>
        </w:rPr>
        <w:t xml:space="preserve">e.g., </w:t>
      </w:r>
      <w:r w:rsidR="00615ECC">
        <w:rPr>
          <w:lang w:val="en-US"/>
        </w:rPr>
        <w:t xml:space="preserve">HES=0) </w:t>
      </w:r>
      <w:r w:rsidR="00A90FA9">
        <w:rPr>
          <w:lang w:val="en-US"/>
        </w:rPr>
        <w:t>(</w:t>
      </w:r>
      <w:r w:rsidR="00615ECC">
        <w:rPr>
          <w:lang w:val="en-US"/>
        </w:rPr>
        <w:fldChar w:fldCharType="begin" w:fldLock="1"/>
      </w:r>
      <w:r w:rsidR="00131B8A">
        <w:rPr>
          <w:lang w:val="en-US"/>
        </w:rPr>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"manualFormatting" : "Landucci et al. 2015)", "plainTextFormattedCitation" : "(Landucci et al., 2015)", "previouslyFormattedCitation" : "(Landucci et al., 2015)" }, "properties" : {  }, "schema" : "https://github.com/citation-style-language/schema/raw/master/csl-citation.json" }</w:instrText>
      </w:r>
      <w:r w:rsidR="00615ECC">
        <w:rPr>
          <w:lang w:val="en-US"/>
        </w:rPr>
        <w:fldChar w:fldCharType="separate"/>
      </w:r>
      <w:r w:rsidR="00615ECC" w:rsidRPr="00615ECC">
        <w:rPr>
          <w:noProof/>
          <w:lang w:val="en-US"/>
        </w:rPr>
        <w:t>Landucci et al. 2015)</w:t>
      </w:r>
      <w:r w:rsidR="00615ECC">
        <w:rPr>
          <w:lang w:val="en-US"/>
        </w:rPr>
        <w:fldChar w:fldCharType="end"/>
      </w:r>
      <w:r w:rsidR="00615ECC">
        <w:rPr>
          <w:lang w:val="en-US"/>
        </w:rPr>
        <w:t xml:space="preserve">. Data for HES=0.81 are modified according to the rules described in </w:t>
      </w:r>
      <w:r w:rsidR="00C55772">
        <w:rPr>
          <w:color w:val="FF0000"/>
          <w:lang w:val="en-US"/>
        </w:rPr>
        <w:t>Section</w:t>
      </w:r>
      <w:r w:rsidR="00615ECC" w:rsidRPr="00C55772">
        <w:rPr>
          <w:color w:val="FF0000"/>
          <w:lang w:val="en-US"/>
        </w:rPr>
        <w:t xml:space="preserve"> 2</w:t>
      </w:r>
      <w:r w:rsidR="00615ECC">
        <w:rPr>
          <w:lang w:val="en-US"/>
        </w:rPr>
        <w:t xml:space="preserve">. </w:t>
      </w:r>
      <w:r w:rsidR="009410CC">
        <w:rPr>
          <w:lang w:val="en-US"/>
        </w:rPr>
        <w:t>Since the evaluated HES is</w:t>
      </w:r>
      <w:r w:rsidR="00065A35">
        <w:rPr>
          <w:lang w:val="en-US"/>
        </w:rPr>
        <w:t xml:space="preserve"> higher than 0.60</w:t>
      </w:r>
      <w:r w:rsidR="009410CC">
        <w:rPr>
          <w:lang w:val="en-US"/>
        </w:rPr>
        <w:t>,</w:t>
      </w:r>
      <w:r w:rsidR="00065A35">
        <w:rPr>
          <w:lang w:val="en-US"/>
        </w:rPr>
        <w:t xml:space="preserve"> also hardware barriers performance </w:t>
      </w:r>
      <w:r w:rsidR="00453A9B">
        <w:rPr>
          <w:lang w:val="en-US"/>
        </w:rPr>
        <w:t>is</w:t>
      </w:r>
      <w:r w:rsidR="00065A35">
        <w:rPr>
          <w:lang w:val="en-US"/>
        </w:rPr>
        <w:t xml:space="preserve"> modified. </w:t>
      </w:r>
      <w:r w:rsidR="007E1CDF">
        <w:rPr>
          <w:lang w:val="en-US"/>
        </w:rPr>
        <w:t xml:space="preserve">Table </w:t>
      </w:r>
      <w:r w:rsidR="00BC6DB6">
        <w:rPr>
          <w:lang w:val="en-US"/>
        </w:rPr>
        <w:t xml:space="preserve">9 </w:t>
      </w:r>
      <w:r w:rsidR="007E1CDF">
        <w:rPr>
          <w:lang w:val="en-US"/>
        </w:rPr>
        <w:t xml:space="preserve">shows also the gates associated to each barrier applied in the customized ETA. </w:t>
      </w:r>
    </w:p>
    <w:p w14:paraId="16FDD058" w14:textId="0E4DFBC3" w:rsidR="00AB4F91" w:rsidRPr="00AB4F91" w:rsidRDefault="00AB4F91" w:rsidP="00AB4F91">
      <w:pPr>
        <w:rPr>
          <w:color w:val="FF0000"/>
          <w:lang w:val="en-US"/>
        </w:rPr>
      </w:pPr>
      <w:r w:rsidRPr="00AB4F91">
        <w:rPr>
          <w:color w:val="FF0000"/>
          <w:lang w:val="en-US"/>
        </w:rPr>
        <w:t>For the sake of comparison, the case study is examined in absence of safety barriers, following the approach suggested in (Landucci et al., 2009), to which the Reader is referred for more details.</w:t>
      </w:r>
    </w:p>
    <w:p w14:paraId="5D494573" w14:textId="77777777" w:rsidR="00A30712" w:rsidRDefault="00A30712" w:rsidP="009270F7">
      <w:pPr>
        <w:rPr>
          <w:lang w:val="en-US"/>
        </w:rPr>
      </w:pPr>
    </w:p>
    <w:p w14:paraId="5EFA476F" w14:textId="77777777" w:rsidR="00A30712" w:rsidRPr="00F9370F" w:rsidRDefault="00A30712" w:rsidP="009270F7">
      <w:pPr>
        <w:rPr>
          <w:lang w:val="en-US"/>
        </w:rPr>
      </w:pPr>
      <w:r w:rsidRPr="00F9370F">
        <w:rPr>
          <w:lang w:val="en-US"/>
        </w:rPr>
        <w:t xml:space="preserve">Table 9. Summary of data adopted for the quantification of the ETA of the case study. Data for HES=0 are collected by </w:t>
      </w:r>
      <w:r w:rsidRPr="00F9370F">
        <w:rPr>
          <w:lang w:val="en-US"/>
        </w:rPr>
        <w:fldChar w:fldCharType="begin" w:fldLock="1"/>
      </w:r>
      <w:r w:rsidR="00131B8A">
        <w:rPr>
          <w:lang w:val="en-US"/>
        </w:rPr>
        <w:instrText>ADDIN CSL_CITATION { "citationItems" : [ { "id" : "ITEM-1", "itemData" : { "author" : [ { "dropping-particle" : "", "family" : "Landucci", "given" : "Gabriele", "non-dropping-particle" : "", "parse-names" : false, "suffix" : "" }, { "dropping-particle" : "", "family" : "Argenti", "given" : "F", "non-dropping-particle" : "", "parse-names" : false, "suffix" : "" }, { "dropping-particle" : "", "family" : "Tugnoli", "given" : "A", "non-dropping-particle" : "", "parse-names" : false, "suffix" : "" }, { "dropping-particle" : "", "family" : "Cozzani", "given" : "V", "non-dropping-particle" : "", "parse-names" : false, "suffix" : "" } ], "container-title" : "Reliability Engineering and System Safety", "id" : "ITEM-1", "issued" : { "date-parts" : [ [ "2015" ] ] }, "page" : "30-43", "title" : "Quantitative assessment of safety barrier performance in the prevention of domino scenarios triggered by fire", "type" : "article-journal", "volume" : "143" }, "uris" : [ "http://www.mendeley.com/documents/?uuid=7be36a8f-b26c-4131-ac15-deb703271b4f" ] } ], "mendeley" : { "formattedCitation" : "(Landucci et al., 2015)", "manualFormatting" : "Landucci et al. (2015)", "plainTextFormattedCitation" : "(Landucci et al., 2015)", "previouslyFormattedCitation" : "(Landucci et al., 2015)" }, "properties" : {  }, "schema" : "https://github.com/citation-style-language/schema/raw/master/csl-citation.json" }</w:instrText>
      </w:r>
      <w:r w:rsidRPr="00F9370F">
        <w:rPr>
          <w:lang w:val="en-US"/>
        </w:rPr>
        <w:fldChar w:fldCharType="separate"/>
      </w:r>
      <w:r w:rsidRPr="00F9370F">
        <w:rPr>
          <w:noProof/>
          <w:lang w:val="en-US"/>
        </w:rPr>
        <w:t>Landucci et al. (2015)</w:t>
      </w:r>
      <w:r w:rsidRPr="00F9370F">
        <w:rPr>
          <w:lang w:val="en-US"/>
        </w:rPr>
        <w:fldChar w:fldCharType="end"/>
      </w:r>
      <w:r w:rsidRPr="00F9370F">
        <w:rPr>
          <w:lang w:val="en-US"/>
        </w:rPr>
        <w:t xml:space="preserve">.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BB1FFF" w:rsidRPr="00A30712" w14:paraId="3BA8364D" w14:textId="77777777" w:rsidTr="00612097">
        <w:tc>
          <w:tcPr>
            <w:tcW w:w="1502" w:type="dxa"/>
            <w:vMerge w:val="restart"/>
          </w:tcPr>
          <w:p w14:paraId="4293546D" w14:textId="77777777" w:rsidR="00BB1FFF" w:rsidRPr="000D14A2" w:rsidRDefault="00BB1FFF" w:rsidP="00EC1326">
            <w:pPr>
              <w:pStyle w:val="Table"/>
              <w:rPr>
                <w:b/>
                <w:lang w:val="en-US"/>
              </w:rPr>
            </w:pPr>
            <w:r w:rsidRPr="000D14A2">
              <w:rPr>
                <w:b/>
                <w:lang w:val="en-US"/>
              </w:rPr>
              <w:t>Fire Protection</w:t>
            </w:r>
          </w:p>
        </w:tc>
        <w:tc>
          <w:tcPr>
            <w:tcW w:w="1502" w:type="dxa"/>
            <w:vMerge w:val="restart"/>
          </w:tcPr>
          <w:p w14:paraId="291AB10A" w14:textId="77777777" w:rsidR="00BB1FFF" w:rsidRPr="000D14A2" w:rsidRDefault="00BB1FFF" w:rsidP="00EC1326">
            <w:pPr>
              <w:pStyle w:val="Table"/>
              <w:rPr>
                <w:b/>
                <w:lang w:val="en-US"/>
              </w:rPr>
            </w:pPr>
            <w:r w:rsidRPr="000D14A2">
              <w:rPr>
                <w:b/>
                <w:lang w:val="en-US"/>
              </w:rPr>
              <w:t>Gate Type</w:t>
            </w:r>
          </w:p>
        </w:tc>
        <w:tc>
          <w:tcPr>
            <w:tcW w:w="3006" w:type="dxa"/>
            <w:gridSpan w:val="2"/>
            <w:vAlign w:val="center"/>
          </w:tcPr>
          <w:p w14:paraId="0006A581" w14:textId="77777777" w:rsidR="00BB1FFF" w:rsidRPr="000D14A2" w:rsidRDefault="00A51497" w:rsidP="00EC1326">
            <w:pPr>
              <w:pStyle w:val="Table"/>
              <w:rPr>
                <w:b/>
                <w:lang w:val="en-US"/>
              </w:rPr>
            </w:pPr>
            <w:r w:rsidRPr="000D14A2">
              <w:rPr>
                <w:b/>
                <w:lang w:val="en-US"/>
              </w:rPr>
              <w:t>PFD (expressing the availability)</w:t>
            </w:r>
          </w:p>
        </w:tc>
        <w:tc>
          <w:tcPr>
            <w:tcW w:w="3006" w:type="dxa"/>
            <w:gridSpan w:val="2"/>
          </w:tcPr>
          <w:p w14:paraId="1A07E350" w14:textId="77777777" w:rsidR="00BB1FFF" w:rsidRPr="000D14A2" w:rsidRDefault="00BB1FFF" w:rsidP="00EC1326">
            <w:pPr>
              <w:pStyle w:val="Table"/>
              <w:rPr>
                <w:b/>
                <w:lang w:val="en-US"/>
              </w:rPr>
            </w:pPr>
            <w:r w:rsidRPr="000D14A2">
              <w:rPr>
                <w:b/>
                <w:lang w:val="en-US"/>
              </w:rPr>
              <w:t xml:space="preserve">Effectiveness </w:t>
            </w:r>
          </w:p>
        </w:tc>
      </w:tr>
      <w:tr w:rsidR="00BB1FFF" w:rsidRPr="00A30712" w14:paraId="00B1B8E5" w14:textId="77777777" w:rsidTr="00BB1FFF">
        <w:tc>
          <w:tcPr>
            <w:tcW w:w="1502" w:type="dxa"/>
            <w:vMerge/>
          </w:tcPr>
          <w:p w14:paraId="3F37FEFC" w14:textId="77777777" w:rsidR="00BB1FFF" w:rsidRPr="000D14A2" w:rsidRDefault="00BB1FFF" w:rsidP="00EC1326">
            <w:pPr>
              <w:pStyle w:val="Table"/>
              <w:rPr>
                <w:b/>
                <w:lang w:val="en-US"/>
              </w:rPr>
            </w:pPr>
          </w:p>
        </w:tc>
        <w:tc>
          <w:tcPr>
            <w:tcW w:w="1502" w:type="dxa"/>
            <w:vMerge/>
          </w:tcPr>
          <w:p w14:paraId="623DD719" w14:textId="77777777" w:rsidR="00BB1FFF" w:rsidRPr="000D14A2" w:rsidRDefault="00BB1FFF" w:rsidP="00EC1326">
            <w:pPr>
              <w:pStyle w:val="Table"/>
              <w:rPr>
                <w:b/>
                <w:lang w:val="en-US"/>
              </w:rPr>
            </w:pPr>
          </w:p>
        </w:tc>
        <w:tc>
          <w:tcPr>
            <w:tcW w:w="1503" w:type="dxa"/>
          </w:tcPr>
          <w:p w14:paraId="7971B3D8" w14:textId="77777777" w:rsidR="00BB1FFF" w:rsidRPr="000D14A2" w:rsidRDefault="00BB1FFF" w:rsidP="00EC1326">
            <w:pPr>
              <w:pStyle w:val="Table"/>
              <w:rPr>
                <w:b/>
                <w:lang w:val="en-US"/>
              </w:rPr>
            </w:pPr>
            <w:r w:rsidRPr="000D14A2">
              <w:rPr>
                <w:b/>
                <w:lang w:val="en-US"/>
              </w:rPr>
              <w:t>HES=0</w:t>
            </w:r>
          </w:p>
        </w:tc>
        <w:tc>
          <w:tcPr>
            <w:tcW w:w="1503" w:type="dxa"/>
          </w:tcPr>
          <w:p w14:paraId="1A0D568A" w14:textId="77777777" w:rsidR="00BB1FFF" w:rsidRPr="000D14A2" w:rsidRDefault="00BB1FFF" w:rsidP="00EC1326">
            <w:pPr>
              <w:pStyle w:val="Table"/>
              <w:rPr>
                <w:b/>
                <w:lang w:val="en-US"/>
              </w:rPr>
            </w:pPr>
            <w:r w:rsidRPr="000D14A2">
              <w:rPr>
                <w:b/>
                <w:lang w:val="en-US"/>
              </w:rPr>
              <w:t>HES=0.81</w:t>
            </w:r>
          </w:p>
        </w:tc>
        <w:tc>
          <w:tcPr>
            <w:tcW w:w="1503" w:type="dxa"/>
          </w:tcPr>
          <w:p w14:paraId="0CBDA35C" w14:textId="77777777" w:rsidR="00BB1FFF" w:rsidRPr="000D14A2" w:rsidRDefault="00BB1FFF" w:rsidP="00EC1326">
            <w:pPr>
              <w:pStyle w:val="Table"/>
              <w:rPr>
                <w:b/>
                <w:lang w:val="en-US"/>
              </w:rPr>
            </w:pPr>
            <w:r w:rsidRPr="000D14A2">
              <w:rPr>
                <w:b/>
                <w:lang w:val="en-US"/>
              </w:rPr>
              <w:t>HES=0</w:t>
            </w:r>
          </w:p>
        </w:tc>
        <w:tc>
          <w:tcPr>
            <w:tcW w:w="1503" w:type="dxa"/>
          </w:tcPr>
          <w:p w14:paraId="6230AEE0" w14:textId="77777777" w:rsidR="00BB1FFF" w:rsidRPr="000D14A2" w:rsidRDefault="00BB1FFF" w:rsidP="00EC1326">
            <w:pPr>
              <w:pStyle w:val="Table"/>
              <w:rPr>
                <w:b/>
                <w:lang w:val="en-US"/>
              </w:rPr>
            </w:pPr>
            <w:r w:rsidRPr="000D14A2">
              <w:rPr>
                <w:b/>
                <w:lang w:val="en-US"/>
              </w:rPr>
              <w:t>HES=0.81</w:t>
            </w:r>
          </w:p>
        </w:tc>
      </w:tr>
      <w:tr w:rsidR="00BB1FFF" w:rsidRPr="0097259F" w14:paraId="4488DB47" w14:textId="77777777" w:rsidTr="00BB1FFF">
        <w:tc>
          <w:tcPr>
            <w:tcW w:w="1502" w:type="dxa"/>
          </w:tcPr>
          <w:p w14:paraId="3D0EE3C9" w14:textId="77777777" w:rsidR="00BB1FFF" w:rsidRDefault="00E174AC" w:rsidP="00EC1326">
            <w:pPr>
              <w:pStyle w:val="Table"/>
              <w:rPr>
                <w:lang w:val="en-US"/>
              </w:rPr>
            </w:pPr>
            <w:r>
              <w:rPr>
                <w:lang w:val="en-US"/>
              </w:rPr>
              <w:t xml:space="preserve">WDS </w:t>
            </w:r>
            <w:r w:rsidR="00E93305">
              <w:rPr>
                <w:lang w:val="en-US"/>
              </w:rPr>
              <w:t>01</w:t>
            </w:r>
          </w:p>
        </w:tc>
        <w:tc>
          <w:tcPr>
            <w:tcW w:w="1502" w:type="dxa"/>
          </w:tcPr>
          <w:p w14:paraId="7F457181" w14:textId="77777777" w:rsidR="00BB1FFF" w:rsidRDefault="00E174AC" w:rsidP="00EC1326">
            <w:pPr>
              <w:pStyle w:val="Table"/>
              <w:rPr>
                <w:lang w:val="en-US"/>
              </w:rPr>
            </w:pPr>
            <w:r>
              <w:rPr>
                <w:lang w:val="en-US"/>
              </w:rPr>
              <w:t>A</w:t>
            </w:r>
          </w:p>
        </w:tc>
        <w:tc>
          <w:tcPr>
            <w:tcW w:w="1503" w:type="dxa"/>
          </w:tcPr>
          <w:p w14:paraId="26206537" w14:textId="77777777" w:rsidR="00BB1FFF" w:rsidRDefault="00E174AC" w:rsidP="00EC1326">
            <w:pPr>
              <w:pStyle w:val="Table"/>
              <w:rPr>
                <w:lang w:val="en-US"/>
              </w:rPr>
            </w:pPr>
            <w:r>
              <w:rPr>
                <w:lang w:val="en-US"/>
              </w:rPr>
              <w:t>2,24 10</w:t>
            </w:r>
            <w:r w:rsidRPr="005223B0">
              <w:rPr>
                <w:vertAlign w:val="superscript"/>
                <w:lang w:val="en-US"/>
              </w:rPr>
              <w:t>-2</w:t>
            </w:r>
          </w:p>
        </w:tc>
        <w:tc>
          <w:tcPr>
            <w:tcW w:w="1503" w:type="dxa"/>
          </w:tcPr>
          <w:p w14:paraId="43D7B27E" w14:textId="77777777" w:rsidR="00BB1FFF" w:rsidRDefault="00E174AC" w:rsidP="00EC1326">
            <w:pPr>
              <w:pStyle w:val="Table"/>
              <w:rPr>
                <w:lang w:val="en-US"/>
              </w:rPr>
            </w:pPr>
            <w:r>
              <w:rPr>
                <w:lang w:val="en-US"/>
              </w:rPr>
              <w:t>2,88 10</w:t>
            </w:r>
            <w:r w:rsidRPr="005223B0">
              <w:rPr>
                <w:vertAlign w:val="superscript"/>
                <w:lang w:val="en-US"/>
              </w:rPr>
              <w:t>-1</w:t>
            </w:r>
          </w:p>
        </w:tc>
        <w:tc>
          <w:tcPr>
            <w:tcW w:w="1503" w:type="dxa"/>
          </w:tcPr>
          <w:p w14:paraId="44E75880" w14:textId="77777777" w:rsidR="00BB1FFF" w:rsidRDefault="00E174AC" w:rsidP="00EC1326">
            <w:pPr>
              <w:pStyle w:val="Table"/>
              <w:rPr>
                <w:lang w:val="en-US"/>
              </w:rPr>
            </w:pPr>
            <w:r>
              <w:rPr>
                <w:lang w:val="en-US"/>
              </w:rPr>
              <w:t>1</w:t>
            </w:r>
          </w:p>
        </w:tc>
        <w:tc>
          <w:tcPr>
            <w:tcW w:w="1503" w:type="dxa"/>
          </w:tcPr>
          <w:p w14:paraId="7A3B0056" w14:textId="77777777" w:rsidR="00BB1FFF" w:rsidRDefault="00E174AC" w:rsidP="00EC1326">
            <w:pPr>
              <w:pStyle w:val="Table"/>
              <w:rPr>
                <w:lang w:val="en-US"/>
              </w:rPr>
            </w:pPr>
            <w:r>
              <w:rPr>
                <w:lang w:val="en-US"/>
              </w:rPr>
              <w:t>1</w:t>
            </w:r>
          </w:p>
        </w:tc>
      </w:tr>
      <w:tr w:rsidR="00BB1FFF" w14:paraId="32D7E373" w14:textId="77777777" w:rsidTr="00BB1FFF">
        <w:tc>
          <w:tcPr>
            <w:tcW w:w="1502" w:type="dxa"/>
          </w:tcPr>
          <w:p w14:paraId="51510C55" w14:textId="77777777" w:rsidR="00BB1FFF" w:rsidRDefault="00E93305" w:rsidP="00EC1326">
            <w:pPr>
              <w:pStyle w:val="Table"/>
              <w:rPr>
                <w:lang w:val="en-US"/>
              </w:rPr>
            </w:pPr>
            <w:r>
              <w:rPr>
                <w:lang w:val="en-US"/>
              </w:rPr>
              <w:t>ESD 01</w:t>
            </w:r>
            <w:r w:rsidR="00E174AC">
              <w:rPr>
                <w:lang w:val="en-US"/>
              </w:rPr>
              <w:t xml:space="preserve"> </w:t>
            </w:r>
          </w:p>
        </w:tc>
        <w:tc>
          <w:tcPr>
            <w:tcW w:w="1502" w:type="dxa"/>
          </w:tcPr>
          <w:p w14:paraId="2D52F50B" w14:textId="77777777" w:rsidR="00BB1FFF" w:rsidRDefault="00E174AC" w:rsidP="00EC1326">
            <w:pPr>
              <w:pStyle w:val="Table"/>
              <w:rPr>
                <w:lang w:val="en-US"/>
              </w:rPr>
            </w:pPr>
            <w:r>
              <w:rPr>
                <w:lang w:val="en-US"/>
              </w:rPr>
              <w:t>A</w:t>
            </w:r>
          </w:p>
        </w:tc>
        <w:tc>
          <w:tcPr>
            <w:tcW w:w="1503" w:type="dxa"/>
          </w:tcPr>
          <w:p w14:paraId="628F6A81" w14:textId="77777777" w:rsidR="00BB1FFF" w:rsidRDefault="00E174AC" w:rsidP="00EC1326">
            <w:pPr>
              <w:pStyle w:val="Table"/>
              <w:rPr>
                <w:lang w:val="en-US"/>
              </w:rPr>
            </w:pPr>
            <w:r>
              <w:rPr>
                <w:lang w:val="en-US"/>
              </w:rPr>
              <w:t>3,72 10</w:t>
            </w:r>
            <w:r w:rsidRPr="005223B0">
              <w:rPr>
                <w:vertAlign w:val="superscript"/>
                <w:lang w:val="en-US"/>
              </w:rPr>
              <w:t>-4</w:t>
            </w:r>
          </w:p>
        </w:tc>
        <w:tc>
          <w:tcPr>
            <w:tcW w:w="1503" w:type="dxa"/>
          </w:tcPr>
          <w:p w14:paraId="32F5C9F4" w14:textId="77777777" w:rsidR="00BB1FFF" w:rsidRDefault="00E174AC" w:rsidP="00EC1326">
            <w:pPr>
              <w:pStyle w:val="Table"/>
              <w:rPr>
                <w:lang w:val="en-US"/>
              </w:rPr>
            </w:pPr>
            <w:r>
              <w:rPr>
                <w:lang w:val="en-US"/>
              </w:rPr>
              <w:t>4,79 10</w:t>
            </w:r>
            <w:r w:rsidRPr="005223B0">
              <w:rPr>
                <w:vertAlign w:val="superscript"/>
                <w:lang w:val="en-US"/>
              </w:rPr>
              <w:t>-3</w:t>
            </w:r>
          </w:p>
        </w:tc>
        <w:tc>
          <w:tcPr>
            <w:tcW w:w="1503" w:type="dxa"/>
          </w:tcPr>
          <w:p w14:paraId="1A516F7B" w14:textId="77777777" w:rsidR="00BB1FFF" w:rsidRDefault="00E174AC" w:rsidP="00EC1326">
            <w:pPr>
              <w:pStyle w:val="Table"/>
              <w:rPr>
                <w:lang w:val="en-US"/>
              </w:rPr>
            </w:pPr>
            <w:r>
              <w:rPr>
                <w:lang w:val="en-US"/>
              </w:rPr>
              <w:t>1</w:t>
            </w:r>
          </w:p>
        </w:tc>
        <w:tc>
          <w:tcPr>
            <w:tcW w:w="1503" w:type="dxa"/>
          </w:tcPr>
          <w:p w14:paraId="412E935B" w14:textId="77777777" w:rsidR="00BB1FFF" w:rsidRDefault="00E174AC" w:rsidP="00EC1326">
            <w:pPr>
              <w:pStyle w:val="Table"/>
              <w:rPr>
                <w:lang w:val="en-US"/>
              </w:rPr>
            </w:pPr>
            <w:r>
              <w:rPr>
                <w:lang w:val="en-US"/>
              </w:rPr>
              <w:t>1</w:t>
            </w:r>
          </w:p>
        </w:tc>
      </w:tr>
      <w:tr w:rsidR="00BB1FFF" w14:paraId="2B9BCBBC" w14:textId="77777777" w:rsidTr="00BB1FFF">
        <w:tc>
          <w:tcPr>
            <w:tcW w:w="1502" w:type="dxa"/>
          </w:tcPr>
          <w:p w14:paraId="1F3D8101" w14:textId="77777777" w:rsidR="00BB1FFF" w:rsidRDefault="00E93305" w:rsidP="00EC1326">
            <w:pPr>
              <w:pStyle w:val="Table"/>
              <w:rPr>
                <w:lang w:val="en-US"/>
              </w:rPr>
            </w:pPr>
            <w:r>
              <w:rPr>
                <w:lang w:val="en-US"/>
              </w:rPr>
              <w:t>PSV 01</w:t>
            </w:r>
          </w:p>
        </w:tc>
        <w:tc>
          <w:tcPr>
            <w:tcW w:w="1502" w:type="dxa"/>
          </w:tcPr>
          <w:p w14:paraId="158ACF1E" w14:textId="77777777" w:rsidR="00BB1FFF" w:rsidRDefault="00E174AC" w:rsidP="00EC1326">
            <w:pPr>
              <w:pStyle w:val="Table"/>
              <w:rPr>
                <w:lang w:val="en-US"/>
              </w:rPr>
            </w:pPr>
            <w:r>
              <w:rPr>
                <w:lang w:val="en-US"/>
              </w:rPr>
              <w:t>A</w:t>
            </w:r>
          </w:p>
        </w:tc>
        <w:tc>
          <w:tcPr>
            <w:tcW w:w="1503" w:type="dxa"/>
          </w:tcPr>
          <w:p w14:paraId="09387DE1" w14:textId="77777777" w:rsidR="00BB1FFF" w:rsidRDefault="00E174AC" w:rsidP="00EC1326">
            <w:pPr>
              <w:pStyle w:val="Table"/>
              <w:rPr>
                <w:lang w:val="en-US"/>
              </w:rPr>
            </w:pPr>
            <w:r>
              <w:rPr>
                <w:lang w:val="en-US"/>
              </w:rPr>
              <w:t>1,00 10</w:t>
            </w:r>
            <w:r w:rsidRPr="005223B0">
              <w:rPr>
                <w:vertAlign w:val="superscript"/>
                <w:lang w:val="en-US"/>
              </w:rPr>
              <w:t>-2</w:t>
            </w:r>
          </w:p>
        </w:tc>
        <w:tc>
          <w:tcPr>
            <w:tcW w:w="1503" w:type="dxa"/>
          </w:tcPr>
          <w:p w14:paraId="5741DB42" w14:textId="77777777" w:rsidR="00BB1FFF" w:rsidRDefault="00E174AC" w:rsidP="00EC1326">
            <w:pPr>
              <w:pStyle w:val="Table"/>
              <w:rPr>
                <w:lang w:val="en-US"/>
              </w:rPr>
            </w:pPr>
            <w:r>
              <w:rPr>
                <w:lang w:val="en-US"/>
              </w:rPr>
              <w:t>1,29 10</w:t>
            </w:r>
            <w:r w:rsidRPr="005223B0">
              <w:rPr>
                <w:vertAlign w:val="superscript"/>
                <w:lang w:val="en-US"/>
              </w:rPr>
              <w:t>-1</w:t>
            </w:r>
          </w:p>
        </w:tc>
        <w:tc>
          <w:tcPr>
            <w:tcW w:w="1503" w:type="dxa"/>
          </w:tcPr>
          <w:p w14:paraId="14854780" w14:textId="77777777" w:rsidR="00BB1FFF" w:rsidRDefault="00E174AC" w:rsidP="00EC1326">
            <w:pPr>
              <w:pStyle w:val="Table"/>
              <w:rPr>
                <w:lang w:val="en-US"/>
              </w:rPr>
            </w:pPr>
            <w:r>
              <w:rPr>
                <w:lang w:val="en-US"/>
              </w:rPr>
              <w:t>1</w:t>
            </w:r>
          </w:p>
        </w:tc>
        <w:tc>
          <w:tcPr>
            <w:tcW w:w="1503" w:type="dxa"/>
          </w:tcPr>
          <w:p w14:paraId="5814A8C7" w14:textId="77777777" w:rsidR="00BB1FFF" w:rsidRDefault="00E174AC" w:rsidP="00EC1326">
            <w:pPr>
              <w:pStyle w:val="Table"/>
              <w:rPr>
                <w:lang w:val="en-US"/>
              </w:rPr>
            </w:pPr>
            <w:r>
              <w:rPr>
                <w:lang w:val="en-US"/>
              </w:rPr>
              <w:t>1</w:t>
            </w:r>
          </w:p>
        </w:tc>
      </w:tr>
      <w:tr w:rsidR="00BB1FFF" w14:paraId="36230CC1" w14:textId="77777777" w:rsidTr="00BB1FFF">
        <w:tc>
          <w:tcPr>
            <w:tcW w:w="1502" w:type="dxa"/>
          </w:tcPr>
          <w:p w14:paraId="12E3C54A" w14:textId="77777777" w:rsidR="00BB1FFF" w:rsidRDefault="00E93305" w:rsidP="00EC1326">
            <w:pPr>
              <w:pStyle w:val="Table"/>
              <w:rPr>
                <w:lang w:val="en-US"/>
              </w:rPr>
            </w:pPr>
            <w:r>
              <w:rPr>
                <w:lang w:val="en-US"/>
              </w:rPr>
              <w:t>PFP 01</w:t>
            </w:r>
          </w:p>
        </w:tc>
        <w:tc>
          <w:tcPr>
            <w:tcW w:w="1502" w:type="dxa"/>
          </w:tcPr>
          <w:p w14:paraId="47146121" w14:textId="77777777" w:rsidR="00BB1FFF" w:rsidRDefault="00E174AC" w:rsidP="00EC1326">
            <w:pPr>
              <w:pStyle w:val="Table"/>
              <w:rPr>
                <w:lang w:val="en-US"/>
              </w:rPr>
            </w:pPr>
            <w:r>
              <w:rPr>
                <w:lang w:val="en-US"/>
              </w:rPr>
              <w:t>A</w:t>
            </w:r>
          </w:p>
        </w:tc>
        <w:tc>
          <w:tcPr>
            <w:tcW w:w="1503" w:type="dxa"/>
          </w:tcPr>
          <w:p w14:paraId="73DF0022" w14:textId="77777777" w:rsidR="00BB1FFF" w:rsidRDefault="00E174AC" w:rsidP="00EC1326">
            <w:pPr>
              <w:pStyle w:val="Table"/>
              <w:rPr>
                <w:lang w:val="en-US"/>
              </w:rPr>
            </w:pPr>
            <w:r>
              <w:rPr>
                <w:lang w:val="en-US"/>
              </w:rPr>
              <w:t>1,00 10</w:t>
            </w:r>
            <w:r w:rsidRPr="005223B0">
              <w:rPr>
                <w:vertAlign w:val="superscript"/>
                <w:lang w:val="en-US"/>
              </w:rPr>
              <w:t>-3</w:t>
            </w:r>
          </w:p>
        </w:tc>
        <w:tc>
          <w:tcPr>
            <w:tcW w:w="1503" w:type="dxa"/>
          </w:tcPr>
          <w:p w14:paraId="4D150DB0" w14:textId="77777777" w:rsidR="00BB1FFF" w:rsidRDefault="00E174AC" w:rsidP="00EC1326">
            <w:pPr>
              <w:pStyle w:val="Table"/>
              <w:rPr>
                <w:lang w:val="en-US"/>
              </w:rPr>
            </w:pPr>
            <w:r>
              <w:rPr>
                <w:lang w:val="en-US"/>
              </w:rPr>
              <w:t>1,29 10</w:t>
            </w:r>
            <w:r w:rsidRPr="005223B0">
              <w:rPr>
                <w:vertAlign w:val="superscript"/>
                <w:lang w:val="en-US"/>
              </w:rPr>
              <w:t>-2</w:t>
            </w:r>
          </w:p>
        </w:tc>
        <w:tc>
          <w:tcPr>
            <w:tcW w:w="1503" w:type="dxa"/>
          </w:tcPr>
          <w:p w14:paraId="3BBB0429" w14:textId="77777777" w:rsidR="00BB1FFF" w:rsidRDefault="00E174AC" w:rsidP="00EC1326">
            <w:pPr>
              <w:pStyle w:val="Table"/>
              <w:rPr>
                <w:lang w:val="en-US"/>
              </w:rPr>
            </w:pPr>
            <w:r>
              <w:rPr>
                <w:lang w:val="en-US"/>
              </w:rPr>
              <w:t>1</w:t>
            </w:r>
          </w:p>
        </w:tc>
        <w:tc>
          <w:tcPr>
            <w:tcW w:w="1503" w:type="dxa"/>
          </w:tcPr>
          <w:p w14:paraId="109B6FF7" w14:textId="77777777" w:rsidR="00BB1FFF" w:rsidRDefault="00E174AC" w:rsidP="00EC1326">
            <w:pPr>
              <w:pStyle w:val="Table"/>
              <w:rPr>
                <w:lang w:val="en-US"/>
              </w:rPr>
            </w:pPr>
            <w:r>
              <w:rPr>
                <w:lang w:val="en-US"/>
              </w:rPr>
              <w:t>1</w:t>
            </w:r>
          </w:p>
        </w:tc>
      </w:tr>
      <w:tr w:rsidR="00E174AC" w14:paraId="6F9D29F0" w14:textId="77777777" w:rsidTr="00BB1FFF">
        <w:tc>
          <w:tcPr>
            <w:tcW w:w="1502" w:type="dxa"/>
          </w:tcPr>
          <w:p w14:paraId="79AD2087" w14:textId="77777777" w:rsidR="00E174AC" w:rsidRDefault="00E93305" w:rsidP="00EC1326">
            <w:pPr>
              <w:pStyle w:val="Table"/>
              <w:rPr>
                <w:lang w:val="en-US"/>
              </w:rPr>
            </w:pPr>
            <w:r>
              <w:rPr>
                <w:lang w:val="en-US"/>
              </w:rPr>
              <w:t>EE 01</w:t>
            </w:r>
          </w:p>
        </w:tc>
        <w:tc>
          <w:tcPr>
            <w:tcW w:w="1502" w:type="dxa"/>
          </w:tcPr>
          <w:p w14:paraId="01C5C1C6" w14:textId="77777777" w:rsidR="00E174AC" w:rsidRDefault="00E174AC" w:rsidP="00EC1326">
            <w:pPr>
              <w:pStyle w:val="Table"/>
              <w:rPr>
                <w:lang w:val="en-US"/>
              </w:rPr>
            </w:pPr>
            <w:r>
              <w:rPr>
                <w:lang w:val="en-US"/>
              </w:rPr>
              <w:t>C</w:t>
            </w:r>
          </w:p>
        </w:tc>
        <w:tc>
          <w:tcPr>
            <w:tcW w:w="1503" w:type="dxa"/>
          </w:tcPr>
          <w:p w14:paraId="1AA77D9B" w14:textId="77777777" w:rsidR="00E174AC" w:rsidRDefault="005223B0" w:rsidP="00EC1326">
            <w:pPr>
              <w:pStyle w:val="Table"/>
              <w:rPr>
                <w:lang w:val="en-US"/>
              </w:rPr>
            </w:pPr>
            <w:r>
              <w:rPr>
                <w:lang w:val="en-US"/>
              </w:rPr>
              <w:t>1,00 10</w:t>
            </w:r>
            <w:r w:rsidRPr="005223B0">
              <w:rPr>
                <w:vertAlign w:val="superscript"/>
                <w:lang w:val="en-US"/>
              </w:rPr>
              <w:t>-1</w:t>
            </w:r>
          </w:p>
        </w:tc>
        <w:tc>
          <w:tcPr>
            <w:tcW w:w="1503" w:type="dxa"/>
          </w:tcPr>
          <w:p w14:paraId="268A7163" w14:textId="77777777" w:rsidR="00E174AC" w:rsidRDefault="0027472E" w:rsidP="00EC1326">
            <w:pPr>
              <w:pStyle w:val="Table"/>
              <w:rPr>
                <w:lang w:val="en-US"/>
              </w:rPr>
            </w:pPr>
            <w:r>
              <w:rPr>
                <w:lang w:val="en-US"/>
              </w:rPr>
              <w:t>5,93</w:t>
            </w:r>
            <w:r w:rsidR="005223B0">
              <w:rPr>
                <w:lang w:val="en-US"/>
              </w:rPr>
              <w:t xml:space="preserve"> 10</w:t>
            </w:r>
            <w:r w:rsidR="005223B0" w:rsidRPr="005223B0">
              <w:rPr>
                <w:vertAlign w:val="superscript"/>
                <w:lang w:val="en-US"/>
              </w:rPr>
              <w:t>-1</w:t>
            </w:r>
          </w:p>
        </w:tc>
        <w:tc>
          <w:tcPr>
            <w:tcW w:w="1503" w:type="dxa"/>
          </w:tcPr>
          <w:p w14:paraId="282CB7C9" w14:textId="77777777" w:rsidR="00E174AC" w:rsidRDefault="005223B0" w:rsidP="00EC1326">
            <w:pPr>
              <w:pStyle w:val="Table"/>
              <w:rPr>
                <w:lang w:val="en-US"/>
              </w:rPr>
            </w:pPr>
            <w:r>
              <w:rPr>
                <w:lang w:val="en-US"/>
              </w:rPr>
              <w:t>0;1</w:t>
            </w:r>
            <w:r w:rsidRPr="005223B0">
              <w:rPr>
                <w:vertAlign w:val="superscript"/>
                <w:lang w:val="en-US"/>
              </w:rPr>
              <w:t>a</w:t>
            </w:r>
          </w:p>
        </w:tc>
        <w:tc>
          <w:tcPr>
            <w:tcW w:w="1503" w:type="dxa"/>
          </w:tcPr>
          <w:p w14:paraId="5693652C" w14:textId="77777777" w:rsidR="00E174AC" w:rsidRDefault="005223B0" w:rsidP="00EC1326">
            <w:pPr>
              <w:pStyle w:val="Table"/>
              <w:rPr>
                <w:lang w:val="en-US"/>
              </w:rPr>
            </w:pPr>
            <w:r>
              <w:rPr>
                <w:lang w:val="en-US"/>
              </w:rPr>
              <w:t>0;1</w:t>
            </w:r>
            <w:r w:rsidRPr="005223B0">
              <w:rPr>
                <w:vertAlign w:val="superscript"/>
                <w:lang w:val="en-US"/>
              </w:rPr>
              <w:t>a</w:t>
            </w:r>
          </w:p>
        </w:tc>
      </w:tr>
    </w:tbl>
    <w:p w14:paraId="7B5EDE09" w14:textId="77777777" w:rsidR="005223B0" w:rsidRDefault="005223B0" w:rsidP="009270F7">
      <w:pPr>
        <w:rPr>
          <w:lang w:val="en-US"/>
        </w:rPr>
      </w:pPr>
      <w:r w:rsidRPr="005223B0">
        <w:rPr>
          <w:vertAlign w:val="superscript"/>
          <w:lang w:val="en-US"/>
        </w:rPr>
        <w:t>a</w:t>
      </w:r>
      <w:r>
        <w:rPr>
          <w:lang w:val="en-US"/>
        </w:rPr>
        <w:t xml:space="preserve"> Depending on the comparison between TFM and TTF. </w:t>
      </w:r>
    </w:p>
    <w:p w14:paraId="0178F73C" w14:textId="77777777" w:rsidR="00C56C9D" w:rsidRPr="00DD0386" w:rsidRDefault="00C56C9D" w:rsidP="009270F7">
      <w:pPr>
        <w:rPr>
          <w:lang w:val="en-US"/>
        </w:rPr>
      </w:pPr>
    </w:p>
    <w:p w14:paraId="18B164EF" w14:textId="77777777" w:rsidR="005D0DAF" w:rsidRDefault="005D0DAF" w:rsidP="009270F7">
      <w:pPr>
        <w:pStyle w:val="Heading2"/>
        <w:rPr>
          <w:lang w:val="en-US"/>
        </w:rPr>
      </w:pPr>
      <w:r>
        <w:rPr>
          <w:lang w:val="en-US"/>
        </w:rPr>
        <w:t>4.</w:t>
      </w:r>
      <w:r w:rsidR="004F307C">
        <w:rPr>
          <w:lang w:val="en-US"/>
        </w:rPr>
        <w:t>2</w:t>
      </w:r>
      <w:r>
        <w:rPr>
          <w:lang w:val="en-US"/>
        </w:rPr>
        <w:t xml:space="preserve"> Evaluation of escalation probability </w:t>
      </w:r>
    </w:p>
    <w:p w14:paraId="113816F6" w14:textId="77777777" w:rsidR="0009461E" w:rsidRDefault="00EF26A8" w:rsidP="0009461E">
      <w:pPr>
        <w:rPr>
          <w:color w:val="FF0000"/>
          <w:lang w:val="en-US"/>
        </w:rPr>
      </w:pPr>
      <w:r w:rsidRPr="00EF26A8">
        <w:rPr>
          <w:lang w:val="en-US"/>
        </w:rPr>
        <w:t xml:space="preserve">The customized ETA </w:t>
      </w:r>
      <w:r w:rsidR="00681A8C">
        <w:rPr>
          <w:lang w:val="en-US"/>
        </w:rPr>
        <w:t>was</w:t>
      </w:r>
      <w:r w:rsidRPr="00EF26A8">
        <w:rPr>
          <w:lang w:val="en-US"/>
        </w:rPr>
        <w:t xml:space="preserve"> carried out on the basis of the frequency and consequence assessment of the primary scenario, i.e. the jet fire from the </w:t>
      </w:r>
      <w:r w:rsidR="00681A8C">
        <w:rPr>
          <w:lang w:val="en-US"/>
        </w:rPr>
        <w:t xml:space="preserve">production </w:t>
      </w:r>
      <w:r w:rsidRPr="00EF26A8">
        <w:rPr>
          <w:lang w:val="en-US"/>
        </w:rPr>
        <w:t xml:space="preserve">manifold </w:t>
      </w:r>
      <w:r w:rsidR="000B4059">
        <w:rPr>
          <w:lang w:val="en-US"/>
        </w:rPr>
        <w:t>VM01</w:t>
      </w:r>
      <w:r w:rsidRPr="00EF26A8">
        <w:rPr>
          <w:lang w:val="en-US"/>
        </w:rPr>
        <w:t xml:space="preserve"> affecting the horizontal separator </w:t>
      </w:r>
      <w:r w:rsidR="000B4059">
        <w:rPr>
          <w:lang w:val="en-US"/>
        </w:rPr>
        <w:t>VS01</w:t>
      </w:r>
      <w:r w:rsidRPr="00EF26A8">
        <w:rPr>
          <w:lang w:val="en-US"/>
        </w:rPr>
        <w:t xml:space="preserve">. </w:t>
      </w:r>
      <w:r w:rsidR="00324C55">
        <w:rPr>
          <w:lang w:val="en-US"/>
        </w:rPr>
        <w:t xml:space="preserve">Figure </w:t>
      </w:r>
      <w:r w:rsidR="00C128E8">
        <w:rPr>
          <w:lang w:val="en-US"/>
        </w:rPr>
        <w:t>6</w:t>
      </w:r>
      <w:r w:rsidR="00324C55">
        <w:rPr>
          <w:lang w:val="en-US"/>
        </w:rPr>
        <w:t xml:space="preserve"> shows the ETA developed for the case study analysis</w:t>
      </w:r>
      <w:r w:rsidR="001E3DE3">
        <w:rPr>
          <w:lang w:val="en-US"/>
        </w:rPr>
        <w:t xml:space="preserve"> for HES=0.81</w:t>
      </w:r>
      <w:r w:rsidR="009C4F54">
        <w:rPr>
          <w:lang w:val="en-US"/>
        </w:rPr>
        <w:t xml:space="preserve">. </w:t>
      </w:r>
      <w:r w:rsidR="0009461E">
        <w:rPr>
          <w:color w:val="FF0000"/>
          <w:lang w:val="en-US"/>
        </w:rPr>
        <w:t>An event tree with a similar structure was developed also for the case with HES = 0.</w:t>
      </w:r>
    </w:p>
    <w:p w14:paraId="09BF041A" w14:textId="668D8748" w:rsidR="00F9167D" w:rsidRDefault="00EB7329" w:rsidP="009270F7">
      <w:pPr>
        <w:rPr>
          <w:color w:val="FF0000"/>
          <w:lang w:val="en-US"/>
        </w:rPr>
      </w:pPr>
      <w:r>
        <w:rPr>
          <w:color w:val="FF0000"/>
          <w:lang w:val="en-US"/>
        </w:rPr>
        <w:t xml:space="preserve">The ETA starts from the primary fire and allows accounting for the </w:t>
      </w:r>
      <w:r w:rsidR="002B124A">
        <w:rPr>
          <w:color w:val="FF0000"/>
          <w:lang w:val="en-US"/>
        </w:rPr>
        <w:t>effect</w:t>
      </w:r>
      <w:r>
        <w:rPr>
          <w:color w:val="FF0000"/>
          <w:lang w:val="en-US"/>
        </w:rPr>
        <w:t xml:space="preserve"> protection layers</w:t>
      </w:r>
      <w:r w:rsidR="009C4F54" w:rsidRPr="009C4F54">
        <w:rPr>
          <w:color w:val="FF0000"/>
          <w:lang w:val="en-US"/>
        </w:rPr>
        <w:t xml:space="preserve"> </w:t>
      </w:r>
      <w:r w:rsidR="009C4F54">
        <w:rPr>
          <w:color w:val="FF0000"/>
          <w:lang w:val="en-US"/>
        </w:rPr>
        <w:t>through the different gates</w:t>
      </w:r>
      <w:r>
        <w:rPr>
          <w:color w:val="FF0000"/>
          <w:lang w:val="en-US"/>
        </w:rPr>
        <w:t>. Two gate types are used to model the barrier</w:t>
      </w:r>
      <w:r w:rsidR="009C4F54">
        <w:rPr>
          <w:color w:val="FF0000"/>
          <w:lang w:val="en-US"/>
        </w:rPr>
        <w:t xml:space="preserve">s associated with the separator VS01 </w:t>
      </w:r>
      <w:r w:rsidR="008A2108">
        <w:rPr>
          <w:color w:val="FF0000"/>
          <w:lang w:val="en-US"/>
        </w:rPr>
        <w:t>and summarized in Table 9, namely gates A and C (see Table 5</w:t>
      </w:r>
      <w:r w:rsidR="00DE2516">
        <w:rPr>
          <w:color w:val="FF0000"/>
          <w:lang w:val="en-US"/>
        </w:rPr>
        <w:t xml:space="preserve"> for gates details</w:t>
      </w:r>
      <w:r w:rsidR="008A2108">
        <w:rPr>
          <w:color w:val="FF0000"/>
          <w:lang w:val="en-US"/>
        </w:rPr>
        <w:t>). In particular, a</w:t>
      </w:r>
      <w:r>
        <w:rPr>
          <w:color w:val="FF0000"/>
          <w:lang w:val="en-US"/>
        </w:rPr>
        <w:t>ll the hardware barriers</w:t>
      </w:r>
      <w:r w:rsidR="002B124A">
        <w:rPr>
          <w:color w:val="FF0000"/>
          <w:lang w:val="en-US"/>
        </w:rPr>
        <w:t>, i</w:t>
      </w:r>
      <w:r>
        <w:rPr>
          <w:color w:val="FF0000"/>
          <w:lang w:val="en-US"/>
        </w:rPr>
        <w:t>.</w:t>
      </w:r>
      <w:r w:rsidR="002B124A">
        <w:rPr>
          <w:color w:val="FF0000"/>
          <w:lang w:val="en-US"/>
        </w:rPr>
        <w:t>e</w:t>
      </w:r>
      <w:r>
        <w:rPr>
          <w:color w:val="FF0000"/>
          <w:lang w:val="en-US"/>
        </w:rPr>
        <w:t xml:space="preserve">., </w:t>
      </w:r>
      <w:r w:rsidR="008A2108">
        <w:rPr>
          <w:color w:val="FF0000"/>
          <w:lang w:val="en-US"/>
        </w:rPr>
        <w:t>water deluge system, emergency shut down, pressure safety valve and fireproofing</w:t>
      </w:r>
      <w:r w:rsidR="002B124A">
        <w:rPr>
          <w:color w:val="FF0000"/>
          <w:lang w:val="en-US"/>
        </w:rPr>
        <w:t>,</w:t>
      </w:r>
      <w:r>
        <w:rPr>
          <w:color w:val="FF0000"/>
          <w:lang w:val="en-US"/>
        </w:rPr>
        <w:t xml:space="preserve"> are modeled with gate type A</w:t>
      </w:r>
      <w:r w:rsidR="002B124A">
        <w:rPr>
          <w:color w:val="FF0000"/>
          <w:lang w:val="en-US"/>
        </w:rPr>
        <w:t>.</w:t>
      </w:r>
      <w:r w:rsidR="008A2108">
        <w:rPr>
          <w:color w:val="FF0000"/>
          <w:lang w:val="en-US"/>
        </w:rPr>
        <w:t xml:space="preserve"> </w:t>
      </w:r>
      <w:r w:rsidR="002B124A">
        <w:rPr>
          <w:color w:val="FF0000"/>
          <w:lang w:val="en-US"/>
        </w:rPr>
        <w:t>T</w:t>
      </w:r>
      <w:r w:rsidR="008A2108">
        <w:rPr>
          <w:color w:val="FF0000"/>
          <w:lang w:val="en-US"/>
        </w:rPr>
        <w:t>hus</w:t>
      </w:r>
      <w:r w:rsidR="002B124A">
        <w:rPr>
          <w:color w:val="FF0000"/>
          <w:lang w:val="en-US"/>
        </w:rPr>
        <w:t xml:space="preserve">, </w:t>
      </w:r>
      <w:r w:rsidR="002B124A" w:rsidRPr="002B124A">
        <w:rPr>
          <w:color w:val="FF0000"/>
          <w:lang w:val="en-US"/>
        </w:rPr>
        <w:t>in this case</w:t>
      </w:r>
      <w:r w:rsidR="002B124A">
        <w:rPr>
          <w:color w:val="FF0000"/>
          <w:lang w:val="en-US"/>
        </w:rPr>
        <w:t>,</w:t>
      </w:r>
      <w:r w:rsidR="008A2108" w:rsidRPr="002B124A">
        <w:rPr>
          <w:color w:val="FF0000"/>
          <w:lang w:val="en-US"/>
        </w:rPr>
        <w:t xml:space="preserve"> </w:t>
      </w:r>
      <w:r w:rsidR="002B124A" w:rsidRPr="002B124A">
        <w:rPr>
          <w:color w:val="FF0000"/>
          <w:lang w:val="en-US"/>
        </w:rPr>
        <w:t>a s</w:t>
      </w:r>
      <w:r w:rsidR="00734691" w:rsidRPr="002B124A">
        <w:rPr>
          <w:color w:val="FF0000"/>
          <w:lang w:val="en-US"/>
        </w:rPr>
        <w:t>imple composite probability</w:t>
      </w:r>
      <w:r w:rsidR="002B124A" w:rsidRPr="002B124A">
        <w:rPr>
          <w:color w:val="FF0000"/>
          <w:lang w:val="en-US"/>
        </w:rPr>
        <w:t xml:space="preserve"> is obtained through the multiplication of barrier PFD and </w:t>
      </w:r>
      <w:r w:rsidR="00734691" w:rsidRPr="002B124A">
        <w:rPr>
          <w:color w:val="FF0000"/>
          <w:lang w:val="en-US"/>
        </w:rPr>
        <w:t>a single proba</w:t>
      </w:r>
      <w:r w:rsidR="002B124A" w:rsidRPr="002B124A">
        <w:rPr>
          <w:color w:val="FF0000"/>
          <w:lang w:val="en-US"/>
        </w:rPr>
        <w:t>bility value of effectiveness, η (quantitative data are summarized in Table 9)</w:t>
      </w:r>
      <w:r w:rsidRPr="002B124A">
        <w:rPr>
          <w:color w:val="FF0000"/>
          <w:lang w:val="en-US"/>
        </w:rPr>
        <w:t>.</w:t>
      </w:r>
      <w:r>
        <w:rPr>
          <w:color w:val="FF0000"/>
          <w:lang w:val="en-US"/>
        </w:rPr>
        <w:t xml:space="preserve"> On the ot</w:t>
      </w:r>
      <w:r w:rsidR="001123F7">
        <w:rPr>
          <w:color w:val="FF0000"/>
          <w:lang w:val="en-US"/>
        </w:rPr>
        <w:t>her hand, emergency response is associated</w:t>
      </w:r>
      <w:r>
        <w:rPr>
          <w:color w:val="FF0000"/>
          <w:lang w:val="en-US"/>
        </w:rPr>
        <w:t xml:space="preserve"> with a gate type C, </w:t>
      </w:r>
      <w:r w:rsidR="008A2108">
        <w:rPr>
          <w:color w:val="FF0000"/>
          <w:lang w:val="en-US"/>
        </w:rPr>
        <w:t xml:space="preserve">thus assuming a discrete probability distribution </w:t>
      </w:r>
      <w:r>
        <w:rPr>
          <w:color w:val="FF0000"/>
          <w:lang w:val="en-US"/>
        </w:rPr>
        <w:t xml:space="preserve">with three </w:t>
      </w:r>
      <w:r w:rsidR="008A2108">
        <w:rPr>
          <w:color w:val="FF0000"/>
          <w:lang w:val="en-US"/>
        </w:rPr>
        <w:t xml:space="preserve">possible </w:t>
      </w:r>
      <w:r w:rsidR="000E0C7C">
        <w:rPr>
          <w:color w:val="FF0000"/>
          <w:lang w:val="en-US"/>
        </w:rPr>
        <w:t xml:space="preserve">final </w:t>
      </w:r>
      <w:r w:rsidR="008A2108">
        <w:rPr>
          <w:color w:val="FF0000"/>
          <w:lang w:val="en-US"/>
        </w:rPr>
        <w:t>outcomes</w:t>
      </w:r>
      <w:r w:rsidR="001A2454">
        <w:rPr>
          <w:color w:val="FF0000"/>
          <w:lang w:val="en-US"/>
        </w:rPr>
        <w:t xml:space="preserve"> described in the following</w:t>
      </w:r>
      <w:r w:rsidR="001123F7">
        <w:rPr>
          <w:color w:val="FF0000"/>
          <w:lang w:val="en-US"/>
        </w:rPr>
        <w:t>. Their</w:t>
      </w:r>
      <w:r w:rsidR="008A2108">
        <w:rPr>
          <w:color w:val="FF0000"/>
          <w:lang w:val="en-US"/>
        </w:rPr>
        <w:t xml:space="preserve"> probability is estimated based on the comparison of the emergency team response time (expressed through TFM) and TTF. </w:t>
      </w:r>
    </w:p>
    <w:p w14:paraId="481EB096" w14:textId="0EAB706D" w:rsidR="00556877" w:rsidRDefault="008A2108" w:rsidP="00556877">
      <w:pPr>
        <w:rPr>
          <w:color w:val="FF0000"/>
          <w:lang w:val="en-US"/>
        </w:rPr>
      </w:pPr>
      <w:r>
        <w:rPr>
          <w:color w:val="FF0000"/>
          <w:lang w:val="en-US"/>
        </w:rPr>
        <w:lastRenderedPageBreak/>
        <w:t>In case the hardware barriers ensure a sufficient time lapse for intervention</w:t>
      </w:r>
      <w:r w:rsidR="000E0C7C">
        <w:rPr>
          <w:color w:val="FF0000"/>
          <w:lang w:val="en-US"/>
        </w:rPr>
        <w:t xml:space="preserve"> (thus TTF&gt;TFM)</w:t>
      </w:r>
      <w:r>
        <w:rPr>
          <w:color w:val="FF0000"/>
          <w:lang w:val="en-US"/>
        </w:rPr>
        <w:t xml:space="preserve"> </w:t>
      </w:r>
      <w:r w:rsidR="000E0C7C">
        <w:rPr>
          <w:color w:val="FF0000"/>
          <w:lang w:val="en-US"/>
        </w:rPr>
        <w:t xml:space="preserve">and emergency response is available, </w:t>
      </w:r>
      <w:r>
        <w:rPr>
          <w:color w:val="FF0000"/>
          <w:lang w:val="en-US"/>
        </w:rPr>
        <w:t>the escalation is avoided</w:t>
      </w:r>
      <w:r w:rsidR="000E0C7C">
        <w:rPr>
          <w:color w:val="FF0000"/>
          <w:lang w:val="en-US"/>
        </w:rPr>
        <w:t xml:space="preserve">. This case is labeled in Figure 6 </w:t>
      </w:r>
      <w:r w:rsidR="00C85962">
        <w:rPr>
          <w:color w:val="FF0000"/>
          <w:lang w:val="en-US"/>
        </w:rPr>
        <w:t>as</w:t>
      </w:r>
      <w:r w:rsidR="00556877">
        <w:rPr>
          <w:color w:val="FF0000"/>
          <w:lang w:val="en-US"/>
        </w:rPr>
        <w:t xml:space="preserve"> </w:t>
      </w:r>
      <w:r w:rsidR="000E0C7C">
        <w:rPr>
          <w:color w:val="FF0000"/>
          <w:lang w:val="en-US"/>
        </w:rPr>
        <w:t>“</w:t>
      </w:r>
      <w:r w:rsidR="000E0C7C" w:rsidRPr="000E0C7C">
        <w:rPr>
          <w:color w:val="FF0000"/>
          <w:lang w:val="en-US"/>
        </w:rPr>
        <w:t>No escalation</w:t>
      </w:r>
      <w:r w:rsidR="000E0C7C">
        <w:rPr>
          <w:color w:val="FF0000"/>
          <w:lang w:val="en-US"/>
        </w:rPr>
        <w:t>”</w:t>
      </w:r>
      <w:r w:rsidR="000E0C7C" w:rsidRPr="000E0C7C">
        <w:rPr>
          <w:color w:val="FF0000"/>
          <w:lang w:val="en-US"/>
        </w:rPr>
        <w:t xml:space="preserve">, </w:t>
      </w:r>
      <w:r w:rsidR="000E0C7C">
        <w:rPr>
          <w:color w:val="FF0000"/>
          <w:lang w:val="en-US"/>
        </w:rPr>
        <w:t xml:space="preserve">hence </w:t>
      </w:r>
      <w:r w:rsidR="000E0C7C" w:rsidRPr="000E0C7C">
        <w:rPr>
          <w:color w:val="FF0000"/>
          <w:lang w:val="en-US"/>
        </w:rPr>
        <w:t>barriers completely and effectively mitigate the primary fire</w:t>
      </w:r>
      <w:r w:rsidR="00221155">
        <w:rPr>
          <w:color w:val="FF0000"/>
          <w:lang w:val="en-US"/>
        </w:rPr>
        <w:t xml:space="preserve"> effect</w:t>
      </w:r>
      <w:r w:rsidR="00C85962">
        <w:rPr>
          <w:color w:val="FF0000"/>
          <w:lang w:val="en-US"/>
        </w:rPr>
        <w:t xml:space="preserve"> </w:t>
      </w:r>
      <w:r w:rsidR="000E0C7C" w:rsidRPr="000E0C7C">
        <w:rPr>
          <w:color w:val="FF0000"/>
          <w:lang w:val="en-US"/>
        </w:rPr>
        <w:t xml:space="preserve">avoiding </w:t>
      </w:r>
      <w:r w:rsidR="00221155">
        <w:rPr>
          <w:color w:val="FF0000"/>
          <w:lang w:val="en-US"/>
        </w:rPr>
        <w:t>the separator</w:t>
      </w:r>
      <w:r w:rsidR="00C85962">
        <w:rPr>
          <w:color w:val="FF0000"/>
          <w:lang w:val="en-US"/>
        </w:rPr>
        <w:t xml:space="preserve"> failure</w:t>
      </w:r>
      <w:r w:rsidR="000E0C7C" w:rsidRPr="000E0C7C">
        <w:rPr>
          <w:color w:val="FF0000"/>
          <w:lang w:val="en-US"/>
        </w:rPr>
        <w:t>.</w:t>
      </w:r>
      <w:r w:rsidR="00130375">
        <w:rPr>
          <w:color w:val="FF0000"/>
          <w:lang w:val="en-US"/>
        </w:rPr>
        <w:t xml:space="preserve"> </w:t>
      </w:r>
      <w:r w:rsidR="00C85962">
        <w:rPr>
          <w:color w:val="FF0000"/>
          <w:lang w:val="en-US"/>
        </w:rPr>
        <w:t xml:space="preserve">In case one or more </w:t>
      </w:r>
      <w:r w:rsidR="00C85962" w:rsidRPr="00C85962">
        <w:rPr>
          <w:color w:val="FF0000"/>
          <w:lang w:val="en-US"/>
        </w:rPr>
        <w:t xml:space="preserve">hardware barriers </w:t>
      </w:r>
      <w:r w:rsidR="00C85962">
        <w:rPr>
          <w:color w:val="FF0000"/>
          <w:lang w:val="en-US"/>
        </w:rPr>
        <w:t xml:space="preserve">are successfully activated but do not provide a sufficient time lapse for intervention (thus TTF&lt;TFM), the emergency intervention is not able to prevent the escalation. However, </w:t>
      </w:r>
      <w:r w:rsidR="00F9167D">
        <w:rPr>
          <w:color w:val="FF0000"/>
          <w:lang w:val="en-US"/>
        </w:rPr>
        <w:t>the activated</w:t>
      </w:r>
      <w:r w:rsidR="00C85962">
        <w:rPr>
          <w:color w:val="FF0000"/>
          <w:lang w:val="en-US"/>
        </w:rPr>
        <w:t xml:space="preserve"> safety barriers</w:t>
      </w:r>
      <w:r w:rsidR="00B200DA">
        <w:rPr>
          <w:color w:val="FF0000"/>
          <w:lang w:val="en-US"/>
        </w:rPr>
        <w:t xml:space="preserve"> </w:t>
      </w:r>
      <w:r w:rsidR="00F9167D">
        <w:rPr>
          <w:color w:val="FF0000"/>
          <w:lang w:val="en-US"/>
        </w:rPr>
        <w:t>allow reducing the impact of the</w:t>
      </w:r>
      <w:r w:rsidR="00C85962" w:rsidRPr="00C85962">
        <w:rPr>
          <w:color w:val="FF0000"/>
          <w:lang w:val="en-US"/>
        </w:rPr>
        <w:t xml:space="preserve"> consequences follow</w:t>
      </w:r>
      <w:r w:rsidR="00F9167D">
        <w:rPr>
          <w:color w:val="FF0000"/>
          <w:lang w:val="en-US"/>
        </w:rPr>
        <w:t>ing</w:t>
      </w:r>
      <w:r w:rsidR="00C85962" w:rsidRPr="00C85962">
        <w:rPr>
          <w:color w:val="FF0000"/>
          <w:lang w:val="en-US"/>
        </w:rPr>
        <w:t xml:space="preserve"> the </w:t>
      </w:r>
      <w:r w:rsidR="00F9167D">
        <w:rPr>
          <w:color w:val="FF0000"/>
          <w:lang w:val="en-US"/>
        </w:rPr>
        <w:t xml:space="preserve">eventual </w:t>
      </w:r>
      <w:r w:rsidR="00C85962" w:rsidRPr="00C85962">
        <w:rPr>
          <w:color w:val="FF0000"/>
          <w:lang w:val="en-US"/>
        </w:rPr>
        <w:t>rupt</w:t>
      </w:r>
      <w:r w:rsidR="00C85962">
        <w:rPr>
          <w:color w:val="FF0000"/>
          <w:lang w:val="en-US"/>
        </w:rPr>
        <w:t>ure of the target process unit</w:t>
      </w:r>
      <w:r w:rsidR="00F9167D">
        <w:rPr>
          <w:color w:val="FF0000"/>
          <w:lang w:val="en-US"/>
        </w:rPr>
        <w:t>, thus resulting in a</w:t>
      </w:r>
      <w:r w:rsidR="00C85962">
        <w:rPr>
          <w:color w:val="FF0000"/>
          <w:lang w:val="en-US"/>
        </w:rPr>
        <w:t xml:space="preserve"> “mitigated scenario”</w:t>
      </w:r>
      <w:r w:rsidR="00F9167D">
        <w:rPr>
          <w:color w:val="FF0000"/>
          <w:lang w:val="en-US"/>
        </w:rPr>
        <w:t xml:space="preserve"> (see Figure 6).</w:t>
      </w:r>
      <w:r w:rsidR="00130375">
        <w:rPr>
          <w:color w:val="FF0000"/>
          <w:lang w:val="en-US"/>
        </w:rPr>
        <w:t xml:space="preserve"> </w:t>
      </w:r>
      <w:r w:rsidR="00556877">
        <w:rPr>
          <w:color w:val="FF0000"/>
          <w:lang w:val="en-US"/>
        </w:rPr>
        <w:t xml:space="preserve">Finally, the “unmitigated scenario” (see Figure 6) is obtained only in case all the considered safety barriers (either hardware or procedural) are ineffective and/or unavailable. </w:t>
      </w:r>
      <w:r w:rsidR="00556877" w:rsidRPr="00221155">
        <w:rPr>
          <w:color w:val="FF0000"/>
          <w:lang w:val="en-US"/>
        </w:rPr>
        <w:t xml:space="preserve">Clearly enough, even in absence of </w:t>
      </w:r>
      <w:r w:rsidR="00556877">
        <w:rPr>
          <w:color w:val="FF0000"/>
          <w:lang w:val="en-US"/>
        </w:rPr>
        <w:t xml:space="preserve">safety barriers activation and </w:t>
      </w:r>
      <w:r w:rsidR="00556877" w:rsidRPr="00221155">
        <w:rPr>
          <w:color w:val="FF0000"/>
          <w:lang w:val="en-US"/>
        </w:rPr>
        <w:t>mitigation, the target equipment may withstand the fire conditions with no safety-relevant consequences</w:t>
      </w:r>
      <w:r w:rsidR="00CD6280">
        <w:rPr>
          <w:color w:val="FF0000"/>
          <w:lang w:val="en-US"/>
        </w:rPr>
        <w:t>. E</w:t>
      </w:r>
      <w:r w:rsidR="00556877" w:rsidRPr="00221155">
        <w:rPr>
          <w:color w:val="FF0000"/>
          <w:lang w:val="en-US"/>
        </w:rPr>
        <w:t>scalation</w:t>
      </w:r>
      <w:r w:rsidR="00556877">
        <w:rPr>
          <w:color w:val="FF0000"/>
          <w:lang w:val="en-US"/>
        </w:rPr>
        <w:t xml:space="preserve"> is </w:t>
      </w:r>
      <w:r w:rsidR="00CD6280">
        <w:rPr>
          <w:color w:val="FF0000"/>
          <w:lang w:val="en-US"/>
        </w:rPr>
        <w:t xml:space="preserve">thus </w:t>
      </w:r>
      <w:r w:rsidR="00556877">
        <w:rPr>
          <w:color w:val="FF0000"/>
          <w:lang w:val="en-US"/>
        </w:rPr>
        <w:t>excluded also in these cases</w:t>
      </w:r>
      <w:r w:rsidR="00556877" w:rsidRPr="00221155">
        <w:rPr>
          <w:color w:val="FF0000"/>
          <w:lang w:val="en-US"/>
        </w:rPr>
        <w:t>.</w:t>
      </w:r>
    </w:p>
    <w:p w14:paraId="5C6936D8" w14:textId="02D1841E" w:rsidR="00556877" w:rsidRDefault="00556877" w:rsidP="00556877">
      <w:pPr>
        <w:rPr>
          <w:color w:val="FF0000"/>
          <w:lang w:val="en-US"/>
        </w:rPr>
      </w:pPr>
      <w:r>
        <w:rPr>
          <w:color w:val="FF0000"/>
          <w:lang w:val="en-US"/>
        </w:rPr>
        <w:t>The latter situation, and, more in general, the credibility of mechanical failure of the equipment given the status of safety barriers is assessed through the fragility gate D</w:t>
      </w:r>
      <w:r w:rsidR="00130375">
        <w:rPr>
          <w:color w:val="FF0000"/>
          <w:lang w:val="en-US"/>
        </w:rPr>
        <w:t xml:space="preserve"> (</w:t>
      </w:r>
      <w:r>
        <w:rPr>
          <w:color w:val="FF0000"/>
          <w:lang w:val="en-US"/>
        </w:rPr>
        <w:t>see (Landucci et al. 2016) for more details on this gate type</w:t>
      </w:r>
      <w:r w:rsidR="00130375">
        <w:rPr>
          <w:color w:val="FF0000"/>
          <w:lang w:val="en-US"/>
        </w:rPr>
        <w:t>)</w:t>
      </w:r>
      <w:r>
        <w:rPr>
          <w:color w:val="FF0000"/>
          <w:lang w:val="en-US"/>
        </w:rPr>
        <w:t>.</w:t>
      </w:r>
    </w:p>
    <w:p w14:paraId="32D197CD" w14:textId="77777777" w:rsidR="00790558" w:rsidRPr="00893C6D" w:rsidRDefault="00790558" w:rsidP="00790558">
      <w:pPr>
        <w:rPr>
          <w:color w:val="FF0000"/>
          <w:lang w:val="en-US"/>
        </w:rPr>
      </w:pPr>
      <w:r>
        <w:rPr>
          <w:color w:val="FF0000"/>
          <w:lang w:val="en-US"/>
        </w:rPr>
        <w:t>The mentioned scenarios were obtained and quantified e</w:t>
      </w:r>
      <w:r w:rsidRPr="00221155">
        <w:rPr>
          <w:color w:val="FF0000"/>
          <w:lang w:val="en-US"/>
        </w:rPr>
        <w:t xml:space="preserve">ither in normal (HES=0) </w:t>
      </w:r>
      <w:r>
        <w:rPr>
          <w:color w:val="FF0000"/>
          <w:lang w:val="en-US"/>
        </w:rPr>
        <w:t xml:space="preserve">or harsh environment (HES=0.81). </w:t>
      </w:r>
      <w:r w:rsidRPr="00893C6D">
        <w:rPr>
          <w:color w:val="FF0000"/>
          <w:lang w:val="en-US"/>
        </w:rPr>
        <w:t xml:space="preserve">The quantified ETA allowed performing the probabilistic assessment of the escalation scenarios associated with the separator. The overall results are shown in Figure 7 in terms of escalation probability (Figure 7a) and frequency (or annual probability) (Figure 7b). </w:t>
      </w:r>
    </w:p>
    <w:p w14:paraId="2DB96F1D" w14:textId="44E072CF" w:rsidR="00790558" w:rsidRPr="00076D60" w:rsidRDefault="00790558" w:rsidP="00790558">
      <w:pPr>
        <w:rPr>
          <w:color w:val="FF0000"/>
          <w:lang w:val="en-US"/>
        </w:rPr>
      </w:pPr>
      <w:r w:rsidRPr="00076D60">
        <w:rPr>
          <w:color w:val="FF0000"/>
          <w:lang w:val="en-US"/>
        </w:rPr>
        <w:t>As shown</w:t>
      </w:r>
      <w:r>
        <w:rPr>
          <w:color w:val="FF0000"/>
          <w:lang w:val="en-US"/>
        </w:rPr>
        <w:t xml:space="preserve"> in Figure 7, harsh environ</w:t>
      </w:r>
      <w:r w:rsidR="00CD6280">
        <w:rPr>
          <w:color w:val="FF0000"/>
          <w:lang w:val="en-US"/>
        </w:rPr>
        <w:t>ment has a significant effect on</w:t>
      </w:r>
      <w:r>
        <w:rPr>
          <w:color w:val="FF0000"/>
          <w:lang w:val="en-US"/>
        </w:rPr>
        <w:t xml:space="preserve"> the overall performance of safety barriers and, thus, on the escalation probability and frequency. In fact, the probabilit</w:t>
      </w:r>
      <w:r w:rsidR="00CD6280">
        <w:rPr>
          <w:color w:val="FF0000"/>
          <w:lang w:val="en-US"/>
        </w:rPr>
        <w:t>y (thus, the credibility) of a</w:t>
      </w:r>
      <w:r>
        <w:rPr>
          <w:color w:val="FF0000"/>
          <w:lang w:val="en-US"/>
        </w:rPr>
        <w:t xml:space="preserve"> successful escalation prevention is reduced by a factor 1.8 in harsh environment with respect to normal conditions. However, in both cases, the presence of multiple layers of protection, which are required by commonly applied industrial standards in offshore O&amp;G fac</w:t>
      </w:r>
      <w:r w:rsidR="001B0D96">
        <w:rPr>
          <w:color w:val="FF0000"/>
          <w:lang w:val="en-US"/>
        </w:rPr>
        <w:t>ilities (see Section 2.2) allow</w:t>
      </w:r>
      <w:r>
        <w:rPr>
          <w:color w:val="FF0000"/>
          <w:lang w:val="en-US"/>
        </w:rPr>
        <w:t xml:space="preserve"> for relevant risk reduction, due to the low probability of unmitigated events given the primary scenario (lower than 5×10</w:t>
      </w:r>
      <w:r w:rsidRPr="00EF0792">
        <w:rPr>
          <w:color w:val="FF0000"/>
          <w:vertAlign w:val="superscript"/>
          <w:lang w:val="en-US"/>
        </w:rPr>
        <w:t>-4</w:t>
      </w:r>
      <w:r>
        <w:rPr>
          <w:color w:val="FF0000"/>
          <w:lang w:val="en-US"/>
        </w:rPr>
        <w:t xml:space="preserve">). On the contrary, if barriers are not accounted for in the analysis, the escalation features an almost unitary probability of occurrence, with a resulting frequency which is </w:t>
      </w:r>
      <w:r w:rsidR="00925C0F">
        <w:rPr>
          <w:color w:val="FF0000"/>
          <w:lang w:val="en-US"/>
        </w:rPr>
        <w:t xml:space="preserve">thus </w:t>
      </w:r>
      <w:r>
        <w:rPr>
          <w:color w:val="FF0000"/>
          <w:lang w:val="en-US"/>
        </w:rPr>
        <w:t>close to the frequency of the primary event</w:t>
      </w:r>
      <w:r w:rsidR="00925C0F">
        <w:rPr>
          <w:color w:val="FF0000"/>
          <w:lang w:val="en-US"/>
        </w:rPr>
        <w:t xml:space="preserve">. Therefore, </w:t>
      </w:r>
      <w:r>
        <w:rPr>
          <w:color w:val="FF0000"/>
          <w:lang w:val="en-US"/>
        </w:rPr>
        <w:t xml:space="preserve">the adoption of sound mitigation measures </w:t>
      </w:r>
      <w:r w:rsidR="00925C0F">
        <w:rPr>
          <w:color w:val="FF0000"/>
          <w:lang w:val="en-US"/>
        </w:rPr>
        <w:t xml:space="preserve">is </w:t>
      </w:r>
      <w:r>
        <w:rPr>
          <w:color w:val="FF0000"/>
          <w:lang w:val="en-US"/>
        </w:rPr>
        <w:t>of utmost importance to achieve effective risk reduction.</w:t>
      </w:r>
    </w:p>
    <w:p w14:paraId="0C5B1C55" w14:textId="77777777" w:rsidR="00790558" w:rsidRDefault="00790558" w:rsidP="00556877">
      <w:pPr>
        <w:rPr>
          <w:color w:val="FF0000"/>
          <w:lang w:val="en-US"/>
        </w:rPr>
      </w:pPr>
    </w:p>
    <w:p w14:paraId="002DFF2E" w14:textId="77777777" w:rsidR="00556877" w:rsidRDefault="00556877" w:rsidP="00E95365">
      <w:pPr>
        <w:rPr>
          <w:color w:val="FF0000"/>
          <w:lang w:val="en-US"/>
        </w:rPr>
      </w:pPr>
    </w:p>
    <w:p w14:paraId="326F9149" w14:textId="77777777" w:rsidR="00324C55" w:rsidRDefault="002322EA" w:rsidP="009270F7">
      <w:pPr>
        <w:rPr>
          <w:lang w:val="en-US"/>
        </w:rPr>
      </w:pPr>
      <w:r w:rsidRPr="002322EA">
        <w:rPr>
          <w:noProof/>
          <w:lang w:val="nb-NO" w:eastAsia="nb-NO"/>
        </w:rPr>
        <w:lastRenderedPageBreak/>
        <w:drawing>
          <wp:inline distT="0" distB="0" distL="0" distR="0" wp14:anchorId="251E984F" wp14:editId="21C5E2C5">
            <wp:extent cx="5731510" cy="5920398"/>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920398"/>
                    </a:xfrm>
                    <a:prstGeom prst="rect">
                      <a:avLst/>
                    </a:prstGeom>
                    <a:noFill/>
                    <a:ln>
                      <a:noFill/>
                    </a:ln>
                  </pic:spPr>
                </pic:pic>
              </a:graphicData>
            </a:graphic>
          </wp:inline>
        </w:drawing>
      </w:r>
    </w:p>
    <w:p w14:paraId="7D2559D5" w14:textId="5C80DA52" w:rsidR="0027472E" w:rsidRPr="00D5000C" w:rsidRDefault="00324C55" w:rsidP="009270F7">
      <w:pPr>
        <w:rPr>
          <w:i/>
          <w:color w:val="FF0000"/>
          <w:lang w:val="en-US"/>
        </w:rPr>
      </w:pPr>
      <w:r w:rsidRPr="00D5000C">
        <w:rPr>
          <w:i/>
          <w:color w:val="FF0000"/>
          <w:lang w:val="en-US"/>
        </w:rPr>
        <w:t xml:space="preserve">Figure </w:t>
      </w:r>
      <w:r w:rsidR="00C128E8" w:rsidRPr="00D5000C">
        <w:rPr>
          <w:i/>
          <w:color w:val="FF0000"/>
          <w:lang w:val="en-US"/>
        </w:rPr>
        <w:t>6</w:t>
      </w:r>
      <w:r w:rsidRPr="00D5000C">
        <w:rPr>
          <w:i/>
          <w:color w:val="FF0000"/>
          <w:lang w:val="en-US"/>
        </w:rPr>
        <w:t xml:space="preserve">. </w:t>
      </w:r>
      <w:r w:rsidR="00790558" w:rsidRPr="00D5000C">
        <w:rPr>
          <w:i/>
          <w:color w:val="FF0000"/>
          <w:lang w:val="en-US"/>
        </w:rPr>
        <w:t>Event tree analysis (ETA)</w:t>
      </w:r>
      <w:r w:rsidRPr="00D5000C">
        <w:rPr>
          <w:i/>
          <w:color w:val="FF0000"/>
          <w:lang w:val="en-US"/>
        </w:rPr>
        <w:t xml:space="preserve"> developed </w:t>
      </w:r>
      <w:r w:rsidR="00790558" w:rsidRPr="00D5000C">
        <w:rPr>
          <w:i/>
          <w:color w:val="FF0000"/>
          <w:lang w:val="en-US"/>
        </w:rPr>
        <w:t xml:space="preserve">for the quantification of </w:t>
      </w:r>
      <w:r w:rsidRPr="00D5000C">
        <w:rPr>
          <w:i/>
          <w:color w:val="FF0000"/>
          <w:lang w:val="en-US"/>
        </w:rPr>
        <w:t>probability</w:t>
      </w:r>
      <w:r w:rsidR="00790558" w:rsidRPr="00D5000C">
        <w:rPr>
          <w:i/>
          <w:color w:val="FF0000"/>
          <w:lang w:val="en-US"/>
        </w:rPr>
        <w:t xml:space="preserve"> and </w:t>
      </w:r>
      <w:r w:rsidRPr="00D5000C">
        <w:rPr>
          <w:i/>
          <w:color w:val="FF0000"/>
          <w:lang w:val="en-US"/>
        </w:rPr>
        <w:t>frequency</w:t>
      </w:r>
      <w:r w:rsidR="00790558" w:rsidRPr="00D5000C">
        <w:rPr>
          <w:i/>
          <w:color w:val="FF0000"/>
          <w:lang w:val="en-US"/>
        </w:rPr>
        <w:t xml:space="preserve"> of the escalation scenarios associated with the separator VS01 exposed to the jet fire from the production manifold VM01 (see Figure 4). </w:t>
      </w:r>
      <w:r w:rsidR="00FC1BEF" w:rsidRPr="00D5000C">
        <w:rPr>
          <w:i/>
          <w:color w:val="FF0000"/>
          <w:lang w:val="en-US"/>
        </w:rPr>
        <w:t>Each branch of the event tree is quantified according to the rules described in Section 2.5</w:t>
      </w:r>
      <w:r w:rsidR="00790558" w:rsidRPr="00D5000C">
        <w:rPr>
          <w:i/>
          <w:color w:val="FF0000"/>
          <w:lang w:val="en-US"/>
        </w:rPr>
        <w:t>, adopting the specific gates shown in Table 5</w:t>
      </w:r>
      <w:r w:rsidR="00FC1BEF" w:rsidRPr="00D5000C">
        <w:rPr>
          <w:i/>
          <w:color w:val="FF0000"/>
          <w:lang w:val="en-US"/>
        </w:rPr>
        <w:t>.</w:t>
      </w:r>
      <w:r w:rsidRPr="00D5000C">
        <w:rPr>
          <w:i/>
          <w:color w:val="FF0000"/>
          <w:lang w:val="en-US"/>
        </w:rPr>
        <w:t xml:space="preserve"> </w:t>
      </w:r>
      <w:r w:rsidR="001E3DE3" w:rsidRPr="00D5000C">
        <w:rPr>
          <w:i/>
          <w:color w:val="FF0000"/>
          <w:lang w:val="en-US"/>
        </w:rPr>
        <w:t xml:space="preserve">The ETA </w:t>
      </w:r>
      <w:r w:rsidR="00E652FD" w:rsidRPr="00D5000C">
        <w:rPr>
          <w:i/>
          <w:color w:val="FF0000"/>
          <w:lang w:val="en-US"/>
        </w:rPr>
        <w:t xml:space="preserve">accounts for the effect of harsh environment conditions on the barriers performance through the application of </w:t>
      </w:r>
      <w:r w:rsidR="001B0D96">
        <w:rPr>
          <w:i/>
          <w:color w:val="FF0000"/>
          <w:lang w:val="en-US"/>
        </w:rPr>
        <w:t xml:space="preserve">a </w:t>
      </w:r>
      <w:r w:rsidR="00E652FD" w:rsidRPr="00D5000C">
        <w:rPr>
          <w:i/>
          <w:color w:val="FF0000"/>
          <w:lang w:val="en-US"/>
        </w:rPr>
        <w:t xml:space="preserve">Harsh Environmental Score (HES </w:t>
      </w:r>
      <w:r w:rsidR="001E3DE3" w:rsidRPr="00D5000C">
        <w:rPr>
          <w:i/>
          <w:color w:val="FF0000"/>
          <w:lang w:val="en-US"/>
        </w:rPr>
        <w:t>=0.81</w:t>
      </w:r>
      <w:r w:rsidR="00E652FD" w:rsidRPr="00D5000C">
        <w:rPr>
          <w:i/>
          <w:color w:val="FF0000"/>
          <w:lang w:val="en-US"/>
        </w:rPr>
        <w:t xml:space="preserve"> in this case)</w:t>
      </w:r>
      <w:r w:rsidR="001B0D96">
        <w:rPr>
          <w:i/>
          <w:color w:val="FF0000"/>
          <w:lang w:val="en-US"/>
        </w:rPr>
        <w:t>.</w:t>
      </w:r>
    </w:p>
    <w:p w14:paraId="1CF4490D" w14:textId="29A3339F" w:rsidR="000E4B26" w:rsidRDefault="000E4B26" w:rsidP="009270F7">
      <w:pPr>
        <w:rPr>
          <w:lang w:val="en-US"/>
        </w:rPr>
      </w:pPr>
    </w:p>
    <w:p w14:paraId="11B83841" w14:textId="77777777" w:rsidR="00276323" w:rsidRDefault="00276323" w:rsidP="009270F7">
      <w:pPr>
        <w:rPr>
          <w:lang w:val="en-US"/>
        </w:rPr>
      </w:pPr>
    </w:p>
    <w:p w14:paraId="6352C8F0" w14:textId="77777777" w:rsidR="003513B9" w:rsidRDefault="001D3A18" w:rsidP="001D3A18">
      <w:pPr>
        <w:jc w:val="center"/>
        <w:rPr>
          <w:lang w:val="en-US"/>
        </w:rPr>
      </w:pPr>
      <w:r w:rsidRPr="001D3A18">
        <w:rPr>
          <w:noProof/>
          <w:lang w:val="nb-NO" w:eastAsia="nb-NO"/>
        </w:rPr>
        <w:lastRenderedPageBreak/>
        <w:drawing>
          <wp:inline distT="0" distB="0" distL="0" distR="0" wp14:anchorId="3F9971C3" wp14:editId="3B14B125">
            <wp:extent cx="5102245" cy="43434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3965" cy="4344864"/>
                    </a:xfrm>
                    <a:prstGeom prst="rect">
                      <a:avLst/>
                    </a:prstGeom>
                    <a:noFill/>
                    <a:ln>
                      <a:noFill/>
                    </a:ln>
                  </pic:spPr>
                </pic:pic>
              </a:graphicData>
            </a:graphic>
          </wp:inline>
        </w:drawing>
      </w:r>
    </w:p>
    <w:p w14:paraId="79F38948" w14:textId="4D71E6D4" w:rsidR="003513B9" w:rsidRPr="00D5000C" w:rsidRDefault="003513B9" w:rsidP="009270F7">
      <w:pPr>
        <w:rPr>
          <w:i/>
          <w:color w:val="FF0000"/>
          <w:lang w:val="en-US"/>
        </w:rPr>
      </w:pPr>
      <w:r w:rsidRPr="00D5000C">
        <w:rPr>
          <w:i/>
          <w:color w:val="FF0000"/>
          <w:lang w:val="en-US"/>
        </w:rPr>
        <w:t xml:space="preserve">Figure </w:t>
      </w:r>
      <w:r w:rsidR="00C128E8" w:rsidRPr="00D5000C">
        <w:rPr>
          <w:i/>
          <w:color w:val="FF0000"/>
          <w:lang w:val="en-US"/>
        </w:rPr>
        <w:t>7</w:t>
      </w:r>
      <w:r w:rsidRPr="00D5000C">
        <w:rPr>
          <w:i/>
          <w:color w:val="FF0000"/>
          <w:lang w:val="en-US"/>
        </w:rPr>
        <w:t xml:space="preserve">. Summary of the </w:t>
      </w:r>
      <w:r w:rsidR="00075E4F" w:rsidRPr="00D5000C">
        <w:rPr>
          <w:i/>
          <w:color w:val="FF0000"/>
          <w:lang w:val="en-US"/>
        </w:rPr>
        <w:t>quantitative probabilistic assessment carried out for the</w:t>
      </w:r>
      <w:r w:rsidRPr="00D5000C">
        <w:rPr>
          <w:i/>
          <w:color w:val="FF0000"/>
          <w:lang w:val="en-US"/>
        </w:rPr>
        <w:t xml:space="preserve"> case study: </w:t>
      </w:r>
      <w:r w:rsidR="00400B8F" w:rsidRPr="00D5000C">
        <w:rPr>
          <w:i/>
          <w:color w:val="FF0000"/>
          <w:lang w:val="en-US"/>
        </w:rPr>
        <w:t>a</w:t>
      </w:r>
      <w:r w:rsidRPr="00D5000C">
        <w:rPr>
          <w:i/>
          <w:color w:val="FF0000"/>
          <w:lang w:val="en-US"/>
        </w:rPr>
        <w:t xml:space="preserve">) probability and </w:t>
      </w:r>
      <w:r w:rsidR="00400B8F" w:rsidRPr="00D5000C">
        <w:rPr>
          <w:i/>
          <w:color w:val="FF0000"/>
          <w:lang w:val="en-US"/>
        </w:rPr>
        <w:t>b</w:t>
      </w:r>
      <w:r w:rsidRPr="00D5000C">
        <w:rPr>
          <w:i/>
          <w:color w:val="FF0000"/>
          <w:lang w:val="en-US"/>
        </w:rPr>
        <w:t xml:space="preserve">) frequency of </w:t>
      </w:r>
      <w:r w:rsidR="00075E4F" w:rsidRPr="00D5000C">
        <w:rPr>
          <w:i/>
          <w:color w:val="FF0000"/>
          <w:lang w:val="en-US"/>
        </w:rPr>
        <w:t>escalation scenarios associated with the separator VS01 exposed to the jet fire from the production manifold VM01 (see Figure 4).</w:t>
      </w:r>
    </w:p>
    <w:p w14:paraId="16F417F4" w14:textId="77777777" w:rsidR="00790558" w:rsidRPr="00F9370F" w:rsidRDefault="00790558" w:rsidP="009270F7">
      <w:pPr>
        <w:rPr>
          <w:lang w:val="en-US"/>
        </w:rPr>
      </w:pPr>
    </w:p>
    <w:p w14:paraId="0EE69728" w14:textId="77777777" w:rsidR="00021A7B" w:rsidRDefault="00021A7B" w:rsidP="009270F7">
      <w:pPr>
        <w:pStyle w:val="Heading1"/>
        <w:rPr>
          <w:lang w:val="en-US"/>
        </w:rPr>
      </w:pPr>
      <w:r>
        <w:rPr>
          <w:lang w:val="en-US"/>
        </w:rPr>
        <w:t xml:space="preserve">5. Discussion </w:t>
      </w:r>
    </w:p>
    <w:p w14:paraId="3F4180B8" w14:textId="77777777" w:rsidR="00972C0D" w:rsidRDefault="0052775F">
      <w:pPr>
        <w:rPr>
          <w:lang w:val="en-US"/>
        </w:rPr>
      </w:pPr>
      <w:r>
        <w:rPr>
          <w:lang w:val="en-US"/>
        </w:rPr>
        <w:t xml:space="preserve">The case study proves the </w:t>
      </w:r>
      <w:r w:rsidR="00DF7A99">
        <w:rPr>
          <w:lang w:val="en-US"/>
        </w:rPr>
        <w:t xml:space="preserve">methodology </w:t>
      </w:r>
      <w:r>
        <w:rPr>
          <w:lang w:val="en-US"/>
        </w:rPr>
        <w:t xml:space="preserve">potential </w:t>
      </w:r>
      <w:r w:rsidR="006242A6">
        <w:rPr>
          <w:lang w:val="en-US"/>
        </w:rPr>
        <w:t>for considering</w:t>
      </w:r>
      <w:r>
        <w:rPr>
          <w:lang w:val="en-US"/>
        </w:rPr>
        <w:t xml:space="preserve"> harsh environmental conditions in the analysis of </w:t>
      </w:r>
      <w:r w:rsidR="006242A6">
        <w:rPr>
          <w:lang w:val="en-US"/>
        </w:rPr>
        <w:t xml:space="preserve">fire </w:t>
      </w:r>
      <w:r>
        <w:rPr>
          <w:lang w:val="en-US"/>
        </w:rPr>
        <w:t>domi</w:t>
      </w:r>
      <w:r w:rsidR="00D40ED8">
        <w:rPr>
          <w:lang w:val="en-US"/>
        </w:rPr>
        <w:t xml:space="preserve">no scenarios </w:t>
      </w:r>
      <w:r w:rsidR="006242A6">
        <w:rPr>
          <w:lang w:val="en-US"/>
        </w:rPr>
        <w:t>within</w:t>
      </w:r>
      <w:r w:rsidR="00D40ED8">
        <w:rPr>
          <w:lang w:val="en-US"/>
        </w:rPr>
        <w:t xml:space="preserve"> offshore installation</w:t>
      </w:r>
      <w:r w:rsidR="00D07005">
        <w:rPr>
          <w:lang w:val="en-US"/>
        </w:rPr>
        <w:t>s</w:t>
      </w:r>
      <w:r w:rsidR="00D40ED8">
        <w:rPr>
          <w:lang w:val="en-US"/>
        </w:rPr>
        <w:t xml:space="preserve">. </w:t>
      </w:r>
      <w:r w:rsidR="00E53648">
        <w:rPr>
          <w:lang w:val="en-US"/>
        </w:rPr>
        <w:t xml:space="preserve">The results provided in Section 4 show the </w:t>
      </w:r>
      <w:r w:rsidR="006242A6">
        <w:rPr>
          <w:lang w:val="en-US"/>
        </w:rPr>
        <w:t>significant decrease</w:t>
      </w:r>
      <w:r w:rsidR="00E53648">
        <w:rPr>
          <w:lang w:val="en-US"/>
        </w:rPr>
        <w:t xml:space="preserve"> in availability </w:t>
      </w:r>
      <w:r w:rsidR="006242A6">
        <w:rPr>
          <w:lang w:val="en-US"/>
        </w:rPr>
        <w:t xml:space="preserve">of barriers </w:t>
      </w:r>
      <w:r w:rsidR="00E53648">
        <w:rPr>
          <w:lang w:val="en-US"/>
        </w:rPr>
        <w:t>due to difficult environmental conditions</w:t>
      </w:r>
      <w:r w:rsidR="006242A6">
        <w:rPr>
          <w:lang w:val="en-US"/>
        </w:rPr>
        <w:t xml:space="preserve">. Moreover, the results show </w:t>
      </w:r>
      <w:r w:rsidR="00E53648">
        <w:rPr>
          <w:lang w:val="en-US"/>
        </w:rPr>
        <w:t>how</w:t>
      </w:r>
      <w:r w:rsidR="00D07005">
        <w:rPr>
          <w:lang w:val="en-US"/>
        </w:rPr>
        <w:t xml:space="preserve"> </w:t>
      </w:r>
      <w:r w:rsidR="006242A6">
        <w:rPr>
          <w:lang w:val="en-US"/>
        </w:rPr>
        <w:t xml:space="preserve">decreased barrier availability </w:t>
      </w:r>
      <w:r w:rsidR="00D07005">
        <w:rPr>
          <w:lang w:val="en-US"/>
        </w:rPr>
        <w:t>may</w:t>
      </w:r>
      <w:r w:rsidR="00E53648">
        <w:rPr>
          <w:lang w:val="en-US"/>
        </w:rPr>
        <w:t xml:space="preserve"> affect the frequency of escalation events. </w:t>
      </w:r>
      <w:r w:rsidR="00D07005">
        <w:rPr>
          <w:lang w:val="en-US"/>
        </w:rPr>
        <w:t xml:space="preserve">The reduced effectiveness of </w:t>
      </w:r>
      <w:r w:rsidR="00E53648">
        <w:rPr>
          <w:lang w:val="en-US"/>
        </w:rPr>
        <w:t>emergency response team intervention</w:t>
      </w:r>
      <w:r w:rsidR="00D07005">
        <w:rPr>
          <w:lang w:val="en-US"/>
        </w:rPr>
        <w:t xml:space="preserve">, due to delayed operations in harsh environment, leads to </w:t>
      </w:r>
      <w:r w:rsidR="00884669">
        <w:rPr>
          <w:lang w:val="en-US"/>
        </w:rPr>
        <w:t xml:space="preserve">a </w:t>
      </w:r>
      <w:r w:rsidR="00062BF9">
        <w:rPr>
          <w:lang w:val="en-US"/>
        </w:rPr>
        <w:t xml:space="preserve">significant </w:t>
      </w:r>
      <w:r w:rsidR="006242A6">
        <w:rPr>
          <w:lang w:val="en-US"/>
        </w:rPr>
        <w:t xml:space="preserve">increase </w:t>
      </w:r>
      <w:r w:rsidR="00D07005">
        <w:rPr>
          <w:lang w:val="en-US"/>
        </w:rPr>
        <w:t>of</w:t>
      </w:r>
      <w:r w:rsidR="00E53648">
        <w:rPr>
          <w:lang w:val="en-US"/>
        </w:rPr>
        <w:t xml:space="preserve"> the escalation frequency. </w:t>
      </w:r>
      <w:r w:rsidR="00062BF9">
        <w:rPr>
          <w:lang w:val="en-US"/>
        </w:rPr>
        <w:t xml:space="preserve">The time for external intervention in harsh conditions is almost </w:t>
      </w:r>
      <w:r w:rsidR="006242A6">
        <w:rPr>
          <w:lang w:val="en-US"/>
        </w:rPr>
        <w:t xml:space="preserve">twice </w:t>
      </w:r>
      <w:r w:rsidR="00062BF9">
        <w:rPr>
          <w:lang w:val="en-US"/>
        </w:rPr>
        <w:t xml:space="preserve">the value in normal environment. This is due to the vessel speed reduction due to </w:t>
      </w:r>
      <w:r w:rsidR="006242A6">
        <w:rPr>
          <w:lang w:val="en-US"/>
        </w:rPr>
        <w:t xml:space="preserve">waves and wind </w:t>
      </w:r>
      <w:r w:rsidR="00062BF9">
        <w:rPr>
          <w:lang w:val="en-US"/>
        </w:rPr>
        <w:t xml:space="preserve">resistance and a lowered visibility due to fog and/or snow and darkness. </w:t>
      </w:r>
    </w:p>
    <w:p w14:paraId="4EF3EC9B" w14:textId="77777777" w:rsidR="00EE11AD" w:rsidRDefault="00972C0D">
      <w:pPr>
        <w:rPr>
          <w:lang w:val="en-US"/>
        </w:rPr>
      </w:pPr>
      <w:r>
        <w:rPr>
          <w:lang w:val="en-US"/>
        </w:rPr>
        <w:t xml:space="preserve">Considering </w:t>
      </w:r>
      <w:r w:rsidR="00681A8C">
        <w:rPr>
          <w:lang w:val="en-US"/>
        </w:rPr>
        <w:t xml:space="preserve">the </w:t>
      </w:r>
      <w:r>
        <w:rPr>
          <w:lang w:val="en-US"/>
        </w:rPr>
        <w:t>barrier performance criticalities within t</w:t>
      </w:r>
      <w:r w:rsidR="00E53648">
        <w:rPr>
          <w:lang w:val="en-US"/>
        </w:rPr>
        <w:t xml:space="preserve">he design of equipment and of procedures for facilities operating in extreme environments </w:t>
      </w:r>
      <w:r>
        <w:rPr>
          <w:lang w:val="en-US"/>
        </w:rPr>
        <w:t>is preferable</w:t>
      </w:r>
      <w:r w:rsidR="00681A8C">
        <w:rPr>
          <w:lang w:val="en-US"/>
        </w:rPr>
        <w:t xml:space="preserve"> to </w:t>
      </w:r>
      <w:r w:rsidR="009B0305">
        <w:rPr>
          <w:lang w:val="en-US"/>
        </w:rPr>
        <w:t xml:space="preserve">the </w:t>
      </w:r>
      <w:r w:rsidR="00681A8C">
        <w:rPr>
          <w:lang w:val="en-US"/>
        </w:rPr>
        <w:t xml:space="preserve">detailed </w:t>
      </w:r>
      <w:r w:rsidR="009B0305">
        <w:rPr>
          <w:lang w:val="en-US"/>
        </w:rPr>
        <w:t xml:space="preserve">assessment of </w:t>
      </w:r>
      <w:r w:rsidR="00681A8C">
        <w:rPr>
          <w:lang w:val="en-US"/>
        </w:rPr>
        <w:t>the risk picture</w:t>
      </w:r>
      <w:r w:rsidR="00E53648">
        <w:rPr>
          <w:lang w:val="en-US"/>
        </w:rPr>
        <w:t xml:space="preserve">. These criticalities are </w:t>
      </w:r>
      <w:r>
        <w:rPr>
          <w:lang w:val="en-US"/>
        </w:rPr>
        <w:t xml:space="preserve">considered </w:t>
      </w:r>
      <w:r w:rsidR="00E731C5">
        <w:rPr>
          <w:lang w:val="en-US"/>
        </w:rPr>
        <w:t xml:space="preserve">in the </w:t>
      </w:r>
      <w:r w:rsidR="00280AC8">
        <w:rPr>
          <w:lang w:val="en-US"/>
        </w:rPr>
        <w:t>PHM</w:t>
      </w:r>
      <w:r w:rsidR="00E731C5">
        <w:rPr>
          <w:lang w:val="en-US"/>
        </w:rPr>
        <w:t xml:space="preserve"> </w:t>
      </w:r>
      <w:r w:rsidR="00E731C5">
        <w:rPr>
          <w:lang w:val="en-US"/>
        </w:rPr>
        <w:fldChar w:fldCharType="begin" w:fldLock="1"/>
      </w:r>
      <w:r w:rsidR="00131B8A">
        <w:rPr>
          <w:lang w:val="en-US"/>
        </w:rPr>
        <w:instrText>ADDIN CSL_CITATION { "citationItems" : [ { "id" : "ITEM-1", "itemData" : { "author" : [ { "dropping-particle" : "", "family" : "Cox", "given" : "D R", "non-dropping-particle" : "", "parse-names" : false, "suffix" : "" } ], "container-title" : "Journal of the Royal Statistical Society. Series B (Methodological)", "id" : "ITEM-1", "issue" : "2", "issued" : { "date-parts" : [ [ "1972" ] ] }, "page" : "187-220", "title" : "Regression Models and Life-Tables", "type" : "article-journal", "volume" : "34" }, "uris" : [ "http://www.mendeley.com/documents/?uuid=dbbacbc5-9c14-4a4e-aa48-f364de396476", "http://www.mendeley.com/documents/?uuid=ca3167e6-57b9-4c40-9a86-a007b4ad4ce3", "http://www.mendeley.com/documents/?uuid=43962045-484d-4e9d-863c-dedb9924e865" ] } ], "mendeley" : { "formattedCitation" : "(Cox, 1972)", "plainTextFormattedCitation" : "(Cox, 1972)", "previouslyFormattedCitation" : "(Cox, 1972)" }, "properties" : {  }, "schema" : "https://github.com/citation-style-language/schema/raw/master/csl-citation.json" }</w:instrText>
      </w:r>
      <w:r w:rsidR="00E731C5">
        <w:rPr>
          <w:lang w:val="en-US"/>
        </w:rPr>
        <w:fldChar w:fldCharType="separate"/>
      </w:r>
      <w:r w:rsidR="00E731C5" w:rsidRPr="00E731C5">
        <w:rPr>
          <w:noProof/>
          <w:lang w:val="en-US"/>
        </w:rPr>
        <w:t>(Cox, 1972)</w:t>
      </w:r>
      <w:r w:rsidR="00E731C5">
        <w:rPr>
          <w:lang w:val="en-US"/>
        </w:rPr>
        <w:fldChar w:fldCharType="end"/>
      </w:r>
      <w:r w:rsidR="00E731C5">
        <w:rPr>
          <w:lang w:val="en-US"/>
        </w:rPr>
        <w:t xml:space="preserve"> and are due</w:t>
      </w:r>
      <w:r>
        <w:rPr>
          <w:lang w:val="en-US"/>
        </w:rPr>
        <w:t>,</w:t>
      </w:r>
      <w:r w:rsidR="00E731C5">
        <w:rPr>
          <w:lang w:val="en-US"/>
        </w:rPr>
        <w:t xml:space="preserve"> for instance</w:t>
      </w:r>
      <w:r>
        <w:rPr>
          <w:lang w:val="en-US"/>
        </w:rPr>
        <w:t>,</w:t>
      </w:r>
      <w:r w:rsidR="00E731C5">
        <w:rPr>
          <w:lang w:val="en-US"/>
        </w:rPr>
        <w:t xml:space="preserve"> to the poor selection </w:t>
      </w:r>
      <w:r w:rsidR="00E731C5">
        <w:rPr>
          <w:lang w:val="en-US"/>
        </w:rPr>
        <w:lastRenderedPageBreak/>
        <w:t xml:space="preserve">of equipment resistance or delayed or poor maintenance and inspection due to harsh environment conditions. </w:t>
      </w:r>
      <w:r w:rsidR="00681A8C">
        <w:rPr>
          <w:lang w:val="en-US"/>
        </w:rPr>
        <w:t>Similarly</w:t>
      </w:r>
      <w:r w:rsidR="00B806A8">
        <w:rPr>
          <w:lang w:val="en-US"/>
        </w:rPr>
        <w:t>, organizational and operational safety measure</w:t>
      </w:r>
      <w:r w:rsidR="00B23364">
        <w:rPr>
          <w:lang w:val="en-US"/>
        </w:rPr>
        <w:t>s</w:t>
      </w:r>
      <w:r w:rsidR="00B806A8">
        <w:rPr>
          <w:lang w:val="en-US"/>
        </w:rPr>
        <w:t xml:space="preserve"> are affected by adverse environmental conditions and their performance may be considerably reduced due to difficulties in completing procedures or in the deployment of needed equipment and resources. This </w:t>
      </w:r>
      <w:r>
        <w:rPr>
          <w:lang w:val="en-US"/>
        </w:rPr>
        <w:t xml:space="preserve">barrier performance </w:t>
      </w:r>
      <w:r w:rsidR="00805CFE">
        <w:rPr>
          <w:lang w:val="en-US"/>
        </w:rPr>
        <w:t xml:space="preserve">depletion </w:t>
      </w:r>
      <w:r w:rsidR="00B806A8">
        <w:rPr>
          <w:lang w:val="en-US"/>
        </w:rPr>
        <w:t xml:space="preserve">is addressed using the HES. </w:t>
      </w:r>
      <w:r w:rsidR="000C0EBA">
        <w:rPr>
          <w:lang w:val="en-US"/>
        </w:rPr>
        <w:t>In t</w:t>
      </w:r>
      <w:r w:rsidR="00EE11AD" w:rsidRPr="00564939">
        <w:rPr>
          <w:lang w:val="en-US"/>
        </w:rPr>
        <w:t xml:space="preserve">he present </w:t>
      </w:r>
      <w:r w:rsidR="00681A8C">
        <w:rPr>
          <w:lang w:val="en-US"/>
        </w:rPr>
        <w:t>study</w:t>
      </w:r>
      <w:r w:rsidR="000C0EBA">
        <w:rPr>
          <w:lang w:val="en-US"/>
        </w:rPr>
        <w:t>, different w</w:t>
      </w:r>
      <w:r w:rsidR="00EE11AD" w:rsidRPr="00564939">
        <w:rPr>
          <w:lang w:val="en-US"/>
        </w:rPr>
        <w:t>eights</w:t>
      </w:r>
      <w:r w:rsidR="000C0EBA">
        <w:rPr>
          <w:lang w:val="en-US"/>
        </w:rPr>
        <w:t xml:space="preserve"> were assigned</w:t>
      </w:r>
      <w:r w:rsidR="00EE11AD" w:rsidRPr="00564939">
        <w:rPr>
          <w:lang w:val="en-US"/>
        </w:rPr>
        <w:t xml:space="preserve"> to each factor according to the Zipf’s Law. </w:t>
      </w:r>
      <w:r w:rsidR="006F1124">
        <w:rPr>
          <w:lang w:val="en-US"/>
        </w:rPr>
        <w:t>S</w:t>
      </w:r>
      <w:r w:rsidR="00EE11AD" w:rsidRPr="00564939">
        <w:rPr>
          <w:lang w:val="en-US"/>
        </w:rPr>
        <w:t xml:space="preserve">tability of the estimated HES has been proved through a </w:t>
      </w:r>
      <w:r w:rsidR="00681A8C">
        <w:rPr>
          <w:lang w:val="en-US"/>
        </w:rPr>
        <w:t>sensitivity analysis</w:t>
      </w:r>
      <w:r w:rsidR="00EE11AD" w:rsidRPr="00564939">
        <w:rPr>
          <w:lang w:val="en-US"/>
        </w:rPr>
        <w:t xml:space="preserve"> based on Monte Carlo simulations. </w:t>
      </w:r>
      <w:r w:rsidR="00564939" w:rsidRPr="00564939">
        <w:rPr>
          <w:lang w:val="en-US"/>
        </w:rPr>
        <w:t>The weights</w:t>
      </w:r>
      <w:r w:rsidR="00564939">
        <w:rPr>
          <w:lang w:val="en-US"/>
        </w:rPr>
        <w:t xml:space="preserve"> assigned to external factors have been changed </w:t>
      </w:r>
      <w:r w:rsidR="00681A8C">
        <w:rPr>
          <w:lang w:val="en-US"/>
        </w:rPr>
        <w:t xml:space="preserve">considering an increment or decrement </w:t>
      </w:r>
      <w:r w:rsidR="00564939">
        <w:rPr>
          <w:lang w:val="en-US"/>
        </w:rPr>
        <w:t xml:space="preserve">of 70% </w:t>
      </w:r>
      <w:r w:rsidR="00681A8C">
        <w:rPr>
          <w:lang w:val="en-US"/>
        </w:rPr>
        <w:t xml:space="preserve">with </w:t>
      </w:r>
      <w:r w:rsidR="00564939">
        <w:rPr>
          <w:lang w:val="en-US"/>
        </w:rPr>
        <w:t xml:space="preserve">respect to their </w:t>
      </w:r>
      <w:r w:rsidR="00681A8C">
        <w:rPr>
          <w:lang w:val="en-US"/>
        </w:rPr>
        <w:t>reference</w:t>
      </w:r>
      <w:r w:rsidR="00564939">
        <w:rPr>
          <w:lang w:val="en-US"/>
        </w:rPr>
        <w:t xml:space="preserve"> value. </w:t>
      </w:r>
      <w:r w:rsidR="00681A8C">
        <w:rPr>
          <w:lang w:val="en-US"/>
        </w:rPr>
        <w:t>A total of</w:t>
      </w:r>
      <w:r w:rsidR="00564939">
        <w:rPr>
          <w:lang w:val="en-US"/>
        </w:rPr>
        <w:t xml:space="preserve"> 10</w:t>
      </w:r>
      <w:r w:rsidR="00564939">
        <w:rPr>
          <w:vertAlign w:val="superscript"/>
          <w:lang w:val="en-US"/>
        </w:rPr>
        <w:t>5</w:t>
      </w:r>
      <w:r w:rsidR="00681A8C">
        <w:rPr>
          <w:vertAlign w:val="superscript"/>
          <w:lang w:val="en-US"/>
        </w:rPr>
        <w:t xml:space="preserve"> </w:t>
      </w:r>
      <w:r w:rsidR="00681A8C">
        <w:rPr>
          <w:lang w:val="en-US"/>
        </w:rPr>
        <w:t>iterations were performed</w:t>
      </w:r>
      <w:r w:rsidR="00564939">
        <w:rPr>
          <w:lang w:val="en-US"/>
        </w:rPr>
        <w:t xml:space="preserve">. </w:t>
      </w:r>
      <w:r w:rsidR="00EE11AD">
        <w:rPr>
          <w:lang w:val="en-US"/>
        </w:rPr>
        <w:t xml:space="preserve">Figure </w:t>
      </w:r>
      <w:r w:rsidR="00C128E8">
        <w:rPr>
          <w:lang w:val="en-US"/>
        </w:rPr>
        <w:t>8</w:t>
      </w:r>
      <w:r w:rsidR="00EE11AD">
        <w:rPr>
          <w:lang w:val="en-US"/>
        </w:rPr>
        <w:t xml:space="preserve"> shows the results</w:t>
      </w:r>
      <w:r w:rsidR="000F7B04">
        <w:rPr>
          <w:lang w:val="en-US"/>
        </w:rPr>
        <w:t xml:space="preserve"> of the sensitivity analysis</w:t>
      </w:r>
      <w:r w:rsidR="00EE11AD">
        <w:rPr>
          <w:lang w:val="en-US"/>
        </w:rPr>
        <w:t xml:space="preserve">. </w:t>
      </w:r>
    </w:p>
    <w:p w14:paraId="7EC8E75F" w14:textId="77777777" w:rsidR="00EE11AD" w:rsidRDefault="00EE11AD" w:rsidP="009270F7">
      <w:pPr>
        <w:rPr>
          <w:lang w:val="en-US"/>
        </w:rPr>
      </w:pPr>
    </w:p>
    <w:p w14:paraId="7C612B62" w14:textId="4755BF12" w:rsidR="00EE11AD" w:rsidRDefault="007A1316" w:rsidP="00BE5004">
      <w:pPr>
        <w:jc w:val="center"/>
        <w:rPr>
          <w:lang w:val="en-US"/>
        </w:rPr>
      </w:pPr>
      <w:r w:rsidRPr="007A1316">
        <w:rPr>
          <w:noProof/>
          <w:lang w:val="nb-NO" w:eastAsia="nb-NO"/>
        </w:rPr>
        <w:drawing>
          <wp:inline distT="0" distB="0" distL="0" distR="0" wp14:anchorId="1E99F28B" wp14:editId="6167350B">
            <wp:extent cx="5578973" cy="2600077"/>
            <wp:effectExtent l="0" t="0" r="317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5546" cy="2603140"/>
                    </a:xfrm>
                    <a:prstGeom prst="rect">
                      <a:avLst/>
                    </a:prstGeom>
                    <a:noFill/>
                    <a:ln>
                      <a:noFill/>
                    </a:ln>
                  </pic:spPr>
                </pic:pic>
              </a:graphicData>
            </a:graphic>
          </wp:inline>
        </w:drawing>
      </w:r>
    </w:p>
    <w:p w14:paraId="36CA42D1" w14:textId="16A11FE0" w:rsidR="00EE11AD" w:rsidRPr="00D5000C" w:rsidRDefault="00C128E8" w:rsidP="009270F7">
      <w:pPr>
        <w:rPr>
          <w:i/>
          <w:color w:val="FF0000"/>
          <w:lang w:val="en-US"/>
        </w:rPr>
      </w:pPr>
      <w:r w:rsidRPr="00D5000C">
        <w:rPr>
          <w:i/>
          <w:color w:val="FF0000"/>
          <w:lang w:val="en-US"/>
        </w:rPr>
        <w:t>Figure 8</w:t>
      </w:r>
      <w:r w:rsidR="00EE11AD" w:rsidRPr="00D5000C">
        <w:rPr>
          <w:i/>
          <w:color w:val="FF0000"/>
          <w:lang w:val="en-US"/>
        </w:rPr>
        <w:t xml:space="preserve">. </w:t>
      </w:r>
      <w:r w:rsidR="00315710" w:rsidRPr="00D5000C">
        <w:rPr>
          <w:i/>
          <w:color w:val="FF0000"/>
          <w:lang w:val="en-US"/>
        </w:rPr>
        <w:t xml:space="preserve">Results of the sensitivity analysis </w:t>
      </w:r>
      <w:r w:rsidR="00EA423C" w:rsidRPr="00D5000C">
        <w:rPr>
          <w:i/>
          <w:color w:val="FF0000"/>
          <w:lang w:val="en-US"/>
        </w:rPr>
        <w:t xml:space="preserve">for the Harsh Environmental Score (HES) </w:t>
      </w:r>
      <w:r w:rsidR="00315710" w:rsidRPr="00D5000C">
        <w:rPr>
          <w:i/>
          <w:color w:val="FF0000"/>
          <w:lang w:val="en-US"/>
        </w:rPr>
        <w:t>based on Monte Carlo simulation</w:t>
      </w:r>
      <w:r w:rsidR="000F7B04" w:rsidRPr="00D5000C">
        <w:rPr>
          <w:i/>
          <w:color w:val="FF0000"/>
          <w:lang w:val="en-US"/>
        </w:rPr>
        <w:t>: a) box plot;</w:t>
      </w:r>
      <w:r w:rsidR="00F873DD" w:rsidRPr="00D5000C">
        <w:rPr>
          <w:i/>
          <w:color w:val="FF0000"/>
          <w:lang w:val="en-US"/>
        </w:rPr>
        <w:t xml:space="preserve"> b)</w:t>
      </w:r>
      <w:r w:rsidR="000F7B04" w:rsidRPr="00D5000C">
        <w:rPr>
          <w:i/>
          <w:color w:val="FF0000"/>
          <w:lang w:val="en-US"/>
        </w:rPr>
        <w:t xml:space="preserve"> frequency distribution diagram</w:t>
      </w:r>
      <w:r w:rsidR="002A2E19" w:rsidRPr="00D5000C">
        <w:rPr>
          <w:i/>
          <w:color w:val="FF0000"/>
          <w:lang w:val="en-US"/>
        </w:rPr>
        <w:t xml:space="preserve"> of the possible HES values obtained by modifying the weights associated with the external factors</w:t>
      </w:r>
      <w:r w:rsidR="00EA423C" w:rsidRPr="00D5000C">
        <w:rPr>
          <w:i/>
          <w:color w:val="FF0000"/>
          <w:lang w:val="en-US"/>
        </w:rPr>
        <w:t xml:space="preserve"> for the case study.</w:t>
      </w:r>
      <w:r w:rsidR="002A2E19" w:rsidRPr="00D5000C">
        <w:rPr>
          <w:i/>
          <w:color w:val="FF0000"/>
          <w:lang w:val="en-US"/>
        </w:rPr>
        <w:t xml:space="preserve"> </w:t>
      </w:r>
    </w:p>
    <w:p w14:paraId="3102EC3E" w14:textId="77777777" w:rsidR="00CC6166" w:rsidRDefault="00CC6166">
      <w:pPr>
        <w:rPr>
          <w:lang w:val="en-US"/>
        </w:rPr>
      </w:pPr>
    </w:p>
    <w:p w14:paraId="1C8D33FC" w14:textId="25485B98" w:rsidR="00564939" w:rsidRDefault="0081580B">
      <w:pPr>
        <w:rPr>
          <w:lang w:val="en-US"/>
        </w:rPr>
      </w:pPr>
      <w:r w:rsidRPr="00657B87">
        <w:rPr>
          <w:lang w:val="en-US"/>
        </w:rPr>
        <w:t>T</w:t>
      </w:r>
      <w:r w:rsidR="00564939" w:rsidRPr="00657B87">
        <w:rPr>
          <w:lang w:val="en-US"/>
        </w:rPr>
        <w:t xml:space="preserve">he HES estimated for </w:t>
      </w:r>
      <w:r w:rsidRPr="00657B87">
        <w:rPr>
          <w:lang w:val="en-US"/>
        </w:rPr>
        <w:t xml:space="preserve">this analysis </w:t>
      </w:r>
      <w:r w:rsidR="00564939" w:rsidRPr="00657B87">
        <w:rPr>
          <w:lang w:val="en-US"/>
        </w:rPr>
        <w:t xml:space="preserve">case study </w:t>
      </w:r>
      <w:r w:rsidRPr="00657B87">
        <w:rPr>
          <w:lang w:val="en-US"/>
        </w:rPr>
        <w:t xml:space="preserve">(0.81) </w:t>
      </w:r>
      <w:r w:rsidR="006333EF" w:rsidRPr="00657B87">
        <w:rPr>
          <w:lang w:val="en-US"/>
        </w:rPr>
        <w:t>falls in the expected range of the box plot</w:t>
      </w:r>
      <w:r w:rsidR="006F1124" w:rsidRPr="00657B87">
        <w:rPr>
          <w:lang w:val="en-US"/>
        </w:rPr>
        <w:t xml:space="preserve"> </w:t>
      </w:r>
      <w:r w:rsidR="000F7B04" w:rsidRPr="00657B87">
        <w:rPr>
          <w:lang w:val="en-US"/>
        </w:rPr>
        <w:t>(Figure</w:t>
      </w:r>
      <w:r w:rsidR="000F7B04">
        <w:rPr>
          <w:lang w:val="en-US"/>
        </w:rPr>
        <w:t xml:space="preserve"> 8a) </w:t>
      </w:r>
      <w:r>
        <w:rPr>
          <w:lang w:val="en-US"/>
        </w:rPr>
        <w:t xml:space="preserve">and is among </w:t>
      </w:r>
      <w:r w:rsidR="006F1124">
        <w:rPr>
          <w:lang w:val="en-US"/>
        </w:rPr>
        <w:t xml:space="preserve">the most </w:t>
      </w:r>
      <w:r w:rsidR="006F1124" w:rsidRPr="000F7B04">
        <w:rPr>
          <w:lang w:val="en-US"/>
        </w:rPr>
        <w:t xml:space="preserve">frequent </w:t>
      </w:r>
      <w:r w:rsidR="000C0EBA" w:rsidRPr="000F7B04">
        <w:rPr>
          <w:lang w:val="en-US"/>
        </w:rPr>
        <w:t>result</w:t>
      </w:r>
      <w:r w:rsidR="00657B87">
        <w:rPr>
          <w:lang w:val="en-US"/>
        </w:rPr>
        <w:t>s</w:t>
      </w:r>
      <w:r w:rsidR="006F1124" w:rsidRPr="000F7B04">
        <w:rPr>
          <w:lang w:val="en-US"/>
        </w:rPr>
        <w:t xml:space="preserve"> </w:t>
      </w:r>
      <w:r w:rsidRPr="000F7B04">
        <w:rPr>
          <w:lang w:val="en-US"/>
        </w:rPr>
        <w:t xml:space="preserve">in the count distribution </w:t>
      </w:r>
      <w:r w:rsidR="000F7B04">
        <w:rPr>
          <w:lang w:val="en-US"/>
        </w:rPr>
        <w:t>(</w:t>
      </w:r>
      <w:r w:rsidRPr="000F7B04">
        <w:rPr>
          <w:lang w:val="en-US"/>
        </w:rPr>
        <w:t>Figure 8</w:t>
      </w:r>
      <w:r w:rsidR="000F7B04">
        <w:rPr>
          <w:lang w:val="en-US"/>
        </w:rPr>
        <w:t>b)</w:t>
      </w:r>
      <w:r w:rsidR="006333EF" w:rsidRPr="000F7B04">
        <w:rPr>
          <w:lang w:val="en-US"/>
        </w:rPr>
        <w:t>.</w:t>
      </w:r>
      <w:r w:rsidR="000801BA">
        <w:rPr>
          <w:lang w:val="en-US"/>
        </w:rPr>
        <w:t xml:space="preserve"> The Zipf’s law </w:t>
      </w:r>
      <w:r w:rsidR="00681A8C">
        <w:rPr>
          <w:lang w:val="en-US"/>
        </w:rPr>
        <w:t>may thus be considered as</w:t>
      </w:r>
      <w:r w:rsidR="00C50502">
        <w:rPr>
          <w:lang w:val="en-US"/>
        </w:rPr>
        <w:t xml:space="preserve"> a suitable start</w:t>
      </w:r>
      <w:r w:rsidR="00657B87">
        <w:rPr>
          <w:lang w:val="en-US"/>
        </w:rPr>
        <w:t>ing point in defining the weigh</w:t>
      </w:r>
      <w:r w:rsidR="00C50502">
        <w:rPr>
          <w:lang w:val="en-US"/>
        </w:rPr>
        <w:t xml:space="preserve">ing system. </w:t>
      </w:r>
      <w:r w:rsidR="00CE386E">
        <w:rPr>
          <w:lang w:val="en-US"/>
        </w:rPr>
        <w:t>However, the use</w:t>
      </w:r>
      <w:r w:rsidR="00B23364">
        <w:rPr>
          <w:lang w:val="en-US"/>
        </w:rPr>
        <w:t xml:space="preserve"> of</w:t>
      </w:r>
      <w:r w:rsidR="00CE386E">
        <w:rPr>
          <w:lang w:val="en-US"/>
        </w:rPr>
        <w:t xml:space="preserve"> e</w:t>
      </w:r>
      <w:r w:rsidR="00C50502">
        <w:rPr>
          <w:lang w:val="en-US"/>
        </w:rPr>
        <w:t>xpert</w:t>
      </w:r>
      <w:r w:rsidR="00CE386E">
        <w:rPr>
          <w:lang w:val="en-US"/>
        </w:rPr>
        <w:t>s’</w:t>
      </w:r>
      <w:r w:rsidR="00C50502">
        <w:rPr>
          <w:lang w:val="en-US"/>
        </w:rPr>
        <w:t xml:space="preserve"> </w:t>
      </w:r>
      <w:r w:rsidR="00CE386E">
        <w:rPr>
          <w:lang w:val="en-US"/>
        </w:rPr>
        <w:t xml:space="preserve">elicitation </w:t>
      </w:r>
      <w:r w:rsidR="00C50502">
        <w:rPr>
          <w:lang w:val="en-US"/>
        </w:rPr>
        <w:t xml:space="preserve">may </w:t>
      </w:r>
      <w:r w:rsidR="00CE386E">
        <w:rPr>
          <w:lang w:val="en-US"/>
        </w:rPr>
        <w:t>support</w:t>
      </w:r>
      <w:r w:rsidR="00C50502">
        <w:rPr>
          <w:lang w:val="en-US"/>
        </w:rPr>
        <w:t xml:space="preserve"> more accurate and case-specific considerations </w:t>
      </w:r>
      <w:r w:rsidR="00CE386E">
        <w:rPr>
          <w:lang w:val="en-US"/>
        </w:rPr>
        <w:t xml:space="preserve">to achieve a </w:t>
      </w:r>
      <w:r w:rsidR="00C50502">
        <w:rPr>
          <w:lang w:val="en-US"/>
        </w:rPr>
        <w:t xml:space="preserve">more </w:t>
      </w:r>
      <w:r w:rsidR="00796BF5">
        <w:rPr>
          <w:lang w:val="en-US"/>
        </w:rPr>
        <w:t xml:space="preserve">specific </w:t>
      </w:r>
      <w:r w:rsidR="00A86252">
        <w:rPr>
          <w:lang w:val="en-US"/>
        </w:rPr>
        <w:t>weight assignment.</w:t>
      </w:r>
    </w:p>
    <w:p w14:paraId="700FFF12" w14:textId="77777777" w:rsidR="00203321" w:rsidRDefault="0059573E">
      <w:pPr>
        <w:rPr>
          <w:lang w:val="en-US"/>
        </w:rPr>
      </w:pPr>
      <w:r>
        <w:rPr>
          <w:lang w:val="en-US"/>
        </w:rPr>
        <w:t>T</w:t>
      </w:r>
      <w:r w:rsidR="00E731C5">
        <w:rPr>
          <w:lang w:val="en-US"/>
        </w:rPr>
        <w:t xml:space="preserve">he escalation frequency </w:t>
      </w:r>
      <w:r w:rsidR="00DF1E5E">
        <w:rPr>
          <w:lang w:val="en-US"/>
        </w:rPr>
        <w:t xml:space="preserve">obtained from the ETA analysis </w:t>
      </w:r>
      <w:r w:rsidR="00972C0D">
        <w:rPr>
          <w:lang w:val="en-US"/>
        </w:rPr>
        <w:t>(</w:t>
      </w:r>
      <w:r w:rsidR="00A86252" w:rsidRPr="00A86252">
        <w:rPr>
          <w:color w:val="FF0000"/>
          <w:lang w:val="en-US"/>
        </w:rPr>
        <w:t>Section</w:t>
      </w:r>
      <w:r w:rsidR="00DF1E5E">
        <w:rPr>
          <w:lang w:val="en-US"/>
        </w:rPr>
        <w:t xml:space="preserve"> </w:t>
      </w:r>
      <w:r w:rsidR="00A86252" w:rsidRPr="00A86252">
        <w:rPr>
          <w:color w:val="FF0000"/>
          <w:lang w:val="en-US"/>
        </w:rPr>
        <w:t>2.6</w:t>
      </w:r>
      <w:r w:rsidR="00972C0D">
        <w:rPr>
          <w:lang w:val="en-US"/>
        </w:rPr>
        <w:t>)</w:t>
      </w:r>
      <w:r w:rsidR="00873081" w:rsidRPr="00E731C5">
        <w:rPr>
          <w:lang w:val="en-US"/>
        </w:rPr>
        <w:t xml:space="preserve"> may be implemented in </w:t>
      </w:r>
      <w:r w:rsidR="00972C0D">
        <w:rPr>
          <w:lang w:val="en-US"/>
        </w:rPr>
        <w:t xml:space="preserve">the </w:t>
      </w:r>
      <w:r w:rsidR="00DF1E5E">
        <w:rPr>
          <w:lang w:val="en-US"/>
        </w:rPr>
        <w:t xml:space="preserve">quantitative </w:t>
      </w:r>
      <w:r w:rsidR="00873081" w:rsidRPr="00E731C5">
        <w:rPr>
          <w:lang w:val="en-US"/>
        </w:rPr>
        <w:t xml:space="preserve">risk assessment framework to obtain a detailed risk </w:t>
      </w:r>
      <w:r w:rsidR="00DF1E5E">
        <w:rPr>
          <w:lang w:val="en-US"/>
        </w:rPr>
        <w:t xml:space="preserve">picture </w:t>
      </w:r>
      <w:r w:rsidR="00972C0D">
        <w:rPr>
          <w:lang w:val="en-US"/>
        </w:rPr>
        <w:t>including such</w:t>
      </w:r>
      <w:r w:rsidR="00873081" w:rsidRPr="00E731C5">
        <w:rPr>
          <w:lang w:val="en-US"/>
        </w:rPr>
        <w:t xml:space="preserve"> escalation </w:t>
      </w:r>
      <w:r w:rsidR="00DF1E5E">
        <w:rPr>
          <w:lang w:val="en-US"/>
        </w:rPr>
        <w:t>scenario</w:t>
      </w:r>
      <w:r w:rsidR="00972C0D">
        <w:rPr>
          <w:lang w:val="en-US"/>
        </w:rPr>
        <w:t>s</w:t>
      </w:r>
      <w:r w:rsidR="00873081" w:rsidRPr="00E731C5">
        <w:rPr>
          <w:lang w:val="en-US"/>
        </w:rPr>
        <w:t xml:space="preserve">. </w:t>
      </w:r>
      <w:r w:rsidR="00DF1E5E">
        <w:rPr>
          <w:lang w:val="en-US"/>
        </w:rPr>
        <w:t xml:space="preserve">Most of the input data required by the proposed methodology are available from conventional QRA studies and no additional work is required from data collection. </w:t>
      </w:r>
    </w:p>
    <w:p w14:paraId="5FEC3A93" w14:textId="0BFC24BF" w:rsidR="00DE5E05" w:rsidRPr="00DE5E05" w:rsidRDefault="0049217F" w:rsidP="00DE5E05">
      <w:pPr>
        <w:rPr>
          <w:color w:val="FF0000"/>
          <w:lang w:val="en-US"/>
        </w:rPr>
      </w:pPr>
      <w:r w:rsidRPr="00CE5D50">
        <w:rPr>
          <w:color w:val="FF0000"/>
          <w:lang w:val="en-US"/>
        </w:rPr>
        <w:t xml:space="preserve">The methodology </w:t>
      </w:r>
      <w:r>
        <w:rPr>
          <w:color w:val="FF0000"/>
          <w:lang w:val="en-US"/>
        </w:rPr>
        <w:t xml:space="preserve">allows for </w:t>
      </w:r>
      <w:r w:rsidR="000F6B9E">
        <w:rPr>
          <w:color w:val="FF0000"/>
          <w:lang w:val="en-US"/>
        </w:rPr>
        <w:t xml:space="preserve">the analysis of </w:t>
      </w:r>
      <w:r>
        <w:rPr>
          <w:color w:val="FF0000"/>
          <w:lang w:val="en-US"/>
        </w:rPr>
        <w:t>safety barriers</w:t>
      </w:r>
      <w:r w:rsidR="000F6B9E">
        <w:rPr>
          <w:color w:val="FF0000"/>
          <w:lang w:val="en-US"/>
        </w:rPr>
        <w:t xml:space="preserve"> contribution to the reduction of </w:t>
      </w:r>
      <w:r>
        <w:rPr>
          <w:color w:val="FF0000"/>
          <w:lang w:val="en-US"/>
        </w:rPr>
        <w:t>fire escalation risk</w:t>
      </w:r>
      <w:r w:rsidR="000F6B9E">
        <w:rPr>
          <w:color w:val="FF0000"/>
          <w:lang w:val="en-US"/>
        </w:rPr>
        <w:t xml:space="preserve">. Despite the results obtained may be expected from a qualitative point of view, the quantification </w:t>
      </w:r>
      <w:r w:rsidR="000F6B9E">
        <w:rPr>
          <w:color w:val="FF0000"/>
          <w:lang w:val="en-US"/>
        </w:rPr>
        <w:lastRenderedPageBreak/>
        <w:t xml:space="preserve">of probability and frequency through the present </w:t>
      </w:r>
      <w:r w:rsidR="0033117C">
        <w:rPr>
          <w:color w:val="FF0000"/>
          <w:lang w:val="en-US"/>
        </w:rPr>
        <w:t>approach</w:t>
      </w:r>
      <w:r w:rsidR="000F6B9E">
        <w:rPr>
          <w:color w:val="FF0000"/>
          <w:lang w:val="en-US"/>
        </w:rPr>
        <w:t xml:space="preserve"> provides a useful support for decision-making related to the choice of protection strategies. Firstly, the method allows verifying the effect of </w:t>
      </w:r>
      <w:r w:rsidR="000F6B9E" w:rsidRPr="00CE5D50">
        <w:rPr>
          <w:color w:val="FF0000"/>
          <w:lang w:val="en-US"/>
        </w:rPr>
        <w:t>risk reduction obtained by the commonly</w:t>
      </w:r>
      <w:r w:rsidR="00DE5E05">
        <w:rPr>
          <w:color w:val="FF0000"/>
          <w:lang w:val="en-US"/>
        </w:rPr>
        <w:t xml:space="preserve"> installed protection systems adopted in offshore f</w:t>
      </w:r>
      <w:r w:rsidR="000F6B9E" w:rsidRPr="00CE5D50">
        <w:rPr>
          <w:color w:val="FF0000"/>
          <w:lang w:val="en-US"/>
        </w:rPr>
        <w:t>acilities,</w:t>
      </w:r>
      <w:r w:rsidR="00DE5E05">
        <w:rPr>
          <w:color w:val="FF0000"/>
          <w:lang w:val="en-US"/>
        </w:rPr>
        <w:t xml:space="preserve"> as</w:t>
      </w:r>
      <w:r w:rsidR="000F6B9E" w:rsidRPr="00CE5D50">
        <w:rPr>
          <w:color w:val="FF0000"/>
          <w:lang w:val="en-US"/>
        </w:rPr>
        <w:t xml:space="preserve"> suggested by technical standards and engineering practice (see </w:t>
      </w:r>
      <w:r w:rsidR="000F6B9E" w:rsidRPr="000F6B9E">
        <w:rPr>
          <w:color w:val="FF0000"/>
          <w:lang w:val="en-US"/>
        </w:rPr>
        <w:t>Section 2.2</w:t>
      </w:r>
      <w:r w:rsidR="000F6B9E" w:rsidRPr="00CE5D50">
        <w:rPr>
          <w:color w:val="FF0000"/>
          <w:lang w:val="en-US"/>
        </w:rPr>
        <w:t>).</w:t>
      </w:r>
      <w:r w:rsidR="00DE5E05">
        <w:rPr>
          <w:color w:val="FF0000"/>
          <w:lang w:val="en-US"/>
        </w:rPr>
        <w:t xml:space="preserve"> Secondarily, the methodology allows accounting for the effect of harsh meteorological conditions, thus providing a worst-case evaluation on the system response when environmental factors </w:t>
      </w:r>
      <w:r w:rsidR="000570C5">
        <w:rPr>
          <w:color w:val="FF0000"/>
          <w:lang w:val="en-US"/>
        </w:rPr>
        <w:t xml:space="preserve">may </w:t>
      </w:r>
      <w:r w:rsidR="00DE5E05">
        <w:rPr>
          <w:color w:val="FF0000"/>
          <w:lang w:val="en-US"/>
        </w:rPr>
        <w:t>play a key</w:t>
      </w:r>
      <w:r w:rsidR="00EC699D">
        <w:rPr>
          <w:color w:val="FF0000"/>
          <w:lang w:val="en-US"/>
        </w:rPr>
        <w:t>-</w:t>
      </w:r>
      <w:r w:rsidR="00DE5E05">
        <w:rPr>
          <w:color w:val="FF0000"/>
          <w:lang w:val="en-US"/>
        </w:rPr>
        <w:t>role in depleting the protection response.</w:t>
      </w:r>
      <w:r w:rsidR="002431EF">
        <w:rPr>
          <w:color w:val="FF0000"/>
          <w:lang w:val="en-US"/>
        </w:rPr>
        <w:t xml:space="preserve"> This may support site managers in prioritizing resources for maintenance, inspection, components selection, etc. for the more critical safety barriers.</w:t>
      </w:r>
      <w:r w:rsidR="000570C5">
        <w:rPr>
          <w:color w:val="FF0000"/>
          <w:lang w:val="en-US"/>
        </w:rPr>
        <w:t xml:space="preserve"> </w:t>
      </w:r>
      <w:r w:rsidR="00DE5E05">
        <w:rPr>
          <w:color w:val="FF0000"/>
          <w:lang w:val="en-US"/>
        </w:rPr>
        <w:t xml:space="preserve">Thirdly, the </w:t>
      </w:r>
      <w:r w:rsidR="000570C5">
        <w:rPr>
          <w:color w:val="FF0000"/>
          <w:lang w:val="en-US"/>
        </w:rPr>
        <w:t xml:space="preserve">effect of emergency response on the risk picture of an offshore installation may be </w:t>
      </w:r>
      <w:r w:rsidR="00D936B4">
        <w:rPr>
          <w:color w:val="FF0000"/>
          <w:lang w:val="en-US"/>
        </w:rPr>
        <w:t>verified</w:t>
      </w:r>
      <w:r w:rsidR="000570C5">
        <w:rPr>
          <w:color w:val="FF0000"/>
          <w:lang w:val="en-US"/>
        </w:rPr>
        <w:t xml:space="preserve"> through </w:t>
      </w:r>
      <w:r w:rsidR="00D936B4">
        <w:rPr>
          <w:color w:val="FF0000"/>
          <w:lang w:val="en-US"/>
        </w:rPr>
        <w:t>the present approach and, eventually, optimal response strategies may be derived to reduce the credibility of escalation scenarios.</w:t>
      </w:r>
    </w:p>
    <w:p w14:paraId="4D41380E" w14:textId="3CA8205B" w:rsidR="005701A4" w:rsidRDefault="0011140A">
      <w:pPr>
        <w:rPr>
          <w:lang w:val="en-US"/>
        </w:rPr>
      </w:pPr>
      <w:r w:rsidRPr="000D14A2">
        <w:rPr>
          <w:lang w:val="en-US"/>
        </w:rPr>
        <w:t xml:space="preserve">It is worth reminding that </w:t>
      </w:r>
      <w:r>
        <w:rPr>
          <w:lang w:val="en-US"/>
        </w:rPr>
        <w:t xml:space="preserve">the present approach is aimed at estimating domino frequency values associated </w:t>
      </w:r>
      <w:r w:rsidR="00D92CA7" w:rsidRPr="00D92CA7">
        <w:rPr>
          <w:color w:val="FF0000"/>
          <w:lang w:val="en-US"/>
        </w:rPr>
        <w:t>with</w:t>
      </w:r>
      <w:r w:rsidRPr="000D14A2">
        <w:rPr>
          <w:lang w:val="en-US"/>
        </w:rPr>
        <w:t xml:space="preserve"> each single piece of equipment</w:t>
      </w:r>
      <w:r>
        <w:rPr>
          <w:lang w:val="en-US"/>
        </w:rPr>
        <w:t>, despite the</w:t>
      </w:r>
      <w:r w:rsidR="00B23364">
        <w:rPr>
          <w:lang w:val="en-US"/>
        </w:rPr>
        <w:t xml:space="preserve"> fact that</w:t>
      </w:r>
      <w:r>
        <w:rPr>
          <w:lang w:val="en-US"/>
        </w:rPr>
        <w:t xml:space="preserve"> characterization of harsh environmental conditions and associated score affects </w:t>
      </w:r>
      <w:r w:rsidRPr="000D14A2">
        <w:rPr>
          <w:lang w:val="en-US"/>
        </w:rPr>
        <w:t>the facility as a whole</w:t>
      </w:r>
      <w:r>
        <w:rPr>
          <w:lang w:val="en-US"/>
        </w:rPr>
        <w:t>.</w:t>
      </w:r>
      <w:r w:rsidRPr="000D14A2">
        <w:rPr>
          <w:lang w:val="en-US"/>
        </w:rPr>
        <w:t xml:space="preserve"> </w:t>
      </w:r>
      <w:r>
        <w:rPr>
          <w:lang w:val="en-US"/>
        </w:rPr>
        <w:t>Thus,</w:t>
      </w:r>
      <w:r w:rsidRPr="000D14A2">
        <w:rPr>
          <w:lang w:val="en-US"/>
        </w:rPr>
        <w:t xml:space="preserve"> the analysis may be </w:t>
      </w:r>
      <w:r w:rsidR="0055691A" w:rsidRPr="000D14A2">
        <w:rPr>
          <w:lang w:val="en-US"/>
        </w:rPr>
        <w:t>costly,</w:t>
      </w:r>
      <w:r w:rsidRPr="000D14A2">
        <w:rPr>
          <w:lang w:val="en-US"/>
        </w:rPr>
        <w:t xml:space="preserve"> and it is recommended to screen among p</w:t>
      </w:r>
      <w:r w:rsidR="00E030DE">
        <w:rPr>
          <w:lang w:val="en-US"/>
        </w:rPr>
        <w:t xml:space="preserve">rocess units </w:t>
      </w:r>
      <w:r w:rsidR="00E030DE" w:rsidRPr="00B07118">
        <w:rPr>
          <w:lang w:val="en-US"/>
        </w:rPr>
        <w:t xml:space="preserve">in order to apply the method only </w:t>
      </w:r>
      <w:r w:rsidR="00681A8C">
        <w:rPr>
          <w:lang w:val="en-US"/>
        </w:rPr>
        <w:t>to</w:t>
      </w:r>
      <w:r w:rsidRPr="000D14A2">
        <w:rPr>
          <w:lang w:val="en-US"/>
        </w:rPr>
        <w:t xml:space="preserve"> the most critical items</w:t>
      </w:r>
      <w:r w:rsidR="00E20D28" w:rsidRPr="00B07118">
        <w:rPr>
          <w:lang w:val="en-US"/>
        </w:rPr>
        <w:t>. Inherent safety based approaches such as the</w:t>
      </w:r>
      <w:r w:rsidR="00E20D28" w:rsidRPr="000D14A2">
        <w:rPr>
          <w:lang w:val="en-US"/>
        </w:rPr>
        <w:t xml:space="preserve"> Domino Chain Actual Hazard Index technique developed by </w:t>
      </w:r>
      <w:r w:rsidR="00E20D28" w:rsidRPr="000D14A2">
        <w:rPr>
          <w:lang w:val="en-US"/>
        </w:rPr>
        <w:fldChar w:fldCharType="begin" w:fldLock="1"/>
      </w:r>
      <w:r w:rsidR="00131B8A">
        <w:rPr>
          <w:lang w:val="en-US"/>
        </w:rPr>
        <w:instrText>ADDIN CSL_CITATION { "citationItems" : [ { "id" : "ITEM-1", "itemData" : { "author" : [ { "dropping-particle" : "", "family" : "Cozzani", "given" : "Valerio", "non-dropping-particle" : "", "parse-names" : false, "suffix" : "" }, { "dropping-particle" : "", "family" : "Tugnoli", "given" : "Alessandro", "non-dropping-particle" : "", "parse-names" : false, "suffix" : "" }, { "dropping-particle" : "", "family" : "Salzano", "given" : "Ernesto", "non-dropping-particle" : "", "parse-names" : false, "suffix" : "" } ], "container-title" : "Accident Analysis and Prevention", "id" : "ITEM-1", "issued" : { "date-parts" : [ [ "2009" ] ] }, "page" : "1216-27", "title" : "The development of an inherent safety approach to the prevention of domino accidents", "type" : "article-journal", "volume" : "41" }, "uris" : [ "http://www.mendeley.com/documents/?uuid=17b18522-3aff-4b25-9f86-59d186068137" ] } ], "mendeley" : { "formattedCitation" : "(Cozzani et al., 2009)", "manualFormatting" : "Cozzani et al. (2009)", "plainTextFormattedCitation" : "(Cozzani et al., 2009)", "previouslyFormattedCitation" : "(Cozzani et al., 2009)" }, "properties" : {  }, "schema" : "https://github.com/citation-style-language/schema/raw/master/csl-citation.json" }</w:instrText>
      </w:r>
      <w:r w:rsidR="00E20D28" w:rsidRPr="000D14A2">
        <w:rPr>
          <w:lang w:val="en-US"/>
        </w:rPr>
        <w:fldChar w:fldCharType="separate"/>
      </w:r>
      <w:r w:rsidR="00E20D28" w:rsidRPr="000D14A2">
        <w:rPr>
          <w:noProof/>
          <w:lang w:val="en-US"/>
        </w:rPr>
        <w:t>Cozzani et al. (2009)</w:t>
      </w:r>
      <w:r w:rsidR="00E20D28" w:rsidRPr="000D14A2">
        <w:rPr>
          <w:lang w:val="en-US"/>
        </w:rPr>
        <w:fldChar w:fldCharType="end"/>
      </w:r>
      <w:r w:rsidR="00E20D28" w:rsidRPr="00B07118">
        <w:rPr>
          <w:lang w:val="en-US"/>
        </w:rPr>
        <w:t xml:space="preserve"> </w:t>
      </w:r>
      <w:r w:rsidR="00E030DE" w:rsidRPr="00B07118">
        <w:rPr>
          <w:lang w:val="en-US"/>
        </w:rPr>
        <w:t xml:space="preserve">may be applied </w:t>
      </w:r>
      <w:r w:rsidR="00681A8C">
        <w:rPr>
          <w:lang w:val="en-US"/>
        </w:rPr>
        <w:t>to provide</w:t>
      </w:r>
      <w:r w:rsidR="0063537D">
        <w:rPr>
          <w:lang w:val="en-US"/>
        </w:rPr>
        <w:t xml:space="preserve"> </w:t>
      </w:r>
      <w:r w:rsidR="00E030DE" w:rsidRPr="00B07118">
        <w:rPr>
          <w:lang w:val="en-US"/>
        </w:rPr>
        <w:t>a</w:t>
      </w:r>
      <w:r w:rsidR="003018AA" w:rsidRPr="00B07118">
        <w:rPr>
          <w:lang w:val="en-US"/>
        </w:rPr>
        <w:t xml:space="preserve"> preliminary screening of</w:t>
      </w:r>
      <w:r w:rsidR="0094680A" w:rsidRPr="00B07118">
        <w:rPr>
          <w:lang w:val="en-US"/>
        </w:rPr>
        <w:t xml:space="preserve"> the target equipment</w:t>
      </w:r>
      <w:r w:rsidR="003018AA" w:rsidRPr="00B07118">
        <w:rPr>
          <w:lang w:val="en-US"/>
        </w:rPr>
        <w:t xml:space="preserve">, resulting in a </w:t>
      </w:r>
      <w:r w:rsidR="00E030DE" w:rsidRPr="00B07118">
        <w:rPr>
          <w:lang w:val="en-US"/>
        </w:rPr>
        <w:t>simpl</w:t>
      </w:r>
      <w:r w:rsidR="00E030DE" w:rsidRPr="000D14A2">
        <w:rPr>
          <w:lang w:val="en-US"/>
        </w:rPr>
        <w:t>er</w:t>
      </w:r>
      <w:r w:rsidR="00E030DE" w:rsidRPr="00B07118">
        <w:rPr>
          <w:lang w:val="en-US"/>
        </w:rPr>
        <w:t xml:space="preserve"> </w:t>
      </w:r>
      <w:r w:rsidR="003018AA" w:rsidRPr="00B07118">
        <w:rPr>
          <w:lang w:val="en-US"/>
        </w:rPr>
        <w:t>approach demanding for limited resources.</w:t>
      </w:r>
      <w:r w:rsidR="003018AA">
        <w:rPr>
          <w:lang w:val="en-US"/>
        </w:rPr>
        <w:t xml:space="preserve"> </w:t>
      </w:r>
    </w:p>
    <w:p w14:paraId="3D22E2C3" w14:textId="6D18EF6C" w:rsidR="00C237E9" w:rsidRDefault="00C237E9">
      <w:pPr>
        <w:rPr>
          <w:lang w:val="en-US"/>
        </w:rPr>
      </w:pPr>
      <w:r>
        <w:rPr>
          <w:lang w:val="en-US"/>
        </w:rPr>
        <w:t>However, r</w:t>
      </w:r>
      <w:r w:rsidR="00DC3219">
        <w:rPr>
          <w:lang w:val="en-US"/>
        </w:rPr>
        <w:t xml:space="preserve">elevant uncertainty may affect the </w:t>
      </w:r>
      <w:r w:rsidR="009A192B">
        <w:rPr>
          <w:lang w:val="en-US"/>
        </w:rPr>
        <w:t>results</w:t>
      </w:r>
      <w:r>
        <w:rPr>
          <w:lang w:val="en-US"/>
        </w:rPr>
        <w:t xml:space="preserve">. </w:t>
      </w:r>
      <w:r w:rsidR="004B38B2">
        <w:rPr>
          <w:lang w:val="en-US"/>
        </w:rPr>
        <w:t>The estimation of the stand-by safety vessel time of intervention is a critical poi</w:t>
      </w:r>
      <w:r w:rsidR="00B806A8">
        <w:rPr>
          <w:lang w:val="en-US"/>
        </w:rPr>
        <w:t>nt in the methodology.</w:t>
      </w:r>
      <w:r w:rsidR="004B38B2">
        <w:rPr>
          <w:lang w:val="en-US"/>
        </w:rPr>
        <w:t xml:space="preserve"> </w:t>
      </w:r>
      <w:r w:rsidR="00C743AB">
        <w:rPr>
          <w:lang w:val="en-US"/>
        </w:rPr>
        <w:t>The parameter</w:t>
      </w:r>
      <w:r>
        <w:rPr>
          <w:lang w:val="en-US"/>
        </w:rPr>
        <w:t>s</w:t>
      </w:r>
      <w:r w:rsidR="00C743AB">
        <w:rPr>
          <w:lang w:val="en-US"/>
        </w:rPr>
        <w:t xml:space="preserve"> of the method </w:t>
      </w:r>
      <w:r w:rsidR="00F02453">
        <w:rPr>
          <w:lang w:val="en-US"/>
        </w:rPr>
        <w:t>should</w:t>
      </w:r>
      <w:r w:rsidR="00C743AB">
        <w:rPr>
          <w:lang w:val="en-US"/>
        </w:rPr>
        <w:t xml:space="preserve"> be tailored accounting </w:t>
      </w:r>
      <w:r w:rsidR="00F02453">
        <w:rPr>
          <w:lang w:val="en-US"/>
        </w:rPr>
        <w:t xml:space="preserve">for </w:t>
      </w:r>
      <w:r w:rsidR="00C743AB">
        <w:rPr>
          <w:lang w:val="en-US"/>
        </w:rPr>
        <w:t>site-specific data and details about the mana</w:t>
      </w:r>
      <w:r>
        <w:rPr>
          <w:lang w:val="en-US"/>
        </w:rPr>
        <w:t xml:space="preserve">gement of emergency procedures for each facility considered. </w:t>
      </w:r>
      <w:r w:rsidR="004B38B2">
        <w:rPr>
          <w:lang w:val="en-US"/>
        </w:rPr>
        <w:t xml:space="preserve">Nevertheless, the site-specificity of the methodology is implicit in </w:t>
      </w:r>
      <w:r w:rsidR="00B806A8">
        <w:rPr>
          <w:lang w:val="en-US"/>
        </w:rPr>
        <w:t>the</w:t>
      </w:r>
      <w:r w:rsidR="004B38B2">
        <w:rPr>
          <w:lang w:val="en-US"/>
        </w:rPr>
        <w:t xml:space="preserve"> development</w:t>
      </w:r>
      <w:r w:rsidR="00B806A8">
        <w:rPr>
          <w:lang w:val="en-US"/>
        </w:rPr>
        <w:t xml:space="preserve"> and estimation of HES</w:t>
      </w:r>
      <w:r w:rsidR="004B38B2">
        <w:rPr>
          <w:lang w:val="en-US"/>
        </w:rPr>
        <w:t xml:space="preserve">. </w:t>
      </w:r>
      <w:r>
        <w:rPr>
          <w:lang w:val="en-US"/>
        </w:rPr>
        <w:t>Moreover, the methodology address</w:t>
      </w:r>
      <w:r w:rsidR="009F2F0C">
        <w:rPr>
          <w:lang w:val="en-US"/>
        </w:rPr>
        <w:t>es</w:t>
      </w:r>
      <w:r>
        <w:rPr>
          <w:lang w:val="en-US"/>
        </w:rPr>
        <w:t xml:space="preserve"> human factor and hardware det</w:t>
      </w:r>
      <w:r w:rsidR="002251E7">
        <w:rPr>
          <w:lang w:val="en-US"/>
        </w:rPr>
        <w:t>erioration phenomena</w:t>
      </w:r>
      <w:r w:rsidR="0063537D">
        <w:rPr>
          <w:lang w:val="en-US"/>
        </w:rPr>
        <w:t xml:space="preserve"> straightforwardly</w:t>
      </w:r>
      <w:r w:rsidR="009F2F0C">
        <w:rPr>
          <w:lang w:val="en-US"/>
        </w:rPr>
        <w:t>,</w:t>
      </w:r>
      <w:r w:rsidR="002251E7">
        <w:rPr>
          <w:lang w:val="en-US"/>
        </w:rPr>
        <w:t xml:space="preserve"> although </w:t>
      </w:r>
      <w:r w:rsidR="00982916">
        <w:rPr>
          <w:lang w:val="en-US"/>
        </w:rPr>
        <w:t xml:space="preserve">they are </w:t>
      </w:r>
      <w:r w:rsidR="009F2F0C">
        <w:rPr>
          <w:lang w:val="en-US"/>
        </w:rPr>
        <w:t xml:space="preserve">relatively </w:t>
      </w:r>
      <w:r w:rsidR="00982916">
        <w:rPr>
          <w:lang w:val="en-US"/>
        </w:rPr>
        <w:t xml:space="preserve">complex and challenging tasks. </w:t>
      </w:r>
      <w:r w:rsidR="0063537D">
        <w:rPr>
          <w:lang w:val="en-US"/>
        </w:rPr>
        <w:t>The</w:t>
      </w:r>
      <w:r w:rsidR="00982916">
        <w:rPr>
          <w:lang w:val="en-US"/>
        </w:rPr>
        <w:t xml:space="preserve"> method provide</w:t>
      </w:r>
      <w:r w:rsidR="009F2F0C">
        <w:rPr>
          <w:lang w:val="en-US"/>
        </w:rPr>
        <w:t>s</w:t>
      </w:r>
      <w:r w:rsidR="0063537D">
        <w:rPr>
          <w:lang w:val="en-US"/>
        </w:rPr>
        <w:t xml:space="preserve"> thus</w:t>
      </w:r>
      <w:r w:rsidR="00982916">
        <w:rPr>
          <w:lang w:val="en-US"/>
        </w:rPr>
        <w:t xml:space="preserve"> a preliminary assessment of domino escalation </w:t>
      </w:r>
      <w:r w:rsidR="00BB55B6">
        <w:rPr>
          <w:lang w:val="en-US"/>
        </w:rPr>
        <w:t>probability and frequency</w:t>
      </w:r>
      <w:r w:rsidR="00982916">
        <w:rPr>
          <w:lang w:val="en-US"/>
        </w:rPr>
        <w:t xml:space="preserve">. </w:t>
      </w:r>
    </w:p>
    <w:p w14:paraId="7E62313F" w14:textId="77777777" w:rsidR="00021A7B" w:rsidRDefault="00021A7B" w:rsidP="009270F7">
      <w:pPr>
        <w:pStyle w:val="Heading1"/>
        <w:rPr>
          <w:lang w:val="en-US"/>
        </w:rPr>
      </w:pPr>
      <w:r>
        <w:rPr>
          <w:lang w:val="en-US"/>
        </w:rPr>
        <w:t>6. Conclusion</w:t>
      </w:r>
    </w:p>
    <w:p w14:paraId="180838FF" w14:textId="77777777" w:rsidR="0053757A" w:rsidRDefault="009D71DD">
      <w:r>
        <w:t>The present study</w:t>
      </w:r>
      <w:r w:rsidR="0053757A">
        <w:t xml:space="preserve"> </w:t>
      </w:r>
      <w:r w:rsidR="00A21CE1">
        <w:t>was</w:t>
      </w:r>
      <w:r>
        <w:t xml:space="preserve"> aimed at developing a systematic approach for </w:t>
      </w:r>
      <w:r w:rsidR="008C1326">
        <w:t xml:space="preserve">the quantitative assessment of </w:t>
      </w:r>
      <w:r w:rsidR="0053757A">
        <w:t>cascading events affecting offshore O&amp;G installations</w:t>
      </w:r>
      <w:r w:rsidR="008C1326">
        <w:t>. The influence of</w:t>
      </w:r>
      <w:r w:rsidR="00B15EFC">
        <w:t xml:space="preserve"> harsh environment on barrier performance </w:t>
      </w:r>
      <w:r w:rsidR="00A21CE1">
        <w:t>was</w:t>
      </w:r>
      <w:r w:rsidR="00B15EFC">
        <w:t xml:space="preserve"> </w:t>
      </w:r>
      <w:r w:rsidR="009F2F0C">
        <w:t xml:space="preserve">considered </w:t>
      </w:r>
      <w:r w:rsidR="00D02A3C">
        <w:t xml:space="preserve">through the implementation of dedicated scoring systems for external meteorological, climate and behavioural factors based on expert judgment. </w:t>
      </w:r>
      <w:r w:rsidR="0053757A">
        <w:t xml:space="preserve">A specific assessment of emergency response times and </w:t>
      </w:r>
      <w:r w:rsidR="0053757A" w:rsidRPr="009270F7">
        <w:t>intervention</w:t>
      </w:r>
      <w:r w:rsidR="0053757A">
        <w:t xml:space="preserve"> allow</w:t>
      </w:r>
      <w:r w:rsidR="00A21CE1">
        <w:t>ed</w:t>
      </w:r>
      <w:r w:rsidR="0053757A">
        <w:t xml:space="preserve"> obtaining an accurate evaluation </w:t>
      </w:r>
      <w:r w:rsidR="00E66CE8">
        <w:t xml:space="preserve">of </w:t>
      </w:r>
      <w:r w:rsidR="00F02453">
        <w:t>firefighting</w:t>
      </w:r>
      <w:r w:rsidR="00E66CE8">
        <w:t xml:space="preserve"> procedures and intervention in offshore remote location and their effect on risk. </w:t>
      </w:r>
    </w:p>
    <w:p w14:paraId="0E7F52E6" w14:textId="77777777" w:rsidR="000714C3" w:rsidRDefault="00B15EFC">
      <w:r>
        <w:t xml:space="preserve">The modified </w:t>
      </w:r>
      <w:r w:rsidR="0053757A">
        <w:t>performance parameters of safety b</w:t>
      </w:r>
      <w:r w:rsidR="00A21CE1">
        <w:t>arriers</w:t>
      </w:r>
      <w:r w:rsidR="0053757A">
        <w:t xml:space="preserve"> </w:t>
      </w:r>
      <w:r>
        <w:t xml:space="preserve">allow a more detailed frequency assessment of escalation scenarios. </w:t>
      </w:r>
      <w:r w:rsidR="000714C3">
        <w:t xml:space="preserve">The outcome of the methodology may drive the design of hardware safety barriers in order to limit the likelihood of </w:t>
      </w:r>
      <w:r w:rsidR="00A418F8">
        <w:t>cascading events trigged by fire</w:t>
      </w:r>
      <w:r w:rsidR="000714C3">
        <w:t xml:space="preserve">. The analysis also highlights the need </w:t>
      </w:r>
      <w:r w:rsidR="00811A9D">
        <w:lastRenderedPageBreak/>
        <w:t xml:space="preserve">for </w:t>
      </w:r>
      <w:r w:rsidR="00A21CE1">
        <w:t xml:space="preserve">a </w:t>
      </w:r>
      <w:r w:rsidR="000714C3">
        <w:t xml:space="preserve">timely effective emergency response in order to </w:t>
      </w:r>
      <w:r w:rsidR="009F2F0C">
        <w:t xml:space="preserve">decrease </w:t>
      </w:r>
      <w:r w:rsidR="0053757A">
        <w:t>the risk profile of</w:t>
      </w:r>
      <w:r w:rsidR="000714C3">
        <w:t xml:space="preserve"> offshore facilities. Harsh conditions considerably affect the emergency respons</w:t>
      </w:r>
      <w:r w:rsidR="00757B90">
        <w:t xml:space="preserve">e </w:t>
      </w:r>
      <w:r w:rsidR="00BB7504">
        <w:t>time,</w:t>
      </w:r>
      <w:r w:rsidR="00757B90">
        <w:t xml:space="preserve"> and this results in lower safety level with respect to asset </w:t>
      </w:r>
      <w:r w:rsidR="00A21CE1">
        <w:t>protection</w:t>
      </w:r>
      <w:r w:rsidR="00757B90">
        <w:t xml:space="preserve">. </w:t>
      </w:r>
    </w:p>
    <w:p w14:paraId="459C073D" w14:textId="77777777" w:rsidR="00A418F8" w:rsidRPr="00B15EFC" w:rsidRDefault="00A418F8"/>
    <w:p w14:paraId="0DCE8628" w14:textId="77777777" w:rsidR="00A76DBA" w:rsidRPr="00C80F9D" w:rsidRDefault="00A76DBA" w:rsidP="009270F7">
      <w:pPr>
        <w:pStyle w:val="Heading1"/>
        <w:rPr>
          <w:lang w:val="it-IT"/>
        </w:rPr>
      </w:pPr>
      <w:r w:rsidRPr="00C80F9D">
        <w:rPr>
          <w:lang w:val="it-IT"/>
        </w:rPr>
        <w:t xml:space="preserve">References </w:t>
      </w:r>
    </w:p>
    <w:p w14:paraId="46FD5B96" w14:textId="77777777" w:rsidR="00662BBA" w:rsidRPr="000D14A2" w:rsidRDefault="00662BBA" w:rsidP="00662BBA">
      <w:pPr>
        <w:ind w:left="284" w:hanging="284"/>
      </w:pPr>
      <w:r w:rsidRPr="00C80F9D">
        <w:rPr>
          <w:lang w:val="it-IT"/>
        </w:rPr>
        <w:t xml:space="preserve">Abdolhamidzadeh, B., Abbasi, T., Rashtchian, D., Abbasi, S.A., 2010. </w:t>
      </w:r>
      <w:r w:rsidRPr="000D14A2">
        <w:t>A new method for assessing domino effect in chemical process industry. J. Hazard. Mater. 182, 416–426.</w:t>
      </w:r>
    </w:p>
    <w:p w14:paraId="00AF6608" w14:textId="77777777" w:rsidR="00662BBA" w:rsidRPr="000D14A2" w:rsidRDefault="00662BBA" w:rsidP="00662BBA">
      <w:pPr>
        <w:ind w:left="284" w:hanging="284"/>
      </w:pPr>
      <w:r w:rsidRPr="000D14A2">
        <w:t>American Petroleum Institute</w:t>
      </w:r>
      <w:r w:rsidR="00216EB9" w:rsidRPr="00A67C63">
        <w:t xml:space="preserve"> (API)</w:t>
      </w:r>
      <w:r w:rsidRPr="000D14A2">
        <w:t>, 2007a. API RP 14C - Recommended practice for analysis, design, installation and testing of basic surface safety systems for offshore production platforms.</w:t>
      </w:r>
    </w:p>
    <w:p w14:paraId="63EA00E5" w14:textId="77777777" w:rsidR="00662BBA" w:rsidRPr="000D14A2" w:rsidRDefault="00662BBA" w:rsidP="00662BBA">
      <w:pPr>
        <w:ind w:left="284" w:hanging="284"/>
      </w:pPr>
      <w:r w:rsidRPr="000D14A2">
        <w:t>American Petroleum Institute</w:t>
      </w:r>
      <w:r w:rsidR="00216EB9" w:rsidRPr="00A67C63">
        <w:t xml:space="preserve"> (API)</w:t>
      </w:r>
      <w:r w:rsidRPr="000D14A2">
        <w:t>, 2007b. API RP 14G - Recommended practice for fire prevention and control of fixed open-type offshore production platforms.</w:t>
      </w:r>
    </w:p>
    <w:p w14:paraId="23312FAE" w14:textId="77777777" w:rsidR="00662BBA" w:rsidRPr="000D14A2" w:rsidRDefault="00662BBA" w:rsidP="00662BBA">
      <w:pPr>
        <w:ind w:left="284" w:hanging="284"/>
      </w:pPr>
      <w:r w:rsidRPr="000D14A2">
        <w:t>American Petroleum Institute</w:t>
      </w:r>
      <w:r w:rsidR="00216EB9">
        <w:t xml:space="preserve"> </w:t>
      </w:r>
      <w:r w:rsidR="00216EB9" w:rsidRPr="00A67C63">
        <w:t>(API)</w:t>
      </w:r>
      <w:r w:rsidRPr="000D14A2">
        <w:t>, 2000. API Publication 581. Risk-based inspection base resource document.</w:t>
      </w:r>
    </w:p>
    <w:p w14:paraId="30FEE706" w14:textId="77777777" w:rsidR="00662BBA" w:rsidRPr="000D14A2" w:rsidRDefault="00662BBA" w:rsidP="00662BBA">
      <w:pPr>
        <w:ind w:left="284" w:hanging="284"/>
      </w:pPr>
      <w:r w:rsidRPr="000D14A2">
        <w:t>American Petroleum Institute (API), 1999. Fireproofing Practices in Petroleum and Petrochemical processing plants, API Publication 2218, 2nd ed. American Petroleum Institute, Washington, D.C.</w:t>
      </w:r>
    </w:p>
    <w:p w14:paraId="3DF1AF97" w14:textId="519EF6F5" w:rsidR="00662BBA" w:rsidRPr="000D14A2" w:rsidRDefault="00662BBA" w:rsidP="00662BBA">
      <w:pPr>
        <w:ind w:left="284" w:hanging="284"/>
      </w:pPr>
      <w:r w:rsidRPr="000145BD">
        <w:rPr>
          <w:lang w:val="nb-NO"/>
        </w:rPr>
        <w:t xml:space="preserve">Bagster, D.F., Pitblado, R., 1991. </w:t>
      </w:r>
      <w:r w:rsidRPr="000D14A2">
        <w:t xml:space="preserve">The Estimation of Domino Incident Frequencies — An Approach. Process Saf. Environ. Prot. </w:t>
      </w:r>
      <w:r w:rsidR="0084187E" w:rsidRPr="00210F4A">
        <w:rPr>
          <w:color w:val="FF0000"/>
        </w:rPr>
        <w:t>69(4)</w:t>
      </w:r>
      <w:r w:rsidR="00F15EC0">
        <w:rPr>
          <w:color w:val="FF0000"/>
        </w:rPr>
        <w:t xml:space="preserve">, </w:t>
      </w:r>
      <w:r w:rsidR="0084187E" w:rsidRPr="0084187E">
        <w:t>195</w:t>
      </w:r>
      <w:r w:rsidR="00BD2DDA" w:rsidRPr="000D14A2">
        <w:t>–</w:t>
      </w:r>
      <w:r w:rsidRPr="000D14A2">
        <w:t>199.</w:t>
      </w:r>
    </w:p>
    <w:p w14:paraId="7BEA0899" w14:textId="77777777" w:rsidR="00662BBA" w:rsidRPr="000D14A2" w:rsidRDefault="00662BBA" w:rsidP="00662BBA">
      <w:pPr>
        <w:ind w:left="284" w:hanging="284"/>
      </w:pPr>
      <w:r w:rsidRPr="000D14A2">
        <w:t>Bercha, F., 2006. Arctic Escape, Evacuation and Rescue, in: Proceedings of the Seventh International Conference and Exhibition on Performance of Ships and Structures. NAME Annual Meeting &amp; Expo. Alexandia, VA, USA, pp. 1–9.</w:t>
      </w:r>
    </w:p>
    <w:p w14:paraId="5C58C021" w14:textId="77777777" w:rsidR="00662BBA" w:rsidRPr="000D14A2" w:rsidRDefault="00662BBA" w:rsidP="00662BBA">
      <w:pPr>
        <w:ind w:left="284" w:hanging="284"/>
      </w:pPr>
      <w:r w:rsidRPr="000D14A2">
        <w:t>Bercha, F., Brooks, C., Leafloor, F., 2003. Human performance in arctic offshore escape, evacuation and rescue, in: Proceedings of the Thirteenth International Offshore and Polar Engineering Conference, Honolulu, Hawaii, USA. International Society of Offshore and Polar Engineers (ISOPE), Cupertino, Ca, USA, pp. 2755–2762.</w:t>
      </w:r>
    </w:p>
    <w:p w14:paraId="53CF9737" w14:textId="6E1094D6" w:rsidR="00662BBA" w:rsidRPr="000D14A2" w:rsidRDefault="00662BBA" w:rsidP="00662BBA">
      <w:pPr>
        <w:ind w:left="284" w:hanging="284"/>
      </w:pPr>
      <w:r w:rsidRPr="000D14A2">
        <w:t>Birk, A.M., 2006. Fire testing and computer modelling of rail tank-cars engulfed in fires: literature review</w:t>
      </w:r>
      <w:r w:rsidRPr="00210F4A">
        <w:rPr>
          <w:color w:val="FF0000"/>
        </w:rPr>
        <w:t>.</w:t>
      </w:r>
      <w:r w:rsidR="00210F4A" w:rsidRPr="00210F4A">
        <w:rPr>
          <w:color w:val="FF0000"/>
        </w:rPr>
        <w:t xml:space="preserve"> (TP 14561E)</w:t>
      </w:r>
      <w:r w:rsidRPr="000D14A2">
        <w:t xml:space="preserve"> Ottawa, Canada.</w:t>
      </w:r>
    </w:p>
    <w:p w14:paraId="5DE90207" w14:textId="77777777" w:rsidR="00662BBA" w:rsidRPr="000D14A2" w:rsidRDefault="00662BBA" w:rsidP="00662BBA">
      <w:pPr>
        <w:ind w:left="284" w:hanging="284"/>
      </w:pPr>
      <w:r w:rsidRPr="000D14A2">
        <w:t>Birk, A.M., Cunningham, M.H., 1994. The boiling liquid expanding vapour explosion. J. Loss Prev. Process Ind. 7, 474–480.</w:t>
      </w:r>
    </w:p>
    <w:p w14:paraId="4EFFB9B5" w14:textId="77777777" w:rsidR="00662BBA" w:rsidRPr="000D14A2" w:rsidRDefault="00662BBA" w:rsidP="00662BBA">
      <w:pPr>
        <w:ind w:left="284" w:hanging="284"/>
      </w:pPr>
      <w:r w:rsidRPr="000D14A2">
        <w:t>BP, 2010. Deepwater Horizon Accident Investigation Report, Internal BP Report.</w:t>
      </w:r>
    </w:p>
    <w:p w14:paraId="43843590" w14:textId="77777777" w:rsidR="00662BBA" w:rsidRPr="000D14A2" w:rsidRDefault="00662BBA" w:rsidP="00662BBA">
      <w:pPr>
        <w:ind w:left="284" w:hanging="284"/>
      </w:pPr>
      <w:r w:rsidRPr="000D14A2">
        <w:t>CCPS - Center of Chemical Process Safety, 2000. Guidelines for chemical process quantitative risk analysis. American Institute of Chemical Engineers - Center of Chemical Process Safety, New York.</w:t>
      </w:r>
    </w:p>
    <w:p w14:paraId="4207A2DD" w14:textId="77777777" w:rsidR="00662BBA" w:rsidRPr="00662BBA" w:rsidRDefault="00662BBA" w:rsidP="00662BBA">
      <w:pPr>
        <w:ind w:left="284" w:hanging="284"/>
        <w:rPr>
          <w:lang w:val="it-IT"/>
        </w:rPr>
      </w:pPr>
      <w:r w:rsidRPr="000D14A2">
        <w:t xml:space="preserve">Cox, D.R., 1972. Regression Models and Life-Tables. </w:t>
      </w:r>
      <w:r w:rsidRPr="000145BD">
        <w:rPr>
          <w:lang w:val="nb-NO"/>
        </w:rPr>
        <w:t xml:space="preserve">J. R. Stat. Soc. Ser. </w:t>
      </w:r>
      <w:r w:rsidRPr="00662BBA">
        <w:rPr>
          <w:lang w:val="it-IT"/>
        </w:rPr>
        <w:t>B 34, 187–220.</w:t>
      </w:r>
    </w:p>
    <w:p w14:paraId="39FFD20D" w14:textId="77777777" w:rsidR="00662BBA" w:rsidRPr="000D14A2" w:rsidRDefault="00662BBA" w:rsidP="00662BBA">
      <w:pPr>
        <w:ind w:left="284" w:hanging="284"/>
      </w:pPr>
      <w:r w:rsidRPr="00662BBA">
        <w:rPr>
          <w:lang w:val="it-IT"/>
        </w:rPr>
        <w:t xml:space="preserve">Cozzani, V., Gubinelli, G., Antonioni, G., Spadoni, G., Zanelli, S., 2005. </w:t>
      </w:r>
      <w:r w:rsidRPr="000D14A2">
        <w:t xml:space="preserve">The assessment of risk caused by domino effect in quantitative area risk analysis. J. Hazard. Mater. 127, 14–30. </w:t>
      </w:r>
    </w:p>
    <w:p w14:paraId="262A076E" w14:textId="5BB7036B" w:rsidR="00662BBA" w:rsidRPr="00CD6280" w:rsidRDefault="00662BBA" w:rsidP="00662BBA">
      <w:pPr>
        <w:ind w:left="284" w:hanging="284"/>
        <w:rPr>
          <w:lang w:val="en-US"/>
        </w:rPr>
      </w:pPr>
      <w:r w:rsidRPr="000D14A2">
        <w:lastRenderedPageBreak/>
        <w:t xml:space="preserve">Cozzani, V., Reniers, G., 2013. Historical Background and State of the Art on Domino Effect Assessment, in: </w:t>
      </w:r>
      <w:r w:rsidR="00F15EC0" w:rsidRPr="000D14A2">
        <w:t>Reniers, G.,</w:t>
      </w:r>
      <w:r w:rsidR="00F15EC0">
        <w:t xml:space="preserve"> Cozzani, V.</w:t>
      </w:r>
      <w:r w:rsidR="00F15EC0" w:rsidRPr="000D14A2">
        <w:t xml:space="preserve"> </w:t>
      </w:r>
      <w:r w:rsidRPr="000D14A2">
        <w:t xml:space="preserve">(Eds.), Domino Effects in the Process Industries: Modelling, Prevention and Managing. </w:t>
      </w:r>
      <w:r w:rsidRPr="00CD6280">
        <w:rPr>
          <w:lang w:val="en-US"/>
        </w:rPr>
        <w:t>Elsevier, Amsterdam, The Netherlands, pp. 1–10.</w:t>
      </w:r>
    </w:p>
    <w:p w14:paraId="356BBE1C" w14:textId="689030FC" w:rsidR="00662BBA" w:rsidRPr="00F15EC0" w:rsidRDefault="00662BBA" w:rsidP="00662BBA">
      <w:pPr>
        <w:ind w:left="284" w:hanging="284"/>
      </w:pPr>
      <w:r w:rsidRPr="00CD6280">
        <w:rPr>
          <w:lang w:val="en-US"/>
        </w:rPr>
        <w:t xml:space="preserve">Cozzani, V., Tugnoli, A., Bonvicini, S., Salzano, E., 2013. </w:t>
      </w:r>
      <w:r w:rsidRPr="000D14A2">
        <w:t xml:space="preserve">Threshold </w:t>
      </w:r>
      <w:r w:rsidR="00F15EC0">
        <w:t>B</w:t>
      </w:r>
      <w:r w:rsidRPr="000D14A2">
        <w:t xml:space="preserve">ased </w:t>
      </w:r>
      <w:r w:rsidR="00F15EC0">
        <w:t>A</w:t>
      </w:r>
      <w:r w:rsidRPr="000D14A2">
        <w:t xml:space="preserve">pproach, </w:t>
      </w:r>
      <w:r w:rsidR="00F15EC0" w:rsidRPr="000D14A2">
        <w:t>in: Reniers, G.,</w:t>
      </w:r>
      <w:r w:rsidR="00F15EC0">
        <w:t xml:space="preserve"> Cozzani, V.</w:t>
      </w:r>
      <w:r w:rsidR="00F15EC0" w:rsidRPr="000D14A2">
        <w:t xml:space="preserve"> (Eds.), Domino Effects in the Process Industries: Modelling, Prevention and Managing. </w:t>
      </w:r>
      <w:r w:rsidR="00F15EC0" w:rsidRPr="00F15EC0">
        <w:t>Elsevier, Amsterdam, The Netherlands</w:t>
      </w:r>
      <w:r w:rsidRPr="00F15EC0">
        <w:t>, pp. 189–207.</w:t>
      </w:r>
    </w:p>
    <w:p w14:paraId="01690607" w14:textId="77777777" w:rsidR="00662BBA" w:rsidRPr="000D14A2" w:rsidRDefault="00662BBA" w:rsidP="00662BBA">
      <w:pPr>
        <w:ind w:left="284" w:hanging="284"/>
      </w:pPr>
      <w:r w:rsidRPr="00266446">
        <w:t xml:space="preserve">Cozzani, V., Tugnoli, A., Salzano, E., 2009. </w:t>
      </w:r>
      <w:r w:rsidRPr="000D14A2">
        <w:t>The development of an inherent safety approach to the prevention of domino accidents. Accid. Anal. Prev. 41, 1216–1227.</w:t>
      </w:r>
    </w:p>
    <w:p w14:paraId="05E0386C" w14:textId="45AFFB9E" w:rsidR="00862570" w:rsidRPr="00AF3DDC" w:rsidRDefault="00862570" w:rsidP="00862570">
      <w:pPr>
        <w:ind w:left="284" w:hanging="284"/>
        <w:rPr>
          <w:color w:val="FF0000"/>
        </w:rPr>
      </w:pPr>
      <w:r w:rsidRPr="00AF3DDC">
        <w:rPr>
          <w:color w:val="FF0000"/>
          <w:lang w:val="nl-NL"/>
        </w:rPr>
        <w:t xml:space="preserve">Dianous, V. de, Fiévez, C., 2006. </w:t>
      </w:r>
      <w:r w:rsidRPr="00AF3DDC">
        <w:rPr>
          <w:color w:val="FF0000"/>
        </w:rPr>
        <w:t>ARAMIS project: A more explicit demonstration of risk control through the use of bow–tie diagrams and the evaluation of safety barrier performance, J. Hazard. Mater. 130(3), 220-233,</w:t>
      </w:r>
    </w:p>
    <w:p w14:paraId="16DAB9BA" w14:textId="77777777" w:rsidR="00662BBA" w:rsidRPr="000D14A2" w:rsidRDefault="00662BBA" w:rsidP="00662BBA">
      <w:pPr>
        <w:ind w:left="284" w:hanging="284"/>
      </w:pPr>
      <w:r w:rsidRPr="000D14A2">
        <w:t>DOA - Department of Army, 1982. FM 6-16-2 Tables for Artillery Meteorology (Visual) Ballistic Type 3 and Computer Messages and Limited Surface Observations. Washington DC.</w:t>
      </w:r>
    </w:p>
    <w:p w14:paraId="6013D8B7" w14:textId="77777777" w:rsidR="00662BBA" w:rsidRPr="000145BD" w:rsidRDefault="00662BBA" w:rsidP="00662BBA">
      <w:pPr>
        <w:ind w:left="284" w:hanging="284"/>
        <w:rPr>
          <w:lang w:val="nb-NO"/>
        </w:rPr>
      </w:pPr>
      <w:r w:rsidRPr="000D14A2">
        <w:t xml:space="preserve">Embrey, D.E., 1986. SLIM-MAUD: a computer based technique for human reliability assessment. </w:t>
      </w:r>
      <w:r w:rsidRPr="00FC4D7C">
        <w:t xml:space="preserve">Int. J. Qual. Reliab. </w:t>
      </w:r>
      <w:r w:rsidRPr="000145BD">
        <w:rPr>
          <w:lang w:val="nb-NO"/>
        </w:rPr>
        <w:t>Manag. 3, 15–12.</w:t>
      </w:r>
    </w:p>
    <w:p w14:paraId="746DD941" w14:textId="77777777" w:rsidR="00662BBA" w:rsidRPr="000145BD" w:rsidRDefault="00662BBA" w:rsidP="00662BBA">
      <w:pPr>
        <w:ind w:left="284" w:hanging="284"/>
        <w:rPr>
          <w:lang w:val="nb-NO"/>
        </w:rPr>
      </w:pPr>
      <w:r w:rsidRPr="000145BD">
        <w:rPr>
          <w:lang w:val="nb-NO"/>
        </w:rPr>
        <w:t>Eni Norge, 2016. Goliat - Eni Norge [WWW Document].</w:t>
      </w:r>
    </w:p>
    <w:p w14:paraId="35348302" w14:textId="77777777" w:rsidR="00662BBA" w:rsidRPr="000145BD" w:rsidRDefault="00662BBA" w:rsidP="00662BBA">
      <w:pPr>
        <w:ind w:left="284" w:hanging="284"/>
        <w:rPr>
          <w:lang w:val="en-US"/>
        </w:rPr>
      </w:pPr>
      <w:r w:rsidRPr="00461E00">
        <w:rPr>
          <w:lang w:val="nb-NO"/>
        </w:rPr>
        <w:t xml:space="preserve">Eni Norge, 2015. </w:t>
      </w:r>
      <w:r w:rsidRPr="000145BD">
        <w:rPr>
          <w:lang w:val="en-US"/>
        </w:rPr>
        <w:t>Goliat Blend [WWW Document].</w:t>
      </w:r>
    </w:p>
    <w:p w14:paraId="3A92A8E3" w14:textId="76D549A8" w:rsidR="00706204" w:rsidRPr="00461E00" w:rsidRDefault="00706204" w:rsidP="00706204">
      <w:pPr>
        <w:ind w:left="284" w:hanging="284"/>
      </w:pPr>
      <w:r w:rsidRPr="000145BD">
        <w:rPr>
          <w:lang w:val="en-US"/>
        </w:rPr>
        <w:t xml:space="preserve">Flynn, J. D., 2009. </w:t>
      </w:r>
      <w:r w:rsidRPr="00461E00">
        <w:t xml:space="preserve">Fire service performance measures. </w:t>
      </w:r>
      <w:r w:rsidR="00461E00" w:rsidRPr="00461E00">
        <w:rPr>
          <w:color w:val="FF0000"/>
        </w:rPr>
        <w:t>National Fire Protection Association</w:t>
      </w:r>
      <w:r w:rsidR="00461E00" w:rsidRPr="00461E00">
        <w:t xml:space="preserve">, </w:t>
      </w:r>
      <w:r w:rsidRPr="00461E00">
        <w:t>Quincy (MA).</w:t>
      </w:r>
    </w:p>
    <w:p w14:paraId="2765D90B" w14:textId="05174025" w:rsidR="00662BBA" w:rsidRPr="000D14A2" w:rsidRDefault="00662BBA" w:rsidP="00662BBA">
      <w:pPr>
        <w:ind w:left="284" w:hanging="284"/>
      </w:pPr>
      <w:r w:rsidRPr="00D07B00">
        <w:t xml:space="preserve">Fu, S., Zhang, D., Montewka, J., Zio, E., Yan, X., 2017. </w:t>
      </w:r>
      <w:r w:rsidRPr="000D14A2">
        <w:t>A quantitative approach for risk assessment of a ship stuck in ice in Arctic waters. Saf. Sci.</w:t>
      </w:r>
      <w:r w:rsidR="006C650D">
        <w:t>, in press,</w:t>
      </w:r>
      <w:r w:rsidRPr="000D14A2">
        <w:t xml:space="preserve"> doi:10.1016/j.ssci.2017.07.001</w:t>
      </w:r>
    </w:p>
    <w:p w14:paraId="094446E7" w14:textId="77777777" w:rsidR="00662BBA" w:rsidRPr="000D14A2" w:rsidRDefault="00662BBA" w:rsidP="00662BBA">
      <w:pPr>
        <w:ind w:left="284" w:hanging="284"/>
      </w:pPr>
      <w:r w:rsidRPr="000D14A2">
        <w:t>Gao, X., Barabady, J., Markeset, T., 2010. An approach for prediction of petroleum production facility performance considering Arctic influence factors. Reliab. Eng. Syst. Saf. 95, 837–846.</w:t>
      </w:r>
    </w:p>
    <w:p w14:paraId="1B60BF79" w14:textId="70B0DDD7" w:rsidR="00662BBA" w:rsidRPr="00AA0853" w:rsidRDefault="00662BBA" w:rsidP="00662BBA">
      <w:pPr>
        <w:ind w:left="284" w:hanging="284"/>
        <w:rPr>
          <w:color w:val="FF0000"/>
        </w:rPr>
      </w:pPr>
      <w:r w:rsidRPr="000D14A2">
        <w:t>Gledhill, J., Lines, I., 1998. Development of methods to assess the significance of domino effects from major hazards sites</w:t>
      </w:r>
      <w:r w:rsidR="003E680D">
        <w:t>.</w:t>
      </w:r>
      <w:r w:rsidR="00F044C4">
        <w:t xml:space="preserve"> </w:t>
      </w:r>
      <w:r w:rsidR="00F044C4" w:rsidRPr="00AA0853">
        <w:rPr>
          <w:color w:val="FF0000"/>
        </w:rPr>
        <w:t>Report 183/1998.</w:t>
      </w:r>
      <w:r w:rsidR="003E680D" w:rsidRPr="00AA0853">
        <w:rPr>
          <w:color w:val="FF0000"/>
        </w:rPr>
        <w:t xml:space="preserve"> Health and Safety Executive, London (UK)</w:t>
      </w:r>
      <w:r w:rsidRPr="00AA0853">
        <w:rPr>
          <w:color w:val="FF0000"/>
        </w:rPr>
        <w:t>.</w:t>
      </w:r>
    </w:p>
    <w:p w14:paraId="699E373B" w14:textId="77777777" w:rsidR="00662BBA" w:rsidRPr="00EA2761" w:rsidRDefault="00662BBA" w:rsidP="00662BBA">
      <w:pPr>
        <w:ind w:left="284" w:hanging="284"/>
      </w:pPr>
      <w:r w:rsidRPr="00EA2761">
        <w:t>Hammerfest Kommune, 2017. www.hammerfest.kommune.no [WWW Document].</w:t>
      </w:r>
    </w:p>
    <w:p w14:paraId="75B9CE10" w14:textId="77777777" w:rsidR="00662BBA" w:rsidRPr="000D14A2" w:rsidRDefault="00662BBA" w:rsidP="00662BBA">
      <w:pPr>
        <w:ind w:left="284" w:hanging="284"/>
      </w:pPr>
      <w:r w:rsidRPr="000D14A2">
        <w:t>Hankinson, G., Lowesmith, B.J., 2004. Effectiveness of area and dedicated water deluge in protecting objects impacted by crude oil/gas jet fires on offshore installations. J. Loss Prev. Process Ind. 17, 119–125.</w:t>
      </w:r>
    </w:p>
    <w:p w14:paraId="742330C6" w14:textId="11DAA4E5" w:rsidR="00662BBA" w:rsidRPr="000D14A2" w:rsidRDefault="00662BBA" w:rsidP="00662BBA">
      <w:pPr>
        <w:ind w:left="284" w:hanging="284"/>
      </w:pPr>
      <w:r w:rsidRPr="000D14A2">
        <w:t xml:space="preserve">HSE Health and Safety Executive, 1992. Generic foundation data to be used in the assessment of blast and fire scenarios and typical structural details for primary, secondary and supporting structures components </w:t>
      </w:r>
      <w:r w:rsidR="00AA0853">
        <w:t>–</w:t>
      </w:r>
      <w:r w:rsidRPr="000D14A2">
        <w:t xml:space="preserve"> </w:t>
      </w:r>
      <w:r w:rsidR="00AA0853" w:rsidRPr="00AA0853">
        <w:rPr>
          <w:color w:val="FF0000"/>
        </w:rPr>
        <w:t xml:space="preserve">Report </w:t>
      </w:r>
      <w:r w:rsidRPr="000D14A2">
        <w:t xml:space="preserve">OTI92585. </w:t>
      </w:r>
      <w:r w:rsidR="00AA0853" w:rsidRPr="00AA0853">
        <w:rPr>
          <w:color w:val="FF0000"/>
        </w:rPr>
        <w:t xml:space="preserve">HSE Health and Safety Executive, </w:t>
      </w:r>
      <w:r w:rsidRPr="00AA0853">
        <w:rPr>
          <w:color w:val="FF0000"/>
        </w:rPr>
        <w:t>London</w:t>
      </w:r>
      <w:r w:rsidR="00AA0853" w:rsidRPr="00AA0853">
        <w:rPr>
          <w:color w:val="FF0000"/>
        </w:rPr>
        <w:t xml:space="preserve"> (UK)</w:t>
      </w:r>
      <w:r w:rsidRPr="00AA0853">
        <w:rPr>
          <w:color w:val="FF0000"/>
        </w:rPr>
        <w:t>.</w:t>
      </w:r>
    </w:p>
    <w:p w14:paraId="05130A9A" w14:textId="58BF527F" w:rsidR="00662BBA" w:rsidRPr="000D14A2" w:rsidRDefault="00662BBA" w:rsidP="00662BBA">
      <w:pPr>
        <w:ind w:left="284" w:hanging="284"/>
      </w:pPr>
      <w:r w:rsidRPr="000D14A2">
        <w:t xml:space="preserve">IACS - International Association of Classification Societies, 1978. IACS M28 - Tropical ambient reference conditions. </w:t>
      </w:r>
      <w:r w:rsidR="00AA0853" w:rsidRPr="00AA0853">
        <w:rPr>
          <w:color w:val="FF0000"/>
        </w:rPr>
        <w:t xml:space="preserve">IACS, </w:t>
      </w:r>
      <w:r w:rsidRPr="000D14A2">
        <w:t>London, UK.</w:t>
      </w:r>
    </w:p>
    <w:p w14:paraId="468A745C" w14:textId="6894AADE" w:rsidR="00662BBA" w:rsidRPr="000D14A2" w:rsidRDefault="00662BBA" w:rsidP="00662BBA">
      <w:pPr>
        <w:ind w:left="284" w:hanging="284"/>
      </w:pPr>
      <w:r w:rsidRPr="000D14A2">
        <w:t>IEA - International Energy Agency, 201</w:t>
      </w:r>
      <w:r w:rsidR="00AA0853" w:rsidRPr="00AA0853">
        <w:rPr>
          <w:color w:val="FF0000"/>
        </w:rPr>
        <w:t>7</w:t>
      </w:r>
      <w:r w:rsidRPr="000D14A2">
        <w:t>. Key world energy statistics.</w:t>
      </w:r>
      <w:r w:rsidR="00AA0853">
        <w:t xml:space="preserve"> Available online at </w:t>
      </w:r>
      <w:hyperlink r:id="rId21" w:history="1">
        <w:r w:rsidR="00AA0853" w:rsidRPr="00CE4343">
          <w:rPr>
            <w:rStyle w:val="Hyperlink"/>
          </w:rPr>
          <w:t>https://www.iea.org/publications/freepublications/publication/KeyWorld2017.pdf</w:t>
        </w:r>
      </w:hyperlink>
      <w:r w:rsidR="00AA0853">
        <w:t xml:space="preserve"> (last accessed  February 16</w:t>
      </w:r>
      <w:r w:rsidR="00AA0853" w:rsidRPr="00AA0853">
        <w:rPr>
          <w:vertAlign w:val="superscript"/>
        </w:rPr>
        <w:t>th</w:t>
      </w:r>
      <w:r w:rsidR="00AA0853">
        <w:t>, 2018).</w:t>
      </w:r>
    </w:p>
    <w:p w14:paraId="489ED306" w14:textId="4C2E681D" w:rsidR="00662BBA" w:rsidRPr="000D14A2" w:rsidRDefault="00662BBA" w:rsidP="00662BBA">
      <w:pPr>
        <w:ind w:left="284" w:hanging="284"/>
      </w:pPr>
      <w:r w:rsidRPr="000D14A2">
        <w:lastRenderedPageBreak/>
        <w:t>ISO-International standardization organization, 2010. ISO 19906:2010 Petroleum and natural gas industries - Arctic and offshore structures.</w:t>
      </w:r>
      <w:r w:rsidR="00943A1A">
        <w:t xml:space="preserve"> ISO, Geneva (CH).</w:t>
      </w:r>
    </w:p>
    <w:p w14:paraId="2DD81CEA" w14:textId="77777777" w:rsidR="00AA7C54" w:rsidRPr="000D14A2" w:rsidRDefault="00662BBA" w:rsidP="00AA7C54">
      <w:pPr>
        <w:ind w:left="284" w:hanging="284"/>
      </w:pPr>
      <w:r w:rsidRPr="000D14A2">
        <w:t>ISO-International standardization organization, 1999. ISO 13702:1999 - Petroleum and natural gas industries - Control and mitigation of fires and explosions on offshore production installations - Requirements and guidelines.</w:t>
      </w:r>
      <w:r w:rsidR="00B730BC">
        <w:t xml:space="preserve"> </w:t>
      </w:r>
      <w:r w:rsidR="00AA7C54">
        <w:t>ISO, Geneva (CH).</w:t>
      </w:r>
    </w:p>
    <w:p w14:paraId="2EC76851" w14:textId="4DF32EE3" w:rsidR="00662BBA" w:rsidRPr="000D14A2" w:rsidRDefault="00662BBA" w:rsidP="00662BBA">
      <w:pPr>
        <w:ind w:left="284" w:hanging="284"/>
      </w:pPr>
      <w:r w:rsidRPr="00DF642A">
        <w:t xml:space="preserve">Kalbfleisch, J.D., Prentice, R.L., 2002. </w:t>
      </w:r>
      <w:r w:rsidRPr="000D14A2">
        <w:t xml:space="preserve">The statistical analysis of failure time data, </w:t>
      </w:r>
      <w:r w:rsidR="00DF642A">
        <w:t>2nd</w:t>
      </w:r>
      <w:r w:rsidRPr="000D14A2">
        <w:t xml:space="preserve"> ed. John Wiley &amp; Sons</w:t>
      </w:r>
      <w:r w:rsidR="00DF642A">
        <w:t xml:space="preserve">, </w:t>
      </w:r>
      <w:r w:rsidR="00DF642A" w:rsidRPr="00DF642A">
        <w:t>Hoboken, New Jersey</w:t>
      </w:r>
      <w:r w:rsidRPr="000D14A2">
        <w:t>. doi:10.1002/9781118032985</w:t>
      </w:r>
    </w:p>
    <w:p w14:paraId="32F9A7BF" w14:textId="77777777" w:rsidR="00662BBA" w:rsidRPr="000D14A2" w:rsidRDefault="00662BBA" w:rsidP="00662BBA">
      <w:pPr>
        <w:ind w:left="284" w:hanging="284"/>
      </w:pPr>
      <w:r w:rsidRPr="000D14A2">
        <w:t>Khakzad, N., Khan, F., Amyotte, P., Cozzani, V., 2013. Domino Effect Analysis Using Bayesian Networks. Risk Anal. 33, 292–306.</w:t>
      </w:r>
    </w:p>
    <w:p w14:paraId="2EA50655" w14:textId="77777777" w:rsidR="00662BBA" w:rsidRPr="000D14A2" w:rsidRDefault="00662BBA" w:rsidP="00662BBA">
      <w:pPr>
        <w:ind w:left="284" w:hanging="284"/>
      </w:pPr>
      <w:r w:rsidRPr="000D14A2">
        <w:t>Khakzad, N., Landucci, G., Reniers, G., 2017. Application of dynamic Bayesian network to performance assessment of fire protection systems during domino effects. Reliab. Eng. Syst. Saf. 167, 232–247.</w:t>
      </w:r>
    </w:p>
    <w:p w14:paraId="0BF0AA59" w14:textId="77777777" w:rsidR="00662BBA" w:rsidRPr="000D14A2" w:rsidRDefault="00662BBA" w:rsidP="00662BBA">
      <w:pPr>
        <w:ind w:left="284" w:hanging="284"/>
      </w:pPr>
      <w:r w:rsidRPr="000D14A2">
        <w:t>Khakzad, N., Reniers, G., 2015. Using graph theory to analyze the vulnerability of process plants in the context of cascading effects. Reliab. Eng. Syst. Saf. 143, 63–73.</w:t>
      </w:r>
    </w:p>
    <w:p w14:paraId="2AC3C60A" w14:textId="77777777" w:rsidR="00662BBA" w:rsidRPr="000D14A2" w:rsidRDefault="00662BBA" w:rsidP="00662BBA">
      <w:pPr>
        <w:ind w:left="284" w:hanging="284"/>
      </w:pPr>
      <w:r w:rsidRPr="000D14A2">
        <w:t>Khan, F., Ahmed, S., Yang, M., Hashemi, S.J., Caines, S., Rathnayaka, S., Oldford, D., 2015. Safety challenges in harsh environments: Lessons learned. Process Saf. Prog. 34, 191–195.</w:t>
      </w:r>
    </w:p>
    <w:p w14:paraId="33913FD5" w14:textId="77777777" w:rsidR="00662BBA" w:rsidRPr="000D14A2" w:rsidRDefault="00662BBA" w:rsidP="00662BBA">
      <w:pPr>
        <w:ind w:left="284" w:hanging="284"/>
      </w:pPr>
      <w:r w:rsidRPr="000D14A2">
        <w:t>Kim, J.W., W. Jung, 2003. A taxonomy of performance influencing factors for human reliability analysis of emergency tasks. J. Loss Prev. Process Ind. 16, 479–495.</w:t>
      </w:r>
    </w:p>
    <w:p w14:paraId="664A8BD1" w14:textId="77777777" w:rsidR="00662BBA" w:rsidRPr="00BA3352" w:rsidRDefault="00662BBA" w:rsidP="00662BBA">
      <w:pPr>
        <w:ind w:left="284" w:hanging="284"/>
        <w:rPr>
          <w:lang w:val="it-IT"/>
        </w:rPr>
      </w:pPr>
      <w:r w:rsidRPr="000D14A2">
        <w:t xml:space="preserve">Kunkel, K.E., Palecki, M.A., Hubbard, K.G., Robinson, D.A., Redmont, K.T., Easterling, D.R., 2007. Trend identification in twentieth-century U.S. snowfall: the challenges. </w:t>
      </w:r>
      <w:r w:rsidRPr="00BA3352">
        <w:rPr>
          <w:lang w:val="it-IT"/>
        </w:rPr>
        <w:t>J. Atmos. Ocean. Technol. 24, 64–73.</w:t>
      </w:r>
    </w:p>
    <w:p w14:paraId="54E2CF07" w14:textId="1BA99DFB" w:rsidR="00662BBA" w:rsidRPr="006751F9" w:rsidRDefault="00662BBA" w:rsidP="00662BBA">
      <w:pPr>
        <w:ind w:left="284" w:hanging="284"/>
        <w:rPr>
          <w:color w:val="FF0000"/>
          <w:lang w:val="it-IT"/>
        </w:rPr>
      </w:pPr>
      <w:r w:rsidRPr="00BA3352">
        <w:rPr>
          <w:lang w:val="it-IT"/>
        </w:rPr>
        <w:t>Landsberg, H., Pinna, M., 1978. L’atmosfera e il clima</w:t>
      </w:r>
      <w:r w:rsidR="00706204" w:rsidRPr="00BA3352">
        <w:rPr>
          <w:lang w:val="it-IT"/>
        </w:rPr>
        <w:t xml:space="preserve"> (in Italian)</w:t>
      </w:r>
      <w:r w:rsidRPr="00BA3352">
        <w:rPr>
          <w:lang w:val="it-IT"/>
        </w:rPr>
        <w:t xml:space="preserve">. </w:t>
      </w:r>
      <w:r w:rsidR="007013C2" w:rsidRPr="006751F9">
        <w:rPr>
          <w:color w:val="FF0000"/>
          <w:lang w:val="it-IT"/>
        </w:rPr>
        <w:t xml:space="preserve">UTET, </w:t>
      </w:r>
      <w:r w:rsidRPr="006751F9">
        <w:rPr>
          <w:color w:val="FF0000"/>
          <w:lang w:val="it-IT"/>
        </w:rPr>
        <w:t>Torino</w:t>
      </w:r>
      <w:r w:rsidR="007013C2" w:rsidRPr="006751F9">
        <w:rPr>
          <w:color w:val="FF0000"/>
          <w:lang w:val="it-IT"/>
        </w:rPr>
        <w:t xml:space="preserve"> (I)</w:t>
      </w:r>
      <w:r w:rsidRPr="006751F9">
        <w:rPr>
          <w:color w:val="FF0000"/>
          <w:lang w:val="it-IT"/>
        </w:rPr>
        <w:t>.</w:t>
      </w:r>
    </w:p>
    <w:p w14:paraId="1C2D3449" w14:textId="77777777" w:rsidR="00662BBA" w:rsidRPr="00BA3352" w:rsidRDefault="00662BBA" w:rsidP="00662BBA">
      <w:pPr>
        <w:ind w:left="284" w:hanging="284"/>
        <w:rPr>
          <w:lang w:val="it-IT"/>
        </w:rPr>
      </w:pPr>
      <w:r w:rsidRPr="00BA3352">
        <w:rPr>
          <w:lang w:val="it-IT"/>
        </w:rPr>
        <w:t xml:space="preserve">Landucci, G., Argenti, F., Spadoni, G., Cozzani, V., 2016. </w:t>
      </w:r>
      <w:r w:rsidRPr="000D14A2">
        <w:t xml:space="preserve">Domino effect frequency assessment: the role of safety barriers. </w:t>
      </w:r>
      <w:r w:rsidRPr="00BA3352">
        <w:rPr>
          <w:lang w:val="it-IT"/>
        </w:rPr>
        <w:t>J. Loss Prev. Process Ind. 44, 706–717.</w:t>
      </w:r>
    </w:p>
    <w:p w14:paraId="0D3B87D9" w14:textId="77777777" w:rsidR="00662BBA" w:rsidRPr="00CD6280" w:rsidRDefault="00662BBA" w:rsidP="00662BBA">
      <w:pPr>
        <w:ind w:left="284" w:hanging="284"/>
        <w:rPr>
          <w:lang w:val="en-US"/>
        </w:rPr>
      </w:pPr>
      <w:r w:rsidRPr="00BA3352">
        <w:rPr>
          <w:lang w:val="it-IT"/>
        </w:rPr>
        <w:t xml:space="preserve">Landucci, G., Argenti, F., Tugnoli, A., Cozzani, V., 2015. </w:t>
      </w:r>
      <w:r w:rsidRPr="000D14A2">
        <w:t xml:space="preserve">Quantitative assessment of safety barrier performance in the prevention of domino scenarios triggered by fire. </w:t>
      </w:r>
      <w:r w:rsidRPr="00CD6280">
        <w:rPr>
          <w:lang w:val="en-US"/>
        </w:rPr>
        <w:t>Reliab. Eng. Syst. Saf. 143, 30–43.</w:t>
      </w:r>
    </w:p>
    <w:p w14:paraId="3FD75391" w14:textId="77777777" w:rsidR="00662BBA" w:rsidRPr="009C4F54" w:rsidRDefault="00662BBA" w:rsidP="00662BBA">
      <w:pPr>
        <w:ind w:left="284" w:hanging="284"/>
        <w:rPr>
          <w:lang w:val="it-IT"/>
        </w:rPr>
      </w:pPr>
      <w:r w:rsidRPr="00CD6280">
        <w:rPr>
          <w:lang w:val="en-US"/>
        </w:rPr>
        <w:t xml:space="preserve">Landucci, G., Bonvicini, S., Cozzani, V., 2017. </w:t>
      </w:r>
      <w:r w:rsidRPr="000D14A2">
        <w:t xml:space="preserve">A methodology for the analysis of domino and cascading events in Oil &amp; Gas facilities operating in harsh environments. </w:t>
      </w:r>
      <w:r w:rsidRPr="009C4F54">
        <w:rPr>
          <w:lang w:val="it-IT"/>
        </w:rPr>
        <w:t>Saf. Sci. 95, 182–197.</w:t>
      </w:r>
    </w:p>
    <w:p w14:paraId="1F2A7B2D" w14:textId="0A61512F" w:rsidR="00662BBA" w:rsidRPr="000D14A2" w:rsidRDefault="00662BBA" w:rsidP="00662BBA">
      <w:pPr>
        <w:ind w:left="284" w:hanging="284"/>
      </w:pPr>
      <w:r w:rsidRPr="000D42C9">
        <w:rPr>
          <w:lang w:val="it-IT"/>
        </w:rPr>
        <w:t xml:space="preserve">Landucci, G., Gubinelli, G., Antonioni, G., Cozzani, V., 2009. </w:t>
      </w:r>
      <w:r w:rsidRPr="000D14A2">
        <w:t>The assessment of the damage probability of storage tanks in domino events triggered by fire</w:t>
      </w:r>
      <w:r w:rsidR="000C6FA7">
        <w:t>,</w:t>
      </w:r>
      <w:r w:rsidR="000C6FA7" w:rsidRPr="000C6FA7">
        <w:rPr>
          <w:color w:val="FF0000"/>
        </w:rPr>
        <w:t xml:space="preserve"> Accid. Anal. Prev.</w:t>
      </w:r>
      <w:r w:rsidRPr="000C6FA7">
        <w:rPr>
          <w:color w:val="FF0000"/>
        </w:rPr>
        <w:t xml:space="preserve"> </w:t>
      </w:r>
      <w:r w:rsidRPr="000D14A2">
        <w:t xml:space="preserve">41, 1206–1215. </w:t>
      </w:r>
    </w:p>
    <w:p w14:paraId="3BC44025" w14:textId="77777777" w:rsidR="00662BBA" w:rsidRPr="000D14A2" w:rsidRDefault="00662BBA" w:rsidP="00662BBA">
      <w:pPr>
        <w:ind w:left="284" w:hanging="284"/>
      </w:pPr>
      <w:r w:rsidRPr="000D14A2">
        <w:t>Landucci, G., Paltrinieri, N., 2016. A methodology for frequency tailorization dedicated to the Oil &amp; Gas sector. Process Saf. Environ. Prot. 104, 123–141.</w:t>
      </w:r>
    </w:p>
    <w:p w14:paraId="72DD9A43" w14:textId="5625D224" w:rsidR="00662BBA" w:rsidRPr="000D14A2" w:rsidRDefault="007906B5" w:rsidP="00662BBA">
      <w:pPr>
        <w:ind w:left="284" w:hanging="284"/>
      </w:pPr>
      <w:r w:rsidRPr="007906B5">
        <w:t xml:space="preserve">Lees, F.P., </w:t>
      </w:r>
      <w:r w:rsidRPr="00215AF8">
        <w:rPr>
          <w:color w:val="FF0000"/>
        </w:rPr>
        <w:t>1996</w:t>
      </w:r>
      <w:r w:rsidRPr="007906B5">
        <w:t>. Loss prevention in the process industries, 2nd ed.</w:t>
      </w:r>
      <w:r>
        <w:t>,</w:t>
      </w:r>
      <w:r w:rsidRPr="007906B5">
        <w:t xml:space="preserve"> </w:t>
      </w:r>
      <w:r w:rsidRPr="00215AF8">
        <w:rPr>
          <w:color w:val="FF0000"/>
        </w:rPr>
        <w:t>Butterworth - Heinemann, Oxford (UK)</w:t>
      </w:r>
      <w:r w:rsidR="00662BBA" w:rsidRPr="00215AF8">
        <w:rPr>
          <w:color w:val="FF0000"/>
        </w:rPr>
        <w:t xml:space="preserve">. </w:t>
      </w:r>
    </w:p>
    <w:p w14:paraId="3A73FFD7" w14:textId="49AF909A" w:rsidR="00662BBA" w:rsidRPr="000D14A2" w:rsidRDefault="00662BBA" w:rsidP="00662BBA">
      <w:pPr>
        <w:ind w:left="284" w:hanging="284"/>
      </w:pPr>
      <w:r w:rsidRPr="000D14A2">
        <w:t xml:space="preserve">Lord Cullen, 1990. The Public Inquiry into the Piper Alpha Disaster - Volume I and II. </w:t>
      </w:r>
      <w:r w:rsidR="00215AF8" w:rsidRPr="00215AF8">
        <w:rPr>
          <w:color w:val="FF0000"/>
        </w:rPr>
        <w:t>Department of Energy, London</w:t>
      </w:r>
      <w:r w:rsidRPr="00215AF8">
        <w:rPr>
          <w:color w:val="FF0000"/>
        </w:rPr>
        <w:t>.</w:t>
      </w:r>
    </w:p>
    <w:p w14:paraId="0F2AAC8E" w14:textId="77777777" w:rsidR="00662BBA" w:rsidRPr="000D14A2" w:rsidRDefault="00662BBA" w:rsidP="00662BBA">
      <w:pPr>
        <w:ind w:left="284" w:hanging="284"/>
      </w:pPr>
      <w:r w:rsidRPr="000D14A2">
        <w:lastRenderedPageBreak/>
        <w:t>Lowesmith, B.J., Hankinson, G., Acton, M.R., Chamberlain, G., 2007. An overview of the nature of hydrocarbon jet fire hazards in the oil and gas industry and a simplified approach to assessing the hazards. Process Saf. Environ. Prot. - Inst. Chem. Eng. 85, 207–220.</w:t>
      </w:r>
    </w:p>
    <w:p w14:paraId="732A8811" w14:textId="77777777" w:rsidR="00662BBA" w:rsidRPr="000D14A2" w:rsidRDefault="00662BBA" w:rsidP="00662BBA">
      <w:pPr>
        <w:ind w:left="284" w:hanging="284"/>
      </w:pPr>
      <w:r w:rsidRPr="000145BD">
        <w:rPr>
          <w:lang w:val="nb-NO"/>
        </w:rPr>
        <w:t xml:space="preserve">Maglaras, G.J., LaPenta, K.D., 1997. </w:t>
      </w:r>
      <w:r w:rsidRPr="000D14A2">
        <w:t>Development of a forecast equation to predict the severity of thunderstorm events in New York State. Natl. Weather Serv. Forecast Off. 21, 3–9.</w:t>
      </w:r>
    </w:p>
    <w:p w14:paraId="41B2F521" w14:textId="77777777" w:rsidR="00662BBA" w:rsidRPr="000D14A2" w:rsidRDefault="00662BBA" w:rsidP="00662BBA">
      <w:pPr>
        <w:ind w:left="284" w:hanging="284"/>
      </w:pPr>
      <w:r w:rsidRPr="000D14A2">
        <w:t>Marine Traffic, 2017. www.marinetraffic.com/no/ [WWW Document].</w:t>
      </w:r>
    </w:p>
    <w:p w14:paraId="0972BDB2" w14:textId="77777777" w:rsidR="00662BBA" w:rsidRPr="00BA3352" w:rsidRDefault="00662BBA" w:rsidP="00662BBA">
      <w:pPr>
        <w:ind w:left="284" w:hanging="284"/>
      </w:pPr>
      <w:r w:rsidRPr="000D14A2">
        <w:t>Matteson, D.S., McLean, M.W., Woodard, D.B., S G Henderson, 2011. Forecasting emergency medical service call arrival rates. Ann. Appl. Stat. 5, 1379–1406.</w:t>
      </w:r>
    </w:p>
    <w:p w14:paraId="11E40CD0" w14:textId="21B7CD1C" w:rsidR="00F73725" w:rsidRPr="00BA3352" w:rsidRDefault="00F73725" w:rsidP="00F73725">
      <w:pPr>
        <w:ind w:left="284" w:hanging="284"/>
      </w:pPr>
      <w:r w:rsidRPr="000D14A2">
        <w:t xml:space="preserve">Miller, R. C., 1972. </w:t>
      </w:r>
      <w:r w:rsidRPr="00461E00">
        <w:t>Notes on the analysis and severe-storm forecasting procedures of the Air Force Global Weather Central.</w:t>
      </w:r>
      <w:r w:rsidR="00461E00">
        <w:t xml:space="preserve"> </w:t>
      </w:r>
      <w:r w:rsidR="00461E00" w:rsidRPr="00461E00">
        <w:rPr>
          <w:color w:val="FF0000"/>
        </w:rPr>
        <w:t>Defense Technical Information Center,</w:t>
      </w:r>
      <w:r w:rsidRPr="00461E00">
        <w:rPr>
          <w:color w:val="FF0000"/>
        </w:rPr>
        <w:t xml:space="preserve"> </w:t>
      </w:r>
      <w:r w:rsidR="00461E00" w:rsidRPr="00461E00">
        <w:rPr>
          <w:color w:val="FF0000"/>
        </w:rPr>
        <w:t>Fort Belvoir (VA)</w:t>
      </w:r>
      <w:r w:rsidRPr="00461E00">
        <w:rPr>
          <w:color w:val="FF0000"/>
        </w:rPr>
        <w:t>.</w:t>
      </w:r>
      <w:r w:rsidR="00461E00">
        <w:t xml:space="preserve"> </w:t>
      </w:r>
    </w:p>
    <w:p w14:paraId="74CC5569" w14:textId="5848D0AB" w:rsidR="00662BBA" w:rsidRPr="000D14A2" w:rsidRDefault="00662BBA" w:rsidP="00662BBA">
      <w:pPr>
        <w:ind w:left="284" w:hanging="284"/>
      </w:pPr>
      <w:r w:rsidRPr="000D14A2">
        <w:t xml:space="preserve">Musharraf, M., Khan, F., Veitch, B., Mackinnon, S., Imtiaz, S., 2013. Human factor risk assessment during emergency condition in harsh environment, in: Proceedings of the ASME 2013 32nd International Conference on Ocean, Offshore and Arctic Engineering (OMAE 2013), June 9-14, 2013, Nantes, France. American Society of Mechanical Engineers, New York, NY, pp. 1–9. </w:t>
      </w:r>
    </w:p>
    <w:p w14:paraId="5DF592C8" w14:textId="28771603" w:rsidR="00662BBA" w:rsidRPr="000D14A2" w:rsidRDefault="00662BBA" w:rsidP="00662BBA">
      <w:pPr>
        <w:ind w:left="284" w:hanging="284"/>
      </w:pPr>
      <w:r w:rsidRPr="000D14A2">
        <w:t>National Petroleum Council, 2015. Arctic Potential. Realizing the promise of U.S. Arctic oil and gas resources.</w:t>
      </w:r>
      <w:r w:rsidR="00A0396D">
        <w:t xml:space="preserve"> </w:t>
      </w:r>
      <w:r w:rsidR="00A0396D" w:rsidRPr="00B45592">
        <w:rPr>
          <w:color w:val="FF0000"/>
        </w:rPr>
        <w:t xml:space="preserve">National Petroleum Council, </w:t>
      </w:r>
      <w:r w:rsidR="00A0396D" w:rsidRPr="00A0396D">
        <w:t>Washington, D.C</w:t>
      </w:r>
      <w:r w:rsidR="00A0396D">
        <w:t>.</w:t>
      </w:r>
    </w:p>
    <w:p w14:paraId="310CE364" w14:textId="77777777" w:rsidR="00662BBA" w:rsidRPr="000D14A2" w:rsidRDefault="00662BBA" w:rsidP="00662BBA">
      <w:pPr>
        <w:ind w:left="284" w:hanging="284"/>
      </w:pPr>
      <w:r w:rsidRPr="00266446">
        <w:t xml:space="preserve">Necci, A., Cozzani, V., Spadoni, G., Khan, F., 2015. </w:t>
      </w:r>
      <w:r w:rsidRPr="000D14A2">
        <w:t>Assessment of domino effect: State of the art and research Needs. Reliab. Eng. Syst. Saf. 143, 3–18.</w:t>
      </w:r>
    </w:p>
    <w:p w14:paraId="567C39E9" w14:textId="2A02E7E8" w:rsidR="00662BBA" w:rsidRPr="00D06083" w:rsidRDefault="00662BBA" w:rsidP="00662BBA">
      <w:pPr>
        <w:ind w:left="284" w:hanging="284"/>
        <w:rPr>
          <w:color w:val="FF0000"/>
        </w:rPr>
      </w:pPr>
      <w:r w:rsidRPr="00D06083">
        <w:rPr>
          <w:color w:val="FF0000"/>
        </w:rPr>
        <w:t xml:space="preserve">NORSOK, 2010. Risk and emergency preparedness analysis - NORSOK standard Z-013, </w:t>
      </w:r>
      <w:r w:rsidR="00D06083" w:rsidRPr="00D06083">
        <w:rPr>
          <w:color w:val="FF0000"/>
        </w:rPr>
        <w:t>Norwegian Technology Centre, Oslo (NO)</w:t>
      </w:r>
      <w:r w:rsidRPr="00D06083">
        <w:rPr>
          <w:color w:val="FF0000"/>
        </w:rPr>
        <w:t>.</w:t>
      </w:r>
    </w:p>
    <w:p w14:paraId="76C67D87" w14:textId="57D41CC4" w:rsidR="00662BBA" w:rsidRPr="000D14A2" w:rsidRDefault="00662BBA" w:rsidP="00662BBA">
      <w:pPr>
        <w:ind w:left="284" w:hanging="284"/>
      </w:pPr>
      <w:r w:rsidRPr="000D14A2">
        <w:t>NORSOK, 2007. NORSOK STANDARD N-003 Actions and action effects</w:t>
      </w:r>
      <w:r w:rsidR="00D06083" w:rsidRPr="00D06083">
        <w:rPr>
          <w:color w:val="FF0000"/>
        </w:rPr>
        <w:t>, Norwegian Technology Centre, Oslo (NO).</w:t>
      </w:r>
    </w:p>
    <w:p w14:paraId="71B8D154" w14:textId="044E1428" w:rsidR="00662BBA" w:rsidRPr="004767A1" w:rsidRDefault="00662BBA" w:rsidP="00662BBA">
      <w:pPr>
        <w:ind w:left="284" w:hanging="284"/>
      </w:pPr>
      <w:r w:rsidRPr="004767A1">
        <w:t>Norwegian Environment Agency, 2011. Guidelines for offshore environmental monitoring TA2849-201</w:t>
      </w:r>
      <w:r w:rsidR="004767A1" w:rsidRPr="004767A1">
        <w:t xml:space="preserve">1, </w:t>
      </w:r>
      <w:r w:rsidR="004767A1" w:rsidRPr="004767A1">
        <w:rPr>
          <w:color w:val="FF0000"/>
        </w:rPr>
        <w:t>Climate and Pollution Agency, Oslo (NO).</w:t>
      </w:r>
    </w:p>
    <w:p w14:paraId="5A4365F8" w14:textId="77777777" w:rsidR="00662BBA" w:rsidRPr="004767A1" w:rsidRDefault="00662BBA" w:rsidP="00662BBA">
      <w:pPr>
        <w:ind w:left="284" w:hanging="284"/>
      </w:pPr>
      <w:r w:rsidRPr="004767A1">
        <w:t>Norwegian Meteorological Institute, 2017. www.yr.no [WWW Document].</w:t>
      </w:r>
    </w:p>
    <w:p w14:paraId="66ABCF01" w14:textId="1A7E9F61" w:rsidR="00662BBA" w:rsidRPr="000801BA" w:rsidRDefault="00662BBA" w:rsidP="00662BBA">
      <w:pPr>
        <w:ind w:left="284" w:hanging="284"/>
      </w:pPr>
      <w:r w:rsidRPr="004767A1">
        <w:t xml:space="preserve">PAFA Consulting Engineers, 2001. Weather-sensitive offshore operations and </w:t>
      </w:r>
      <w:r w:rsidR="004767A1" w:rsidRPr="004767A1">
        <w:t>m</w:t>
      </w:r>
      <w:r w:rsidRPr="004767A1">
        <w:t xml:space="preserve">etocean data - Offshore technology report 2001/022. </w:t>
      </w:r>
      <w:r w:rsidR="004767A1" w:rsidRPr="004767A1">
        <w:t xml:space="preserve">HSE, </w:t>
      </w:r>
      <w:r w:rsidRPr="004767A1">
        <w:t>London</w:t>
      </w:r>
      <w:r w:rsidR="004767A1">
        <w:t xml:space="preserve"> (</w:t>
      </w:r>
      <w:r w:rsidRPr="004767A1">
        <w:t>UK</w:t>
      </w:r>
      <w:r w:rsidR="004767A1">
        <w:t>)</w:t>
      </w:r>
      <w:r w:rsidRPr="004767A1">
        <w:t>.</w:t>
      </w:r>
    </w:p>
    <w:p w14:paraId="6831597D" w14:textId="77777777" w:rsidR="00662BBA" w:rsidRPr="00BA3352" w:rsidRDefault="00662BBA" w:rsidP="00662BBA">
      <w:pPr>
        <w:ind w:left="284" w:hanging="284"/>
        <w:rPr>
          <w:lang w:val="it-IT"/>
        </w:rPr>
      </w:pPr>
      <w:r w:rsidRPr="000801BA">
        <w:t xml:space="preserve">Paik, J.K., Czujko, J., Kim, B.J., Seo, J.K., Ryu, H.S., Ha, Y.C., Janiszewski, P., Musial, B., 2011. </w:t>
      </w:r>
      <w:r w:rsidRPr="000D14A2">
        <w:t xml:space="preserve">Quantitative assessment of hydrocarbon explosion and fire risks in offshore installations. </w:t>
      </w:r>
      <w:r w:rsidRPr="00BA3352">
        <w:rPr>
          <w:lang w:val="it-IT"/>
        </w:rPr>
        <w:t>Mar. Struct. 24, 73–96.</w:t>
      </w:r>
    </w:p>
    <w:p w14:paraId="4843017A" w14:textId="2477CC3B" w:rsidR="00662BBA" w:rsidRPr="000145BD" w:rsidRDefault="00662BBA" w:rsidP="00662BBA">
      <w:pPr>
        <w:ind w:left="284" w:hanging="284"/>
        <w:rPr>
          <w:lang w:val="nb-NO"/>
        </w:rPr>
      </w:pPr>
      <w:r w:rsidRPr="00BA3352">
        <w:rPr>
          <w:lang w:val="it-IT"/>
        </w:rPr>
        <w:t xml:space="preserve">Paltrinieri, N., Grøtan, T.O., Bucelli, M., Landucci, G., 2017. </w:t>
      </w:r>
      <w:r w:rsidRPr="000D14A2">
        <w:t xml:space="preserve">A case of dynamic risk management in the subarctic region, in: Walls L. Revie M., B.T. (Ed.), Risk, Reliability and Safety: Innovating Theory and Practice - Proceedings of the 26th European Safety and Reliability Conference, ESREL 2016. </w:t>
      </w:r>
      <w:r w:rsidRPr="000145BD">
        <w:rPr>
          <w:lang w:val="nb-NO"/>
        </w:rPr>
        <w:t>CRC Press/Balkema,</w:t>
      </w:r>
      <w:r w:rsidR="007D0100" w:rsidRPr="000145BD">
        <w:rPr>
          <w:lang w:val="nb-NO"/>
        </w:rPr>
        <w:t xml:space="preserve"> </w:t>
      </w:r>
      <w:r w:rsidR="007D0100" w:rsidRPr="000145BD">
        <w:rPr>
          <w:color w:val="FF0000"/>
          <w:lang w:val="nb-NO"/>
        </w:rPr>
        <w:t>Leiden (NL),</w:t>
      </w:r>
      <w:r w:rsidRPr="000145BD">
        <w:rPr>
          <w:color w:val="FF0000"/>
          <w:lang w:val="nb-NO"/>
        </w:rPr>
        <w:t xml:space="preserve"> </w:t>
      </w:r>
      <w:r w:rsidRPr="000145BD">
        <w:rPr>
          <w:lang w:val="nb-NO"/>
        </w:rPr>
        <w:t>p. 127.</w:t>
      </w:r>
    </w:p>
    <w:p w14:paraId="4D9C82D5" w14:textId="57B252DF" w:rsidR="00662BBA" w:rsidRPr="000D14A2" w:rsidRDefault="00662BBA" w:rsidP="00662BBA">
      <w:pPr>
        <w:ind w:left="284" w:hanging="284"/>
      </w:pPr>
      <w:r w:rsidRPr="000145BD">
        <w:rPr>
          <w:lang w:val="nb-NO"/>
        </w:rPr>
        <w:t xml:space="preserve">Paltrinieri, N., Khan, F., 2016. </w:t>
      </w:r>
      <w:r w:rsidRPr="000D14A2">
        <w:t xml:space="preserve">Dynamic </w:t>
      </w:r>
      <w:r w:rsidRPr="004767A1">
        <w:t>Risk Analysis in the Chemical and Petroleum Industry: Evolution and Interaction with Parallel Disciplines in the Perspective of Industrial Application, 1st ed.</w:t>
      </w:r>
      <w:r w:rsidR="004767A1" w:rsidRPr="004767A1">
        <w:t>,</w:t>
      </w:r>
      <w:r w:rsidRPr="004767A1">
        <w:t xml:space="preserve"> Elsevier Science</w:t>
      </w:r>
      <w:r w:rsidR="004767A1" w:rsidRPr="004767A1">
        <w:t>, Amsterdam (NL).</w:t>
      </w:r>
    </w:p>
    <w:p w14:paraId="0853F33C" w14:textId="77777777" w:rsidR="00662BBA" w:rsidRPr="000D14A2" w:rsidRDefault="00662BBA" w:rsidP="00662BBA">
      <w:pPr>
        <w:ind w:left="284" w:hanging="284"/>
      </w:pPr>
      <w:r w:rsidRPr="00CE5D50">
        <w:rPr>
          <w:lang w:val="it-IT"/>
        </w:rPr>
        <w:lastRenderedPageBreak/>
        <w:t xml:space="preserve">Paltrinieri, N., Landucci, G., Salvo Rossi, P., 2017. </w:t>
      </w:r>
      <w:r w:rsidRPr="000D14A2">
        <w:t>Real-time data for risk assessment in the offshore oil&amp;gas industry. ASME Int. Conf. Ocean. Offshore, Arct. Eng. (OMAE 2017).</w:t>
      </w:r>
    </w:p>
    <w:p w14:paraId="17A6EDB6" w14:textId="77777777" w:rsidR="00662BBA" w:rsidRPr="000D14A2" w:rsidRDefault="00662BBA" w:rsidP="00662BBA">
      <w:pPr>
        <w:ind w:left="284" w:hanging="284"/>
      </w:pPr>
      <w:r w:rsidRPr="000D14A2">
        <w:t>Roberts, T., 2004a. Directed deluge system designs and determination of the effectiveness of the currently recommended minimum deluge rate for the protection of LPG tanks. J. Loss Prev. Process Ind. 17, 103–109.</w:t>
      </w:r>
    </w:p>
    <w:p w14:paraId="79FA1955" w14:textId="77777777" w:rsidR="00662BBA" w:rsidRPr="00851B22" w:rsidRDefault="00662BBA" w:rsidP="00662BBA">
      <w:pPr>
        <w:ind w:left="284" w:hanging="284"/>
      </w:pPr>
      <w:r w:rsidRPr="000D14A2">
        <w:t xml:space="preserve">Roberts, T., 2004b. Effectiveness of an enhanced deluge system to protect LPG tanks and sensitivity to </w:t>
      </w:r>
      <w:r w:rsidRPr="00851B22">
        <w:t>blocked nozzles and delayed deluge initiation. J. Loss Prev. Process Ind. 17, 151–158.</w:t>
      </w:r>
    </w:p>
    <w:p w14:paraId="0AAAD741" w14:textId="43F74222" w:rsidR="00662BBA" w:rsidRPr="000D14A2" w:rsidRDefault="00662BBA" w:rsidP="00662BBA">
      <w:pPr>
        <w:ind w:left="284" w:hanging="284"/>
      </w:pPr>
      <w:r w:rsidRPr="00851B22">
        <w:t>Schueller, J.C.H., 1997. Methods for Determining and Processing Probabilities</w:t>
      </w:r>
      <w:r w:rsidR="00851B22" w:rsidRPr="00851B22">
        <w:t xml:space="preserve"> </w:t>
      </w:r>
      <w:r w:rsidR="00851B22" w:rsidRPr="00851B22">
        <w:rPr>
          <w:color w:val="FF0000"/>
        </w:rPr>
        <w:t>(Red Book)</w:t>
      </w:r>
      <w:r w:rsidRPr="00851B22">
        <w:rPr>
          <w:color w:val="FF0000"/>
        </w:rPr>
        <w:t>.</w:t>
      </w:r>
      <w:r w:rsidR="00851B22" w:rsidRPr="00851B22">
        <w:rPr>
          <w:color w:val="FF0000"/>
        </w:rPr>
        <w:t xml:space="preserve"> Committee for the Prevention of Disasters, The Hague, the Netherlands.</w:t>
      </w:r>
    </w:p>
    <w:p w14:paraId="57109860" w14:textId="2FE846E4" w:rsidR="00662BBA" w:rsidRPr="000D14A2" w:rsidRDefault="00662BBA" w:rsidP="00662BBA">
      <w:pPr>
        <w:ind w:left="284" w:hanging="284"/>
      </w:pPr>
      <w:r w:rsidRPr="000D14A2">
        <w:t>SCI-Steel Construction Institute, 1992. Availability and properties of passive and active fire protection systems, OTI92607. Health and Safety Executive, HM Stationery Office, London, UK, London, UK.</w:t>
      </w:r>
    </w:p>
    <w:p w14:paraId="32B28AD2" w14:textId="020A70B3" w:rsidR="00662BBA" w:rsidRPr="000D14A2" w:rsidRDefault="00662BBA" w:rsidP="00662BBA">
      <w:pPr>
        <w:ind w:left="284" w:hanging="284"/>
      </w:pPr>
      <w:r w:rsidRPr="000D14A2">
        <w:t xml:space="preserve">Shaw, N., Austin, E.J., 1919. </w:t>
      </w:r>
      <w:r w:rsidRPr="00EF1FA1">
        <w:t>Manual of meteorology: comparative meteorology</w:t>
      </w:r>
      <w:r w:rsidRPr="004767A1">
        <w:rPr>
          <w:color w:val="FF0000"/>
        </w:rPr>
        <w:t xml:space="preserve">. </w:t>
      </w:r>
      <w:r w:rsidR="00EF1FA1" w:rsidRPr="004767A1">
        <w:rPr>
          <w:color w:val="FF0000"/>
        </w:rPr>
        <w:t xml:space="preserve">Cambridge Univ. Press, </w:t>
      </w:r>
      <w:r w:rsidRPr="00EF1FA1">
        <w:t>Cambridge</w:t>
      </w:r>
      <w:r w:rsidR="00EF1FA1" w:rsidRPr="00EF1FA1">
        <w:t xml:space="preserve"> (</w:t>
      </w:r>
      <w:r w:rsidRPr="00EF1FA1">
        <w:t>UK</w:t>
      </w:r>
      <w:r w:rsidR="00EF1FA1" w:rsidRPr="00EF1FA1">
        <w:t>)</w:t>
      </w:r>
      <w:r w:rsidRPr="00EF1FA1">
        <w:t>.</w:t>
      </w:r>
    </w:p>
    <w:p w14:paraId="06845C01" w14:textId="77777777" w:rsidR="00662BBA" w:rsidRPr="000D14A2" w:rsidRDefault="00662BBA" w:rsidP="00662BBA">
      <w:pPr>
        <w:ind w:left="284" w:hanging="284"/>
      </w:pPr>
      <w:r w:rsidRPr="000D14A2">
        <w:t>Shirvill, L., 2004. Efficacy of water spray protection against propane and butane jet fires impinging on LPG storage tanks. J. Loss Prev. Process Ind. 17, 111–118.</w:t>
      </w:r>
    </w:p>
    <w:p w14:paraId="1ECA514E" w14:textId="77777777" w:rsidR="00662BBA" w:rsidRPr="000D14A2" w:rsidRDefault="00662BBA" w:rsidP="00662BBA">
      <w:pPr>
        <w:ind w:left="284" w:hanging="284"/>
      </w:pPr>
      <w:r w:rsidRPr="000D14A2">
        <w:t xml:space="preserve">Suedfeld, P., Steel, G.D., 2000. </w:t>
      </w:r>
      <w:r w:rsidRPr="000D14A2">
        <w:rPr>
          <w:lang w:val="fr-FR"/>
        </w:rPr>
        <w:t xml:space="preserve">The environmental psychology of capsule habitats. </w:t>
      </w:r>
      <w:r w:rsidRPr="00716DC9">
        <w:t xml:space="preserve">Annu. Rev. Psychol. </w:t>
      </w:r>
      <w:r w:rsidRPr="000D14A2">
        <w:t>51, 227–253.</w:t>
      </w:r>
    </w:p>
    <w:p w14:paraId="529DE6FD" w14:textId="77777777" w:rsidR="00F73725" w:rsidRPr="00464989" w:rsidRDefault="00F73725" w:rsidP="00F73725">
      <w:pPr>
        <w:ind w:left="284" w:hanging="284"/>
      </w:pPr>
      <w:r w:rsidRPr="000D14A2">
        <w:t>Taylor, B. M., 2016. Spatial modelling of emergency service response times. J. R. Stat. Soc. Ser. A Stat. Soc.</w:t>
      </w:r>
    </w:p>
    <w:p w14:paraId="0EB366F5" w14:textId="77777777" w:rsidR="00662BBA" w:rsidRPr="000D14A2" w:rsidRDefault="00662BBA" w:rsidP="00662BBA">
      <w:pPr>
        <w:ind w:left="284" w:hanging="284"/>
      </w:pPr>
      <w:r w:rsidRPr="000D14A2">
        <w:t>US Fire Administration, 2006. Structure fire response times. Emmitsburg, Maryland.</w:t>
      </w:r>
    </w:p>
    <w:p w14:paraId="13817FD3" w14:textId="77777777" w:rsidR="00662BBA" w:rsidRPr="000D14A2" w:rsidRDefault="00662BBA" w:rsidP="00662BBA">
      <w:pPr>
        <w:ind w:left="284" w:hanging="284"/>
      </w:pPr>
      <w:r w:rsidRPr="00C80F9D">
        <w:rPr>
          <w:lang w:val="nl-NL"/>
        </w:rPr>
        <w:t xml:space="preserve">Van Den Bosh, C.J.H., Weterings, R.A.P.M., 2005. </w:t>
      </w:r>
      <w:r w:rsidRPr="000D14A2">
        <w:t>Methods for the calculation of physical effects (Yellow Book), third. ed. Committee for the Prevention of Disasters, the Hague (NL).</w:t>
      </w:r>
    </w:p>
    <w:p w14:paraId="6A118BAE" w14:textId="77777777" w:rsidR="00662BBA" w:rsidRPr="00BD481D" w:rsidRDefault="00662BBA" w:rsidP="00662BBA">
      <w:pPr>
        <w:ind w:left="284" w:hanging="284"/>
      </w:pPr>
      <w:r w:rsidRPr="00BD481D">
        <w:t>Vessel Finder, 2017a. www.vesselfinder.com/vessels/ESVAGT-AURORA-IMO-9594042-MMSI-219017214 [WWW Document].</w:t>
      </w:r>
    </w:p>
    <w:p w14:paraId="3E287DBC" w14:textId="77777777" w:rsidR="00662BBA" w:rsidRPr="00EA423C" w:rsidRDefault="00662BBA" w:rsidP="00662BBA">
      <w:pPr>
        <w:ind w:left="284" w:hanging="284"/>
        <w:rPr>
          <w:lang w:val="nl-NL"/>
        </w:rPr>
      </w:pPr>
      <w:r w:rsidRPr="00EA423C">
        <w:rPr>
          <w:lang w:val="nl-NL"/>
        </w:rPr>
        <w:t>Vessel Finder, 2017b. www.vesselfinder.com [WWW Document].</w:t>
      </w:r>
    </w:p>
    <w:p w14:paraId="326C61E0" w14:textId="77777777" w:rsidR="00662BBA" w:rsidRPr="00C80F9D" w:rsidRDefault="00662BBA" w:rsidP="00662BBA">
      <w:pPr>
        <w:ind w:left="284" w:hanging="284"/>
        <w:rPr>
          <w:lang w:val="nl-NL"/>
        </w:rPr>
      </w:pPr>
      <w:r w:rsidRPr="00EA423C">
        <w:rPr>
          <w:lang w:val="nl-NL"/>
        </w:rPr>
        <w:t xml:space="preserve">Vinnem, J.E., 2014. </w:t>
      </w:r>
      <w:r w:rsidRPr="000D14A2">
        <w:t xml:space="preserve">Offshore Risk Assessment vol 1. Principles, Modelling and Applications of QRA Studies, 3rd ed. </w:t>
      </w:r>
      <w:r w:rsidRPr="00C80F9D">
        <w:rPr>
          <w:lang w:val="nl-NL"/>
        </w:rPr>
        <w:t>Springer-Verlag, London, UK.</w:t>
      </w:r>
    </w:p>
    <w:p w14:paraId="02F39A48" w14:textId="77777777" w:rsidR="00662BBA" w:rsidRPr="00C80F9D" w:rsidRDefault="00662BBA" w:rsidP="00662BBA">
      <w:pPr>
        <w:ind w:left="284" w:hanging="284"/>
        <w:rPr>
          <w:lang w:val="nl-NL"/>
        </w:rPr>
      </w:pPr>
      <w:r w:rsidRPr="00C80F9D">
        <w:rPr>
          <w:lang w:val="nl-NL"/>
        </w:rPr>
        <w:t>www.eninorge.com, n.d. Vessels [WWW Document].</w:t>
      </w:r>
    </w:p>
    <w:p w14:paraId="56726FB5" w14:textId="77777777" w:rsidR="00662BBA" w:rsidRPr="000D14A2" w:rsidRDefault="00662BBA" w:rsidP="00662BBA">
      <w:pPr>
        <w:ind w:left="284" w:hanging="284"/>
      </w:pPr>
      <w:r w:rsidRPr="00BD481D">
        <w:t xml:space="preserve">Zhang, X.-M., Chen, G.-H., 2011. </w:t>
      </w:r>
      <w:r w:rsidRPr="000D14A2">
        <w:t>Modeling and algorithm of domino effect in chemical industrial parks using discrete isolated island method. Saf. Sci. 49, 463–467.</w:t>
      </w:r>
    </w:p>
    <w:p w14:paraId="7F344B65" w14:textId="77777777" w:rsidR="00662BBA" w:rsidRDefault="00662BBA" w:rsidP="008D42D7">
      <w:pPr>
        <w:ind w:left="284" w:hanging="284"/>
        <w:rPr>
          <w:lang w:val="it-IT"/>
        </w:rPr>
      </w:pPr>
      <w:r w:rsidRPr="000D14A2">
        <w:t xml:space="preserve">Zipf, G.K., 1949. Human Behaviour and the Principles of Least Effort. </w:t>
      </w:r>
      <w:r w:rsidRPr="00662BBA">
        <w:rPr>
          <w:lang w:val="it-IT"/>
        </w:rPr>
        <w:t>Addison-Wesley, Cambridge, MA.</w:t>
      </w:r>
    </w:p>
    <w:p w14:paraId="143D4DF7" w14:textId="77777777" w:rsidR="00021A7B" w:rsidRPr="008D42D7" w:rsidRDefault="00021A7B" w:rsidP="00716DC9">
      <w:pPr>
        <w:rPr>
          <w:lang w:val="it-IT"/>
        </w:rPr>
      </w:pPr>
    </w:p>
    <w:sectPr w:rsidR="00021A7B" w:rsidRPr="008D42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5371B3" w14:textId="77777777" w:rsidR="00FC2205" w:rsidRDefault="00FC2205" w:rsidP="009270F7">
      <w:r>
        <w:separator/>
      </w:r>
    </w:p>
  </w:endnote>
  <w:endnote w:type="continuationSeparator" w:id="0">
    <w:p w14:paraId="486C472F" w14:textId="77777777" w:rsidR="00FC2205" w:rsidRDefault="00FC2205" w:rsidP="00927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200014"/>
      <w:docPartObj>
        <w:docPartGallery w:val="Page Numbers (Bottom of Page)"/>
        <w:docPartUnique/>
      </w:docPartObj>
    </w:sdtPr>
    <w:sdtEndPr/>
    <w:sdtContent>
      <w:p w14:paraId="4D48EFCE" w14:textId="64BF900F" w:rsidR="00CD6280" w:rsidRPr="009270F7" w:rsidRDefault="00CD6280" w:rsidP="009270F7">
        <w:pPr>
          <w:pStyle w:val="Footer"/>
        </w:pPr>
        <w:r w:rsidRPr="009270F7">
          <w:fldChar w:fldCharType="begin"/>
        </w:r>
        <w:r w:rsidRPr="009270F7">
          <w:instrText>PAGE   \* MERGEFORMAT</w:instrText>
        </w:r>
        <w:r w:rsidRPr="009270F7">
          <w:fldChar w:fldCharType="separate"/>
        </w:r>
        <w:r w:rsidR="000145BD" w:rsidRPr="000145BD">
          <w:rPr>
            <w:noProof/>
            <w:lang w:val="it-IT"/>
          </w:rPr>
          <w:t>2</w:t>
        </w:r>
        <w:r w:rsidRPr="009270F7">
          <w:fldChar w:fldCharType="end"/>
        </w:r>
      </w:p>
    </w:sdtContent>
  </w:sdt>
  <w:p w14:paraId="02248828" w14:textId="77777777" w:rsidR="00CD6280" w:rsidRDefault="00CD6280" w:rsidP="009270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69AE9" w14:textId="77777777" w:rsidR="00FC2205" w:rsidRDefault="00FC2205" w:rsidP="009270F7">
      <w:r>
        <w:separator/>
      </w:r>
    </w:p>
  </w:footnote>
  <w:footnote w:type="continuationSeparator" w:id="0">
    <w:p w14:paraId="1513011A" w14:textId="77777777" w:rsidR="00FC2205" w:rsidRDefault="00FC2205" w:rsidP="009270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36896"/>
    <w:multiLevelType w:val="hybridMultilevel"/>
    <w:tmpl w:val="2140E772"/>
    <w:lvl w:ilvl="0" w:tplc="F3140542">
      <w:start w:val="2"/>
      <w:numFmt w:val="bullet"/>
      <w:lvlText w:val=""/>
      <w:lvlJc w:val="left"/>
      <w:pPr>
        <w:ind w:left="720" w:hanging="360"/>
      </w:pPr>
      <w:rPr>
        <w:rFonts w:ascii="Wingdings" w:eastAsiaTheme="minorHAnsi"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7A17FCF"/>
    <w:multiLevelType w:val="hybridMultilevel"/>
    <w:tmpl w:val="7EB2E70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D5B3F54"/>
    <w:multiLevelType w:val="hybridMultilevel"/>
    <w:tmpl w:val="D1F8AAFA"/>
    <w:lvl w:ilvl="0" w:tplc="E092CD7E">
      <w:start w:val="2400"/>
      <w:numFmt w:val="bullet"/>
      <w:lvlText w:val=""/>
      <w:lvlJc w:val="left"/>
      <w:pPr>
        <w:ind w:left="720" w:hanging="360"/>
      </w:pPr>
      <w:rPr>
        <w:rFonts w:ascii="Wingdings" w:eastAsiaTheme="minorHAnsi"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7A90B7B"/>
    <w:multiLevelType w:val="hybridMultilevel"/>
    <w:tmpl w:val="E5CC7532"/>
    <w:lvl w:ilvl="0" w:tplc="E3A844C0">
      <w:start w:val="10"/>
      <w:numFmt w:val="bullet"/>
      <w:lvlText w:val=""/>
      <w:lvlJc w:val="left"/>
      <w:pPr>
        <w:ind w:left="720" w:hanging="360"/>
      </w:pPr>
      <w:rPr>
        <w:rFonts w:ascii="Wingdings" w:eastAsiaTheme="minorHAnsi"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B5C7735"/>
    <w:multiLevelType w:val="hybridMultilevel"/>
    <w:tmpl w:val="E0DAA970"/>
    <w:lvl w:ilvl="0" w:tplc="04100001">
      <w:start w:val="1"/>
      <w:numFmt w:val="bullet"/>
      <w:lvlText w:val=""/>
      <w:lvlJc w:val="left"/>
      <w:pPr>
        <w:ind w:left="774" w:hanging="360"/>
      </w:pPr>
      <w:rPr>
        <w:rFonts w:ascii="Symbol" w:hAnsi="Symbol"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5" w15:restartNumberingAfterBreak="0">
    <w:nsid w:val="3C4147DB"/>
    <w:multiLevelType w:val="hybridMultilevel"/>
    <w:tmpl w:val="D19247B6"/>
    <w:lvl w:ilvl="0" w:tplc="AA8650C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F927472"/>
    <w:multiLevelType w:val="hybridMultilevel"/>
    <w:tmpl w:val="373A0082"/>
    <w:lvl w:ilvl="0" w:tplc="04100017">
      <w:start w:val="1"/>
      <w:numFmt w:val="lowerLetter"/>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15:restartNumberingAfterBreak="0">
    <w:nsid w:val="4149557C"/>
    <w:multiLevelType w:val="hybridMultilevel"/>
    <w:tmpl w:val="D41019A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54DB2903"/>
    <w:multiLevelType w:val="hybridMultilevel"/>
    <w:tmpl w:val="C3BA7052"/>
    <w:lvl w:ilvl="0" w:tplc="25EADFD0">
      <w:start w:val="10"/>
      <w:numFmt w:val="bullet"/>
      <w:lvlText w:val=""/>
      <w:lvlJc w:val="left"/>
      <w:pPr>
        <w:ind w:left="720" w:hanging="360"/>
      </w:pPr>
      <w:rPr>
        <w:rFonts w:ascii="Wingdings" w:eastAsiaTheme="minorHAnsi"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55A60689"/>
    <w:multiLevelType w:val="hybridMultilevel"/>
    <w:tmpl w:val="6F78CF0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59F675A1"/>
    <w:multiLevelType w:val="hybridMultilevel"/>
    <w:tmpl w:val="4A480710"/>
    <w:lvl w:ilvl="0" w:tplc="6B0E872C">
      <w:start w:val="3"/>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BEF2B5A"/>
    <w:multiLevelType w:val="hybridMultilevel"/>
    <w:tmpl w:val="6C1CD6CA"/>
    <w:lvl w:ilvl="0" w:tplc="653E7EA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5C7536EF"/>
    <w:multiLevelType w:val="hybridMultilevel"/>
    <w:tmpl w:val="E604C3FC"/>
    <w:lvl w:ilvl="0" w:tplc="9F4EF336">
      <w:start w:val="1"/>
      <w:numFmt w:val="bullet"/>
      <w:lvlText w:val=""/>
      <w:lvlJc w:val="left"/>
      <w:pPr>
        <w:ind w:left="720" w:hanging="360"/>
      </w:pPr>
      <w:rPr>
        <w:rFonts w:ascii="Wingdings" w:eastAsiaTheme="minorHAnsi"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2872B47"/>
    <w:multiLevelType w:val="hybridMultilevel"/>
    <w:tmpl w:val="79367F56"/>
    <w:lvl w:ilvl="0" w:tplc="C5F86086">
      <w:start w:val="1000"/>
      <w:numFmt w:val="bullet"/>
      <w:lvlText w:val=""/>
      <w:lvlJc w:val="left"/>
      <w:pPr>
        <w:ind w:left="720" w:hanging="360"/>
      </w:pPr>
      <w:rPr>
        <w:rFonts w:ascii="Wingdings" w:eastAsiaTheme="minorHAnsi"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4B96A89"/>
    <w:multiLevelType w:val="hybridMultilevel"/>
    <w:tmpl w:val="99FA987C"/>
    <w:lvl w:ilvl="0" w:tplc="33D4ADBC">
      <w:start w:val="2"/>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5D018AB"/>
    <w:multiLevelType w:val="hybridMultilevel"/>
    <w:tmpl w:val="9F0AE57A"/>
    <w:lvl w:ilvl="0" w:tplc="E9EA3B4E">
      <w:start w:val="2"/>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B4A4A6F"/>
    <w:multiLevelType w:val="hybridMultilevel"/>
    <w:tmpl w:val="9FE212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B5E49D3"/>
    <w:multiLevelType w:val="hybridMultilevel"/>
    <w:tmpl w:val="7D466AA0"/>
    <w:lvl w:ilvl="0" w:tplc="53205716">
      <w:start w:val="1"/>
      <w:numFmt w:val="lowerRoman"/>
      <w:lvlText w:val="(%1)"/>
      <w:lvlJc w:val="left"/>
      <w:pPr>
        <w:ind w:left="774" w:hanging="720"/>
      </w:pPr>
      <w:rPr>
        <w:rFonts w:hint="default"/>
      </w:rPr>
    </w:lvl>
    <w:lvl w:ilvl="1" w:tplc="04100019" w:tentative="1">
      <w:start w:val="1"/>
      <w:numFmt w:val="lowerLetter"/>
      <w:lvlText w:val="%2."/>
      <w:lvlJc w:val="left"/>
      <w:pPr>
        <w:ind w:left="1134" w:hanging="360"/>
      </w:pPr>
    </w:lvl>
    <w:lvl w:ilvl="2" w:tplc="0410001B" w:tentative="1">
      <w:start w:val="1"/>
      <w:numFmt w:val="lowerRoman"/>
      <w:lvlText w:val="%3."/>
      <w:lvlJc w:val="right"/>
      <w:pPr>
        <w:ind w:left="1854" w:hanging="180"/>
      </w:pPr>
    </w:lvl>
    <w:lvl w:ilvl="3" w:tplc="0410000F" w:tentative="1">
      <w:start w:val="1"/>
      <w:numFmt w:val="decimal"/>
      <w:lvlText w:val="%4."/>
      <w:lvlJc w:val="left"/>
      <w:pPr>
        <w:ind w:left="2574" w:hanging="360"/>
      </w:pPr>
    </w:lvl>
    <w:lvl w:ilvl="4" w:tplc="04100019" w:tentative="1">
      <w:start w:val="1"/>
      <w:numFmt w:val="lowerLetter"/>
      <w:lvlText w:val="%5."/>
      <w:lvlJc w:val="left"/>
      <w:pPr>
        <w:ind w:left="3294" w:hanging="360"/>
      </w:pPr>
    </w:lvl>
    <w:lvl w:ilvl="5" w:tplc="0410001B" w:tentative="1">
      <w:start w:val="1"/>
      <w:numFmt w:val="lowerRoman"/>
      <w:lvlText w:val="%6."/>
      <w:lvlJc w:val="right"/>
      <w:pPr>
        <w:ind w:left="4014" w:hanging="180"/>
      </w:pPr>
    </w:lvl>
    <w:lvl w:ilvl="6" w:tplc="0410000F" w:tentative="1">
      <w:start w:val="1"/>
      <w:numFmt w:val="decimal"/>
      <w:lvlText w:val="%7."/>
      <w:lvlJc w:val="left"/>
      <w:pPr>
        <w:ind w:left="4734" w:hanging="360"/>
      </w:pPr>
    </w:lvl>
    <w:lvl w:ilvl="7" w:tplc="04100019" w:tentative="1">
      <w:start w:val="1"/>
      <w:numFmt w:val="lowerLetter"/>
      <w:lvlText w:val="%8."/>
      <w:lvlJc w:val="left"/>
      <w:pPr>
        <w:ind w:left="5454" w:hanging="360"/>
      </w:pPr>
    </w:lvl>
    <w:lvl w:ilvl="8" w:tplc="0410001B" w:tentative="1">
      <w:start w:val="1"/>
      <w:numFmt w:val="lowerRoman"/>
      <w:lvlText w:val="%9."/>
      <w:lvlJc w:val="right"/>
      <w:pPr>
        <w:ind w:left="6174" w:hanging="180"/>
      </w:pPr>
    </w:lvl>
  </w:abstractNum>
  <w:abstractNum w:abstractNumId="18" w15:restartNumberingAfterBreak="0">
    <w:nsid w:val="70D44D70"/>
    <w:multiLevelType w:val="hybridMultilevel"/>
    <w:tmpl w:val="1F38ED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B8F72B5"/>
    <w:multiLevelType w:val="hybridMultilevel"/>
    <w:tmpl w:val="90CEB426"/>
    <w:lvl w:ilvl="0" w:tplc="DAE88CD0">
      <w:start w:val="1"/>
      <w:numFmt w:val="upperRoman"/>
      <w:lvlText w:val="%1."/>
      <w:lvlJc w:val="left"/>
      <w:pPr>
        <w:ind w:left="1140" w:hanging="720"/>
      </w:pPr>
      <w:rPr>
        <w:rFonts w:hint="default"/>
      </w:rPr>
    </w:lvl>
    <w:lvl w:ilvl="1" w:tplc="04140019" w:tentative="1">
      <w:start w:val="1"/>
      <w:numFmt w:val="lowerLetter"/>
      <w:lvlText w:val="%2."/>
      <w:lvlJc w:val="left"/>
      <w:pPr>
        <w:ind w:left="1500" w:hanging="360"/>
      </w:pPr>
    </w:lvl>
    <w:lvl w:ilvl="2" w:tplc="0414001B" w:tentative="1">
      <w:start w:val="1"/>
      <w:numFmt w:val="lowerRoman"/>
      <w:lvlText w:val="%3."/>
      <w:lvlJc w:val="right"/>
      <w:pPr>
        <w:ind w:left="2220" w:hanging="180"/>
      </w:pPr>
    </w:lvl>
    <w:lvl w:ilvl="3" w:tplc="0414000F" w:tentative="1">
      <w:start w:val="1"/>
      <w:numFmt w:val="decimal"/>
      <w:lvlText w:val="%4."/>
      <w:lvlJc w:val="left"/>
      <w:pPr>
        <w:ind w:left="2940" w:hanging="360"/>
      </w:pPr>
    </w:lvl>
    <w:lvl w:ilvl="4" w:tplc="04140019" w:tentative="1">
      <w:start w:val="1"/>
      <w:numFmt w:val="lowerLetter"/>
      <w:lvlText w:val="%5."/>
      <w:lvlJc w:val="left"/>
      <w:pPr>
        <w:ind w:left="3660" w:hanging="360"/>
      </w:pPr>
    </w:lvl>
    <w:lvl w:ilvl="5" w:tplc="0414001B" w:tentative="1">
      <w:start w:val="1"/>
      <w:numFmt w:val="lowerRoman"/>
      <w:lvlText w:val="%6."/>
      <w:lvlJc w:val="right"/>
      <w:pPr>
        <w:ind w:left="4380" w:hanging="180"/>
      </w:pPr>
    </w:lvl>
    <w:lvl w:ilvl="6" w:tplc="0414000F" w:tentative="1">
      <w:start w:val="1"/>
      <w:numFmt w:val="decimal"/>
      <w:lvlText w:val="%7."/>
      <w:lvlJc w:val="left"/>
      <w:pPr>
        <w:ind w:left="5100" w:hanging="360"/>
      </w:pPr>
    </w:lvl>
    <w:lvl w:ilvl="7" w:tplc="04140019" w:tentative="1">
      <w:start w:val="1"/>
      <w:numFmt w:val="lowerLetter"/>
      <w:lvlText w:val="%8."/>
      <w:lvlJc w:val="left"/>
      <w:pPr>
        <w:ind w:left="5820" w:hanging="360"/>
      </w:pPr>
    </w:lvl>
    <w:lvl w:ilvl="8" w:tplc="0414001B" w:tentative="1">
      <w:start w:val="1"/>
      <w:numFmt w:val="lowerRoman"/>
      <w:lvlText w:val="%9."/>
      <w:lvlJc w:val="right"/>
      <w:pPr>
        <w:ind w:left="6540" w:hanging="180"/>
      </w:pPr>
    </w:lvl>
  </w:abstractNum>
  <w:abstractNum w:abstractNumId="20" w15:restartNumberingAfterBreak="0">
    <w:nsid w:val="7F721A7E"/>
    <w:multiLevelType w:val="hybridMultilevel"/>
    <w:tmpl w:val="3E8E4072"/>
    <w:lvl w:ilvl="0" w:tplc="DA8A6AE4">
      <w:start w:val="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3"/>
  </w:num>
  <w:num w:numId="4">
    <w:abstractNumId w:val="8"/>
  </w:num>
  <w:num w:numId="5">
    <w:abstractNumId w:val="0"/>
  </w:num>
  <w:num w:numId="6">
    <w:abstractNumId w:val="12"/>
  </w:num>
  <w:num w:numId="7">
    <w:abstractNumId w:val="13"/>
  </w:num>
  <w:num w:numId="8">
    <w:abstractNumId w:val="2"/>
  </w:num>
  <w:num w:numId="9">
    <w:abstractNumId w:val="14"/>
  </w:num>
  <w:num w:numId="10">
    <w:abstractNumId w:val="9"/>
  </w:num>
  <w:num w:numId="11">
    <w:abstractNumId w:val="19"/>
  </w:num>
  <w:num w:numId="12">
    <w:abstractNumId w:val="5"/>
  </w:num>
  <w:num w:numId="13">
    <w:abstractNumId w:val="10"/>
  </w:num>
  <w:num w:numId="14">
    <w:abstractNumId w:val="7"/>
  </w:num>
  <w:num w:numId="15">
    <w:abstractNumId w:val="6"/>
  </w:num>
  <w:num w:numId="16">
    <w:abstractNumId w:val="4"/>
  </w:num>
  <w:num w:numId="17">
    <w:abstractNumId w:val="17"/>
  </w:num>
  <w:num w:numId="18">
    <w:abstractNumId w:val="18"/>
  </w:num>
  <w:num w:numId="19">
    <w:abstractNumId w:val="16"/>
  </w:num>
  <w:num w:numId="20">
    <w:abstractNumId w:val="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0"/>
  <w:activeWritingStyle w:appName="MSWord" w:lang="fr-FR" w:vendorID="64" w:dllVersion="6" w:nlCheck="1" w:checkStyle="0"/>
  <w:activeWritingStyle w:appName="MSWord" w:lang="nl-NL" w:vendorID="64" w:dllVersion="6" w:nlCheck="1" w:checkStyle="0"/>
  <w:activeWritingStyle w:appName="MSWord" w:lang="de-DE" w:vendorID="64" w:dllVersion="6" w:nlCheck="1" w:checkStyle="0"/>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nb-NO" w:vendorID="64" w:dllVersion="6" w:nlCheck="1" w:checkStyle="0"/>
  <w:activeWritingStyle w:appName="MSWord" w:lang="es-ES" w:vendorID="64" w:dllVersion="6"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nb-N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51"/>
    <w:rsid w:val="000033AA"/>
    <w:rsid w:val="00003D57"/>
    <w:rsid w:val="0000424F"/>
    <w:rsid w:val="00007F0C"/>
    <w:rsid w:val="00010C8E"/>
    <w:rsid w:val="000145BD"/>
    <w:rsid w:val="00021A7B"/>
    <w:rsid w:val="000235D1"/>
    <w:rsid w:val="00025ED8"/>
    <w:rsid w:val="00026A54"/>
    <w:rsid w:val="000307E8"/>
    <w:rsid w:val="0003459E"/>
    <w:rsid w:val="00035CEB"/>
    <w:rsid w:val="00036E24"/>
    <w:rsid w:val="00042CAF"/>
    <w:rsid w:val="00044D0C"/>
    <w:rsid w:val="000570C5"/>
    <w:rsid w:val="000576FE"/>
    <w:rsid w:val="00061C1F"/>
    <w:rsid w:val="00062BF9"/>
    <w:rsid w:val="0006301C"/>
    <w:rsid w:val="00063CF4"/>
    <w:rsid w:val="00064D91"/>
    <w:rsid w:val="00065A35"/>
    <w:rsid w:val="000665D3"/>
    <w:rsid w:val="000714C3"/>
    <w:rsid w:val="00071E53"/>
    <w:rsid w:val="000723E1"/>
    <w:rsid w:val="00072DD0"/>
    <w:rsid w:val="00072EE8"/>
    <w:rsid w:val="0007520D"/>
    <w:rsid w:val="00075E4F"/>
    <w:rsid w:val="00076D60"/>
    <w:rsid w:val="000801BA"/>
    <w:rsid w:val="0008665E"/>
    <w:rsid w:val="00086C3B"/>
    <w:rsid w:val="00090754"/>
    <w:rsid w:val="0009461E"/>
    <w:rsid w:val="00095033"/>
    <w:rsid w:val="000A1FD9"/>
    <w:rsid w:val="000A6CA8"/>
    <w:rsid w:val="000A778A"/>
    <w:rsid w:val="000B0314"/>
    <w:rsid w:val="000B1570"/>
    <w:rsid w:val="000B4059"/>
    <w:rsid w:val="000B7188"/>
    <w:rsid w:val="000C0EBA"/>
    <w:rsid w:val="000C19D8"/>
    <w:rsid w:val="000C457D"/>
    <w:rsid w:val="000C52EC"/>
    <w:rsid w:val="000C6FA7"/>
    <w:rsid w:val="000D14A2"/>
    <w:rsid w:val="000D2E3A"/>
    <w:rsid w:val="000D42C9"/>
    <w:rsid w:val="000D67F5"/>
    <w:rsid w:val="000D7228"/>
    <w:rsid w:val="000E0C7C"/>
    <w:rsid w:val="000E1498"/>
    <w:rsid w:val="000E4B26"/>
    <w:rsid w:val="000E6A3A"/>
    <w:rsid w:val="000F12B9"/>
    <w:rsid w:val="000F2189"/>
    <w:rsid w:val="000F3974"/>
    <w:rsid w:val="000F6B9E"/>
    <w:rsid w:val="000F731A"/>
    <w:rsid w:val="000F7B04"/>
    <w:rsid w:val="00101C21"/>
    <w:rsid w:val="00103496"/>
    <w:rsid w:val="00103560"/>
    <w:rsid w:val="00105D11"/>
    <w:rsid w:val="0011140A"/>
    <w:rsid w:val="00111DE4"/>
    <w:rsid w:val="001123F7"/>
    <w:rsid w:val="00122BF6"/>
    <w:rsid w:val="00130375"/>
    <w:rsid w:val="0013085D"/>
    <w:rsid w:val="00131B8A"/>
    <w:rsid w:val="00132615"/>
    <w:rsid w:val="001348E6"/>
    <w:rsid w:val="00135AD3"/>
    <w:rsid w:val="00137D07"/>
    <w:rsid w:val="00140344"/>
    <w:rsid w:val="0014402C"/>
    <w:rsid w:val="00144116"/>
    <w:rsid w:val="00146CEA"/>
    <w:rsid w:val="00150A96"/>
    <w:rsid w:val="001543AD"/>
    <w:rsid w:val="00155F88"/>
    <w:rsid w:val="00160536"/>
    <w:rsid w:val="00162133"/>
    <w:rsid w:val="001627D5"/>
    <w:rsid w:val="001634D5"/>
    <w:rsid w:val="001644A5"/>
    <w:rsid w:val="00165362"/>
    <w:rsid w:val="00170B81"/>
    <w:rsid w:val="00172677"/>
    <w:rsid w:val="001763F7"/>
    <w:rsid w:val="00182BC8"/>
    <w:rsid w:val="001871E9"/>
    <w:rsid w:val="00193177"/>
    <w:rsid w:val="00195775"/>
    <w:rsid w:val="0019586A"/>
    <w:rsid w:val="0019697F"/>
    <w:rsid w:val="001A0E78"/>
    <w:rsid w:val="001A2454"/>
    <w:rsid w:val="001A77B3"/>
    <w:rsid w:val="001B0D96"/>
    <w:rsid w:val="001B3BA9"/>
    <w:rsid w:val="001B4444"/>
    <w:rsid w:val="001B4585"/>
    <w:rsid w:val="001C272E"/>
    <w:rsid w:val="001C6E43"/>
    <w:rsid w:val="001D0C51"/>
    <w:rsid w:val="001D3A18"/>
    <w:rsid w:val="001D640E"/>
    <w:rsid w:val="001E25DD"/>
    <w:rsid w:val="001E3DE3"/>
    <w:rsid w:val="001F277A"/>
    <w:rsid w:val="001F7431"/>
    <w:rsid w:val="00202931"/>
    <w:rsid w:val="00203321"/>
    <w:rsid w:val="002069DC"/>
    <w:rsid w:val="00207D66"/>
    <w:rsid w:val="00207F0B"/>
    <w:rsid w:val="00210B2C"/>
    <w:rsid w:val="00210F4A"/>
    <w:rsid w:val="00213DCF"/>
    <w:rsid w:val="00215AF8"/>
    <w:rsid w:val="002169B4"/>
    <w:rsid w:val="00216EB9"/>
    <w:rsid w:val="00217149"/>
    <w:rsid w:val="00217BFC"/>
    <w:rsid w:val="00220E2C"/>
    <w:rsid w:val="00221155"/>
    <w:rsid w:val="002245FE"/>
    <w:rsid w:val="002251E7"/>
    <w:rsid w:val="00227F60"/>
    <w:rsid w:val="00230F0C"/>
    <w:rsid w:val="00231665"/>
    <w:rsid w:val="002322EA"/>
    <w:rsid w:val="00235894"/>
    <w:rsid w:val="00236778"/>
    <w:rsid w:val="00240D6E"/>
    <w:rsid w:val="00240F9E"/>
    <w:rsid w:val="00241733"/>
    <w:rsid w:val="00242071"/>
    <w:rsid w:val="002431EF"/>
    <w:rsid w:val="00244AF7"/>
    <w:rsid w:val="00244FDC"/>
    <w:rsid w:val="00247147"/>
    <w:rsid w:val="00251B2D"/>
    <w:rsid w:val="0025288D"/>
    <w:rsid w:val="00252C8C"/>
    <w:rsid w:val="00252F15"/>
    <w:rsid w:val="00253E62"/>
    <w:rsid w:val="0026010A"/>
    <w:rsid w:val="0026243B"/>
    <w:rsid w:val="002632FE"/>
    <w:rsid w:val="00266446"/>
    <w:rsid w:val="0026688E"/>
    <w:rsid w:val="00267338"/>
    <w:rsid w:val="002737BB"/>
    <w:rsid w:val="0027472E"/>
    <w:rsid w:val="00276323"/>
    <w:rsid w:val="00276444"/>
    <w:rsid w:val="0027677E"/>
    <w:rsid w:val="00276D18"/>
    <w:rsid w:val="00277002"/>
    <w:rsid w:val="00280AC8"/>
    <w:rsid w:val="00280DEE"/>
    <w:rsid w:val="00280F8F"/>
    <w:rsid w:val="00281B8C"/>
    <w:rsid w:val="00283A75"/>
    <w:rsid w:val="00291D6A"/>
    <w:rsid w:val="00297995"/>
    <w:rsid w:val="002A029B"/>
    <w:rsid w:val="002A1865"/>
    <w:rsid w:val="002A1C73"/>
    <w:rsid w:val="002A25C1"/>
    <w:rsid w:val="002A2BDE"/>
    <w:rsid w:val="002A2E19"/>
    <w:rsid w:val="002A3AF1"/>
    <w:rsid w:val="002A53B2"/>
    <w:rsid w:val="002A6623"/>
    <w:rsid w:val="002A673C"/>
    <w:rsid w:val="002A6D01"/>
    <w:rsid w:val="002B124A"/>
    <w:rsid w:val="002B24D9"/>
    <w:rsid w:val="002B2FAD"/>
    <w:rsid w:val="002B62B2"/>
    <w:rsid w:val="002B7A7C"/>
    <w:rsid w:val="002C1A35"/>
    <w:rsid w:val="002C322C"/>
    <w:rsid w:val="002C5562"/>
    <w:rsid w:val="002C588A"/>
    <w:rsid w:val="002D117C"/>
    <w:rsid w:val="002D122B"/>
    <w:rsid w:val="002D1D14"/>
    <w:rsid w:val="002E3C0C"/>
    <w:rsid w:val="002E3EB2"/>
    <w:rsid w:val="002E5218"/>
    <w:rsid w:val="002E5D4C"/>
    <w:rsid w:val="002E7DC1"/>
    <w:rsid w:val="002F2FDC"/>
    <w:rsid w:val="002F39FB"/>
    <w:rsid w:val="002F4698"/>
    <w:rsid w:val="002F5DE6"/>
    <w:rsid w:val="002F6102"/>
    <w:rsid w:val="003012A5"/>
    <w:rsid w:val="003018AA"/>
    <w:rsid w:val="0030294D"/>
    <w:rsid w:val="00303ADF"/>
    <w:rsid w:val="0030474B"/>
    <w:rsid w:val="00305B87"/>
    <w:rsid w:val="00305EF6"/>
    <w:rsid w:val="00307B13"/>
    <w:rsid w:val="00313B86"/>
    <w:rsid w:val="0031498D"/>
    <w:rsid w:val="00315710"/>
    <w:rsid w:val="00316941"/>
    <w:rsid w:val="003175A0"/>
    <w:rsid w:val="00320134"/>
    <w:rsid w:val="0032354E"/>
    <w:rsid w:val="00324AD0"/>
    <w:rsid w:val="00324C55"/>
    <w:rsid w:val="0032554A"/>
    <w:rsid w:val="00330950"/>
    <w:rsid w:val="00330D54"/>
    <w:rsid w:val="0033117C"/>
    <w:rsid w:val="003314B3"/>
    <w:rsid w:val="00332EDA"/>
    <w:rsid w:val="003348B8"/>
    <w:rsid w:val="00336EB7"/>
    <w:rsid w:val="00340ED6"/>
    <w:rsid w:val="0034270A"/>
    <w:rsid w:val="00344A71"/>
    <w:rsid w:val="0034621D"/>
    <w:rsid w:val="00346632"/>
    <w:rsid w:val="003513B9"/>
    <w:rsid w:val="0035258E"/>
    <w:rsid w:val="00357AA7"/>
    <w:rsid w:val="003605F5"/>
    <w:rsid w:val="003665BD"/>
    <w:rsid w:val="0036734C"/>
    <w:rsid w:val="00372430"/>
    <w:rsid w:val="00373461"/>
    <w:rsid w:val="00377897"/>
    <w:rsid w:val="00377F97"/>
    <w:rsid w:val="00382887"/>
    <w:rsid w:val="00395200"/>
    <w:rsid w:val="003969D8"/>
    <w:rsid w:val="003A09E8"/>
    <w:rsid w:val="003A255C"/>
    <w:rsid w:val="003A3204"/>
    <w:rsid w:val="003B6F8A"/>
    <w:rsid w:val="003B7BEB"/>
    <w:rsid w:val="003C437D"/>
    <w:rsid w:val="003C531B"/>
    <w:rsid w:val="003C7910"/>
    <w:rsid w:val="003D2513"/>
    <w:rsid w:val="003D4591"/>
    <w:rsid w:val="003D7C60"/>
    <w:rsid w:val="003E61ED"/>
    <w:rsid w:val="003E680D"/>
    <w:rsid w:val="003E7A17"/>
    <w:rsid w:val="003F0AF0"/>
    <w:rsid w:val="003F3CBF"/>
    <w:rsid w:val="003F485B"/>
    <w:rsid w:val="003F5C86"/>
    <w:rsid w:val="00400B8F"/>
    <w:rsid w:val="00402E14"/>
    <w:rsid w:val="00404B03"/>
    <w:rsid w:val="004079D0"/>
    <w:rsid w:val="004125DE"/>
    <w:rsid w:val="0041345E"/>
    <w:rsid w:val="00421CE7"/>
    <w:rsid w:val="004230F9"/>
    <w:rsid w:val="0042436B"/>
    <w:rsid w:val="00434077"/>
    <w:rsid w:val="004354A0"/>
    <w:rsid w:val="00441A09"/>
    <w:rsid w:val="00442027"/>
    <w:rsid w:val="00443800"/>
    <w:rsid w:val="0045030B"/>
    <w:rsid w:val="00450B97"/>
    <w:rsid w:val="00453A9B"/>
    <w:rsid w:val="00454F8A"/>
    <w:rsid w:val="00461E00"/>
    <w:rsid w:val="00463F38"/>
    <w:rsid w:val="004679CC"/>
    <w:rsid w:val="00467CE4"/>
    <w:rsid w:val="00470971"/>
    <w:rsid w:val="0047337C"/>
    <w:rsid w:val="004735A6"/>
    <w:rsid w:val="0047369E"/>
    <w:rsid w:val="0047447C"/>
    <w:rsid w:val="0047532C"/>
    <w:rsid w:val="004767A1"/>
    <w:rsid w:val="00477AF2"/>
    <w:rsid w:val="00480942"/>
    <w:rsid w:val="004823B1"/>
    <w:rsid w:val="0049217F"/>
    <w:rsid w:val="004970A3"/>
    <w:rsid w:val="004A2B67"/>
    <w:rsid w:val="004A6446"/>
    <w:rsid w:val="004A68E7"/>
    <w:rsid w:val="004B266E"/>
    <w:rsid w:val="004B38B2"/>
    <w:rsid w:val="004B42F6"/>
    <w:rsid w:val="004B5A5B"/>
    <w:rsid w:val="004C07C5"/>
    <w:rsid w:val="004C14DD"/>
    <w:rsid w:val="004C2E07"/>
    <w:rsid w:val="004C570B"/>
    <w:rsid w:val="004C65C2"/>
    <w:rsid w:val="004D7452"/>
    <w:rsid w:val="004D7A23"/>
    <w:rsid w:val="004E2AAC"/>
    <w:rsid w:val="004E3291"/>
    <w:rsid w:val="004E7718"/>
    <w:rsid w:val="004F0C84"/>
    <w:rsid w:val="004F307C"/>
    <w:rsid w:val="004F4037"/>
    <w:rsid w:val="004F40BB"/>
    <w:rsid w:val="004F71F7"/>
    <w:rsid w:val="005022ED"/>
    <w:rsid w:val="00502C69"/>
    <w:rsid w:val="0050689F"/>
    <w:rsid w:val="00512025"/>
    <w:rsid w:val="005129D7"/>
    <w:rsid w:val="00513ADB"/>
    <w:rsid w:val="00516756"/>
    <w:rsid w:val="00516BB7"/>
    <w:rsid w:val="005223B0"/>
    <w:rsid w:val="00522988"/>
    <w:rsid w:val="00526829"/>
    <w:rsid w:val="00526AB1"/>
    <w:rsid w:val="0052775F"/>
    <w:rsid w:val="00532125"/>
    <w:rsid w:val="0053469F"/>
    <w:rsid w:val="0053757A"/>
    <w:rsid w:val="0054047A"/>
    <w:rsid w:val="00543984"/>
    <w:rsid w:val="0054438F"/>
    <w:rsid w:val="00547866"/>
    <w:rsid w:val="00550F76"/>
    <w:rsid w:val="005534B8"/>
    <w:rsid w:val="00555318"/>
    <w:rsid w:val="00556877"/>
    <w:rsid w:val="0055691A"/>
    <w:rsid w:val="00561657"/>
    <w:rsid w:val="00564939"/>
    <w:rsid w:val="00567951"/>
    <w:rsid w:val="00567BE0"/>
    <w:rsid w:val="005701A4"/>
    <w:rsid w:val="00570F20"/>
    <w:rsid w:val="00572B4E"/>
    <w:rsid w:val="005738BA"/>
    <w:rsid w:val="005747B4"/>
    <w:rsid w:val="005752F2"/>
    <w:rsid w:val="00575697"/>
    <w:rsid w:val="0059032B"/>
    <w:rsid w:val="00593694"/>
    <w:rsid w:val="00594679"/>
    <w:rsid w:val="0059555A"/>
    <w:rsid w:val="0059573E"/>
    <w:rsid w:val="005961F4"/>
    <w:rsid w:val="005A0D11"/>
    <w:rsid w:val="005A1753"/>
    <w:rsid w:val="005A263A"/>
    <w:rsid w:val="005A5BCD"/>
    <w:rsid w:val="005B4560"/>
    <w:rsid w:val="005B4895"/>
    <w:rsid w:val="005B4969"/>
    <w:rsid w:val="005B4CF4"/>
    <w:rsid w:val="005C330F"/>
    <w:rsid w:val="005D0C53"/>
    <w:rsid w:val="005D0DAF"/>
    <w:rsid w:val="005D4EB2"/>
    <w:rsid w:val="005D7085"/>
    <w:rsid w:val="005E0C7E"/>
    <w:rsid w:val="005F0BE6"/>
    <w:rsid w:val="005F4394"/>
    <w:rsid w:val="005F6918"/>
    <w:rsid w:val="006003FF"/>
    <w:rsid w:val="00601EC7"/>
    <w:rsid w:val="0060336C"/>
    <w:rsid w:val="00603D57"/>
    <w:rsid w:val="00610925"/>
    <w:rsid w:val="00612097"/>
    <w:rsid w:val="00615ECC"/>
    <w:rsid w:val="0061634E"/>
    <w:rsid w:val="00617A8B"/>
    <w:rsid w:val="00621A19"/>
    <w:rsid w:val="00621FF4"/>
    <w:rsid w:val="006242A6"/>
    <w:rsid w:val="006273B4"/>
    <w:rsid w:val="00627562"/>
    <w:rsid w:val="006333EF"/>
    <w:rsid w:val="006341B8"/>
    <w:rsid w:val="0063537D"/>
    <w:rsid w:val="00646F62"/>
    <w:rsid w:val="006472D9"/>
    <w:rsid w:val="00655053"/>
    <w:rsid w:val="00657B87"/>
    <w:rsid w:val="00657C6D"/>
    <w:rsid w:val="006600F3"/>
    <w:rsid w:val="00662BBA"/>
    <w:rsid w:val="0066408E"/>
    <w:rsid w:val="006719B7"/>
    <w:rsid w:val="0067431D"/>
    <w:rsid w:val="006744DA"/>
    <w:rsid w:val="006751F9"/>
    <w:rsid w:val="0067610E"/>
    <w:rsid w:val="00677F8D"/>
    <w:rsid w:val="006801C5"/>
    <w:rsid w:val="00681A8C"/>
    <w:rsid w:val="00682418"/>
    <w:rsid w:val="00682862"/>
    <w:rsid w:val="00685F4C"/>
    <w:rsid w:val="006863BB"/>
    <w:rsid w:val="00693AB0"/>
    <w:rsid w:val="0069419F"/>
    <w:rsid w:val="00696F51"/>
    <w:rsid w:val="0069749E"/>
    <w:rsid w:val="006A00BC"/>
    <w:rsid w:val="006A1E6D"/>
    <w:rsid w:val="006A7C96"/>
    <w:rsid w:val="006B3ED1"/>
    <w:rsid w:val="006B4DAE"/>
    <w:rsid w:val="006B6D02"/>
    <w:rsid w:val="006C4828"/>
    <w:rsid w:val="006C650D"/>
    <w:rsid w:val="006C7855"/>
    <w:rsid w:val="006C7FE7"/>
    <w:rsid w:val="006D605B"/>
    <w:rsid w:val="006D78C3"/>
    <w:rsid w:val="006E1A41"/>
    <w:rsid w:val="006E2FC4"/>
    <w:rsid w:val="006E4EA7"/>
    <w:rsid w:val="006E6246"/>
    <w:rsid w:val="006E65B0"/>
    <w:rsid w:val="006E6D2A"/>
    <w:rsid w:val="006E77C6"/>
    <w:rsid w:val="006F1124"/>
    <w:rsid w:val="006F77C9"/>
    <w:rsid w:val="007013C2"/>
    <w:rsid w:val="00701710"/>
    <w:rsid w:val="00703BA5"/>
    <w:rsid w:val="00703D6B"/>
    <w:rsid w:val="00705470"/>
    <w:rsid w:val="00706204"/>
    <w:rsid w:val="00710FC2"/>
    <w:rsid w:val="00716DC9"/>
    <w:rsid w:val="00723610"/>
    <w:rsid w:val="00725CB4"/>
    <w:rsid w:val="00726ABB"/>
    <w:rsid w:val="00733E24"/>
    <w:rsid w:val="00734691"/>
    <w:rsid w:val="007367A3"/>
    <w:rsid w:val="00736979"/>
    <w:rsid w:val="007406E3"/>
    <w:rsid w:val="007452E5"/>
    <w:rsid w:val="007462A0"/>
    <w:rsid w:val="00753924"/>
    <w:rsid w:val="007546DA"/>
    <w:rsid w:val="00756D54"/>
    <w:rsid w:val="00757692"/>
    <w:rsid w:val="00757742"/>
    <w:rsid w:val="00757B90"/>
    <w:rsid w:val="0076590B"/>
    <w:rsid w:val="00766300"/>
    <w:rsid w:val="00766843"/>
    <w:rsid w:val="00771D77"/>
    <w:rsid w:val="00775912"/>
    <w:rsid w:val="007802A1"/>
    <w:rsid w:val="00780828"/>
    <w:rsid w:val="00785CBF"/>
    <w:rsid w:val="00790558"/>
    <w:rsid w:val="007906B5"/>
    <w:rsid w:val="0079146E"/>
    <w:rsid w:val="00792E0D"/>
    <w:rsid w:val="00796BF5"/>
    <w:rsid w:val="007A1316"/>
    <w:rsid w:val="007A3AFF"/>
    <w:rsid w:val="007A468F"/>
    <w:rsid w:val="007A4FD8"/>
    <w:rsid w:val="007B05ED"/>
    <w:rsid w:val="007B7143"/>
    <w:rsid w:val="007C47BF"/>
    <w:rsid w:val="007C49D5"/>
    <w:rsid w:val="007C5FB4"/>
    <w:rsid w:val="007C6FAF"/>
    <w:rsid w:val="007D0100"/>
    <w:rsid w:val="007D21A6"/>
    <w:rsid w:val="007D28D6"/>
    <w:rsid w:val="007D377D"/>
    <w:rsid w:val="007D42A9"/>
    <w:rsid w:val="007D5463"/>
    <w:rsid w:val="007E0652"/>
    <w:rsid w:val="007E1CDF"/>
    <w:rsid w:val="007E1F2B"/>
    <w:rsid w:val="007E23CA"/>
    <w:rsid w:val="007E44CF"/>
    <w:rsid w:val="007E6D98"/>
    <w:rsid w:val="007E793D"/>
    <w:rsid w:val="007E7C1F"/>
    <w:rsid w:val="007E7FE7"/>
    <w:rsid w:val="007F209E"/>
    <w:rsid w:val="007F47C3"/>
    <w:rsid w:val="007F621B"/>
    <w:rsid w:val="007F74E1"/>
    <w:rsid w:val="007F750C"/>
    <w:rsid w:val="0080109A"/>
    <w:rsid w:val="00805CFE"/>
    <w:rsid w:val="00806BFC"/>
    <w:rsid w:val="008079DA"/>
    <w:rsid w:val="00807D9D"/>
    <w:rsid w:val="00811A9D"/>
    <w:rsid w:val="00815654"/>
    <w:rsid w:val="0081580B"/>
    <w:rsid w:val="00816B8A"/>
    <w:rsid w:val="00821D6F"/>
    <w:rsid w:val="00824688"/>
    <w:rsid w:val="00824F79"/>
    <w:rsid w:val="00832099"/>
    <w:rsid w:val="00835D5D"/>
    <w:rsid w:val="0084187E"/>
    <w:rsid w:val="008455BF"/>
    <w:rsid w:val="008472F8"/>
    <w:rsid w:val="00851B22"/>
    <w:rsid w:val="0085598F"/>
    <w:rsid w:val="0085643D"/>
    <w:rsid w:val="00861F53"/>
    <w:rsid w:val="00862570"/>
    <w:rsid w:val="00865FC4"/>
    <w:rsid w:val="00873081"/>
    <w:rsid w:val="00875BDF"/>
    <w:rsid w:val="00875C58"/>
    <w:rsid w:val="008761EB"/>
    <w:rsid w:val="008762F0"/>
    <w:rsid w:val="00876494"/>
    <w:rsid w:val="00876EF6"/>
    <w:rsid w:val="00880179"/>
    <w:rsid w:val="00881768"/>
    <w:rsid w:val="00884669"/>
    <w:rsid w:val="00885B29"/>
    <w:rsid w:val="00885E6E"/>
    <w:rsid w:val="00887D97"/>
    <w:rsid w:val="00890973"/>
    <w:rsid w:val="0089286D"/>
    <w:rsid w:val="00893C6D"/>
    <w:rsid w:val="00893CE9"/>
    <w:rsid w:val="00894C95"/>
    <w:rsid w:val="00896530"/>
    <w:rsid w:val="008A14EE"/>
    <w:rsid w:val="008A2108"/>
    <w:rsid w:val="008A6833"/>
    <w:rsid w:val="008B0384"/>
    <w:rsid w:val="008B3653"/>
    <w:rsid w:val="008B44F4"/>
    <w:rsid w:val="008B62DD"/>
    <w:rsid w:val="008B67E7"/>
    <w:rsid w:val="008B695B"/>
    <w:rsid w:val="008C01BF"/>
    <w:rsid w:val="008C0FA7"/>
    <w:rsid w:val="008C1326"/>
    <w:rsid w:val="008C17BC"/>
    <w:rsid w:val="008C2B13"/>
    <w:rsid w:val="008C6760"/>
    <w:rsid w:val="008C7A08"/>
    <w:rsid w:val="008D0857"/>
    <w:rsid w:val="008D0BD3"/>
    <w:rsid w:val="008D315C"/>
    <w:rsid w:val="008D42D7"/>
    <w:rsid w:val="008D5443"/>
    <w:rsid w:val="008E3798"/>
    <w:rsid w:val="008E4C8A"/>
    <w:rsid w:val="008E6393"/>
    <w:rsid w:val="008F00E2"/>
    <w:rsid w:val="008F4C31"/>
    <w:rsid w:val="008F4DE8"/>
    <w:rsid w:val="008F7856"/>
    <w:rsid w:val="00902CB5"/>
    <w:rsid w:val="00904DD7"/>
    <w:rsid w:val="00905EB3"/>
    <w:rsid w:val="00912261"/>
    <w:rsid w:val="00914C14"/>
    <w:rsid w:val="009200DA"/>
    <w:rsid w:val="00920390"/>
    <w:rsid w:val="00922288"/>
    <w:rsid w:val="0092574A"/>
    <w:rsid w:val="00925C0F"/>
    <w:rsid w:val="009270F7"/>
    <w:rsid w:val="0092712D"/>
    <w:rsid w:val="00930EA0"/>
    <w:rsid w:val="00931477"/>
    <w:rsid w:val="00931583"/>
    <w:rsid w:val="00931C14"/>
    <w:rsid w:val="00933D32"/>
    <w:rsid w:val="00934274"/>
    <w:rsid w:val="00934658"/>
    <w:rsid w:val="00934DD8"/>
    <w:rsid w:val="00935CB9"/>
    <w:rsid w:val="00940902"/>
    <w:rsid w:val="009410CC"/>
    <w:rsid w:val="00943A1A"/>
    <w:rsid w:val="0094680A"/>
    <w:rsid w:val="009569DB"/>
    <w:rsid w:val="0095760A"/>
    <w:rsid w:val="00957CAE"/>
    <w:rsid w:val="009632ED"/>
    <w:rsid w:val="00963790"/>
    <w:rsid w:val="00963DB8"/>
    <w:rsid w:val="0097259F"/>
    <w:rsid w:val="00972C0D"/>
    <w:rsid w:val="009748CE"/>
    <w:rsid w:val="00981180"/>
    <w:rsid w:val="00982252"/>
    <w:rsid w:val="00982916"/>
    <w:rsid w:val="009831F8"/>
    <w:rsid w:val="00983AAF"/>
    <w:rsid w:val="00983BDD"/>
    <w:rsid w:val="00984060"/>
    <w:rsid w:val="00985C87"/>
    <w:rsid w:val="00985F32"/>
    <w:rsid w:val="00986C89"/>
    <w:rsid w:val="009871A8"/>
    <w:rsid w:val="009918E6"/>
    <w:rsid w:val="009922DA"/>
    <w:rsid w:val="00993B68"/>
    <w:rsid w:val="00994E0E"/>
    <w:rsid w:val="00996B4B"/>
    <w:rsid w:val="009978C3"/>
    <w:rsid w:val="009A171B"/>
    <w:rsid w:val="009A192B"/>
    <w:rsid w:val="009A1DC6"/>
    <w:rsid w:val="009A40C4"/>
    <w:rsid w:val="009A7A5F"/>
    <w:rsid w:val="009B0305"/>
    <w:rsid w:val="009B08FF"/>
    <w:rsid w:val="009B2D4D"/>
    <w:rsid w:val="009C0F56"/>
    <w:rsid w:val="009C1048"/>
    <w:rsid w:val="009C2496"/>
    <w:rsid w:val="009C40C4"/>
    <w:rsid w:val="009C4F54"/>
    <w:rsid w:val="009C753A"/>
    <w:rsid w:val="009D0146"/>
    <w:rsid w:val="009D0AC8"/>
    <w:rsid w:val="009D2174"/>
    <w:rsid w:val="009D71DD"/>
    <w:rsid w:val="009E2CB0"/>
    <w:rsid w:val="009E4E08"/>
    <w:rsid w:val="009E6D4F"/>
    <w:rsid w:val="009F19EF"/>
    <w:rsid w:val="009F2558"/>
    <w:rsid w:val="009F2F0C"/>
    <w:rsid w:val="009F524C"/>
    <w:rsid w:val="009F64E9"/>
    <w:rsid w:val="009F7777"/>
    <w:rsid w:val="00A02EDC"/>
    <w:rsid w:val="00A0396D"/>
    <w:rsid w:val="00A111B1"/>
    <w:rsid w:val="00A11A2C"/>
    <w:rsid w:val="00A135CC"/>
    <w:rsid w:val="00A140EE"/>
    <w:rsid w:val="00A15B9C"/>
    <w:rsid w:val="00A21CE1"/>
    <w:rsid w:val="00A23ACA"/>
    <w:rsid w:val="00A30712"/>
    <w:rsid w:val="00A33FB7"/>
    <w:rsid w:val="00A35E2D"/>
    <w:rsid w:val="00A418F8"/>
    <w:rsid w:val="00A46601"/>
    <w:rsid w:val="00A51497"/>
    <w:rsid w:val="00A53D93"/>
    <w:rsid w:val="00A56C14"/>
    <w:rsid w:val="00A76B74"/>
    <w:rsid w:val="00A76DBA"/>
    <w:rsid w:val="00A8005B"/>
    <w:rsid w:val="00A86252"/>
    <w:rsid w:val="00A868F0"/>
    <w:rsid w:val="00A87454"/>
    <w:rsid w:val="00A903B5"/>
    <w:rsid w:val="00A90FA9"/>
    <w:rsid w:val="00A94343"/>
    <w:rsid w:val="00A95EA7"/>
    <w:rsid w:val="00A973A7"/>
    <w:rsid w:val="00AA0853"/>
    <w:rsid w:val="00AA44FF"/>
    <w:rsid w:val="00AA4934"/>
    <w:rsid w:val="00AA7C54"/>
    <w:rsid w:val="00AB2A85"/>
    <w:rsid w:val="00AB4725"/>
    <w:rsid w:val="00AB4F91"/>
    <w:rsid w:val="00AB6F66"/>
    <w:rsid w:val="00AC1588"/>
    <w:rsid w:val="00AC4127"/>
    <w:rsid w:val="00AC662B"/>
    <w:rsid w:val="00AC7A23"/>
    <w:rsid w:val="00AC7F4C"/>
    <w:rsid w:val="00AC7FBF"/>
    <w:rsid w:val="00AD0F5B"/>
    <w:rsid w:val="00AD2DC9"/>
    <w:rsid w:val="00AD64B6"/>
    <w:rsid w:val="00AD6760"/>
    <w:rsid w:val="00AE3C77"/>
    <w:rsid w:val="00AE433A"/>
    <w:rsid w:val="00AE55CA"/>
    <w:rsid w:val="00AE617F"/>
    <w:rsid w:val="00AE78C4"/>
    <w:rsid w:val="00AF156A"/>
    <w:rsid w:val="00AF1F5F"/>
    <w:rsid w:val="00AF3B9C"/>
    <w:rsid w:val="00AF3DDC"/>
    <w:rsid w:val="00AF4D23"/>
    <w:rsid w:val="00AF50AF"/>
    <w:rsid w:val="00AF6F54"/>
    <w:rsid w:val="00AF7B04"/>
    <w:rsid w:val="00B026FA"/>
    <w:rsid w:val="00B07002"/>
    <w:rsid w:val="00B07118"/>
    <w:rsid w:val="00B10094"/>
    <w:rsid w:val="00B12B2D"/>
    <w:rsid w:val="00B14243"/>
    <w:rsid w:val="00B14987"/>
    <w:rsid w:val="00B15EFC"/>
    <w:rsid w:val="00B200DA"/>
    <w:rsid w:val="00B22220"/>
    <w:rsid w:val="00B226F7"/>
    <w:rsid w:val="00B23364"/>
    <w:rsid w:val="00B235CB"/>
    <w:rsid w:val="00B23F81"/>
    <w:rsid w:val="00B27109"/>
    <w:rsid w:val="00B34EAC"/>
    <w:rsid w:val="00B42112"/>
    <w:rsid w:val="00B42287"/>
    <w:rsid w:val="00B43646"/>
    <w:rsid w:val="00B436E4"/>
    <w:rsid w:val="00B45592"/>
    <w:rsid w:val="00B52146"/>
    <w:rsid w:val="00B53625"/>
    <w:rsid w:val="00B53F19"/>
    <w:rsid w:val="00B557E2"/>
    <w:rsid w:val="00B57CAD"/>
    <w:rsid w:val="00B654B6"/>
    <w:rsid w:val="00B65D78"/>
    <w:rsid w:val="00B67BED"/>
    <w:rsid w:val="00B7008F"/>
    <w:rsid w:val="00B71DD1"/>
    <w:rsid w:val="00B730BC"/>
    <w:rsid w:val="00B73399"/>
    <w:rsid w:val="00B75CD0"/>
    <w:rsid w:val="00B80249"/>
    <w:rsid w:val="00B806A8"/>
    <w:rsid w:val="00B816A5"/>
    <w:rsid w:val="00B83A72"/>
    <w:rsid w:val="00B856F2"/>
    <w:rsid w:val="00B86BDB"/>
    <w:rsid w:val="00B86FB9"/>
    <w:rsid w:val="00B872E3"/>
    <w:rsid w:val="00B910F7"/>
    <w:rsid w:val="00B91907"/>
    <w:rsid w:val="00B932FA"/>
    <w:rsid w:val="00B977D4"/>
    <w:rsid w:val="00BA3352"/>
    <w:rsid w:val="00BA36ED"/>
    <w:rsid w:val="00BA7DE3"/>
    <w:rsid w:val="00BB1FFF"/>
    <w:rsid w:val="00BB55B6"/>
    <w:rsid w:val="00BB7504"/>
    <w:rsid w:val="00BC0550"/>
    <w:rsid w:val="00BC5223"/>
    <w:rsid w:val="00BC6DB6"/>
    <w:rsid w:val="00BD066E"/>
    <w:rsid w:val="00BD19E3"/>
    <w:rsid w:val="00BD2DDA"/>
    <w:rsid w:val="00BD481D"/>
    <w:rsid w:val="00BD5433"/>
    <w:rsid w:val="00BE0928"/>
    <w:rsid w:val="00BE1B20"/>
    <w:rsid w:val="00BE2680"/>
    <w:rsid w:val="00BE2709"/>
    <w:rsid w:val="00BE36F2"/>
    <w:rsid w:val="00BE5004"/>
    <w:rsid w:val="00BE5FB6"/>
    <w:rsid w:val="00BF0CB7"/>
    <w:rsid w:val="00BF11F7"/>
    <w:rsid w:val="00BF179C"/>
    <w:rsid w:val="00BF49BA"/>
    <w:rsid w:val="00BF4F6F"/>
    <w:rsid w:val="00BF50A1"/>
    <w:rsid w:val="00BF67B5"/>
    <w:rsid w:val="00BF6E33"/>
    <w:rsid w:val="00C018F5"/>
    <w:rsid w:val="00C01E52"/>
    <w:rsid w:val="00C036C0"/>
    <w:rsid w:val="00C05558"/>
    <w:rsid w:val="00C0563B"/>
    <w:rsid w:val="00C0624C"/>
    <w:rsid w:val="00C114E9"/>
    <w:rsid w:val="00C128E8"/>
    <w:rsid w:val="00C12986"/>
    <w:rsid w:val="00C15C3C"/>
    <w:rsid w:val="00C167BA"/>
    <w:rsid w:val="00C219BF"/>
    <w:rsid w:val="00C22897"/>
    <w:rsid w:val="00C237E9"/>
    <w:rsid w:val="00C2633C"/>
    <w:rsid w:val="00C2726F"/>
    <w:rsid w:val="00C30DE4"/>
    <w:rsid w:val="00C36EDD"/>
    <w:rsid w:val="00C43897"/>
    <w:rsid w:val="00C43CBA"/>
    <w:rsid w:val="00C450BE"/>
    <w:rsid w:val="00C501DE"/>
    <w:rsid w:val="00C50502"/>
    <w:rsid w:val="00C50A06"/>
    <w:rsid w:val="00C520FB"/>
    <w:rsid w:val="00C52752"/>
    <w:rsid w:val="00C52D12"/>
    <w:rsid w:val="00C52EC5"/>
    <w:rsid w:val="00C53E40"/>
    <w:rsid w:val="00C55772"/>
    <w:rsid w:val="00C55B93"/>
    <w:rsid w:val="00C56C9D"/>
    <w:rsid w:val="00C652EC"/>
    <w:rsid w:val="00C65623"/>
    <w:rsid w:val="00C666AC"/>
    <w:rsid w:val="00C66A96"/>
    <w:rsid w:val="00C7295A"/>
    <w:rsid w:val="00C73378"/>
    <w:rsid w:val="00C743AB"/>
    <w:rsid w:val="00C76597"/>
    <w:rsid w:val="00C8037A"/>
    <w:rsid w:val="00C80406"/>
    <w:rsid w:val="00C80F9D"/>
    <w:rsid w:val="00C85962"/>
    <w:rsid w:val="00C85C20"/>
    <w:rsid w:val="00C909E4"/>
    <w:rsid w:val="00C914F8"/>
    <w:rsid w:val="00C91550"/>
    <w:rsid w:val="00C91849"/>
    <w:rsid w:val="00C93569"/>
    <w:rsid w:val="00C96970"/>
    <w:rsid w:val="00C972D1"/>
    <w:rsid w:val="00C97AA9"/>
    <w:rsid w:val="00CA1281"/>
    <w:rsid w:val="00CA59E7"/>
    <w:rsid w:val="00CA5D4A"/>
    <w:rsid w:val="00CB0697"/>
    <w:rsid w:val="00CB18AA"/>
    <w:rsid w:val="00CB1C10"/>
    <w:rsid w:val="00CB3B1F"/>
    <w:rsid w:val="00CB3D41"/>
    <w:rsid w:val="00CB5A4F"/>
    <w:rsid w:val="00CC0811"/>
    <w:rsid w:val="00CC229C"/>
    <w:rsid w:val="00CC6166"/>
    <w:rsid w:val="00CD0AA8"/>
    <w:rsid w:val="00CD0E36"/>
    <w:rsid w:val="00CD27E6"/>
    <w:rsid w:val="00CD4931"/>
    <w:rsid w:val="00CD51F2"/>
    <w:rsid w:val="00CD6198"/>
    <w:rsid w:val="00CD6280"/>
    <w:rsid w:val="00CE386E"/>
    <w:rsid w:val="00CE3C7C"/>
    <w:rsid w:val="00CE4FA2"/>
    <w:rsid w:val="00CE5D50"/>
    <w:rsid w:val="00CF192D"/>
    <w:rsid w:val="00CF268E"/>
    <w:rsid w:val="00CF62AF"/>
    <w:rsid w:val="00CF7807"/>
    <w:rsid w:val="00D01E71"/>
    <w:rsid w:val="00D02A3C"/>
    <w:rsid w:val="00D06083"/>
    <w:rsid w:val="00D07005"/>
    <w:rsid w:val="00D07B00"/>
    <w:rsid w:val="00D1543F"/>
    <w:rsid w:val="00D177F4"/>
    <w:rsid w:val="00D20C8E"/>
    <w:rsid w:val="00D222CE"/>
    <w:rsid w:val="00D22FE9"/>
    <w:rsid w:val="00D23B50"/>
    <w:rsid w:val="00D255D2"/>
    <w:rsid w:val="00D31509"/>
    <w:rsid w:val="00D31B6A"/>
    <w:rsid w:val="00D326F4"/>
    <w:rsid w:val="00D32FAB"/>
    <w:rsid w:val="00D35F6B"/>
    <w:rsid w:val="00D375B6"/>
    <w:rsid w:val="00D37C45"/>
    <w:rsid w:val="00D40ED8"/>
    <w:rsid w:val="00D411CA"/>
    <w:rsid w:val="00D41C8A"/>
    <w:rsid w:val="00D42FCE"/>
    <w:rsid w:val="00D43761"/>
    <w:rsid w:val="00D448CA"/>
    <w:rsid w:val="00D5000C"/>
    <w:rsid w:val="00D51BF4"/>
    <w:rsid w:val="00D52F0F"/>
    <w:rsid w:val="00D53BE3"/>
    <w:rsid w:val="00D54AA1"/>
    <w:rsid w:val="00D56C02"/>
    <w:rsid w:val="00D639A7"/>
    <w:rsid w:val="00D64D22"/>
    <w:rsid w:val="00D706D8"/>
    <w:rsid w:val="00D71422"/>
    <w:rsid w:val="00D7284B"/>
    <w:rsid w:val="00D7444F"/>
    <w:rsid w:val="00D76A01"/>
    <w:rsid w:val="00D80506"/>
    <w:rsid w:val="00D80EEB"/>
    <w:rsid w:val="00D825A0"/>
    <w:rsid w:val="00D85B01"/>
    <w:rsid w:val="00D861A9"/>
    <w:rsid w:val="00D904C3"/>
    <w:rsid w:val="00D92B95"/>
    <w:rsid w:val="00D92CA7"/>
    <w:rsid w:val="00D936B4"/>
    <w:rsid w:val="00D94107"/>
    <w:rsid w:val="00D9525A"/>
    <w:rsid w:val="00DA3342"/>
    <w:rsid w:val="00DA4015"/>
    <w:rsid w:val="00DA72A3"/>
    <w:rsid w:val="00DB0698"/>
    <w:rsid w:val="00DB24E3"/>
    <w:rsid w:val="00DB267D"/>
    <w:rsid w:val="00DC007C"/>
    <w:rsid w:val="00DC0109"/>
    <w:rsid w:val="00DC3219"/>
    <w:rsid w:val="00DD0386"/>
    <w:rsid w:val="00DD03E4"/>
    <w:rsid w:val="00DD1A40"/>
    <w:rsid w:val="00DD1E91"/>
    <w:rsid w:val="00DD3E76"/>
    <w:rsid w:val="00DE08C7"/>
    <w:rsid w:val="00DE2516"/>
    <w:rsid w:val="00DE5E05"/>
    <w:rsid w:val="00DE77E9"/>
    <w:rsid w:val="00DF16C8"/>
    <w:rsid w:val="00DF1E5E"/>
    <w:rsid w:val="00DF47D8"/>
    <w:rsid w:val="00DF48A1"/>
    <w:rsid w:val="00DF5066"/>
    <w:rsid w:val="00DF642A"/>
    <w:rsid w:val="00DF6950"/>
    <w:rsid w:val="00DF7A99"/>
    <w:rsid w:val="00E030DE"/>
    <w:rsid w:val="00E03DFF"/>
    <w:rsid w:val="00E05D1C"/>
    <w:rsid w:val="00E10662"/>
    <w:rsid w:val="00E113ED"/>
    <w:rsid w:val="00E1292B"/>
    <w:rsid w:val="00E144D3"/>
    <w:rsid w:val="00E147A4"/>
    <w:rsid w:val="00E155ED"/>
    <w:rsid w:val="00E174AC"/>
    <w:rsid w:val="00E20D28"/>
    <w:rsid w:val="00E22975"/>
    <w:rsid w:val="00E24429"/>
    <w:rsid w:val="00E25EBD"/>
    <w:rsid w:val="00E322F0"/>
    <w:rsid w:val="00E345EE"/>
    <w:rsid w:val="00E34625"/>
    <w:rsid w:val="00E368F1"/>
    <w:rsid w:val="00E47ED3"/>
    <w:rsid w:val="00E517C0"/>
    <w:rsid w:val="00E51A87"/>
    <w:rsid w:val="00E51D12"/>
    <w:rsid w:val="00E53648"/>
    <w:rsid w:val="00E554F6"/>
    <w:rsid w:val="00E651FB"/>
    <w:rsid w:val="00E652FD"/>
    <w:rsid w:val="00E66CE8"/>
    <w:rsid w:val="00E703D0"/>
    <w:rsid w:val="00E71E3C"/>
    <w:rsid w:val="00E731C5"/>
    <w:rsid w:val="00E7548D"/>
    <w:rsid w:val="00E77156"/>
    <w:rsid w:val="00E8014A"/>
    <w:rsid w:val="00E84468"/>
    <w:rsid w:val="00E907E0"/>
    <w:rsid w:val="00E93185"/>
    <w:rsid w:val="00E93305"/>
    <w:rsid w:val="00E9507E"/>
    <w:rsid w:val="00E95365"/>
    <w:rsid w:val="00EA04C4"/>
    <w:rsid w:val="00EA1015"/>
    <w:rsid w:val="00EA2761"/>
    <w:rsid w:val="00EA423C"/>
    <w:rsid w:val="00EA7344"/>
    <w:rsid w:val="00EB4564"/>
    <w:rsid w:val="00EB7329"/>
    <w:rsid w:val="00EC1326"/>
    <w:rsid w:val="00EC4C50"/>
    <w:rsid w:val="00EC699D"/>
    <w:rsid w:val="00EC784D"/>
    <w:rsid w:val="00ED15F1"/>
    <w:rsid w:val="00ED2375"/>
    <w:rsid w:val="00ED26D6"/>
    <w:rsid w:val="00ED2AAB"/>
    <w:rsid w:val="00ED47CC"/>
    <w:rsid w:val="00EE11AD"/>
    <w:rsid w:val="00EE3231"/>
    <w:rsid w:val="00EE3665"/>
    <w:rsid w:val="00EE382D"/>
    <w:rsid w:val="00EE6CC8"/>
    <w:rsid w:val="00EE748A"/>
    <w:rsid w:val="00EF0792"/>
    <w:rsid w:val="00EF0D61"/>
    <w:rsid w:val="00EF15BE"/>
    <w:rsid w:val="00EF1FA1"/>
    <w:rsid w:val="00EF26A8"/>
    <w:rsid w:val="00EF5114"/>
    <w:rsid w:val="00F00CBE"/>
    <w:rsid w:val="00F02453"/>
    <w:rsid w:val="00F038B8"/>
    <w:rsid w:val="00F044C4"/>
    <w:rsid w:val="00F06ED8"/>
    <w:rsid w:val="00F07782"/>
    <w:rsid w:val="00F07DC3"/>
    <w:rsid w:val="00F15EC0"/>
    <w:rsid w:val="00F2449E"/>
    <w:rsid w:val="00F30FA4"/>
    <w:rsid w:val="00F3720C"/>
    <w:rsid w:val="00F41E6D"/>
    <w:rsid w:val="00F428B5"/>
    <w:rsid w:val="00F4646D"/>
    <w:rsid w:val="00F474DC"/>
    <w:rsid w:val="00F47CC6"/>
    <w:rsid w:val="00F53A82"/>
    <w:rsid w:val="00F54E7D"/>
    <w:rsid w:val="00F5525E"/>
    <w:rsid w:val="00F553BD"/>
    <w:rsid w:val="00F60F6C"/>
    <w:rsid w:val="00F66212"/>
    <w:rsid w:val="00F712D5"/>
    <w:rsid w:val="00F716CD"/>
    <w:rsid w:val="00F72464"/>
    <w:rsid w:val="00F73725"/>
    <w:rsid w:val="00F74E34"/>
    <w:rsid w:val="00F823BB"/>
    <w:rsid w:val="00F843C8"/>
    <w:rsid w:val="00F871B8"/>
    <w:rsid w:val="00F873DD"/>
    <w:rsid w:val="00F8776E"/>
    <w:rsid w:val="00F9167D"/>
    <w:rsid w:val="00F92D91"/>
    <w:rsid w:val="00F9370F"/>
    <w:rsid w:val="00F96260"/>
    <w:rsid w:val="00FA0CD2"/>
    <w:rsid w:val="00FA377A"/>
    <w:rsid w:val="00FB10A5"/>
    <w:rsid w:val="00FB6163"/>
    <w:rsid w:val="00FB7339"/>
    <w:rsid w:val="00FB7343"/>
    <w:rsid w:val="00FB7678"/>
    <w:rsid w:val="00FC0012"/>
    <w:rsid w:val="00FC1BEF"/>
    <w:rsid w:val="00FC2205"/>
    <w:rsid w:val="00FC2B1F"/>
    <w:rsid w:val="00FC4C4F"/>
    <w:rsid w:val="00FC4D7C"/>
    <w:rsid w:val="00FC6012"/>
    <w:rsid w:val="00FD0B09"/>
    <w:rsid w:val="00FD2579"/>
    <w:rsid w:val="00FD453E"/>
    <w:rsid w:val="00FD6DEE"/>
    <w:rsid w:val="00FE23B0"/>
    <w:rsid w:val="00FE38CE"/>
    <w:rsid w:val="00FE5B61"/>
    <w:rsid w:val="00FE7EDE"/>
    <w:rsid w:val="00FF2BBA"/>
    <w:rsid w:val="00FF3049"/>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50400"/>
  <w15:chartTrackingRefBased/>
  <w15:docId w15:val="{3C0500B1-0631-44B1-9F23-E8405EC76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0F7"/>
    <w:pPr>
      <w:spacing w:after="0" w:line="360" w:lineRule="auto"/>
      <w:jc w:val="both"/>
    </w:pPr>
    <w:rPr>
      <w:rFonts w:ascii="Times New Roman" w:hAnsi="Times New Roman" w:cs="Times New Roman"/>
      <w:lang w:val="en-GB"/>
    </w:rPr>
  </w:style>
  <w:style w:type="paragraph" w:styleId="Heading1">
    <w:name w:val="heading 1"/>
    <w:basedOn w:val="Normal"/>
    <w:next w:val="Normal"/>
    <w:link w:val="Heading1Char"/>
    <w:uiPriority w:val="9"/>
    <w:qFormat/>
    <w:rsid w:val="00DB069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B069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D745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5B87"/>
    <w:pPr>
      <w:ind w:left="720"/>
      <w:contextualSpacing/>
    </w:pPr>
  </w:style>
  <w:style w:type="character" w:styleId="PlaceholderText">
    <w:name w:val="Placeholder Text"/>
    <w:basedOn w:val="DefaultParagraphFont"/>
    <w:uiPriority w:val="99"/>
    <w:semiHidden/>
    <w:rsid w:val="00A46601"/>
    <w:rPr>
      <w:color w:val="808080"/>
    </w:rPr>
  </w:style>
  <w:style w:type="table" w:styleId="TableGrid">
    <w:name w:val="Table Grid"/>
    <w:basedOn w:val="TableNormal"/>
    <w:uiPriority w:val="39"/>
    <w:rsid w:val="00C27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0950"/>
    <w:rPr>
      <w:sz w:val="16"/>
      <w:szCs w:val="16"/>
    </w:rPr>
  </w:style>
  <w:style w:type="paragraph" w:styleId="CommentText">
    <w:name w:val="annotation text"/>
    <w:basedOn w:val="Normal"/>
    <w:link w:val="CommentTextChar"/>
    <w:uiPriority w:val="99"/>
    <w:unhideWhenUsed/>
    <w:rsid w:val="00330950"/>
    <w:pPr>
      <w:spacing w:line="240" w:lineRule="auto"/>
    </w:pPr>
    <w:rPr>
      <w:sz w:val="20"/>
      <w:szCs w:val="20"/>
    </w:rPr>
  </w:style>
  <w:style w:type="character" w:customStyle="1" w:styleId="CommentTextChar">
    <w:name w:val="Comment Text Char"/>
    <w:basedOn w:val="DefaultParagraphFont"/>
    <w:link w:val="CommentText"/>
    <w:uiPriority w:val="99"/>
    <w:rsid w:val="00330950"/>
    <w:rPr>
      <w:sz w:val="20"/>
      <w:szCs w:val="20"/>
    </w:rPr>
  </w:style>
  <w:style w:type="paragraph" w:styleId="CommentSubject">
    <w:name w:val="annotation subject"/>
    <w:basedOn w:val="CommentText"/>
    <w:next w:val="CommentText"/>
    <w:link w:val="CommentSubjectChar"/>
    <w:uiPriority w:val="99"/>
    <w:semiHidden/>
    <w:unhideWhenUsed/>
    <w:rsid w:val="00330950"/>
    <w:rPr>
      <w:b/>
      <w:bCs/>
    </w:rPr>
  </w:style>
  <w:style w:type="character" w:customStyle="1" w:styleId="CommentSubjectChar">
    <w:name w:val="Comment Subject Char"/>
    <w:basedOn w:val="CommentTextChar"/>
    <w:link w:val="CommentSubject"/>
    <w:uiPriority w:val="99"/>
    <w:semiHidden/>
    <w:rsid w:val="00330950"/>
    <w:rPr>
      <w:b/>
      <w:bCs/>
      <w:sz w:val="20"/>
      <w:szCs w:val="20"/>
    </w:rPr>
  </w:style>
  <w:style w:type="paragraph" w:styleId="BalloonText">
    <w:name w:val="Balloon Text"/>
    <w:basedOn w:val="Normal"/>
    <w:link w:val="BalloonTextChar"/>
    <w:uiPriority w:val="99"/>
    <w:semiHidden/>
    <w:unhideWhenUsed/>
    <w:rsid w:val="0033095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0950"/>
    <w:rPr>
      <w:rFonts w:ascii="Segoe UI" w:hAnsi="Segoe UI" w:cs="Segoe UI"/>
      <w:sz w:val="18"/>
      <w:szCs w:val="18"/>
    </w:rPr>
  </w:style>
  <w:style w:type="paragraph" w:styleId="NoSpacing">
    <w:name w:val="No Spacing"/>
    <w:uiPriority w:val="1"/>
    <w:qFormat/>
    <w:rsid w:val="00CE3C7C"/>
    <w:pPr>
      <w:spacing w:after="0" w:line="240" w:lineRule="auto"/>
    </w:pPr>
  </w:style>
  <w:style w:type="character" w:customStyle="1" w:styleId="Heading1Char">
    <w:name w:val="Heading 1 Char"/>
    <w:basedOn w:val="DefaultParagraphFont"/>
    <w:link w:val="Heading1"/>
    <w:uiPriority w:val="9"/>
    <w:rsid w:val="00DB069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B0698"/>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C4C4F"/>
    <w:rPr>
      <w:color w:val="0563C1" w:themeColor="hyperlink"/>
      <w:u w:val="single"/>
    </w:rPr>
  </w:style>
  <w:style w:type="character" w:styleId="FollowedHyperlink">
    <w:name w:val="FollowedHyperlink"/>
    <w:basedOn w:val="DefaultParagraphFont"/>
    <w:uiPriority w:val="99"/>
    <w:semiHidden/>
    <w:unhideWhenUsed/>
    <w:rsid w:val="000C52EC"/>
    <w:rPr>
      <w:color w:val="954F72" w:themeColor="followedHyperlink"/>
      <w:u w:val="single"/>
    </w:rPr>
  </w:style>
  <w:style w:type="character" w:customStyle="1" w:styleId="Heading3Char">
    <w:name w:val="Heading 3 Char"/>
    <w:basedOn w:val="DefaultParagraphFont"/>
    <w:link w:val="Heading3"/>
    <w:uiPriority w:val="9"/>
    <w:rsid w:val="004D7452"/>
    <w:rPr>
      <w:rFonts w:asciiTheme="majorHAnsi" w:eastAsiaTheme="majorEastAsia" w:hAnsiTheme="majorHAnsi" w:cstheme="majorBidi"/>
      <w:color w:val="1F4D78" w:themeColor="accent1" w:themeShade="7F"/>
      <w:sz w:val="24"/>
      <w:szCs w:val="24"/>
    </w:rPr>
  </w:style>
  <w:style w:type="character" w:customStyle="1" w:styleId="Menzionenonrisolta1">
    <w:name w:val="Menzione non risolta1"/>
    <w:basedOn w:val="DefaultParagraphFont"/>
    <w:uiPriority w:val="99"/>
    <w:semiHidden/>
    <w:unhideWhenUsed/>
    <w:rsid w:val="00C12986"/>
    <w:rPr>
      <w:color w:val="808080"/>
      <w:shd w:val="clear" w:color="auto" w:fill="E6E6E6"/>
    </w:rPr>
  </w:style>
  <w:style w:type="paragraph" w:customStyle="1" w:styleId="Paragrafoelenco1">
    <w:name w:val="Paragrafo elenco1"/>
    <w:basedOn w:val="Normal"/>
    <w:link w:val="ParagrafoelencoCarattere"/>
    <w:uiPriority w:val="99"/>
    <w:qFormat/>
    <w:rsid w:val="005A263A"/>
    <w:pPr>
      <w:ind w:left="720"/>
    </w:pPr>
    <w:rPr>
      <w:rFonts w:eastAsia="Times New Roman"/>
      <w:szCs w:val="24"/>
      <w:lang w:val="it-IT" w:eastAsia="it-IT"/>
    </w:rPr>
  </w:style>
  <w:style w:type="character" w:customStyle="1" w:styleId="ParagrafoelencoCarattere">
    <w:name w:val="Paragrafo elenco Carattere"/>
    <w:link w:val="Paragrafoelenco1"/>
    <w:uiPriority w:val="99"/>
    <w:locked/>
    <w:rsid w:val="005A263A"/>
    <w:rPr>
      <w:rFonts w:ascii="Times New Roman" w:eastAsia="Times New Roman" w:hAnsi="Times New Roman" w:cs="Times New Roman"/>
      <w:szCs w:val="24"/>
      <w:lang w:val="it-IT" w:eastAsia="it-IT"/>
    </w:rPr>
  </w:style>
  <w:style w:type="paragraph" w:styleId="Header">
    <w:name w:val="header"/>
    <w:basedOn w:val="Normal"/>
    <w:link w:val="HeaderChar"/>
    <w:uiPriority w:val="99"/>
    <w:unhideWhenUsed/>
    <w:rsid w:val="00EC4C50"/>
    <w:pPr>
      <w:tabs>
        <w:tab w:val="center" w:pos="4819"/>
        <w:tab w:val="right" w:pos="9638"/>
      </w:tabs>
      <w:spacing w:line="240" w:lineRule="auto"/>
    </w:pPr>
  </w:style>
  <w:style w:type="character" w:customStyle="1" w:styleId="HeaderChar">
    <w:name w:val="Header Char"/>
    <w:basedOn w:val="DefaultParagraphFont"/>
    <w:link w:val="Header"/>
    <w:uiPriority w:val="99"/>
    <w:rsid w:val="00EC4C50"/>
  </w:style>
  <w:style w:type="paragraph" w:styleId="Footer">
    <w:name w:val="footer"/>
    <w:basedOn w:val="Normal"/>
    <w:link w:val="FooterChar"/>
    <w:uiPriority w:val="99"/>
    <w:unhideWhenUsed/>
    <w:rsid w:val="00EC4C50"/>
    <w:pPr>
      <w:tabs>
        <w:tab w:val="center" w:pos="4819"/>
        <w:tab w:val="right" w:pos="9638"/>
      </w:tabs>
      <w:spacing w:line="240" w:lineRule="auto"/>
    </w:pPr>
  </w:style>
  <w:style w:type="character" w:customStyle="1" w:styleId="FooterChar">
    <w:name w:val="Footer Char"/>
    <w:basedOn w:val="DefaultParagraphFont"/>
    <w:link w:val="Footer"/>
    <w:uiPriority w:val="99"/>
    <w:rsid w:val="00EC4C50"/>
  </w:style>
  <w:style w:type="paragraph" w:customStyle="1" w:styleId="References">
    <w:name w:val="References"/>
    <w:basedOn w:val="Normal"/>
    <w:link w:val="ReferencesChar"/>
    <w:qFormat/>
    <w:rsid w:val="009270F7"/>
    <w:pPr>
      <w:ind w:left="284" w:hanging="284"/>
    </w:pPr>
    <w:rPr>
      <w:noProof/>
      <w:lang w:val="it-IT"/>
    </w:rPr>
  </w:style>
  <w:style w:type="character" w:customStyle="1" w:styleId="ReferencesChar">
    <w:name w:val="References Char"/>
    <w:basedOn w:val="DefaultParagraphFont"/>
    <w:link w:val="References"/>
    <w:rsid w:val="009270F7"/>
    <w:rPr>
      <w:rFonts w:ascii="Times New Roman" w:hAnsi="Times New Roman" w:cs="Times New Roman"/>
      <w:noProof/>
      <w:lang w:val="it-IT"/>
    </w:rPr>
  </w:style>
  <w:style w:type="paragraph" w:customStyle="1" w:styleId="Table">
    <w:name w:val="Table"/>
    <w:basedOn w:val="Normal"/>
    <w:link w:val="TableChar"/>
    <w:qFormat/>
    <w:rsid w:val="005A263A"/>
    <w:pPr>
      <w:spacing w:line="240" w:lineRule="auto"/>
    </w:pPr>
  </w:style>
  <w:style w:type="character" w:customStyle="1" w:styleId="TableChar">
    <w:name w:val="Table Char"/>
    <w:basedOn w:val="DefaultParagraphFont"/>
    <w:link w:val="Table"/>
    <w:rsid w:val="005A263A"/>
    <w:rPr>
      <w:rFonts w:ascii="Times New Roman" w:hAnsi="Times New Roman" w:cs="Times New Roman"/>
      <w:lang w:val="en-GB"/>
    </w:rPr>
  </w:style>
  <w:style w:type="character" w:customStyle="1" w:styleId="UnresolvedMention">
    <w:name w:val="Unresolved Mention"/>
    <w:basedOn w:val="DefaultParagraphFont"/>
    <w:uiPriority w:val="99"/>
    <w:semiHidden/>
    <w:unhideWhenUsed/>
    <w:rsid w:val="00AA08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458852">
      <w:bodyDiv w:val="1"/>
      <w:marLeft w:val="0"/>
      <w:marRight w:val="0"/>
      <w:marTop w:val="0"/>
      <w:marBottom w:val="0"/>
      <w:divBdr>
        <w:top w:val="none" w:sz="0" w:space="0" w:color="auto"/>
        <w:left w:val="none" w:sz="0" w:space="0" w:color="auto"/>
        <w:bottom w:val="none" w:sz="0" w:space="0" w:color="auto"/>
        <w:right w:val="none" w:sz="0" w:space="0" w:color="auto"/>
      </w:divBdr>
      <w:divsChild>
        <w:div w:id="1122454159">
          <w:marLeft w:val="0"/>
          <w:marRight w:val="0"/>
          <w:marTop w:val="0"/>
          <w:marBottom w:val="0"/>
          <w:divBdr>
            <w:top w:val="none" w:sz="0" w:space="0" w:color="auto"/>
            <w:left w:val="none" w:sz="0" w:space="0" w:color="auto"/>
            <w:bottom w:val="none" w:sz="0" w:space="0" w:color="auto"/>
            <w:right w:val="none" w:sz="0" w:space="0" w:color="auto"/>
          </w:divBdr>
          <w:divsChild>
            <w:div w:id="1243757484">
              <w:marLeft w:val="0"/>
              <w:marRight w:val="0"/>
              <w:marTop w:val="0"/>
              <w:marBottom w:val="0"/>
              <w:divBdr>
                <w:top w:val="none" w:sz="0" w:space="0" w:color="auto"/>
                <w:left w:val="none" w:sz="0" w:space="0" w:color="auto"/>
                <w:bottom w:val="none" w:sz="0" w:space="0" w:color="auto"/>
                <w:right w:val="none" w:sz="0" w:space="0" w:color="auto"/>
              </w:divBdr>
              <w:divsChild>
                <w:div w:id="1950352022">
                  <w:marLeft w:val="120"/>
                  <w:marRight w:val="0"/>
                  <w:marTop w:val="0"/>
                  <w:marBottom w:val="0"/>
                  <w:divBdr>
                    <w:top w:val="none" w:sz="0" w:space="0" w:color="auto"/>
                    <w:left w:val="none" w:sz="0" w:space="0" w:color="auto"/>
                    <w:bottom w:val="none" w:sz="0" w:space="0" w:color="auto"/>
                    <w:right w:val="none" w:sz="0" w:space="0" w:color="auto"/>
                  </w:divBdr>
                  <w:divsChild>
                    <w:div w:id="2010281715">
                      <w:marLeft w:val="0"/>
                      <w:marRight w:val="0"/>
                      <w:marTop w:val="0"/>
                      <w:marBottom w:val="0"/>
                      <w:divBdr>
                        <w:top w:val="none" w:sz="0" w:space="0" w:color="auto"/>
                        <w:left w:val="none" w:sz="0" w:space="0" w:color="auto"/>
                        <w:bottom w:val="none" w:sz="0" w:space="0" w:color="auto"/>
                        <w:right w:val="none" w:sz="0" w:space="0" w:color="auto"/>
                      </w:divBdr>
                      <w:divsChild>
                        <w:div w:id="1607693383">
                          <w:marLeft w:val="0"/>
                          <w:marRight w:val="0"/>
                          <w:marTop w:val="0"/>
                          <w:marBottom w:val="0"/>
                          <w:divBdr>
                            <w:top w:val="none" w:sz="0" w:space="0" w:color="auto"/>
                            <w:left w:val="none" w:sz="0" w:space="0" w:color="auto"/>
                            <w:bottom w:val="none" w:sz="0" w:space="0" w:color="auto"/>
                            <w:right w:val="none" w:sz="0" w:space="0" w:color="auto"/>
                          </w:divBdr>
                          <w:divsChild>
                            <w:div w:id="777212886">
                              <w:marLeft w:val="0"/>
                              <w:marRight w:val="0"/>
                              <w:marTop w:val="0"/>
                              <w:marBottom w:val="0"/>
                              <w:divBdr>
                                <w:top w:val="none" w:sz="0" w:space="0" w:color="auto"/>
                                <w:left w:val="none" w:sz="0" w:space="0" w:color="auto"/>
                                <w:bottom w:val="none" w:sz="0" w:space="0" w:color="auto"/>
                                <w:right w:val="none" w:sz="0" w:space="0" w:color="auto"/>
                              </w:divBdr>
                              <w:divsChild>
                                <w:div w:id="207646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460274">
          <w:marLeft w:val="0"/>
          <w:marRight w:val="0"/>
          <w:marTop w:val="0"/>
          <w:marBottom w:val="0"/>
          <w:divBdr>
            <w:top w:val="none" w:sz="0" w:space="0" w:color="auto"/>
            <w:left w:val="none" w:sz="0" w:space="0" w:color="auto"/>
            <w:bottom w:val="none" w:sz="0" w:space="0" w:color="auto"/>
            <w:right w:val="none" w:sz="0" w:space="0" w:color="auto"/>
          </w:divBdr>
          <w:divsChild>
            <w:div w:id="2105296007">
              <w:marLeft w:val="0"/>
              <w:marRight w:val="0"/>
              <w:marTop w:val="0"/>
              <w:marBottom w:val="0"/>
              <w:divBdr>
                <w:top w:val="none" w:sz="0" w:space="0" w:color="auto"/>
                <w:left w:val="none" w:sz="0" w:space="0" w:color="auto"/>
                <w:bottom w:val="none" w:sz="0" w:space="0" w:color="auto"/>
                <w:right w:val="none" w:sz="0" w:space="0" w:color="auto"/>
              </w:divBdr>
              <w:divsChild>
                <w:div w:id="22639697">
                  <w:marLeft w:val="120"/>
                  <w:marRight w:val="0"/>
                  <w:marTop w:val="0"/>
                  <w:marBottom w:val="0"/>
                  <w:divBdr>
                    <w:top w:val="none" w:sz="0" w:space="0" w:color="auto"/>
                    <w:left w:val="none" w:sz="0" w:space="0" w:color="auto"/>
                    <w:bottom w:val="none" w:sz="0" w:space="0" w:color="auto"/>
                    <w:right w:val="none" w:sz="0" w:space="0" w:color="auto"/>
                  </w:divBdr>
                  <w:divsChild>
                    <w:div w:id="220019633">
                      <w:marLeft w:val="0"/>
                      <w:marRight w:val="0"/>
                      <w:marTop w:val="0"/>
                      <w:marBottom w:val="0"/>
                      <w:divBdr>
                        <w:top w:val="none" w:sz="0" w:space="0" w:color="auto"/>
                        <w:left w:val="none" w:sz="0" w:space="0" w:color="auto"/>
                        <w:bottom w:val="none" w:sz="0" w:space="0" w:color="auto"/>
                        <w:right w:val="none" w:sz="0" w:space="0" w:color="auto"/>
                      </w:divBdr>
                      <w:divsChild>
                        <w:div w:id="2021812525">
                          <w:marLeft w:val="0"/>
                          <w:marRight w:val="0"/>
                          <w:marTop w:val="0"/>
                          <w:marBottom w:val="0"/>
                          <w:divBdr>
                            <w:top w:val="none" w:sz="0" w:space="0" w:color="auto"/>
                            <w:left w:val="none" w:sz="0" w:space="0" w:color="auto"/>
                            <w:bottom w:val="none" w:sz="0" w:space="0" w:color="auto"/>
                            <w:right w:val="none" w:sz="0" w:space="0" w:color="auto"/>
                          </w:divBdr>
                          <w:divsChild>
                            <w:div w:id="1530991006">
                              <w:marLeft w:val="0"/>
                              <w:marRight w:val="0"/>
                              <w:marTop w:val="0"/>
                              <w:marBottom w:val="0"/>
                              <w:divBdr>
                                <w:top w:val="none" w:sz="0" w:space="0" w:color="auto"/>
                                <w:left w:val="none" w:sz="0" w:space="0" w:color="auto"/>
                                <w:bottom w:val="none" w:sz="0" w:space="0" w:color="auto"/>
                                <w:right w:val="none" w:sz="0" w:space="0" w:color="auto"/>
                              </w:divBdr>
                              <w:divsChild>
                                <w:div w:id="17308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815544">
          <w:marLeft w:val="0"/>
          <w:marRight w:val="0"/>
          <w:marTop w:val="0"/>
          <w:marBottom w:val="0"/>
          <w:divBdr>
            <w:top w:val="none" w:sz="0" w:space="0" w:color="auto"/>
            <w:left w:val="none" w:sz="0" w:space="0" w:color="auto"/>
            <w:bottom w:val="none" w:sz="0" w:space="0" w:color="auto"/>
            <w:right w:val="none" w:sz="0" w:space="0" w:color="auto"/>
          </w:divBdr>
          <w:divsChild>
            <w:div w:id="1479108580">
              <w:marLeft w:val="0"/>
              <w:marRight w:val="0"/>
              <w:marTop w:val="0"/>
              <w:marBottom w:val="0"/>
              <w:divBdr>
                <w:top w:val="none" w:sz="0" w:space="0" w:color="auto"/>
                <w:left w:val="none" w:sz="0" w:space="0" w:color="auto"/>
                <w:bottom w:val="none" w:sz="0" w:space="0" w:color="auto"/>
                <w:right w:val="none" w:sz="0" w:space="0" w:color="auto"/>
              </w:divBdr>
              <w:divsChild>
                <w:div w:id="1581716700">
                  <w:marLeft w:val="120"/>
                  <w:marRight w:val="0"/>
                  <w:marTop w:val="0"/>
                  <w:marBottom w:val="0"/>
                  <w:divBdr>
                    <w:top w:val="none" w:sz="0" w:space="0" w:color="auto"/>
                    <w:left w:val="none" w:sz="0" w:space="0" w:color="auto"/>
                    <w:bottom w:val="none" w:sz="0" w:space="0" w:color="auto"/>
                    <w:right w:val="none" w:sz="0" w:space="0" w:color="auto"/>
                  </w:divBdr>
                  <w:divsChild>
                    <w:div w:id="1819226842">
                      <w:marLeft w:val="0"/>
                      <w:marRight w:val="0"/>
                      <w:marTop w:val="0"/>
                      <w:marBottom w:val="0"/>
                      <w:divBdr>
                        <w:top w:val="none" w:sz="0" w:space="0" w:color="auto"/>
                        <w:left w:val="none" w:sz="0" w:space="0" w:color="auto"/>
                        <w:bottom w:val="none" w:sz="0" w:space="0" w:color="auto"/>
                        <w:right w:val="none" w:sz="0" w:space="0" w:color="auto"/>
                      </w:divBdr>
                      <w:divsChild>
                        <w:div w:id="1875652457">
                          <w:marLeft w:val="0"/>
                          <w:marRight w:val="0"/>
                          <w:marTop w:val="0"/>
                          <w:marBottom w:val="0"/>
                          <w:divBdr>
                            <w:top w:val="none" w:sz="0" w:space="0" w:color="auto"/>
                            <w:left w:val="none" w:sz="0" w:space="0" w:color="auto"/>
                            <w:bottom w:val="none" w:sz="0" w:space="0" w:color="auto"/>
                            <w:right w:val="none" w:sz="0" w:space="0" w:color="auto"/>
                          </w:divBdr>
                          <w:divsChild>
                            <w:div w:id="313024608">
                              <w:marLeft w:val="0"/>
                              <w:marRight w:val="0"/>
                              <w:marTop w:val="0"/>
                              <w:marBottom w:val="0"/>
                              <w:divBdr>
                                <w:top w:val="none" w:sz="0" w:space="0" w:color="auto"/>
                                <w:left w:val="none" w:sz="0" w:space="0" w:color="auto"/>
                                <w:bottom w:val="none" w:sz="0" w:space="0" w:color="auto"/>
                                <w:right w:val="none" w:sz="0" w:space="0" w:color="auto"/>
                              </w:divBdr>
                              <w:divsChild>
                                <w:div w:id="3388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142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www.iea.org/publications/freepublications/publication/KeyWorld2017.pdf"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3C47B-D440-4AC7-9FA6-2AA6B0B96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41293</Words>
  <Characters>218855</Characters>
  <Application>Microsoft Office Word</Application>
  <DocSecurity>0</DocSecurity>
  <Lines>1823</Lines>
  <Paragraphs>519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NTNU</Company>
  <LinksUpToDate>false</LinksUpToDate>
  <CharactersWithSpaces>259629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Bucelli</dc:creator>
  <cp:keywords/>
  <dc:description/>
  <cp:lastModifiedBy>Stein Haugen</cp:lastModifiedBy>
  <cp:revision>2</cp:revision>
  <cp:lastPrinted>2017-08-07T11:29:00Z</cp:lastPrinted>
  <dcterms:created xsi:type="dcterms:W3CDTF">2018-02-22T07:30:00Z</dcterms:created>
  <dcterms:modified xsi:type="dcterms:W3CDTF">2018-02-22T07:30:00Z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ffc4adeb-1371-3dc0-9ad3-eca9743d8a50</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16th edition (author-date)</vt:lpwstr>
  </property>
  <property fmtid="{D5CDD505-2E9C-101B-9397-08002B2CF9AE}" pid="10" name="Mendeley Recent Style Id 3_1">
    <vt:lpwstr>http://www.zotero.org/styles/chicago-fullnote-bibliography</vt:lpwstr>
  </property>
  <property fmtid="{D5CDD505-2E9C-101B-9397-08002B2CF9AE}" pid="11" name="Mendeley Recent Style Name 3_1">
    <vt:lpwstr>Chicago Manual of Style 16th edition (full note)</vt:lpwstr>
  </property>
  <property fmtid="{D5CDD505-2E9C-101B-9397-08002B2CF9AE}" pid="12" name="Mendeley Recent Style Id 4_1">
    <vt:lpwstr>http://www.zotero.org/styles/chicago-note-bibliography</vt:lpwstr>
  </property>
  <property fmtid="{D5CDD505-2E9C-101B-9397-08002B2CF9AE}" pid="13" name="Mendeley Recent Style Name 4_1">
    <vt:lpwstr>Chicago Manual of Style 16th edition (note)</vt:lpwstr>
  </property>
  <property fmtid="{D5CDD505-2E9C-101B-9397-08002B2CF9AE}" pid="14" name="Mendeley Recent Style Id 5_1">
    <vt:lpwstr>http://www.zotero.org/styles/harvard-cite-them-right</vt:lpwstr>
  </property>
  <property fmtid="{D5CDD505-2E9C-101B-9397-08002B2CF9AE}" pid="15" name="Mendeley Recent Style Name 5_1">
    <vt:lpwstr>Harvard - Cite Them Right 9th edition</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(author-date)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http://www.zotero.org/styles/ocean-engineering</vt:lpwstr>
  </property>
  <property fmtid="{D5CDD505-2E9C-101B-9397-08002B2CF9AE}" pid="23" name="Mendeley Recent Style Name 9_1">
    <vt:lpwstr>Ocean Engineering</vt:lpwstr>
  </property>
  <property fmtid="{D5CDD505-2E9C-101B-9397-08002B2CF9AE}" pid="24" name="Mendeley Citation Style_1">
    <vt:lpwstr>http://www.zotero.org/styles/ocean-engineering</vt:lpwstr>
  </property>
</Properties>
</file>