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82C2" w14:textId="00900A30" w:rsidR="007C4522" w:rsidRPr="003D5424" w:rsidRDefault="007C4522" w:rsidP="007C4522">
      <w:pPr>
        <w:pStyle w:val="BBAuthorName"/>
        <w:spacing w:before="100" w:beforeAutospacing="1" w:after="100" w:afterAutospacing="1" w:line="240" w:lineRule="auto"/>
        <w:jc w:val="left"/>
        <w:rPr>
          <w:rFonts w:ascii="Times New Roman" w:hAnsi="Times New Roman"/>
          <w:i w:val="0"/>
          <w:sz w:val="36"/>
          <w:szCs w:val="36"/>
        </w:rPr>
      </w:pPr>
      <w:r w:rsidRPr="003D5424">
        <w:rPr>
          <w:rFonts w:ascii="Times New Roman" w:hAnsi="Times New Roman"/>
          <w:i w:val="0"/>
          <w:sz w:val="36"/>
          <w:szCs w:val="36"/>
        </w:rPr>
        <w:t>T</w:t>
      </w:r>
      <w:r w:rsidR="00310185" w:rsidRPr="003D5424">
        <w:rPr>
          <w:rFonts w:ascii="Times New Roman" w:hAnsi="Times New Roman"/>
          <w:i w:val="0"/>
          <w:sz w:val="36"/>
          <w:szCs w:val="36"/>
        </w:rPr>
        <w:t>rade and t</w:t>
      </w:r>
      <w:r w:rsidRPr="003D5424">
        <w:rPr>
          <w:rFonts w:ascii="Times New Roman" w:hAnsi="Times New Roman"/>
          <w:i w:val="0"/>
          <w:sz w:val="36"/>
          <w:szCs w:val="36"/>
        </w:rPr>
        <w:t>he role of non</w:t>
      </w:r>
      <w:r w:rsidR="00426BD8">
        <w:rPr>
          <w:rFonts w:ascii="Times New Roman" w:hAnsi="Times New Roman"/>
          <w:i w:val="0"/>
          <w:sz w:val="36"/>
          <w:szCs w:val="36"/>
        </w:rPr>
        <w:t>-</w:t>
      </w:r>
      <w:r w:rsidRPr="003D5424">
        <w:rPr>
          <w:rFonts w:ascii="Times New Roman" w:hAnsi="Times New Roman"/>
          <w:i w:val="0"/>
          <w:sz w:val="36"/>
          <w:szCs w:val="36"/>
        </w:rPr>
        <w:t>food commodities for global eutrophication</w:t>
      </w:r>
    </w:p>
    <w:p w14:paraId="6E8B17B4" w14:textId="5E6B0F51" w:rsidR="007C4522" w:rsidRPr="003D5424" w:rsidRDefault="007C4522" w:rsidP="007C4522">
      <w:pPr>
        <w:pStyle w:val="BBAuthorName"/>
        <w:spacing w:before="100" w:beforeAutospacing="1" w:after="100" w:afterAutospacing="1" w:line="240" w:lineRule="auto"/>
        <w:jc w:val="left"/>
        <w:rPr>
          <w:rFonts w:ascii="Times New Roman" w:hAnsi="Times New Roman"/>
          <w:i w:val="0"/>
        </w:rPr>
      </w:pPr>
      <w:r w:rsidRPr="003D5424">
        <w:rPr>
          <w:rFonts w:ascii="Times New Roman" w:hAnsi="Times New Roman"/>
          <w:i w:val="0"/>
        </w:rPr>
        <w:t>Helen A. Hamilton</w:t>
      </w:r>
      <w:r w:rsidRPr="003D5424">
        <w:rPr>
          <w:rFonts w:ascii="Times New Roman" w:hAnsi="Times New Roman"/>
          <w:i w:val="0"/>
          <w:vertAlign w:val="superscript"/>
        </w:rPr>
        <w:t>1</w:t>
      </w:r>
      <w:r w:rsidR="007B5321" w:rsidRPr="003D5424">
        <w:rPr>
          <w:rFonts w:ascii="Times New Roman" w:hAnsi="Times New Roman"/>
          <w:i w:val="0"/>
        </w:rPr>
        <w:t>,</w:t>
      </w:r>
      <w:r w:rsidRPr="003D5424">
        <w:rPr>
          <w:rFonts w:ascii="Times New Roman" w:hAnsi="Times New Roman"/>
          <w:i w:val="0"/>
          <w:szCs w:val="24"/>
        </w:rPr>
        <w:t xml:space="preserve"> Diana Ivanova</w:t>
      </w:r>
      <w:r w:rsidRPr="003D5424">
        <w:rPr>
          <w:rFonts w:ascii="Times New Roman" w:hAnsi="Times New Roman"/>
          <w:i w:val="0"/>
          <w:szCs w:val="24"/>
          <w:vertAlign w:val="superscript"/>
        </w:rPr>
        <w:t>1</w:t>
      </w:r>
      <w:r w:rsidRPr="003D5424">
        <w:rPr>
          <w:rFonts w:ascii="Times New Roman" w:hAnsi="Times New Roman"/>
          <w:i w:val="0"/>
          <w:szCs w:val="24"/>
        </w:rPr>
        <w:t>, Konstantin Stadler</w:t>
      </w:r>
      <w:r w:rsidRPr="003D5424">
        <w:rPr>
          <w:rFonts w:ascii="Times New Roman" w:hAnsi="Times New Roman"/>
          <w:i w:val="0"/>
          <w:szCs w:val="24"/>
          <w:vertAlign w:val="superscript"/>
        </w:rPr>
        <w:t>1</w:t>
      </w:r>
      <w:r w:rsidRPr="003D5424">
        <w:rPr>
          <w:rFonts w:ascii="Times New Roman" w:hAnsi="Times New Roman"/>
          <w:i w:val="0"/>
          <w:szCs w:val="24"/>
        </w:rPr>
        <w:t>, Stefano Merciai</w:t>
      </w:r>
      <w:r w:rsidR="007B5321" w:rsidRPr="003D5424">
        <w:rPr>
          <w:rFonts w:ascii="Times New Roman" w:hAnsi="Times New Roman"/>
          <w:i w:val="0"/>
          <w:szCs w:val="24"/>
          <w:vertAlign w:val="superscript"/>
        </w:rPr>
        <w:t>2</w:t>
      </w:r>
      <w:r w:rsidRPr="003D5424">
        <w:rPr>
          <w:rFonts w:ascii="Times New Roman" w:hAnsi="Times New Roman"/>
          <w:i w:val="0"/>
          <w:szCs w:val="24"/>
        </w:rPr>
        <w:t>, Jannick Schmidt</w:t>
      </w:r>
      <w:r w:rsidR="007B5321" w:rsidRPr="003D5424">
        <w:rPr>
          <w:rFonts w:ascii="Times New Roman" w:hAnsi="Times New Roman"/>
          <w:i w:val="0"/>
          <w:szCs w:val="24"/>
          <w:vertAlign w:val="superscript"/>
        </w:rPr>
        <w:t>2</w:t>
      </w:r>
      <w:r w:rsidR="007B5321" w:rsidRPr="003D5424">
        <w:rPr>
          <w:rFonts w:ascii="Times New Roman" w:hAnsi="Times New Roman"/>
          <w:i w:val="0"/>
          <w:szCs w:val="24"/>
        </w:rPr>
        <w:t>, Rosalie van Zelm</w:t>
      </w:r>
      <w:r w:rsidR="007B5321" w:rsidRPr="003D5424">
        <w:rPr>
          <w:rFonts w:ascii="Times New Roman" w:hAnsi="Times New Roman"/>
          <w:i w:val="0"/>
          <w:szCs w:val="24"/>
          <w:vertAlign w:val="superscript"/>
        </w:rPr>
        <w:t>3</w:t>
      </w:r>
      <w:r w:rsidR="007B5321" w:rsidRPr="003D5424">
        <w:rPr>
          <w:rFonts w:ascii="Times New Roman" w:hAnsi="Times New Roman"/>
          <w:i w:val="0"/>
          <w:szCs w:val="24"/>
        </w:rPr>
        <w:t>,</w:t>
      </w:r>
      <w:r w:rsidR="004D11FB">
        <w:rPr>
          <w:rFonts w:ascii="Times New Roman" w:hAnsi="Times New Roman"/>
          <w:i w:val="0"/>
          <w:szCs w:val="24"/>
        </w:rPr>
        <w:t xml:space="preserve"> Daniel Moran</w:t>
      </w:r>
      <w:r w:rsidR="004D11FB">
        <w:rPr>
          <w:rFonts w:ascii="Times New Roman" w:hAnsi="Times New Roman"/>
          <w:i w:val="0"/>
          <w:szCs w:val="24"/>
          <w:vertAlign w:val="superscript"/>
        </w:rPr>
        <w:t>1</w:t>
      </w:r>
      <w:r w:rsidR="004D11FB">
        <w:rPr>
          <w:rFonts w:ascii="Times New Roman" w:hAnsi="Times New Roman"/>
          <w:i w:val="0"/>
          <w:szCs w:val="24"/>
        </w:rPr>
        <w:t>,</w:t>
      </w:r>
      <w:r w:rsidR="007B5321" w:rsidRPr="003D5424">
        <w:rPr>
          <w:rFonts w:ascii="Times New Roman" w:hAnsi="Times New Roman"/>
          <w:i w:val="0"/>
          <w:szCs w:val="24"/>
        </w:rPr>
        <w:t xml:space="preserve"> </w:t>
      </w:r>
      <w:r w:rsidR="007B5321" w:rsidRPr="003D5424">
        <w:rPr>
          <w:rFonts w:ascii="Times New Roman" w:hAnsi="Times New Roman"/>
          <w:i w:val="0"/>
        </w:rPr>
        <w:t>Richard Wood</w:t>
      </w:r>
      <w:r w:rsidR="007B5321" w:rsidRPr="003D5424">
        <w:rPr>
          <w:rFonts w:ascii="Times New Roman" w:hAnsi="Times New Roman"/>
          <w:i w:val="0"/>
          <w:vertAlign w:val="superscript"/>
        </w:rPr>
        <w:t>1,</w:t>
      </w:r>
      <w:r w:rsidR="007B5321" w:rsidRPr="003D5424">
        <w:rPr>
          <w:rFonts w:ascii="Times New Roman" w:hAnsi="Times New Roman"/>
          <w:i w:val="0"/>
        </w:rPr>
        <w:t>*</w:t>
      </w:r>
    </w:p>
    <w:p w14:paraId="69193C50" w14:textId="2C57DA24" w:rsidR="007C4522" w:rsidRPr="00100D33" w:rsidRDefault="007C4522" w:rsidP="007C4522">
      <w:pPr>
        <w:pStyle w:val="FACorrespondingAuthorFootnote"/>
        <w:spacing w:before="100" w:beforeAutospacing="1" w:after="100" w:afterAutospacing="1" w:line="240" w:lineRule="auto"/>
        <w:jc w:val="left"/>
        <w:rPr>
          <w:rFonts w:ascii="Times New Roman" w:hAnsi="Times New Roman"/>
        </w:rPr>
      </w:pPr>
      <w:r>
        <w:rPr>
          <w:rFonts w:ascii="Times New Roman" w:hAnsi="Times New Roman"/>
          <w:szCs w:val="24"/>
        </w:rPr>
        <w:t xml:space="preserve">Affiliations: </w:t>
      </w:r>
      <w:r>
        <w:rPr>
          <w:rFonts w:ascii="Times New Roman" w:hAnsi="Times New Roman"/>
          <w:szCs w:val="24"/>
          <w:vertAlign w:val="superscript"/>
        </w:rPr>
        <w:t>1</w:t>
      </w:r>
      <w:r w:rsidRPr="00EE3E4E">
        <w:rPr>
          <w:rFonts w:ascii="Times New Roman" w:hAnsi="Times New Roman"/>
        </w:rPr>
        <w:t>Norwegian Univer</w:t>
      </w:r>
      <w:r>
        <w:rPr>
          <w:rFonts w:ascii="Times New Roman" w:hAnsi="Times New Roman"/>
        </w:rPr>
        <w:t>sity of Science and Technology</w:t>
      </w:r>
      <w:r w:rsidRPr="00EE3E4E">
        <w:rPr>
          <w:rFonts w:ascii="Times New Roman" w:hAnsi="Times New Roman"/>
        </w:rPr>
        <w:t>, Trondheim, Norway</w:t>
      </w:r>
      <w:r>
        <w:rPr>
          <w:rFonts w:ascii="Times New Roman" w:hAnsi="Times New Roman"/>
        </w:rPr>
        <w:t xml:space="preserve">; </w:t>
      </w:r>
      <w:r w:rsidR="007B5321">
        <w:rPr>
          <w:rFonts w:ascii="Times New Roman" w:hAnsi="Times New Roman"/>
          <w:vertAlign w:val="superscript"/>
        </w:rPr>
        <w:t>2</w:t>
      </w:r>
      <w:r w:rsidR="007B5321">
        <w:rPr>
          <w:rFonts w:ascii="Times New Roman" w:hAnsi="Times New Roman"/>
        </w:rPr>
        <w:t>Aalborg University, Aalborg</w:t>
      </w:r>
      <w:r>
        <w:rPr>
          <w:rFonts w:ascii="Times New Roman" w:hAnsi="Times New Roman"/>
        </w:rPr>
        <w:t>, Denmark</w:t>
      </w:r>
      <w:r w:rsidR="007B5321">
        <w:rPr>
          <w:rFonts w:ascii="Times New Roman" w:hAnsi="Times New Roman"/>
        </w:rPr>
        <w:t xml:space="preserve">; </w:t>
      </w:r>
      <w:r w:rsidR="007B5321">
        <w:rPr>
          <w:rFonts w:ascii="Times New Roman" w:hAnsi="Times New Roman"/>
          <w:vertAlign w:val="superscript"/>
        </w:rPr>
        <w:t>3</w:t>
      </w:r>
      <w:r w:rsidR="007B5321">
        <w:rPr>
          <w:rFonts w:ascii="Times New Roman" w:hAnsi="Times New Roman"/>
        </w:rPr>
        <w:t>Radboud University, Nijmegen, The Netherlands</w:t>
      </w:r>
    </w:p>
    <w:p w14:paraId="082BC6DF" w14:textId="35517C0F" w:rsidR="007C4522" w:rsidRPr="00EE3E4E" w:rsidRDefault="007C4522" w:rsidP="007C4522">
      <w:pPr>
        <w:pStyle w:val="TAMainText"/>
        <w:spacing w:before="100" w:beforeAutospacing="1" w:after="100" w:afterAutospacing="1" w:line="240" w:lineRule="auto"/>
        <w:ind w:firstLine="0"/>
        <w:jc w:val="left"/>
        <w:rPr>
          <w:rFonts w:ascii="Times New Roman" w:hAnsi="Times New Roman"/>
        </w:rPr>
      </w:pPr>
      <w:r w:rsidRPr="00EE3E4E">
        <w:rPr>
          <w:rFonts w:ascii="Times New Roman" w:hAnsi="Times New Roman"/>
        </w:rPr>
        <w:t xml:space="preserve">*Ad: Sem Sælands vei 7, Trondheim, Norway; Tel: +47 45002105; email: </w:t>
      </w:r>
      <w:r w:rsidR="00310185">
        <w:rPr>
          <w:rFonts w:ascii="Times New Roman" w:hAnsi="Times New Roman"/>
        </w:rPr>
        <w:t>richard.wood</w:t>
      </w:r>
      <w:r w:rsidRPr="00EE3E4E">
        <w:rPr>
          <w:rFonts w:ascii="Times New Roman" w:hAnsi="Times New Roman"/>
        </w:rPr>
        <w:t>@ntnu.no</w:t>
      </w:r>
    </w:p>
    <w:p w14:paraId="0DC8D85A" w14:textId="5BD34647" w:rsidR="00DA4FCF" w:rsidRDefault="00DA4FCF" w:rsidP="007C4522">
      <w:pPr>
        <w:pStyle w:val="BDAbstract"/>
        <w:spacing w:before="100" w:beforeAutospacing="1" w:after="100" w:afterAutospacing="1" w:line="240" w:lineRule="auto"/>
        <w:rPr>
          <w:rFonts w:ascii="Times New Roman" w:hAnsi="Times New Roman"/>
        </w:rPr>
      </w:pPr>
      <w:r w:rsidRPr="00DA4FCF">
        <w:rPr>
          <w:rFonts w:ascii="Times New Roman" w:hAnsi="Times New Roman"/>
          <w:b/>
        </w:rPr>
        <w:t xml:space="preserve">Key words: </w:t>
      </w:r>
      <w:r w:rsidRPr="00DA4FCF">
        <w:rPr>
          <w:rFonts w:ascii="Times New Roman" w:hAnsi="Times New Roman"/>
        </w:rPr>
        <w:t xml:space="preserve">Marine eutrophication, Freshwater eutrophication, </w:t>
      </w:r>
      <w:r w:rsidR="00310185">
        <w:rPr>
          <w:rFonts w:ascii="Times New Roman" w:hAnsi="Times New Roman"/>
        </w:rPr>
        <w:t>input-output analysis</w:t>
      </w:r>
      <w:r w:rsidRPr="00DA4FCF">
        <w:rPr>
          <w:rFonts w:ascii="Times New Roman" w:hAnsi="Times New Roman"/>
        </w:rPr>
        <w:t xml:space="preserve">, </w:t>
      </w:r>
      <w:r w:rsidR="00310185">
        <w:rPr>
          <w:rFonts w:ascii="Times New Roman" w:hAnsi="Times New Roman"/>
        </w:rPr>
        <w:t>environmental footprint, trade</w:t>
      </w:r>
      <w:bookmarkStart w:id="0" w:name="_GoBack"/>
      <w:bookmarkEnd w:id="0"/>
    </w:p>
    <w:p w14:paraId="533BF7C5" w14:textId="09A9E6D9" w:rsidR="005812C3" w:rsidRDefault="005812C3" w:rsidP="005812C3">
      <w:pPr>
        <w:pStyle w:val="TAMainText"/>
      </w:pPr>
    </w:p>
    <w:p w14:paraId="5609B8E5" w14:textId="44EFD1D6" w:rsidR="005812C3" w:rsidRPr="005812C3" w:rsidRDefault="005812C3" w:rsidP="005812C3">
      <w:pPr>
        <w:pStyle w:val="TAMainText"/>
        <w:jc w:val="center"/>
        <w:rPr>
          <w:highlight w:val="yellow"/>
        </w:rPr>
      </w:pPr>
      <w:r w:rsidRPr="005812C3">
        <w:rPr>
          <w:highlight w:val="yellow"/>
        </w:rPr>
        <w:t>THIS IS A PREPRINT VERSION. PLEASE DO NOT USE THIS VERSION. PEASE REFER TO THE FINAL PUBLISHED VERSION:</w:t>
      </w:r>
    </w:p>
    <w:p w14:paraId="7FFF1735" w14:textId="21199987" w:rsidR="005812C3" w:rsidRPr="005812C3" w:rsidRDefault="005812C3" w:rsidP="005812C3">
      <w:pPr>
        <w:pStyle w:val="TAMainText"/>
        <w:jc w:val="center"/>
        <w:rPr>
          <w:highlight w:val="yellow"/>
        </w:rPr>
      </w:pPr>
      <w:hyperlink r:id="rId8" w:history="1">
        <w:r w:rsidRPr="005812C3">
          <w:rPr>
            <w:rStyle w:val="Hyperlink"/>
            <w:highlight w:val="yellow"/>
          </w:rPr>
          <w:t>https://www.nature.com/articles/s41893-018-0079-z</w:t>
        </w:r>
      </w:hyperlink>
    </w:p>
    <w:p w14:paraId="09E6C57A" w14:textId="0709B62B" w:rsidR="005812C3" w:rsidRDefault="005812C3" w:rsidP="005812C3">
      <w:pPr>
        <w:pStyle w:val="TAMainText"/>
        <w:jc w:val="center"/>
      </w:pPr>
      <w:r w:rsidRPr="005812C3">
        <w:rPr>
          <w:highlight w:val="yellow"/>
        </w:rPr>
        <w:t>THIS VERSION MAY CONTAIN ERRORS</w:t>
      </w:r>
    </w:p>
    <w:p w14:paraId="1A9E566E" w14:textId="77777777" w:rsidR="005812C3" w:rsidRPr="005812C3" w:rsidRDefault="005812C3" w:rsidP="005812C3">
      <w:pPr>
        <w:pStyle w:val="TAMainText"/>
      </w:pPr>
    </w:p>
    <w:p w14:paraId="12790B84" w14:textId="17C8A37F" w:rsidR="007C4522" w:rsidRPr="008E2D0A" w:rsidRDefault="007E0345" w:rsidP="007C4522">
      <w:pPr>
        <w:pStyle w:val="BDAbstract"/>
        <w:spacing w:before="100" w:beforeAutospacing="1" w:after="100" w:afterAutospacing="1" w:line="240" w:lineRule="auto"/>
        <w:rPr>
          <w:rFonts w:ascii="Times New Roman" w:hAnsi="Times New Roman"/>
          <w:b/>
        </w:rPr>
      </w:pPr>
      <w:r>
        <w:rPr>
          <w:rFonts w:ascii="Times New Roman" w:hAnsi="Times New Roman"/>
          <w:b/>
        </w:rPr>
        <w:t>Summary</w:t>
      </w:r>
    </w:p>
    <w:p w14:paraId="3EAD1F9E" w14:textId="3A40DF71" w:rsidR="000A79C1" w:rsidRDefault="000A79C1" w:rsidP="00B018A6">
      <w:pPr>
        <w:pStyle w:val="BDAbstract"/>
        <w:spacing w:before="100" w:beforeAutospacing="1" w:after="100" w:afterAutospacing="1" w:line="240" w:lineRule="auto"/>
      </w:pPr>
      <w:r>
        <w:t>The oversupply of nutrients</w:t>
      </w:r>
      <w:r w:rsidR="00417C70">
        <w:t xml:space="preserve"> (phosphorous and nitrogen) </w:t>
      </w:r>
      <w:r>
        <w:t xml:space="preserve">in fresh and marine water bodies presents a serious ecosystem threat due to impacts on water quality through eutrophication. With agriculture characterized as a primary driver of eutrophication, the role of food consumption and trade has been the focus of recent phosphorus and nitrogen impact studies. However, the environmental impacts associated with non-food commodities are significant </w:t>
      </w:r>
      <w:r w:rsidR="0067397B">
        <w:t>and yet to be characterized</w:t>
      </w:r>
      <w:r w:rsidR="00D62899">
        <w:t>. We link a spatially-</w:t>
      </w:r>
      <w:r>
        <w:t xml:space="preserve">explicit treatment of phosphorous and nitrogen </w:t>
      </w:r>
      <w:r w:rsidR="00647CF2">
        <w:t xml:space="preserve">eutrophication </w:t>
      </w:r>
      <w:r>
        <w:t>potential</w:t>
      </w:r>
      <w:r w:rsidR="00647CF2">
        <w:t>s</w:t>
      </w:r>
      <w:r>
        <w:t xml:space="preserve"> to a multi-regional input-output approach to characterize the importance of overall consumption for marine and freshwater eutrophication across 44 countries and 5 rest-of-world regions over the years 2000-2011. We find clothing, goods for shelter</w:t>
      </w:r>
      <w:r w:rsidR="000C12C8">
        <w:t>,</w:t>
      </w:r>
      <w:r>
        <w:t xml:space="preserve"> </w:t>
      </w:r>
      <w:r w:rsidR="000C12C8">
        <w:t xml:space="preserve">services </w:t>
      </w:r>
      <w:r>
        <w:t xml:space="preserve">and other </w:t>
      </w:r>
      <w:r w:rsidRPr="005C169E">
        <w:t>manufactured products account for 35% of global marine eutrophication and 3</w:t>
      </w:r>
      <w:r w:rsidR="005C169E" w:rsidRPr="005C169E">
        <w:t>8</w:t>
      </w:r>
      <w:r w:rsidRPr="005C169E">
        <w:t>% of the global freshwater eutrophication footprints in 2011</w:t>
      </w:r>
      <w:r w:rsidR="001340E4" w:rsidRPr="005C169E">
        <w:t xml:space="preserve"> </w:t>
      </w:r>
      <w:r w:rsidRPr="005C169E">
        <w:t xml:space="preserve">up from 31% and </w:t>
      </w:r>
      <w:r w:rsidR="005C169E" w:rsidRPr="005C169E">
        <w:t>33</w:t>
      </w:r>
      <w:r w:rsidRPr="005C169E">
        <w:t xml:space="preserve">% respectively in 2000. </w:t>
      </w:r>
      <w:r w:rsidR="00647CF2" w:rsidRPr="005C169E">
        <w:t>Relative to food</w:t>
      </w:r>
      <w:r w:rsidR="00647CF2">
        <w:t xml:space="preserve"> consumption, n</w:t>
      </w:r>
      <w:r>
        <w:t>on-food consumption is</w:t>
      </w:r>
      <w:r w:rsidR="00647CF2">
        <w:t xml:space="preserve"> also</w:t>
      </w:r>
      <w:r>
        <w:t xml:space="preserve"> significantly more income elastic and shaped by trade. </w:t>
      </w:r>
      <w:r w:rsidR="00D62899">
        <w:t>Thus, a</w:t>
      </w:r>
      <w:r w:rsidR="000C12C8">
        <w:t xml:space="preserve">s economies develop, this </w:t>
      </w:r>
      <w:r>
        <w:t>points to the need for trade agreements</w:t>
      </w:r>
      <w:r w:rsidR="001A6916">
        <w:t xml:space="preserve"> and policies</w:t>
      </w:r>
      <w:r>
        <w:t xml:space="preserve"> to consider the displacement of </w:t>
      </w:r>
      <w:r w:rsidR="00D62899">
        <w:t>ecosystem</w:t>
      </w:r>
      <w:r>
        <w:t xml:space="preserve"> impacts.</w:t>
      </w:r>
    </w:p>
    <w:p w14:paraId="5DC74370" w14:textId="7D3E2AD6" w:rsidR="007C4522" w:rsidRPr="008E2D0A" w:rsidRDefault="00B410A2" w:rsidP="007C4522">
      <w:pPr>
        <w:pStyle w:val="BDAbstract"/>
        <w:spacing w:before="100" w:beforeAutospacing="1" w:after="100" w:afterAutospacing="1" w:line="240" w:lineRule="auto"/>
        <w:rPr>
          <w:rFonts w:ascii="Times New Roman" w:hAnsi="Times New Roman"/>
          <w:b/>
        </w:rPr>
      </w:pPr>
      <w:r>
        <w:rPr>
          <w:rFonts w:ascii="Times New Roman" w:hAnsi="Times New Roman"/>
          <w:b/>
        </w:rPr>
        <w:t>Introduction</w:t>
      </w:r>
    </w:p>
    <w:p w14:paraId="40730F68" w14:textId="386AF797" w:rsidR="007C4522" w:rsidRDefault="00A27E64" w:rsidP="00B018A6">
      <w:pPr>
        <w:pStyle w:val="BDAbstract"/>
        <w:spacing w:before="100" w:beforeAutospacing="1" w:after="100" w:afterAutospacing="1" w:line="240" w:lineRule="auto"/>
        <w:rPr>
          <w:rFonts w:ascii="Times New Roman" w:hAnsi="Times New Roman"/>
        </w:rPr>
      </w:pPr>
      <w:r>
        <w:rPr>
          <w:rFonts w:ascii="Times New Roman" w:hAnsi="Times New Roman"/>
        </w:rPr>
        <w:lastRenderedPageBreak/>
        <w:t>Current</w:t>
      </w:r>
      <w:r w:rsidR="00D61B63">
        <w:rPr>
          <w:rFonts w:ascii="Times New Roman" w:hAnsi="Times New Roman"/>
        </w:rPr>
        <w:t xml:space="preserve"> </w:t>
      </w:r>
      <w:r>
        <w:rPr>
          <w:rFonts w:ascii="Times New Roman" w:hAnsi="Times New Roman"/>
        </w:rPr>
        <w:t>farming practices</w:t>
      </w:r>
      <w:r w:rsidR="00D61B63">
        <w:rPr>
          <w:rFonts w:ascii="Times New Roman" w:hAnsi="Times New Roman"/>
        </w:rPr>
        <w:t xml:space="preserve"> </w:t>
      </w:r>
      <w:r w:rsidR="006D3580">
        <w:rPr>
          <w:rFonts w:ascii="Times New Roman" w:hAnsi="Times New Roman"/>
        </w:rPr>
        <w:t xml:space="preserve">and the </w:t>
      </w:r>
      <w:r>
        <w:rPr>
          <w:rFonts w:ascii="Times New Roman" w:hAnsi="Times New Roman"/>
        </w:rPr>
        <w:t>high rates of fertilizer use increase</w:t>
      </w:r>
      <w:r w:rsidR="004B46F8">
        <w:rPr>
          <w:rFonts w:ascii="Times New Roman" w:hAnsi="Times New Roman"/>
        </w:rPr>
        <w:t xml:space="preserve"> </w:t>
      </w:r>
      <w:r w:rsidR="008A6C37">
        <w:rPr>
          <w:rFonts w:ascii="Times New Roman" w:hAnsi="Times New Roman"/>
        </w:rPr>
        <w:t xml:space="preserve">nitrogen (N) and </w:t>
      </w:r>
      <w:r w:rsidR="004B46F8">
        <w:rPr>
          <w:rFonts w:ascii="Times New Roman" w:hAnsi="Times New Roman"/>
        </w:rPr>
        <w:t xml:space="preserve">phosphorus (P) </w:t>
      </w:r>
      <w:r w:rsidR="007C4522">
        <w:rPr>
          <w:rFonts w:ascii="Times New Roman" w:hAnsi="Times New Roman"/>
        </w:rPr>
        <w:t>mobilization into marine and freshwater systems.</w:t>
      </w:r>
      <w:r w:rsidR="007C4522">
        <w:rPr>
          <w:rFonts w:ascii="Times New Roman" w:hAnsi="Times New Roman"/>
        </w:rPr>
        <w:fldChar w:fldCharType="begin" w:fldLock="1"/>
      </w:r>
      <w:r w:rsidR="000F4114">
        <w:rPr>
          <w:rFonts w:ascii="Times New Roman" w:hAnsi="Times New Roman"/>
        </w:rPr>
        <w:instrText>ADDIN CSL_CITATION { "citationItems" : [ { "id" : "ITEM-1", "itemData" : { "DOI" : "10.1073/pnas.1010808108", "ISBN" : "0027-8424", "ISSN" : "1091-6490", "PMID" : "21282605", "abstract" : "Increased phosphorus (P) fertilizer use and livestock production has fundamentally altered the global P cycle. We calculated spatially explicit P balances for cropland soils at 0.5\u00b0 resolution based on the principal agronomic P inputs and outputs associated with production of 123 crops globally for the year 2000. Although agronomic inputs of P fertilizer (14.2 Tg of P\u00b7y(-1)) and manure (9.6 Tg of P\u00b7y(-1)) collectively exceeded P removal by harvested crops (12.3 Tg of P\u00b7y(-1)) at the global scale, P deficits covered almost 30% of the global cropland area. There was massive variation in the magnitudes of these P imbalances across most regions, particularly Europe and South America. High P fertilizer application relative to crop P use resulted in a greater proportion of the intense P surpluses (&gt;13 kg of P\u00b7ha(-1)\u00b7y(-1)) globally than manure P application. High P fertilizer application was also typically associated with areas of relatively low P-use efficiency. Although manure was an important driver of P surpluses in some locations with high livestock densities, P deficits were common in areas producing forage crops used as livestock feed. Resolving agronomic P imbalances may be possible with more efficient use of P fertilizers and more effective recycling of manure P. Such reforms are needed to increase global agricultural productivity while maintaining or improving freshwater quality.", "author" : [ { "dropping-particle" : "", "family" : "MacDonald", "given" : "Graham K", "non-dropping-particle" : "", "parse-names" : false, "suffix" : "" }, { "dropping-particle" : "", "family" : "Bennett", "given" : "Elena M", "non-dropping-particle" : "", "parse-names" : false, "suffix" : "" }, { "dropping-particle" : "", "family" : "Potter", "given" : "Philip A", "non-dropping-particle" : "", "parse-names" : false, "suffix" : "" }, { "dropping-particle" : "", "family" : "Ramankutty", "given" : "Navin", "non-dropping-particle" : "", "parse-names" : false, "suffix" : "" } ], "container-title" : "Proceedings of the National Academy of Sciences of the United States of America", "id" : "ITEM-1", "issue" : "7", "issued" : { "date-parts" : [ [ "2011" ] ] }, "page" : "3086-91", "title" : "Agronomic phosphorus imbalances across the world's croplands.", "type" : "article-journal", "volume" : "108" }, "uris" : [ "http://www.mendeley.com/documents/?uuid=0e13b0d8-56a8-48f1-a095-aa55330e0a1c" ] }, { "id" : "ITEM-2", "itemData" : { "author" : [ { "dropping-particle" : "", "family" : "Tilman", "given" : "David", "non-dropping-particle" : "", "parse-names" : false, "suffix" : "" }, { "dropping-particle" : "", "family" : "Cassman", "given" : "Kenneth G.", "non-dropping-particle" : "", "parse-names" : false, "suffix" : "" }, { "dropping-particle" : "", "family" : "Matson", "given" : "Pamela A.", "non-dropping-particle" : "", "parse-names" : false, "suffix" : "" }, { "dropping-particle" : "", "family" : "Naylor", "given" : "Rosamond L", "non-dropping-particle" : "", "parse-names" : false, "suffix" : "" }, { "dropping-particle" : "", "family" : "Polasky", "given" : "Stephen", "non-dropping-particle" : "", "parse-names" : false, "suffix" : "" } ], "container-title" : "Nature", "id" : "ITEM-2", "issue" : "August", "issued" : { "date-parts" : [ [ "2002" ] ] }, "page" : "671-677", "title" : "Agricultural sustainability and intensive production practices", "type" : "article-journal", "volume" : "418" }, "uris" : [ "http://www.mendeley.com/documents/?uuid=782b6987-427f-4a95-a68e-18222505339c" ] }, { "id" : "ITEM-3", "itemData" : { "DOI" : "10.1126/science.1170261", "ISBN" : "0036-8075\\r1095-9203", "ISSN" : "0036-8075", "PMID" : "267130600026", "abstract" : "\u5bf9\u6bd4\u4e09\u4e2a\u4e0d\u540c\u519c\u4e1a\u79cd\u690d\u7cfb\u7edf\u7684\u8425\u517b\u5143\u7d20\u5e73\u8861\u5173\u7cfb\uff08\u80af\u5c3c\u4e9a\uff1a\u8f93\u5165\u5c0f\u4e8e\u8f93\u51fa\uff1b\u4e2d\u56fd\uff1a\u8f93\u5165\u8fdc\u5927\u4e8e\u8f93\u51fa\uff1b\u7f8e\u56fd\uff1a\u8f93\u5165\u7565\u5927\u4e8e\u8f93\u51fa\uff09\u3002\u5efa\u8bae\uff1a\u80af\u5c3c\u4e9a\u63a8\u884c\u653f\u5e9c\u5316\u80a5\u8865\u8d34\uff0c\u4e2d\u56fd\u63a8\u884c\u6d4b\u571f\u914d\u65b9\u3001\u4fdd\u62a4\u6cb3\u6ee8\u5730\u5e26\u3001\u6539\u53d8\u52a8\u7269\u996e\u98df\u7ed3\u6784\u3001\u79cd\u690d\u591a\u5e74\u751f\u690d\u7269\u7b49\u3002 \u4e2d\u56fd\u548c\u6b27\u6d32\u5df2\u652f\u6301\u591a\u5c3a\u5ea6\u7684\u751f\u7269\u5316\u5b66\u7814\u7a76\uff0c\u65e8\u5728\u8be6\u7ec6\u4e86\u89e3\u519c\u4e1a\u571f\u58e4\u4e2d\u8425\u517b\u5143\u7d20\u7684\u6d41\u52a8\u8fc7\u7a0b\u3002 \u672a\u6765\u7814\u7a76\u8fd8\u9700\u8981\u8bc4\u4f30\u65b9\u6cd5\u548c\u63a8\u5e7f\u52a8\u673a\u3002", "author" : [ { "dropping-particle" : "", "family" : "Vitousek P.M. et al", "given" : "", "non-dropping-particle" : "", "parse-names" : false, "suffix" : "" } ], "container-title" : "Science", "id" : "ITEM-3", "issued" : { "date-parts" : [ [ "2009" ] ] }, "page" : "1519-1520", "title" : "Nutrient imbalances in agricultural development", "type" : "article-journal", "volume" : "324" }, "uris" : [ "http://www.mendeley.com/documents/?uuid=79770f6e-eddd-4f02-b855-de9efec4f85f" ] } ], "mendeley" : { "formattedCitation" : "&lt;sup&gt;1\u20133&lt;/sup&gt;", "plainTextFormattedCitation" : "1\u20133", "previouslyFormattedCitation" : "&lt;sup&gt;1\u20133&lt;/sup&gt;" }, "properties" : {  }, "schema" : "https://github.com/citation-style-language/schema/raw/master/csl-citation.json" }</w:instrText>
      </w:r>
      <w:r w:rsidR="007C4522">
        <w:rPr>
          <w:rFonts w:ascii="Times New Roman" w:hAnsi="Times New Roman"/>
        </w:rPr>
        <w:fldChar w:fldCharType="separate"/>
      </w:r>
      <w:r w:rsidR="00F35308" w:rsidRPr="00F35308">
        <w:rPr>
          <w:rFonts w:ascii="Times New Roman" w:hAnsi="Times New Roman"/>
          <w:noProof/>
          <w:vertAlign w:val="superscript"/>
        </w:rPr>
        <w:t>1–3</w:t>
      </w:r>
      <w:r w:rsidR="007C4522">
        <w:rPr>
          <w:rFonts w:ascii="Times New Roman" w:hAnsi="Times New Roman"/>
        </w:rPr>
        <w:fldChar w:fldCharType="end"/>
      </w:r>
      <w:r w:rsidR="007C4522">
        <w:rPr>
          <w:rFonts w:ascii="Times New Roman" w:hAnsi="Times New Roman"/>
        </w:rPr>
        <w:t xml:space="preserve"> Excess nutrients in water bodies have severe environmental consequences, as they</w:t>
      </w:r>
      <w:r w:rsidR="004B46F8">
        <w:rPr>
          <w:rFonts w:ascii="Times New Roman" w:hAnsi="Times New Roman"/>
        </w:rPr>
        <w:t xml:space="preserve"> </w:t>
      </w:r>
      <w:r w:rsidR="007C4522">
        <w:rPr>
          <w:rFonts w:ascii="Times New Roman" w:hAnsi="Times New Roman"/>
        </w:rPr>
        <w:t>trigger eutrophication which degrades water quality, reduces biodiversity and creates aquatic dead zones.</w:t>
      </w:r>
      <w:r w:rsidR="007C4522">
        <w:rPr>
          <w:rFonts w:ascii="Times New Roman" w:hAnsi="Times New Roman"/>
        </w:rPr>
        <w:fldChar w:fldCharType="begin" w:fldLock="1"/>
      </w:r>
      <w:r w:rsidR="000F4114">
        <w:rPr>
          <w:rFonts w:ascii="Times New Roman" w:hAnsi="Times New Roman"/>
        </w:rPr>
        <w:instrText>ADDIN CSL_CITATION { "citationItems" : [ { "id" : "ITEM-1", "itemData" : { "DOI" : "10.1111/j.1461-0248.2007.01113.x", "ISBN" : "1461-023X", "ISSN" : "1461023X", "PMID" : "17922835", "abstract" : "The cycles of the key nutrient elements nitrogen (N) and phosphorus (P) have been massively altered by anthropogenic activities. Thus, it is essential to understand how photosynthetic production across diverse ecosystems is, or is not, limited by N and P. Via a large-scale meta-analysis of experimental enrichments, we show that P limitation is equally strong across these major habitats and that N and P limitation are equivalent within both terrestrial and freshwater systems. Furthermore, simultaneous N and P enrichment produces strongly positive synergistic responses in all three environments. Thus, contrary to some prevailing paradigms, freshwater, marine and terrestrial ecosystems are surprisingly similar in terms of N and P limitation.", "author" : [ { "dropping-particle" : "", "family" : "Elser", "given" : "James J.", "non-dropping-particle" : "", "parse-names" : false, "suffix" : "" }, { "dropping-particle" : "", "family" : "Bracken", "given" : "Matthew E S", "non-dropping-particle" : "", "parse-names" : false, "suffix" : "" }, { "dropping-particle" : "", "family" : "Cleland", "given" : "Elsa E.", "non-dropping-particle" : "", "parse-names" : false, "suffix" : "" }, { "dropping-particle" : "", "family" : "Gruner", "given" : "Daniel S.", "non-dropping-particle" : "", "parse-names" : false, "suffix" : "" }, { "dropping-particle" : "", "family" : "Harpole", "given" : "W. Stanley", "non-dropping-particle" : "", "parse-names" : false, "suffix" : "" }, { "dropping-particle" : "", "family" : "Hillebrand", "given" : "Helmut", "non-dropping-particle" : "", "parse-names" : false, "suffix" : "" }, { "dropping-particle" : "", "family" : "Ngai", "given" : "Jacqueline T.", "non-dropping-particle" : "", "parse-names" : false, "suffix" : "" }, { "dropping-particle" : "", "family" : "Seabloom", "given" : "Eric W.", "non-dropping-particle" : "", "parse-names" : false, "suffix" : "" }, { "dropping-particle" : "", "family" : "Shurin", "given" : "Jonathan B.", "non-dropping-particle" : "", "parse-names" : false, "suffix" : "" }, { "dropping-particle" : "", "family" : "Smith", "given" : "Jennifer E.", "non-dropping-particle" : "", "parse-names" : false, "suffix" : "" } ], "container-title" : "Ecology Letters", "id" : "ITEM-1", "issue" : "12", "issued" : { "date-parts" : [ [ "2007" ] ] }, "page" : "1135-1142", "title" : "Global analysis of nitrogen and phosphorus limitation of primary producers in freshwater, marine and terrestrial ecosystems", "type" : "article-journal", "volume" : "10" }, "uris" : [ "http://www.mendeley.com/documents/?uuid=6de999a9-bb2d-4335-94c2-ec8741c8a627" ] }, { "id" : "ITEM-2", "itemData" : { "DOI" : "10.1016/S0269-7491(99)00091-3", "author" : [ { "dropping-particle" : "", "family" : "Smith", "given" : "Val H", "non-dropping-particle" : "", "parse-names" : false, "suffix" : "" }, { "dropping-particle" : "", "family" : "Tilman", "given" : "G D", "non-dropping-particle" : "", "parse-names" : false, "suffix" : "" }, { "dropping-particle" : "", "family" : "Nekola", "given" : "J C", "non-dropping-particle" : "", "parse-names" : false, "suffix" : "" } ], "container-title" : "Environmental Pollution", "id" : "ITEM-2", "issue" : "179-196", "issued" : { "date-parts" : [ [ "1999" ] ] }, "title" : "Eutrophication : Impacts of Excess Nutrient Inputs on Freshwater , Marine , and Terrestrial Ecosystems", "type" : "article-journal", "volume" : "100" }, "uris" : [ "http://www.mendeley.com/documents/?uuid=968f439f-c0c5-4803-ad81-5d160ea74897" ] } ], "mendeley" : { "formattedCitation" : "&lt;sup&gt;4,5&lt;/sup&gt;", "plainTextFormattedCitation" : "4,5", "previouslyFormattedCitation" : "&lt;sup&gt;4,5&lt;/sup&gt;" }, "properties" : {  }, "schema" : "https://github.com/citation-style-language/schema/raw/master/csl-citation.json" }</w:instrText>
      </w:r>
      <w:r w:rsidR="007C4522">
        <w:rPr>
          <w:rFonts w:ascii="Times New Roman" w:hAnsi="Times New Roman"/>
        </w:rPr>
        <w:fldChar w:fldCharType="separate"/>
      </w:r>
      <w:r w:rsidR="00F35308" w:rsidRPr="00F35308">
        <w:rPr>
          <w:rFonts w:ascii="Times New Roman" w:hAnsi="Times New Roman"/>
          <w:noProof/>
          <w:vertAlign w:val="superscript"/>
        </w:rPr>
        <w:t>4,5</w:t>
      </w:r>
      <w:r w:rsidR="007C4522">
        <w:rPr>
          <w:rFonts w:ascii="Times New Roman" w:hAnsi="Times New Roman"/>
        </w:rPr>
        <w:fldChar w:fldCharType="end"/>
      </w:r>
      <w:r w:rsidR="007C4522">
        <w:rPr>
          <w:rFonts w:ascii="Times New Roman" w:hAnsi="Times New Roman"/>
        </w:rPr>
        <w:t xml:space="preserve"> Industrial animal farming further contributes to eutrophication </w:t>
      </w:r>
      <w:r w:rsidR="002A3F5A">
        <w:rPr>
          <w:rFonts w:ascii="Times New Roman" w:hAnsi="Times New Roman"/>
        </w:rPr>
        <w:t>associated with</w:t>
      </w:r>
      <w:r w:rsidR="007C4522">
        <w:rPr>
          <w:rFonts w:ascii="Times New Roman" w:hAnsi="Times New Roman"/>
        </w:rPr>
        <w:t xml:space="preserve"> i) </w:t>
      </w:r>
      <w:r w:rsidR="00D47537">
        <w:rPr>
          <w:rFonts w:ascii="Times New Roman" w:hAnsi="Times New Roman"/>
        </w:rPr>
        <w:t>the requirement of</w:t>
      </w:r>
      <w:r w:rsidR="007C4522">
        <w:rPr>
          <w:rFonts w:ascii="Times New Roman" w:hAnsi="Times New Roman"/>
        </w:rPr>
        <w:t xml:space="preserve"> intensively farmed feed crops and ii) the buildup of manure </w:t>
      </w:r>
      <w:r w:rsidR="00ED14FB">
        <w:rPr>
          <w:rFonts w:ascii="Times New Roman" w:hAnsi="Times New Roman"/>
        </w:rPr>
        <w:t>which,</w:t>
      </w:r>
      <w:r w:rsidR="007C4522">
        <w:rPr>
          <w:rFonts w:ascii="Times New Roman" w:hAnsi="Times New Roman"/>
        </w:rPr>
        <w:t xml:space="preserve"> without sufficient management practices, can leach or runoff into aquatic systems.</w:t>
      </w:r>
      <w:r w:rsidR="007C4522">
        <w:rPr>
          <w:rFonts w:ascii="Times New Roman" w:hAnsi="Times New Roman"/>
        </w:rPr>
        <w:fldChar w:fldCharType="begin" w:fldLock="1"/>
      </w:r>
      <w:r w:rsidR="000F4114">
        <w:rPr>
          <w:rFonts w:ascii="Times New Roman" w:hAnsi="Times New Roman"/>
        </w:rPr>
        <w:instrText>ADDIN CSL_CITATION { "citationItems" : [ { "id" : "ITEM-1", "itemData" : { "DOI" : "10.1175/2009EI288.1", "ISBN" : "10873562", "ISSN" : "10873562", "PMID" : "52009639", "abstract" : "Abstract Agriculture has had a tremendous impact on soil nutrients around the world. In some regions, soil nutrients are depleted because of low initial soil fertility or excessive nutrient removals through intense land use relative to nutrient additions. In other regions, application of chemical fertilizers and manure has led to an accumulation of nutrients and subsequent water quality problems. Understanding the current level and spatial patterns of fertilizer and manure inputs would greatly improve the ability to identify areas that might be sensitive to aquatic eutrophication or to nutrient depletion. The authors calculated spatially explicit fertilizer inputs of nitrogen (N) and phosphorus (P) by fusing national-level statistics on fertilizer use with global maps of harvested area for 175 crops. They also calculated spatially explicit manure inputs of N and P by fusing global maps of animal density and international data on manure production and nutrient content. Significantly higher application rates were found for both fertilizers and manures in the Northern Hemisphere, with maxima centered on areas with intensive cropland and high densities of livestock. Furthermore, nutrient use is confined to a few major hot spots, with approximately 10% of the treated land receiving over 50% of the use of both fertilizers and manures. The authors\u2019 new spatial disaggregation of the rich International Fertilizer Industry Association (IFA) fertilizer-use dataset will provide new and interesting avenues to explore the impact of anthropogenic activity on ecosystems at the global scale and may also have implications for policies designed to improve soil quality or reduce nutrient runoff.", "author" : [ { "dropping-particle" : "", "family" : "Potter", "given" : "Philip", "non-dropping-particle" : "", "parse-names" : false, "suffix" : "" }, { "dropping-particle" : "", "family" : "Ramankutty", "given" : "Navin", "non-dropping-particle" : "", "parse-names" : false, "suffix" : "" }, { "dropping-particle" : "", "family" : "Bennett", "given" : "Elena M.", "non-dropping-particle" : "", "parse-names" : false, "suffix" : "" }, { "dropping-particle" : "", "family" : "Donner", "given" : "Simon D.", "non-dropping-particle" : "", "parse-names" : false, "suffix" : "" } ], "container-title" : "Earth Interactions", "id" : "ITEM-1", "issue" : "2", "issued" : { "date-parts" : [ [ "2010" ] ] }, "title" : "Characterizing the spatial patterns of global fertilizer application and manure production", "type" : "article-journal", "volume" : "14" }, "uris" : [ "http://www.mendeley.com/documents/?uuid=99b20b5e-66b4-405e-9696-ea9e5f9f95a6" ] }, { "id" : "ITEM-2", "itemData" : { "DOI" : "10.1007/s11104-011-0832-9", "ISBN" : "0032-079X", "ISSN" : "0032079X", "abstract" : "Background: The eutrophication of aquatic systems due to diffuse pollution of agricultural phosphorus (P) is a local, even regional, water quality problem that can be found world-wide. Scope: Sustainable management of P requires prudent tempering of agronomic practices, recognizing that additional steps are often required to reduce the downstream impacts of most production systems. Conclusions: Strategies to mitigate diffuse losses of P must consider chronic (edaphic) and acute, temporary (fertilizer, manure, vegetation) sources. Even then, hydrology can readily convert modest sources into significant loads, including via subsurface pathways. Systemic drivers, particularly P surpluses that result in long-term over-application of P to soils, are the most recalcitrant causes of diffuse P loss. Even in systems where P application is in balance with withdrawal, diffuse pollution can be exacerbated by management systems that promote accumulation of P within the effective layer of effective interaction between soils and runoff water. Indeed, conventional conservation practices aimed at controlling soil erosion must be evaluated in light of their ability to exacerbate dissolved P pollution. Understanding the opportunities and limitations of P management strategies is essential to ensure that water quality expectations are realistic and that our beneficial management practices are both efficient and effective. \u00c2\u00a9 2011 Springer Science+Business Media B.V. (outside the USA).", "author" : [ { "dropping-particle" : "", "family" : "Kleinman", "given" : "Peter J a", "non-dropping-particle" : "", "parse-names" : false, "suffix" : "" }, { "dropping-particle" : "", "family" : "Sharpley", "given" : "Andrew N.", "non-dropping-particle" : "", "parse-names" : false, "suffix" : "" }, { "dropping-particle" : "", "family" : "McDowell", "given" : "Richard W.", "non-dropping-particle" : "", "parse-names" : false, "suffix" : "" }, { "dropping-particle" : "", "family" : "Flaten", "given" : "Don N.", "non-dropping-particle" : "", "parse-names" : false, "suffix" : "" }, { "dropping-particle" : "", "family" : "Buda", "given" : "Anthony R.", "non-dropping-particle" : "", "parse-names" : false, "suffix" : "" }, { "dropping-particle" : "", "family" : "Tao", "given" : "Liang", "non-dropping-particle" : "", "parse-names" : false, "suffix" : "" }, { "dropping-particle" : "", "family" : "Bergstrom", "given" : "Lars", "non-dropping-particle" : "", "parse-names" : false, "suffix" : "" }, { "dropping-particle" : "", "family" : "Zhu", "given" : "Qing", "non-dropping-particle" : "", "parse-names" : false, "suffix" : "" } ], "container-title" : "Plant and Soil", "id" : "ITEM-2", "issue" : "1-2", "issued" : { "date-parts" : [ [ "2011" ] ] }, "page" : "169-182", "title" : "Managing agricultural phosphorus for water quality protection: Principles for progress", "type" : "article-journal", "volume" : "349" }, "uris" : [ "http://www.mendeley.com/documents/?uuid=3696f8be-e2a0-4db7-a942-7802ead96cdd" ] }, { "id" : "ITEM-3", "itemData" : { "DOI" : "10.1088/1748-9326/10/11/115004", "ISBN" : "1748-9318", "ISSN" : "1748-9326", "abstract" : "Livestock production systems currently occupy around28%of the land surface of the European Union (equivalent to65%of the agricultural land). Inconjunction with otherhumanactivities, livestock production systems affect water, air and soil quality, global climate and biodiversity, altering the biogeochemical cycles of nitrogen, phosphorus and carbon. Here,we quantify the contribution of European livestock production to these major impacts. For each environmental effect, the contribution of livestock is expressed as shares of the emitted compounds and land used, as compared to the whole agricultural sector. The results show that the livestock sector contributes significantly to agricultural environmental impacts. This contribution is78%for terrestrial biodiversity loss,80%for soil acidification and air pollution (ammoniaand nitrogen oxides emissions),81%for global warming, and73%for water pollution (bothNandP). The agriculture sector itself is one of the major contributors to these environmental impacts, ranging between12%for global warming and59%for Nwater quality impact. Significant progress in mitigating these environmental impacts in Europe will only be possible through a combination of technological measures reducing livestock emissions, improved food choices and reduced food waste of European citizens. Introduction", "author" : [ { "dropping-particle" : "", "family" : "Leip", "given" : "a", "non-dropping-particle" : "", "parse-names" : false, "suffix" : "" }, { "dropping-particle" : "", "family" : "Billen", "given" : "G", "non-dropping-particle" : "", "parse-names" : false, "suffix" : "" }, { "dropping-particle" : "", "family" : "Garnier", "given" : "J", "non-dropping-particle" : "", "parse-names" : false, "suffix" : "" }, { "dropping-particle" : "", "family" : "Grizzetti", "given" : "B", "non-dropping-particle" : "", "parse-names" : false, "suffix" : "" }, { "dropping-particle" : "", "family" : "Lassaletta", "given" : "L", "non-dropping-particle" : "", "parse-names" : false, "suffix" : "" }, { "dropping-particle" : "", "family" : "Reis", "given" : "S", "non-dropping-particle" : "", "parse-names" : false, "suffix" : "" }, { "dropping-particle" : "", "family" : "Simpson", "given" : "D", "non-dropping-particle" : "", "parse-names" : false, "suffix" : "" }, { "dropping-particle" : "", "family" : "Sutton", "given" : "M a", "non-dropping-particle" : "", "parse-names" : false, "suffix" : "" }, { "dropping-particle" : "", "family" : "Vries", "given" : "W", "non-dropping-particle" : "de", "parse-names" : false, "suffix" : "" }, { "dropping-particle" : "", "family" : "Weiss", "given" : "F", "non-dropping-particle" : "", "parse-names" : false, "suffix" : "" }, { "dropping-particle" : "", "family" : "Westhoek", "given" : "H", "non-dropping-particle" : "", "parse-names" : false, "suffix" : "" } ], "container-title" : "Environmental Research Letters", "id" : "ITEM-3", "issue" : "11", "issued" : { "date-parts" : [ [ "2015" ] ] }, "page" : "115004", "publisher" : "IOP Publishing", "title" : "Impacts of European livestock production: nitrogen, sulphur, phosphorus and greenhouse gas emissions, land-use, water eutrophication and biodiversity", "type" : "article-journal", "volume" : "10" }, "uris" : [ "http://www.mendeley.com/documents/?uuid=7015abc7-0259-4132-a26c-a936159c4591" ] }, { "id" : "ITEM-4", "itemData" : { "DOI" : "10.1007/s13280-015-0631-2", "ISSN" : "0044-7447", "author" : [ { "dropping-particle" : "", "family" : "Kleinman", "given" : "Peter J. A.", "non-dropping-particle" : "", "parse-names" : false, "suffix" : "" }, { "dropping-particle" : "", "family" : "Sharpley", "given" : "Andrew N.", "non-dropping-particle" : "", "parse-names" : false, "suffix" : "" }, { "dropping-particle" : "", "family" : "Withers", "given" : "Paul J. A.", "non-dropping-particle" : "", "parse-names" : false, "suffix" : "" }, { "dropping-particle" : "", "family" : "Bergstr\u00f6m", "given" : "Lars", "non-dropping-particle" : "", "parse-names" : false, "suffix" : "" }, { "dropping-particle" : "", "family" : "Johnson", "given" : "Laura T.", "non-dropping-particle" : "", "parse-names" : false, "suffix" : "" }, { "dropping-particle" : "", "family" : "Doody", "given" : "Donnacha G.", "non-dropping-particle" : "", "parse-names" : false, "suffix" : "" } ], "container-title" : "Ambio", "id" : "ITEM-4", "issue" : "S2", "issued" : { "date-parts" : [ [ "2015" ] ] }, "page" : "297-310", "title" : "Implementing agricultural phosphorus science and management to combat eutrophication", "type" : "article-journal", "volume" : "44" }, "uris" : [ "http://www.mendeley.com/documents/?uuid=6be77ebb-5548-4c07-a455-a2e816f456a0" ] }, { "id" : "ITEM-5", "itemData" : { "author" : [ { "dropping-particle" : "", "family" : "Tilman", "given" : "David", "non-dropping-particle" : "", "parse-names" : false, "suffix" : "" }, { "dropping-particle" : "", "family" : "Cassman", "given" : "Kenneth G.", "non-dropping-particle" : "", "parse-names" : false, "suffix" : "" }, { "dropping-particle" : "", "family" : "Matson", "given" : "Pamela A.", "non-dropping-particle" : "", "parse-names" : false, "suffix" : "" }, { "dropping-particle" : "", "family" : "Naylor", "given" : "Rosamond L", "non-dropping-particle" : "", "parse-names" : false, "suffix" : "" }, { "dropping-particle" : "", "family" : "Polasky", "given" : "Stephen", "non-dropping-particle" : "", "parse-names" : false, "suffix" : "" } ], "container-title" : "Nature", "id" : "ITEM-5", "issue" : "August", "issued" : { "date-parts" : [ [ "2002" ] ] }, "page" : "671-677", "title" : "Agricultural sustainability and intensive production practices", "type" : "article-journal", "volume" : "418" }, "uris" : [ "http://www.mendeley.com/documents/?uuid=782b6987-427f-4a95-a68e-18222505339c" ] } ], "mendeley" : { "formattedCitation" : "&lt;sup&gt;2,6\u20139&lt;/sup&gt;", "plainTextFormattedCitation" : "2,6\u20139", "previouslyFormattedCitation" : "&lt;sup&gt;2,6\u20139&lt;/sup&gt;" }, "properties" : {  }, "schema" : "https://github.com/citation-style-language/schema/raw/master/csl-citation.json" }</w:instrText>
      </w:r>
      <w:r w:rsidR="007C4522">
        <w:rPr>
          <w:rFonts w:ascii="Times New Roman" w:hAnsi="Times New Roman"/>
        </w:rPr>
        <w:fldChar w:fldCharType="separate"/>
      </w:r>
      <w:r w:rsidR="00F35308" w:rsidRPr="00F35308">
        <w:rPr>
          <w:rFonts w:ascii="Times New Roman" w:hAnsi="Times New Roman"/>
          <w:noProof/>
          <w:vertAlign w:val="superscript"/>
        </w:rPr>
        <w:t>2,6–9</w:t>
      </w:r>
      <w:r w:rsidR="007C4522">
        <w:rPr>
          <w:rFonts w:ascii="Times New Roman" w:hAnsi="Times New Roman"/>
        </w:rPr>
        <w:fldChar w:fldCharType="end"/>
      </w:r>
      <w:r w:rsidR="007C4522">
        <w:rPr>
          <w:rFonts w:ascii="Times New Roman" w:hAnsi="Times New Roman"/>
        </w:rPr>
        <w:t xml:space="preserve"> </w:t>
      </w:r>
      <w:r w:rsidR="004B46F8">
        <w:rPr>
          <w:rFonts w:ascii="Times New Roman" w:hAnsi="Times New Roman"/>
        </w:rPr>
        <w:t xml:space="preserve">Eutrophication is a pressing </w:t>
      </w:r>
      <w:r w:rsidR="007C4522">
        <w:rPr>
          <w:rFonts w:ascii="Times New Roman" w:hAnsi="Times New Roman"/>
        </w:rPr>
        <w:t xml:space="preserve">environmental </w:t>
      </w:r>
      <w:r w:rsidR="007C4522" w:rsidRPr="00772370">
        <w:rPr>
          <w:rFonts w:ascii="Times New Roman" w:hAnsi="Times New Roman"/>
        </w:rPr>
        <w:t xml:space="preserve">problem worldwide; over 400 </w:t>
      </w:r>
      <w:r w:rsidR="00C949E4" w:rsidRPr="00772370">
        <w:rPr>
          <w:rFonts w:ascii="Times New Roman" w:hAnsi="Times New Roman"/>
        </w:rPr>
        <w:t xml:space="preserve">ecological </w:t>
      </w:r>
      <w:r w:rsidR="00966F53" w:rsidRPr="00772370">
        <w:rPr>
          <w:rFonts w:ascii="Times New Roman" w:hAnsi="Times New Roman"/>
        </w:rPr>
        <w:t>‘</w:t>
      </w:r>
      <w:r w:rsidR="00C949E4" w:rsidRPr="00772370">
        <w:rPr>
          <w:rFonts w:ascii="Times New Roman" w:hAnsi="Times New Roman"/>
        </w:rPr>
        <w:t>dead zones</w:t>
      </w:r>
      <w:r w:rsidR="00966F53" w:rsidRPr="00772370">
        <w:rPr>
          <w:rFonts w:ascii="Times New Roman" w:hAnsi="Times New Roman"/>
        </w:rPr>
        <w:t>’</w:t>
      </w:r>
      <w:r w:rsidR="00C949E4" w:rsidRPr="00772370">
        <w:rPr>
          <w:rFonts w:ascii="Times New Roman" w:hAnsi="Times New Roman"/>
        </w:rPr>
        <w:t xml:space="preserve"> caused by </w:t>
      </w:r>
      <w:r w:rsidR="007C4522" w:rsidRPr="00772370">
        <w:rPr>
          <w:rFonts w:ascii="Times New Roman" w:hAnsi="Times New Roman"/>
        </w:rPr>
        <w:t xml:space="preserve">eutrophication </w:t>
      </w:r>
      <w:r w:rsidR="0028687E" w:rsidRPr="00772370">
        <w:rPr>
          <w:rFonts w:ascii="Times New Roman" w:hAnsi="Times New Roman"/>
        </w:rPr>
        <w:t>have been reported</w:t>
      </w:r>
      <w:r w:rsidR="006976FB">
        <w:rPr>
          <w:rFonts w:ascii="Times New Roman" w:hAnsi="Times New Roman"/>
        </w:rPr>
        <w:t>, spreading</w:t>
      </w:r>
      <w:r w:rsidR="0028687E" w:rsidRPr="00772370">
        <w:rPr>
          <w:rFonts w:ascii="Times New Roman" w:hAnsi="Times New Roman"/>
        </w:rPr>
        <w:t xml:space="preserve"> over 245,000 km</w:t>
      </w:r>
      <w:r w:rsidR="0028687E" w:rsidRPr="00772370">
        <w:rPr>
          <w:rFonts w:ascii="Times New Roman" w:hAnsi="Times New Roman"/>
          <w:vertAlign w:val="superscript"/>
        </w:rPr>
        <w:t>2</w:t>
      </w:r>
      <w:r w:rsidR="0028687E" w:rsidRPr="00772370">
        <w:rPr>
          <w:rFonts w:ascii="Times New Roman" w:hAnsi="Times New Roman"/>
        </w:rPr>
        <w:t xml:space="preserve"> and </w:t>
      </w:r>
      <w:r w:rsidR="006976FB">
        <w:rPr>
          <w:rFonts w:ascii="Times New Roman" w:hAnsi="Times New Roman"/>
        </w:rPr>
        <w:t>leading</w:t>
      </w:r>
      <w:r w:rsidR="00492117" w:rsidRPr="00772370">
        <w:rPr>
          <w:rFonts w:ascii="Times New Roman" w:hAnsi="Times New Roman"/>
        </w:rPr>
        <w:t xml:space="preserve"> to </w:t>
      </w:r>
      <w:r w:rsidR="0028687E" w:rsidRPr="00772370">
        <w:rPr>
          <w:rFonts w:ascii="Times New Roman" w:hAnsi="Times New Roman"/>
        </w:rPr>
        <w:t>the loss of</w:t>
      </w:r>
      <w:r w:rsidR="00ED14FB" w:rsidRPr="00772370">
        <w:rPr>
          <w:rFonts w:ascii="Times New Roman" w:hAnsi="Times New Roman"/>
        </w:rPr>
        <w:t xml:space="preserve"> over 300</w:t>
      </w:r>
      <w:r w:rsidR="00772370">
        <w:rPr>
          <w:rFonts w:ascii="Times New Roman" w:hAnsi="Times New Roman"/>
        </w:rPr>
        <w:t>,000 metric tons of</w:t>
      </w:r>
      <w:r w:rsidR="0028687E" w:rsidRPr="00772370">
        <w:rPr>
          <w:rFonts w:ascii="Times New Roman" w:hAnsi="Times New Roman"/>
        </w:rPr>
        <w:t xml:space="preserve"> carbon in biomass</w:t>
      </w:r>
      <w:r w:rsidR="007C4522" w:rsidRPr="00772370">
        <w:rPr>
          <w:rFonts w:ascii="Times New Roman" w:hAnsi="Times New Roman"/>
        </w:rPr>
        <w:t>.</w:t>
      </w:r>
      <w:r w:rsidR="007C4522" w:rsidRPr="00772370">
        <w:rPr>
          <w:rFonts w:ascii="Times New Roman" w:hAnsi="Times New Roman"/>
        </w:rPr>
        <w:fldChar w:fldCharType="begin" w:fldLock="1"/>
      </w:r>
      <w:r w:rsidR="000F4114">
        <w:rPr>
          <w:rFonts w:ascii="Times New Roman" w:hAnsi="Times New Roman"/>
        </w:rPr>
        <w:instrText>ADDIN CSL_CITATION { "citationItems" : [ { "id" : "ITEM-1", "itemData" : { "DOI" : "10.1126/science.1156401", "ISBN" : "0036-8075", "ISSN" : "1095-9203", "PMID" : "18703733", "abstract" : "Dead zones in the coastal oceans have spread exponentially since the 1960s and have serious consequences for ecosystem functioning. The formation of dead zones has been exacerbated by the increase in primary production and consequent worldwide coastal eutrophication fueled by riverine runoff of fertilizers and the burning of fossil fuels. Enhanced primary production results in an accumulation of particulate organic matter, which encourages microbial activity and the consumption of dissolved oxygen in bottom waters. Dead zones have now been reported from more than 400 systems, affecting a total area of more than 245,000 square kilometers, and are probably a key stressor on marine ecosystems.", "author" : [ { "dropping-particle" : "", "family" : "Diaz", "given" : "R.J.", "non-dropping-particle" : "", "parse-names" : false, "suffix" : "" }, { "dropping-particle" : "", "family" : "Rosenberg", "given" : "R.", "non-dropping-particle" : "", "parse-names" : false, "suffix" : "" } ], "container-title" : "Science", "id" : "ITEM-1", "issue" : "5891", "issued" : { "date-parts" : [ [ "2008" ] ] }, "page" : "926-929", "title" : "Spreading dead zones and consequences for marine ecosystems.", "type" : "article-journal", "volume" : "321" }, "uris" : [ "http://www.mendeley.com/documents/?uuid=5dff8923-de92-4c8f-b5c6-91f6761cd41e" ] } ], "mendeley" : { "formattedCitation" : "&lt;sup&gt;10&lt;/sup&gt;", "plainTextFormattedCitation" : "10", "previouslyFormattedCitation" : "&lt;sup&gt;10&lt;/sup&gt;" }, "properties" : {  }, "schema" : "https://github.com/citation-style-language/schema/raw/master/csl-citation.json" }</w:instrText>
      </w:r>
      <w:r w:rsidR="007C4522" w:rsidRPr="00772370">
        <w:rPr>
          <w:rFonts w:ascii="Times New Roman" w:hAnsi="Times New Roman"/>
        </w:rPr>
        <w:fldChar w:fldCharType="separate"/>
      </w:r>
      <w:r w:rsidR="00F35308" w:rsidRPr="00772370">
        <w:rPr>
          <w:rFonts w:ascii="Times New Roman" w:hAnsi="Times New Roman"/>
          <w:noProof/>
          <w:vertAlign w:val="superscript"/>
        </w:rPr>
        <w:t>10</w:t>
      </w:r>
      <w:r w:rsidR="007C4522" w:rsidRPr="00772370">
        <w:rPr>
          <w:rFonts w:ascii="Times New Roman" w:hAnsi="Times New Roman"/>
        </w:rPr>
        <w:fldChar w:fldCharType="end"/>
      </w:r>
      <w:r w:rsidR="00466E7D" w:rsidRPr="00772370">
        <w:rPr>
          <w:rFonts w:ascii="Times New Roman" w:hAnsi="Times New Roman"/>
        </w:rPr>
        <w:t xml:space="preserve"> </w:t>
      </w:r>
      <w:r w:rsidR="00F10215" w:rsidRPr="00772370">
        <w:rPr>
          <w:rFonts w:ascii="Times New Roman" w:hAnsi="Times New Roman"/>
        </w:rPr>
        <w:t>In</w:t>
      </w:r>
      <w:r w:rsidR="00F10215">
        <w:rPr>
          <w:rFonts w:ascii="Times New Roman" w:hAnsi="Times New Roman"/>
        </w:rPr>
        <w:t xml:space="preserve"> fact, </w:t>
      </w:r>
      <w:r w:rsidR="008A6C37">
        <w:rPr>
          <w:rFonts w:ascii="Times New Roman" w:hAnsi="Times New Roman"/>
        </w:rPr>
        <w:t>N and P</w:t>
      </w:r>
      <w:r w:rsidR="00F10215">
        <w:rPr>
          <w:rFonts w:ascii="Times New Roman" w:hAnsi="Times New Roman"/>
        </w:rPr>
        <w:t xml:space="preserve"> biogeochemical flows </w:t>
      </w:r>
      <w:r w:rsidR="005115BC">
        <w:rPr>
          <w:rFonts w:ascii="Times New Roman" w:hAnsi="Times New Roman"/>
        </w:rPr>
        <w:t>have</w:t>
      </w:r>
      <w:r w:rsidR="0057048C">
        <w:rPr>
          <w:rFonts w:ascii="Times New Roman" w:hAnsi="Times New Roman"/>
        </w:rPr>
        <w:t xml:space="preserve"> exceeded the levels considered safe for avoiding environmental catastrophe, with </w:t>
      </w:r>
      <w:r w:rsidR="008A6C37">
        <w:rPr>
          <w:rFonts w:ascii="Times New Roman" w:hAnsi="Times New Roman"/>
        </w:rPr>
        <w:t xml:space="preserve">150 Tg N/yr (boundary for avoiding the high-risk zone: 62 Tg N/yr) and </w:t>
      </w:r>
      <w:r w:rsidR="0057048C">
        <w:rPr>
          <w:rFonts w:ascii="Times New Roman" w:hAnsi="Times New Roman"/>
        </w:rPr>
        <w:t>22 Tg P/yr (boundary</w:t>
      </w:r>
      <w:r w:rsidR="008A6C37">
        <w:rPr>
          <w:rFonts w:ascii="Times New Roman" w:hAnsi="Times New Roman"/>
        </w:rPr>
        <w:t xml:space="preserve">: 11-100 Tg P/yr) </w:t>
      </w:r>
      <w:r w:rsidR="0057048C">
        <w:rPr>
          <w:rFonts w:ascii="Times New Roman" w:hAnsi="Times New Roman"/>
        </w:rPr>
        <w:t xml:space="preserve">in 2009, thereby </w:t>
      </w:r>
      <w:r w:rsidR="007A0340">
        <w:rPr>
          <w:rFonts w:ascii="Times New Roman" w:hAnsi="Times New Roman"/>
        </w:rPr>
        <w:t>highlighting the urgency of addressing this challenge</w:t>
      </w:r>
      <w:r w:rsidR="0057048C">
        <w:rPr>
          <w:rFonts w:ascii="Times New Roman" w:hAnsi="Times New Roman"/>
        </w:rPr>
        <w:t>.</w:t>
      </w:r>
      <w:r w:rsidR="0057048C">
        <w:rPr>
          <w:rFonts w:ascii="Times New Roman" w:hAnsi="Times New Roman"/>
        </w:rPr>
        <w:fldChar w:fldCharType="begin" w:fldLock="1"/>
      </w:r>
      <w:r w:rsidR="000F4114">
        <w:rPr>
          <w:rFonts w:ascii="Times New Roman" w:hAnsi="Times New Roman"/>
        </w:rPr>
        <w:instrText>ADDIN CSL_CITATION { "citationItems" : [ { "id" : "ITEM-1", "itemData" : { "DOI" : "10.1126/science.1259855", "ISBN" : "1095-9203 (Electronic)\\r0036-8075 (Linking)", "ISSN" : "0036-8075", "PMID" : "26068843", "abstract" : "Steffen et al. (Research Articles, 13 February 2015, p. 736) recently assessed current global freshwater use, finding it to be well below a corresponding planetary boundary. However, they ignored recent scientific advances implying that the global consumptive use of freshwater may have already crossed the associated planetary boundary.", "author" : [ { "dropping-particle" : "", "family" : "Steffen", "given" : "W.", "non-dropping-particle" : "", "parse-names" : false, "suffix" : "" }, { "dropping-particle" : "", "family" : "Richardson", "given" : "K.", "non-dropping-particle" : "", "parse-names" : false, "suffix" : "" }, { "dropping-particle" : "", "family" : "Rockstrom", "given" : "J.", "non-dropping-particle" : "", "parse-names" : false, "suffix" : "" }, { "dropping-particle" : "", "family" : "Cornell", "given" : "S. E.", "non-dropping-particle" : "", "parse-names" : false, "suffix" : "" }, { "dropping-particle" : "", "family" : "Fetzer", "given" : "I.", "non-dropping-particle" : "", "parse-names" : false, "suffix" : "" }, { "dropping-particle" : "", "family" : "Bennett", "given" : "E. M.", "non-dropping-particle" : "", "parse-names" : false, "suffix" : "" }, { "dropping-particle" : "", "family" : "Biggs", "given" : "R.", "non-dropping-particle" : "", "parse-names" : false, "suffix" : "" }, { "dropping-particle" : "", "family" : "Carpenter", "given" : "S. R.", "non-dropping-particle" : "", "parse-names" : false, "suffix" : "" }, { "dropping-particle" : "", "family" : "Vries", "given" : "W.", "non-dropping-particle" : "de", "parse-names" : false, "suffix" : "" }, { "dropping-particle" : "", "family" : "Wit", "given" : "C. A.", "non-dropping-particle" : "de", "parse-names" : false, "suffix" : "" }, { "dropping-particle" : "", "family" : "Folke", "given" : "C.", "non-dropping-particle" : "", "parse-names" : false, "suffix" : "" }, { "dropping-particle" : "", "family" : "Gerten", "given" : "D.", "non-dropping-particle" : "", "parse-names" : false, "suffix" : "" }, { "dropping-particle" : "", "family" : "Heinke", "given" : "J.", "non-dropping-particle" : "", "parse-names" : false, "suffix" : "" }, { "dropping-particle" : "", "family" : "Mace", "given" : "G. M.", "non-dropping-particle" : "", "parse-names" : false, "suffix" : "" }, { "dropping-particle" : "", "family" : "Persson", "given" : "L. M.", "non-dropping-particle" : "", "parse-names" : false, "suffix" : "" }, { "dropping-particle" : "", "family" : "Ramanathan", "given" : "V.", "non-dropping-particle" : "", "parse-names" : false, "suffix" : "" }, { "dropping-particle" : "", "family" : "Reyers", "given" : "B.", "non-dropping-particle" : "", "parse-names" : false, "suffix" : "" }, { "dropping-particle" : "", "family" : "Sorlin", "given" : "S.", "non-dropping-particle" : "", "parse-names" : false, "suffix" : "" } ], "container-title" : "Science", "id" : "ITEM-1", "issue" : "6223", "issued" : { "date-parts" : [ [ "2015" ] ] }, "page" : "1259855-1259855", "title" : "Planetary boundaries: Guiding human development on a changing planet", "type" : "article-journal", "volume" : "347" }, "uris" : [ "http://www.mendeley.com/documents/?uuid=71d64205-98f5-407b-bf99-c9fc1083834f" ] } ], "mendeley" : { "formattedCitation" : "&lt;sup&gt;11&lt;/sup&gt;", "plainTextFormattedCitation" : "11", "previouslyFormattedCitation" : "&lt;sup&gt;11&lt;/sup&gt;" }, "properties" : {  }, "schema" : "https://github.com/citation-style-language/schema/raw/master/csl-citation.json" }</w:instrText>
      </w:r>
      <w:r w:rsidR="0057048C">
        <w:rPr>
          <w:rFonts w:ascii="Times New Roman" w:hAnsi="Times New Roman"/>
        </w:rPr>
        <w:fldChar w:fldCharType="separate"/>
      </w:r>
      <w:r w:rsidR="0057048C" w:rsidRPr="0057048C">
        <w:rPr>
          <w:rFonts w:ascii="Times New Roman" w:hAnsi="Times New Roman"/>
          <w:noProof/>
          <w:vertAlign w:val="superscript"/>
        </w:rPr>
        <w:t>11</w:t>
      </w:r>
      <w:r w:rsidR="0057048C">
        <w:rPr>
          <w:rFonts w:ascii="Times New Roman" w:hAnsi="Times New Roman"/>
        </w:rPr>
        <w:fldChar w:fldCharType="end"/>
      </w:r>
    </w:p>
    <w:p w14:paraId="1922DBF4" w14:textId="10EF5EB5" w:rsidR="007C4522" w:rsidRDefault="007C4522" w:rsidP="00B018A6">
      <w:pPr>
        <w:pStyle w:val="BDAbstract"/>
        <w:spacing w:before="100" w:beforeAutospacing="1" w:after="100" w:afterAutospacing="1" w:line="240" w:lineRule="auto"/>
      </w:pPr>
      <w:r>
        <w:t xml:space="preserve">With agriculture characterized as a primary driver of eutrophication, the role of food consumption has been the focus of recent </w:t>
      </w:r>
      <w:r w:rsidR="008A6C37">
        <w:t>N</w:t>
      </w:r>
      <w:r>
        <w:t xml:space="preserve"> and </w:t>
      </w:r>
      <w:r w:rsidR="008A6C37">
        <w:t>P</w:t>
      </w:r>
      <w:r>
        <w:t xml:space="preserve"> environmental studies.</w:t>
      </w:r>
      <w:r w:rsidR="009B04EB">
        <w:fldChar w:fldCharType="begin" w:fldLock="1"/>
      </w:r>
      <w:r w:rsidR="000F4114">
        <w:instrText>ADDIN CSL_CITATION { "citationItems" : [ { "id" : "ITEM-1", "itemData" : { "DOI" : "10.1007/s10533-013-9923-4", "ISBN" : "0168-2563", "ISSN" : "1573515X", "abstract" : "The alteration of the global nitrogen (N) cycle is creating severe environmental impacts. This paper analyses the increasing importance of the international trade of food and feed in the alteration of theNcycle at the global scale in two ways. First, using the information on food and feed trade across world countries, and assuming that N constitutes 16 % of proteins, we quantified the N annually traded in the period 1961\u20132010.Weobserved that in that period, the amount of N traded between countries has increased eightfold (from 3 to 24 TgN) and now concerns one- third of the total N in world crop production, with the largest part corresponding to animal feed. Secondly, we divided the world into 12 regions and studied theN transfer among them in two reference years: 1986 and 2009. The N flow among these regions has dramati- cally intensified during this period not only due to an increase in the population but also in the proportion of animal protein in the diet of some countries. Nowa- days, in terms of proteins and N, a small number of countries (e.g., USA, Argentina and Brazil) are feeding the rest of the world. At the global scale the system is becoming less efficient because of the disconnection between crop and livestock production across specia- lised regions, increasing the environmental impacts. As human diet is an additional clear driver of the observed changes, the solutions must rely not only on the producers, but also on the consumers. The results of our study provide new insights into the food depen- dency relationships between the different regions of the world as well as the growing importance of international food and feed trade in the globalNcycle.", "author" : [ { "dropping-particle" : "", "family" : "Lassaletta", "given" : "Luis", "non-dropping-particle" : "", "parse-names" : false, "suffix" : "" }, { "dropping-particle" : "", "family" : "Billen", "given" : "Gilles", "non-dropping-particle" : "", "parse-names" : false, "suffix" : "" }, { "dropping-particle" : "", "family" : "Grizzetti", "given" : "Bruna", "non-dropping-particle" : "", "parse-names" : false, "suffix" : "" }, { "dropping-particle" : "", "family" : "Garnier", "given" : "Josette", "non-dropping-particle" : "", "parse-names" : false, "suffix" : "" }, { "dropping-particle" : "", "family" : "Leach", "given" : "Allison M.", "non-dropping-particle" : "", "parse-names" : false, "suffix" : "" }, { "dropping-particle" : "", "family" : "Galloway", "given" : "James N.", "non-dropping-particle" : "", "parse-names" : false, "suffix" : "" } ], "container-title" : "Biogeochemistry", "id" : "ITEM-1", "issue" : "1-3", "issued" : { "date-parts" : [ [ "2014" ] ] }, "page" : "225-241", "title" : "Food and feed trade as a driver in the global nitrogen cycle: 50-year trends", "type" : "article-journal", "volume" : "118" }, "uris" : [ "http://www.mendeley.com/documents/?uuid=36a5c507-9303-4319-9307-510de6b1709e" ] }, { "id" : "ITEM-2", "itemData" : { "DOI" : "10.1007/s10021-011-9507-x", "ISBN" : "1432-9840", "ISSN" : "14329840", "abstract" : "Trends of increasing agricultural trade, increased concentration of livestock production systems, and increased human consumption of livestock products influence the distribution of nutrients across the global landscape. Phosphorus (P) represents a unique management challenge as we are rapidly depleting mineable reserves of this essential and non-renewable resource. At the same time, its overuse can lead to pollution of aquatic ecosystems. We analyzed the relative contributions of food crop, feed crop, and livestock product trade to P flows through agricultural soils for 12 countries from 1961 to 2007. Due to the intensification of agricultural production, average soil surface P balances more than tripled from 6 to 21 kg P ha\u22121 between 1961 and 2007 for the 12 study countries. Consequently, countries that are primarily agricultural exporters carried increased risks for water pollution or, for Argentina, reduced soil fertility due to soil P mining to support exports. In 2007, nations imported food and feed from regions with higher apparent P fertilizer use efficiencies than if those crops were produced domestically. However, this was largely because imports were sourced from regions depleting soil P resources to support export crop production. In addition, the pattern of regional specialization and intensification of production systems also reduced the potential to recycle P resources, with greater implications for livestock production than crop production. In a globalizing world, it will be increasingly important to integrate biophysical constraints of our natural resources and environmental impacts of agricultural systems into trade policy and agreements and to develop mechanisms that move us closer to more equitable management of non-renewable resources such as phosphorus.", "author" : [ { "dropping-particle" : "", "family" : "Schipanski", "given" : "Meagan E.", "non-dropping-particle" : "", "parse-names" : false, "suffix" : "" }, { "dropping-particle" : "", "family" : "Bennett", "given" : "Elena M.", "non-dropping-particle" : "", "parse-names" : false, "suffix" : "" } ], "container-title" : "Ecosystems", "id" : "ITEM-2", "issue" : "2", "issued" : { "date-parts" : [ [ "2012" ] ] }, "page" : "256-268", "title" : "The Influence of Agricultural Trade and Livestock Production on the Global Phosphorus Cycle", "type" : "article-journal", "volume" : "15" }, "uris" : [ "http://www.mendeley.com/documents/?uuid=df13c0b7-1665-49bb-943b-84e86e51423a" ] }, { "id" : "ITEM-3", "itemData" : { "DOI" : "10.1021/acs.est.6b00740", "ISSN" : "15205851", "abstract" : "We investigated water-related resource use, emissions and ecosystem impacts of food consumed in Switzerland. To do so, we coupled LCA methodologies on freshwater consumption, freshwater eutrophication and the consequent local and global biodiversity impacts with Swiss customs data and multiregional input-output analysis. Most of the resource use, emissions and impacts occur outside the national boundaries which illustrates the extent of environmental outsourcing facilitated by international trade. Countries that are severely affected by Swiss food consumption include Spain, the United States and Ecuador. Cocoa, coffee, and almonds stood out as products with high impacts. By identifying spatial hotspots and impactful products, awareness of policy-makers as well as individual consumers can be raised and efforts of detailed assessments can be streamlined. However, political and economic constraints and the resistance by individual consumers limit the high potential of changes in diets and trade relations to ...", "author" : [ { "dropping-particle" : "", "family" : "Scherer", "given" : "Laura", "non-dropping-particle" : "", "parse-names" : false, "suffix" : "" }, { "dropping-particle" : "", "family" : "Pfister", "given" : "Stephan", "non-dropping-particle" : "", "parse-names" : false, "suffix" : "" } ], "container-title" : "Environmental Science and Technology", "id" : "ITEM-3", "issue" : "13", "issued" : { "date-parts" : [ [ "2016" ] ] }, "note" : "NULL", "page" : "7019-7028", "title" : "Global Biodiversity Loss by Freshwater Consumption and Eutrophication from Swiss Food Consumption", "type" : "article-journal", "volume" : "50" }, "uris" : [ "http://www.mendeley.com/documents/?uuid=8a3e9f27-27b4-4137-b0e9-c917d797fb80" ] }, { "id" : "ITEM-4", "itemData" : { "DOI" : "10.1016/j.gloenvcha.2011.09.013", "ISBN" : "0959-3780", "ISSN" : "09593780", "abstract" : "The volume of agricultural trade increased by more than ten times throughout the past six decades and is likely to continue with high rates in the future. Thereby, it largely affects environment and climate. We analyse future trade scenarios covering the period of 2005-2045 by evaluating economic and environmental effects using the global land-use model MAgPIE (\" Model of Agricultural Production and its Impact on the Environment\" ). This is the first trade study using spatially explicit mapping of land use patterns and greenhouse gas emissions. We focus on three scenarios: the reference scenario fixes current trade patterns, the policy scenario follows a historically derived liberalisation pathway, and the liberalisation scenario assumes a path, which ends with full trade liberalisation in 2045.Further trade liberalisation leads to lower global costs of food. Regions with comparative advantages like Latin America for cereals and oil crops and China for livestock products will export more. In contrast, regions like the Middle East, North Africa, and South Asia face the highest increases of imports. Deforestation, mainly in Latin America, leads to significant amounts of additional carbon emissions due to trade liberalisation. Non-CO 2 emissions will mostly shift to China due to comparative advantages in livestock production and rising livestock demand in the region. Overall, further trade liberalisation leads to higher economic benefits at the expense of environment and climate, if no other regulations are put in place. ?? 2011 Elsevier Ltd.", "author" : [ { "dropping-particle" : "", "family" : "Schmitz", "given" : "Christoph", "non-dropping-particle" : "", "parse-names" : false, "suffix" : "" }, { "dropping-particle" : "", "family" : "Biewald", "given" : "Anne", "non-dropping-particle" : "", "parse-names" : false, "suffix" : "" }, { "dropping-particle" : "", "family" : "Lotze-Campen", "given" : "Hermann", "non-dropping-particle" : "", "parse-names" : false, "suffix" : "" }, { "dropping-particle" : "", "family" : "Popp", "given" : "Alexander", "non-dropping-particle" : "", "parse-names" : false, "suffix" : "" }, { "dropping-particle" : "", "family" : "Dietrich", "given" : "Jan Philipp", "non-dropping-particle" : "", "parse-names" : false, "suffix" : "" }, { "dropping-particle" : "", "family" : "Bodirsky", "given" : "Benjamin", "non-dropping-particle" : "", "parse-names" : false, "suffix" : "" }, { "dropping-particle" : "", "family" : "Krause", "given" : "Michael", "non-dropping-particle" : "", "parse-names" : false, "suffix" : "" }, { "dropping-particle" : "", "family" : "Weindl", "given" : "Isabelle", "non-dropping-particle" : "", "parse-names" : false, "suffix" : "" } ], "container-title" : "Global Environmental Change", "id" : "ITEM-4", "issue" : "1", "issued" : { "date-parts" : [ [ "2012" ] ] }, "note" : "NULL", "page" : "189-209", "publisher" : "Elsevier Ltd", "title" : "Trading more food: Implications for land use, greenhouse gas emissions, and the food system", "type" : "article-journal", "volume" : "22" }, "uris" : [ "http://www.mendeley.com/documents/?uuid=324ccc95-022d-4265-9d0e-f4db791e05f2" ] }, { "id" : "ITEM-5", "itemData" : { "DOI" : "10.1021/es9034478", "ISBN" : "0013-936X", "ISSN" : "1520-5851", "PMID" : "20704246", "abstract" : "Although the environmental impacts and carbon footprints of foods are gaining more public attention and scientific debate, few studies have systematically evaluated the life cycle nitrogen and phosphorus flows among different food types. Disruption of natural nitrogen and phosphorus cycles already result in serious environmental quality degradation and economic losses, such as loss of fisheries due to hypoxia in the Gulf of Mexico. This study characterizes the nutrient flows during food production, processing, packaging, and distribution stages for eight food types; compares carbon footprints and nitrogen equivalent footprints of food groups; evaluates solutions to reduce excessive nitrogen outputs; and estimates effectiveness and efficiency of possible solutions. Different food groups exhibit a highly variable nitrogen-intensity; on average, red meat and dairy products require much more nitrogen than cereals/carbohydrates. The ranking of foods' nitrogen footprints is not consistent with their carbon footprints. For example, dairy products and chicken/eggs have relatively high nitrogen footprint and low carbon footprints. Finally, the study evaluates shifting food consumption patterns. Dietary shifts from dairy products and red meat to cereals can be an effective approach for lowering the personal nitrogen footprint.", "author" : [ { "dropping-particle" : "", "family" : "Xue", "given" : "Xiaobo", "non-dropping-particle" : "", "parse-names" : false, "suffix" : "" }, { "dropping-particle" : "", "family" : "Landis", "given" : "Amy E", "non-dropping-particle" : "", "parse-names" : false, "suffix" : "" } ], "container-title" : "Environmental Science &amp; Technology", "id" : "ITEM-5", "issue" : "16", "issued" : { "date-parts" : [ [ "2010" ] ] }, "note" : "NULL", "page" : "6450-6456", "title" : "Eutrophication potential of food consumption patterns.", "type" : "article-journal", "volume" : "44" }, "uris" : [ "http://www.mendeley.com/documents/?uuid=07c8f280-9073-4ac4-aa93-ef66146f2c28" ] }, { "id" : "ITEM-6", "itemData" : { "DOI" : "10.1088/1748-9326/10/11/115004", "ISBN" : "1748-9318", "ISSN" : "1748-9326", "abstract" : "Livestock production systems currently occupy around28%of the land surface of the European Union (equivalent to65%of the agricultural land). Inconjunction with otherhumanactivities, livestock production systems affect water, air and soil quality, global climate and biodiversity, altering the biogeochemical cycles of nitrogen, phosphorus and carbon. Here,we quantify the contribution of European livestock production to these major impacts. For each environmental effect, the contribution of livestock is expressed as shares of the emitted compounds and land used, as compared to the whole agricultural sector. The results show that the livestock sector contributes significantly to agricultural environmental impacts. This contribution is78%for terrestrial biodiversity loss,80%for soil acidification and air pollution (ammoniaand nitrogen oxides emissions),81%for global warming, and73%for water pollution (bothNandP). The agriculture sector itself is one of the major contributors to these environmental impacts, ranging between12%for global warming and59%for Nwater quality impact. Significant progress in mitigating these environmental impacts in Europe will only be possible through a combination of technological measures reducing livestock emissions, improved food choices and reduced food waste of European citizens. Introduction", "author" : [ { "dropping-particle" : "", "family" : "Leip", "given" : "a", "non-dropping-particle" : "", "parse-names" : false, "suffix" : "" }, { "dropping-particle" : "", "family" : "Billen", "given" : "G", "non-dropping-particle" : "", "parse-names" : false, "suffix" : "" }, { "dropping-particle" : "", "family" : "Garnier", "given" : "J", "non-dropping-particle" : "", "parse-names" : false, "suffix" : "" }, { "dropping-particle" : "", "family" : "Grizzetti", "given" : "B", "non-dropping-particle" : "", "parse-names" : false, "suffix" : "" }, { "dropping-particle" : "", "family" : "Lassaletta", "given" : "L", "non-dropping-particle" : "", "parse-names" : false, "suffix" : "" }, { "dropping-particle" : "", "family" : "Reis", "given" : "S", "non-dropping-particle" : "", "parse-names" : false, "suffix" : "" }, { "dropping-particle" : "", "family" : "Simpson", "given" : "D", "non-dropping-particle" : "", "parse-names" : false, "suffix" : "" }, { "dropping-particle" : "", "family" : "Sutton", "given" : "M a", "non-dropping-particle" : "", "parse-names" : false, "suffix" : "" }, { "dropping-particle" : "", "family" : "Vries", "given" : "W", "non-dropping-particle" : "de", "parse-names" : false, "suffix" : "" }, { "dropping-particle" : "", "family" : "Weiss", "given" : "F", "non-dropping-particle" : "", "parse-names" : false, "suffix" : "" }, { "dropping-particle" : "", "family" : "Westhoek", "given" : "H", "non-dropping-particle" : "", "parse-names" : false, "suffix" : "" } ], "container-title" : "Environmental Research Letters", "id" : "ITEM-6", "issue" : "11", "issued" : { "date-parts" : [ [ "2015" ] ] }, "page" : "115004", "publisher" : "IOP Publishing", "title" : "Impacts of European livestock production: nitrogen, sulphur, phosphorus and greenhouse gas emissions, land-use, water eutrophication and biodiversity", "type" : "article-journal", "volume" : "10" }, "uris" : [ "http://www.mendeley.com/documents/?uuid=7015abc7-0259-4132-a26c-a936159c4591" ] } ], "mendeley" : { "formattedCitation" : "&lt;sup&gt;8,12\u201316&lt;/sup&gt;", "plainTextFormattedCitation" : "8,12\u201316", "previouslyFormattedCitation" : "&lt;sup&gt;8,12\u201316&lt;/sup&gt;" }, "properties" : {  }, "schema" : "https://github.com/citation-style-language/schema/raw/master/csl-citation.json" }</w:instrText>
      </w:r>
      <w:r w:rsidR="009B04EB">
        <w:fldChar w:fldCharType="separate"/>
      </w:r>
      <w:r w:rsidR="0057048C" w:rsidRPr="0057048C">
        <w:rPr>
          <w:noProof/>
          <w:vertAlign w:val="superscript"/>
        </w:rPr>
        <w:t>8,12–16</w:t>
      </w:r>
      <w:r w:rsidR="009B04EB">
        <w:fldChar w:fldCharType="end"/>
      </w:r>
      <w:r>
        <w:t xml:space="preserve"> </w:t>
      </w:r>
      <w:r w:rsidR="00ED14FB">
        <w:t xml:space="preserve">In particular, meat consumption has been identified as a major driver of eutrophication; </w:t>
      </w:r>
      <w:r>
        <w:t>red meat</w:t>
      </w:r>
      <w:r w:rsidR="00ED14FB">
        <w:t>, for example,</w:t>
      </w:r>
      <w:r>
        <w:t xml:space="preserve"> </w:t>
      </w:r>
      <w:r w:rsidR="00B42694">
        <w:t>has</w:t>
      </w:r>
      <w:r>
        <w:t xml:space="preserve"> </w:t>
      </w:r>
      <w:r w:rsidR="00ED14FB">
        <w:t xml:space="preserve">over 50 </w:t>
      </w:r>
      <w:r>
        <w:t>times the eutrophication potential of cereals.</w:t>
      </w:r>
      <w:r>
        <w:fldChar w:fldCharType="begin" w:fldLock="1"/>
      </w:r>
      <w:r w:rsidR="000F4114">
        <w:instrText>ADDIN CSL_CITATION { "citationItems" : [ { "id" : "ITEM-1", "itemData" : { "DOI" : "10.1021/es9034478", "ISBN" : "0013-936X", "ISSN" : "1520-5851", "PMID" : "20704246", "abstract" : "Although the environmental impacts and carbon footprints of foods are gaining more public attention and scientific debate, few studies have systematically evaluated the life cycle nitrogen and phosphorus flows among different food types. Disruption of natural nitrogen and phosphorus cycles already result in serious environmental quality degradation and economic losses, such as loss of fisheries due to hypoxia in the Gulf of Mexico. This study characterizes the nutrient flows during food production, processing, packaging, and distribution stages for eight food types; compares carbon footprints and nitrogen equivalent footprints of food groups; evaluates solutions to reduce excessive nitrogen outputs; and estimates effectiveness and efficiency of possible solutions. Different food groups exhibit a highly variable nitrogen-intensity; on average, red meat and dairy products require much more nitrogen than cereals/carbohydrates. The ranking of foods' nitrogen footprints is not consistent with their carbon footprints. For example, dairy products and chicken/eggs have relatively high nitrogen footprint and low carbon footprints. Finally, the study evaluates shifting food consumption patterns. Dietary shifts from dairy products and red meat to cereals can be an effective approach for lowering the personal nitrogen footprint.", "author" : [ { "dropping-particle" : "", "family" : "Xue", "given" : "Xiaobo", "non-dropping-particle" : "", "parse-names" : false, "suffix" : "" }, { "dropping-particle" : "", "family" : "Landis", "given" : "Amy E", "non-dropping-particle" : "", "parse-names" : false, "suffix" : "" } ], "container-title" : "Environmental Science &amp; Technology", "id" : "ITEM-1", "issue" : "16", "issued" : { "date-parts" : [ [ "2010" ] ] }, "note" : "NULL", "page" : "6450-6456", "title" : "Eutrophication potential of food consumption patterns.", "type" : "article-journal", "volume" : "44" }, "uris" : [ "http://www.mendeley.com/documents/?uuid=07c8f280-9073-4ac4-aa93-ef66146f2c28" ] }, { "id" : "ITEM-2", "itemData" : { "DOI" : "10.1007/s10533-013-9923-4", "ISBN" : "0168-2563", "ISSN" : "1573515X", "abstract" : "The alteration of the global nitrogen (N) cycle is creating severe environmental impacts. This paper analyses the increasing importance of the international trade of food and feed in the alteration of theNcycle at the global scale in two ways. First, using the information on food and feed trade across world countries, and assuming that N constitutes 16 % of proteins, we quantified the N annually traded in the period 1961\u20132010.Weobserved that in that period, the amount of N traded between countries has increased eightfold (from 3 to 24 TgN) and now concerns one- third of the total N in world crop production, with the largest part corresponding to animal feed. Secondly, we divided the world into 12 regions and studied theN transfer among them in two reference years: 1986 and 2009. The N flow among these regions has dramati- cally intensified during this period not only due to an increase in the population but also in the proportion of animal protein in the diet of some countries. Nowa- days, in terms of proteins and N, a small number of countries (e.g., USA, Argentina and Brazil) are feeding the rest of the world. At the global scale the system is becoming less efficient because of the disconnection between crop and livestock production across specia- lised regions, increasing the environmental impacts. As human diet is an additional clear driver of the observed changes, the solutions must rely not only on the producers, but also on the consumers. The results of our study provide new insights into the food depen- dency relationships between the different regions of the world as well as the growing importance of international food and feed trade in the globalNcycle.", "author" : [ { "dropping-particle" : "", "family" : "Lassaletta", "given" : "Luis", "non-dropping-particle" : "", "parse-names" : false, "suffix" : "" }, { "dropping-particle" : "", "family" : "Billen", "given" : "Gilles", "non-dropping-particle" : "", "parse-names" : false, "suffix" : "" }, { "dropping-particle" : "", "family" : "Grizzetti", "given" : "Bruna", "non-dropping-particle" : "", "parse-names" : false, "suffix" : "" }, { "dropping-particle" : "", "family" : "Garnier", "given" : "Josette", "non-dropping-particle" : "", "parse-names" : false, "suffix" : "" }, { "dropping-particle" : "", "family" : "Leach", "given" : "Allison M.", "non-dropping-particle" : "", "parse-names" : false, "suffix" : "" }, { "dropping-particle" : "", "family" : "Galloway", "given" : "James N.", "non-dropping-particle" : "", "parse-names" : false, "suffix" : "" } ], "container-title" : "Biogeochemistry", "id" : "ITEM-2", "issue" : "1-3", "issued" : { "date-parts" : [ [ "2014" ] ] }, "page" : "225-241", "title" : "Food and feed trade as a driver in the global nitrogen cycle: 50-year trends", "type" : "article-journal", "volume" : "118" }, "uris" : [ "http://www.mendeley.com/documents/?uuid=36a5c507-9303-4319-9307-510de6b1709e" ] } ], "mendeley" : { "formattedCitation" : "&lt;sup&gt;12,16&lt;/sup&gt;", "plainTextFormattedCitation" : "12,16", "previouslyFormattedCitation" : "&lt;sup&gt;12,16&lt;/sup&gt;" }, "properties" : {  }, "schema" : "https://github.com/citation-style-language/schema/raw/master/csl-citation.json" }</w:instrText>
      </w:r>
      <w:r>
        <w:fldChar w:fldCharType="separate"/>
      </w:r>
      <w:r w:rsidR="0057048C" w:rsidRPr="0057048C">
        <w:rPr>
          <w:noProof/>
          <w:vertAlign w:val="superscript"/>
        </w:rPr>
        <w:t>12,16</w:t>
      </w:r>
      <w:r>
        <w:fldChar w:fldCharType="end"/>
      </w:r>
      <w:r>
        <w:t xml:space="preserve"> Increasing food trade has exacerbated this trend by i) reducing the </w:t>
      </w:r>
      <w:r w:rsidR="006976FB">
        <w:t>prices</w:t>
      </w:r>
      <w:r>
        <w:t xml:space="preserve"> of food</w:t>
      </w:r>
      <w:r>
        <w:fldChar w:fldCharType="begin" w:fldLock="1"/>
      </w:r>
      <w:r w:rsidR="000F4114">
        <w:instrText>ADDIN CSL_CITATION { "citationItems" : [ { "id" : "ITEM-1", "itemData" : { "DOI" : "10.1016/j.gloenvcha.2011.09.013", "ISBN" : "0959-3780", "ISSN" : "09593780", "abstract" : "The volume of agricultural trade increased by more than ten times throughout the past six decades and is likely to continue with high rates in the future. Thereby, it largely affects environment and climate. We analyse future trade scenarios covering the period of 2005-2045 by evaluating economic and environmental effects using the global land-use model MAgPIE (\" Model of Agricultural Production and its Impact on the Environment\" ). This is the first trade study using spatially explicit mapping of land use patterns and greenhouse gas emissions. We focus on three scenarios: the reference scenario fixes current trade patterns, the policy scenario follows a historically derived liberalisation pathway, and the liberalisation scenario assumes a path, which ends with full trade liberalisation in 2045.Further trade liberalisation leads to lower global costs of food. Regions with comparative advantages like Latin America for cereals and oil crops and China for livestock products will export more. In contrast, regions like the Middle East, North Africa, and South Asia face the highest increases of imports. Deforestation, mainly in Latin America, leads to significant amounts of additional carbon emissions due to trade liberalisation. Non-CO 2 emissions will mostly shift to China due to comparative advantages in livestock production and rising livestock demand in the region. Overall, further trade liberalisation leads to higher economic benefits at the expense of environment and climate, if no other regulations are put in place. ?? 2011 Elsevier Ltd.", "author" : [ { "dropping-particle" : "", "family" : "Schmitz", "given" : "Christoph", "non-dropping-particle" : "", "parse-names" : false, "suffix" : "" }, { "dropping-particle" : "", "family" : "Biewald", "given" : "Anne", "non-dropping-particle" : "", "parse-names" : false, "suffix" : "" }, { "dropping-particle" : "", "family" : "Lotze-Campen", "given" : "Hermann", "non-dropping-particle" : "", "parse-names" : false, "suffix" : "" }, { "dropping-particle" : "", "family" : "Popp", "given" : "Alexander", "non-dropping-particle" : "", "parse-names" : false, "suffix" : "" }, { "dropping-particle" : "", "family" : "Dietrich", "given" : "Jan Philipp", "non-dropping-particle" : "", "parse-names" : false, "suffix" : "" }, { "dropping-particle" : "", "family" : "Bodirsky", "given" : "Benjamin", "non-dropping-particle" : "", "parse-names" : false, "suffix" : "" }, { "dropping-particle" : "", "family" : "Krause", "given" : "Michael", "non-dropping-particle" : "", "parse-names" : false, "suffix" : "" }, { "dropping-particle" : "", "family" : "Weindl", "given" : "Isabelle", "non-dropping-particle" : "", "parse-names" : false, "suffix" : "" } ], "container-title" : "Global Environmental Change", "id" : "ITEM-1", "issue" : "1", "issued" : { "date-parts" : [ [ "2012" ] ] }, "note" : "NULL", "page" : "189-209", "publisher" : "Elsevier Ltd", "title" : "Trading more food: Implications for land use, greenhouse gas emissions, and the food system", "type" : "article-journal", "volume" : "22" }, "uris" : [ "http://www.mendeley.com/documents/?uuid=324ccc95-022d-4265-9d0e-f4db791e05f2" ] } ], "mendeley" : { "formattedCitation" : "&lt;sup&gt;15&lt;/sup&gt;", "plainTextFormattedCitation" : "15", "previouslyFormattedCitation" : "&lt;sup&gt;15&lt;/sup&gt;" }, "properties" : {  }, "schema" : "https://github.com/citation-style-language/schema/raw/master/csl-citation.json" }</w:instrText>
      </w:r>
      <w:r>
        <w:fldChar w:fldCharType="separate"/>
      </w:r>
      <w:r w:rsidR="0057048C" w:rsidRPr="0057048C">
        <w:rPr>
          <w:noProof/>
          <w:vertAlign w:val="superscript"/>
        </w:rPr>
        <w:t>15</w:t>
      </w:r>
      <w:r>
        <w:fldChar w:fldCharType="end"/>
      </w:r>
      <w:r>
        <w:t>, ii) increasing global access to animal feed and, thus, animal products</w:t>
      </w:r>
      <w:r>
        <w:fldChar w:fldCharType="begin" w:fldLock="1"/>
      </w:r>
      <w:r w:rsidR="000F4114">
        <w:instrText>ADDIN CSL_CITATION { "citationItems" : [ { "id" : "ITEM-1", "itemData" : { "DOI" : "10.1007/s10533-013-9923-4", "ISBN" : "0168-2563", "ISSN" : "1573515X", "abstract" : "The alteration of the global nitrogen (N) cycle is creating severe environmental impacts. This paper analyses the increasing importance of the international trade of food and feed in the alteration of theNcycle at the global scale in two ways. First, using the information on food and feed trade across world countries, and assuming that N constitutes 16 % of proteins, we quantified the N annually traded in the period 1961\u20132010.Weobserved that in that period, the amount of N traded between countries has increased eightfold (from 3 to 24 TgN) and now concerns one- third of the total N in world crop production, with the largest part corresponding to animal feed. Secondly, we divided the world into 12 regions and studied theN transfer among them in two reference years: 1986 and 2009. The N flow among these regions has dramati- cally intensified during this period not only due to an increase in the population but also in the proportion of animal protein in the diet of some countries. Nowa- days, in terms of proteins and N, a small number of countries (e.g., USA, Argentina and Brazil) are feeding the rest of the world. At the global scale the system is becoming less efficient because of the disconnection between crop and livestock production across specia- lised regions, increasing the environmental impacts. As human diet is an additional clear driver of the observed changes, the solutions must rely not only on the producers, but also on the consumers. The results of our study provide new insights into the food depen- dency relationships between the different regions of the world as well as the growing importance of international food and feed trade in the globalNcycle.", "author" : [ { "dropping-particle" : "", "family" : "Lassaletta", "given" : "Luis", "non-dropping-particle" : "", "parse-names" : false, "suffix" : "" }, { "dropping-particle" : "", "family" : "Billen", "given" : "Gilles", "non-dropping-particle" : "", "parse-names" : false, "suffix" : "" }, { "dropping-particle" : "", "family" : "Grizzetti", "given" : "Bruna", "non-dropping-particle" : "", "parse-names" : false, "suffix" : "" }, { "dropping-particle" : "", "family" : "Garnier", "given" : "Josette", "non-dropping-particle" : "", "parse-names" : false, "suffix" : "" }, { "dropping-particle" : "", "family" : "Leach", "given" : "Allison M.", "non-dropping-particle" : "", "parse-names" : false, "suffix" : "" }, { "dropping-particle" : "", "family" : "Galloway", "given" : "James N.", "non-dropping-particle" : "", "parse-names" : false, "suffix" : "" } ], "container-title" : "Biogeochemistry", "id" : "ITEM-1", "issue" : "1-3", "issued" : { "date-parts" : [ [ "2014" ] ] }, "page" : "225-241", "title" : "Food and feed trade as a driver in the global nitrogen cycle: 50-year trends", "type" : "article-journal", "volume" : "118" }, "uris" : [ "http://www.mendeley.com/documents/?uuid=36a5c507-9303-4319-9307-510de6b1709e" ] } ], "mendeley" : { "formattedCitation" : "&lt;sup&gt;12&lt;/sup&gt;", "plainTextFormattedCitation" : "12", "previouslyFormattedCitation" : "&lt;sup&gt;12&lt;/sup&gt;" }, "properties" : {  }, "schema" : "https://github.com/citation-style-language/schema/raw/master/csl-citation.json" }</w:instrText>
      </w:r>
      <w:r>
        <w:fldChar w:fldCharType="separate"/>
      </w:r>
      <w:r w:rsidR="0057048C" w:rsidRPr="0057048C">
        <w:rPr>
          <w:noProof/>
          <w:vertAlign w:val="superscript"/>
        </w:rPr>
        <w:t>12</w:t>
      </w:r>
      <w:r>
        <w:fldChar w:fldCharType="end"/>
      </w:r>
      <w:r>
        <w:t xml:space="preserve"> and iii) allowing countries to displace emissions by consuming food without bearing the environmental consequences of producing it.</w:t>
      </w:r>
      <w:r>
        <w:fldChar w:fldCharType="begin" w:fldLock="1"/>
      </w:r>
      <w:r w:rsidR="000F4114">
        <w:instrText>ADDIN CSL_CITATION { "citationItems" : [ { "id" : "ITEM-1", "itemData" : { "DOI" : "10.1093/biosci/biu225", "ISBN" : "0006-3568", "ISSN" : "15253244", "abstract" : "Agricultural trade plays an important role in global food security and resource sustainability. Global food commodities trade is worth more than US$520 billion per year, could feed approximately two billion people, uses about 13% of worldwide cropland and pasture, and has geographically concentrated irrigation water demands. However, researchers rarely compare these monetary, nutritional, and resource metrics, which limits our ability to holistically evaluate the drivers and implications of trade. We found that each metric suggests distinct conclusions about the geography of globalized agriculture. For example, traded animal products have a disproportionate influence according to value-based and embodied pasture metrics. Traded wheat, soybean, and maize contain the most calories, use the most cropland, and strongly influence irrigation water consumption. We typify engagement in trade by assessing how countries allocate cropland to domestic versus foreign demand. Simultaneous consideration of multiple metrics could enhance decisionmaking surrounding trade by capturing the complex biophysical and economic context of agricultural globalization.", "author" : [ { "dropping-particle" : "", "family" : "MacDonald", "given" : "Graham K.", "non-dropping-particle" : "", "parse-names" : false, "suffix" : "" }, { "dropping-particle" : "", "family" : "Brauman", "given" : "Kate A.", "non-dropping-particle" : "", "parse-names" : false, "suffix" : "" }, { "dropping-particle" : "", "family" : "Sun", "given" : "Shipeng", "non-dropping-particle" : "", "parse-names" : false, "suffix" : "" }, { "dropping-particle" : "", "family" : "Carlson", "given" : "Kimberly M.", "non-dropping-particle" : "", "parse-names" : false, "suffix" : "" }, { "dropping-particle" : "", "family" : "Cassidy", "given" : "Emily S.", "non-dropping-particle" : "", "parse-names" : false, "suffix" : "" }, { "dropping-particle" : "", "family" : "Gerber", "given" : "James S.", "non-dropping-particle" : "", "parse-names" : false, "suffix" : "" }, { "dropping-particle" : "", "family" : "West", "given" : "Paul C.", "non-dropping-particle" : "", "parse-names" : false, "suffix" : "" } ], "container-title" : "BioScience", "id" : "ITEM-1", "issue" : "3", "issued" : { "date-parts" : [ [ "2015" ] ] }, "page" : "275-289", "title" : "Rethinking agricultural trade relationships in an era of globalization", "type" : "article-journal", "volume" : "65" }, "uris" : [ "http://www.mendeley.com/documents/?uuid=3dbe62d5-630c-4288-baca-12c1572e237b" ] }, { "id" : "ITEM-2", "itemData" : { "DOI" : "10.1088/1748-9326/7/4/044024", "ISBN" : "1748-9326", "ISSN" : "1748-9326", "abstract" : "Agricultural phosphorus (P) use is intricately linked to food security and water quality. Globalization of agricultural systems and changing diets clearly alter these relationships, yet their specific influence on non-renewable P reserves is less certain. We assessed P fertilizer used for production of food crops, livestock and biofuels in the US agricultural system, explicitly comparing the domestic P use required for US food consumption to the P use embodied in the production of US food imports and exports. By far the largest demand for P fertilizer throughout the US agricultural system was for feed and livestock production (56% of total P fertilizer use, including that for traded commodities). As little as 8% of the total mineral P inputs to US domestic agriculture in 2007 (1905 Gg P) was consumed in US diets in the same year, while larger fractions may have been retained in agricultural soils (28%), associated with different post-harvest losses (40%) or with biofuel refining (10%). One quarter of all P fertilizer used in the US was linked to export production, primarily crops, driving a large net P flux out of the country (338 Gg P). However, US meat consumption relied considerably on P fertilizer use in other countries to produce red meat imports. Changes in domestic farm management and consumer waste could together reduce the P fertilizer required for US food consumption by half, which is comparable to the P fertilizer reduction attainable by cutting domestic meat consumption (44%). US export-oriented agriculture, domestic post-harvest P losses and global demand for meat may ultimately have an important influence on the lifespan of US phosphate rock reserves.", "author" : [ { "dropping-particle" : "", "family" : "MacDonald", "given" : "Graham K", "non-dropping-particle" : "", "parse-names" : false, "suffix" : "" }, { "dropping-particle" : "", "family" : "Bennett", "given" : "Elena M", "non-dropping-particle" : "", "parse-names" : false, "suffix" : "" }, { "dropping-particle" : "", "family" : "Carpenter", "given" : "Stephen R", "non-dropping-particle" : "", "parse-names" : false, "suffix" : "" } ], "container-title" : "Environmental Research Letters", "id" : "ITEM-2", "issued" : { "date-parts" : [ [ "2012" ] ] }, "page" : "044024", "title" : "Embodied phosphorus and the global connections of United States agriculture", "type" : "article-journal", "volume" : "7" }, "uris" : [ "http://www.mendeley.com/documents/?uuid=71de9ec2-ade1-4762-bc29-e711c640a382" ] }, { "id" : "ITEM-3", "itemData" : { "author" : [ { "dropping-particle" : "", "family" : "Boyer", "given" : "Elizabeth W.", "non-dropping-particle" : "", "parse-names" : false, "suffix" : "" }, { "dropping-particle" : "", "family" : "Goodale", "given" : "Christine L.", "non-dropping-particle" : "", "parse-names" : false, "suffix" : "" }, { "dropping-particle" : "", "family" : "Jaworski", "given" : "Norbert A.", "non-dropping-particle" : "", "parse-names" : false, "suffix" : "" }, { "dropping-particle" : "", "family" : "Howarth", "given" : "Robert W.", "non-dropping-particle" : "", "parse-names" : false, "suffix" : "" } ], "container-title" : "Biogeochemistry", "id" : "ITEM-3", "issued" : { "date-parts" : [ [ "2002" ] ] }, "page" : "137-169", "title" : "Anthropogenic nitrogen sources and relationships to riverine nitrogen export in the northeastern U.S.A.", "type" : "article-journal", "volume" : "57/58" }, "uris" : [ "http://www.mendeley.com/documents/?uuid=aae60132-e747-48d3-ba9a-1462f869a624" ] }, { "id" : "ITEM-4", "itemData" : { "DOI" : "10.3390/w8010030", "ISBN" : "2073-4441", "ISSN" : "20734441", "abstract" : "Water is a prerequisite for life on our planet. Due to climate change and pollution, water availability for agricultural production, industry and households is increasingly put at risk. With agriculture being the largest water user as well as polluter worldwide, we estimate anthropogenic nitrogen and phosphorus emissions to fresh water related to global crop production at a spatial resolution level of 5 by 5 arc min and calculate the grey water footprints (GWF) related to EU-27's crop production. A multiregional input-output model is used to trace the the GWF embodied in the final consumption of crop products by the EU-27. The total GWF related to crop production in the EU-27 in 2007 was 1 1012 m3/year. Spain contributed about 40% to this total. Production of cereals (wheat, rice and other cereals) take the largest share, accounting for 30% of the GWF, followed by fruits (17%), vegetables (14%), and oil crops (13%). The total agricultural GWF of the EU-27 related to crop consumption was 1830 billion m3/year, which is 3700 m3/year per capita on average. Overall, the EU-27 was able to externalize about 41% of the GWF to the rest of the world through imports of crop products.", "author" : [ { "dropping-particle" : "", "family" : "Mekonnen", "given" : "Mesfin M.", "non-dropping-particle" : "", "parse-names" : false, "suffix" : "" }, { "dropping-particle" : "", "family" : "Lutter", "given" : "Stephan", "non-dropping-particle" : "", "parse-names" : false, "suffix" : "" }, { "dropping-particle" : "", "family" : "Martinez", "given" : "Aldo", "non-dropping-particle" : "", "parse-names" : false, "suffix" : "" } ], "container-title" : "Water", "id" : "ITEM-4", "issue" : "1", "issued" : { "date-parts" : [ [ "2016" ] ] }, "note" : "NULL", "page" : "1-14", "title" : "Anthropogenic nitrogen and phosphorus emissions and related grey water footprints caused by EU-27's crop production and consumption", "type" : "article-journal", "volume" : "8" }, "uris" : [ "http://www.mendeley.com/documents/?uuid=05cdc164-eca2-4e6c-9c1a-58cca12f665e" ] }, { "id" : "ITEM-5", "itemData" : { "DOI" : "10.1038/ngeo2635", "ISBN" : "9789264185715", "ISSN" : "1752-0894", "abstract" : "Anthropogenic emissions of reactive nitrogen to the atmo- sphere and water bodies can damage human health and ecosystems1,2 . As a measure of a nation\u2019s contribution to this potential damage, a country\u2019s nitrogen footprint has been defined as the quantity of reactive nitrogen emitted during the production, consumption and transportation of commodities consumed within that country, whether those commodities are produced domestically or internationally3 . Here we use global emissions databases4,5 , a global nitrogen cycle model6 , and a global input\u2013output database of domestic and international trade7,8 to calculate the nitrogen footprints for 188 countries as the sum of emissions of ammonia, nitrogen oxides and nitrous oxide to the atmosphere, and of nitrogen potentially exportable to water bodies. Per-capita footprints range from under 7 kgNyr\u22121 in some developing countries to over 100kgNyr\u22121 in some wealthy nations. Consumption in China, India, the United States and Brazil is responsible for 46% of global emissions. Roughly a quarter of the global nitrogen footprint is from commodities that were traded across country borders. The main net exporters have significant agricultural, food and textile exports, and are often developing countries, whereas important net importers are almost exclusively developed economies. We conclude that substantial local nitrogen pollution is driven by demand from consumers in other countries.", "author" : [ { "dropping-particle" : "", "family" : "Oita", "given" : "Azusa", "non-dropping-particle" : "", "parse-names" : false, "suffix" : "" }, { "dropping-particle" : "", "family" : "Malik", "given" : "Arunima", "non-dropping-particle" : "", "parse-names" : false, "suffix" : "" }, { "dropping-particle" : "", "family" : "Kanemoto", "given" : "Keiichiro", "non-dropping-particle" : "", "parse-names" : false, "suffix" : "" }, { "dropping-particle" : "", "family" : "Geschke", "given" : "Arne", "non-dropping-particle" : "", "parse-names" : false, "suffix" : "" }, { "dropping-particle" : "", "family" : "Nishijima", "given" : "Shota", "non-dropping-particle" : "", "parse-names" : false, "suffix" : "" }, { "dropping-particle" : "", "family" : "Lenzen", "given" : "Manfred", "non-dropping-particle" : "", "parse-names" : false, "suffix" : "" } ], "container-title" : "Nature Geoscience", "id" : "ITEM-5", "issue" : "January", "issued" : { "date-parts" : [ [ "2016" ] ] }, "page" : "111\u2013115", "title" : "Substantial nitrogen pollution embedded in international trade", "type" : "article-journal", "volume" : "9" }, "uris" : [ "http://www.mendeley.com/documents/?uuid=2dd8a226-190d-4964-97d0-0bd9309016a1" ] }, { "id" : "ITEM-6", "itemData" : { "DOI" : "10.1007/s10021-011-9507-x", "ISBN" : "1432-9840", "ISSN" : "14329840", "abstract" : "Trends of increasing agricultural trade, increased concentration of livestock production systems, and increased human consumption of livestock products influence the distribution of nutrients across the global landscape. Phosphorus (P) represents a unique management challenge as we are rapidly depleting mineable reserves of this essential and non-renewable resource. At the same time, its overuse can lead to pollution of aquatic ecosystems. We analyzed the relative contributions of food crop, feed crop, and livestock product trade to P flows through agricultural soils for 12 countries from 1961 to 2007. Due to the intensification of agricultural production, average soil surface P balances more than tripled from 6 to 21 kg P ha\u22121 between 1961 and 2007 for the 12 study countries. Consequently, countries that are primarily agricultural exporters carried increased risks for water pollution or, for Argentina, reduced soil fertility due to soil P mining to support exports. In 2007, nations imported food and feed from regions with higher apparent P fertilizer use efficiencies than if those crops were produced domestically. However, this was largely because imports were sourced from regions depleting soil P resources to support export crop production. In addition, the pattern of regional specialization and intensification of production systems also reduced the potential to recycle P resources, with greater implications for livestock production than crop production. In a globalizing world, it will be increasingly important to integrate biophysical constraints of our natural resources and environmental impacts of agricultural systems into trade policy and agreements and to develop mechanisms that move us closer to more equitable management of non-renewable resources such as phosphorus.", "author" : [ { "dropping-particle" : "", "family" : "Schipanski", "given" : "Meagan E.", "non-dropping-particle" : "", "parse-names" : false, "suffix" : "" }, { "dropping-particle" : "", "family" : "Bennett", "given" : "Elena M.", "non-dropping-particle" : "", "parse-names" : false, "suffix" : "" } ], "container-title" : "Ecosystems", "id" : "ITEM-6", "issue" : "2", "issued" : { "date-parts" : [ [ "2012" ] ] }, "page" : "256-268", "title" : "The Influence of Agricultural Trade and Livestock Production on the Global Phosphorus Cycle", "type" : "article-journal", "volume" : "15" }, "uris" : [ "http://www.mendeley.com/documents/?uuid=df13c0b7-1665-49bb-943b-84e86e51423a" ] }, { "id" : "ITEM-7", "itemData" : { "DOI" : "10.1007/s10533-013-9923-4", "ISBN" : "0168-2563", "ISSN" : "1573515X", "abstract" : "The alteration of the global nitrogen (N) cycle is creating severe environmental impacts. This paper analyses the increasing importance of the international trade of food and feed in the alteration of theNcycle at the global scale in two ways. First, using the information on food and feed trade across world countries, and assuming that N constitutes 16 % of proteins, we quantified the N annually traded in the period 1961\u20132010.Weobserved that in that period, the amount of N traded between countries has increased eightfold (from 3 to 24 TgN) and now concerns one- third of the total N in world crop production, with the largest part corresponding to animal feed. Secondly, we divided the world into 12 regions and studied theN transfer among them in two reference years: 1986 and 2009. The N flow among these regions has dramati- cally intensified during this period not only due to an increase in the population but also in the proportion of animal protein in the diet of some countries. Nowa- days, in terms of proteins and N, a small number of countries (e.g., USA, Argentina and Brazil) are feeding the rest of the world. At the global scale the system is becoming less efficient because of the disconnection between crop and livestock production across specia- lised regions, increasing the environmental impacts. As human diet is an additional clear driver of the observed changes, the solutions must rely not only on the producers, but also on the consumers. The results of our study provide new insights into the food depen- dency relationships between the different regions of the world as well as the growing importance of international food and feed trade in the globalNcycle.", "author" : [ { "dropping-particle" : "", "family" : "Lassaletta", "given" : "Luis", "non-dropping-particle" : "", "parse-names" : false, "suffix" : "" }, { "dropping-particle" : "", "family" : "Billen", "given" : "Gilles", "non-dropping-particle" : "", "parse-names" : false, "suffix" : "" }, { "dropping-particle" : "", "family" : "Grizzetti", "given" : "Bruna", "non-dropping-particle" : "", "parse-names" : false, "suffix" : "" }, { "dropping-particle" : "", "family" : "Garnier", "given" : "Josette", "non-dropping-particle" : "", "parse-names" : false, "suffix" : "" }, { "dropping-particle" : "", "family" : "Leach", "given" : "Allison M.", "non-dropping-particle" : "", "parse-names" : false, "suffix" : "" }, { "dropping-particle" : "", "family" : "Galloway", "given" : "James N.", "non-dropping-particle" : "", "parse-names" : false, "suffix" : "" } ], "container-title" : "Biogeochemistry", "id" : "ITEM-7", "issue" : "1-3", "issued" : { "date-parts" : [ [ "2014" ] ] }, "page" : "225-241", "title" : "Food and feed trade as a driver in the global nitrogen cycle: 50-year trends", "type" : "article-journal", "volume" : "118" }, "uris" : [ "http://www.mendeley.com/documents/?uuid=36a5c507-9303-4319-9307-510de6b1709e" ] }, { "id" : "ITEM-8", "itemData" : { "DOI" : "10.1021/acs.est.6b00740", "ISSN" : "15205851", "abstract" : "We investigated water-related resource use, emissions and ecosystem impacts of food consumed in Switzerland. To do so, we coupled LCA methodologies on freshwater consumption, freshwater eutrophication and the consequent local and global biodiversity impacts with Swiss customs data and multiregional input-output analysis. Most of the resource use, emissions and impacts occur outside the national boundaries which illustrates the extent of environmental outsourcing facilitated by international trade. Countries that are severely affected by Swiss food consumption include Spain, the United States and Ecuador. Cocoa, coffee, and almonds stood out as products with high impacts. By identifying spatial hotspots and impactful products, awareness of policy-makers as well as individual consumers can be raised and efforts of detailed assessments can be streamlined. However, political and economic constraints and the resistance by individual consumers limit the high potential of changes in diets and trade relations to ...", "author" : [ { "dropping-particle" : "", "family" : "Scherer", "given" : "Laura", "non-dropping-particle" : "", "parse-names" : false, "suffix" : "" }, { "dropping-particle" : "", "family" : "Pfister", "given" : "Stephan", "non-dropping-particle" : "", "parse-names" : false, "suffix" : "" } ], "container-title" : "Environmental Science and Technology", "id" : "ITEM-8", "issue" : "13", "issued" : { "date-parts" : [ [ "2016" ] ] }, "note" : "NULL", "page" : "7019-7028", "title" : "Global Biodiversity Loss by Freshwater Consumption and Eutrophication from Swiss Food Consumption", "type" : "article-journal", "volume" : "50" }, "uris" : [ "http://www.mendeley.com/documents/?uuid=8a3e9f27-27b4-4137-b0e9-c917d797fb80" ] } ], "mendeley" : { "formattedCitation" : "&lt;sup&gt;12\u201314,17\u201321&lt;/sup&gt;", "plainTextFormattedCitation" : "12\u201314,17\u201321", "previouslyFormattedCitation" : "&lt;sup&gt;12\u201314,17\u201321&lt;/sup&gt;" }, "properties" : {  }, "schema" : "https://github.com/citation-style-language/schema/raw/master/csl-citation.json" }</w:instrText>
      </w:r>
      <w:r>
        <w:fldChar w:fldCharType="separate"/>
      </w:r>
      <w:r w:rsidR="0057048C" w:rsidRPr="0057048C">
        <w:rPr>
          <w:noProof/>
          <w:vertAlign w:val="superscript"/>
        </w:rPr>
        <w:t>12–14,17–21</w:t>
      </w:r>
      <w:r>
        <w:fldChar w:fldCharType="end"/>
      </w:r>
      <w:r>
        <w:t xml:space="preserve"> </w:t>
      </w:r>
    </w:p>
    <w:p w14:paraId="194C6F39" w14:textId="41ACD703" w:rsidR="00E4304D" w:rsidRDefault="00EA55E3" w:rsidP="00B018A6">
      <w:pPr>
        <w:pStyle w:val="BDAbstract"/>
        <w:spacing w:before="100" w:beforeAutospacing="1" w:after="100" w:afterAutospacing="1" w:line="240" w:lineRule="auto"/>
      </w:pPr>
      <w:r>
        <w:t>However, as countries develop</w:t>
      </w:r>
      <w:r w:rsidR="00165722">
        <w:t>,</w:t>
      </w:r>
      <w:r>
        <w:t xml:space="preserve"> the share of food expenditure relative to total GDP decreases and is instead directed towards services and </w:t>
      </w:r>
      <w:r w:rsidR="00C40181">
        <w:t>s</w:t>
      </w:r>
      <w:r w:rsidR="005C7037">
        <w:t>econdary/</w:t>
      </w:r>
      <w:r w:rsidR="00C40181">
        <w:t>tertiary goods</w:t>
      </w:r>
      <w:r w:rsidR="00165722">
        <w:t xml:space="preserve"> that </w:t>
      </w:r>
      <w:r w:rsidR="00C40181">
        <w:t>can</w:t>
      </w:r>
      <w:r w:rsidR="00165722">
        <w:t xml:space="preserve"> </w:t>
      </w:r>
      <w:r w:rsidR="00C40181">
        <w:t>also depend on agriculture in their supply-chains</w:t>
      </w:r>
      <w:r w:rsidR="00732E18">
        <w:t>, e.g. textiles, clothing and furniture</w:t>
      </w:r>
      <w:r w:rsidR="00165722">
        <w:t>.</w:t>
      </w:r>
      <w:r w:rsidR="00C4086A">
        <w:fldChar w:fldCharType="begin" w:fldLock="1"/>
      </w:r>
      <w:r w:rsidR="000F4114">
        <w:instrText>ADDIN CSL_CITATION { "citationItems" : [ { "id" : "ITEM-1", "itemData" : { "DOI" : "10.1080/09535314.2010.536905", "author" : [ { "dropping-particle" : "", "family" : "Hertwich", "given" : "Edgar G", "non-dropping-particle" : "", "parse-names" : false, "suffix" : "" } ], "container-title" : "Economic Systems Research", "id" : "ITEM-1", "issue" : "1", "issued" : { "date-parts" : [ [ "2011" ] ] }, "page" : "27-47", "title" : "The Life Cycle Environmental Impacts of Consumption", "type" : "article-journal", "volume" : "23" }, "uris" : [ "http://www.mendeley.com/documents/?uuid=7a10efbd-b78a-4692-9f10-eceec30411e9" ] }, { "id" : "ITEM-2", "itemData" : { "DOI" : "10.1111/jiec.12371", "ISBN" : "1088-1980", "ISSN" : "15309290", "abstract" : "We analyze the environmental impact of household consumption in terms of the material, water, and land-use requirements, as well as greenhouse gas (GHG) emissions, associated with the production and use of products and services consumed by these households. Using the new EXIOBASE 2.2 multiregional input-output database, which describes the world economy at the detail of 43 countries, five rest-of-the-world regions, and 200 product sectors, we are able to trace the origin of the products consumed by households and represent global supply chains for 2007. We highlight the importance of environmental pressure arising from households with their consumption contributing to more than 60% of global GHG emissions and between 50% and 80% of total land, material, and water use. The footprints are unevenly distributed across regions, with wealthier countries generating the most significant impacts per capita. Elasticities suggest a robust and significant relationship between households' expenditure and their environmental impacts, driven by a rising demand of nonprimary consumption items. Mobility, shelter, and food are the most important consumption categories across the environmental footprints. Globally, food accounts for 48% and 70% of household impacts on land and water resources, respectively, with consumption of meat, dairy, and processed food rising fast with income. Shelter and mobility stand out with high carbon and material intensity, whereas the significance of services for footprints relates to the large amount of household expenditure associated with them.", "author" : [ { "dropping-particle" : "", "family" : "Ivanova", "given" : "Diana", "non-dropping-particle" : "", "parse-names" : false, "suffix" : "" }, { "dropping-particle" : "", "family" : "Stadler", "given" : "Konstantin", "non-dropping-particle" : "", "parse-names" : false, "suffix" : "" }, { "dropping-particle" : "", "family" : "Steen-Olsen", "given" : "Kjartan", "non-dropping-particle" : "", "parse-names" : false, "suffix" : "" }, { "dropping-particle" : "", "family" : "Wood", "given" : "Richard", "non-dropping-particle" : "", "parse-names" : false, "suffix" : "" }, { "dropping-particle" : "", "family" : "Vita", "given" : "Gibran", "non-dropping-particle" : "", "parse-names" : false, "suffix" : "" }, { "dropping-particle" : "", "family" : "Tukker", "given" : "Arnold", "non-dropping-particle" : "", "parse-names" : false, "suffix" : "" }, { "dropping-particle" : "", "family" : "Hertwich", "given" : "Edgar G.", "non-dropping-particle" : "", "parse-names" : false, "suffix" : "" } ], "container-title" : "Journal of Industrial Ecology", "id" : "ITEM-2", "issue" : "3", "issued" : { "date-parts" : [ [ "2016" ] ] }, "page" : "526-536", "title" : "Environmental Impact Assessment of Household Consumption", "type" : "article-journal", "volume" : "20" }, "uris" : [ "http://www.mendeley.com/documents/?uuid=bbed89e1-fe6f-41cd-b27d-9eadfa653f7e" ] }, { "id" : "ITEM-3", "itemData" : { "DOI" : "10.1021/es803496a", "author" : [ { "dropping-particle" : "", "family" : "Hertwich", "given" : "E.", "non-dropping-particle" : "", "parse-names" : false, "suffix" : "" }, { "dropping-particle" : "", "family" : "Peters", "given" : "G.", "non-dropping-particle" : "", "parse-names" : false, "suffix" : "" } ], "container-title" : "Environmental Science &amp; Technology", "id" : "ITEM-3", "issue" : "16", "issued" : { "date-parts" : [ [ "2009" ] ] }, "page" : "6414-6420", "title" : "Carbon footprint of nations: A global, trade-linked analysis", "type" : "article-journal", "volume" : "43" }, "uris" : [ "http://www.mendeley.com/documents/?uuid=ee62629c-4182-4398-beba-441668bfad2a", "http://www.mendeley.com/documents/?uuid=4513b795-b7c9-4cff-9bf2-fda1b77dbbe5" ] } ], "mendeley" : { "formattedCitation" : "&lt;sup&gt;22\u201324&lt;/sup&gt;", "plainTextFormattedCitation" : "22\u201324", "previouslyFormattedCitation" : "&lt;sup&gt;22\u201324&lt;/sup&gt;" }, "properties" : {  }, "schema" : "https://github.com/citation-style-language/schema/raw/master/csl-citation.json" }</w:instrText>
      </w:r>
      <w:r w:rsidR="00C4086A">
        <w:fldChar w:fldCharType="separate"/>
      </w:r>
      <w:r w:rsidR="0057048C" w:rsidRPr="0057048C">
        <w:rPr>
          <w:noProof/>
          <w:vertAlign w:val="superscript"/>
        </w:rPr>
        <w:t>22–24</w:t>
      </w:r>
      <w:r w:rsidR="00C4086A">
        <w:fldChar w:fldCharType="end"/>
      </w:r>
      <w:r w:rsidR="00165722">
        <w:t xml:space="preserve"> </w:t>
      </w:r>
      <w:r>
        <w:t xml:space="preserve">Therefore, with wealth, the environmental impacts associated with the consumption of </w:t>
      </w:r>
      <w:r w:rsidR="00165722">
        <w:t>non-food commodities</w:t>
      </w:r>
      <w:r w:rsidR="00732E18">
        <w:t xml:space="preserve"> </w:t>
      </w:r>
      <w:r>
        <w:t>becomes increasingly important.</w:t>
      </w:r>
      <w:r w:rsidR="004B2581">
        <w:fldChar w:fldCharType="begin" w:fldLock="1"/>
      </w:r>
      <w:r w:rsidR="000F4114">
        <w:instrText>ADDIN CSL_CITATION { "citationItems" : [ { "id" : "ITEM-1", "itemData" : { "DOI" : "10.1038/srep05995", "ISSN" : "2045-2322", "PMID" : "25104138", "abstract" : "Despite their value, coastal ecosystems are globally threatened by anthropogenic impacts, yet how these impacts are driven by economic development is not well understood. We compiled a multifaceted dataset to quantify coastal trends and examine the role of economic growth in China\u2019s coastal degradation since the 1950s. Although China\u2019s coastal population growth did not change following the 1978 economic reforms, its coastal economy increased by orders of magnitude. All 15 coastal human impacts examined increased over time, especially after the reforms. Econometric analysis revealed positive relationships between most impacts and GDP across temporal and spatial scales, often lacking dropping thresholds. These relationships generally held when influences of population growth were addressed by analyzing per capita impacts, and when population density was included as explanatory variables. Historical trends in physical and biotic indicators showed that China\u2019s coastal ecosystems changed little or slowly between the 1950s and 1978, but have degraded at accelerated rates since 1978. Thus economic growth has been the cause of accelerating human damage to China\u2019s coastal ecosystems. China\u2019s GDP per capita remains very low. Without strict conservation efforts, continuing economic growth will further degrade China\u2019s coastal ecosystems.", "author" : [ { "dropping-particle" : "", "family" : "He", "given" : "Qiang", "non-dropping-particle" : "", "parse-names" : false, "suffix" : "" }, { "dropping-particle" : "", "family" : "Bertness", "given" : "Mark D", "non-dropping-particle" : "", "parse-names" : false, "suffix" : "" }, { "dropping-particle" : "", "family" : "Bruno", "given" : "John F", "non-dropping-particle" : "", "parse-names" : false, "suffix" : "" }, { "dropping-particle" : "", "family" : "Li", "given" : "Bo", "non-dropping-particle" : "", "parse-names" : false, "suffix" : "" }, { "dropping-particle" : "", "family" : "Chen", "given" : "Guoqian", "non-dropping-particle" : "", "parse-names" : false, "suffix" : "" }, { "dropping-particle" : "", "family" : "Coverdale", "given" : "Tyler C", "non-dropping-particle" : "", "parse-names" : false, "suffix" : "" }, { "dropping-particle" : "", "family" : "Altieri", "given" : "Andrew H", "non-dropping-particle" : "", "parse-names" : false, "suffix" : "" }, { "dropping-particle" : "", "family" : "Bai", "given" : "Junhong", "non-dropping-particle" : "", "parse-names" : false, "suffix" : "" }, { "dropping-particle" : "", "family" : "Sun", "given" : "Tao", "non-dropping-particle" : "", "parse-names" : false, "suffix" : "" }, { "dropping-particle" : "", "family" : "Pennings", "given" : "Steven C", "non-dropping-particle" : "", "parse-names" : false, "suffix" : "" }, { "dropping-particle" : "", "family" : "Liu", "given" : "Jianguo", "non-dropping-particle" : "", "parse-names" : false, "suffix" : "" }, { "dropping-particle" : "", "family" : "Ehrlich", "given" : "Paul R", "non-dropping-particle" : "", "parse-names" : false, "suffix" : "" }, { "dropping-particle" : "", "family" : "Cui", "given" : "Baoshan", "non-dropping-particle" : "", "parse-names" : false, "suffix" : "" } ], "container-title" : "Scientific Reports", "id" : "ITEM-1", "issued" : { "date-parts" : [ [ "2014" ] ] }, "page" : "1-9", "title" : "Economic development and coastal ecosystem change in China", "type" : "article-journal", "volume" : "4" }, "uris" : [ "http://www.mendeley.com/documents/?uuid=e248b5d1-c8e1-4eb8-991e-11cc3685c83e" ] } ], "mendeley" : { "formattedCitation" : "&lt;sup&gt;25&lt;/sup&gt;", "plainTextFormattedCitation" : "25", "previouslyFormattedCitation" : "&lt;sup&gt;25&lt;/sup&gt;" }, "properties" : {  }, "schema" : "https://github.com/citation-style-language/schema/raw/master/csl-citation.json" }</w:instrText>
      </w:r>
      <w:r w:rsidR="004B2581">
        <w:fldChar w:fldCharType="separate"/>
      </w:r>
      <w:r w:rsidR="004B2581" w:rsidRPr="004B2581">
        <w:rPr>
          <w:noProof/>
          <w:vertAlign w:val="superscript"/>
        </w:rPr>
        <w:t>25</w:t>
      </w:r>
      <w:r w:rsidR="004B2581">
        <w:fldChar w:fldCharType="end"/>
      </w:r>
      <w:r>
        <w:t xml:space="preserve"> In addition, the supply chains of these goods are </w:t>
      </w:r>
      <w:r w:rsidR="00450B62">
        <w:t>increasingly</w:t>
      </w:r>
      <w:r w:rsidR="00616E6D">
        <w:t xml:space="preserve"> </w:t>
      </w:r>
      <w:r>
        <w:t>complex, often involving trade and emissions through a number of countries before reaching the final consumer.</w:t>
      </w:r>
      <w:r w:rsidR="00EB1CA7">
        <w:fldChar w:fldCharType="begin" w:fldLock="1"/>
      </w:r>
      <w:r w:rsidR="000F4114">
        <w:instrText>ADDIN CSL_CITATION { "citationItems" : [ { "id" : "ITEM-1", "itemData" : { "DOI" : "10.1021/es301949t", "ISBN" : "0013-936X", "ISSN" : "0013936X", "PMID" : "23013466", "abstract" : "A nation's consumption of goods and services causes various environmental pressures all over the world due to international trade. We use a multiregional input-output model to assess three kinds of environmental footprints for the member states of the European Union. Footprints are indicators that take the consumer responsibility approach to account for the total direct and indirect effects of a product or consumption activity. We quantify the total environmental pressures (greenhouse gas emissions: carbon footprint; appropriation of biologically productive land and water area: land footprint; and freshwater consumption: water footprint) caused by consumption in the EU. We find that the consumption activities by an average EU citizen in 2004 led to 13.3 tCO(2)e of induced greenhouse gas emissions, appropriation of 2.53 gha (hectares of land with global-average biological productivity), and consumption of 179 m(3) of blue water (ground and surface water). By comparison, the global averages were 5.7 tCO(2)e, 1.23 gha, and 163 m(3) blue water, respectively. Overall, the EU displaced all three types of environmental pressures to the rest of the world, through imports of products with embodied pressures. Looking at intra-EU displacements only, the UK was the most important displacer overall, while the largest net exporters of embodied environmental pressures were Poland (greenhouse gases), France (land), and Spain (freshwater).", "author" : [ { "dropping-particle" : "", "family" : "Steen-Olsen", "given" : "Kjartan", "non-dropping-particle" : "", "parse-names" : false, "suffix" : "" }, { "dropping-particle" : "", "family" : "Weinzettel", "given" : "Jan", "non-dropping-particle" : "", "parse-names" : false, "suffix" : "" }, { "dropping-particle" : "", "family" : "Cranston", "given" : "Gemma", "non-dropping-particle" : "", "parse-names" : false, "suffix" : "" }, { "dropping-particle" : "", "family" : "Ercin", "given" : "A. Ertug", "non-dropping-particle" : "", "parse-names" : false, "suffix" : "" }, { "dropping-particle" : "", "family" : "Hertwich", "given" : "Edgar G.", "non-dropping-particle" : "", "parse-names" : false, "suffix" : "" } ], "container-title" : "Environmental Science and Technology", "id" : "ITEM-1", "issue" : "20", "issued" : { "date-parts" : [ [ "2012" ] ] }, "page" : "10883-10891", "title" : "Carbon, land, and water footprint accounts for the european union: Consumption, production, and displacements through international trade", "type" : "article-journal", "volume" : "46" }, "uris" : [ "http://www.mendeley.com/documents/?uuid=c9b67218-41be-4346-a80a-ab231e7e4f4a" ] } ], "mendeley" : { "formattedCitation" : "&lt;sup&gt;26&lt;/sup&gt;", "plainTextFormattedCitation" : "26", "previouslyFormattedCitation" : "&lt;sup&gt;26&lt;/sup&gt;" }, "properties" : {  }, "schema" : "https://github.com/citation-style-language/schema/raw/master/csl-citation.json" }</w:instrText>
      </w:r>
      <w:r w:rsidR="00EB1CA7">
        <w:fldChar w:fldCharType="separate"/>
      </w:r>
      <w:r w:rsidR="004B2581" w:rsidRPr="004B2581">
        <w:rPr>
          <w:noProof/>
          <w:vertAlign w:val="superscript"/>
        </w:rPr>
        <w:t>26</w:t>
      </w:r>
      <w:r w:rsidR="00EB1CA7">
        <w:fldChar w:fldCharType="end"/>
      </w:r>
      <w:r>
        <w:t xml:space="preserve"> This displaces emissions, which makes it particularly difficult to address pollution when the relevant actors are spread across several countries.</w:t>
      </w:r>
      <w:r w:rsidR="00EC574B" w:rsidRPr="006D5BF4">
        <w:fldChar w:fldCharType="begin" w:fldLock="1"/>
      </w:r>
      <w:r w:rsidR="00EC574B">
        <w:instrText>ADDIN CSL_CITATION { "citationItems" : [ { "id" : "ITEM-1", "itemData" : { "DOI" : "10.1038/ngeo2635", "ISBN" : "9789264185715", "ISSN" : "1752-0894", "abstract" : "Anthropogenic emissions of reactive nitrogen to the atmo- sphere and water bodies can damage human health and ecosystems1,2 . As a measure of a nation\u2019s contribution to this potential damage, a country\u2019s nitrogen footprint has been defined as the quantity of reactive nitrogen emitted during the production, consumption and transportation of commodities consumed within that country, whether those commodities are produced domestically or internationally3 . Here we use global emissions databases4,5 , a global nitrogen cycle model6 , and a global input\u2013output database of domestic and international trade7,8 to calculate the nitrogen footprints for 188 countries as the sum of emissions of ammonia, nitrogen oxides and nitrous oxide to the atmosphere, and of nitrogen potentially exportable to water bodies. Per-capita footprints range from under 7 kgNyr\u22121 in some developing countries to over 100kgNyr\u22121 in some wealthy nations. Consumption in China, India, the United States and Brazil is responsible for 46% of global emissions. Roughly a quarter of the global nitrogen footprint is from commodities that were traded across country borders. The main net exporters have significant agricultural, food and textile exports, and are often developing countries, whereas important net importers are almost exclusively developed economies. We conclude that substantial local nitrogen pollution is driven by demand from consumers in other countries.", "author" : [ { "dropping-particle" : "", "family" : "Oita", "given" : "Azusa", "non-dropping-particle" : "", "parse-names" : false, "suffix" : "" }, { "dropping-particle" : "", "family" : "Malik", "given" : "Arunima", "non-dropping-particle" : "", "parse-names" : false, "suffix" : "" }, { "dropping-particle" : "", "family" : "Kanemoto", "given" : "Keiichiro", "non-dropping-particle" : "", "parse-names" : false, "suffix" : "" }, { "dropping-particle" : "", "family" : "Geschke", "given" : "Arne", "non-dropping-particle" : "", "parse-names" : false, "suffix" : "" }, { "dropping-particle" : "", "family" : "Nishijima", "given" : "Shota", "non-dropping-particle" : "", "parse-names" : false, "suffix" : "" }, { "dropping-particle" : "", "family" : "Lenzen", "given" : "Manfred", "non-dropping-particle" : "", "parse-names" : false, "suffix" : "" } ], "container-title" : "Nature Geoscience", "id" : "ITEM-1", "issue" : "January", "issued" : { "date-parts" : [ [ "2016" ] ] }, "page" : "111\u2013115", "title" : "Substantial nitrogen pollution embedded in international trade", "type" : "article-journal", "volume" : "9" }, "uris" : [ "http://www.mendeley.com/documents/?uuid=2dd8a226-190d-4964-97d0-0bd9309016a1" ] } ], "mendeley" : { "formattedCitation" : "&lt;sup&gt;21&lt;/sup&gt;", "plainTextFormattedCitation" : "21", "previouslyFormattedCitation" : "&lt;sup&gt;21&lt;/sup&gt;" }, "properties" : {  }, "schema" : "https://github.com/citation-style-language/schema/raw/master/csl-citation.json" }</w:instrText>
      </w:r>
      <w:r w:rsidR="00EC574B" w:rsidRPr="006D5BF4">
        <w:fldChar w:fldCharType="separate"/>
      </w:r>
      <w:r w:rsidR="00EC574B" w:rsidRPr="0057048C">
        <w:rPr>
          <w:noProof/>
          <w:vertAlign w:val="superscript"/>
        </w:rPr>
        <w:t>21</w:t>
      </w:r>
      <w:r w:rsidR="00EC574B" w:rsidRPr="006D5BF4">
        <w:fldChar w:fldCharType="end"/>
      </w:r>
      <w:r>
        <w:t xml:space="preserve"> </w:t>
      </w:r>
    </w:p>
    <w:p w14:paraId="4D0D1CB8" w14:textId="57091042" w:rsidR="00EA55E3" w:rsidRPr="00BB65C5" w:rsidRDefault="003361F3" w:rsidP="00B018A6">
      <w:pPr>
        <w:pStyle w:val="BDAbstract"/>
        <w:spacing w:before="100" w:beforeAutospacing="1" w:after="100" w:afterAutospacing="1" w:line="240" w:lineRule="auto"/>
      </w:pPr>
      <w:r>
        <w:t>In summary</w:t>
      </w:r>
      <w:r w:rsidR="00EA55E3">
        <w:t xml:space="preserve">, when developing eutrophication mitigation strategies, a sole focus on food consumption </w:t>
      </w:r>
      <w:r w:rsidR="00184027">
        <w:t>can leave</w:t>
      </w:r>
      <w:r w:rsidR="00EA55E3">
        <w:t xml:space="preserve"> a large number of potentially important drivers unaccounted for that will increase with wealth </w:t>
      </w:r>
      <w:r w:rsidR="00310185">
        <w:t>and disperse with globalization</w:t>
      </w:r>
      <w:r w:rsidR="005C7037" w:rsidRPr="008A6C37">
        <w:t xml:space="preserve">. </w:t>
      </w:r>
      <w:r w:rsidR="008A6C37" w:rsidRPr="008A6C37">
        <w:t>This necessitates a consumptio</w:t>
      </w:r>
      <w:r w:rsidR="00900B56">
        <w:t xml:space="preserve">n-based accounting perspective because it </w:t>
      </w:r>
      <w:r w:rsidR="008A6C37" w:rsidRPr="008A6C37">
        <w:t>i) accounts for all impacts (both domestic and foreign)</w:t>
      </w:r>
      <w:r w:rsidR="008A6C37">
        <w:t xml:space="preserve"> due to a given </w:t>
      </w:r>
      <w:r w:rsidR="008A6C37" w:rsidRPr="008A6C37">
        <w:t>country’s consumption and ii</w:t>
      </w:r>
      <w:r w:rsidR="008A6C37">
        <w:t xml:space="preserve">) can, thus, initiate and </w:t>
      </w:r>
      <w:r w:rsidR="008034B6">
        <w:t>motivate</w:t>
      </w:r>
      <w:r w:rsidR="008A6C37">
        <w:t xml:space="preserve"> both demand- and production-side </w:t>
      </w:r>
      <w:r w:rsidR="008034B6">
        <w:t xml:space="preserve">domestic and international </w:t>
      </w:r>
      <w:r w:rsidR="008A6C37">
        <w:t>policy development</w:t>
      </w:r>
      <w:r w:rsidR="00900B56">
        <w:t xml:space="preserve"> to target environmental issues</w:t>
      </w:r>
      <w:r w:rsidR="008A6C37">
        <w:t xml:space="preserve">. </w:t>
      </w:r>
      <w:r w:rsidR="00466E7D">
        <w:t xml:space="preserve">For </w:t>
      </w:r>
      <w:r w:rsidR="00900B56">
        <w:t>these</w:t>
      </w:r>
      <w:r w:rsidR="00466E7D">
        <w:t xml:space="preserve"> reason</w:t>
      </w:r>
      <w:r w:rsidR="00900B56">
        <w:t>s</w:t>
      </w:r>
      <w:r w:rsidR="00466E7D">
        <w:t xml:space="preserve">, </w:t>
      </w:r>
      <w:r w:rsidR="0053790C">
        <w:t>here</w:t>
      </w:r>
      <w:r w:rsidR="00466E7D">
        <w:t>, we</w:t>
      </w:r>
      <w:r w:rsidR="00EA55E3">
        <w:t xml:space="preserve"> for the first time characterize the</w:t>
      </w:r>
      <w:r w:rsidR="00966F53">
        <w:t xml:space="preserve"> changing</w:t>
      </w:r>
      <w:r w:rsidR="00EA55E3">
        <w:t xml:space="preserve"> role of </w:t>
      </w:r>
      <w:r w:rsidR="00310185">
        <w:t xml:space="preserve">trade and </w:t>
      </w:r>
      <w:r w:rsidR="00966F53">
        <w:t xml:space="preserve">consumption </w:t>
      </w:r>
      <w:r w:rsidR="00EA55E3">
        <w:t xml:space="preserve">in driving marine and freshwater eutrophication (hereafter referred to as ME and FE expressed </w:t>
      </w:r>
      <w:r w:rsidR="00F92F73">
        <w:t>in</w:t>
      </w:r>
      <w:r w:rsidR="00EA55E3">
        <w:t xml:space="preserve"> </w:t>
      </w:r>
      <w:r w:rsidR="0014146B">
        <w:t xml:space="preserve">million </w:t>
      </w:r>
      <w:r w:rsidR="00EA55E3">
        <w:t>t</w:t>
      </w:r>
      <w:r w:rsidR="00310185">
        <w:t>on</w:t>
      </w:r>
      <w:r w:rsidR="007A0340">
        <w:t>nes</w:t>
      </w:r>
      <w:r w:rsidR="00310185">
        <w:t xml:space="preserve"> </w:t>
      </w:r>
      <w:r w:rsidR="00EA55E3">
        <w:t xml:space="preserve">N equivalents </w:t>
      </w:r>
      <w:r w:rsidR="0014146B">
        <w:t>(Mt</w:t>
      </w:r>
      <w:r w:rsidR="00310185">
        <w:t xml:space="preserve"> N eq</w:t>
      </w:r>
      <w:r w:rsidR="008D05B6">
        <w:t>.</w:t>
      </w:r>
      <w:r w:rsidR="00310185">
        <w:t xml:space="preserve">) </w:t>
      </w:r>
      <w:r w:rsidR="00EA55E3">
        <w:t xml:space="preserve">and </w:t>
      </w:r>
      <w:r w:rsidR="0014146B">
        <w:t>kilo</w:t>
      </w:r>
      <w:r w:rsidR="00EA55E3">
        <w:t>t</w:t>
      </w:r>
      <w:r w:rsidR="00310185">
        <w:t>on</w:t>
      </w:r>
      <w:r w:rsidR="007A0340">
        <w:t>nes</w:t>
      </w:r>
      <w:r w:rsidR="00EA55E3">
        <w:t xml:space="preserve"> P equivalents</w:t>
      </w:r>
      <w:r w:rsidR="00310185">
        <w:t xml:space="preserve"> (</w:t>
      </w:r>
      <w:r w:rsidR="0014146B">
        <w:t>k</w:t>
      </w:r>
      <w:r w:rsidR="00310185">
        <w:t>t P eq</w:t>
      </w:r>
      <w:r w:rsidR="008D05B6">
        <w:t>.</w:t>
      </w:r>
      <w:r w:rsidR="00310185">
        <w:t>)</w:t>
      </w:r>
      <w:r w:rsidR="00EA55E3">
        <w:t>, respectively)</w:t>
      </w:r>
      <w:r w:rsidR="009738F3">
        <w:t>.</w:t>
      </w:r>
      <w:r w:rsidR="00EA55E3">
        <w:t xml:space="preserve"> </w:t>
      </w:r>
      <w:r w:rsidR="00F92F73">
        <w:t xml:space="preserve">This is based on the assumption that ME is N limited and FE is P limited and, therefore, only considers N as relevant for ME and P for FE. </w:t>
      </w:r>
      <w:r w:rsidR="00466E7D">
        <w:t xml:space="preserve">We use </w:t>
      </w:r>
      <w:r w:rsidR="006D47A3">
        <w:t xml:space="preserve">a </w:t>
      </w:r>
      <w:r w:rsidR="00466E7D">
        <w:t>spatially-</w:t>
      </w:r>
      <w:r w:rsidR="0053790C">
        <w:t>explicit impact assessment method</w:t>
      </w:r>
      <w:r w:rsidR="006D47A3">
        <w:t xml:space="preserve"> </w:t>
      </w:r>
      <w:r w:rsidR="00770F0B">
        <w:t>based on</w:t>
      </w:r>
      <w:r w:rsidR="006D47A3">
        <w:t xml:space="preserve"> ReCiPe</w:t>
      </w:r>
      <w:r w:rsidR="000F4114">
        <w:fldChar w:fldCharType="begin" w:fldLock="1"/>
      </w:r>
      <w:r w:rsidR="000F4114">
        <w:instrText>ADDIN CSL_CITATION { "citationItems" : [ { "id" : "ITEM-1", "itemData" : { "author" : [ { "dropping-particle" : "", "family" : "Huijbregts", "given" : "Mark A. J.", "non-dropping-particle" : "", "parse-names" : false, "suffix" : "" }, { "dropping-particle" : "", "family" : "Steinmann", "given" : "Zoran J. N.", "non-dropping-particle" : "", "parse-names" : false, "suffix" : "" }, { "dropping-particle" : "", "family" : "Elshout", "given" : "Pieter M. F.", "non-dropping-particle" : "", "parse-names" : false, "suffix" : "" }, { "dropping-particle" : "", "family" : "Stam", "given" : "Gea", "non-dropping-particle" : "", "parse-names" : false, "suffix" : "" }, { "dropping-particle" : "", "family" : "Verones", "given" : "Francesca", "non-dropping-particle" : "", "parse-names" : false, "suffix" : "" }, { "dropping-particle" : "", "family" : "Vieira", "given" : "Marisa", "non-dropping-particle" : "", "parse-names" : false, "suffix" : "" }, { "dropping-particle" : "", "family" : "Hollander", "given" : "Anne", "non-dropping-particle" : "", "parse-names" : false, "suffix" : "" }, { "dropping-particle" : "", "family" : "Zijp", "given" : "Michiel", "non-dropping-particle" : "", "parse-names" : false, "suffix" : "" }, { "dropping-particle" : "", "family" : "Zelm", "given" : "Rosalie", "non-dropping-particle" : "van", "parse-names" : false, "suffix" : "" } ], "id" : "ITEM-1", "issued" : { "date-parts" : [ [ "2017" ] ] }, "number-of-pages" : "1-201", "publisher-place" : "Bilthoven, The Netherlands", "title" : "ReCiPe 2016 v1.1 A harmonized life cycle impact assessment method at midpoint and endpoint level", "type" : "report" }, "uris" : [ "http://www.mendeley.com/documents/?uuid=36656d93-99a4-4643-a69a-95fcaa915b6d" ] } ], "mendeley" : { "formattedCitation" : "&lt;sup&gt;27&lt;/sup&gt;", "plainTextFormattedCitation" : "27", "previouslyFormattedCitation" : "&lt;sup&gt;27&lt;/sup&gt;" }, "properties" : {  }, "schema" : "https://github.com/citation-style-language/schema/raw/master/csl-citation.json" }</w:instrText>
      </w:r>
      <w:r w:rsidR="000F4114">
        <w:fldChar w:fldCharType="separate"/>
      </w:r>
      <w:r w:rsidR="000F4114" w:rsidRPr="000F4114">
        <w:rPr>
          <w:noProof/>
          <w:vertAlign w:val="superscript"/>
        </w:rPr>
        <w:t>27</w:t>
      </w:r>
      <w:r w:rsidR="000F4114">
        <w:fldChar w:fldCharType="end"/>
      </w:r>
      <w:r w:rsidR="0053790C">
        <w:t>, calculating country</w:t>
      </w:r>
      <w:r w:rsidR="00761E37">
        <w:t>-</w:t>
      </w:r>
      <w:r w:rsidR="0053790C">
        <w:t xml:space="preserve">specific eutrophication footprints using </w:t>
      </w:r>
      <w:r w:rsidR="0053790C">
        <w:rPr>
          <w:rFonts w:ascii="Times New Roman" w:hAnsi="Times New Roman"/>
        </w:rPr>
        <w:t xml:space="preserve">multi-regional input-output (MRIO) </w:t>
      </w:r>
      <w:r w:rsidR="0053790C">
        <w:t>analysis</w:t>
      </w:r>
      <w:r w:rsidR="00466E7D">
        <w:t>,</w:t>
      </w:r>
      <w:r w:rsidR="0053790C">
        <w:t xml:space="preserve"> where </w:t>
      </w:r>
      <w:r>
        <w:t xml:space="preserve">the </w:t>
      </w:r>
      <w:r w:rsidR="00F14B15">
        <w:t>entirety</w:t>
      </w:r>
      <w:r>
        <w:t xml:space="preserve"> of </w:t>
      </w:r>
      <w:r w:rsidR="0053790C">
        <w:t xml:space="preserve">eutrophication impacts </w:t>
      </w:r>
      <w:r>
        <w:t xml:space="preserve">occurring along global supply chains </w:t>
      </w:r>
      <w:r w:rsidR="0053790C">
        <w:t xml:space="preserve">are </w:t>
      </w:r>
      <w:r>
        <w:t xml:space="preserve">attributed </w:t>
      </w:r>
      <w:r w:rsidR="0053790C">
        <w:t xml:space="preserve">to the final goods and services consumed </w:t>
      </w:r>
      <w:r>
        <w:t>by citizens of a specific country</w:t>
      </w:r>
      <w:r w:rsidR="0053790C">
        <w:t>. We</w:t>
      </w:r>
      <w:r w:rsidR="00966F53">
        <w:t xml:space="preserve"> analy</w:t>
      </w:r>
      <w:r w:rsidR="00295E25">
        <w:t>z</w:t>
      </w:r>
      <w:r w:rsidR="00966F53">
        <w:t>e changes over time and</w:t>
      </w:r>
      <w:r w:rsidR="0053790C">
        <w:t xml:space="preserve"> aim to understand the role of </w:t>
      </w:r>
      <w:r w:rsidR="008A6C37">
        <w:t>food and non-food consumption, trade and wealth</w:t>
      </w:r>
      <w:r w:rsidR="0053790C">
        <w:t xml:space="preserve"> in driving eutrophication impacts. </w:t>
      </w:r>
      <w:r w:rsidR="00EA55E3">
        <w:t xml:space="preserve"> </w:t>
      </w:r>
    </w:p>
    <w:p w14:paraId="2CAE0E72" w14:textId="104B6484" w:rsidR="007C4522" w:rsidRPr="008E2D0A" w:rsidRDefault="007C4522" w:rsidP="007C4522">
      <w:pPr>
        <w:pStyle w:val="TAMainText"/>
        <w:spacing w:before="100" w:beforeAutospacing="1" w:after="100" w:afterAutospacing="1" w:line="240" w:lineRule="auto"/>
        <w:ind w:firstLine="0"/>
        <w:jc w:val="left"/>
        <w:rPr>
          <w:rFonts w:ascii="Times New Roman" w:hAnsi="Times New Roman"/>
          <w:b/>
        </w:rPr>
      </w:pPr>
      <w:r w:rsidRPr="008E2D0A">
        <w:rPr>
          <w:rFonts w:ascii="Times New Roman" w:hAnsi="Times New Roman"/>
          <w:b/>
        </w:rPr>
        <w:t>Results</w:t>
      </w:r>
    </w:p>
    <w:p w14:paraId="30EEB846" w14:textId="48EFD5DD" w:rsidR="00C827F3" w:rsidRPr="00C827F3" w:rsidRDefault="00C827F3" w:rsidP="00B018A6">
      <w:pPr>
        <w:autoSpaceDE w:val="0"/>
        <w:autoSpaceDN w:val="0"/>
        <w:adjustRightInd w:val="0"/>
        <w:spacing w:before="100" w:beforeAutospacing="1" w:after="100" w:afterAutospacing="1"/>
        <w:rPr>
          <w:rFonts w:ascii="Times New Roman" w:hAnsi="Times New Roman"/>
          <w:i/>
        </w:rPr>
      </w:pPr>
      <w:r>
        <w:rPr>
          <w:rFonts w:ascii="Times New Roman" w:hAnsi="Times New Roman"/>
          <w:i/>
        </w:rPr>
        <w:lastRenderedPageBreak/>
        <w:t>Food and non-food</w:t>
      </w:r>
      <w:r w:rsidR="00A8574C" w:rsidRPr="00A8574C">
        <w:rPr>
          <w:rFonts w:ascii="Times New Roman" w:hAnsi="Times New Roman"/>
          <w:i/>
        </w:rPr>
        <w:t xml:space="preserve"> eutrophication impacts</w:t>
      </w:r>
    </w:p>
    <w:p w14:paraId="2545338C" w14:textId="2DBEB55A" w:rsidR="00F41675" w:rsidRDefault="008C1C94" w:rsidP="00B018A6">
      <w:pPr>
        <w:autoSpaceDE w:val="0"/>
        <w:autoSpaceDN w:val="0"/>
        <w:adjustRightInd w:val="0"/>
        <w:spacing w:before="100" w:beforeAutospacing="1" w:after="100" w:afterAutospacing="1"/>
        <w:rPr>
          <w:rFonts w:ascii="Times New Roman" w:hAnsi="Times New Roman"/>
        </w:rPr>
      </w:pPr>
      <w:r>
        <w:rPr>
          <w:rFonts w:ascii="Times New Roman" w:hAnsi="Times New Roman"/>
        </w:rPr>
        <w:t>In</w:t>
      </w:r>
      <w:r w:rsidR="00225246">
        <w:rPr>
          <w:rFonts w:ascii="Times New Roman" w:hAnsi="Times New Roman"/>
        </w:rPr>
        <w:t xml:space="preserve"> 2011, </w:t>
      </w:r>
      <w:r w:rsidR="0096744C">
        <w:rPr>
          <w:rFonts w:ascii="Times New Roman" w:hAnsi="Times New Roman"/>
        </w:rPr>
        <w:t xml:space="preserve">the </w:t>
      </w:r>
      <w:r w:rsidR="004C5860">
        <w:rPr>
          <w:rFonts w:ascii="Times New Roman" w:hAnsi="Times New Roman"/>
        </w:rPr>
        <w:t xml:space="preserve">overall </w:t>
      </w:r>
      <w:r w:rsidR="00C40E12">
        <w:rPr>
          <w:rFonts w:ascii="Times New Roman" w:hAnsi="Times New Roman"/>
        </w:rPr>
        <w:t>final demand</w:t>
      </w:r>
      <w:r w:rsidR="0096744C">
        <w:rPr>
          <w:rFonts w:ascii="Times New Roman" w:hAnsi="Times New Roman"/>
        </w:rPr>
        <w:t xml:space="preserve"> </w:t>
      </w:r>
      <w:r w:rsidR="00F8402A">
        <w:rPr>
          <w:rFonts w:ascii="Times New Roman" w:hAnsi="Times New Roman"/>
        </w:rPr>
        <w:t>for</w:t>
      </w:r>
      <w:r w:rsidR="0096744C">
        <w:rPr>
          <w:rFonts w:ascii="Times New Roman" w:hAnsi="Times New Roman"/>
        </w:rPr>
        <w:t xml:space="preserve"> </w:t>
      </w:r>
      <w:r w:rsidR="00C40E12">
        <w:rPr>
          <w:rFonts w:ascii="Times New Roman" w:hAnsi="Times New Roman"/>
        </w:rPr>
        <w:t>non-food</w:t>
      </w:r>
      <w:r w:rsidR="0096744C">
        <w:rPr>
          <w:rFonts w:ascii="Times New Roman" w:hAnsi="Times New Roman"/>
        </w:rPr>
        <w:t xml:space="preserve"> products</w:t>
      </w:r>
      <w:r w:rsidR="00225246">
        <w:rPr>
          <w:rFonts w:ascii="Times New Roman" w:hAnsi="Times New Roman"/>
        </w:rPr>
        <w:t xml:space="preserve"> accounted for </w:t>
      </w:r>
      <w:r w:rsidR="006E5F84">
        <w:rPr>
          <w:rFonts w:ascii="Times New Roman" w:hAnsi="Times New Roman"/>
        </w:rPr>
        <w:t>over</w:t>
      </w:r>
      <w:r w:rsidR="006A07EF">
        <w:rPr>
          <w:rFonts w:ascii="Times New Roman" w:hAnsi="Times New Roman"/>
        </w:rPr>
        <w:t xml:space="preserve"> </w:t>
      </w:r>
      <w:r w:rsidR="00225246">
        <w:rPr>
          <w:rFonts w:ascii="Times New Roman" w:hAnsi="Times New Roman"/>
        </w:rPr>
        <w:t>one-third o</w:t>
      </w:r>
      <w:r w:rsidR="00047815">
        <w:rPr>
          <w:rFonts w:ascii="Times New Roman" w:hAnsi="Times New Roman"/>
        </w:rPr>
        <w:t xml:space="preserve">f </w:t>
      </w:r>
      <w:r w:rsidR="001F651E">
        <w:rPr>
          <w:rFonts w:ascii="Times New Roman" w:hAnsi="Times New Roman"/>
        </w:rPr>
        <w:t xml:space="preserve">the </w:t>
      </w:r>
      <w:r w:rsidR="00047815">
        <w:rPr>
          <w:rFonts w:ascii="Times New Roman" w:hAnsi="Times New Roman"/>
        </w:rPr>
        <w:t xml:space="preserve">global </w:t>
      </w:r>
      <w:r w:rsidR="00AC0746" w:rsidRPr="006E5F84">
        <w:rPr>
          <w:rFonts w:ascii="Times New Roman" w:hAnsi="Times New Roman"/>
        </w:rPr>
        <w:t>ME</w:t>
      </w:r>
      <w:r w:rsidR="00047815" w:rsidRPr="006E5F84">
        <w:rPr>
          <w:rFonts w:ascii="Times New Roman" w:hAnsi="Times New Roman"/>
        </w:rPr>
        <w:t xml:space="preserve"> </w:t>
      </w:r>
      <w:r w:rsidR="00904948" w:rsidRPr="006E5F84">
        <w:rPr>
          <w:rFonts w:ascii="Times New Roman" w:hAnsi="Times New Roman"/>
        </w:rPr>
        <w:t>(</w:t>
      </w:r>
      <w:r w:rsidR="006E5F84" w:rsidRPr="006E5F84">
        <w:rPr>
          <w:rFonts w:ascii="Times New Roman" w:hAnsi="Times New Roman"/>
        </w:rPr>
        <w:t>12</w:t>
      </w:r>
      <w:r w:rsidR="00904948" w:rsidRPr="006E5F84">
        <w:rPr>
          <w:rFonts w:ascii="Times New Roman" w:hAnsi="Times New Roman"/>
        </w:rPr>
        <w:t xml:space="preserve"> </w:t>
      </w:r>
      <w:r w:rsidR="0014146B">
        <w:rPr>
          <w:rFonts w:ascii="Times New Roman" w:hAnsi="Times New Roman"/>
        </w:rPr>
        <w:t>Mt</w:t>
      </w:r>
      <w:r w:rsidR="00904948" w:rsidRPr="006E5F84">
        <w:rPr>
          <w:rFonts w:ascii="Times New Roman" w:hAnsi="Times New Roman"/>
        </w:rPr>
        <w:t xml:space="preserve"> N eq.</w:t>
      </w:r>
      <w:r w:rsidR="00570BB4" w:rsidRPr="006E5F84">
        <w:rPr>
          <w:rFonts w:ascii="Times New Roman" w:hAnsi="Times New Roman"/>
        </w:rPr>
        <w:t xml:space="preserve"> out of </w:t>
      </w:r>
      <w:r w:rsidR="006E5F84" w:rsidRPr="006E5F84">
        <w:rPr>
          <w:rFonts w:ascii="Times New Roman" w:hAnsi="Times New Roman"/>
        </w:rPr>
        <w:t>33</w:t>
      </w:r>
      <w:r w:rsidR="005C04BA" w:rsidRPr="006E5F84">
        <w:rPr>
          <w:rFonts w:ascii="Times New Roman" w:hAnsi="Times New Roman"/>
        </w:rPr>
        <w:t xml:space="preserve"> M</w:t>
      </w:r>
      <w:r w:rsidR="008E552E" w:rsidRPr="006E5F84">
        <w:rPr>
          <w:rFonts w:ascii="Times New Roman" w:hAnsi="Times New Roman"/>
        </w:rPr>
        <w:t>t N eq.</w:t>
      </w:r>
      <w:r w:rsidR="00904948" w:rsidRPr="006E5F84">
        <w:rPr>
          <w:rFonts w:ascii="Times New Roman" w:hAnsi="Times New Roman"/>
        </w:rPr>
        <w:t>)</w:t>
      </w:r>
      <w:r w:rsidR="00904948">
        <w:rPr>
          <w:rFonts w:ascii="Times New Roman" w:hAnsi="Times New Roman"/>
        </w:rPr>
        <w:t xml:space="preserve"> and </w:t>
      </w:r>
      <w:r w:rsidR="00AC0746">
        <w:rPr>
          <w:rFonts w:ascii="Times New Roman" w:hAnsi="Times New Roman"/>
        </w:rPr>
        <w:t>FE</w:t>
      </w:r>
      <w:r w:rsidR="00904948">
        <w:rPr>
          <w:rFonts w:ascii="Times New Roman" w:hAnsi="Times New Roman"/>
        </w:rPr>
        <w:t xml:space="preserve"> </w:t>
      </w:r>
      <w:r w:rsidR="0014146B">
        <w:rPr>
          <w:rFonts w:ascii="Times New Roman" w:hAnsi="Times New Roman"/>
        </w:rPr>
        <w:t>impacts</w:t>
      </w:r>
      <w:r w:rsidR="00904948" w:rsidRPr="006E5F84">
        <w:rPr>
          <w:rFonts w:ascii="Times New Roman" w:hAnsi="Times New Roman"/>
        </w:rPr>
        <w:t xml:space="preserve"> (</w:t>
      </w:r>
      <w:r w:rsidR="00F41675">
        <w:rPr>
          <w:rFonts w:ascii="Times New Roman" w:hAnsi="Times New Roman"/>
        </w:rPr>
        <w:t>580</w:t>
      </w:r>
      <w:r w:rsidR="00047815" w:rsidRPr="006E5F84">
        <w:rPr>
          <w:rFonts w:ascii="Times New Roman" w:hAnsi="Times New Roman"/>
        </w:rPr>
        <w:t xml:space="preserve"> kt P eq.</w:t>
      </w:r>
      <w:r w:rsidR="008E552E" w:rsidRPr="006E5F84">
        <w:rPr>
          <w:rFonts w:ascii="Times New Roman" w:hAnsi="Times New Roman"/>
        </w:rPr>
        <w:t xml:space="preserve"> out of </w:t>
      </w:r>
      <w:r w:rsidR="006E5F84" w:rsidRPr="006E5F84">
        <w:rPr>
          <w:rFonts w:ascii="Times New Roman" w:hAnsi="Times New Roman"/>
        </w:rPr>
        <w:t>1520</w:t>
      </w:r>
      <w:r w:rsidR="008E552E" w:rsidRPr="006E5F84">
        <w:rPr>
          <w:rFonts w:ascii="Times New Roman" w:hAnsi="Times New Roman"/>
        </w:rPr>
        <w:t xml:space="preserve"> kt P eq.</w:t>
      </w:r>
      <w:r w:rsidR="00904948" w:rsidRPr="006E5F84">
        <w:rPr>
          <w:rFonts w:ascii="Times New Roman" w:hAnsi="Times New Roman"/>
        </w:rPr>
        <w:t xml:space="preserve">; </w:t>
      </w:r>
      <w:r w:rsidR="007C4522" w:rsidRPr="006E5F84">
        <w:rPr>
          <w:rFonts w:ascii="Times New Roman" w:hAnsi="Times New Roman"/>
        </w:rPr>
        <w:t>figure 1</w:t>
      </w:r>
      <w:r w:rsidR="00F41675">
        <w:rPr>
          <w:rFonts w:ascii="Times New Roman" w:hAnsi="Times New Roman"/>
        </w:rPr>
        <w:t xml:space="preserve"> right</w:t>
      </w:r>
      <w:r w:rsidR="007C4522" w:rsidRPr="006E5F84">
        <w:rPr>
          <w:rFonts w:ascii="Times New Roman" w:hAnsi="Times New Roman"/>
        </w:rPr>
        <w:t xml:space="preserve">). </w:t>
      </w:r>
      <w:r w:rsidR="004C5860">
        <w:rPr>
          <w:rFonts w:ascii="Times New Roman" w:hAnsi="Times New Roman"/>
        </w:rPr>
        <w:t xml:space="preserve">This is a 28% </w:t>
      </w:r>
      <w:r w:rsidR="00296BEE" w:rsidRPr="006E5F84">
        <w:rPr>
          <w:rFonts w:ascii="Times New Roman" w:hAnsi="Times New Roman"/>
        </w:rPr>
        <w:t>increase from</w:t>
      </w:r>
      <w:r w:rsidR="007F196A">
        <w:rPr>
          <w:rFonts w:ascii="Times New Roman" w:hAnsi="Times New Roman"/>
        </w:rPr>
        <w:t xml:space="preserve"> 2000 values, with</w:t>
      </w:r>
      <w:r w:rsidR="006A07EF" w:rsidRPr="006E5F84">
        <w:rPr>
          <w:rFonts w:ascii="Times New Roman" w:hAnsi="Times New Roman"/>
        </w:rPr>
        <w:t xml:space="preserve"> </w:t>
      </w:r>
      <w:r w:rsidR="006E5F84" w:rsidRPr="006E5F84">
        <w:rPr>
          <w:rFonts w:ascii="Times New Roman" w:hAnsi="Times New Roman"/>
        </w:rPr>
        <w:t>8.7</w:t>
      </w:r>
      <w:r w:rsidR="005C04BA" w:rsidRPr="006E5F84">
        <w:rPr>
          <w:rFonts w:ascii="Times New Roman" w:hAnsi="Times New Roman"/>
        </w:rPr>
        <w:t xml:space="preserve"> M</w:t>
      </w:r>
      <w:r w:rsidR="006A07EF" w:rsidRPr="006E5F84">
        <w:rPr>
          <w:rFonts w:ascii="Times New Roman" w:hAnsi="Times New Roman"/>
        </w:rPr>
        <w:t>t N eq.</w:t>
      </w:r>
      <w:r w:rsidR="00296BEE" w:rsidRPr="006E5F84">
        <w:rPr>
          <w:rFonts w:ascii="Times New Roman" w:hAnsi="Times New Roman"/>
        </w:rPr>
        <w:t xml:space="preserve"> and</w:t>
      </w:r>
      <w:r w:rsidR="006A07EF" w:rsidRPr="006E5F84">
        <w:rPr>
          <w:rFonts w:ascii="Times New Roman" w:hAnsi="Times New Roman"/>
        </w:rPr>
        <w:t xml:space="preserve"> </w:t>
      </w:r>
      <w:r w:rsidR="00F41675">
        <w:rPr>
          <w:rFonts w:ascii="Times New Roman" w:hAnsi="Times New Roman"/>
        </w:rPr>
        <w:t>420</w:t>
      </w:r>
      <w:r w:rsidR="006A07EF" w:rsidRPr="006E5F84">
        <w:rPr>
          <w:rFonts w:ascii="Times New Roman" w:hAnsi="Times New Roman"/>
        </w:rPr>
        <w:t xml:space="preserve"> kt P eq.</w:t>
      </w:r>
      <w:r w:rsidR="00296BEE" w:rsidRPr="006E5F84">
        <w:rPr>
          <w:rFonts w:ascii="Times New Roman" w:hAnsi="Times New Roman"/>
        </w:rPr>
        <w:t xml:space="preserve"> for </w:t>
      </w:r>
      <w:r w:rsidR="00AC0746" w:rsidRPr="006E5F84">
        <w:rPr>
          <w:rFonts w:ascii="Times New Roman" w:hAnsi="Times New Roman"/>
        </w:rPr>
        <w:t>ME</w:t>
      </w:r>
      <w:r w:rsidR="00296BEE" w:rsidRPr="006E5F84">
        <w:rPr>
          <w:rFonts w:ascii="Times New Roman" w:hAnsi="Times New Roman"/>
        </w:rPr>
        <w:t xml:space="preserve"> and </w:t>
      </w:r>
      <w:r w:rsidR="00AC0746" w:rsidRPr="006E5F84">
        <w:rPr>
          <w:rFonts w:ascii="Times New Roman" w:hAnsi="Times New Roman"/>
        </w:rPr>
        <w:t>FE</w:t>
      </w:r>
      <w:r w:rsidR="00F41675">
        <w:rPr>
          <w:rFonts w:ascii="Times New Roman" w:hAnsi="Times New Roman"/>
        </w:rPr>
        <w:t>, respectively</w:t>
      </w:r>
      <w:r w:rsidR="00296BEE" w:rsidRPr="006E5F84">
        <w:rPr>
          <w:rFonts w:ascii="Times New Roman" w:hAnsi="Times New Roman"/>
        </w:rPr>
        <w:t>.</w:t>
      </w:r>
      <w:r w:rsidR="001F651E" w:rsidRPr="006E5F84">
        <w:rPr>
          <w:rFonts w:ascii="Times New Roman" w:hAnsi="Times New Roman"/>
        </w:rPr>
        <w:t xml:space="preserve"> </w:t>
      </w:r>
      <w:r w:rsidR="00B679F3" w:rsidRPr="006E5F84">
        <w:rPr>
          <w:rFonts w:ascii="Times New Roman" w:hAnsi="Times New Roman"/>
        </w:rPr>
        <w:t>In line with previous findings</w:t>
      </w:r>
      <w:r w:rsidR="00B679F3" w:rsidRPr="006E5F84">
        <w:rPr>
          <w:rFonts w:ascii="Times New Roman" w:hAnsi="Times New Roman"/>
        </w:rPr>
        <w:fldChar w:fldCharType="begin" w:fldLock="1"/>
      </w:r>
      <w:r w:rsidR="000F4114">
        <w:rPr>
          <w:rFonts w:ascii="Times New Roman" w:hAnsi="Times New Roman"/>
        </w:rPr>
        <w:instrText>ADDIN CSL_CITATION { "citationItems" : [ { "id" : "ITEM-1", "itemData" : { "DOI" : "10.1021/acs.est.5b03191", "ISBN" : "0013-936X", "ISSN" : "15205851", "abstract" : "This is the first global assessment of nitrogen-related water pollution in river basins with a specification of the pollution by economic sector, and by crop for the agricultural sector. At a spatial resolution of 5 by 5 arc minute, we estimate anthropogenic nitrogen (N) loads to freshwater, calculate the resultant gray water footprints (GWFs), and relate the GWFs per river basin to runoff to calculate the N-related water pollution level (WPL) per catchment. The accumulated global GWF related to anthropogenic N loads in the period 2002?2010 was 13 ? 1012 m3/y. China contributed about 45% to the global total. Three quarters of the GWF related to N loads came from diffuse sources (agriculture), 23% from domestic point sources and 2% from industrial point sources. Among the crops, production of cereals had the largest contribution to the N-related GWF (18%), followed by vegetables (15%) and oil crops (11%). The river basins with WPL &gt; 1 (where the N load exceeds the basin?s assimilation capacity), cover about 17% of the global land area, contribute about 9% of the global river discharge, and provide residence to 48% of the global population.\\nThis is the first global assessment of nitrogen-related water pollution in river basins with a specification of the pollution by economic sector, and by crop for the agricultural sector. At a spatial resolution of 5 by 5 arc minute, we estimate anthropogenic nitrogen (N) loads to freshwater, calculate the resultant gray water footprints (GWFs), and relate the GWFs per river basin to runoff to calculate the N-related water pollution level (WPL) per catchment. The accumulated global GWF related to anthropogenic N loads in the period 2002?2010 was 13 ? 1012 m3/y. China contributed about 45% to the global total. Three quarters of the GWF related to N loads came from diffuse sources (agriculture), 23% from domestic point sources and 2% from industrial point sources. Among the crops, production of cereals had the largest contribution to the N-related GWF (18%), followed by vegetables (15%) and oil crops (11%). The river basins with WPL &gt; 1 (where the N load exceeds the basin?s assimilation capacity), cover about 17% of the global land area, contribute about 9% of the global river discharge, and provide residence to 48% of the global population.", "author" : [ { "dropping-particle" : "", "family" : "Mekonnen", "given" : "Mesfin M.", "non-dropping-particle" : "", "parse-names" : false, "suffix" : "" }, { "dropping-particle" : "", "family" : "Hoekstra", "given" : "Arjen Y.", "non-dropping-particle" : "", "parse-names" : false, "suffix" : "" } ], "container-title" : "Environmental Science and Technology", "id" : "ITEM-1", "issue" : "21", "issued" : { "date-parts" : [ [ "2015" ] ] }, "page" : "12860-12868", "title" : "Global Gray Water Footprint and Water Pollution Levels Related to Anthropogenic Nitrogen Loads to Fresh Water", "type" : "article-journal", "volume" : "49" }, "uris" : [ "http://www.mendeley.com/documents/?uuid=221fb67a-873a-4ebb-b7b4-4366de4fa6d2" ] }, { "id" : "ITEM-2", "itemData" : { "DOI" : "10.1038/ngeo2635", "ISBN" : "9789264185715", "ISSN" : "1752-0894", "abstract" : "Anthropogenic emissions of reactive nitrogen to the atmo- sphere and water bodies can damage human health and ecosystems1,2 . As a measure of a nation\u2019s contribution to this potential damage, a country\u2019s nitrogen footprint has been defined as the quantity of reactive nitrogen emitted during the production, consumption and transportation of commodities consumed within that country, whether those commodities are produced domestically or internationally3 . Here we use global emissions databases4,5 , a global nitrogen cycle model6 , and a global input\u2013output database of domestic and international trade7,8 to calculate the nitrogen footprints for 188 countries as the sum of emissions of ammonia, nitrogen oxides and nitrous oxide to the atmosphere, and of nitrogen potentially exportable to water bodies. Per-capita footprints range from under 7 kgNyr\u22121 in some developing countries to over 100kgNyr\u22121 in some wealthy nations. Consumption in China, India, the United States and Brazil is responsible for 46% of global emissions. Roughly a quarter of the global nitrogen footprint is from commodities that were traded across country borders. The main net exporters have significant agricultural, food and textile exports, and are often developing countries, whereas important net importers are almost exclusively developed economies. We conclude that substantial local nitrogen pollution is driven by demand from consumers in other countries.", "author" : [ { "dropping-particle" : "", "family" : "Oita", "given" : "Azusa", "non-dropping-particle" : "", "parse-names" : false, "suffix" : "" }, { "dropping-particle" : "", "family" : "Malik", "given" : "Arunima", "non-dropping-particle" : "", "parse-names" : false, "suffix" : "" }, { "dropping-particle" : "", "family" : "Kanemoto", "given" : "Keiichiro", "non-dropping-particle" : "", "parse-names" : false, "suffix" : "" }, { "dropping-particle" : "", "family" : "Geschke", "given" : "Arne", "non-dropping-particle" : "", "parse-names" : false, "suffix" : "" }, { "dropping-particle" : "", "family" : "Nishijima", "given" : "Shota", "non-dropping-particle" : "", "parse-names" : false, "suffix" : "" }, { "dropping-particle" : "", "family" : "Lenzen", "given" : "Manfred", "non-dropping-particle" : "", "parse-names" : false, "suffix" : "" } ], "container-title" : "Nature Geoscience", "id" : "ITEM-2", "issue" : "January", "issued" : { "date-parts" : [ [ "2016" ] ] }, "page" : "111\u2013115", "title" : "Substantial nitrogen pollution embedded in international trade", "type" : "article-journal", "volume" : "9" }, "uris" : [ "http://www.mendeley.com/documents/?uuid=2dd8a226-190d-4964-97d0-0bd9309016a1" ] } ], "mendeley" : { "formattedCitation" : "&lt;sup&gt;21,28&lt;/sup&gt;", "plainTextFormattedCitation" : "21,28", "previouslyFormattedCitation" : "&lt;sup&gt;21,28&lt;/sup&gt;" }, "properties" : {  }, "schema" : "https://github.com/citation-style-language/schema/raw/master/csl-citation.json" }</w:instrText>
      </w:r>
      <w:r w:rsidR="00B679F3" w:rsidRPr="006E5F84">
        <w:rPr>
          <w:rFonts w:ascii="Times New Roman" w:hAnsi="Times New Roman"/>
        </w:rPr>
        <w:fldChar w:fldCharType="separate"/>
      </w:r>
      <w:r w:rsidR="000F4114" w:rsidRPr="000F4114">
        <w:rPr>
          <w:rFonts w:ascii="Times New Roman" w:hAnsi="Times New Roman"/>
          <w:noProof/>
          <w:vertAlign w:val="superscript"/>
        </w:rPr>
        <w:t>21,28</w:t>
      </w:r>
      <w:r w:rsidR="00B679F3" w:rsidRPr="006E5F84">
        <w:rPr>
          <w:rFonts w:ascii="Times New Roman" w:hAnsi="Times New Roman"/>
        </w:rPr>
        <w:fldChar w:fldCharType="end"/>
      </w:r>
      <w:r w:rsidR="00B679F3" w:rsidRPr="006E5F84">
        <w:rPr>
          <w:rFonts w:ascii="Times New Roman" w:hAnsi="Times New Roman"/>
        </w:rPr>
        <w:t xml:space="preserve">, agriculture </w:t>
      </w:r>
      <w:r w:rsidR="00FA6B06" w:rsidRPr="006E5F84">
        <w:rPr>
          <w:rFonts w:ascii="Times New Roman" w:hAnsi="Times New Roman"/>
        </w:rPr>
        <w:t>was the</w:t>
      </w:r>
      <w:r w:rsidR="00FA6B06">
        <w:rPr>
          <w:rFonts w:ascii="Times New Roman" w:hAnsi="Times New Roman"/>
        </w:rPr>
        <w:t xml:space="preserve"> dominant production-side driver, accounting </w:t>
      </w:r>
      <w:r w:rsidR="00FA6B06" w:rsidRPr="006E5F84">
        <w:rPr>
          <w:rFonts w:ascii="Times New Roman" w:hAnsi="Times New Roman"/>
        </w:rPr>
        <w:t xml:space="preserve">for </w:t>
      </w:r>
      <w:r w:rsidR="006E5F84" w:rsidRPr="006E5F84">
        <w:rPr>
          <w:rFonts w:ascii="Times New Roman" w:hAnsi="Times New Roman"/>
        </w:rPr>
        <w:t>84</w:t>
      </w:r>
      <w:r w:rsidR="00FA6B06" w:rsidRPr="006E5F84">
        <w:rPr>
          <w:rFonts w:ascii="Times New Roman" w:hAnsi="Times New Roman"/>
        </w:rPr>
        <w:t>% of the</w:t>
      </w:r>
      <w:r w:rsidR="00FA6B06">
        <w:rPr>
          <w:rFonts w:ascii="Times New Roman" w:hAnsi="Times New Roman"/>
        </w:rPr>
        <w:t xml:space="preserve"> total footprints</w:t>
      </w:r>
      <w:r w:rsidR="006E5F84">
        <w:rPr>
          <w:rFonts w:ascii="Times New Roman" w:hAnsi="Times New Roman"/>
        </w:rPr>
        <w:t xml:space="preserve"> for both ME and FE</w:t>
      </w:r>
      <w:r w:rsidR="00F41675">
        <w:rPr>
          <w:rFonts w:ascii="Times New Roman" w:hAnsi="Times New Roman"/>
        </w:rPr>
        <w:t>;</w:t>
      </w:r>
      <w:r w:rsidR="007B5321" w:rsidRPr="007B5321">
        <w:rPr>
          <w:rFonts w:ascii="Times New Roman" w:hAnsi="Times New Roman"/>
        </w:rPr>
        <w:t xml:space="preserve"> </w:t>
      </w:r>
      <w:r w:rsidR="007B5321">
        <w:rPr>
          <w:rFonts w:ascii="Times New Roman" w:hAnsi="Times New Roman"/>
        </w:rPr>
        <w:t>however, we find that, from a consumption standpoint in 2011, approximately one-</w:t>
      </w:r>
      <w:r w:rsidR="00313DC3">
        <w:rPr>
          <w:rFonts w:ascii="Times New Roman" w:hAnsi="Times New Roman"/>
        </w:rPr>
        <w:t>quarter</w:t>
      </w:r>
      <w:r w:rsidR="007B5321">
        <w:rPr>
          <w:rFonts w:ascii="Times New Roman" w:hAnsi="Times New Roman"/>
        </w:rPr>
        <w:t xml:space="preserve"> of these </w:t>
      </w:r>
      <w:r w:rsidR="00313DC3">
        <w:rPr>
          <w:rFonts w:ascii="Times New Roman" w:hAnsi="Times New Roman"/>
        </w:rPr>
        <w:t xml:space="preserve">agricultural </w:t>
      </w:r>
      <w:r w:rsidR="007B5321">
        <w:rPr>
          <w:rFonts w:ascii="Times New Roman" w:hAnsi="Times New Roman"/>
        </w:rPr>
        <w:t xml:space="preserve">impacts </w:t>
      </w:r>
      <w:r w:rsidR="001C7D0F">
        <w:rPr>
          <w:rFonts w:ascii="Times New Roman" w:hAnsi="Times New Roman"/>
        </w:rPr>
        <w:t>were due to</w:t>
      </w:r>
      <w:r w:rsidR="007B5321">
        <w:rPr>
          <w:rFonts w:ascii="Times New Roman" w:hAnsi="Times New Roman"/>
        </w:rPr>
        <w:t xml:space="preserve"> </w:t>
      </w:r>
      <w:r w:rsidR="00C40E12">
        <w:rPr>
          <w:rFonts w:ascii="Times New Roman" w:hAnsi="Times New Roman"/>
        </w:rPr>
        <w:t>non-food</w:t>
      </w:r>
      <w:r w:rsidR="007B5321">
        <w:rPr>
          <w:rFonts w:ascii="Times New Roman" w:hAnsi="Times New Roman"/>
        </w:rPr>
        <w:t xml:space="preserve"> consumption</w:t>
      </w:r>
      <w:r w:rsidR="006D3580">
        <w:rPr>
          <w:rFonts w:ascii="Times New Roman" w:hAnsi="Times New Roman"/>
        </w:rPr>
        <w:t xml:space="preserve"> (see SI data file for a list of non-food products)</w:t>
      </w:r>
      <w:r w:rsidR="007B5321">
        <w:rPr>
          <w:rFonts w:ascii="Times New Roman" w:hAnsi="Times New Roman"/>
        </w:rPr>
        <w:t xml:space="preserve">. </w:t>
      </w:r>
    </w:p>
    <w:p w14:paraId="083FF765" w14:textId="7BE0910D" w:rsidR="00067C27" w:rsidRDefault="005A7937" w:rsidP="007707A8">
      <w:pPr>
        <w:tabs>
          <w:tab w:val="left" w:pos="5670"/>
        </w:tabs>
        <w:rPr>
          <w:rFonts w:ascii="Times New Roman" w:hAnsi="Times New Roman"/>
        </w:rPr>
      </w:pPr>
      <w:r>
        <w:rPr>
          <w:rFonts w:ascii="Times New Roman" w:hAnsi="Times New Roman"/>
        </w:rPr>
        <w:t>In total,</w:t>
      </w:r>
      <w:r w:rsidR="00067C27">
        <w:rPr>
          <w:rFonts w:ascii="Times New Roman" w:hAnsi="Times New Roman"/>
        </w:rPr>
        <w:t xml:space="preserve">  Asia and Pacific (in particular China and India), US and Germany </w:t>
      </w:r>
      <w:r w:rsidR="00067C27" w:rsidRPr="00E4304D">
        <w:rPr>
          <w:rFonts w:ascii="Times New Roman" w:hAnsi="Times New Roman"/>
        </w:rPr>
        <w:t xml:space="preserve"> </w:t>
      </w:r>
      <w:r w:rsidR="00067C27">
        <w:rPr>
          <w:rFonts w:ascii="Times New Roman" w:hAnsi="Times New Roman"/>
        </w:rPr>
        <w:t>accounted for 54% of the global ME footprint (33 Mt N eq., figure 1 top left) and Africa, US, China, Brazil and India</w:t>
      </w:r>
      <w:r w:rsidR="00067C27" w:rsidRPr="00E4304D">
        <w:rPr>
          <w:rFonts w:ascii="Times New Roman" w:hAnsi="Times New Roman"/>
        </w:rPr>
        <w:t xml:space="preserve"> </w:t>
      </w:r>
      <w:r w:rsidR="00067C27">
        <w:rPr>
          <w:rFonts w:ascii="Times New Roman" w:hAnsi="Times New Roman"/>
        </w:rPr>
        <w:t xml:space="preserve">accounted for 62% of the global FE footprint (1500 kt P eq., figure 1 bottom left). A monte carlo-based sensitivity analysis confirms the </w:t>
      </w:r>
      <w:r w:rsidR="00067C27">
        <w:rPr>
          <w:rFonts w:cs="Times"/>
          <w:szCs w:val="24"/>
        </w:rPr>
        <w:t>robustness of these and all following results</w:t>
      </w:r>
      <w:r w:rsidR="00067C27" w:rsidRPr="00A532C2">
        <w:rPr>
          <w:rFonts w:cs="Times"/>
          <w:szCs w:val="24"/>
        </w:rPr>
        <w:t xml:space="preserve"> (see SI for details). Under </w:t>
      </w:r>
      <w:r w:rsidR="00067C27">
        <w:rPr>
          <w:rFonts w:cs="Times"/>
          <w:szCs w:val="24"/>
        </w:rPr>
        <w:t>a “high uncertainty” scenario</w:t>
      </w:r>
      <w:r>
        <w:rPr>
          <w:rFonts w:cs="Times"/>
          <w:szCs w:val="24"/>
        </w:rPr>
        <w:t xml:space="preserve"> </w:t>
      </w:r>
      <w:r w:rsidR="00067C27">
        <w:rPr>
          <w:rFonts w:cs="Times"/>
          <w:szCs w:val="24"/>
        </w:rPr>
        <w:t>(</w:t>
      </w:r>
      <w:r w:rsidR="00067C27" w:rsidRPr="00A532C2">
        <w:rPr>
          <w:rFonts w:cs="Times"/>
          <w:szCs w:val="24"/>
        </w:rPr>
        <w:t xml:space="preserve">model parameters </w:t>
      </w:r>
      <w:r w:rsidR="00067C27">
        <w:rPr>
          <w:rFonts w:cs="Times"/>
          <w:szCs w:val="24"/>
        </w:rPr>
        <w:t>with assigned</w:t>
      </w:r>
      <w:r w:rsidR="00067C27" w:rsidRPr="00A532C2">
        <w:rPr>
          <w:rFonts w:cs="Times"/>
          <w:szCs w:val="24"/>
        </w:rPr>
        <w:t xml:space="preserve"> relative standard deviations of 30-50%</w:t>
      </w:r>
      <w:r w:rsidR="00067C27">
        <w:rPr>
          <w:rFonts w:cs="Times"/>
          <w:szCs w:val="24"/>
        </w:rPr>
        <w:t>) the</w:t>
      </w:r>
      <w:r w:rsidR="00067C27" w:rsidRPr="00A532C2">
        <w:rPr>
          <w:rFonts w:cs="Times"/>
          <w:szCs w:val="24"/>
        </w:rPr>
        <w:t xml:space="preserve"> relative standard error of the FE and ME footprint </w:t>
      </w:r>
      <w:r w:rsidR="00067C27">
        <w:rPr>
          <w:rFonts w:cs="Times"/>
          <w:szCs w:val="24"/>
        </w:rPr>
        <w:t xml:space="preserve">was </w:t>
      </w:r>
      <w:r w:rsidR="00067C27" w:rsidRPr="00A532C2">
        <w:rPr>
          <w:rFonts w:cs="Times"/>
          <w:szCs w:val="24"/>
        </w:rPr>
        <w:t xml:space="preserve"> </w:t>
      </w:r>
      <w:r w:rsidR="00067C27">
        <w:rPr>
          <w:rFonts w:cs="Times"/>
          <w:szCs w:val="24"/>
        </w:rPr>
        <w:t xml:space="preserve">&lt;5% at the global total level, </w:t>
      </w:r>
      <w:r w:rsidR="00067C27" w:rsidRPr="00A532C2">
        <w:rPr>
          <w:rFonts w:cs="Times"/>
          <w:szCs w:val="24"/>
        </w:rPr>
        <w:t>with a mean relative standard error at the country level of 16.9% (1 std. dev. = 6.8%) for FE footprints and 12.4% (1 std. dev. = 4%) for the ME footprints.</w:t>
      </w:r>
      <w:r w:rsidR="002363F2">
        <w:rPr>
          <w:rFonts w:cs="Times"/>
          <w:szCs w:val="24"/>
        </w:rPr>
        <w:t xml:space="preserve"> </w:t>
      </w:r>
      <w:r w:rsidR="007707A8">
        <w:rPr>
          <w:rFonts w:cs="Times"/>
          <w:szCs w:val="24"/>
        </w:rPr>
        <w:t>These reduce to 5.7% and 4.2% for FE and ME respectively in a less conservative scenario.</w:t>
      </w:r>
    </w:p>
    <w:p w14:paraId="7A9F73E6" w14:textId="3327ED1A" w:rsidR="000316A3" w:rsidRDefault="007B5321" w:rsidP="007707A8">
      <w:pPr>
        <w:tabs>
          <w:tab w:val="left" w:pos="5670"/>
        </w:tabs>
        <w:autoSpaceDE w:val="0"/>
        <w:autoSpaceDN w:val="0"/>
        <w:adjustRightInd w:val="0"/>
        <w:spacing w:before="100" w:beforeAutospacing="1" w:after="100" w:afterAutospacing="1"/>
        <w:rPr>
          <w:rFonts w:ascii="Times New Roman" w:hAnsi="Times New Roman"/>
        </w:rPr>
      </w:pPr>
      <w:r>
        <w:rPr>
          <w:rFonts w:ascii="Times New Roman" w:hAnsi="Times New Roman"/>
        </w:rPr>
        <w:t xml:space="preserve">For </w:t>
      </w:r>
      <w:r w:rsidR="00AC0746">
        <w:rPr>
          <w:rFonts w:ascii="Times New Roman" w:hAnsi="Times New Roman"/>
        </w:rPr>
        <w:t>ME</w:t>
      </w:r>
      <w:r>
        <w:rPr>
          <w:rFonts w:ascii="Times New Roman" w:hAnsi="Times New Roman"/>
        </w:rPr>
        <w:t xml:space="preserve"> in 2011, the highest</w:t>
      </w:r>
      <w:r w:rsidR="004C5860">
        <w:rPr>
          <w:rFonts w:ascii="Times New Roman" w:hAnsi="Times New Roman"/>
        </w:rPr>
        <w:t xml:space="preserve"> country-level</w:t>
      </w:r>
      <w:r>
        <w:rPr>
          <w:rFonts w:ascii="Times New Roman" w:hAnsi="Times New Roman"/>
        </w:rPr>
        <w:t xml:space="preserve"> footprint </w:t>
      </w:r>
      <w:r w:rsidR="002A3F5A">
        <w:rPr>
          <w:rFonts w:ascii="Times New Roman" w:hAnsi="Times New Roman"/>
        </w:rPr>
        <w:t>related</w:t>
      </w:r>
      <w:r>
        <w:rPr>
          <w:rFonts w:ascii="Times New Roman" w:hAnsi="Times New Roman"/>
        </w:rPr>
        <w:t xml:space="preserve"> to the consumption of </w:t>
      </w:r>
      <w:r w:rsidR="003747AA">
        <w:rPr>
          <w:rFonts w:ascii="Times New Roman" w:hAnsi="Times New Roman"/>
        </w:rPr>
        <w:t xml:space="preserve">both domestically produced and imported </w:t>
      </w:r>
      <w:r w:rsidR="00C40E12">
        <w:rPr>
          <w:rFonts w:ascii="Times New Roman" w:hAnsi="Times New Roman"/>
        </w:rPr>
        <w:t>non-food</w:t>
      </w:r>
      <w:r>
        <w:rPr>
          <w:rFonts w:ascii="Times New Roman" w:hAnsi="Times New Roman"/>
        </w:rPr>
        <w:t xml:space="preserve"> commodities occurred in China, </w:t>
      </w:r>
      <w:r w:rsidRPr="00F41675">
        <w:rPr>
          <w:rFonts w:ascii="Times New Roman" w:hAnsi="Times New Roman"/>
        </w:rPr>
        <w:t xml:space="preserve">with </w:t>
      </w:r>
      <w:r w:rsidR="00F41675" w:rsidRPr="00F41675">
        <w:rPr>
          <w:rFonts w:ascii="Times New Roman" w:hAnsi="Times New Roman"/>
        </w:rPr>
        <w:t>3</w:t>
      </w:r>
      <w:r w:rsidRPr="00F41675">
        <w:rPr>
          <w:rFonts w:ascii="Times New Roman" w:hAnsi="Times New Roman"/>
        </w:rPr>
        <w:t xml:space="preserve"> </w:t>
      </w:r>
      <w:r w:rsidR="005C04BA" w:rsidRPr="00F41675">
        <w:rPr>
          <w:rFonts w:ascii="Times New Roman" w:hAnsi="Times New Roman"/>
        </w:rPr>
        <w:t>M</w:t>
      </w:r>
      <w:r w:rsidRPr="00F41675">
        <w:rPr>
          <w:rFonts w:ascii="Times New Roman" w:hAnsi="Times New Roman"/>
        </w:rPr>
        <w:t>t N eq.</w:t>
      </w:r>
      <w:r>
        <w:rPr>
          <w:rFonts w:ascii="Times New Roman" w:hAnsi="Times New Roman"/>
        </w:rPr>
        <w:t xml:space="preserve"> out of a total foot</w:t>
      </w:r>
      <w:r w:rsidRPr="00F41675">
        <w:rPr>
          <w:rFonts w:ascii="Times New Roman" w:hAnsi="Times New Roman"/>
        </w:rPr>
        <w:t xml:space="preserve">print of </w:t>
      </w:r>
      <w:r w:rsidR="00F41675" w:rsidRPr="00F41675">
        <w:rPr>
          <w:rFonts w:ascii="Times New Roman" w:hAnsi="Times New Roman"/>
        </w:rPr>
        <w:t>8.6</w:t>
      </w:r>
      <w:r w:rsidRPr="00F41675">
        <w:rPr>
          <w:rFonts w:ascii="Times New Roman" w:hAnsi="Times New Roman"/>
        </w:rPr>
        <w:t xml:space="preserve"> </w:t>
      </w:r>
      <w:r w:rsidR="005C04BA" w:rsidRPr="00F41675">
        <w:rPr>
          <w:rFonts w:ascii="Times New Roman" w:hAnsi="Times New Roman"/>
        </w:rPr>
        <w:t>M</w:t>
      </w:r>
      <w:r w:rsidR="00FB2C3A" w:rsidRPr="00F41675">
        <w:rPr>
          <w:rFonts w:ascii="Times New Roman" w:hAnsi="Times New Roman"/>
        </w:rPr>
        <w:t>t</w:t>
      </w:r>
      <w:r w:rsidRPr="00F41675">
        <w:rPr>
          <w:rFonts w:ascii="Times New Roman" w:hAnsi="Times New Roman"/>
        </w:rPr>
        <w:t xml:space="preserve"> N eq.</w:t>
      </w:r>
      <w:r>
        <w:rPr>
          <w:rFonts w:ascii="Times New Roman" w:hAnsi="Times New Roman"/>
        </w:rPr>
        <w:t xml:space="preserve"> (</w:t>
      </w:r>
      <w:r w:rsidR="00B84276">
        <w:rPr>
          <w:rFonts w:ascii="Times New Roman" w:hAnsi="Times New Roman"/>
        </w:rPr>
        <w:t xml:space="preserve">see SI, </w:t>
      </w:r>
      <w:r w:rsidR="00C827F3">
        <w:rPr>
          <w:rFonts w:ascii="Times New Roman" w:hAnsi="Times New Roman"/>
        </w:rPr>
        <w:t>figure 1, left</w:t>
      </w:r>
      <w:r w:rsidR="0014146B">
        <w:rPr>
          <w:rFonts w:ascii="Times New Roman" w:hAnsi="Times New Roman"/>
        </w:rPr>
        <w:t>)</w:t>
      </w:r>
      <w:r w:rsidR="00C13733">
        <w:rPr>
          <w:rFonts w:ascii="Times New Roman" w:hAnsi="Times New Roman"/>
        </w:rPr>
        <w:t>,</w:t>
      </w:r>
      <w:r w:rsidR="0014146B">
        <w:rPr>
          <w:rFonts w:ascii="Times New Roman" w:hAnsi="Times New Roman"/>
        </w:rPr>
        <w:t xml:space="preserve"> </w:t>
      </w:r>
      <w:r w:rsidR="00C13733">
        <w:rPr>
          <w:rFonts w:ascii="Times New Roman" w:hAnsi="Times New Roman"/>
        </w:rPr>
        <w:t>doubling</w:t>
      </w:r>
      <w:r w:rsidR="0014146B">
        <w:rPr>
          <w:rFonts w:ascii="Times New Roman" w:hAnsi="Times New Roman"/>
        </w:rPr>
        <w:t xml:space="preserve"> China’s 2000 </w:t>
      </w:r>
      <w:r w:rsidR="00C40E12">
        <w:rPr>
          <w:rFonts w:ascii="Times New Roman" w:hAnsi="Times New Roman"/>
        </w:rPr>
        <w:t>non-food</w:t>
      </w:r>
      <w:r>
        <w:rPr>
          <w:rFonts w:ascii="Times New Roman" w:hAnsi="Times New Roman"/>
        </w:rPr>
        <w:t xml:space="preserve"> footprint </w:t>
      </w:r>
      <w:r w:rsidRPr="00F41675">
        <w:rPr>
          <w:rFonts w:ascii="Times New Roman" w:hAnsi="Times New Roman"/>
        </w:rPr>
        <w:t xml:space="preserve">of </w:t>
      </w:r>
      <w:r w:rsidR="00F41675" w:rsidRPr="00F41675">
        <w:rPr>
          <w:rFonts w:ascii="Times New Roman" w:hAnsi="Times New Roman"/>
        </w:rPr>
        <w:t>1.5</w:t>
      </w:r>
      <w:r w:rsidR="008C39BA" w:rsidRPr="00F41675">
        <w:rPr>
          <w:rFonts w:ascii="Times New Roman" w:hAnsi="Times New Roman"/>
        </w:rPr>
        <w:t xml:space="preserve"> M</w:t>
      </w:r>
      <w:r w:rsidRPr="00F41675">
        <w:rPr>
          <w:rFonts w:ascii="Times New Roman" w:hAnsi="Times New Roman"/>
        </w:rPr>
        <w:t>t N eq</w:t>
      </w:r>
      <w:r w:rsidR="00A30399">
        <w:rPr>
          <w:rFonts w:ascii="Times New Roman" w:hAnsi="Times New Roman"/>
        </w:rPr>
        <w:t>.</w:t>
      </w:r>
      <w:r w:rsidR="002B69AA">
        <w:rPr>
          <w:rFonts w:ascii="Times New Roman" w:hAnsi="Times New Roman"/>
        </w:rPr>
        <w:t xml:space="preserve"> </w:t>
      </w:r>
      <w:r w:rsidR="00E128EF">
        <w:rPr>
          <w:rFonts w:ascii="Times New Roman" w:hAnsi="Times New Roman"/>
        </w:rPr>
        <w:t xml:space="preserve">For </w:t>
      </w:r>
      <w:r w:rsidR="00AC0746">
        <w:rPr>
          <w:rFonts w:ascii="Times New Roman" w:hAnsi="Times New Roman"/>
        </w:rPr>
        <w:t>FE</w:t>
      </w:r>
      <w:r w:rsidR="00557467">
        <w:rPr>
          <w:rFonts w:ascii="Times New Roman" w:hAnsi="Times New Roman"/>
        </w:rPr>
        <w:t xml:space="preserve"> </w:t>
      </w:r>
      <w:r w:rsidR="002A3F5A">
        <w:rPr>
          <w:rFonts w:ascii="Times New Roman" w:hAnsi="Times New Roman"/>
        </w:rPr>
        <w:t>associated with</w:t>
      </w:r>
      <w:r w:rsidR="00557467">
        <w:rPr>
          <w:rFonts w:ascii="Times New Roman" w:hAnsi="Times New Roman"/>
        </w:rPr>
        <w:t xml:space="preserve"> non-food consumption, </w:t>
      </w:r>
      <w:r w:rsidR="00701499">
        <w:rPr>
          <w:rFonts w:ascii="Times New Roman" w:hAnsi="Times New Roman"/>
        </w:rPr>
        <w:t>the</w:t>
      </w:r>
      <w:r w:rsidR="00557467">
        <w:rPr>
          <w:rFonts w:ascii="Times New Roman" w:hAnsi="Times New Roman"/>
        </w:rPr>
        <w:t xml:space="preserve"> U.S. </w:t>
      </w:r>
      <w:r w:rsidR="00701499">
        <w:rPr>
          <w:rFonts w:ascii="Times New Roman" w:hAnsi="Times New Roman"/>
        </w:rPr>
        <w:t xml:space="preserve">was the largest country-level </w:t>
      </w:r>
      <w:r w:rsidR="00557467">
        <w:rPr>
          <w:rFonts w:ascii="Times New Roman" w:hAnsi="Times New Roman"/>
        </w:rPr>
        <w:t xml:space="preserve">contributor </w:t>
      </w:r>
      <w:r w:rsidR="00184027" w:rsidRPr="00701499">
        <w:rPr>
          <w:rFonts w:ascii="Times New Roman" w:hAnsi="Times New Roman"/>
        </w:rPr>
        <w:t>(</w:t>
      </w:r>
      <w:r w:rsidR="00701499">
        <w:rPr>
          <w:rFonts w:ascii="Times New Roman" w:hAnsi="Times New Roman"/>
        </w:rPr>
        <w:t>263</w:t>
      </w:r>
      <w:r w:rsidR="00932C81" w:rsidRPr="00701499">
        <w:rPr>
          <w:rFonts w:ascii="Times New Roman" w:hAnsi="Times New Roman"/>
        </w:rPr>
        <w:t xml:space="preserve"> kt P eq.</w:t>
      </w:r>
      <w:r w:rsidR="00184027" w:rsidRPr="00701499">
        <w:rPr>
          <w:rFonts w:ascii="Times New Roman" w:hAnsi="Times New Roman"/>
        </w:rPr>
        <w:t>)</w:t>
      </w:r>
      <w:r w:rsidR="00701499">
        <w:rPr>
          <w:rFonts w:ascii="Times New Roman" w:hAnsi="Times New Roman"/>
        </w:rPr>
        <w:t xml:space="preserve"> in 2011</w:t>
      </w:r>
      <w:r w:rsidR="00510111">
        <w:rPr>
          <w:rFonts w:ascii="Times New Roman" w:hAnsi="Times New Roman"/>
        </w:rPr>
        <w:t xml:space="preserve">, which is nearly triple their </w:t>
      </w:r>
      <w:r w:rsidR="00932C81">
        <w:rPr>
          <w:rFonts w:ascii="Times New Roman" w:hAnsi="Times New Roman"/>
        </w:rPr>
        <w:t>2000</w:t>
      </w:r>
      <w:r w:rsidR="00510111">
        <w:rPr>
          <w:rFonts w:ascii="Times New Roman" w:hAnsi="Times New Roman"/>
        </w:rPr>
        <w:t xml:space="preserve"> values</w:t>
      </w:r>
      <w:r w:rsidR="00932C81">
        <w:rPr>
          <w:rFonts w:ascii="Times New Roman" w:hAnsi="Times New Roman"/>
        </w:rPr>
        <w:t xml:space="preserve"> </w:t>
      </w:r>
      <w:r w:rsidR="00510111">
        <w:rPr>
          <w:rFonts w:ascii="Times New Roman" w:hAnsi="Times New Roman"/>
        </w:rPr>
        <w:t xml:space="preserve">of </w:t>
      </w:r>
      <w:r w:rsidR="00701499" w:rsidRPr="00701499">
        <w:rPr>
          <w:rFonts w:ascii="Times New Roman" w:hAnsi="Times New Roman"/>
        </w:rPr>
        <w:t>97</w:t>
      </w:r>
      <w:r w:rsidR="00932C81" w:rsidRPr="00701499">
        <w:rPr>
          <w:rFonts w:ascii="Times New Roman" w:hAnsi="Times New Roman"/>
        </w:rPr>
        <w:t xml:space="preserve"> kt P eq.</w:t>
      </w:r>
      <w:r w:rsidR="007A0CA5" w:rsidRPr="00701499">
        <w:rPr>
          <w:rFonts w:ascii="Times New Roman" w:hAnsi="Times New Roman"/>
        </w:rPr>
        <w:t xml:space="preserve"> China </w:t>
      </w:r>
      <w:r w:rsidR="00FB2C3A" w:rsidRPr="00701499">
        <w:rPr>
          <w:rFonts w:ascii="Times New Roman" w:hAnsi="Times New Roman"/>
        </w:rPr>
        <w:t>had</w:t>
      </w:r>
      <w:r w:rsidR="007A0CA5" w:rsidRPr="00701499">
        <w:rPr>
          <w:rFonts w:ascii="Times New Roman" w:hAnsi="Times New Roman"/>
        </w:rPr>
        <w:t xml:space="preserve"> the </w:t>
      </w:r>
      <w:r w:rsidR="00701499" w:rsidRPr="00701499">
        <w:rPr>
          <w:rFonts w:ascii="Times New Roman" w:hAnsi="Times New Roman"/>
        </w:rPr>
        <w:t>second</w:t>
      </w:r>
      <w:r w:rsidR="007A0CA5" w:rsidRPr="00701499">
        <w:rPr>
          <w:rFonts w:ascii="Times New Roman" w:hAnsi="Times New Roman"/>
        </w:rPr>
        <w:t xml:space="preserve"> highest </w:t>
      </w:r>
      <w:r w:rsidR="00C13733">
        <w:rPr>
          <w:rFonts w:ascii="Times New Roman" w:hAnsi="Times New Roman"/>
        </w:rPr>
        <w:t xml:space="preserve">FE </w:t>
      </w:r>
      <w:r w:rsidR="00C40E12" w:rsidRPr="00701499">
        <w:rPr>
          <w:rFonts w:ascii="Times New Roman" w:hAnsi="Times New Roman"/>
        </w:rPr>
        <w:t>non-food</w:t>
      </w:r>
      <w:r w:rsidR="007A0CA5" w:rsidRPr="00701499">
        <w:rPr>
          <w:rFonts w:ascii="Times New Roman" w:hAnsi="Times New Roman"/>
        </w:rPr>
        <w:t xml:space="preserve"> footprint</w:t>
      </w:r>
      <w:r w:rsidR="00FB2C3A" w:rsidRPr="00701499">
        <w:rPr>
          <w:rFonts w:ascii="Times New Roman" w:hAnsi="Times New Roman"/>
        </w:rPr>
        <w:t xml:space="preserve"> </w:t>
      </w:r>
      <w:r w:rsidR="007A0CA5" w:rsidRPr="00701499">
        <w:rPr>
          <w:rFonts w:ascii="Times New Roman" w:hAnsi="Times New Roman"/>
        </w:rPr>
        <w:t xml:space="preserve">in 2011 </w:t>
      </w:r>
      <w:r w:rsidR="00184027" w:rsidRPr="00701499">
        <w:rPr>
          <w:rFonts w:ascii="Times New Roman" w:hAnsi="Times New Roman"/>
        </w:rPr>
        <w:t>(</w:t>
      </w:r>
      <w:r w:rsidR="00701499" w:rsidRPr="00701499">
        <w:rPr>
          <w:rFonts w:ascii="Times New Roman" w:hAnsi="Times New Roman"/>
        </w:rPr>
        <w:t>180</w:t>
      </w:r>
      <w:r w:rsidR="00184027" w:rsidRPr="00701499">
        <w:rPr>
          <w:rFonts w:ascii="Times New Roman" w:hAnsi="Times New Roman"/>
        </w:rPr>
        <w:t xml:space="preserve"> kt P eq.),</w:t>
      </w:r>
      <w:r w:rsidR="007A0CA5">
        <w:rPr>
          <w:rFonts w:ascii="Times New Roman" w:hAnsi="Times New Roman"/>
        </w:rPr>
        <w:t xml:space="preserve"> </w:t>
      </w:r>
      <w:r w:rsidR="00701499">
        <w:rPr>
          <w:rFonts w:ascii="Times New Roman" w:hAnsi="Times New Roman"/>
        </w:rPr>
        <w:t>over</w:t>
      </w:r>
      <w:r w:rsidR="007A0CA5">
        <w:rPr>
          <w:rFonts w:ascii="Times New Roman" w:hAnsi="Times New Roman"/>
        </w:rPr>
        <w:t xml:space="preserve"> </w:t>
      </w:r>
      <w:r w:rsidR="00701499">
        <w:rPr>
          <w:rFonts w:ascii="Times New Roman" w:hAnsi="Times New Roman"/>
        </w:rPr>
        <w:t>five times</w:t>
      </w:r>
      <w:r w:rsidR="007A0CA5">
        <w:rPr>
          <w:rFonts w:ascii="Times New Roman" w:hAnsi="Times New Roman"/>
        </w:rPr>
        <w:t xml:space="preserve"> the 2000 </w:t>
      </w:r>
      <w:r w:rsidR="00C13733">
        <w:rPr>
          <w:rFonts w:ascii="Times New Roman" w:hAnsi="Times New Roman"/>
        </w:rPr>
        <w:t>values</w:t>
      </w:r>
      <w:r w:rsidR="007A0CA5" w:rsidRPr="00226475">
        <w:rPr>
          <w:rFonts w:ascii="Times New Roman" w:hAnsi="Times New Roman"/>
        </w:rPr>
        <w:t xml:space="preserve"> (</w:t>
      </w:r>
      <w:r w:rsidR="00701499" w:rsidRPr="00226475">
        <w:rPr>
          <w:rFonts w:ascii="Times New Roman" w:hAnsi="Times New Roman"/>
        </w:rPr>
        <w:t>33</w:t>
      </w:r>
      <w:r w:rsidR="007A0CA5" w:rsidRPr="00226475">
        <w:rPr>
          <w:rFonts w:ascii="Times New Roman" w:hAnsi="Times New Roman"/>
        </w:rPr>
        <w:t xml:space="preserve"> kt P eq</w:t>
      </w:r>
      <w:r w:rsidR="007A0CA5">
        <w:rPr>
          <w:rFonts w:ascii="Times New Roman" w:hAnsi="Times New Roman"/>
        </w:rPr>
        <w:t>.</w:t>
      </w:r>
      <w:r w:rsidR="00C13733">
        <w:rPr>
          <w:rFonts w:ascii="Times New Roman" w:hAnsi="Times New Roman"/>
        </w:rPr>
        <w:t>, See SI for a</w:t>
      </w:r>
      <w:r w:rsidR="001340E4">
        <w:rPr>
          <w:rFonts w:ascii="Times New Roman" w:hAnsi="Times New Roman"/>
        </w:rPr>
        <w:t xml:space="preserve"> full breakdown by sector and region</w:t>
      </w:r>
      <w:r w:rsidR="00C13733">
        <w:rPr>
          <w:rFonts w:ascii="Times New Roman" w:hAnsi="Times New Roman"/>
        </w:rPr>
        <w:t>)</w:t>
      </w:r>
      <w:r w:rsidR="005115BC">
        <w:rPr>
          <w:rFonts w:ascii="Times New Roman" w:hAnsi="Times New Roman"/>
        </w:rPr>
        <w:t>.</w:t>
      </w:r>
      <w:r w:rsidR="001340E4">
        <w:rPr>
          <w:rFonts w:ascii="Times New Roman" w:hAnsi="Times New Roman"/>
        </w:rPr>
        <w:t xml:space="preserve"> </w:t>
      </w:r>
    </w:p>
    <w:p w14:paraId="1C402424" w14:textId="6D9D7AA9" w:rsidR="00D92EC8" w:rsidRPr="00E128EF" w:rsidRDefault="00C13733" w:rsidP="00B018A6">
      <w:pPr>
        <w:autoSpaceDE w:val="0"/>
        <w:autoSpaceDN w:val="0"/>
        <w:adjustRightInd w:val="0"/>
        <w:spacing w:before="100" w:beforeAutospacing="1" w:after="100" w:afterAutospacing="1"/>
        <w:rPr>
          <w:rFonts w:ascii="Times New Roman" w:hAnsi="Times New Roman"/>
        </w:rPr>
      </w:pPr>
      <w:r>
        <w:rPr>
          <w:rFonts w:ascii="Times New Roman" w:hAnsi="Times New Roman"/>
        </w:rPr>
        <w:t>In contrast to non-food footprints, the global food footprints only modestly increase</w:t>
      </w:r>
      <w:r w:rsidR="005115BC">
        <w:rPr>
          <w:rFonts w:ascii="Times New Roman" w:hAnsi="Times New Roman"/>
        </w:rPr>
        <w:t>d</w:t>
      </w:r>
      <w:r>
        <w:rPr>
          <w:rFonts w:ascii="Times New Roman" w:hAnsi="Times New Roman"/>
        </w:rPr>
        <w:t xml:space="preserve"> from 2000 to 2011 (ME: 19 Mt N eq. to  21 Mt N eq. and FE: 850 kt P eq. to 950 kt P eq.)</w:t>
      </w:r>
      <w:r w:rsidR="005115BC">
        <w:rPr>
          <w:rFonts w:ascii="Times New Roman" w:hAnsi="Times New Roman"/>
        </w:rPr>
        <w:t>.</w:t>
      </w:r>
      <w:r>
        <w:rPr>
          <w:rFonts w:ascii="Times New Roman" w:hAnsi="Times New Roman"/>
        </w:rPr>
        <w:t xml:space="preserve"> </w:t>
      </w:r>
      <w:r w:rsidR="005115BC">
        <w:rPr>
          <w:rFonts w:ascii="Times New Roman" w:hAnsi="Times New Roman"/>
        </w:rPr>
        <w:t>However</w:t>
      </w:r>
      <w:r>
        <w:rPr>
          <w:rFonts w:ascii="Times New Roman" w:hAnsi="Times New Roman"/>
        </w:rPr>
        <w:t>,</w:t>
      </w:r>
      <w:r w:rsidR="005115BC">
        <w:rPr>
          <w:rFonts w:ascii="Times New Roman" w:hAnsi="Times New Roman"/>
        </w:rPr>
        <w:t xml:space="preserve"> this was not the case for</w:t>
      </w:r>
      <w:r>
        <w:rPr>
          <w:rFonts w:ascii="Times New Roman" w:hAnsi="Times New Roman"/>
        </w:rPr>
        <w:t xml:space="preserve"> China</w:t>
      </w:r>
      <w:r w:rsidR="005115BC">
        <w:rPr>
          <w:rFonts w:ascii="Times New Roman" w:hAnsi="Times New Roman"/>
        </w:rPr>
        <w:t>’</w:t>
      </w:r>
      <w:r>
        <w:rPr>
          <w:rFonts w:ascii="Times New Roman" w:hAnsi="Times New Roman"/>
        </w:rPr>
        <w:t>s food footprint</w:t>
      </w:r>
      <w:r w:rsidR="005115BC">
        <w:rPr>
          <w:rFonts w:ascii="Times New Roman" w:hAnsi="Times New Roman"/>
        </w:rPr>
        <w:t>, which</w:t>
      </w:r>
      <w:r>
        <w:rPr>
          <w:rFonts w:ascii="Times New Roman" w:hAnsi="Times New Roman"/>
        </w:rPr>
        <w:t xml:space="preserve"> increase</w:t>
      </w:r>
      <w:r w:rsidR="005115BC">
        <w:rPr>
          <w:rFonts w:ascii="Times New Roman" w:hAnsi="Times New Roman"/>
        </w:rPr>
        <w:t>d</w:t>
      </w:r>
      <w:r>
        <w:rPr>
          <w:rFonts w:ascii="Times New Roman" w:hAnsi="Times New Roman"/>
        </w:rPr>
        <w:t xml:space="preserve"> by over 25% in the </w:t>
      </w:r>
      <w:r w:rsidR="00071B6F">
        <w:rPr>
          <w:rFonts w:ascii="Times New Roman" w:hAnsi="Times New Roman"/>
        </w:rPr>
        <w:t xml:space="preserve">same </w:t>
      </w:r>
      <w:r>
        <w:rPr>
          <w:rFonts w:ascii="Times New Roman" w:hAnsi="Times New Roman"/>
        </w:rPr>
        <w:t xml:space="preserve">period, </w:t>
      </w:r>
      <w:r w:rsidR="005115BC">
        <w:rPr>
          <w:rFonts w:ascii="Times New Roman" w:hAnsi="Times New Roman"/>
        </w:rPr>
        <w:t xml:space="preserve">peaking </w:t>
      </w:r>
      <w:r>
        <w:rPr>
          <w:rFonts w:ascii="Times New Roman" w:hAnsi="Times New Roman"/>
        </w:rPr>
        <w:t>at 5.4 Mt N eq</w:t>
      </w:r>
      <w:r w:rsidR="005115BC">
        <w:rPr>
          <w:rFonts w:ascii="Times New Roman" w:hAnsi="Times New Roman"/>
        </w:rPr>
        <w:t>.</w:t>
      </w:r>
      <w:r>
        <w:rPr>
          <w:rFonts w:ascii="Times New Roman" w:hAnsi="Times New Roman"/>
        </w:rPr>
        <w:t xml:space="preserve"> for ME</w:t>
      </w:r>
      <w:r w:rsidR="005115BC">
        <w:rPr>
          <w:rFonts w:ascii="Times New Roman" w:hAnsi="Times New Roman"/>
        </w:rPr>
        <w:t xml:space="preserve"> in 2011</w:t>
      </w:r>
      <w:r w:rsidR="00071B6F">
        <w:rPr>
          <w:rFonts w:ascii="Times New Roman" w:hAnsi="Times New Roman"/>
        </w:rPr>
        <w:t>.</w:t>
      </w:r>
      <w:r w:rsidR="005115BC">
        <w:rPr>
          <w:rFonts w:ascii="Times New Roman" w:hAnsi="Times New Roman"/>
        </w:rPr>
        <w:t xml:space="preserve"> </w:t>
      </w:r>
      <w:r w:rsidR="00875606">
        <w:rPr>
          <w:rFonts w:ascii="Times New Roman" w:hAnsi="Times New Roman"/>
        </w:rPr>
        <w:t xml:space="preserve">For FE, the highest country-level food footprints were observed in the U.S. with 149 kt P eq. in 2000 and 140 kt P eq. in 2011. </w:t>
      </w:r>
    </w:p>
    <w:p w14:paraId="31305562" w14:textId="6151C610" w:rsidR="002A713F" w:rsidRDefault="00314428" w:rsidP="002A713F">
      <w:pPr>
        <w:autoSpaceDE w:val="0"/>
        <w:autoSpaceDN w:val="0"/>
        <w:adjustRightInd w:val="0"/>
        <w:spacing w:before="100" w:beforeAutospacing="1" w:after="100" w:afterAutospacing="1"/>
        <w:rPr>
          <w:rFonts w:ascii="Times New Roman" w:hAnsi="Times New Roman"/>
        </w:rPr>
      </w:pPr>
      <w:r>
        <w:rPr>
          <w:rFonts w:ascii="Times New Roman" w:hAnsi="Times New Roman"/>
        </w:rPr>
        <w:t>T</w:t>
      </w:r>
      <w:r w:rsidR="002A713F" w:rsidRPr="00A30399">
        <w:rPr>
          <w:rFonts w:ascii="Times New Roman" w:hAnsi="Times New Roman"/>
        </w:rPr>
        <w:t xml:space="preserve">he breakdown of global footprints </w:t>
      </w:r>
      <w:r w:rsidR="00F06BB1">
        <w:rPr>
          <w:rFonts w:ascii="Times New Roman" w:hAnsi="Times New Roman"/>
        </w:rPr>
        <w:t>reveals the relative importance</w:t>
      </w:r>
      <w:r w:rsidR="002A713F" w:rsidRPr="00A30399">
        <w:rPr>
          <w:rFonts w:ascii="Times New Roman" w:hAnsi="Times New Roman"/>
        </w:rPr>
        <w:t xml:space="preserve"> </w:t>
      </w:r>
      <w:r w:rsidR="00835BF5">
        <w:rPr>
          <w:rFonts w:ascii="Times New Roman" w:hAnsi="Times New Roman"/>
        </w:rPr>
        <w:t xml:space="preserve">of specific consumption categories </w:t>
      </w:r>
      <w:r w:rsidR="00875606">
        <w:rPr>
          <w:rFonts w:ascii="Times New Roman" w:hAnsi="Times New Roman"/>
        </w:rPr>
        <w:t xml:space="preserve">for ME and FE </w:t>
      </w:r>
      <w:r w:rsidR="00D96328" w:rsidRPr="00A30399">
        <w:rPr>
          <w:rFonts w:ascii="Times New Roman" w:hAnsi="Times New Roman"/>
        </w:rPr>
        <w:t>and</w:t>
      </w:r>
      <w:r w:rsidR="002A713F" w:rsidRPr="00A30399">
        <w:rPr>
          <w:rFonts w:ascii="Times New Roman" w:hAnsi="Times New Roman"/>
        </w:rPr>
        <w:t xml:space="preserve"> </w:t>
      </w:r>
      <w:r w:rsidR="00F06BB1">
        <w:rPr>
          <w:rFonts w:ascii="Times New Roman" w:hAnsi="Times New Roman"/>
        </w:rPr>
        <w:t>how this has</w:t>
      </w:r>
      <w:r w:rsidR="00D96328" w:rsidRPr="00A30399">
        <w:rPr>
          <w:rFonts w:ascii="Times New Roman" w:hAnsi="Times New Roman"/>
        </w:rPr>
        <w:t xml:space="preserve"> </w:t>
      </w:r>
      <w:r w:rsidR="002A713F" w:rsidRPr="00A30399">
        <w:rPr>
          <w:rFonts w:ascii="Times New Roman" w:hAnsi="Times New Roman"/>
        </w:rPr>
        <w:t>changed over time. I</w:t>
      </w:r>
      <w:r w:rsidR="00D96328" w:rsidRPr="00A30399">
        <w:rPr>
          <w:rFonts w:ascii="Times New Roman" w:hAnsi="Times New Roman"/>
        </w:rPr>
        <w:t>n 2000</w:t>
      </w:r>
      <w:r w:rsidR="002A713F" w:rsidRPr="00A30399">
        <w:rPr>
          <w:rFonts w:ascii="Times New Roman" w:hAnsi="Times New Roman"/>
        </w:rPr>
        <w:t xml:space="preserve"> for ME, plant-based food accounted for 22.8% of the total footprint, 28.7% for animal-based food, 17% for processed food, 2.1% for clothing, 6.2% for shelter, 6.2% for manufactured products, 2.9% for waste services and 13.9% for other services</w:t>
      </w:r>
      <w:r w:rsidR="00A30399">
        <w:rPr>
          <w:rFonts w:ascii="Times New Roman" w:hAnsi="Times New Roman"/>
        </w:rPr>
        <w:t xml:space="preserve"> (see </w:t>
      </w:r>
      <w:r w:rsidR="007E6A8A">
        <w:rPr>
          <w:rFonts w:ascii="Times New Roman" w:hAnsi="Times New Roman"/>
        </w:rPr>
        <w:t>SI</w:t>
      </w:r>
      <w:r w:rsidR="00A30399">
        <w:rPr>
          <w:rFonts w:ascii="Times New Roman" w:hAnsi="Times New Roman"/>
        </w:rPr>
        <w:t xml:space="preserve"> data file for aggregation key)</w:t>
      </w:r>
      <w:r w:rsidR="002A713F" w:rsidRPr="00A30399">
        <w:rPr>
          <w:rFonts w:ascii="Times New Roman" w:hAnsi="Times New Roman"/>
        </w:rPr>
        <w:t>.</w:t>
      </w:r>
      <w:r w:rsidR="00D96328" w:rsidRPr="00A30399">
        <w:rPr>
          <w:rFonts w:ascii="Times New Roman" w:hAnsi="Times New Roman"/>
        </w:rPr>
        <w:t xml:space="preserve"> </w:t>
      </w:r>
      <w:r w:rsidR="00A44EF1">
        <w:rPr>
          <w:rFonts w:ascii="Times New Roman" w:hAnsi="Times New Roman"/>
        </w:rPr>
        <w:t>In 2011, the relative share for plant- and animal-based food declined by 3.2% and 2.7%, respectively, while all other categories increased</w:t>
      </w:r>
      <w:r w:rsidR="000D4AE6">
        <w:rPr>
          <w:rFonts w:ascii="Times New Roman" w:hAnsi="Times New Roman"/>
        </w:rPr>
        <w:t>,</w:t>
      </w:r>
      <w:r w:rsidR="00A44EF1">
        <w:rPr>
          <w:rFonts w:ascii="Times New Roman" w:hAnsi="Times New Roman"/>
        </w:rPr>
        <w:t xml:space="preserve"> especially processed food (</w:t>
      </w:r>
      <w:r w:rsidR="00494E85">
        <w:rPr>
          <w:rFonts w:ascii="Times New Roman" w:hAnsi="Times New Roman"/>
        </w:rPr>
        <w:t xml:space="preserve">from 17% to </w:t>
      </w:r>
      <w:r w:rsidR="00A44EF1">
        <w:rPr>
          <w:rFonts w:ascii="Times New Roman" w:hAnsi="Times New Roman"/>
        </w:rPr>
        <w:t>19.1%), manufactured products (</w:t>
      </w:r>
      <w:r w:rsidR="00494E85">
        <w:rPr>
          <w:rFonts w:ascii="Times New Roman" w:hAnsi="Times New Roman"/>
        </w:rPr>
        <w:t xml:space="preserve">6.2% to </w:t>
      </w:r>
      <w:r w:rsidR="00A44EF1">
        <w:rPr>
          <w:rFonts w:ascii="Times New Roman" w:hAnsi="Times New Roman"/>
        </w:rPr>
        <w:t>7.6%) a</w:t>
      </w:r>
      <w:r w:rsidR="00DE5BB8">
        <w:rPr>
          <w:rFonts w:ascii="Times New Roman" w:hAnsi="Times New Roman"/>
        </w:rPr>
        <w:t>nd waste services (</w:t>
      </w:r>
      <w:r w:rsidR="00494E85">
        <w:rPr>
          <w:rFonts w:ascii="Times New Roman" w:hAnsi="Times New Roman"/>
        </w:rPr>
        <w:t xml:space="preserve">2.9% to </w:t>
      </w:r>
      <w:r w:rsidR="00DE5BB8">
        <w:rPr>
          <w:rFonts w:ascii="Times New Roman" w:hAnsi="Times New Roman"/>
        </w:rPr>
        <w:t xml:space="preserve">4.7%). </w:t>
      </w:r>
      <w:r w:rsidR="00A44EF1">
        <w:rPr>
          <w:rFonts w:ascii="Times New Roman" w:hAnsi="Times New Roman"/>
        </w:rPr>
        <w:t>Compared to ME, the FE consumption shares had a different trend: plant-based food accounted for 6%, 50.9% for animal-based food, 10.3% for prepared food, 2.5% for clothing, 4.4% for shelter, 4.3% for manufactured products, 6.6% for waste services and 15% for other services</w:t>
      </w:r>
      <w:r w:rsidR="000D4AE6">
        <w:rPr>
          <w:rFonts w:ascii="Times New Roman" w:hAnsi="Times New Roman"/>
        </w:rPr>
        <w:t xml:space="preserve"> in 2000. In 2011, both plant-based and animal-based food decreased to 5% and 46.9%, respectively, while processed food stayed the same</w:t>
      </w:r>
      <w:r w:rsidR="002C7FD9">
        <w:rPr>
          <w:rFonts w:ascii="Times New Roman" w:hAnsi="Times New Roman"/>
        </w:rPr>
        <w:t xml:space="preserve"> and all other categories increased, especially shelter (</w:t>
      </w:r>
      <w:r w:rsidR="00494E85">
        <w:rPr>
          <w:rFonts w:ascii="Times New Roman" w:hAnsi="Times New Roman"/>
        </w:rPr>
        <w:t xml:space="preserve">4.4% to </w:t>
      </w:r>
      <w:r w:rsidR="002C7FD9">
        <w:rPr>
          <w:rFonts w:ascii="Times New Roman" w:hAnsi="Times New Roman"/>
        </w:rPr>
        <w:t>5.2%) and waste services (</w:t>
      </w:r>
      <w:r w:rsidR="00494E85">
        <w:rPr>
          <w:rFonts w:ascii="Times New Roman" w:hAnsi="Times New Roman"/>
        </w:rPr>
        <w:t xml:space="preserve">6.6% to </w:t>
      </w:r>
      <w:r w:rsidR="002C7FD9">
        <w:rPr>
          <w:rFonts w:ascii="Times New Roman" w:hAnsi="Times New Roman"/>
        </w:rPr>
        <w:t>9%).</w:t>
      </w:r>
    </w:p>
    <w:p w14:paraId="3CDDD1FE" w14:textId="7505FCEA" w:rsidR="00C75C92" w:rsidRPr="00C75C92" w:rsidRDefault="00C75C92" w:rsidP="00B018A6">
      <w:pPr>
        <w:autoSpaceDE w:val="0"/>
        <w:autoSpaceDN w:val="0"/>
        <w:adjustRightInd w:val="0"/>
        <w:spacing w:before="100" w:beforeAutospacing="1" w:after="100" w:afterAutospacing="1"/>
        <w:rPr>
          <w:rFonts w:ascii="Times New Roman" w:hAnsi="Times New Roman"/>
          <w:i/>
        </w:rPr>
      </w:pPr>
      <w:r w:rsidRPr="00C75C92">
        <w:rPr>
          <w:rFonts w:ascii="Times New Roman" w:hAnsi="Times New Roman"/>
          <w:i/>
        </w:rPr>
        <w:lastRenderedPageBreak/>
        <w:t xml:space="preserve">Trade related </w:t>
      </w:r>
      <w:r w:rsidR="00C827F3">
        <w:rPr>
          <w:rFonts w:ascii="Times New Roman" w:hAnsi="Times New Roman"/>
          <w:i/>
        </w:rPr>
        <w:t xml:space="preserve">food and </w:t>
      </w:r>
      <w:r w:rsidRPr="00C75C92">
        <w:rPr>
          <w:rFonts w:ascii="Times New Roman" w:hAnsi="Times New Roman"/>
          <w:i/>
        </w:rPr>
        <w:t>non-food eutrophication impacts</w:t>
      </w:r>
    </w:p>
    <w:p w14:paraId="411FE4D2" w14:textId="3E5CD3F9" w:rsidR="00720086" w:rsidRDefault="00B15B11" w:rsidP="00720086">
      <w:pPr>
        <w:autoSpaceDE w:val="0"/>
        <w:autoSpaceDN w:val="0"/>
        <w:adjustRightInd w:val="0"/>
        <w:spacing w:before="100" w:beforeAutospacing="1" w:after="100" w:afterAutospacing="1"/>
        <w:rPr>
          <w:rFonts w:ascii="Times New Roman" w:hAnsi="Times New Roman"/>
        </w:rPr>
      </w:pPr>
      <w:r w:rsidRPr="00BB291B">
        <w:rPr>
          <w:rFonts w:ascii="Times New Roman" w:hAnsi="Times New Roman"/>
        </w:rPr>
        <w:t xml:space="preserve">Overall, the impacts </w:t>
      </w:r>
      <w:r w:rsidR="00667AD1">
        <w:rPr>
          <w:rFonts w:ascii="Times New Roman" w:hAnsi="Times New Roman"/>
        </w:rPr>
        <w:t>from the production of traded goods and services have increased from</w:t>
      </w:r>
      <w:r w:rsidRPr="00BB291B">
        <w:rPr>
          <w:rFonts w:ascii="Times New Roman" w:hAnsi="Times New Roman"/>
        </w:rPr>
        <w:t xml:space="preserve"> </w:t>
      </w:r>
      <w:r w:rsidR="004805E8">
        <w:rPr>
          <w:rFonts w:ascii="Times New Roman" w:hAnsi="Times New Roman"/>
        </w:rPr>
        <w:t>6.9</w:t>
      </w:r>
      <w:r w:rsidR="00667AD1" w:rsidRPr="00BB291B">
        <w:rPr>
          <w:rFonts w:ascii="Times New Roman" w:hAnsi="Times New Roman"/>
        </w:rPr>
        <w:t xml:space="preserve"> M</w:t>
      </w:r>
      <w:r w:rsidR="00667AD1">
        <w:rPr>
          <w:rFonts w:ascii="Times New Roman" w:hAnsi="Times New Roman"/>
        </w:rPr>
        <w:t xml:space="preserve">t N eq. and </w:t>
      </w:r>
      <w:r w:rsidR="004805E8">
        <w:rPr>
          <w:rFonts w:ascii="Times New Roman" w:hAnsi="Times New Roman"/>
        </w:rPr>
        <w:t>274</w:t>
      </w:r>
      <w:r w:rsidR="00667AD1">
        <w:rPr>
          <w:rFonts w:ascii="Times New Roman" w:hAnsi="Times New Roman"/>
        </w:rPr>
        <w:t xml:space="preserve"> kt P eq. in </w:t>
      </w:r>
      <w:r w:rsidR="004805E8">
        <w:rPr>
          <w:rFonts w:ascii="Times New Roman" w:hAnsi="Times New Roman"/>
        </w:rPr>
        <w:t>2000</w:t>
      </w:r>
      <w:r w:rsidR="00667AD1">
        <w:rPr>
          <w:rFonts w:ascii="Times New Roman" w:hAnsi="Times New Roman"/>
        </w:rPr>
        <w:t xml:space="preserve"> to </w:t>
      </w:r>
      <w:r w:rsidR="004805E8">
        <w:rPr>
          <w:rFonts w:ascii="Times New Roman" w:hAnsi="Times New Roman"/>
        </w:rPr>
        <w:t xml:space="preserve">8.7 Mt N eq. </w:t>
      </w:r>
      <w:r w:rsidR="00067C27">
        <w:rPr>
          <w:rFonts w:ascii="Times New Roman" w:hAnsi="Times New Roman"/>
        </w:rPr>
        <w:t>(26% of global impacts)</w:t>
      </w:r>
      <w:r w:rsidR="004805E8">
        <w:rPr>
          <w:rFonts w:ascii="Times New Roman" w:hAnsi="Times New Roman"/>
        </w:rPr>
        <w:t xml:space="preserve"> and 313 kt P eq. (21%</w:t>
      </w:r>
      <w:r w:rsidR="00067C27">
        <w:rPr>
          <w:rFonts w:ascii="Times New Roman" w:hAnsi="Times New Roman"/>
        </w:rPr>
        <w:t xml:space="preserve"> of global total</w:t>
      </w:r>
      <w:r w:rsidR="004805E8">
        <w:rPr>
          <w:rFonts w:ascii="Times New Roman" w:hAnsi="Times New Roman"/>
        </w:rPr>
        <w:t xml:space="preserve">) in 2011 for ME and FE, respectively </w:t>
      </w:r>
      <w:r w:rsidR="00D63AB0" w:rsidRPr="00BB291B">
        <w:rPr>
          <w:rFonts w:ascii="Times New Roman" w:hAnsi="Times New Roman"/>
        </w:rPr>
        <w:t>(</w:t>
      </w:r>
      <w:r w:rsidR="00067C27">
        <w:rPr>
          <w:rFonts w:ascii="Times New Roman" w:hAnsi="Times New Roman"/>
        </w:rPr>
        <w:t xml:space="preserve">see SI, </w:t>
      </w:r>
      <w:r w:rsidR="00D63AB0" w:rsidRPr="00BB291B">
        <w:rPr>
          <w:rFonts w:ascii="Times New Roman" w:hAnsi="Times New Roman"/>
        </w:rPr>
        <w:t>figure 1, right)</w:t>
      </w:r>
      <w:r w:rsidRPr="00BB291B">
        <w:rPr>
          <w:rFonts w:ascii="Times New Roman" w:hAnsi="Times New Roman"/>
        </w:rPr>
        <w:t xml:space="preserve">. </w:t>
      </w:r>
      <w:r w:rsidR="0052515C">
        <w:rPr>
          <w:rFonts w:ascii="Times New Roman" w:hAnsi="Times New Roman"/>
        </w:rPr>
        <w:t>These global trade shares</w:t>
      </w:r>
      <w:r w:rsidR="00E62944">
        <w:rPr>
          <w:rFonts w:ascii="Times New Roman" w:hAnsi="Times New Roman"/>
        </w:rPr>
        <w:t xml:space="preserve"> are </w:t>
      </w:r>
      <w:r w:rsidR="0052515C">
        <w:rPr>
          <w:rFonts w:ascii="Times New Roman" w:hAnsi="Times New Roman"/>
        </w:rPr>
        <w:t xml:space="preserve">comparable to previous studies. For example, </w:t>
      </w:r>
      <w:r w:rsidR="00E62944">
        <w:rPr>
          <w:rFonts w:ascii="Times New Roman" w:hAnsi="Times New Roman"/>
        </w:rPr>
        <w:t>Oita et al. (2016)</w:t>
      </w:r>
      <w:r w:rsidR="00E62944">
        <w:rPr>
          <w:rFonts w:ascii="Times New Roman" w:hAnsi="Times New Roman"/>
        </w:rPr>
        <w:fldChar w:fldCharType="begin" w:fldLock="1"/>
      </w:r>
      <w:r w:rsidR="000F4114">
        <w:rPr>
          <w:rFonts w:ascii="Times New Roman" w:hAnsi="Times New Roman"/>
        </w:rPr>
        <w:instrText>ADDIN CSL_CITATION { "citationItems" : [ { "id" : "ITEM-1", "itemData" : { "DOI" : "10.1038/ngeo2635", "ISBN" : "9789264185715", "ISSN" : "1752-0894", "abstract" : "Anthropogenic emissions of reactive nitrogen to the atmo- sphere and water bodies can damage human health and ecosystems1,2 . As a measure of a nation\u2019s contribution to this potential damage, a country\u2019s nitrogen footprint has been defined as the quantity of reactive nitrogen emitted during the production, consumption and transportation of commodities consumed within that country, whether those commodities are produced domestically or internationally3 . Here we use global emissions databases4,5 , a global nitrogen cycle model6 , and a global input\u2013output database of domestic and international trade7,8 to calculate the nitrogen footprints for 188 countries as the sum of emissions of ammonia, nitrogen oxides and nitrous oxide to the atmosphere, and of nitrogen potentially exportable to water bodies. Per-capita footprints range from under 7 kgNyr\u22121 in some developing countries to over 100kgNyr\u22121 in some wealthy nations. Consumption in China, India, the United States and Brazil is responsible for 46% of global emissions. Roughly a quarter of the global nitrogen footprint is from commodities that were traded across country borders. The main net exporters have significant agricultural, food and textile exports, and are often developing countries, whereas important net importers are almost exclusively developed economies. We conclude that substantial local nitrogen pollution is driven by demand from consumers in other countries.", "author" : [ { "dropping-particle" : "", "family" : "Oita", "given" : "Azusa", "non-dropping-particle" : "", "parse-names" : false, "suffix" : "" }, { "dropping-particle" : "", "family" : "Malik", "given" : "Arunima", "non-dropping-particle" : "", "parse-names" : false, "suffix" : "" }, { "dropping-particle" : "", "family" : "Kanemoto", "given" : "Keiichiro", "non-dropping-particle" : "", "parse-names" : false, "suffix" : "" }, { "dropping-particle" : "", "family" : "Geschke", "given" : "Arne", "non-dropping-particle" : "", "parse-names" : false, "suffix" : "" }, { "dropping-particle" : "", "family" : "Nishijima", "given" : "Shota", "non-dropping-particle" : "", "parse-names" : false, "suffix" : "" }, { "dropping-particle" : "", "family" : "Lenzen", "given" : "Manfred", "non-dropping-particle" : "", "parse-names" : false, "suffix" : "" } ], "container-title" : "Nature Geoscience", "id" : "ITEM-1", "issue" : "January", "issued" : { "date-parts" : [ [ "2016" ] ] }, "page" : "111\u2013115", "title" : "Substantial nitrogen pollution embedded in international trade", "type" : "article-journal", "volume" : "9" }, "uris" : [ "http://www.mendeley.com/documents/?uuid=2dd8a226-190d-4964-97d0-0bd9309016a1" ] } ], "mendeley" : { "formattedCitation" : "&lt;sup&gt;21&lt;/sup&gt;", "plainTextFormattedCitation" : "21", "previouslyFormattedCitation" : "&lt;sup&gt;21&lt;/sup&gt;" }, "properties" : {  }, "schema" : "https://github.com/citation-style-language/schema/raw/master/csl-citation.json" }</w:instrText>
      </w:r>
      <w:r w:rsidR="00E62944">
        <w:rPr>
          <w:rFonts w:ascii="Times New Roman" w:hAnsi="Times New Roman"/>
        </w:rPr>
        <w:fldChar w:fldCharType="separate"/>
      </w:r>
      <w:r w:rsidR="00E62944" w:rsidRPr="0057048C">
        <w:rPr>
          <w:rFonts w:ascii="Times New Roman" w:hAnsi="Times New Roman"/>
          <w:noProof/>
          <w:vertAlign w:val="superscript"/>
        </w:rPr>
        <w:t>21</w:t>
      </w:r>
      <w:r w:rsidR="00E62944">
        <w:rPr>
          <w:rFonts w:ascii="Times New Roman" w:hAnsi="Times New Roman"/>
        </w:rPr>
        <w:fldChar w:fldCharType="end"/>
      </w:r>
      <w:r w:rsidR="00E62944">
        <w:rPr>
          <w:rFonts w:ascii="Times New Roman" w:hAnsi="Times New Roman"/>
        </w:rPr>
        <w:t xml:space="preserve"> found, in 2010, 26% reactive nitrogen embodied in global trade and Mekonnen et al. (2016)</w:t>
      </w:r>
      <w:r w:rsidR="00E62944">
        <w:rPr>
          <w:rFonts w:ascii="Times New Roman" w:hAnsi="Times New Roman"/>
        </w:rPr>
        <w:fldChar w:fldCharType="begin" w:fldLock="1"/>
      </w:r>
      <w:r w:rsidR="000F4114">
        <w:rPr>
          <w:rFonts w:ascii="Times New Roman" w:hAnsi="Times New Roman"/>
        </w:rPr>
        <w:instrText>ADDIN CSL_CITATION { "citationItems" : [ { "id" : "ITEM-1", "itemData" : { "DOI" : "10.3390/w8010030", "ISBN" : "2073-4441", "ISSN" : "20734441", "abstract" : "Water is a prerequisite for life on our planet. Due to climate change and pollution, water availability for agricultural production, industry and households is increasingly put at risk. With agriculture being the largest water user as well as polluter worldwide, we estimate anthropogenic nitrogen and phosphorus emissions to fresh water related to global crop production at a spatial resolution level of 5 by 5 arc min and calculate the grey water footprints (GWF) related to EU-27's crop production. A multiregional input-output model is used to trace the the GWF embodied in the final consumption of crop products by the EU-27. The total GWF related to crop production in the EU-27 in 2007 was 1 1012 m3/year. Spain contributed about 40% to this total. Production of cereals (wheat, rice and other cereals) take the largest share, accounting for 30% of the GWF, followed by fruits (17%), vegetables (14%), and oil crops (13%). The total agricultural GWF of the EU-27 related to crop consumption was 1830 billion m3/year, which is 3700 m3/year per capita on average. Overall, the EU-27 was able to externalize about 41% of the GWF to the rest of the world through imports of crop products.", "author" : [ { "dropping-particle" : "", "family" : "Mekonnen", "given" : "Mesfin M.", "non-dropping-particle" : "", "parse-names" : false, "suffix" : "" }, { "dropping-particle" : "", "family" : "Lutter", "given" : "Stephan", "non-dropping-particle" : "", "parse-names" : false, "suffix" : "" }, { "dropping-particle" : "", "family" : "Martinez", "given" : "Aldo", "non-dropping-particle" : "", "parse-names" : false, "suffix" : "" } ], "container-title" : "Water", "id" : "ITEM-1", "issue" : "1", "issued" : { "date-parts" : [ [ "2016" ] ] }, "note" : "NULL", "page" : "1-14", "title" : "Anthropogenic nitrogen and phosphorus emissions and related grey water footprints caused by EU-27's crop production and consumption", "type" : "article-journal", "volume" : "8" }, "uris" : [ "http://www.mendeley.com/documents/?uuid=05cdc164-eca2-4e6c-9c1a-58cca12f665e" ] } ], "mendeley" : { "formattedCitation" : "&lt;sup&gt;20&lt;/sup&gt;", "plainTextFormattedCitation" : "20", "previouslyFormattedCitation" : "&lt;sup&gt;20&lt;/sup&gt;" }, "properties" : {  }, "schema" : "https://github.com/citation-style-language/schema/raw/master/csl-citation.json" }</w:instrText>
      </w:r>
      <w:r w:rsidR="00E62944">
        <w:rPr>
          <w:rFonts w:ascii="Times New Roman" w:hAnsi="Times New Roman"/>
        </w:rPr>
        <w:fldChar w:fldCharType="separate"/>
      </w:r>
      <w:r w:rsidR="00E62944" w:rsidRPr="0057048C">
        <w:rPr>
          <w:rFonts w:ascii="Times New Roman" w:hAnsi="Times New Roman"/>
          <w:noProof/>
          <w:vertAlign w:val="superscript"/>
        </w:rPr>
        <w:t>20</w:t>
      </w:r>
      <w:r w:rsidR="00E62944">
        <w:rPr>
          <w:rFonts w:ascii="Times New Roman" w:hAnsi="Times New Roman"/>
        </w:rPr>
        <w:fldChar w:fldCharType="end"/>
      </w:r>
      <w:r w:rsidR="00E62944">
        <w:rPr>
          <w:rFonts w:ascii="Times New Roman" w:hAnsi="Times New Roman"/>
        </w:rPr>
        <w:t xml:space="preserve"> found, in 2007, 41% of P and N emissions (termed grey water footprint) embodied in the </w:t>
      </w:r>
      <w:r w:rsidR="00510111">
        <w:rPr>
          <w:rFonts w:ascii="Times New Roman" w:hAnsi="Times New Roman"/>
        </w:rPr>
        <w:t>European Union’s (EU)</w:t>
      </w:r>
      <w:r w:rsidR="00E62944">
        <w:rPr>
          <w:rFonts w:ascii="Times New Roman" w:hAnsi="Times New Roman"/>
        </w:rPr>
        <w:t xml:space="preserve"> consumption of imported goods, </w:t>
      </w:r>
      <w:r w:rsidR="00E62944" w:rsidRPr="00E62944">
        <w:rPr>
          <w:rFonts w:ascii="Times New Roman" w:hAnsi="Times New Roman"/>
        </w:rPr>
        <w:t>where we find 46% for ME and 70%</w:t>
      </w:r>
      <w:r w:rsidR="00E62944">
        <w:rPr>
          <w:rFonts w:ascii="Times New Roman" w:hAnsi="Times New Roman"/>
        </w:rPr>
        <w:t xml:space="preserve"> for FE for the same year.</w:t>
      </w:r>
      <w:r w:rsidR="00720086">
        <w:rPr>
          <w:rFonts w:ascii="Times New Roman" w:hAnsi="Times New Roman"/>
        </w:rPr>
        <w:t xml:space="preserve"> </w:t>
      </w:r>
      <w:r w:rsidR="001B3B86">
        <w:rPr>
          <w:rFonts w:ascii="Times New Roman" w:hAnsi="Times New Roman"/>
        </w:rPr>
        <w:t xml:space="preserve">Furthermore, we find that only a few countries and regions </w:t>
      </w:r>
      <w:r w:rsidR="00870216">
        <w:rPr>
          <w:rFonts w:ascii="Times New Roman" w:hAnsi="Times New Roman"/>
        </w:rPr>
        <w:t>bear the majority of impacts for the production of traded commodities. For example, China, Eastern Europe and Asia and Pacific account for 48% of all traded ME impacts.</w:t>
      </w:r>
    </w:p>
    <w:p w14:paraId="020F6785" w14:textId="1D321BC4" w:rsidR="00A6402F" w:rsidRPr="00573215" w:rsidRDefault="00720086" w:rsidP="00B018A6">
      <w:r w:rsidRPr="00DB232D">
        <w:rPr>
          <w:rFonts w:ascii="Times New Roman" w:hAnsi="Times New Roman"/>
        </w:rPr>
        <w:t>Out of the global traded impacts</w:t>
      </w:r>
      <w:r w:rsidR="007B3FFB">
        <w:rPr>
          <w:rFonts w:ascii="Times New Roman" w:hAnsi="Times New Roman"/>
        </w:rPr>
        <w:t xml:space="preserve">, </w:t>
      </w:r>
      <w:r w:rsidR="00DB232D" w:rsidRPr="00DB232D">
        <w:rPr>
          <w:rFonts w:ascii="Times New Roman" w:hAnsi="Times New Roman"/>
        </w:rPr>
        <w:t>49%</w:t>
      </w:r>
      <w:r w:rsidRPr="00DB232D">
        <w:rPr>
          <w:rFonts w:ascii="Times New Roman" w:hAnsi="Times New Roman"/>
        </w:rPr>
        <w:t xml:space="preserve"> </w:t>
      </w:r>
      <w:r w:rsidR="00E62944">
        <w:rPr>
          <w:rFonts w:ascii="Times New Roman" w:hAnsi="Times New Roman"/>
        </w:rPr>
        <w:t>was</w:t>
      </w:r>
      <w:r w:rsidR="000F1C71">
        <w:rPr>
          <w:rFonts w:ascii="Times New Roman" w:hAnsi="Times New Roman"/>
        </w:rPr>
        <w:t xml:space="preserve"> </w:t>
      </w:r>
      <w:r w:rsidR="007B3FFB">
        <w:rPr>
          <w:rFonts w:ascii="Times New Roman" w:hAnsi="Times New Roman"/>
        </w:rPr>
        <w:t xml:space="preserve">due to </w:t>
      </w:r>
      <w:r w:rsidRPr="00DB232D">
        <w:rPr>
          <w:rFonts w:ascii="Times New Roman" w:hAnsi="Times New Roman"/>
        </w:rPr>
        <w:t>non-food</w:t>
      </w:r>
      <w:r w:rsidR="000F1C71">
        <w:rPr>
          <w:rFonts w:ascii="Times New Roman" w:hAnsi="Times New Roman"/>
        </w:rPr>
        <w:t xml:space="preserve"> consumption</w:t>
      </w:r>
      <w:r w:rsidR="00DB232D" w:rsidRPr="00DB232D">
        <w:rPr>
          <w:rFonts w:ascii="Times New Roman" w:hAnsi="Times New Roman"/>
        </w:rPr>
        <w:t xml:space="preserve"> for both ME and FE</w:t>
      </w:r>
      <w:r w:rsidR="00094BA1">
        <w:rPr>
          <w:rFonts w:ascii="Times New Roman" w:hAnsi="Times New Roman"/>
        </w:rPr>
        <w:t xml:space="preserve"> in 2011</w:t>
      </w:r>
      <w:r w:rsidRPr="00DB232D">
        <w:rPr>
          <w:rFonts w:ascii="Times New Roman" w:hAnsi="Times New Roman"/>
        </w:rPr>
        <w:t>.</w:t>
      </w:r>
      <w:r>
        <w:rPr>
          <w:rFonts w:ascii="Times New Roman" w:hAnsi="Times New Roman"/>
        </w:rPr>
        <w:t xml:space="preserve"> </w:t>
      </w:r>
      <w:r w:rsidR="00D871CB">
        <w:rPr>
          <w:rFonts w:ascii="Times New Roman" w:hAnsi="Times New Roman"/>
        </w:rPr>
        <w:t xml:space="preserve">This is a substantial increase from 2000 values, highlighting </w:t>
      </w:r>
      <w:r w:rsidR="001A68F4">
        <w:rPr>
          <w:rFonts w:ascii="Times New Roman" w:hAnsi="Times New Roman"/>
        </w:rPr>
        <w:t>the increasing</w:t>
      </w:r>
      <w:r w:rsidR="00CF7421">
        <w:t xml:space="preserve"> importance of </w:t>
      </w:r>
      <w:r w:rsidR="00F31EDD">
        <w:t xml:space="preserve">non-food </w:t>
      </w:r>
      <w:r w:rsidR="00CF7421">
        <w:t xml:space="preserve">trade for both </w:t>
      </w:r>
      <w:r w:rsidR="00AC0746">
        <w:t>ME</w:t>
      </w:r>
      <w:r w:rsidR="00F911E2">
        <w:t xml:space="preserve"> and </w:t>
      </w:r>
      <w:r w:rsidR="00AC0746">
        <w:t>FE</w:t>
      </w:r>
      <w:r w:rsidR="00A6402F">
        <w:t xml:space="preserve"> (figure 2, right). </w:t>
      </w:r>
      <w:r w:rsidR="008C1C94">
        <w:t>T</w:t>
      </w:r>
      <w:r w:rsidR="00A6402F">
        <w:t xml:space="preserve">he </w:t>
      </w:r>
      <w:r w:rsidR="00AC0746">
        <w:t>ME</w:t>
      </w:r>
      <w:r w:rsidR="00A6402F">
        <w:t xml:space="preserve"> impacts embodied in </w:t>
      </w:r>
      <w:r w:rsidR="00C40E12">
        <w:t>non-food</w:t>
      </w:r>
      <w:r w:rsidR="00A6402F">
        <w:t xml:space="preserve"> trade</w:t>
      </w:r>
      <w:r w:rsidR="0018577F">
        <w:t xml:space="preserve"> even </w:t>
      </w:r>
      <w:r w:rsidR="00A6402F">
        <w:t>surpassed food trade in 200</w:t>
      </w:r>
      <w:r w:rsidR="000C238B">
        <w:t xml:space="preserve">7, </w:t>
      </w:r>
      <w:r w:rsidR="005B5972">
        <w:t xml:space="preserve">primarily driven by </w:t>
      </w:r>
      <w:r w:rsidR="00C57C9C">
        <w:t xml:space="preserve">the </w:t>
      </w:r>
      <w:r w:rsidR="005B5972">
        <w:t>U.S. consumption of Chinese produced clothing, leather, fur and furniture and Asia</w:t>
      </w:r>
      <w:r w:rsidR="00573215">
        <w:t>n</w:t>
      </w:r>
      <w:r w:rsidR="0018577F">
        <w:t xml:space="preserve"> (excluding</w:t>
      </w:r>
      <w:r w:rsidR="005B5972">
        <w:t xml:space="preserve"> China) consumption of Chinese</w:t>
      </w:r>
      <w:r w:rsidR="00B230C6">
        <w:t xml:space="preserve"> produced</w:t>
      </w:r>
      <w:r w:rsidR="005B5972">
        <w:t xml:space="preserve"> </w:t>
      </w:r>
      <w:r w:rsidR="00AA6615">
        <w:t>textiles and clothing</w:t>
      </w:r>
      <w:r w:rsidR="00391E07">
        <w:t xml:space="preserve"> (refer to the SI data file for data)</w:t>
      </w:r>
      <w:r w:rsidR="00AA6615">
        <w:t>.</w:t>
      </w:r>
      <w:r w:rsidR="002D2B5A">
        <w:t xml:space="preserve"> However, this upsurge was </w:t>
      </w:r>
      <w:r w:rsidR="00B230C6">
        <w:t>abruptly</w:t>
      </w:r>
      <w:r w:rsidR="002D2B5A">
        <w:t xml:space="preserve"> stalled due to the </w:t>
      </w:r>
      <w:r w:rsidR="000F1C71">
        <w:t>economic recession</w:t>
      </w:r>
      <w:r w:rsidR="00B230C6">
        <w:t xml:space="preserve">, as seen from the sharp decline </w:t>
      </w:r>
      <w:r w:rsidR="002D2B5A">
        <w:t xml:space="preserve">in traded embodied </w:t>
      </w:r>
      <w:r w:rsidR="00E50E2D">
        <w:t xml:space="preserve">non-food </w:t>
      </w:r>
      <w:r w:rsidR="002D2B5A">
        <w:t>impacts</w:t>
      </w:r>
      <w:r w:rsidR="00573215">
        <w:t xml:space="preserve"> from 2008 to 2009</w:t>
      </w:r>
      <w:r w:rsidR="00D76B22">
        <w:t xml:space="preserve"> (figure 2, right)</w:t>
      </w:r>
      <w:r w:rsidR="00B230C6">
        <w:t>. The downturn was</w:t>
      </w:r>
      <w:r w:rsidR="002D2B5A">
        <w:t xml:space="preserve"> largely because of </w:t>
      </w:r>
      <w:r w:rsidR="002D2B5A" w:rsidRPr="00D76B22">
        <w:t xml:space="preserve">the </w:t>
      </w:r>
      <w:r w:rsidR="00D76B22">
        <w:t xml:space="preserve">respective </w:t>
      </w:r>
      <w:r w:rsidR="00D76B22" w:rsidRPr="00D76B22">
        <w:t>21</w:t>
      </w:r>
      <w:r w:rsidR="002D2B5A" w:rsidRPr="00D76B22">
        <w:t>%</w:t>
      </w:r>
      <w:r w:rsidR="00D76B22">
        <w:t xml:space="preserve"> and 32%</w:t>
      </w:r>
      <w:r w:rsidR="002D2B5A" w:rsidRPr="00D76B22">
        <w:t xml:space="preserve"> decrease in </w:t>
      </w:r>
      <w:r w:rsidR="00D76B22">
        <w:t xml:space="preserve">impacts embodied in </w:t>
      </w:r>
      <w:r w:rsidR="002D2B5A" w:rsidRPr="00D76B22">
        <w:t xml:space="preserve">non-food exports </w:t>
      </w:r>
      <w:r w:rsidR="00306AAC">
        <w:t xml:space="preserve">(primarily clothing, leather and furniture) </w:t>
      </w:r>
      <w:r w:rsidR="00D76B22">
        <w:t xml:space="preserve">from China </w:t>
      </w:r>
      <w:r w:rsidR="002D2B5A" w:rsidRPr="00D76B22">
        <w:t xml:space="preserve">and </w:t>
      </w:r>
      <w:r w:rsidR="00D76B22">
        <w:t xml:space="preserve">other Asian countries </w:t>
      </w:r>
      <w:r w:rsidR="002D2B5A">
        <w:t xml:space="preserve">to the U.S. </w:t>
      </w:r>
      <w:r w:rsidR="00A6402F">
        <w:t>Despite the decline</w:t>
      </w:r>
      <w:r w:rsidR="00573215">
        <w:t xml:space="preserve"> in U.S. consumption over this period</w:t>
      </w:r>
      <w:r w:rsidR="00A6402F">
        <w:t>, growth was seen in a few regions</w:t>
      </w:r>
      <w:r w:rsidR="009F583B">
        <w:t xml:space="preserve">, e.g. the increased consumption of </w:t>
      </w:r>
      <w:r w:rsidR="00B230C6">
        <w:t xml:space="preserve">Eastern European </w:t>
      </w:r>
      <w:r w:rsidR="009F583B">
        <w:t>non-food</w:t>
      </w:r>
      <w:r w:rsidR="00B230C6">
        <w:t xml:space="preserve"> products</w:t>
      </w:r>
      <w:r w:rsidR="00071B6F" w:rsidRPr="00071B6F">
        <w:t xml:space="preserve"> </w:t>
      </w:r>
      <w:r w:rsidR="00071B6F">
        <w:t>by the Middle East and Africa (mostly</w:t>
      </w:r>
      <w:r w:rsidR="005115BC">
        <w:t xml:space="preserve"> </w:t>
      </w:r>
      <w:r w:rsidR="009F583B">
        <w:t>chemicals and</w:t>
      </w:r>
      <w:r w:rsidR="00B230C6">
        <w:t xml:space="preserve"> construction materials</w:t>
      </w:r>
      <w:r w:rsidR="00071B6F">
        <w:t>)</w:t>
      </w:r>
      <w:r w:rsidR="00A6402F">
        <w:t xml:space="preserve">. Nonetheless, after 2009, </w:t>
      </w:r>
      <w:r w:rsidR="00573215">
        <w:t>the U.S.</w:t>
      </w:r>
      <w:r w:rsidR="0018577F">
        <w:t xml:space="preserve"> and other economie</w:t>
      </w:r>
      <w:r w:rsidR="00573215">
        <w:t xml:space="preserve">s </w:t>
      </w:r>
      <w:r w:rsidR="00A6402F">
        <w:t xml:space="preserve">recovered and, since, the importance of </w:t>
      </w:r>
      <w:r w:rsidR="00C40E12">
        <w:t>non-food</w:t>
      </w:r>
      <w:r w:rsidR="00A6402F">
        <w:t xml:space="preserve"> trade appears to be ever increasing. </w:t>
      </w:r>
    </w:p>
    <w:p w14:paraId="20A95E5A" w14:textId="2E3A3C0A" w:rsidR="000F1C71" w:rsidRPr="008657C2" w:rsidRDefault="008657C2" w:rsidP="00B13427">
      <w:r w:rsidRPr="008657C2">
        <w:t xml:space="preserve">With regards to impacts from traded food, we find that for both ME and FE the impacts stay relatively stable over time. One exception is the slight upturn for ME traded food impacts from 2009 to 2011. This </w:t>
      </w:r>
      <w:r>
        <w:t>was primarily due to increased food</w:t>
      </w:r>
      <w:r w:rsidR="00155C4C">
        <w:t xml:space="preserve"> imports</w:t>
      </w:r>
      <w:r>
        <w:t xml:space="preserve"> by Spain and Russia</w:t>
      </w:r>
      <w:r w:rsidR="00155C4C">
        <w:t xml:space="preserve"> from Eastern Europe and Asia, respectively. </w:t>
      </w:r>
    </w:p>
    <w:p w14:paraId="2839E7E5" w14:textId="304647DE" w:rsidR="00C45EBE" w:rsidRPr="00835613" w:rsidRDefault="00720086" w:rsidP="00720086">
      <w:pPr>
        <w:autoSpaceDE w:val="0"/>
        <w:autoSpaceDN w:val="0"/>
        <w:adjustRightInd w:val="0"/>
        <w:spacing w:before="100" w:beforeAutospacing="1" w:after="100" w:afterAutospacing="1"/>
        <w:rPr>
          <w:rFonts w:ascii="Times New Roman" w:hAnsi="Times New Roman"/>
        </w:rPr>
      </w:pPr>
      <w:r w:rsidRPr="006B0288">
        <w:rPr>
          <w:rFonts w:ascii="Times New Roman" w:hAnsi="Times New Roman"/>
        </w:rPr>
        <w:t>At a continent level we find that the top displacement</w:t>
      </w:r>
      <w:r w:rsidR="007B3FFB">
        <w:rPr>
          <w:rFonts w:ascii="Times New Roman" w:hAnsi="Times New Roman"/>
        </w:rPr>
        <w:t xml:space="preserve"> </w:t>
      </w:r>
      <w:r w:rsidRPr="006B0288">
        <w:rPr>
          <w:rFonts w:ascii="Times New Roman" w:hAnsi="Times New Roman"/>
        </w:rPr>
        <w:t>of ME impacts</w:t>
      </w:r>
      <w:r w:rsidR="000B5FEF">
        <w:rPr>
          <w:rFonts w:ascii="Times New Roman" w:hAnsi="Times New Roman"/>
        </w:rPr>
        <w:t xml:space="preserve"> </w:t>
      </w:r>
      <w:r w:rsidRPr="006B0288">
        <w:rPr>
          <w:rFonts w:ascii="Times New Roman" w:hAnsi="Times New Roman"/>
        </w:rPr>
        <w:t xml:space="preserve">is from Asia and Pacific to </w:t>
      </w:r>
      <w:r w:rsidR="00C45EBE" w:rsidRPr="006B0288">
        <w:rPr>
          <w:rFonts w:ascii="Times New Roman" w:hAnsi="Times New Roman"/>
        </w:rPr>
        <w:t>Europe</w:t>
      </w:r>
      <w:r w:rsidR="00D540B8">
        <w:rPr>
          <w:rFonts w:ascii="Times New Roman" w:hAnsi="Times New Roman"/>
        </w:rPr>
        <w:t xml:space="preserve">, </w:t>
      </w:r>
      <w:r w:rsidR="006B0288">
        <w:rPr>
          <w:rFonts w:ascii="Times New Roman" w:hAnsi="Times New Roman"/>
        </w:rPr>
        <w:t>with</w:t>
      </w:r>
      <w:r w:rsidRPr="006B0288">
        <w:rPr>
          <w:rFonts w:ascii="Times New Roman" w:hAnsi="Times New Roman"/>
        </w:rPr>
        <w:t xml:space="preserve"> </w:t>
      </w:r>
      <w:r w:rsidR="006B0288" w:rsidRPr="006B0288">
        <w:rPr>
          <w:rFonts w:ascii="Times New Roman" w:hAnsi="Times New Roman"/>
        </w:rPr>
        <w:t>620 kt</w:t>
      </w:r>
      <w:r w:rsidRPr="006B0288">
        <w:rPr>
          <w:rFonts w:ascii="Times New Roman" w:hAnsi="Times New Roman"/>
        </w:rPr>
        <w:t xml:space="preserve"> N eq. embodied in food and </w:t>
      </w:r>
      <w:r w:rsidR="006B0288" w:rsidRPr="006B0288">
        <w:rPr>
          <w:rFonts w:ascii="Times New Roman" w:hAnsi="Times New Roman"/>
        </w:rPr>
        <w:t>290</w:t>
      </w:r>
      <w:r w:rsidRPr="006B0288">
        <w:rPr>
          <w:rFonts w:ascii="Times New Roman" w:hAnsi="Times New Roman"/>
        </w:rPr>
        <w:t xml:space="preserve"> kt N eq. embodied in non-food</w:t>
      </w:r>
      <w:r w:rsidR="00D540B8">
        <w:rPr>
          <w:rFonts w:ascii="Times New Roman" w:hAnsi="Times New Roman"/>
        </w:rPr>
        <w:t xml:space="preserve"> </w:t>
      </w:r>
      <w:r w:rsidRPr="006B0288">
        <w:rPr>
          <w:rFonts w:ascii="Times New Roman" w:hAnsi="Times New Roman"/>
        </w:rPr>
        <w:t>(figure 2, top left).</w:t>
      </w:r>
      <w:r>
        <w:rPr>
          <w:rFonts w:ascii="Times New Roman" w:hAnsi="Times New Roman"/>
        </w:rPr>
        <w:t xml:space="preserve"> </w:t>
      </w:r>
      <w:r w:rsidR="00C45EBE">
        <w:rPr>
          <w:rFonts w:ascii="Times New Roman" w:hAnsi="Times New Roman"/>
        </w:rPr>
        <w:t>For FE</w:t>
      </w:r>
      <w:r w:rsidR="006B0288">
        <w:rPr>
          <w:rFonts w:ascii="Times New Roman" w:hAnsi="Times New Roman"/>
        </w:rPr>
        <w:t xml:space="preserve">, we find that the top displacement of impacts is </w:t>
      </w:r>
      <w:r w:rsidR="00094BA1">
        <w:rPr>
          <w:rFonts w:ascii="Times New Roman" w:hAnsi="Times New Roman"/>
        </w:rPr>
        <w:t xml:space="preserve">the </w:t>
      </w:r>
      <w:r w:rsidR="006B0288">
        <w:rPr>
          <w:rFonts w:ascii="Times New Roman" w:hAnsi="Times New Roman"/>
        </w:rPr>
        <w:t>European import of eutrophication embodied in commodities from Africa (19 kt P eq. for food and 15 kt P eq. for non-food</w:t>
      </w:r>
      <w:r w:rsidR="00094BA1">
        <w:rPr>
          <w:rFonts w:ascii="Times New Roman" w:hAnsi="Times New Roman"/>
        </w:rPr>
        <w:t>; figure 2, bottom left</w:t>
      </w:r>
      <w:r w:rsidR="006B0288">
        <w:rPr>
          <w:rFonts w:ascii="Times New Roman" w:hAnsi="Times New Roman"/>
        </w:rPr>
        <w:t xml:space="preserve">). </w:t>
      </w:r>
      <w:r w:rsidR="00071B6F">
        <w:rPr>
          <w:rFonts w:ascii="Times New Roman" w:hAnsi="Times New Roman"/>
        </w:rPr>
        <w:t>T</w:t>
      </w:r>
      <w:r w:rsidR="00835613">
        <w:rPr>
          <w:rFonts w:ascii="Times New Roman" w:hAnsi="Times New Roman"/>
        </w:rPr>
        <w:t>hese European</w:t>
      </w:r>
      <w:r w:rsidR="00094BA1">
        <w:rPr>
          <w:rFonts w:ascii="Times New Roman" w:hAnsi="Times New Roman"/>
        </w:rPr>
        <w:t>-level</w:t>
      </w:r>
      <w:r w:rsidR="00835613">
        <w:rPr>
          <w:rFonts w:ascii="Times New Roman" w:hAnsi="Times New Roman"/>
        </w:rPr>
        <w:t xml:space="preserve"> eutrophication displacements are primarily driven by EU consumption (96% of the total displacement for both ME and FE). In </w:t>
      </w:r>
      <w:r w:rsidR="00094BA1">
        <w:rPr>
          <w:rFonts w:ascii="Times New Roman" w:hAnsi="Times New Roman"/>
        </w:rPr>
        <w:t xml:space="preserve">fact, </w:t>
      </w:r>
      <w:r w:rsidR="00835613">
        <w:rPr>
          <w:rFonts w:ascii="Times New Roman" w:hAnsi="Times New Roman"/>
        </w:rPr>
        <w:t>EU consumption</w:t>
      </w:r>
      <w:r w:rsidR="00094BA1">
        <w:rPr>
          <w:rFonts w:ascii="Times New Roman" w:hAnsi="Times New Roman"/>
        </w:rPr>
        <w:t xml:space="preserve"> represented 28% and 33% of total </w:t>
      </w:r>
      <w:r w:rsidR="00835613">
        <w:rPr>
          <w:rFonts w:ascii="Times New Roman" w:hAnsi="Times New Roman"/>
        </w:rPr>
        <w:t>ME and FE traded impacts (both food and non-food)</w:t>
      </w:r>
      <w:r w:rsidR="005D4998">
        <w:rPr>
          <w:rFonts w:ascii="Times New Roman" w:hAnsi="Times New Roman"/>
        </w:rPr>
        <w:t xml:space="preserve">. </w:t>
      </w:r>
      <w:r w:rsidR="00B071B8">
        <w:rPr>
          <w:rFonts w:ascii="Times New Roman" w:hAnsi="Times New Roman"/>
        </w:rPr>
        <w:t xml:space="preserve">This </w:t>
      </w:r>
      <w:r w:rsidR="00C7167F">
        <w:rPr>
          <w:rFonts w:ascii="Times New Roman" w:hAnsi="Times New Roman"/>
        </w:rPr>
        <w:t>highlight</w:t>
      </w:r>
      <w:r w:rsidR="00B071B8">
        <w:rPr>
          <w:rFonts w:ascii="Times New Roman" w:hAnsi="Times New Roman"/>
        </w:rPr>
        <w:t>s</w:t>
      </w:r>
      <w:r w:rsidR="00C7167F">
        <w:rPr>
          <w:rFonts w:ascii="Times New Roman" w:hAnsi="Times New Roman"/>
        </w:rPr>
        <w:t xml:space="preserve"> i) the EU’s high exposure to trade and ii) their strong role in driving traded related eutrophication impacts.</w:t>
      </w:r>
    </w:p>
    <w:p w14:paraId="659FB862" w14:textId="77777777" w:rsidR="00E3106F" w:rsidRDefault="00E3106F" w:rsidP="00B13427">
      <w:pPr>
        <w:rPr>
          <w:rFonts w:ascii="Times New Roman" w:hAnsi="Times New Roman"/>
        </w:rPr>
        <w:sectPr w:rsidR="00E3106F" w:rsidSect="00B018A6">
          <w:footerReference w:type="even" r:id="rId9"/>
          <w:footerReference w:type="default" r:id="rId10"/>
          <w:type w:val="continuous"/>
          <w:pgSz w:w="11907" w:h="16839" w:code="9"/>
          <w:pgMar w:top="1440" w:right="1440" w:bottom="1440" w:left="1440" w:header="720" w:footer="720" w:gutter="0"/>
          <w:lnNumType w:countBy="1" w:restart="continuous"/>
          <w:cols w:space="475"/>
          <w:docGrid w:linePitch="360"/>
        </w:sectPr>
      </w:pPr>
    </w:p>
    <w:p w14:paraId="1EC08C1A" w14:textId="5D172D80" w:rsidR="007C4522" w:rsidRDefault="004D7FAB" w:rsidP="008C39BA">
      <w:pPr>
        <w:tabs>
          <w:tab w:val="left" w:pos="8235"/>
        </w:tabs>
        <w:autoSpaceDE w:val="0"/>
        <w:autoSpaceDN w:val="0"/>
        <w:adjustRightInd w:val="0"/>
        <w:spacing w:before="100" w:beforeAutospacing="1" w:after="100" w:afterAutospacing="1"/>
        <w:rPr>
          <w:rFonts w:ascii="Times New Roman" w:hAnsi="Times New Roman"/>
        </w:rPr>
      </w:pPr>
      <w:r>
        <w:rPr>
          <w:noProof/>
        </w:rPr>
        <w:lastRenderedPageBreak/>
        <w:drawing>
          <wp:anchor distT="0" distB="0" distL="114300" distR="114300" simplePos="0" relativeHeight="251705344" behindDoc="1" locked="0" layoutInCell="1" allowOverlap="1" wp14:anchorId="3A03BB07" wp14:editId="0178EE9C">
            <wp:simplePos x="0" y="0"/>
            <wp:positionH relativeFrom="column">
              <wp:posOffset>428625</wp:posOffset>
            </wp:positionH>
            <wp:positionV relativeFrom="paragraph">
              <wp:posOffset>-374236</wp:posOffset>
            </wp:positionV>
            <wp:extent cx="4744576" cy="2434811"/>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P_final.jpeg"/>
                    <pic:cNvPicPr/>
                  </pic:nvPicPr>
                  <pic:blipFill rotWithShape="1">
                    <a:blip r:embed="rId11" cstate="print">
                      <a:extLst>
                        <a:ext uri="{28A0092B-C50C-407E-A947-70E740481C1C}">
                          <a14:useLocalDpi xmlns:a14="http://schemas.microsoft.com/office/drawing/2010/main" val="0"/>
                        </a:ext>
                      </a:extLst>
                    </a:blip>
                    <a:srcRect l="8147" t="18002" b="19149"/>
                    <a:stretch/>
                  </pic:blipFill>
                  <pic:spPr bwMode="auto">
                    <a:xfrm>
                      <a:off x="0" y="0"/>
                      <a:ext cx="4760040" cy="24427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197E">
        <w:rPr>
          <w:noProof/>
        </w:rPr>
        <w:drawing>
          <wp:anchor distT="0" distB="0" distL="114300" distR="114300" simplePos="0" relativeHeight="251636736" behindDoc="0" locked="0" layoutInCell="1" allowOverlap="1" wp14:anchorId="003A20B0" wp14:editId="711B7E9C">
            <wp:simplePos x="0" y="0"/>
            <wp:positionH relativeFrom="column">
              <wp:posOffset>5067300</wp:posOffset>
            </wp:positionH>
            <wp:positionV relativeFrom="paragraph">
              <wp:posOffset>-552450</wp:posOffset>
            </wp:positionV>
            <wp:extent cx="3728720" cy="2171700"/>
            <wp:effectExtent l="0" t="0" r="508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8C39BA">
        <w:rPr>
          <w:rFonts w:ascii="Times New Roman" w:hAnsi="Times New Roman"/>
        </w:rPr>
        <w:tab/>
      </w:r>
    </w:p>
    <w:p w14:paraId="5BCB973D" w14:textId="12C42D38" w:rsidR="007C4522" w:rsidRDefault="00E076EE" w:rsidP="008C39BA">
      <w:pPr>
        <w:tabs>
          <w:tab w:val="left" w:pos="8220"/>
          <w:tab w:val="left" w:pos="8325"/>
        </w:tabs>
        <w:autoSpaceDE w:val="0"/>
        <w:autoSpaceDN w:val="0"/>
        <w:adjustRightInd w:val="0"/>
        <w:spacing w:before="100" w:beforeAutospacing="1" w:after="100" w:afterAutospacing="1"/>
        <w:rPr>
          <w:rFonts w:ascii="Times New Roman" w:hAnsi="Times New Roman"/>
        </w:rPr>
      </w:pPr>
      <w:r>
        <w:rPr>
          <w:noProof/>
        </w:rPr>
        <w:drawing>
          <wp:anchor distT="0" distB="0" distL="114300" distR="114300" simplePos="0" relativeHeight="251652096" behindDoc="1" locked="0" layoutInCell="1" allowOverlap="1" wp14:anchorId="4F8E8453" wp14:editId="383AD18E">
            <wp:simplePos x="0" y="0"/>
            <wp:positionH relativeFrom="column">
              <wp:posOffset>228600</wp:posOffset>
            </wp:positionH>
            <wp:positionV relativeFrom="paragraph">
              <wp:posOffset>285750</wp:posOffset>
            </wp:positionV>
            <wp:extent cx="457200" cy="1177290"/>
            <wp:effectExtent l="0" t="0" r="0" b="3810"/>
            <wp:wrapTight wrapText="bothSides">
              <wp:wrapPolygon edited="0">
                <wp:start x="0" y="0"/>
                <wp:lineTo x="0" y="21320"/>
                <wp:lineTo x="20700" y="21320"/>
                <wp:lineTo x="207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P_FP_Map_26.02.jpeg"/>
                    <pic:cNvPicPr/>
                  </pic:nvPicPr>
                  <pic:blipFill rotWithShape="1">
                    <a:blip r:embed="rId13" cstate="print">
                      <a:extLst>
                        <a:ext uri="{28A0092B-C50C-407E-A947-70E740481C1C}">
                          <a14:useLocalDpi xmlns:a14="http://schemas.microsoft.com/office/drawing/2010/main" val="0"/>
                        </a:ext>
                      </a:extLst>
                    </a:blip>
                    <a:srcRect t="71229" r="91620"/>
                    <a:stretch/>
                  </pic:blipFill>
                  <pic:spPr bwMode="auto">
                    <a:xfrm>
                      <a:off x="0" y="0"/>
                      <a:ext cx="457200" cy="1177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39BA">
        <w:rPr>
          <w:rFonts w:ascii="Times New Roman" w:hAnsi="Times New Roman"/>
        </w:rPr>
        <w:tab/>
      </w:r>
      <w:r w:rsidR="008C39BA">
        <w:rPr>
          <w:rFonts w:ascii="Times New Roman" w:hAnsi="Times New Roman"/>
        </w:rPr>
        <w:tab/>
      </w:r>
    </w:p>
    <w:p w14:paraId="2C75D82D" w14:textId="16B65B3C" w:rsidR="007C4522" w:rsidRDefault="005D17AD" w:rsidP="005D17AD">
      <w:pPr>
        <w:tabs>
          <w:tab w:val="left" w:pos="11670"/>
        </w:tabs>
        <w:autoSpaceDE w:val="0"/>
        <w:autoSpaceDN w:val="0"/>
        <w:adjustRightInd w:val="0"/>
        <w:spacing w:before="100" w:beforeAutospacing="1" w:after="100" w:afterAutospacing="1"/>
        <w:rPr>
          <w:rFonts w:ascii="Times New Roman" w:hAnsi="Times New Roman"/>
        </w:rPr>
      </w:pPr>
      <w:r>
        <w:rPr>
          <w:rFonts w:ascii="Times New Roman" w:hAnsi="Times New Roman"/>
        </w:rPr>
        <w:tab/>
      </w:r>
    </w:p>
    <w:p w14:paraId="3FF30818" w14:textId="699E611E" w:rsidR="007C4522" w:rsidRDefault="005D17AD" w:rsidP="005D17AD">
      <w:pPr>
        <w:tabs>
          <w:tab w:val="left" w:pos="11670"/>
        </w:tabs>
        <w:autoSpaceDE w:val="0"/>
        <w:autoSpaceDN w:val="0"/>
        <w:adjustRightInd w:val="0"/>
        <w:spacing w:before="100" w:beforeAutospacing="1" w:after="100" w:afterAutospacing="1"/>
        <w:rPr>
          <w:rFonts w:ascii="Times New Roman" w:hAnsi="Times New Roman"/>
        </w:rPr>
      </w:pPr>
      <w:r>
        <w:rPr>
          <w:rFonts w:ascii="Times New Roman" w:hAnsi="Times New Roman"/>
        </w:rPr>
        <w:tab/>
      </w:r>
    </w:p>
    <w:p w14:paraId="698A6113" w14:textId="37A4BFF2" w:rsidR="007C4522" w:rsidRDefault="00D94EFC" w:rsidP="007C4522">
      <w:pPr>
        <w:autoSpaceDE w:val="0"/>
        <w:autoSpaceDN w:val="0"/>
        <w:adjustRightInd w:val="0"/>
        <w:spacing w:before="100" w:beforeAutospacing="1" w:after="100" w:afterAutospacing="1"/>
        <w:rPr>
          <w:rFonts w:ascii="Times New Roman" w:hAnsi="Times New Roman"/>
        </w:rPr>
      </w:pPr>
      <w:r>
        <w:rPr>
          <w:noProof/>
        </w:rPr>
        <w:drawing>
          <wp:anchor distT="0" distB="0" distL="114300" distR="114300" simplePos="0" relativeHeight="251631616" behindDoc="1" locked="0" layoutInCell="1" allowOverlap="1" wp14:anchorId="5981F925" wp14:editId="157902A5">
            <wp:simplePos x="0" y="0"/>
            <wp:positionH relativeFrom="column">
              <wp:posOffset>5853165</wp:posOffset>
            </wp:positionH>
            <wp:positionV relativeFrom="paragraph">
              <wp:posOffset>259903</wp:posOffset>
            </wp:positionV>
            <wp:extent cx="2356338" cy="408331"/>
            <wp:effectExtent l="0" t="0" r="635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338" cy="408331"/>
                    </a:xfrm>
                    <a:prstGeom prst="rect">
                      <a:avLst/>
                    </a:prstGeom>
                  </pic:spPr>
                </pic:pic>
              </a:graphicData>
            </a:graphic>
            <wp14:sizeRelH relativeFrom="margin">
              <wp14:pctWidth>0</wp14:pctWidth>
            </wp14:sizeRelH>
            <wp14:sizeRelV relativeFrom="margin">
              <wp14:pctHeight>0</wp14:pctHeight>
            </wp14:sizeRelV>
          </wp:anchor>
        </w:drawing>
      </w:r>
    </w:p>
    <w:p w14:paraId="7CBB065E" w14:textId="65C4563A" w:rsidR="007C4522" w:rsidRDefault="005D17AD" w:rsidP="005D17AD">
      <w:pPr>
        <w:tabs>
          <w:tab w:val="left" w:pos="7920"/>
          <w:tab w:val="left" w:pos="8280"/>
          <w:tab w:val="left" w:pos="8640"/>
          <w:tab w:val="left" w:pos="8730"/>
        </w:tabs>
        <w:autoSpaceDE w:val="0"/>
        <w:autoSpaceDN w:val="0"/>
        <w:adjustRightInd w:val="0"/>
        <w:spacing w:before="100" w:beforeAutospacing="1" w:after="100" w:afterAutospacing="1"/>
        <w:rPr>
          <w:rFonts w:ascii="Times New Roman" w:hAnsi="Times New Roman"/>
        </w:rPr>
      </w:pPr>
      <w:r>
        <w:rPr>
          <w:noProof/>
        </w:rPr>
        <w:drawing>
          <wp:anchor distT="0" distB="0" distL="114300" distR="114300" simplePos="0" relativeHeight="251641856" behindDoc="1" locked="0" layoutInCell="1" allowOverlap="1" wp14:anchorId="2A4149EF" wp14:editId="2AC53191">
            <wp:simplePos x="0" y="0"/>
            <wp:positionH relativeFrom="column">
              <wp:posOffset>4981575</wp:posOffset>
            </wp:positionH>
            <wp:positionV relativeFrom="paragraph">
              <wp:posOffset>317500</wp:posOffset>
            </wp:positionV>
            <wp:extent cx="3838575" cy="223837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DF036A4" w14:textId="5BC1CA21" w:rsidR="007C4522" w:rsidRDefault="00B50679" w:rsidP="007C4522">
      <w:pPr>
        <w:autoSpaceDE w:val="0"/>
        <w:autoSpaceDN w:val="0"/>
        <w:adjustRightInd w:val="0"/>
        <w:spacing w:before="100" w:beforeAutospacing="1" w:after="100" w:afterAutospacing="1"/>
        <w:rPr>
          <w:rFonts w:ascii="Times New Roman" w:hAnsi="Times New Roman"/>
        </w:rPr>
      </w:pPr>
      <w:r>
        <w:rPr>
          <w:noProof/>
        </w:rPr>
        <w:drawing>
          <wp:anchor distT="0" distB="0" distL="114300" distR="114300" simplePos="0" relativeHeight="251703296" behindDoc="1" locked="0" layoutInCell="1" allowOverlap="1" wp14:anchorId="01063C50" wp14:editId="6856917A">
            <wp:simplePos x="0" y="0"/>
            <wp:positionH relativeFrom="column">
              <wp:posOffset>636905</wp:posOffset>
            </wp:positionH>
            <wp:positionV relativeFrom="paragraph">
              <wp:posOffset>221615</wp:posOffset>
            </wp:positionV>
            <wp:extent cx="4430546" cy="222885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 (1).jpeg"/>
                    <pic:cNvPicPr/>
                  </pic:nvPicPr>
                  <pic:blipFill rotWithShape="1">
                    <a:blip r:embed="rId16" cstate="print">
                      <a:extLst>
                        <a:ext uri="{28A0092B-C50C-407E-A947-70E740481C1C}">
                          <a14:useLocalDpi xmlns:a14="http://schemas.microsoft.com/office/drawing/2010/main" val="0"/>
                        </a:ext>
                      </a:extLst>
                    </a:blip>
                    <a:srcRect l="8846" t="19398" b="19460"/>
                    <a:stretch/>
                  </pic:blipFill>
                  <pic:spPr bwMode="auto">
                    <a:xfrm>
                      <a:off x="0" y="0"/>
                      <a:ext cx="4430546" cy="222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6CFA08" w14:textId="2DE2E585" w:rsidR="007C4522" w:rsidRDefault="007C4522" w:rsidP="007C4522">
      <w:pPr>
        <w:autoSpaceDE w:val="0"/>
        <w:autoSpaceDN w:val="0"/>
        <w:adjustRightInd w:val="0"/>
        <w:spacing w:before="100" w:beforeAutospacing="1" w:after="100" w:afterAutospacing="1"/>
        <w:rPr>
          <w:rFonts w:ascii="Times New Roman" w:hAnsi="Times New Roman"/>
        </w:rPr>
      </w:pPr>
    </w:p>
    <w:p w14:paraId="310CE969" w14:textId="50827EBE" w:rsidR="00F367EF" w:rsidRDefault="005D17AD" w:rsidP="005D17AD">
      <w:pPr>
        <w:tabs>
          <w:tab w:val="left" w:pos="11595"/>
        </w:tabs>
        <w:autoSpaceDE w:val="0"/>
        <w:autoSpaceDN w:val="0"/>
        <w:adjustRightInd w:val="0"/>
        <w:spacing w:before="100" w:beforeAutospacing="1" w:after="100" w:afterAutospacing="1"/>
        <w:rPr>
          <w:rFonts w:ascii="Times New Roman" w:hAnsi="Times New Roman"/>
        </w:rPr>
      </w:pPr>
      <w:r>
        <w:rPr>
          <w:rFonts w:ascii="Times New Roman" w:hAnsi="Times New Roman"/>
        </w:rPr>
        <w:tab/>
      </w:r>
    </w:p>
    <w:p w14:paraId="57633CB5" w14:textId="3945120B" w:rsidR="00F367EF" w:rsidRDefault="00B50679" w:rsidP="005D17AD">
      <w:pPr>
        <w:autoSpaceDE w:val="0"/>
        <w:autoSpaceDN w:val="0"/>
        <w:adjustRightInd w:val="0"/>
        <w:spacing w:before="100" w:beforeAutospacing="1" w:after="100" w:afterAutospacing="1"/>
        <w:jc w:val="right"/>
        <w:rPr>
          <w:rFonts w:ascii="Times New Roman" w:hAnsi="Times New Roman"/>
        </w:rPr>
      </w:pPr>
      <w:r>
        <w:rPr>
          <w:rFonts w:ascii="Times New Roman" w:hAnsi="Times New Roman"/>
          <w:noProof/>
        </w:rPr>
        <w:drawing>
          <wp:anchor distT="0" distB="0" distL="114300" distR="114300" simplePos="0" relativeHeight="251704320" behindDoc="1" locked="0" layoutInCell="1" allowOverlap="1" wp14:anchorId="587599F0" wp14:editId="21A298A5">
            <wp:simplePos x="0" y="0"/>
            <wp:positionH relativeFrom="column">
              <wp:posOffset>323850</wp:posOffset>
            </wp:positionH>
            <wp:positionV relativeFrom="paragraph">
              <wp:posOffset>105410</wp:posOffset>
            </wp:positionV>
            <wp:extent cx="587375" cy="1202842"/>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t (1).jpeg"/>
                    <pic:cNvPicPr/>
                  </pic:nvPicPr>
                  <pic:blipFill rotWithShape="1">
                    <a:blip r:embed="rId17" cstate="print">
                      <a:extLst>
                        <a:ext uri="{28A0092B-C50C-407E-A947-70E740481C1C}">
                          <a14:useLocalDpi xmlns:a14="http://schemas.microsoft.com/office/drawing/2010/main" val="0"/>
                        </a:ext>
                      </a:extLst>
                    </a:blip>
                    <a:srcRect t="70763" r="89292"/>
                    <a:stretch/>
                  </pic:blipFill>
                  <pic:spPr bwMode="auto">
                    <a:xfrm>
                      <a:off x="0" y="0"/>
                      <a:ext cx="587375" cy="12028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1CC43F" w14:textId="51224EFA" w:rsidR="00F367EF" w:rsidRDefault="00F367EF" w:rsidP="007C4522">
      <w:pPr>
        <w:autoSpaceDE w:val="0"/>
        <w:autoSpaceDN w:val="0"/>
        <w:adjustRightInd w:val="0"/>
        <w:spacing w:before="100" w:beforeAutospacing="1" w:after="100" w:afterAutospacing="1"/>
        <w:rPr>
          <w:rFonts w:ascii="Times New Roman" w:hAnsi="Times New Roman"/>
        </w:rPr>
      </w:pPr>
    </w:p>
    <w:p w14:paraId="0BA16C39" w14:textId="004AFEAF" w:rsidR="00F367EF" w:rsidRDefault="00F367EF" w:rsidP="007C4522">
      <w:pPr>
        <w:autoSpaceDE w:val="0"/>
        <w:autoSpaceDN w:val="0"/>
        <w:adjustRightInd w:val="0"/>
        <w:spacing w:before="100" w:beforeAutospacing="1" w:after="100" w:afterAutospacing="1"/>
        <w:rPr>
          <w:rFonts w:ascii="Times New Roman" w:hAnsi="Times New Roman"/>
        </w:rPr>
      </w:pPr>
    </w:p>
    <w:p w14:paraId="4AC1772F" w14:textId="563F672F" w:rsidR="00F367EF" w:rsidRDefault="00D94EFC" w:rsidP="007C4522">
      <w:pPr>
        <w:autoSpaceDE w:val="0"/>
        <w:autoSpaceDN w:val="0"/>
        <w:adjustRightInd w:val="0"/>
        <w:spacing w:before="100" w:beforeAutospacing="1" w:after="100" w:afterAutospacing="1"/>
        <w:rPr>
          <w:rFonts w:ascii="Times New Roman" w:hAnsi="Times New Roman"/>
        </w:rPr>
      </w:pPr>
      <w:r>
        <w:rPr>
          <w:noProof/>
        </w:rPr>
        <w:drawing>
          <wp:anchor distT="0" distB="0" distL="114300" distR="114300" simplePos="0" relativeHeight="251626496" behindDoc="1" locked="0" layoutInCell="1" allowOverlap="1" wp14:anchorId="6AC53A3E" wp14:editId="451495AE">
            <wp:simplePos x="0" y="0"/>
            <wp:positionH relativeFrom="column">
              <wp:posOffset>5823467</wp:posOffset>
            </wp:positionH>
            <wp:positionV relativeFrom="paragraph">
              <wp:posOffset>123825</wp:posOffset>
            </wp:positionV>
            <wp:extent cx="2356338" cy="408331"/>
            <wp:effectExtent l="0" t="0" r="635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338" cy="408331"/>
                    </a:xfrm>
                    <a:prstGeom prst="rect">
                      <a:avLst/>
                    </a:prstGeom>
                  </pic:spPr>
                </pic:pic>
              </a:graphicData>
            </a:graphic>
            <wp14:sizeRelH relativeFrom="margin">
              <wp14:pctWidth>0</wp14:pctWidth>
            </wp14:sizeRelH>
            <wp14:sizeRelV relativeFrom="margin">
              <wp14:pctHeight>0</wp14:pctHeight>
            </wp14:sizeRelV>
          </wp:anchor>
        </w:drawing>
      </w:r>
    </w:p>
    <w:p w14:paraId="7B0633EA" w14:textId="3E0A2080" w:rsidR="00F367EF" w:rsidRDefault="00F367EF" w:rsidP="00D94EFC">
      <w:pPr>
        <w:autoSpaceDE w:val="0"/>
        <w:autoSpaceDN w:val="0"/>
        <w:adjustRightInd w:val="0"/>
        <w:spacing w:before="100" w:beforeAutospacing="1" w:after="100" w:afterAutospacing="1"/>
        <w:rPr>
          <w:rFonts w:ascii="Times New Roman" w:hAnsi="Times New Roman"/>
        </w:rPr>
      </w:pPr>
    </w:p>
    <w:p w14:paraId="2E92B8AF" w14:textId="24A3EC49" w:rsidR="00210812" w:rsidRDefault="007C4522" w:rsidP="00210812">
      <w:pPr>
        <w:autoSpaceDE w:val="0"/>
        <w:autoSpaceDN w:val="0"/>
        <w:adjustRightInd w:val="0"/>
        <w:spacing w:before="100" w:beforeAutospacing="1" w:after="100" w:afterAutospacing="1"/>
        <w:rPr>
          <w:rFonts w:ascii="Times New Roman" w:hAnsi="Times New Roman"/>
        </w:rPr>
      </w:pPr>
      <w:r w:rsidRPr="00EC25C1">
        <w:rPr>
          <w:rFonts w:ascii="Times New Roman" w:hAnsi="Times New Roman"/>
          <w:b/>
        </w:rPr>
        <w:t>Figure 1.</w:t>
      </w:r>
      <w:r w:rsidRPr="00EC25C1">
        <w:rPr>
          <w:rFonts w:ascii="Times New Roman" w:hAnsi="Times New Roman"/>
        </w:rPr>
        <w:t xml:space="preserve"> Global </w:t>
      </w:r>
      <w:r w:rsidR="00AC0746" w:rsidRPr="00EC25C1">
        <w:rPr>
          <w:rFonts w:ascii="Times New Roman" w:hAnsi="Times New Roman"/>
        </w:rPr>
        <w:t>ME</w:t>
      </w:r>
      <w:r w:rsidR="00725B58" w:rsidRPr="00EC25C1">
        <w:rPr>
          <w:rFonts w:ascii="Times New Roman" w:hAnsi="Times New Roman"/>
        </w:rPr>
        <w:t xml:space="preserve"> and </w:t>
      </w:r>
      <w:r w:rsidR="00AC0746" w:rsidRPr="00EC25C1">
        <w:rPr>
          <w:rFonts w:ascii="Times New Roman" w:hAnsi="Times New Roman"/>
        </w:rPr>
        <w:t>FE</w:t>
      </w:r>
      <w:r w:rsidRPr="00EC25C1">
        <w:rPr>
          <w:rFonts w:ascii="Times New Roman" w:hAnsi="Times New Roman"/>
        </w:rPr>
        <w:t xml:space="preserve"> footprints for </w:t>
      </w:r>
      <w:r w:rsidR="00725B58" w:rsidRPr="00EC25C1">
        <w:rPr>
          <w:rFonts w:ascii="Times New Roman" w:hAnsi="Times New Roman"/>
        </w:rPr>
        <w:t xml:space="preserve">2011 by country (left) and global </w:t>
      </w:r>
      <w:r w:rsidR="00AC0746" w:rsidRPr="00EC25C1">
        <w:rPr>
          <w:rFonts w:ascii="Times New Roman" w:hAnsi="Times New Roman"/>
        </w:rPr>
        <w:t>ME</w:t>
      </w:r>
      <w:r w:rsidR="00725B58" w:rsidRPr="00EC25C1">
        <w:rPr>
          <w:rFonts w:ascii="Times New Roman" w:hAnsi="Times New Roman"/>
        </w:rPr>
        <w:t xml:space="preserve"> and </w:t>
      </w:r>
      <w:r w:rsidR="00AC0746" w:rsidRPr="00EC25C1">
        <w:rPr>
          <w:rFonts w:ascii="Times New Roman" w:hAnsi="Times New Roman"/>
        </w:rPr>
        <w:t>FE</w:t>
      </w:r>
      <w:r w:rsidR="00725B58" w:rsidRPr="00EC25C1">
        <w:rPr>
          <w:rFonts w:ascii="Times New Roman" w:hAnsi="Times New Roman"/>
        </w:rPr>
        <w:t xml:space="preserve"> footprints for </w:t>
      </w:r>
      <w:r w:rsidRPr="00EC25C1">
        <w:rPr>
          <w:rFonts w:ascii="Times New Roman" w:hAnsi="Times New Roman"/>
        </w:rPr>
        <w:t>the years 2000, 2005 and 2011</w:t>
      </w:r>
      <w:r w:rsidR="00725B58" w:rsidRPr="00EC25C1">
        <w:rPr>
          <w:rFonts w:ascii="Times New Roman" w:hAnsi="Times New Roman"/>
        </w:rPr>
        <w:t xml:space="preserve"> (right)</w:t>
      </w:r>
      <w:r w:rsidRPr="00EC25C1">
        <w:rPr>
          <w:rFonts w:ascii="Times New Roman" w:hAnsi="Times New Roman"/>
        </w:rPr>
        <w:t>. Footprints</w:t>
      </w:r>
      <w:r>
        <w:rPr>
          <w:rFonts w:ascii="Times New Roman" w:hAnsi="Times New Roman"/>
        </w:rPr>
        <w:t xml:space="preserve"> are broken down i) based on whether they occurred domestically or from the consumption of imported products, ii) by producing sector (crop production, animal husbandry and other sectors) and iii) consumed product type </w:t>
      </w:r>
      <w:r w:rsidR="00313A6E">
        <w:rPr>
          <w:rFonts w:ascii="Times New Roman" w:hAnsi="Times New Roman"/>
        </w:rPr>
        <w:t>(food and</w:t>
      </w:r>
      <w:r w:rsidR="00210812">
        <w:rPr>
          <w:rFonts w:ascii="Times New Roman" w:hAnsi="Times New Roman"/>
        </w:rPr>
        <w:t xml:space="preserve"> non-food).</w:t>
      </w:r>
      <w:r w:rsidR="00AA1DD6">
        <w:rPr>
          <w:rFonts w:ascii="Times New Roman" w:hAnsi="Times New Roman"/>
        </w:rPr>
        <w:t xml:space="preserve"> G</w:t>
      </w:r>
      <w:r w:rsidR="00C06AAE">
        <w:rPr>
          <w:rFonts w:ascii="Times New Roman" w:hAnsi="Times New Roman"/>
        </w:rPr>
        <w:t xml:space="preserve">lobal footprint totals are equal to global total direct impacts. </w:t>
      </w:r>
      <w:r w:rsidR="00E4304D">
        <w:rPr>
          <w:rFonts w:ascii="Times New Roman" w:hAnsi="Times New Roman"/>
        </w:rPr>
        <w:t>See SI for numerical values.</w:t>
      </w:r>
    </w:p>
    <w:p w14:paraId="1B12F5B0" w14:textId="51BB7332" w:rsidR="007C4522" w:rsidRPr="00210812" w:rsidRDefault="00210812" w:rsidP="00210812">
      <w:pPr>
        <w:tabs>
          <w:tab w:val="left" w:pos="2207"/>
        </w:tabs>
        <w:rPr>
          <w:rFonts w:ascii="Times New Roman" w:hAnsi="Times New Roman"/>
        </w:rPr>
        <w:sectPr w:rsidR="007C4522" w:rsidRPr="00210812" w:rsidSect="00B018A6">
          <w:type w:val="continuous"/>
          <w:pgSz w:w="15840" w:h="12240" w:orient="landscape"/>
          <w:pgMar w:top="1440" w:right="1440" w:bottom="1134" w:left="1440" w:header="0" w:footer="0" w:gutter="0"/>
          <w:lnNumType w:countBy="1" w:restart="continuous"/>
          <w:cols w:space="475"/>
          <w:docGrid w:linePitch="326"/>
        </w:sectPr>
      </w:pPr>
      <w:r>
        <w:rPr>
          <w:rFonts w:ascii="Times New Roman" w:hAnsi="Times New Roman"/>
        </w:rPr>
        <w:tab/>
      </w:r>
    </w:p>
    <w:p w14:paraId="4DC3CBB8"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becomes avail-</w:t>
      </w:r>
    </w:p>
    <w:p w14:paraId="6B6B40E3"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able, it will be possible to replace the EOO maps with those.</w:t>
      </w:r>
    </w:p>
    <w:p w14:paraId="0CA525A6"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Grenyer and colleagues</w:t>
      </w:r>
    </w:p>
    <w:p w14:paraId="36A21B69" w14:textId="77777777" w:rsidR="007C4522" w:rsidRPr="00E9204A" w:rsidRDefault="007C4522" w:rsidP="007C4522">
      <w:pPr>
        <w:shd w:val="clear" w:color="auto" w:fill="FFFFFF"/>
        <w:spacing w:after="0" w:line="0" w:lineRule="auto"/>
        <w:jc w:val="left"/>
        <w:rPr>
          <w:rFonts w:ascii="ff7" w:hAnsi="ff7"/>
          <w:color w:val="231F20"/>
          <w:sz w:val="65"/>
          <w:szCs w:val="65"/>
          <w:lang w:eastAsia="nb-NO"/>
        </w:rPr>
      </w:pPr>
      <w:r w:rsidRPr="00E9204A">
        <w:rPr>
          <w:rFonts w:ascii="ff7" w:hAnsi="ff7"/>
          <w:color w:val="231F20"/>
          <w:sz w:val="65"/>
          <w:szCs w:val="65"/>
          <w:lang w:eastAsia="nb-NO"/>
        </w:rPr>
        <w:t>20</w:t>
      </w:r>
    </w:p>
    <w:p w14:paraId="04025747"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 argued that priority areas for biodiver-</w:t>
      </w:r>
    </w:p>
    <w:p w14:paraId="68DAE0E2"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sity conservation should be based on high-resolution range data </w:t>
      </w:r>
    </w:p>
    <w:p w14:paraId="2FF230BE"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from multiple taxa, not merely on aggregated EOO maps, since </w:t>
      </w:r>
    </w:p>
    <w:p w14:paraId="7944BF6A"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cross-taxon and rare species congruence are in fact low in such </w:t>
      </w:r>
    </w:p>
    <w:p w14:paraId="5D702FE8"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aggregate maps. Acknowledging this, the method that we use here </w:t>
      </w:r>
    </w:p>
    <w:p w14:paraId="33EAAE6D"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can be used to identify the spatial biodiversity footprints at the deta</w:t>
      </w:r>
    </w:p>
    <w:p w14:paraId="4D324897"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ps becomes avail-</w:t>
      </w:r>
    </w:p>
    <w:p w14:paraId="1D179D27"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able, it will be possible to replace the EOO maps with those.</w:t>
      </w:r>
    </w:p>
    <w:p w14:paraId="2DF4A1E8"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Grenyer and colleagues</w:t>
      </w:r>
    </w:p>
    <w:p w14:paraId="1CF418BA" w14:textId="77777777" w:rsidR="007C4522" w:rsidRPr="00E9204A" w:rsidRDefault="007C4522" w:rsidP="007C4522">
      <w:pPr>
        <w:shd w:val="clear" w:color="auto" w:fill="FFFFFF"/>
        <w:spacing w:after="0" w:line="0" w:lineRule="auto"/>
        <w:jc w:val="left"/>
        <w:rPr>
          <w:rFonts w:ascii="ff7" w:hAnsi="ff7"/>
          <w:color w:val="231F20"/>
          <w:sz w:val="65"/>
          <w:szCs w:val="65"/>
          <w:lang w:eastAsia="nb-NO"/>
        </w:rPr>
      </w:pPr>
      <w:r w:rsidRPr="00E9204A">
        <w:rPr>
          <w:rFonts w:ascii="ff7" w:hAnsi="ff7"/>
          <w:color w:val="231F20"/>
          <w:sz w:val="65"/>
          <w:szCs w:val="65"/>
          <w:lang w:eastAsia="nb-NO"/>
        </w:rPr>
        <w:t>20</w:t>
      </w:r>
    </w:p>
    <w:p w14:paraId="5B654A12"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 argued that priority areas for biodiver-</w:t>
      </w:r>
    </w:p>
    <w:p w14:paraId="57D77EB6"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sity conservation should be based on high-resolution range data </w:t>
      </w:r>
    </w:p>
    <w:p w14:paraId="0124F4B9"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from multiple taxa, not merely on aggregated EOO maps, since </w:t>
      </w:r>
    </w:p>
    <w:p w14:paraId="01CD0034"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cross-taxon and rare species congruence are in fact low in such </w:t>
      </w:r>
    </w:p>
    <w:p w14:paraId="308D77B3"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 xml:space="preserve">aggregate maps. Acknowledging this, the method that we use here </w:t>
      </w:r>
    </w:p>
    <w:p w14:paraId="3E35E4D4" w14:textId="77777777" w:rsidR="007C4522" w:rsidRPr="00E9204A" w:rsidRDefault="007C4522" w:rsidP="007C4522">
      <w:pPr>
        <w:shd w:val="clear" w:color="auto" w:fill="FFFFFF"/>
        <w:spacing w:after="0" w:line="0" w:lineRule="auto"/>
        <w:jc w:val="left"/>
        <w:rPr>
          <w:rFonts w:ascii="ff7" w:hAnsi="ff7"/>
          <w:color w:val="231F20"/>
          <w:sz w:val="112"/>
          <w:szCs w:val="112"/>
          <w:lang w:eastAsia="nb-NO"/>
        </w:rPr>
      </w:pPr>
      <w:r w:rsidRPr="00E9204A">
        <w:rPr>
          <w:rFonts w:ascii="ff7" w:hAnsi="ff7"/>
          <w:color w:val="231F20"/>
          <w:sz w:val="112"/>
          <w:szCs w:val="112"/>
          <w:lang w:eastAsia="nb-NO"/>
        </w:rPr>
        <w:t>can be used to identify the spatial biodiversity footprints at the deta</w:t>
      </w:r>
    </w:p>
    <w:p w14:paraId="2B521B25" w14:textId="2BC7FAA0" w:rsidR="007C4522" w:rsidRDefault="00D43196" w:rsidP="00890575">
      <w:pPr>
        <w:tabs>
          <w:tab w:val="left" w:pos="6975"/>
        </w:tabs>
        <w:spacing w:before="100" w:beforeAutospacing="1" w:after="100" w:afterAutospacing="1"/>
        <w:rPr>
          <w:rFonts w:ascii="Times New Roman" w:hAnsi="Times New Roman"/>
          <w:b/>
        </w:rPr>
      </w:pPr>
      <w:r>
        <w:rPr>
          <w:noProof/>
        </w:rPr>
        <w:lastRenderedPageBreak/>
        <w:drawing>
          <wp:anchor distT="0" distB="0" distL="114300" distR="114300" simplePos="0" relativeHeight="251693056" behindDoc="1" locked="0" layoutInCell="1" allowOverlap="1" wp14:anchorId="7F7BD798" wp14:editId="0DD84D3E">
            <wp:simplePos x="0" y="0"/>
            <wp:positionH relativeFrom="column">
              <wp:posOffset>4410075</wp:posOffset>
            </wp:positionH>
            <wp:positionV relativeFrom="paragraph">
              <wp:posOffset>-819150</wp:posOffset>
            </wp:positionV>
            <wp:extent cx="4547870" cy="1590675"/>
            <wp:effectExtent l="0" t="0" r="508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B7533A">
        <w:rPr>
          <w:noProof/>
        </w:rPr>
        <w:drawing>
          <wp:anchor distT="0" distB="0" distL="114300" distR="114300" simplePos="0" relativeHeight="251682816" behindDoc="1" locked="0" layoutInCell="1" allowOverlap="1" wp14:anchorId="7A7CE598" wp14:editId="51FA0327">
            <wp:simplePos x="0" y="0"/>
            <wp:positionH relativeFrom="column">
              <wp:posOffset>-323850</wp:posOffset>
            </wp:positionH>
            <wp:positionV relativeFrom="paragraph">
              <wp:posOffset>-447675</wp:posOffset>
            </wp:positionV>
            <wp:extent cx="4600575" cy="235140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P_trade_continent_fig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03048" cy="2352669"/>
                    </a:xfrm>
                    <a:prstGeom prst="rect">
                      <a:avLst/>
                    </a:prstGeom>
                  </pic:spPr>
                </pic:pic>
              </a:graphicData>
            </a:graphic>
            <wp14:sizeRelH relativeFrom="margin">
              <wp14:pctWidth>0</wp14:pctWidth>
            </wp14:sizeRelH>
            <wp14:sizeRelV relativeFrom="margin">
              <wp14:pctHeight>0</wp14:pctHeight>
            </wp14:sizeRelV>
          </wp:anchor>
        </w:drawing>
      </w:r>
      <w:r w:rsidR="00890575">
        <w:rPr>
          <w:rFonts w:ascii="Times New Roman" w:hAnsi="Times New Roman"/>
          <w:b/>
        </w:rPr>
        <w:tab/>
      </w:r>
    </w:p>
    <w:p w14:paraId="07E81EDB" w14:textId="4674A5DC" w:rsidR="007C4522" w:rsidRDefault="00E755A5" w:rsidP="00E01917">
      <w:pPr>
        <w:tabs>
          <w:tab w:val="left" w:pos="2205"/>
          <w:tab w:val="left" w:pos="12600"/>
        </w:tabs>
        <w:spacing w:before="100" w:beforeAutospacing="1" w:after="100" w:afterAutospacing="1"/>
        <w:rPr>
          <w:rFonts w:ascii="Times New Roman" w:hAnsi="Times New Roman"/>
          <w:b/>
        </w:rPr>
      </w:pPr>
      <w:r>
        <w:rPr>
          <w:noProof/>
        </w:rPr>
        <w:drawing>
          <wp:anchor distT="0" distB="0" distL="114300" distR="114300" simplePos="0" relativeHeight="251698176" behindDoc="1" locked="0" layoutInCell="1" allowOverlap="1" wp14:anchorId="21673B38" wp14:editId="68C76ADB">
            <wp:simplePos x="0" y="0"/>
            <wp:positionH relativeFrom="column">
              <wp:posOffset>4267200</wp:posOffset>
            </wp:positionH>
            <wp:positionV relativeFrom="paragraph">
              <wp:posOffset>161290</wp:posOffset>
            </wp:positionV>
            <wp:extent cx="4648200" cy="1838325"/>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rFonts w:ascii="Times New Roman" w:hAnsi="Times New Roman"/>
          <w:b/>
        </w:rPr>
        <w:tab/>
      </w:r>
    </w:p>
    <w:p w14:paraId="6EF464D0" w14:textId="7E420988" w:rsidR="007C4522" w:rsidRDefault="007C4522" w:rsidP="007C4522">
      <w:pPr>
        <w:spacing w:before="100" w:beforeAutospacing="1" w:after="100" w:afterAutospacing="1"/>
        <w:rPr>
          <w:rFonts w:ascii="Times New Roman" w:hAnsi="Times New Roman"/>
          <w:b/>
        </w:rPr>
      </w:pPr>
    </w:p>
    <w:p w14:paraId="30CC74AD" w14:textId="653B685D" w:rsidR="007C4522" w:rsidRDefault="007C4522" w:rsidP="007C4522">
      <w:pPr>
        <w:spacing w:before="100" w:beforeAutospacing="1" w:after="100" w:afterAutospacing="1"/>
        <w:jc w:val="left"/>
        <w:rPr>
          <w:rFonts w:ascii="Times New Roman" w:hAnsi="Times New Roman"/>
          <w:b/>
        </w:rPr>
      </w:pPr>
    </w:p>
    <w:p w14:paraId="2EA4E717" w14:textId="2C045E57" w:rsidR="007C4522" w:rsidRPr="00420AA6" w:rsidRDefault="00755E20" w:rsidP="007C4522">
      <w:pPr>
        <w:spacing w:before="100" w:beforeAutospacing="1" w:after="100" w:afterAutospacing="1"/>
        <w:jc w:val="left"/>
        <w:rPr>
          <w:rFonts w:ascii="Times New Roman" w:hAnsi="Times New Roman"/>
        </w:rPr>
      </w:pPr>
      <w:r w:rsidRPr="00755E20">
        <w:rPr>
          <w:rFonts w:ascii="Times New Roman" w:hAnsi="Times New Roman"/>
          <w:noProof/>
        </w:rPr>
        <mc:AlternateContent>
          <mc:Choice Requires="wps">
            <w:drawing>
              <wp:anchor distT="45720" distB="45720" distL="114300" distR="114300" simplePos="0" relativeHeight="251700224" behindDoc="1" locked="0" layoutInCell="1" allowOverlap="1" wp14:anchorId="478D74A6" wp14:editId="508F8104">
                <wp:simplePos x="0" y="0"/>
                <wp:positionH relativeFrom="column">
                  <wp:posOffset>1304925</wp:posOffset>
                </wp:positionH>
                <wp:positionV relativeFrom="paragraph">
                  <wp:posOffset>197485</wp:posOffset>
                </wp:positionV>
                <wp:extent cx="6762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1A55D44D" w14:textId="2F0A6F6B" w:rsidR="00067C27" w:rsidRPr="00755E20" w:rsidRDefault="00067C27">
                            <w:pPr>
                              <w:rPr>
                                <w:rFonts w:ascii="Segoe UI Light" w:hAnsi="Segoe UI Light" w:cs="Segoe UI Light"/>
                                <w:sz w:val="20"/>
                              </w:rPr>
                            </w:pPr>
                            <w:r w:rsidRPr="00755E20">
                              <w:rPr>
                                <w:rFonts w:ascii="Segoe UI Light" w:hAnsi="Segoe UI Light" w:cs="Segoe UI Light"/>
                                <w:sz w:val="20"/>
                              </w:rPr>
                              <w:t>kt N eq.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D74A6" id="_x0000_t202" coordsize="21600,21600" o:spt="202" path="m,l,21600r21600,l21600,xe">
                <v:stroke joinstyle="miter"/>
                <v:path gradientshapeok="t" o:connecttype="rect"/>
              </v:shapetype>
              <v:shape id="Text Box 2" o:spid="_x0000_s1026" type="#_x0000_t202" style="position:absolute;margin-left:102.75pt;margin-top:15.55pt;width:53.25pt;height:110.6pt;z-index:-251616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ueIAIAAB0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" stroked="f">
                <v:textbox style="mso-fit-shape-to-text:t">
                  <w:txbxContent>
                    <w:p w14:paraId="1A55D44D" w14:textId="2F0A6F6B" w:rsidR="00067C27" w:rsidRPr="00755E20" w:rsidRDefault="00067C27">
                      <w:pPr>
                        <w:rPr>
                          <w:rFonts w:ascii="Segoe UI Light" w:hAnsi="Segoe UI Light" w:cs="Segoe UI Light"/>
                          <w:sz w:val="20"/>
                        </w:rPr>
                      </w:pPr>
                      <w:r w:rsidRPr="00755E20">
                        <w:rPr>
                          <w:rFonts w:ascii="Segoe UI Light" w:hAnsi="Segoe UI Light" w:cs="Segoe UI Light"/>
                          <w:sz w:val="20"/>
                        </w:rPr>
                        <w:t>kt N eq.</w:t>
                      </w:r>
                    </w:p>
                  </w:txbxContent>
                </v:textbox>
              </v:shape>
            </w:pict>
          </mc:Fallback>
        </mc:AlternateContent>
      </w:r>
      <w:r w:rsidR="00477BBA">
        <w:rPr>
          <w:noProof/>
        </w:rPr>
        <w:drawing>
          <wp:anchor distT="0" distB="0" distL="114300" distR="114300" simplePos="0" relativeHeight="251687936" behindDoc="1" locked="0" layoutInCell="1" allowOverlap="1" wp14:anchorId="147E0521" wp14:editId="5FD8B732">
            <wp:simplePos x="0" y="0"/>
            <wp:positionH relativeFrom="column">
              <wp:posOffset>2095500</wp:posOffset>
            </wp:positionH>
            <wp:positionV relativeFrom="paragraph">
              <wp:posOffset>92710</wp:posOffset>
            </wp:positionV>
            <wp:extent cx="952500" cy="32643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2500" cy="326432"/>
                    </a:xfrm>
                    <a:prstGeom prst="rect">
                      <a:avLst/>
                    </a:prstGeom>
                  </pic:spPr>
                </pic:pic>
              </a:graphicData>
            </a:graphic>
            <wp14:sizeRelH relativeFrom="margin">
              <wp14:pctWidth>0</wp14:pctWidth>
            </wp14:sizeRelH>
            <wp14:sizeRelV relativeFrom="margin">
              <wp14:pctHeight>0</wp14:pctHeight>
            </wp14:sizeRelV>
          </wp:anchor>
        </w:drawing>
      </w:r>
      <w:r w:rsidR="007C4522" w:rsidRPr="00420AA6">
        <w:rPr>
          <w:rFonts w:ascii="Times New Roman" w:hAnsi="Times New Roman"/>
        </w:rPr>
        <w:t xml:space="preserve"> </w:t>
      </w:r>
    </w:p>
    <w:p w14:paraId="074239D2" w14:textId="07A04F06" w:rsidR="007C4522" w:rsidRDefault="007C4522" w:rsidP="007C4522">
      <w:pPr>
        <w:tabs>
          <w:tab w:val="left" w:pos="8940"/>
        </w:tabs>
        <w:spacing w:before="100" w:beforeAutospacing="1" w:after="100" w:afterAutospacing="1"/>
        <w:rPr>
          <w:rFonts w:ascii="Times New Roman" w:hAnsi="Times New Roman"/>
          <w:b/>
        </w:rPr>
      </w:pPr>
    </w:p>
    <w:p w14:paraId="12B0E650" w14:textId="2DEB3C7C" w:rsidR="007C4522" w:rsidRDefault="00E01917" w:rsidP="00E01917">
      <w:pPr>
        <w:tabs>
          <w:tab w:val="left" w:pos="8940"/>
          <w:tab w:val="left" w:pos="12690"/>
        </w:tabs>
        <w:spacing w:before="100" w:beforeAutospacing="1" w:after="100" w:afterAutospacing="1"/>
        <w:rPr>
          <w:rFonts w:ascii="Times New Roman" w:hAnsi="Times New Roman"/>
          <w:b/>
        </w:rPr>
      </w:pPr>
      <w:r>
        <w:rPr>
          <w:noProof/>
        </w:rPr>
        <w:drawing>
          <wp:anchor distT="0" distB="0" distL="114300" distR="114300" simplePos="0" relativeHeight="251621376" behindDoc="1" locked="0" layoutInCell="1" allowOverlap="1" wp14:anchorId="79AC6FBD" wp14:editId="456075F8">
            <wp:simplePos x="0" y="0"/>
            <wp:positionH relativeFrom="column">
              <wp:posOffset>4218940</wp:posOffset>
            </wp:positionH>
            <wp:positionV relativeFrom="paragraph">
              <wp:posOffset>290195</wp:posOffset>
            </wp:positionV>
            <wp:extent cx="4738370" cy="1441628"/>
            <wp:effectExtent l="0" t="0" r="0" b="0"/>
            <wp:wrapNone/>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7533A">
        <w:rPr>
          <w:rFonts w:ascii="Times New Roman" w:hAnsi="Times New Roman"/>
          <w:b/>
          <w:noProof/>
        </w:rPr>
        <w:drawing>
          <wp:anchor distT="0" distB="0" distL="114300" distR="114300" simplePos="0" relativeHeight="251667456" behindDoc="1" locked="0" layoutInCell="1" allowOverlap="1" wp14:anchorId="3941C005" wp14:editId="0BA591FC">
            <wp:simplePos x="0" y="0"/>
            <wp:positionH relativeFrom="column">
              <wp:posOffset>-238125</wp:posOffset>
            </wp:positionH>
            <wp:positionV relativeFrom="paragraph">
              <wp:posOffset>300355</wp:posOffset>
            </wp:positionV>
            <wp:extent cx="4371975" cy="223456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P_trade_continent_fig2.jpg"/>
                    <pic:cNvPicPr/>
                  </pic:nvPicPr>
                  <pic:blipFill rotWithShape="1">
                    <a:blip r:embed="rId23" cstate="print">
                      <a:extLst>
                        <a:ext uri="{28A0092B-C50C-407E-A947-70E740481C1C}">
                          <a14:useLocalDpi xmlns:a14="http://schemas.microsoft.com/office/drawing/2010/main" val="0"/>
                        </a:ext>
                      </a:extLst>
                    </a:blip>
                    <a:srcRect l="2473" t="2456" r="2473" b="2456"/>
                    <a:stretch/>
                  </pic:blipFill>
                  <pic:spPr>
                    <a:xfrm>
                      <a:off x="0" y="0"/>
                      <a:ext cx="4371975" cy="2234565"/>
                    </a:xfrm>
                    <a:prstGeom prst="rect">
                      <a:avLst/>
                    </a:prstGeom>
                  </pic:spPr>
                </pic:pic>
              </a:graphicData>
            </a:graphic>
            <wp14:sizeRelH relativeFrom="margin">
              <wp14:pctWidth>0</wp14:pctWidth>
            </wp14:sizeRelH>
            <wp14:sizeRelV relativeFrom="margin">
              <wp14:pctHeight>0</wp14:pctHeight>
            </wp14:sizeRelV>
          </wp:anchor>
        </w:drawing>
      </w:r>
    </w:p>
    <w:p w14:paraId="2780474F" w14:textId="630134CE" w:rsidR="007C4522" w:rsidRDefault="007C4522" w:rsidP="007C4522">
      <w:pPr>
        <w:tabs>
          <w:tab w:val="left" w:pos="8940"/>
        </w:tabs>
        <w:spacing w:before="100" w:beforeAutospacing="1" w:after="100" w:afterAutospacing="1"/>
        <w:rPr>
          <w:rFonts w:ascii="Times New Roman" w:hAnsi="Times New Roman"/>
          <w:b/>
        </w:rPr>
      </w:pPr>
    </w:p>
    <w:p w14:paraId="7F3C56AC" w14:textId="2123673A" w:rsidR="007C4522" w:rsidRDefault="007C4522" w:rsidP="007C4522">
      <w:pPr>
        <w:tabs>
          <w:tab w:val="left" w:pos="10264"/>
        </w:tabs>
        <w:spacing w:before="100" w:beforeAutospacing="1" w:after="100" w:afterAutospacing="1"/>
        <w:rPr>
          <w:rFonts w:ascii="Times New Roman" w:hAnsi="Times New Roman"/>
          <w:b/>
        </w:rPr>
      </w:pPr>
      <w:r>
        <w:rPr>
          <w:rFonts w:ascii="Times New Roman" w:hAnsi="Times New Roman"/>
          <w:b/>
        </w:rPr>
        <w:tab/>
      </w:r>
    </w:p>
    <w:p w14:paraId="48D5EE6F" w14:textId="7420680C" w:rsidR="007C4522" w:rsidRDefault="007C4522" w:rsidP="007C4522">
      <w:pPr>
        <w:tabs>
          <w:tab w:val="left" w:pos="11355"/>
        </w:tabs>
        <w:spacing w:before="100" w:beforeAutospacing="1" w:after="100" w:afterAutospacing="1"/>
        <w:rPr>
          <w:rFonts w:ascii="Times New Roman" w:hAnsi="Times New Roman"/>
          <w:b/>
        </w:rPr>
      </w:pPr>
      <w:r>
        <w:rPr>
          <w:rFonts w:ascii="Times New Roman" w:hAnsi="Times New Roman"/>
          <w:b/>
        </w:rPr>
        <w:tab/>
      </w:r>
    </w:p>
    <w:p w14:paraId="5228EC2B" w14:textId="5AC411B6" w:rsidR="007C4522" w:rsidRDefault="00DF4584" w:rsidP="007C4522">
      <w:pPr>
        <w:tabs>
          <w:tab w:val="center" w:pos="6480"/>
          <w:tab w:val="left" w:pos="7083"/>
          <w:tab w:val="left" w:pos="8940"/>
        </w:tabs>
        <w:spacing w:before="100" w:beforeAutospacing="1" w:after="100" w:afterAutospacing="1"/>
        <w:jc w:val="left"/>
        <w:rPr>
          <w:rFonts w:ascii="Times New Roman" w:hAnsi="Times New Roman"/>
          <w:b/>
        </w:rPr>
      </w:pPr>
      <w:r>
        <w:rPr>
          <w:noProof/>
        </w:rPr>
        <w:drawing>
          <wp:anchor distT="0" distB="0" distL="114300" distR="114300" simplePos="0" relativeHeight="251672576" behindDoc="1" locked="0" layoutInCell="1" allowOverlap="1" wp14:anchorId="3EA7FD72" wp14:editId="2901CBCA">
            <wp:simplePos x="0" y="0"/>
            <wp:positionH relativeFrom="column">
              <wp:posOffset>4219575</wp:posOffset>
            </wp:positionH>
            <wp:positionV relativeFrom="paragraph">
              <wp:posOffset>231775</wp:posOffset>
            </wp:positionV>
            <wp:extent cx="4552950" cy="1537970"/>
            <wp:effectExtent l="0" t="0" r="0" b="508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7C4522">
        <w:rPr>
          <w:rFonts w:ascii="Times New Roman" w:hAnsi="Times New Roman"/>
          <w:b/>
        </w:rPr>
        <w:tab/>
      </w:r>
      <w:r w:rsidR="007C4522">
        <w:rPr>
          <w:rFonts w:ascii="Times New Roman" w:hAnsi="Times New Roman"/>
          <w:b/>
        </w:rPr>
        <w:tab/>
      </w:r>
    </w:p>
    <w:p w14:paraId="06F91148" w14:textId="30C9AF55" w:rsidR="007C4522" w:rsidRDefault="007C4522" w:rsidP="007C4522">
      <w:pPr>
        <w:tabs>
          <w:tab w:val="left" w:pos="8940"/>
        </w:tabs>
        <w:spacing w:before="100" w:beforeAutospacing="1" w:after="100" w:afterAutospacing="1"/>
        <w:rPr>
          <w:rFonts w:ascii="Times New Roman" w:hAnsi="Times New Roman"/>
          <w:b/>
        </w:rPr>
      </w:pPr>
    </w:p>
    <w:p w14:paraId="1C189A9A" w14:textId="7E0F88D5" w:rsidR="007C4522" w:rsidRDefault="00755E20" w:rsidP="007C4522">
      <w:pPr>
        <w:tabs>
          <w:tab w:val="left" w:pos="8940"/>
        </w:tabs>
        <w:spacing w:before="100" w:beforeAutospacing="1" w:after="100" w:afterAutospacing="1"/>
        <w:rPr>
          <w:rFonts w:ascii="Times New Roman" w:hAnsi="Times New Roman"/>
          <w:b/>
        </w:rPr>
      </w:pPr>
      <w:r w:rsidRPr="00755E20">
        <w:rPr>
          <w:rFonts w:ascii="Times New Roman" w:hAnsi="Times New Roman"/>
          <w:noProof/>
        </w:rPr>
        <mc:AlternateContent>
          <mc:Choice Requires="wps">
            <w:drawing>
              <wp:anchor distT="45720" distB="45720" distL="114300" distR="114300" simplePos="0" relativeHeight="251702272" behindDoc="1" locked="0" layoutInCell="1" allowOverlap="1" wp14:anchorId="3E230747" wp14:editId="08CC19C8">
                <wp:simplePos x="0" y="0"/>
                <wp:positionH relativeFrom="column">
                  <wp:posOffset>1371600</wp:posOffset>
                </wp:positionH>
                <wp:positionV relativeFrom="paragraph">
                  <wp:posOffset>211455</wp:posOffset>
                </wp:positionV>
                <wp:extent cx="676275" cy="140462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07861B0A" w14:textId="4C9213DD" w:rsidR="00067C27" w:rsidRPr="00755E20" w:rsidRDefault="00067C27" w:rsidP="00755E20">
                            <w:pPr>
                              <w:rPr>
                                <w:rFonts w:ascii="Segoe UI Light" w:hAnsi="Segoe UI Light" w:cs="Segoe UI Light"/>
                                <w:sz w:val="20"/>
                              </w:rPr>
                            </w:pPr>
                            <w:r w:rsidRPr="00755E20">
                              <w:rPr>
                                <w:rFonts w:ascii="Segoe UI Light" w:hAnsi="Segoe UI Light" w:cs="Segoe UI Light"/>
                                <w:sz w:val="20"/>
                              </w:rPr>
                              <w:t>kt P eq.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30747" id="_x0000_s1027" type="#_x0000_t202" style="position:absolute;left:0;text-align:left;margin-left:108pt;margin-top:16.65pt;width:53.2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" stroked="f">
                <v:textbox style="mso-fit-shape-to-text:t">
                  <w:txbxContent>
                    <w:p w14:paraId="07861B0A" w14:textId="4C9213DD" w:rsidR="00067C27" w:rsidRPr="00755E20" w:rsidRDefault="00067C27" w:rsidP="00755E20">
                      <w:pPr>
                        <w:rPr>
                          <w:rFonts w:ascii="Segoe UI Light" w:hAnsi="Segoe UI Light" w:cs="Segoe UI Light"/>
                          <w:sz w:val="20"/>
                        </w:rPr>
                      </w:pPr>
                      <w:r w:rsidRPr="00755E20">
                        <w:rPr>
                          <w:rFonts w:ascii="Segoe UI Light" w:hAnsi="Segoe UI Light" w:cs="Segoe UI Light"/>
                          <w:sz w:val="20"/>
                        </w:rPr>
                        <w:t>kt P eq.</w:t>
                      </w:r>
                    </w:p>
                  </w:txbxContent>
                </v:textbox>
              </v:shape>
            </w:pict>
          </mc:Fallback>
        </mc:AlternateContent>
      </w:r>
      <w:r w:rsidR="00890575">
        <w:rPr>
          <w:noProof/>
        </w:rPr>
        <w:drawing>
          <wp:anchor distT="0" distB="0" distL="114300" distR="114300" simplePos="0" relativeHeight="251677696" behindDoc="1" locked="0" layoutInCell="1" allowOverlap="1" wp14:anchorId="69B74F59" wp14:editId="1DAF1B17">
            <wp:simplePos x="0" y="0"/>
            <wp:positionH relativeFrom="column">
              <wp:posOffset>2152650</wp:posOffset>
            </wp:positionH>
            <wp:positionV relativeFrom="paragraph">
              <wp:posOffset>90805</wp:posOffset>
            </wp:positionV>
            <wp:extent cx="952500" cy="32643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2500" cy="326432"/>
                    </a:xfrm>
                    <a:prstGeom prst="rect">
                      <a:avLst/>
                    </a:prstGeom>
                  </pic:spPr>
                </pic:pic>
              </a:graphicData>
            </a:graphic>
            <wp14:sizeRelH relativeFrom="margin">
              <wp14:pctWidth>0</wp14:pctWidth>
            </wp14:sizeRelH>
            <wp14:sizeRelV relativeFrom="margin">
              <wp14:pctHeight>0</wp14:pctHeight>
            </wp14:sizeRelV>
          </wp:anchor>
        </w:drawing>
      </w:r>
    </w:p>
    <w:p w14:paraId="4CBC4EA7" w14:textId="489B04AF" w:rsidR="002A3F5A" w:rsidRDefault="002A3F5A" w:rsidP="007C4522">
      <w:pPr>
        <w:tabs>
          <w:tab w:val="left" w:pos="8940"/>
        </w:tabs>
        <w:spacing w:before="100" w:beforeAutospacing="1" w:after="100" w:afterAutospacing="1"/>
        <w:rPr>
          <w:rFonts w:ascii="Times New Roman" w:hAnsi="Times New Roman"/>
          <w:b/>
        </w:rPr>
      </w:pPr>
    </w:p>
    <w:p w14:paraId="6959D2D2" w14:textId="28AD6020" w:rsidR="00890575" w:rsidRDefault="00890575" w:rsidP="007C4522">
      <w:pPr>
        <w:tabs>
          <w:tab w:val="left" w:pos="8940"/>
        </w:tabs>
        <w:spacing w:before="100" w:beforeAutospacing="1" w:after="100" w:afterAutospacing="1"/>
        <w:rPr>
          <w:rFonts w:ascii="Times New Roman" w:hAnsi="Times New Roman"/>
          <w:b/>
        </w:rPr>
      </w:pPr>
    </w:p>
    <w:p w14:paraId="76EFB632" w14:textId="0306BC0F" w:rsidR="007C4522" w:rsidRPr="00755E20" w:rsidRDefault="007C4522" w:rsidP="007C4522">
      <w:pPr>
        <w:tabs>
          <w:tab w:val="left" w:pos="8940"/>
        </w:tabs>
        <w:spacing w:before="100" w:beforeAutospacing="1" w:after="100" w:afterAutospacing="1"/>
        <w:rPr>
          <w:rFonts w:ascii="Times New Roman" w:hAnsi="Times New Roman"/>
        </w:rPr>
        <w:sectPr w:rsidR="007C4522" w:rsidRPr="00755E20" w:rsidSect="00B018A6">
          <w:type w:val="continuous"/>
          <w:pgSz w:w="15840" w:h="12240" w:orient="landscape"/>
          <w:pgMar w:top="1440" w:right="1440" w:bottom="1440" w:left="1440" w:header="0" w:footer="0" w:gutter="0"/>
          <w:lnNumType w:countBy="1" w:restart="continuous"/>
          <w:cols w:space="475"/>
          <w:docGrid w:linePitch="326"/>
        </w:sectPr>
      </w:pPr>
      <w:r>
        <w:rPr>
          <w:rFonts w:ascii="Times New Roman" w:hAnsi="Times New Roman"/>
          <w:b/>
        </w:rPr>
        <w:t>F</w:t>
      </w:r>
      <w:r w:rsidRPr="00420AA6">
        <w:rPr>
          <w:rFonts w:ascii="Times New Roman" w:hAnsi="Times New Roman"/>
          <w:b/>
        </w:rPr>
        <w:t xml:space="preserve">igure </w:t>
      </w:r>
      <w:r w:rsidR="009D6D01">
        <w:rPr>
          <w:rFonts w:ascii="Times New Roman" w:hAnsi="Times New Roman"/>
          <w:b/>
        </w:rPr>
        <w:t>2</w:t>
      </w:r>
      <w:r w:rsidRPr="00420AA6">
        <w:rPr>
          <w:rFonts w:ascii="Times New Roman" w:hAnsi="Times New Roman"/>
          <w:b/>
        </w:rPr>
        <w:t>.</w:t>
      </w:r>
      <w:r w:rsidRPr="00420AA6">
        <w:rPr>
          <w:rFonts w:ascii="Times New Roman" w:hAnsi="Times New Roman"/>
        </w:rPr>
        <w:t xml:space="preserve"> Top </w:t>
      </w:r>
      <w:r>
        <w:rPr>
          <w:rFonts w:ascii="Times New Roman" w:hAnsi="Times New Roman"/>
        </w:rPr>
        <w:t>5</w:t>
      </w:r>
      <w:r w:rsidRPr="00420AA6">
        <w:rPr>
          <w:rFonts w:ascii="Times New Roman" w:hAnsi="Times New Roman"/>
        </w:rPr>
        <w:t xml:space="preserve"> </w:t>
      </w:r>
      <w:r>
        <w:rPr>
          <w:rFonts w:ascii="Times New Roman" w:hAnsi="Times New Roman"/>
        </w:rPr>
        <w:t xml:space="preserve">continent-level </w:t>
      </w:r>
      <w:r w:rsidRPr="00420AA6">
        <w:rPr>
          <w:rFonts w:ascii="Times New Roman" w:hAnsi="Times New Roman"/>
        </w:rPr>
        <w:t xml:space="preserve">displacements of </w:t>
      </w:r>
      <w:r w:rsidR="00890575">
        <w:rPr>
          <w:rFonts w:ascii="Times New Roman" w:hAnsi="Times New Roman"/>
        </w:rPr>
        <w:t>marine (top left, k</w:t>
      </w:r>
      <w:r>
        <w:rPr>
          <w:rFonts w:ascii="Times New Roman" w:hAnsi="Times New Roman"/>
        </w:rPr>
        <w:t>t N eq.) and freshwater (bottom left, kt P eq.)</w:t>
      </w:r>
      <w:r w:rsidRPr="00420AA6">
        <w:rPr>
          <w:rFonts w:ascii="Times New Roman" w:hAnsi="Times New Roman"/>
        </w:rPr>
        <w:t xml:space="preserve"> eutrophication</w:t>
      </w:r>
      <w:r>
        <w:rPr>
          <w:rFonts w:ascii="Times New Roman" w:hAnsi="Times New Roman"/>
        </w:rPr>
        <w:t xml:space="preserve"> </w:t>
      </w:r>
      <w:r w:rsidR="002A3F5A">
        <w:rPr>
          <w:rFonts w:ascii="Times New Roman" w:hAnsi="Times New Roman"/>
        </w:rPr>
        <w:t>associated with</w:t>
      </w:r>
      <w:r>
        <w:rPr>
          <w:rFonts w:ascii="Times New Roman" w:hAnsi="Times New Roman"/>
        </w:rPr>
        <w:t xml:space="preserve"> trade </w:t>
      </w:r>
      <w:r w:rsidR="00A35A23">
        <w:rPr>
          <w:rFonts w:ascii="Times New Roman" w:hAnsi="Times New Roman"/>
        </w:rPr>
        <w:t xml:space="preserve">satisfying </w:t>
      </w:r>
      <w:r>
        <w:rPr>
          <w:rFonts w:ascii="Times New Roman" w:hAnsi="Times New Roman"/>
        </w:rPr>
        <w:t xml:space="preserve">food and </w:t>
      </w:r>
      <w:r w:rsidR="00C40E12">
        <w:rPr>
          <w:rFonts w:ascii="Times New Roman" w:hAnsi="Times New Roman"/>
        </w:rPr>
        <w:t>non-food</w:t>
      </w:r>
      <w:r w:rsidR="00A35A23">
        <w:rPr>
          <w:rFonts w:ascii="Times New Roman" w:hAnsi="Times New Roman"/>
        </w:rPr>
        <w:t xml:space="preserve"> demand</w:t>
      </w:r>
      <w:r w:rsidR="00DD1F5F">
        <w:rPr>
          <w:rFonts w:ascii="Times New Roman" w:hAnsi="Times New Roman"/>
        </w:rPr>
        <w:t>.</w:t>
      </w:r>
      <w:r w:rsidR="00966CA3">
        <w:rPr>
          <w:rFonts w:ascii="Times New Roman" w:hAnsi="Times New Roman"/>
        </w:rPr>
        <w:t xml:space="preserve"> </w:t>
      </w:r>
      <w:r w:rsidR="00DD1F5F" w:rsidRPr="00DD1F5F">
        <w:rPr>
          <w:rFonts w:ascii="Times New Roman" w:hAnsi="Times New Roman"/>
        </w:rPr>
        <w:t xml:space="preserve">Arrows represent the flow of embodied impacts that occur in the country of </w:t>
      </w:r>
      <w:r w:rsidR="00DD1F5F" w:rsidRPr="00DD1F5F">
        <w:rPr>
          <w:rFonts w:ascii="Times New Roman" w:hAnsi="Times New Roman"/>
        </w:rPr>
        <w:lastRenderedPageBreak/>
        <w:t>origin (beginning of the arrow) for the consuming country (end of arrow)</w:t>
      </w:r>
      <w:r w:rsidR="00966CA3">
        <w:rPr>
          <w:rFonts w:ascii="Times New Roman" w:hAnsi="Times New Roman"/>
        </w:rPr>
        <w:t>. Gray shading differentiates regions</w:t>
      </w:r>
      <w:r w:rsidRPr="00DD1F5F">
        <w:rPr>
          <w:rFonts w:ascii="Times New Roman" w:hAnsi="Times New Roman"/>
        </w:rPr>
        <w:t>;</w:t>
      </w:r>
      <w:r>
        <w:rPr>
          <w:rFonts w:ascii="Times New Roman" w:hAnsi="Times New Roman"/>
        </w:rPr>
        <w:t xml:space="preserve"> G</w:t>
      </w:r>
      <w:r w:rsidR="00747405">
        <w:rPr>
          <w:rFonts w:ascii="Times New Roman" w:hAnsi="Times New Roman"/>
        </w:rPr>
        <w:t>lobal trade marine (top right, M</w:t>
      </w:r>
      <w:r>
        <w:rPr>
          <w:rFonts w:ascii="Times New Roman" w:hAnsi="Times New Roman"/>
        </w:rPr>
        <w:t xml:space="preserve">t N eq.) and freshwater (bottom right, </w:t>
      </w:r>
      <w:r w:rsidR="00966CA3">
        <w:rPr>
          <w:rFonts w:ascii="Times New Roman" w:hAnsi="Times New Roman"/>
        </w:rPr>
        <w:t xml:space="preserve">kt P eq.) footprints over time </w:t>
      </w:r>
      <w:r>
        <w:rPr>
          <w:rFonts w:ascii="Times New Roman" w:hAnsi="Times New Roman"/>
        </w:rPr>
        <w:t>based on production sector and consumed product type.</w:t>
      </w:r>
      <w:r w:rsidR="002A3F5A">
        <w:rPr>
          <w:rFonts w:ascii="Times New Roman" w:hAnsi="Times New Roman"/>
        </w:rPr>
        <w:t xml:space="preserve"> </w:t>
      </w:r>
    </w:p>
    <w:p w14:paraId="2F14D727" w14:textId="77777777" w:rsidR="00944DC1" w:rsidRDefault="00944DC1" w:rsidP="00944DC1">
      <w:pPr>
        <w:rPr>
          <w:i/>
        </w:rPr>
      </w:pPr>
      <w:r w:rsidRPr="00C75C92">
        <w:rPr>
          <w:i/>
        </w:rPr>
        <w:lastRenderedPageBreak/>
        <w:t>Income Eutrophication Relationship</w:t>
      </w:r>
      <w:r>
        <w:rPr>
          <w:i/>
        </w:rPr>
        <w: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6"/>
        <w:gridCol w:w="2232"/>
        <w:gridCol w:w="725"/>
        <w:gridCol w:w="1459"/>
        <w:gridCol w:w="386"/>
        <w:gridCol w:w="489"/>
        <w:gridCol w:w="130"/>
        <w:gridCol w:w="655"/>
        <w:gridCol w:w="1531"/>
        <w:gridCol w:w="440"/>
        <w:gridCol w:w="554"/>
      </w:tblGrid>
      <w:tr w:rsidR="00944DC1" w:rsidRPr="003A64DC" w14:paraId="7F0A75EA" w14:textId="77777777" w:rsidTr="00944DC1">
        <w:tc>
          <w:tcPr>
            <w:tcW w:w="231" w:type="pct"/>
            <w:tcBorders>
              <w:top w:val="single" w:sz="4" w:space="0" w:color="auto"/>
              <w:left w:val="single" w:sz="4" w:space="0" w:color="auto"/>
            </w:tcBorders>
          </w:tcPr>
          <w:p w14:paraId="4D8EB5DB" w14:textId="77777777" w:rsidR="00944DC1" w:rsidRPr="003A64DC" w:rsidRDefault="00944DC1" w:rsidP="00944DC1">
            <w:pPr>
              <w:spacing w:after="0"/>
              <w:rPr>
                <w:rFonts w:ascii="Times New Roman" w:hAnsi="Times New Roman"/>
                <w:sz w:val="18"/>
                <w:szCs w:val="18"/>
              </w:rPr>
            </w:pPr>
          </w:p>
        </w:tc>
        <w:tc>
          <w:tcPr>
            <w:tcW w:w="1238" w:type="pct"/>
            <w:tcBorders>
              <w:top w:val="single" w:sz="4" w:space="0" w:color="auto"/>
              <w:right w:val="single" w:sz="4" w:space="0" w:color="auto"/>
            </w:tcBorders>
          </w:tcPr>
          <w:p w14:paraId="76E35F5B" w14:textId="77777777" w:rsidR="00944DC1" w:rsidRPr="003A64DC" w:rsidRDefault="00944DC1" w:rsidP="00944DC1">
            <w:pPr>
              <w:spacing w:after="0"/>
              <w:rPr>
                <w:rFonts w:ascii="Times New Roman" w:hAnsi="Times New Roman"/>
                <w:sz w:val="20"/>
                <w:szCs w:val="18"/>
              </w:rPr>
            </w:pPr>
          </w:p>
        </w:tc>
        <w:tc>
          <w:tcPr>
            <w:tcW w:w="1696" w:type="pct"/>
            <w:gridSpan w:val="4"/>
            <w:tcBorders>
              <w:top w:val="single" w:sz="4" w:space="0" w:color="auto"/>
              <w:left w:val="single" w:sz="4" w:space="0" w:color="auto"/>
            </w:tcBorders>
          </w:tcPr>
          <w:p w14:paraId="0BCE2D3C" w14:textId="77777777" w:rsidR="00944DC1" w:rsidRPr="003A64DC" w:rsidRDefault="00944DC1" w:rsidP="00944DC1">
            <w:pPr>
              <w:spacing w:after="0"/>
              <w:jc w:val="center"/>
              <w:rPr>
                <w:rFonts w:ascii="Segoe UI Light" w:hAnsi="Segoe UI Light" w:cs="Segoe UI Light"/>
                <w:b/>
                <w:sz w:val="20"/>
                <w:szCs w:val="18"/>
              </w:rPr>
            </w:pPr>
            <w:r w:rsidRPr="003A64DC">
              <w:rPr>
                <w:rFonts w:ascii="Segoe UI Light" w:hAnsi="Segoe UI Light" w:cs="Segoe UI Light"/>
                <w:b/>
                <w:sz w:val="20"/>
                <w:szCs w:val="18"/>
              </w:rPr>
              <w:t>Marine Eutrophication (ME)</w:t>
            </w:r>
          </w:p>
        </w:tc>
        <w:tc>
          <w:tcPr>
            <w:tcW w:w="72" w:type="pct"/>
            <w:tcBorders>
              <w:top w:val="single" w:sz="4" w:space="0" w:color="auto"/>
            </w:tcBorders>
          </w:tcPr>
          <w:p w14:paraId="7FA9FDFB" w14:textId="77777777" w:rsidR="00944DC1" w:rsidRPr="003A64DC" w:rsidRDefault="00944DC1" w:rsidP="00944DC1">
            <w:pPr>
              <w:spacing w:after="0"/>
              <w:jc w:val="center"/>
              <w:rPr>
                <w:rFonts w:ascii="Segoe UI Light" w:hAnsi="Segoe UI Light" w:cs="Segoe UI Light"/>
                <w:b/>
                <w:sz w:val="20"/>
                <w:szCs w:val="18"/>
              </w:rPr>
            </w:pPr>
          </w:p>
        </w:tc>
        <w:tc>
          <w:tcPr>
            <w:tcW w:w="1763" w:type="pct"/>
            <w:gridSpan w:val="4"/>
            <w:tcBorders>
              <w:top w:val="single" w:sz="4" w:space="0" w:color="auto"/>
              <w:left w:val="nil"/>
              <w:right w:val="single" w:sz="4" w:space="0" w:color="auto"/>
            </w:tcBorders>
          </w:tcPr>
          <w:p w14:paraId="37818650" w14:textId="77777777" w:rsidR="00944DC1" w:rsidRPr="003A64DC" w:rsidRDefault="00944DC1" w:rsidP="00944DC1">
            <w:pPr>
              <w:spacing w:after="0"/>
              <w:jc w:val="center"/>
              <w:rPr>
                <w:rFonts w:ascii="Segoe UI Light" w:hAnsi="Segoe UI Light" w:cs="Segoe UI Light"/>
                <w:b/>
                <w:sz w:val="20"/>
                <w:szCs w:val="18"/>
              </w:rPr>
            </w:pPr>
            <w:r w:rsidRPr="003A64DC">
              <w:rPr>
                <w:rFonts w:ascii="Segoe UI Light" w:hAnsi="Segoe UI Light" w:cs="Segoe UI Light"/>
                <w:b/>
                <w:sz w:val="20"/>
                <w:szCs w:val="18"/>
              </w:rPr>
              <w:t>Freshwater Eutrophication (FE)</w:t>
            </w:r>
          </w:p>
        </w:tc>
      </w:tr>
      <w:tr w:rsidR="00944DC1" w:rsidRPr="003A64DC" w14:paraId="0EDF54F4" w14:textId="77777777" w:rsidTr="00944DC1">
        <w:tc>
          <w:tcPr>
            <w:tcW w:w="231" w:type="pct"/>
            <w:tcBorders>
              <w:left w:val="single" w:sz="4" w:space="0" w:color="auto"/>
              <w:bottom w:val="single" w:sz="4" w:space="0" w:color="auto"/>
            </w:tcBorders>
          </w:tcPr>
          <w:p w14:paraId="4F5A7D74" w14:textId="77777777" w:rsidR="00944DC1" w:rsidRPr="003A64DC" w:rsidRDefault="00944DC1" w:rsidP="00944DC1">
            <w:pPr>
              <w:spacing w:after="0"/>
              <w:rPr>
                <w:rFonts w:ascii="Times New Roman" w:hAnsi="Times New Roman"/>
                <w:sz w:val="18"/>
                <w:szCs w:val="18"/>
              </w:rPr>
            </w:pPr>
          </w:p>
        </w:tc>
        <w:tc>
          <w:tcPr>
            <w:tcW w:w="1238" w:type="pct"/>
            <w:tcBorders>
              <w:bottom w:val="single" w:sz="4" w:space="0" w:color="auto"/>
              <w:right w:val="single" w:sz="4" w:space="0" w:color="auto"/>
            </w:tcBorders>
          </w:tcPr>
          <w:p w14:paraId="5D8BB743" w14:textId="77777777" w:rsidR="00944DC1" w:rsidRPr="003A64DC" w:rsidRDefault="00944DC1" w:rsidP="00944DC1">
            <w:pPr>
              <w:spacing w:after="0"/>
              <w:rPr>
                <w:rFonts w:ascii="Times New Roman" w:hAnsi="Times New Roman"/>
                <w:sz w:val="18"/>
                <w:szCs w:val="18"/>
              </w:rPr>
            </w:pPr>
          </w:p>
        </w:tc>
        <w:tc>
          <w:tcPr>
            <w:tcW w:w="1211" w:type="pct"/>
            <w:gridSpan w:val="2"/>
            <w:tcBorders>
              <w:left w:val="single" w:sz="4" w:space="0" w:color="auto"/>
              <w:bottom w:val="single" w:sz="4" w:space="0" w:color="auto"/>
            </w:tcBorders>
          </w:tcPr>
          <w:p w14:paraId="5402634D" w14:textId="77777777" w:rsidR="00944DC1" w:rsidRPr="003A64DC" w:rsidRDefault="00944DC1" w:rsidP="00944DC1">
            <w:pPr>
              <w:spacing w:after="0"/>
              <w:jc w:val="center"/>
              <w:rPr>
                <w:rFonts w:ascii="Segoe UI Light" w:hAnsi="Segoe UI Light" w:cs="Segoe UI Light"/>
                <w:sz w:val="18"/>
                <w:szCs w:val="18"/>
              </w:rPr>
            </w:pPr>
            <w:r w:rsidRPr="003A64DC">
              <w:rPr>
                <w:rFonts w:ascii="Segoe UI Light" w:hAnsi="Segoe UI Light" w:cs="Segoe UI Light"/>
                <w:sz w:val="18"/>
                <w:szCs w:val="18"/>
              </w:rPr>
              <w:t>Income Elasticity (95% CI)</w:t>
            </w:r>
          </w:p>
        </w:tc>
        <w:tc>
          <w:tcPr>
            <w:tcW w:w="214" w:type="pct"/>
            <w:tcBorders>
              <w:bottom w:val="single" w:sz="4" w:space="0" w:color="auto"/>
            </w:tcBorders>
          </w:tcPr>
          <w:p w14:paraId="7AA85244" w14:textId="77777777" w:rsidR="00944DC1" w:rsidRPr="003A64DC" w:rsidRDefault="00944DC1" w:rsidP="00944DC1">
            <w:pPr>
              <w:spacing w:after="0"/>
              <w:jc w:val="center"/>
              <w:rPr>
                <w:rFonts w:ascii="Segoe UI Light" w:hAnsi="Segoe UI Light" w:cs="Segoe UI Light"/>
                <w:sz w:val="18"/>
                <w:szCs w:val="18"/>
              </w:rPr>
            </w:pPr>
            <w:r w:rsidRPr="003A64DC">
              <w:rPr>
                <w:rFonts w:ascii="Segoe UI Light" w:hAnsi="Segoe UI Light" w:cs="Segoe UI Light"/>
                <w:sz w:val="18"/>
                <w:szCs w:val="18"/>
              </w:rPr>
              <w:t>Sig</w:t>
            </w:r>
          </w:p>
        </w:tc>
        <w:tc>
          <w:tcPr>
            <w:tcW w:w="271" w:type="pct"/>
            <w:tcBorders>
              <w:bottom w:val="single" w:sz="4" w:space="0" w:color="auto"/>
            </w:tcBorders>
          </w:tcPr>
          <w:p w14:paraId="2668FDFB" w14:textId="77777777" w:rsidR="00944DC1" w:rsidRPr="003A64DC" w:rsidRDefault="00944DC1" w:rsidP="00944DC1">
            <w:pPr>
              <w:spacing w:after="0"/>
              <w:jc w:val="center"/>
              <w:rPr>
                <w:rFonts w:ascii="Segoe UI Light" w:hAnsi="Segoe UI Light" w:cs="Segoe UI Light"/>
                <w:sz w:val="18"/>
                <w:szCs w:val="18"/>
                <w:vertAlign w:val="superscript"/>
              </w:rPr>
            </w:pPr>
            <w:r w:rsidRPr="003A64DC">
              <w:rPr>
                <w:rFonts w:ascii="Segoe UI Light" w:hAnsi="Segoe UI Light" w:cs="Segoe UI Light"/>
                <w:sz w:val="18"/>
                <w:szCs w:val="18"/>
              </w:rPr>
              <w:t>R</w:t>
            </w:r>
            <w:r w:rsidRPr="003A64DC">
              <w:rPr>
                <w:rFonts w:ascii="Segoe UI Light" w:hAnsi="Segoe UI Light" w:cs="Segoe UI Light"/>
                <w:sz w:val="18"/>
                <w:szCs w:val="18"/>
                <w:vertAlign w:val="superscript"/>
              </w:rPr>
              <w:t>2</w:t>
            </w:r>
          </w:p>
        </w:tc>
        <w:tc>
          <w:tcPr>
            <w:tcW w:w="72" w:type="pct"/>
            <w:tcBorders>
              <w:bottom w:val="single" w:sz="4" w:space="0" w:color="auto"/>
            </w:tcBorders>
          </w:tcPr>
          <w:p w14:paraId="24E442A7" w14:textId="77777777" w:rsidR="00944DC1" w:rsidRPr="003A64DC" w:rsidRDefault="00944DC1" w:rsidP="00944DC1">
            <w:pPr>
              <w:spacing w:after="0"/>
              <w:jc w:val="center"/>
              <w:rPr>
                <w:rFonts w:ascii="Segoe UI Light" w:hAnsi="Segoe UI Light" w:cs="Segoe UI Light"/>
                <w:sz w:val="18"/>
                <w:szCs w:val="18"/>
              </w:rPr>
            </w:pPr>
          </w:p>
        </w:tc>
        <w:tc>
          <w:tcPr>
            <w:tcW w:w="1211" w:type="pct"/>
            <w:gridSpan w:val="2"/>
            <w:tcBorders>
              <w:left w:val="nil"/>
              <w:bottom w:val="single" w:sz="4" w:space="0" w:color="auto"/>
            </w:tcBorders>
          </w:tcPr>
          <w:p w14:paraId="63DDCA8C" w14:textId="77777777" w:rsidR="00944DC1" w:rsidRPr="003A64DC" w:rsidRDefault="00944DC1" w:rsidP="00944DC1">
            <w:pPr>
              <w:spacing w:after="0"/>
              <w:jc w:val="center"/>
              <w:rPr>
                <w:rFonts w:ascii="Segoe UI Light" w:hAnsi="Segoe UI Light" w:cs="Segoe UI Light"/>
                <w:sz w:val="18"/>
                <w:szCs w:val="18"/>
              </w:rPr>
            </w:pPr>
            <w:r w:rsidRPr="003A64DC">
              <w:rPr>
                <w:rFonts w:ascii="Segoe UI Light" w:hAnsi="Segoe UI Light" w:cs="Segoe UI Light"/>
                <w:sz w:val="18"/>
                <w:szCs w:val="18"/>
              </w:rPr>
              <w:t>Income Elasticity (95% CI)</w:t>
            </w:r>
          </w:p>
        </w:tc>
        <w:tc>
          <w:tcPr>
            <w:tcW w:w="244" w:type="pct"/>
            <w:tcBorders>
              <w:bottom w:val="single" w:sz="4" w:space="0" w:color="auto"/>
            </w:tcBorders>
          </w:tcPr>
          <w:p w14:paraId="4EB03A72" w14:textId="77777777" w:rsidR="00944DC1" w:rsidRPr="003A64DC" w:rsidRDefault="00944DC1" w:rsidP="00944DC1">
            <w:pPr>
              <w:spacing w:after="0"/>
              <w:jc w:val="center"/>
              <w:rPr>
                <w:rFonts w:ascii="Segoe UI Light" w:hAnsi="Segoe UI Light" w:cs="Segoe UI Light"/>
                <w:sz w:val="18"/>
                <w:szCs w:val="18"/>
              </w:rPr>
            </w:pPr>
            <w:r w:rsidRPr="003A64DC">
              <w:rPr>
                <w:rFonts w:ascii="Segoe UI Light" w:hAnsi="Segoe UI Light" w:cs="Segoe UI Light"/>
                <w:sz w:val="18"/>
                <w:szCs w:val="18"/>
              </w:rPr>
              <w:t>Sig</w:t>
            </w:r>
          </w:p>
        </w:tc>
        <w:tc>
          <w:tcPr>
            <w:tcW w:w="308" w:type="pct"/>
            <w:tcBorders>
              <w:bottom w:val="single" w:sz="4" w:space="0" w:color="auto"/>
              <w:right w:val="single" w:sz="4" w:space="0" w:color="auto"/>
            </w:tcBorders>
          </w:tcPr>
          <w:p w14:paraId="59BEFC3B" w14:textId="77777777" w:rsidR="00944DC1" w:rsidRPr="003A64DC" w:rsidRDefault="00944DC1" w:rsidP="00944DC1">
            <w:pPr>
              <w:spacing w:after="0"/>
              <w:jc w:val="center"/>
              <w:rPr>
                <w:rFonts w:ascii="Segoe UI Light" w:hAnsi="Segoe UI Light" w:cs="Segoe UI Light"/>
                <w:sz w:val="18"/>
                <w:szCs w:val="18"/>
                <w:vertAlign w:val="superscript"/>
              </w:rPr>
            </w:pPr>
            <w:r w:rsidRPr="003A64DC">
              <w:rPr>
                <w:rFonts w:ascii="Segoe UI Light" w:hAnsi="Segoe UI Light" w:cs="Segoe UI Light"/>
                <w:sz w:val="18"/>
                <w:szCs w:val="18"/>
              </w:rPr>
              <w:t>R</w:t>
            </w:r>
            <w:r w:rsidRPr="003A64DC">
              <w:rPr>
                <w:rFonts w:ascii="Segoe UI Light" w:hAnsi="Segoe UI Light" w:cs="Segoe UI Light"/>
                <w:sz w:val="18"/>
                <w:szCs w:val="18"/>
                <w:vertAlign w:val="superscript"/>
              </w:rPr>
              <w:t>2</w:t>
            </w:r>
          </w:p>
        </w:tc>
      </w:tr>
      <w:tr w:rsidR="00944DC1" w:rsidRPr="003A64DC" w14:paraId="45CCA0CB" w14:textId="77777777" w:rsidTr="00944DC1">
        <w:tc>
          <w:tcPr>
            <w:tcW w:w="231" w:type="pct"/>
            <w:vMerge w:val="restart"/>
            <w:tcBorders>
              <w:top w:val="single" w:sz="4" w:space="0" w:color="auto"/>
              <w:left w:val="single" w:sz="4" w:space="0" w:color="auto"/>
            </w:tcBorders>
            <w:textDirection w:val="btLr"/>
            <w:vAlign w:val="center"/>
          </w:tcPr>
          <w:p w14:paraId="28CACF3C" w14:textId="77777777" w:rsidR="00944DC1" w:rsidRPr="00C934D8" w:rsidRDefault="00944DC1" w:rsidP="00944DC1">
            <w:pPr>
              <w:spacing w:after="0"/>
              <w:ind w:left="113" w:right="113"/>
              <w:jc w:val="center"/>
              <w:rPr>
                <w:rFonts w:ascii="Segoe UI Light" w:hAnsi="Segoe UI Light" w:cs="Segoe UI Light"/>
                <w:b/>
                <w:sz w:val="18"/>
                <w:szCs w:val="18"/>
              </w:rPr>
            </w:pPr>
            <w:r w:rsidRPr="00C934D8">
              <w:rPr>
                <w:rFonts w:ascii="Segoe UI Light" w:hAnsi="Segoe UI Light" w:cs="Segoe UI Light"/>
                <w:b/>
                <w:sz w:val="18"/>
                <w:szCs w:val="18"/>
              </w:rPr>
              <w:t>Cross-sectional analysis (2011)</w:t>
            </w:r>
          </w:p>
        </w:tc>
        <w:tc>
          <w:tcPr>
            <w:tcW w:w="1238" w:type="pct"/>
            <w:tcBorders>
              <w:top w:val="single" w:sz="4" w:space="0" w:color="auto"/>
              <w:right w:val="single" w:sz="4" w:space="0" w:color="auto"/>
            </w:tcBorders>
          </w:tcPr>
          <w:p w14:paraId="077D0C4A" w14:textId="77777777" w:rsidR="00944DC1" w:rsidRPr="00237326" w:rsidRDefault="00944DC1" w:rsidP="00944DC1">
            <w:pPr>
              <w:spacing w:after="0"/>
              <w:rPr>
                <w:rFonts w:ascii="Times New Roman" w:hAnsi="Times New Roman"/>
                <w:b/>
                <w:sz w:val="18"/>
                <w:szCs w:val="18"/>
              </w:rPr>
            </w:pPr>
            <w:r w:rsidRPr="00237326">
              <w:rPr>
                <w:rFonts w:ascii="Segoe UI Light" w:hAnsi="Segoe UI Light" w:cs="Segoe UI Light"/>
                <w:b/>
                <w:sz w:val="18"/>
                <w:szCs w:val="18"/>
              </w:rPr>
              <w:t>Total</w:t>
            </w:r>
          </w:p>
        </w:tc>
        <w:tc>
          <w:tcPr>
            <w:tcW w:w="402" w:type="pct"/>
            <w:tcBorders>
              <w:top w:val="single" w:sz="4" w:space="0" w:color="auto"/>
              <w:left w:val="single" w:sz="4" w:space="0" w:color="auto"/>
            </w:tcBorders>
          </w:tcPr>
          <w:p w14:paraId="634D1E0A"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0.93</w:t>
            </w:r>
          </w:p>
        </w:tc>
        <w:tc>
          <w:tcPr>
            <w:tcW w:w="809" w:type="pct"/>
            <w:tcBorders>
              <w:top w:val="single" w:sz="4" w:space="0" w:color="auto"/>
            </w:tcBorders>
          </w:tcPr>
          <w:p w14:paraId="20865773"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(0.68,  1.18)</w:t>
            </w:r>
          </w:p>
        </w:tc>
        <w:tc>
          <w:tcPr>
            <w:tcW w:w="214" w:type="pct"/>
            <w:tcBorders>
              <w:top w:val="single" w:sz="4" w:space="0" w:color="auto"/>
            </w:tcBorders>
          </w:tcPr>
          <w:p w14:paraId="5CD5AD3E"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w:t>
            </w:r>
          </w:p>
        </w:tc>
        <w:tc>
          <w:tcPr>
            <w:tcW w:w="271" w:type="pct"/>
            <w:tcBorders>
              <w:top w:val="single" w:sz="4" w:space="0" w:color="auto"/>
            </w:tcBorders>
          </w:tcPr>
          <w:p w14:paraId="0C6414E5"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0.51</w:t>
            </w:r>
          </w:p>
        </w:tc>
        <w:tc>
          <w:tcPr>
            <w:tcW w:w="72" w:type="pct"/>
            <w:tcBorders>
              <w:top w:val="single" w:sz="4" w:space="0" w:color="auto"/>
            </w:tcBorders>
          </w:tcPr>
          <w:p w14:paraId="768241D8" w14:textId="77777777" w:rsidR="00944DC1" w:rsidRPr="00237326" w:rsidRDefault="00944DC1" w:rsidP="00944DC1">
            <w:pPr>
              <w:spacing w:after="0"/>
              <w:rPr>
                <w:rFonts w:ascii="Segoe UI Light" w:hAnsi="Segoe UI Light" w:cs="Segoe UI Light"/>
                <w:b/>
                <w:sz w:val="18"/>
                <w:szCs w:val="18"/>
              </w:rPr>
            </w:pPr>
          </w:p>
        </w:tc>
        <w:tc>
          <w:tcPr>
            <w:tcW w:w="363" w:type="pct"/>
            <w:tcBorders>
              <w:top w:val="single" w:sz="4" w:space="0" w:color="auto"/>
              <w:left w:val="nil"/>
            </w:tcBorders>
          </w:tcPr>
          <w:p w14:paraId="7E25058F"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0.79</w:t>
            </w:r>
          </w:p>
        </w:tc>
        <w:tc>
          <w:tcPr>
            <w:tcW w:w="849" w:type="pct"/>
            <w:tcBorders>
              <w:top w:val="single" w:sz="4" w:space="0" w:color="auto"/>
            </w:tcBorders>
          </w:tcPr>
          <w:p w14:paraId="6D533628" w14:textId="77777777" w:rsidR="00944DC1" w:rsidRPr="00167FCD" w:rsidRDefault="00944DC1" w:rsidP="00944DC1">
            <w:pPr>
              <w:spacing w:after="0"/>
              <w:rPr>
                <w:rFonts w:ascii="Segoe UI Light" w:hAnsi="Segoe UI Light" w:cs="Segoe UI Light"/>
                <w:b/>
                <w:sz w:val="18"/>
                <w:szCs w:val="18"/>
              </w:rPr>
            </w:pPr>
            <w:r w:rsidRPr="00167FCD">
              <w:rPr>
                <w:rFonts w:ascii="Segoe UI Light" w:hAnsi="Segoe UI Light" w:cs="Segoe UI Light"/>
                <w:b/>
                <w:sz w:val="18"/>
                <w:szCs w:val="18"/>
              </w:rPr>
              <w:t>(0.39,  1.20)</w:t>
            </w:r>
          </w:p>
        </w:tc>
        <w:tc>
          <w:tcPr>
            <w:tcW w:w="244" w:type="pct"/>
            <w:tcBorders>
              <w:top w:val="single" w:sz="4" w:space="0" w:color="auto"/>
            </w:tcBorders>
          </w:tcPr>
          <w:p w14:paraId="2C519C6F"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b/>
                <w:sz w:val="18"/>
                <w:szCs w:val="18"/>
              </w:rPr>
              <w:t>***</w:t>
            </w:r>
          </w:p>
        </w:tc>
        <w:tc>
          <w:tcPr>
            <w:tcW w:w="308" w:type="pct"/>
            <w:tcBorders>
              <w:top w:val="single" w:sz="4" w:space="0" w:color="auto"/>
              <w:right w:val="single" w:sz="4" w:space="0" w:color="auto"/>
            </w:tcBorders>
          </w:tcPr>
          <w:p w14:paraId="51EB2A8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0.44</w:t>
            </w:r>
          </w:p>
        </w:tc>
      </w:tr>
      <w:tr w:rsidR="00944DC1" w:rsidRPr="003A64DC" w14:paraId="5CB90D2A" w14:textId="77777777" w:rsidTr="00944DC1">
        <w:tc>
          <w:tcPr>
            <w:tcW w:w="231" w:type="pct"/>
            <w:vMerge/>
            <w:tcBorders>
              <w:left w:val="single" w:sz="4" w:space="0" w:color="auto"/>
            </w:tcBorders>
          </w:tcPr>
          <w:p w14:paraId="5641545A"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234DDAE9" w14:textId="77777777" w:rsidR="00944DC1" w:rsidRPr="00237326" w:rsidRDefault="00944DC1" w:rsidP="00944DC1">
            <w:pPr>
              <w:spacing w:after="0"/>
              <w:rPr>
                <w:rFonts w:ascii="Times New Roman" w:hAnsi="Times New Roman"/>
                <w:b/>
                <w:sz w:val="18"/>
                <w:szCs w:val="18"/>
              </w:rPr>
            </w:pPr>
            <w:r w:rsidRPr="00237326">
              <w:rPr>
                <w:rFonts w:ascii="Segoe UI Light" w:hAnsi="Segoe UI Light" w:cs="Segoe UI Light"/>
                <w:b/>
                <w:sz w:val="18"/>
                <w:szCs w:val="18"/>
              </w:rPr>
              <w:t xml:space="preserve">   Food</w:t>
            </w:r>
          </w:p>
        </w:tc>
        <w:tc>
          <w:tcPr>
            <w:tcW w:w="402" w:type="pct"/>
            <w:tcBorders>
              <w:left w:val="single" w:sz="4" w:space="0" w:color="auto"/>
            </w:tcBorders>
          </w:tcPr>
          <w:p w14:paraId="7CD3EACB"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0.91</w:t>
            </w:r>
          </w:p>
        </w:tc>
        <w:tc>
          <w:tcPr>
            <w:tcW w:w="809" w:type="pct"/>
          </w:tcPr>
          <w:p w14:paraId="68E358E4"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(0.61,  1.21)</w:t>
            </w:r>
          </w:p>
        </w:tc>
        <w:tc>
          <w:tcPr>
            <w:tcW w:w="214" w:type="pct"/>
          </w:tcPr>
          <w:p w14:paraId="74D61970"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w:t>
            </w:r>
          </w:p>
        </w:tc>
        <w:tc>
          <w:tcPr>
            <w:tcW w:w="271" w:type="pct"/>
          </w:tcPr>
          <w:p w14:paraId="549ACC22"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0.42</w:t>
            </w:r>
          </w:p>
        </w:tc>
        <w:tc>
          <w:tcPr>
            <w:tcW w:w="72" w:type="pct"/>
          </w:tcPr>
          <w:p w14:paraId="5196044D" w14:textId="77777777" w:rsidR="00944DC1" w:rsidRPr="00237326" w:rsidRDefault="00944DC1" w:rsidP="00944DC1">
            <w:pPr>
              <w:spacing w:after="0"/>
              <w:rPr>
                <w:rFonts w:ascii="Segoe UI Light" w:hAnsi="Segoe UI Light" w:cs="Segoe UI Light"/>
                <w:b/>
                <w:sz w:val="18"/>
                <w:szCs w:val="18"/>
              </w:rPr>
            </w:pPr>
          </w:p>
        </w:tc>
        <w:tc>
          <w:tcPr>
            <w:tcW w:w="363" w:type="pct"/>
            <w:tcBorders>
              <w:left w:val="nil"/>
            </w:tcBorders>
          </w:tcPr>
          <w:p w14:paraId="032FD08C"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0.74</w:t>
            </w:r>
          </w:p>
        </w:tc>
        <w:tc>
          <w:tcPr>
            <w:tcW w:w="849" w:type="pct"/>
          </w:tcPr>
          <w:p w14:paraId="5C6044C7" w14:textId="77777777" w:rsidR="00944DC1" w:rsidRPr="00167FCD" w:rsidRDefault="00944DC1" w:rsidP="00944DC1">
            <w:pPr>
              <w:spacing w:after="0"/>
              <w:rPr>
                <w:rFonts w:ascii="Segoe UI Light" w:hAnsi="Segoe UI Light" w:cs="Segoe UI Light"/>
                <w:b/>
                <w:sz w:val="18"/>
                <w:szCs w:val="18"/>
              </w:rPr>
            </w:pPr>
            <w:r w:rsidRPr="00167FCD">
              <w:rPr>
                <w:rFonts w:ascii="Segoe UI Light" w:hAnsi="Segoe UI Light" w:cs="Segoe UI Light"/>
                <w:b/>
                <w:sz w:val="18"/>
                <w:szCs w:val="18"/>
              </w:rPr>
              <w:t>(0.34,  1.13)</w:t>
            </w:r>
          </w:p>
        </w:tc>
        <w:tc>
          <w:tcPr>
            <w:tcW w:w="244" w:type="pct"/>
          </w:tcPr>
          <w:p w14:paraId="743B6FCB"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b/>
                <w:sz w:val="18"/>
                <w:szCs w:val="18"/>
              </w:rPr>
              <w:t>***</w:t>
            </w:r>
          </w:p>
        </w:tc>
        <w:tc>
          <w:tcPr>
            <w:tcW w:w="308" w:type="pct"/>
            <w:tcBorders>
              <w:right w:val="single" w:sz="4" w:space="0" w:color="auto"/>
            </w:tcBorders>
          </w:tcPr>
          <w:p w14:paraId="273CA600"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0.39</w:t>
            </w:r>
          </w:p>
        </w:tc>
      </w:tr>
      <w:tr w:rsidR="00944DC1" w:rsidRPr="003A64DC" w14:paraId="5D0FAEAD" w14:textId="77777777" w:rsidTr="00944DC1">
        <w:tc>
          <w:tcPr>
            <w:tcW w:w="231" w:type="pct"/>
            <w:vMerge/>
            <w:tcBorders>
              <w:left w:val="single" w:sz="4" w:space="0" w:color="auto"/>
            </w:tcBorders>
          </w:tcPr>
          <w:p w14:paraId="423AE2D1"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681C4E9B" w14:textId="77777777" w:rsidR="00944DC1" w:rsidRPr="003A64DC" w:rsidRDefault="00944DC1" w:rsidP="00944DC1">
            <w:pPr>
              <w:spacing w:after="0"/>
              <w:rPr>
                <w:rFonts w:ascii="Times New Roman" w:hAnsi="Times New Roman"/>
                <w:sz w:val="18"/>
                <w:szCs w:val="18"/>
              </w:rPr>
            </w:pPr>
            <w:r w:rsidRPr="003A64DC">
              <w:rPr>
                <w:rFonts w:ascii="Segoe UI Light" w:hAnsi="Segoe UI Light" w:cs="Segoe UI Light"/>
                <w:sz w:val="18"/>
                <w:szCs w:val="18"/>
              </w:rPr>
              <w:t xml:space="preserve">     Plant-based food</w:t>
            </w:r>
          </w:p>
        </w:tc>
        <w:tc>
          <w:tcPr>
            <w:tcW w:w="402" w:type="pct"/>
            <w:tcBorders>
              <w:left w:val="single" w:sz="4" w:space="0" w:color="auto"/>
            </w:tcBorders>
          </w:tcPr>
          <w:p w14:paraId="2100729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0.72</w:t>
            </w:r>
          </w:p>
        </w:tc>
        <w:tc>
          <w:tcPr>
            <w:tcW w:w="809" w:type="pct"/>
          </w:tcPr>
          <w:p w14:paraId="2939D6DD"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B056F8">
              <w:rPr>
                <w:rFonts w:ascii="Segoe UI Light" w:hAnsi="Segoe UI Light" w:cs="Segoe UI Light"/>
                <w:sz w:val="18"/>
                <w:szCs w:val="18"/>
              </w:rPr>
              <w:t>0.27,</w:t>
            </w:r>
            <w:r>
              <w:rPr>
                <w:rFonts w:ascii="Segoe UI Light" w:hAnsi="Segoe UI Light" w:cs="Segoe UI Light"/>
                <w:sz w:val="18"/>
                <w:szCs w:val="18"/>
              </w:rPr>
              <w:t xml:space="preserve">  </w:t>
            </w:r>
            <w:r w:rsidRPr="00B056F8">
              <w:rPr>
                <w:rFonts w:ascii="Segoe UI Light" w:hAnsi="Segoe UI Light" w:cs="Segoe UI Light"/>
                <w:sz w:val="18"/>
                <w:szCs w:val="18"/>
              </w:rPr>
              <w:t>1.17</w:t>
            </w:r>
            <w:r>
              <w:rPr>
                <w:rFonts w:ascii="Segoe UI Light" w:hAnsi="Segoe UI Light" w:cs="Segoe UI Light"/>
                <w:sz w:val="18"/>
                <w:szCs w:val="18"/>
              </w:rPr>
              <w:t>)</w:t>
            </w:r>
          </w:p>
        </w:tc>
        <w:tc>
          <w:tcPr>
            <w:tcW w:w="214" w:type="pct"/>
          </w:tcPr>
          <w:p w14:paraId="2AF4B05B"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081E654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0.21</w:t>
            </w:r>
          </w:p>
        </w:tc>
        <w:tc>
          <w:tcPr>
            <w:tcW w:w="72" w:type="pct"/>
          </w:tcPr>
          <w:p w14:paraId="111F526C"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79A9AA9C"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0.59</w:t>
            </w:r>
          </w:p>
        </w:tc>
        <w:tc>
          <w:tcPr>
            <w:tcW w:w="849" w:type="pct"/>
          </w:tcPr>
          <w:p w14:paraId="7D03176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0.16,</w:t>
            </w:r>
            <w:r>
              <w:rPr>
                <w:rFonts w:ascii="Segoe UI Light" w:hAnsi="Segoe UI Light" w:cs="Segoe UI Light"/>
                <w:sz w:val="18"/>
                <w:szCs w:val="18"/>
              </w:rPr>
              <w:t xml:space="preserve">  </w:t>
            </w:r>
            <w:r w:rsidRPr="00167FCD">
              <w:rPr>
                <w:rFonts w:ascii="Segoe UI Light" w:hAnsi="Segoe UI Light" w:cs="Segoe UI Light"/>
                <w:sz w:val="18"/>
                <w:szCs w:val="18"/>
              </w:rPr>
              <w:t>1.01</w:t>
            </w:r>
            <w:r>
              <w:rPr>
                <w:rFonts w:ascii="Segoe UI Light" w:hAnsi="Segoe UI Light" w:cs="Segoe UI Light"/>
                <w:sz w:val="18"/>
                <w:szCs w:val="18"/>
              </w:rPr>
              <w:t>)</w:t>
            </w:r>
          </w:p>
        </w:tc>
        <w:tc>
          <w:tcPr>
            <w:tcW w:w="244" w:type="pct"/>
          </w:tcPr>
          <w:p w14:paraId="7AA5F0FB"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4B1AC54B"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0.14</w:t>
            </w:r>
          </w:p>
        </w:tc>
      </w:tr>
      <w:tr w:rsidR="00944DC1" w:rsidRPr="003A64DC" w14:paraId="0CB380FC" w14:textId="77777777" w:rsidTr="00944DC1">
        <w:tc>
          <w:tcPr>
            <w:tcW w:w="231" w:type="pct"/>
            <w:vMerge/>
            <w:tcBorders>
              <w:left w:val="single" w:sz="4" w:space="0" w:color="auto"/>
            </w:tcBorders>
          </w:tcPr>
          <w:p w14:paraId="3DAD1A49"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34D62A87" w14:textId="77777777" w:rsidR="00944DC1" w:rsidRPr="003A64DC" w:rsidRDefault="00944DC1" w:rsidP="00944DC1">
            <w:pPr>
              <w:spacing w:after="0"/>
              <w:rPr>
                <w:rFonts w:ascii="Times New Roman" w:hAnsi="Times New Roman"/>
                <w:sz w:val="18"/>
                <w:szCs w:val="18"/>
              </w:rPr>
            </w:pPr>
            <w:r w:rsidRPr="003A64DC">
              <w:rPr>
                <w:rFonts w:ascii="Segoe UI Light" w:hAnsi="Segoe UI Light" w:cs="Segoe UI Light"/>
                <w:sz w:val="18"/>
                <w:szCs w:val="18"/>
              </w:rPr>
              <w:t xml:space="preserve">     Animal-based food</w:t>
            </w:r>
          </w:p>
        </w:tc>
        <w:tc>
          <w:tcPr>
            <w:tcW w:w="402" w:type="pct"/>
            <w:tcBorders>
              <w:left w:val="single" w:sz="4" w:space="0" w:color="auto"/>
            </w:tcBorders>
          </w:tcPr>
          <w:p w14:paraId="172A45E0"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0.88</w:t>
            </w:r>
          </w:p>
        </w:tc>
        <w:tc>
          <w:tcPr>
            <w:tcW w:w="809" w:type="pct"/>
          </w:tcPr>
          <w:p w14:paraId="4BC76B21"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B056F8">
              <w:rPr>
                <w:rFonts w:ascii="Segoe UI Light" w:hAnsi="Segoe UI Light" w:cs="Segoe UI Light"/>
                <w:sz w:val="18"/>
                <w:szCs w:val="18"/>
              </w:rPr>
              <w:t>0.59,</w:t>
            </w:r>
            <w:r>
              <w:rPr>
                <w:rFonts w:ascii="Segoe UI Light" w:hAnsi="Segoe UI Light" w:cs="Segoe UI Light"/>
                <w:sz w:val="18"/>
                <w:szCs w:val="18"/>
              </w:rPr>
              <w:t xml:space="preserve">  </w:t>
            </w:r>
            <w:r w:rsidRPr="00B056F8">
              <w:rPr>
                <w:rFonts w:ascii="Segoe UI Light" w:hAnsi="Segoe UI Light" w:cs="Segoe UI Light"/>
                <w:sz w:val="18"/>
                <w:szCs w:val="18"/>
              </w:rPr>
              <w:t>1.17</w:t>
            </w:r>
            <w:r>
              <w:rPr>
                <w:rFonts w:ascii="Segoe UI Light" w:hAnsi="Segoe UI Light" w:cs="Segoe UI Light"/>
                <w:sz w:val="18"/>
                <w:szCs w:val="18"/>
              </w:rPr>
              <w:t>)</w:t>
            </w:r>
          </w:p>
        </w:tc>
        <w:tc>
          <w:tcPr>
            <w:tcW w:w="214" w:type="pct"/>
          </w:tcPr>
          <w:p w14:paraId="3C65B924"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257C5FFD"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0.36</w:t>
            </w:r>
          </w:p>
        </w:tc>
        <w:tc>
          <w:tcPr>
            <w:tcW w:w="72" w:type="pct"/>
          </w:tcPr>
          <w:p w14:paraId="2F7B3272"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244B0879"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0.69</w:t>
            </w:r>
          </w:p>
        </w:tc>
        <w:tc>
          <w:tcPr>
            <w:tcW w:w="849" w:type="pct"/>
          </w:tcPr>
          <w:p w14:paraId="6D90C140"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0.24,</w:t>
            </w:r>
            <w:r>
              <w:rPr>
                <w:rFonts w:ascii="Segoe UI Light" w:hAnsi="Segoe UI Light" w:cs="Segoe UI Light"/>
                <w:sz w:val="18"/>
                <w:szCs w:val="18"/>
              </w:rPr>
              <w:t xml:space="preserve">  </w:t>
            </w:r>
            <w:r w:rsidRPr="00167FCD">
              <w:rPr>
                <w:rFonts w:ascii="Segoe UI Light" w:hAnsi="Segoe UI Light" w:cs="Segoe UI Light"/>
                <w:sz w:val="18"/>
                <w:szCs w:val="18"/>
              </w:rPr>
              <w:t>1.14</w:t>
            </w:r>
            <w:r>
              <w:rPr>
                <w:rFonts w:ascii="Segoe UI Light" w:hAnsi="Segoe UI Light" w:cs="Segoe UI Light"/>
                <w:sz w:val="18"/>
                <w:szCs w:val="18"/>
              </w:rPr>
              <w:t>)</w:t>
            </w:r>
          </w:p>
        </w:tc>
        <w:tc>
          <w:tcPr>
            <w:tcW w:w="244" w:type="pct"/>
          </w:tcPr>
          <w:p w14:paraId="6552B666"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312C5487"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0.31</w:t>
            </w:r>
          </w:p>
        </w:tc>
      </w:tr>
      <w:tr w:rsidR="00944DC1" w:rsidRPr="003A64DC" w14:paraId="73FE65D6" w14:textId="77777777" w:rsidTr="00944DC1">
        <w:tc>
          <w:tcPr>
            <w:tcW w:w="231" w:type="pct"/>
            <w:vMerge/>
            <w:tcBorders>
              <w:left w:val="single" w:sz="4" w:space="0" w:color="auto"/>
            </w:tcBorders>
          </w:tcPr>
          <w:p w14:paraId="5D67F107"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77967D32" w14:textId="77777777" w:rsidR="00944DC1" w:rsidRPr="003A64DC" w:rsidRDefault="00944DC1" w:rsidP="00944DC1">
            <w:pPr>
              <w:spacing w:after="0"/>
              <w:rPr>
                <w:rFonts w:ascii="Times New Roman" w:hAnsi="Times New Roman"/>
                <w:sz w:val="18"/>
                <w:szCs w:val="18"/>
              </w:rPr>
            </w:pPr>
            <w:r w:rsidRPr="003A64DC">
              <w:rPr>
                <w:rFonts w:ascii="Segoe UI Light" w:hAnsi="Segoe UI Light" w:cs="Segoe UI Light"/>
                <w:sz w:val="18"/>
                <w:szCs w:val="18"/>
              </w:rPr>
              <w:t xml:space="preserve">     Processed food</w:t>
            </w:r>
          </w:p>
        </w:tc>
        <w:tc>
          <w:tcPr>
            <w:tcW w:w="402" w:type="pct"/>
            <w:tcBorders>
              <w:left w:val="single" w:sz="4" w:space="0" w:color="auto"/>
            </w:tcBorders>
          </w:tcPr>
          <w:p w14:paraId="634DD754"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1.21</w:t>
            </w:r>
          </w:p>
        </w:tc>
        <w:tc>
          <w:tcPr>
            <w:tcW w:w="809" w:type="pct"/>
          </w:tcPr>
          <w:p w14:paraId="3C4AAE9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B056F8">
              <w:rPr>
                <w:rFonts w:ascii="Segoe UI Light" w:hAnsi="Segoe UI Light" w:cs="Segoe UI Light"/>
                <w:sz w:val="18"/>
                <w:szCs w:val="18"/>
              </w:rPr>
              <w:t>0.94,</w:t>
            </w:r>
            <w:r>
              <w:rPr>
                <w:rFonts w:ascii="Segoe UI Light" w:hAnsi="Segoe UI Light" w:cs="Segoe UI Light"/>
                <w:sz w:val="18"/>
                <w:szCs w:val="18"/>
              </w:rPr>
              <w:t xml:space="preserve">  </w:t>
            </w:r>
            <w:r w:rsidRPr="00B056F8">
              <w:rPr>
                <w:rFonts w:ascii="Segoe UI Light" w:hAnsi="Segoe UI Light" w:cs="Segoe UI Light"/>
                <w:sz w:val="18"/>
                <w:szCs w:val="18"/>
              </w:rPr>
              <w:t>1.48</w:t>
            </w:r>
            <w:r>
              <w:rPr>
                <w:rFonts w:ascii="Segoe UI Light" w:hAnsi="Segoe UI Light" w:cs="Segoe UI Light"/>
                <w:sz w:val="18"/>
                <w:szCs w:val="18"/>
              </w:rPr>
              <w:t>)</w:t>
            </w:r>
          </w:p>
        </w:tc>
        <w:tc>
          <w:tcPr>
            <w:tcW w:w="214" w:type="pct"/>
          </w:tcPr>
          <w:p w14:paraId="1817F6F3"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6A698EE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0.58</w:t>
            </w:r>
          </w:p>
        </w:tc>
        <w:tc>
          <w:tcPr>
            <w:tcW w:w="72" w:type="pct"/>
          </w:tcPr>
          <w:p w14:paraId="6E9D4BAD"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236D186C"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1.07</w:t>
            </w:r>
          </w:p>
        </w:tc>
        <w:tc>
          <w:tcPr>
            <w:tcW w:w="849" w:type="pct"/>
          </w:tcPr>
          <w:p w14:paraId="2B4EA25B"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0.75,</w:t>
            </w:r>
            <w:r>
              <w:rPr>
                <w:rFonts w:ascii="Segoe UI Light" w:hAnsi="Segoe UI Light" w:cs="Segoe UI Light"/>
                <w:sz w:val="18"/>
                <w:szCs w:val="18"/>
              </w:rPr>
              <w:t xml:space="preserve">  </w:t>
            </w:r>
            <w:r w:rsidRPr="00167FCD">
              <w:rPr>
                <w:rFonts w:ascii="Segoe UI Light" w:hAnsi="Segoe UI Light" w:cs="Segoe UI Light"/>
                <w:sz w:val="18"/>
                <w:szCs w:val="18"/>
              </w:rPr>
              <w:t>1.40</w:t>
            </w:r>
            <w:r>
              <w:rPr>
                <w:rFonts w:ascii="Segoe UI Light" w:hAnsi="Segoe UI Light" w:cs="Segoe UI Light"/>
                <w:sz w:val="18"/>
                <w:szCs w:val="18"/>
              </w:rPr>
              <w:t>)</w:t>
            </w:r>
          </w:p>
        </w:tc>
        <w:tc>
          <w:tcPr>
            <w:tcW w:w="244" w:type="pct"/>
          </w:tcPr>
          <w:p w14:paraId="02B73C9A"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4A9C949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0.62</w:t>
            </w:r>
          </w:p>
        </w:tc>
      </w:tr>
      <w:tr w:rsidR="00944DC1" w:rsidRPr="003A64DC" w14:paraId="5C2104CC" w14:textId="77777777" w:rsidTr="00944DC1">
        <w:tc>
          <w:tcPr>
            <w:tcW w:w="231" w:type="pct"/>
            <w:vMerge/>
            <w:tcBorders>
              <w:left w:val="single" w:sz="4" w:space="0" w:color="auto"/>
            </w:tcBorders>
          </w:tcPr>
          <w:p w14:paraId="0195BDEE"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68A3F840" w14:textId="77777777" w:rsidR="00944DC1" w:rsidRPr="00237326" w:rsidRDefault="00944DC1" w:rsidP="00944DC1">
            <w:pPr>
              <w:spacing w:after="0"/>
              <w:rPr>
                <w:rFonts w:ascii="Times New Roman" w:hAnsi="Times New Roman"/>
                <w:b/>
                <w:sz w:val="18"/>
                <w:szCs w:val="18"/>
              </w:rPr>
            </w:pPr>
            <w:r w:rsidRPr="00237326">
              <w:rPr>
                <w:rFonts w:ascii="Segoe UI Light" w:hAnsi="Segoe UI Light" w:cs="Segoe UI Light"/>
                <w:b/>
                <w:sz w:val="18"/>
                <w:szCs w:val="18"/>
              </w:rPr>
              <w:t xml:space="preserve">   Non-food</w:t>
            </w:r>
          </w:p>
        </w:tc>
        <w:tc>
          <w:tcPr>
            <w:tcW w:w="402" w:type="pct"/>
            <w:tcBorders>
              <w:left w:val="single" w:sz="4" w:space="0" w:color="auto"/>
            </w:tcBorders>
          </w:tcPr>
          <w:p w14:paraId="75779035"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0.99</w:t>
            </w:r>
          </w:p>
        </w:tc>
        <w:tc>
          <w:tcPr>
            <w:tcW w:w="809" w:type="pct"/>
          </w:tcPr>
          <w:p w14:paraId="06E42836"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(0.74,  1.24)</w:t>
            </w:r>
          </w:p>
        </w:tc>
        <w:tc>
          <w:tcPr>
            <w:tcW w:w="214" w:type="pct"/>
          </w:tcPr>
          <w:p w14:paraId="79E742E8"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w:t>
            </w:r>
          </w:p>
        </w:tc>
        <w:tc>
          <w:tcPr>
            <w:tcW w:w="271" w:type="pct"/>
          </w:tcPr>
          <w:p w14:paraId="37FEAD53" w14:textId="77777777" w:rsidR="00944DC1" w:rsidRPr="00237326" w:rsidRDefault="00944DC1" w:rsidP="00944DC1">
            <w:pPr>
              <w:spacing w:after="0"/>
              <w:rPr>
                <w:rFonts w:ascii="Segoe UI Light" w:hAnsi="Segoe UI Light" w:cs="Segoe UI Light"/>
                <w:b/>
                <w:sz w:val="18"/>
                <w:szCs w:val="18"/>
              </w:rPr>
            </w:pPr>
            <w:r w:rsidRPr="00237326">
              <w:rPr>
                <w:rFonts w:ascii="Segoe UI Light" w:hAnsi="Segoe UI Light" w:cs="Segoe UI Light"/>
                <w:b/>
                <w:sz w:val="18"/>
                <w:szCs w:val="18"/>
              </w:rPr>
              <w:t>0.60</w:t>
            </w:r>
          </w:p>
        </w:tc>
        <w:tc>
          <w:tcPr>
            <w:tcW w:w="72" w:type="pct"/>
          </w:tcPr>
          <w:p w14:paraId="404C2A7C" w14:textId="77777777" w:rsidR="00944DC1" w:rsidRPr="00167FCD" w:rsidRDefault="00944DC1" w:rsidP="00944DC1">
            <w:pPr>
              <w:spacing w:after="0"/>
              <w:rPr>
                <w:rFonts w:ascii="Segoe UI Light" w:hAnsi="Segoe UI Light" w:cs="Segoe UI Light"/>
                <w:b/>
                <w:sz w:val="18"/>
                <w:szCs w:val="18"/>
              </w:rPr>
            </w:pPr>
          </w:p>
        </w:tc>
        <w:tc>
          <w:tcPr>
            <w:tcW w:w="363" w:type="pct"/>
            <w:tcBorders>
              <w:left w:val="nil"/>
            </w:tcBorders>
          </w:tcPr>
          <w:p w14:paraId="4506AF03" w14:textId="77777777" w:rsidR="00944DC1" w:rsidRPr="00167FCD" w:rsidRDefault="00944DC1" w:rsidP="00944DC1">
            <w:pPr>
              <w:spacing w:after="0"/>
              <w:rPr>
                <w:rFonts w:ascii="Segoe UI Light" w:hAnsi="Segoe UI Light" w:cs="Segoe UI Light"/>
                <w:b/>
                <w:sz w:val="18"/>
                <w:szCs w:val="18"/>
              </w:rPr>
            </w:pPr>
            <w:r w:rsidRPr="00167FCD">
              <w:rPr>
                <w:rFonts w:ascii="Segoe UI Light" w:hAnsi="Segoe UI Light" w:cs="Segoe UI Light"/>
                <w:b/>
                <w:sz w:val="18"/>
                <w:szCs w:val="18"/>
              </w:rPr>
              <w:t>0.88</w:t>
            </w:r>
          </w:p>
        </w:tc>
        <w:tc>
          <w:tcPr>
            <w:tcW w:w="849" w:type="pct"/>
          </w:tcPr>
          <w:p w14:paraId="2C74E95F" w14:textId="77777777" w:rsidR="00944DC1" w:rsidRPr="00167FCD" w:rsidRDefault="00944DC1" w:rsidP="00944DC1">
            <w:pPr>
              <w:spacing w:after="0"/>
              <w:rPr>
                <w:rFonts w:ascii="Segoe UI Light" w:hAnsi="Segoe UI Light" w:cs="Segoe UI Light"/>
                <w:b/>
                <w:sz w:val="18"/>
                <w:szCs w:val="18"/>
              </w:rPr>
            </w:pPr>
            <w:r w:rsidRPr="00167FCD">
              <w:rPr>
                <w:rFonts w:ascii="Segoe UI Light" w:hAnsi="Segoe UI Light" w:cs="Segoe UI Light"/>
                <w:b/>
                <w:sz w:val="18"/>
                <w:szCs w:val="18"/>
              </w:rPr>
              <w:t>(0.43,  1.34)</w:t>
            </w:r>
          </w:p>
        </w:tc>
        <w:tc>
          <w:tcPr>
            <w:tcW w:w="244" w:type="pct"/>
          </w:tcPr>
          <w:p w14:paraId="1C29AED7" w14:textId="77777777" w:rsidR="00944DC1" w:rsidRPr="00167FCD" w:rsidRDefault="00944DC1" w:rsidP="00944DC1">
            <w:pPr>
              <w:spacing w:after="0"/>
              <w:rPr>
                <w:rFonts w:ascii="Segoe UI Light" w:hAnsi="Segoe UI Light" w:cs="Segoe UI Light"/>
                <w:b/>
                <w:sz w:val="18"/>
                <w:szCs w:val="18"/>
              </w:rPr>
            </w:pPr>
            <w:r w:rsidRPr="00167FCD">
              <w:rPr>
                <w:rFonts w:ascii="Segoe UI Light" w:hAnsi="Segoe UI Light" w:cs="Segoe UI Light"/>
                <w:b/>
                <w:sz w:val="18"/>
                <w:szCs w:val="18"/>
              </w:rPr>
              <w:t>***</w:t>
            </w:r>
          </w:p>
        </w:tc>
        <w:tc>
          <w:tcPr>
            <w:tcW w:w="308" w:type="pct"/>
            <w:tcBorders>
              <w:right w:val="single" w:sz="4" w:space="0" w:color="auto"/>
            </w:tcBorders>
          </w:tcPr>
          <w:p w14:paraId="062532F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0.46</w:t>
            </w:r>
          </w:p>
        </w:tc>
      </w:tr>
      <w:tr w:rsidR="00944DC1" w:rsidRPr="003A64DC" w14:paraId="46707ED5" w14:textId="77777777" w:rsidTr="00944DC1">
        <w:tc>
          <w:tcPr>
            <w:tcW w:w="231" w:type="pct"/>
            <w:vMerge/>
            <w:tcBorders>
              <w:left w:val="single" w:sz="4" w:space="0" w:color="auto"/>
            </w:tcBorders>
          </w:tcPr>
          <w:p w14:paraId="79C1E27E"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1E1AFA8E" w14:textId="77777777" w:rsidR="00944DC1" w:rsidRPr="003A64DC" w:rsidRDefault="00944DC1" w:rsidP="00944DC1">
            <w:pPr>
              <w:spacing w:after="0"/>
              <w:rPr>
                <w:rFonts w:ascii="Segoe UI Light" w:hAnsi="Segoe UI Light" w:cs="Segoe UI Light"/>
                <w:b/>
                <w:sz w:val="18"/>
                <w:szCs w:val="18"/>
              </w:rPr>
            </w:pPr>
            <w:r w:rsidRPr="003A64DC">
              <w:rPr>
                <w:rFonts w:ascii="Segoe UI Light" w:hAnsi="Segoe UI Light" w:cs="Segoe UI Light"/>
                <w:sz w:val="18"/>
                <w:szCs w:val="18"/>
              </w:rPr>
              <w:t xml:space="preserve">    Clothing</w:t>
            </w:r>
          </w:p>
        </w:tc>
        <w:tc>
          <w:tcPr>
            <w:tcW w:w="402" w:type="pct"/>
            <w:tcBorders>
              <w:left w:val="single" w:sz="4" w:space="0" w:color="auto"/>
            </w:tcBorders>
          </w:tcPr>
          <w:p w14:paraId="0C0AD9F4" w14:textId="77777777" w:rsidR="00944DC1" w:rsidRPr="00237326" w:rsidRDefault="00944DC1" w:rsidP="00944DC1">
            <w:pPr>
              <w:spacing w:after="0"/>
              <w:rPr>
                <w:rFonts w:ascii="Segoe UI Light" w:hAnsi="Segoe UI Light" w:cs="Segoe UI Light"/>
                <w:sz w:val="18"/>
                <w:szCs w:val="18"/>
              </w:rPr>
            </w:pPr>
            <w:r w:rsidRPr="00237326">
              <w:rPr>
                <w:rFonts w:ascii="Segoe UI Light" w:hAnsi="Segoe UI Light" w:cs="Segoe UI Light"/>
                <w:sz w:val="18"/>
                <w:szCs w:val="18"/>
              </w:rPr>
              <w:t>1.04</w:t>
            </w:r>
          </w:p>
        </w:tc>
        <w:tc>
          <w:tcPr>
            <w:tcW w:w="809" w:type="pct"/>
          </w:tcPr>
          <w:p w14:paraId="17581A3E" w14:textId="77777777" w:rsidR="00944DC1" w:rsidRPr="00237326" w:rsidRDefault="00944DC1" w:rsidP="00944DC1">
            <w:pPr>
              <w:spacing w:after="0"/>
              <w:rPr>
                <w:rFonts w:ascii="Segoe UI Light" w:hAnsi="Segoe UI Light" w:cs="Segoe UI Light"/>
                <w:sz w:val="18"/>
                <w:szCs w:val="18"/>
              </w:rPr>
            </w:pPr>
            <w:r w:rsidRPr="00237326">
              <w:rPr>
                <w:rFonts w:ascii="Segoe UI Light" w:hAnsi="Segoe UI Light" w:cs="Segoe UI Light"/>
                <w:sz w:val="18"/>
                <w:szCs w:val="18"/>
              </w:rPr>
              <w:t>(0.79,  1.29)</w:t>
            </w:r>
          </w:p>
        </w:tc>
        <w:tc>
          <w:tcPr>
            <w:tcW w:w="214" w:type="pct"/>
          </w:tcPr>
          <w:p w14:paraId="29F383A2" w14:textId="77777777" w:rsidR="00944DC1" w:rsidRPr="003A64DC" w:rsidRDefault="00944DC1" w:rsidP="00944DC1">
            <w:pPr>
              <w:spacing w:after="0"/>
              <w:rPr>
                <w:rFonts w:ascii="Segoe UI Light" w:hAnsi="Segoe UI Light" w:cs="Segoe UI Light"/>
                <w:b/>
                <w:sz w:val="18"/>
                <w:szCs w:val="18"/>
              </w:rPr>
            </w:pPr>
            <w:r w:rsidRPr="003A64DC">
              <w:rPr>
                <w:rFonts w:ascii="Segoe UI Light" w:hAnsi="Segoe UI Light" w:cs="Segoe UI Light"/>
                <w:sz w:val="18"/>
                <w:szCs w:val="18"/>
              </w:rPr>
              <w:t>***</w:t>
            </w:r>
          </w:p>
        </w:tc>
        <w:tc>
          <w:tcPr>
            <w:tcW w:w="271" w:type="pct"/>
          </w:tcPr>
          <w:p w14:paraId="7E0D9FC9" w14:textId="77777777" w:rsidR="00944DC1" w:rsidRPr="003A64DC"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0.62</w:t>
            </w:r>
          </w:p>
        </w:tc>
        <w:tc>
          <w:tcPr>
            <w:tcW w:w="72" w:type="pct"/>
          </w:tcPr>
          <w:p w14:paraId="6BB7DC3A" w14:textId="77777777" w:rsidR="00944DC1" w:rsidRPr="00167FCD" w:rsidRDefault="00944DC1" w:rsidP="00944DC1">
            <w:pPr>
              <w:spacing w:after="0"/>
              <w:rPr>
                <w:rFonts w:ascii="Segoe UI Light" w:hAnsi="Segoe UI Light" w:cs="Segoe UI Light"/>
                <w:sz w:val="18"/>
                <w:szCs w:val="18"/>
              </w:rPr>
            </w:pPr>
          </w:p>
        </w:tc>
        <w:tc>
          <w:tcPr>
            <w:tcW w:w="363" w:type="pct"/>
            <w:tcBorders>
              <w:left w:val="nil"/>
            </w:tcBorders>
          </w:tcPr>
          <w:p w14:paraId="078880CE" w14:textId="77777777" w:rsidR="00944DC1" w:rsidRPr="003A64DC" w:rsidRDefault="00944DC1" w:rsidP="00944DC1">
            <w:pPr>
              <w:spacing w:after="0"/>
              <w:rPr>
                <w:rFonts w:ascii="Segoe UI Light" w:hAnsi="Segoe UI Light" w:cs="Segoe UI Light"/>
                <w:sz w:val="18"/>
                <w:szCs w:val="18"/>
              </w:rPr>
            </w:pPr>
            <w:r w:rsidRPr="00167FCD">
              <w:rPr>
                <w:rFonts w:ascii="Segoe UI Light" w:hAnsi="Segoe UI Light" w:cs="Segoe UI Light"/>
                <w:sz w:val="18"/>
                <w:szCs w:val="18"/>
              </w:rPr>
              <w:t>0.97</w:t>
            </w:r>
          </w:p>
        </w:tc>
        <w:tc>
          <w:tcPr>
            <w:tcW w:w="849" w:type="pct"/>
          </w:tcPr>
          <w:p w14:paraId="1AC20953"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0.58,</w:t>
            </w:r>
            <w:r>
              <w:rPr>
                <w:rFonts w:ascii="Segoe UI Light" w:hAnsi="Segoe UI Light" w:cs="Segoe UI Light"/>
                <w:sz w:val="18"/>
                <w:szCs w:val="18"/>
              </w:rPr>
              <w:t xml:space="preserve">  </w:t>
            </w:r>
            <w:r w:rsidRPr="00167FCD">
              <w:rPr>
                <w:rFonts w:ascii="Segoe UI Light" w:hAnsi="Segoe UI Light" w:cs="Segoe UI Light"/>
                <w:sz w:val="18"/>
                <w:szCs w:val="18"/>
              </w:rPr>
              <w:t>1.35</w:t>
            </w:r>
            <w:r>
              <w:rPr>
                <w:rFonts w:ascii="Segoe UI Light" w:hAnsi="Segoe UI Light" w:cs="Segoe UI Light"/>
                <w:sz w:val="18"/>
                <w:szCs w:val="18"/>
              </w:rPr>
              <w:t>)</w:t>
            </w:r>
          </w:p>
        </w:tc>
        <w:tc>
          <w:tcPr>
            <w:tcW w:w="244" w:type="pct"/>
          </w:tcPr>
          <w:p w14:paraId="20EC6841"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28685AC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0.51</w:t>
            </w:r>
          </w:p>
        </w:tc>
      </w:tr>
      <w:tr w:rsidR="00944DC1" w:rsidRPr="003A64DC" w14:paraId="416B01E0" w14:textId="77777777" w:rsidTr="00944DC1">
        <w:tc>
          <w:tcPr>
            <w:tcW w:w="231" w:type="pct"/>
            <w:vMerge/>
            <w:tcBorders>
              <w:left w:val="single" w:sz="4" w:space="0" w:color="auto"/>
            </w:tcBorders>
          </w:tcPr>
          <w:p w14:paraId="64BE7DBB"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7AEA4C4A"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Shelter</w:t>
            </w:r>
          </w:p>
        </w:tc>
        <w:tc>
          <w:tcPr>
            <w:tcW w:w="402" w:type="pct"/>
            <w:tcBorders>
              <w:left w:val="single" w:sz="4" w:space="0" w:color="auto"/>
            </w:tcBorders>
          </w:tcPr>
          <w:p w14:paraId="097DBF87"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0.90</w:t>
            </w:r>
          </w:p>
        </w:tc>
        <w:tc>
          <w:tcPr>
            <w:tcW w:w="809" w:type="pct"/>
          </w:tcPr>
          <w:p w14:paraId="38294F46"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B056F8">
              <w:rPr>
                <w:rFonts w:ascii="Segoe UI Light" w:hAnsi="Segoe UI Light" w:cs="Segoe UI Light"/>
                <w:sz w:val="18"/>
                <w:szCs w:val="18"/>
              </w:rPr>
              <w:t>0.61,</w:t>
            </w:r>
            <w:r>
              <w:rPr>
                <w:rFonts w:ascii="Segoe UI Light" w:hAnsi="Segoe UI Light" w:cs="Segoe UI Light"/>
                <w:sz w:val="18"/>
                <w:szCs w:val="18"/>
              </w:rPr>
              <w:t xml:space="preserve">  </w:t>
            </w:r>
            <w:r w:rsidRPr="00B056F8">
              <w:rPr>
                <w:rFonts w:ascii="Segoe UI Light" w:hAnsi="Segoe UI Light" w:cs="Segoe UI Light"/>
                <w:sz w:val="18"/>
                <w:szCs w:val="18"/>
              </w:rPr>
              <w:t>1.20</w:t>
            </w:r>
            <w:r>
              <w:rPr>
                <w:rFonts w:ascii="Segoe UI Light" w:hAnsi="Segoe UI Light" w:cs="Segoe UI Light"/>
                <w:sz w:val="18"/>
                <w:szCs w:val="18"/>
              </w:rPr>
              <w:t>)</w:t>
            </w:r>
          </w:p>
        </w:tc>
        <w:tc>
          <w:tcPr>
            <w:tcW w:w="214" w:type="pct"/>
          </w:tcPr>
          <w:p w14:paraId="23D2F0DF"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6E6F5694"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0.40</w:t>
            </w:r>
          </w:p>
        </w:tc>
        <w:tc>
          <w:tcPr>
            <w:tcW w:w="72" w:type="pct"/>
          </w:tcPr>
          <w:p w14:paraId="4059551D"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3E23225C"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0.96</w:t>
            </w:r>
          </w:p>
        </w:tc>
        <w:tc>
          <w:tcPr>
            <w:tcW w:w="849" w:type="pct"/>
          </w:tcPr>
          <w:p w14:paraId="64EA01A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0.49,</w:t>
            </w:r>
            <w:r>
              <w:rPr>
                <w:rFonts w:ascii="Segoe UI Light" w:hAnsi="Segoe UI Light" w:cs="Segoe UI Light"/>
                <w:sz w:val="18"/>
                <w:szCs w:val="18"/>
              </w:rPr>
              <w:t xml:space="preserve">  </w:t>
            </w:r>
            <w:r w:rsidRPr="00167FCD">
              <w:rPr>
                <w:rFonts w:ascii="Segoe UI Light" w:hAnsi="Segoe UI Light" w:cs="Segoe UI Light"/>
                <w:sz w:val="18"/>
                <w:szCs w:val="18"/>
              </w:rPr>
              <w:t>1.43</w:t>
            </w:r>
            <w:r>
              <w:rPr>
                <w:rFonts w:ascii="Segoe UI Light" w:hAnsi="Segoe UI Light" w:cs="Segoe UI Light"/>
                <w:sz w:val="18"/>
                <w:szCs w:val="18"/>
              </w:rPr>
              <w:t>)</w:t>
            </w:r>
          </w:p>
        </w:tc>
        <w:tc>
          <w:tcPr>
            <w:tcW w:w="244" w:type="pct"/>
          </w:tcPr>
          <w:p w14:paraId="004F5D63"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7FBE4506"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0.48</w:t>
            </w:r>
          </w:p>
        </w:tc>
      </w:tr>
      <w:tr w:rsidR="00944DC1" w:rsidRPr="003A64DC" w14:paraId="4F308C4F" w14:textId="77777777" w:rsidTr="00944DC1">
        <w:tc>
          <w:tcPr>
            <w:tcW w:w="231" w:type="pct"/>
            <w:vMerge/>
            <w:tcBorders>
              <w:left w:val="single" w:sz="4" w:space="0" w:color="auto"/>
            </w:tcBorders>
          </w:tcPr>
          <w:p w14:paraId="4133B8A1"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783ED28D"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Manufactured products</w:t>
            </w:r>
          </w:p>
        </w:tc>
        <w:tc>
          <w:tcPr>
            <w:tcW w:w="402" w:type="pct"/>
            <w:tcBorders>
              <w:left w:val="single" w:sz="4" w:space="0" w:color="auto"/>
            </w:tcBorders>
          </w:tcPr>
          <w:p w14:paraId="1D2051CD"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1.01</w:t>
            </w:r>
          </w:p>
        </w:tc>
        <w:tc>
          <w:tcPr>
            <w:tcW w:w="809" w:type="pct"/>
          </w:tcPr>
          <w:p w14:paraId="7BEEF29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B056F8">
              <w:rPr>
                <w:rFonts w:ascii="Segoe UI Light" w:hAnsi="Segoe UI Light" w:cs="Segoe UI Light"/>
                <w:sz w:val="18"/>
                <w:szCs w:val="18"/>
              </w:rPr>
              <w:t>0.81,</w:t>
            </w:r>
            <w:r>
              <w:rPr>
                <w:rFonts w:ascii="Segoe UI Light" w:hAnsi="Segoe UI Light" w:cs="Segoe UI Light"/>
                <w:sz w:val="18"/>
                <w:szCs w:val="18"/>
              </w:rPr>
              <w:t xml:space="preserve">  </w:t>
            </w:r>
            <w:r w:rsidRPr="00B056F8">
              <w:rPr>
                <w:rFonts w:ascii="Segoe UI Light" w:hAnsi="Segoe UI Light" w:cs="Segoe UI Light"/>
                <w:sz w:val="18"/>
                <w:szCs w:val="18"/>
              </w:rPr>
              <w:t>1.22</w:t>
            </w:r>
            <w:r>
              <w:rPr>
                <w:rFonts w:ascii="Segoe UI Light" w:hAnsi="Segoe UI Light" w:cs="Segoe UI Light"/>
                <w:sz w:val="18"/>
                <w:szCs w:val="18"/>
              </w:rPr>
              <w:t>)</w:t>
            </w:r>
          </w:p>
        </w:tc>
        <w:tc>
          <w:tcPr>
            <w:tcW w:w="214" w:type="pct"/>
          </w:tcPr>
          <w:p w14:paraId="18DCC7B9"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68E6C145"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0.71</w:t>
            </w:r>
          </w:p>
        </w:tc>
        <w:tc>
          <w:tcPr>
            <w:tcW w:w="72" w:type="pct"/>
          </w:tcPr>
          <w:p w14:paraId="779175B0" w14:textId="77777777" w:rsidR="00944DC1" w:rsidRPr="00167FCD" w:rsidRDefault="00944DC1" w:rsidP="00944DC1">
            <w:pPr>
              <w:spacing w:after="0"/>
              <w:rPr>
                <w:rFonts w:ascii="Segoe UI Light" w:hAnsi="Segoe UI Light" w:cs="Segoe UI Light"/>
                <w:sz w:val="18"/>
                <w:szCs w:val="18"/>
              </w:rPr>
            </w:pPr>
          </w:p>
        </w:tc>
        <w:tc>
          <w:tcPr>
            <w:tcW w:w="363" w:type="pct"/>
            <w:tcBorders>
              <w:left w:val="nil"/>
            </w:tcBorders>
          </w:tcPr>
          <w:p w14:paraId="225CEA48" w14:textId="77777777" w:rsidR="00944DC1" w:rsidRPr="003A64DC" w:rsidRDefault="00944DC1" w:rsidP="00944DC1">
            <w:pPr>
              <w:spacing w:after="0"/>
              <w:rPr>
                <w:rFonts w:ascii="Segoe UI Light" w:hAnsi="Segoe UI Light" w:cs="Segoe UI Light"/>
                <w:sz w:val="18"/>
                <w:szCs w:val="18"/>
              </w:rPr>
            </w:pPr>
            <w:r w:rsidRPr="00167FCD">
              <w:rPr>
                <w:rFonts w:ascii="Segoe UI Light" w:hAnsi="Segoe UI Light" w:cs="Segoe UI Light"/>
                <w:sz w:val="18"/>
                <w:szCs w:val="18"/>
              </w:rPr>
              <w:t>0.87</w:t>
            </w:r>
          </w:p>
        </w:tc>
        <w:tc>
          <w:tcPr>
            <w:tcW w:w="849" w:type="pct"/>
          </w:tcPr>
          <w:p w14:paraId="6194A40C"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0.54,</w:t>
            </w:r>
            <w:r>
              <w:rPr>
                <w:rFonts w:ascii="Segoe UI Light" w:hAnsi="Segoe UI Light" w:cs="Segoe UI Light"/>
                <w:sz w:val="18"/>
                <w:szCs w:val="18"/>
              </w:rPr>
              <w:t xml:space="preserve">  </w:t>
            </w:r>
            <w:r w:rsidRPr="00167FCD">
              <w:rPr>
                <w:rFonts w:ascii="Segoe UI Light" w:hAnsi="Segoe UI Light" w:cs="Segoe UI Light"/>
                <w:sz w:val="18"/>
                <w:szCs w:val="18"/>
              </w:rPr>
              <w:t>1.20</w:t>
            </w:r>
            <w:r>
              <w:rPr>
                <w:rFonts w:ascii="Segoe UI Light" w:hAnsi="Segoe UI Light" w:cs="Segoe UI Light"/>
                <w:sz w:val="18"/>
                <w:szCs w:val="18"/>
              </w:rPr>
              <w:t>)</w:t>
            </w:r>
          </w:p>
        </w:tc>
        <w:tc>
          <w:tcPr>
            <w:tcW w:w="244" w:type="pct"/>
          </w:tcPr>
          <w:p w14:paraId="1E663CAC"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533263E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0.63</w:t>
            </w:r>
          </w:p>
        </w:tc>
      </w:tr>
      <w:tr w:rsidR="00944DC1" w:rsidRPr="003A64DC" w14:paraId="66F3889E" w14:textId="77777777" w:rsidTr="00944DC1">
        <w:tc>
          <w:tcPr>
            <w:tcW w:w="231" w:type="pct"/>
            <w:vMerge/>
            <w:tcBorders>
              <w:left w:val="single" w:sz="4" w:space="0" w:color="auto"/>
            </w:tcBorders>
          </w:tcPr>
          <w:p w14:paraId="14838D4A"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right w:val="single" w:sz="4" w:space="0" w:color="auto"/>
            </w:tcBorders>
          </w:tcPr>
          <w:p w14:paraId="15D01A84"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Waste services</w:t>
            </w:r>
          </w:p>
        </w:tc>
        <w:tc>
          <w:tcPr>
            <w:tcW w:w="402" w:type="pct"/>
            <w:tcBorders>
              <w:left w:val="single" w:sz="4" w:space="0" w:color="auto"/>
            </w:tcBorders>
          </w:tcPr>
          <w:p w14:paraId="6B95EA21"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0.72</w:t>
            </w:r>
          </w:p>
        </w:tc>
        <w:tc>
          <w:tcPr>
            <w:tcW w:w="809" w:type="pct"/>
          </w:tcPr>
          <w:p w14:paraId="7143EC5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B056F8">
              <w:rPr>
                <w:rFonts w:ascii="Segoe UI Light" w:hAnsi="Segoe UI Light" w:cs="Segoe UI Light"/>
                <w:sz w:val="18"/>
                <w:szCs w:val="18"/>
              </w:rPr>
              <w:t>0.13,</w:t>
            </w:r>
            <w:r>
              <w:rPr>
                <w:rFonts w:ascii="Segoe UI Light" w:hAnsi="Segoe UI Light" w:cs="Segoe UI Light"/>
                <w:sz w:val="18"/>
                <w:szCs w:val="18"/>
              </w:rPr>
              <w:t xml:space="preserve">  </w:t>
            </w:r>
            <w:r w:rsidRPr="00B056F8">
              <w:rPr>
                <w:rFonts w:ascii="Segoe UI Light" w:hAnsi="Segoe UI Light" w:cs="Segoe UI Light"/>
                <w:sz w:val="18"/>
                <w:szCs w:val="18"/>
              </w:rPr>
              <w:t>1.32</w:t>
            </w:r>
            <w:r>
              <w:rPr>
                <w:rFonts w:ascii="Segoe UI Light" w:hAnsi="Segoe UI Light" w:cs="Segoe UI Light"/>
                <w:sz w:val="18"/>
                <w:szCs w:val="18"/>
              </w:rPr>
              <w:t>)</w:t>
            </w:r>
          </w:p>
        </w:tc>
        <w:tc>
          <w:tcPr>
            <w:tcW w:w="214" w:type="pct"/>
          </w:tcPr>
          <w:p w14:paraId="55CDFB33"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p>
        </w:tc>
        <w:tc>
          <w:tcPr>
            <w:tcW w:w="271" w:type="pct"/>
          </w:tcPr>
          <w:p w14:paraId="5A2AC5A4"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0.11</w:t>
            </w:r>
          </w:p>
        </w:tc>
        <w:tc>
          <w:tcPr>
            <w:tcW w:w="72" w:type="pct"/>
          </w:tcPr>
          <w:p w14:paraId="35ED16EB" w14:textId="77777777" w:rsidR="00944DC1" w:rsidRPr="00167FCD" w:rsidRDefault="00944DC1" w:rsidP="00944DC1">
            <w:pPr>
              <w:spacing w:after="0"/>
              <w:rPr>
                <w:rFonts w:ascii="Segoe UI Light" w:hAnsi="Segoe UI Light" w:cs="Segoe UI Light"/>
                <w:sz w:val="18"/>
                <w:szCs w:val="18"/>
              </w:rPr>
            </w:pPr>
          </w:p>
        </w:tc>
        <w:tc>
          <w:tcPr>
            <w:tcW w:w="363" w:type="pct"/>
            <w:tcBorders>
              <w:left w:val="nil"/>
            </w:tcBorders>
          </w:tcPr>
          <w:p w14:paraId="63951640" w14:textId="77777777" w:rsidR="00944DC1" w:rsidRPr="003A64DC" w:rsidRDefault="00944DC1" w:rsidP="00944DC1">
            <w:pPr>
              <w:spacing w:after="0"/>
              <w:rPr>
                <w:rFonts w:ascii="Segoe UI Light" w:hAnsi="Segoe UI Light" w:cs="Segoe UI Light"/>
                <w:sz w:val="18"/>
                <w:szCs w:val="18"/>
              </w:rPr>
            </w:pPr>
            <w:r w:rsidRPr="00167FCD">
              <w:rPr>
                <w:rFonts w:ascii="Segoe UI Light" w:hAnsi="Segoe UI Light" w:cs="Segoe UI Light"/>
                <w:sz w:val="18"/>
                <w:szCs w:val="18"/>
              </w:rPr>
              <w:t>0.20</w:t>
            </w:r>
          </w:p>
        </w:tc>
        <w:tc>
          <w:tcPr>
            <w:tcW w:w="849" w:type="pct"/>
          </w:tcPr>
          <w:p w14:paraId="69839021"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-0.36,</w:t>
            </w:r>
            <w:r>
              <w:rPr>
                <w:rFonts w:ascii="Segoe UI Light" w:hAnsi="Segoe UI Light" w:cs="Segoe UI Light"/>
                <w:sz w:val="18"/>
                <w:szCs w:val="18"/>
              </w:rPr>
              <w:t xml:space="preserve"> </w:t>
            </w:r>
            <w:r w:rsidRPr="00167FCD">
              <w:rPr>
                <w:rFonts w:ascii="Segoe UI Light" w:hAnsi="Segoe UI Light" w:cs="Segoe UI Light"/>
                <w:sz w:val="18"/>
                <w:szCs w:val="18"/>
              </w:rPr>
              <w:t>0.75</w:t>
            </w:r>
            <w:r>
              <w:rPr>
                <w:rFonts w:ascii="Segoe UI Light" w:hAnsi="Segoe UI Light" w:cs="Segoe UI Light"/>
                <w:sz w:val="18"/>
                <w:szCs w:val="18"/>
              </w:rPr>
              <w:t>)</w:t>
            </w:r>
          </w:p>
        </w:tc>
        <w:tc>
          <w:tcPr>
            <w:tcW w:w="244" w:type="pct"/>
          </w:tcPr>
          <w:p w14:paraId="773D3DFE" w14:textId="77777777" w:rsidR="00944DC1" w:rsidRPr="003A64DC" w:rsidRDefault="00944DC1" w:rsidP="00944DC1">
            <w:pPr>
              <w:spacing w:after="0"/>
              <w:rPr>
                <w:rFonts w:ascii="Segoe UI Light" w:hAnsi="Segoe UI Light" w:cs="Segoe UI Light"/>
                <w:sz w:val="18"/>
                <w:szCs w:val="18"/>
              </w:rPr>
            </w:pPr>
          </w:p>
        </w:tc>
        <w:tc>
          <w:tcPr>
            <w:tcW w:w="308" w:type="pct"/>
            <w:tcBorders>
              <w:right w:val="single" w:sz="4" w:space="0" w:color="auto"/>
            </w:tcBorders>
          </w:tcPr>
          <w:p w14:paraId="03802AB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0.01</w:t>
            </w:r>
          </w:p>
        </w:tc>
      </w:tr>
      <w:tr w:rsidR="00944DC1" w:rsidRPr="003A64DC" w14:paraId="34F4488E" w14:textId="77777777" w:rsidTr="00944DC1">
        <w:trPr>
          <w:trHeight w:val="147"/>
        </w:trPr>
        <w:tc>
          <w:tcPr>
            <w:tcW w:w="231" w:type="pct"/>
            <w:vMerge/>
            <w:tcBorders>
              <w:left w:val="single" w:sz="4" w:space="0" w:color="auto"/>
              <w:bottom w:val="single" w:sz="4" w:space="0" w:color="auto"/>
            </w:tcBorders>
          </w:tcPr>
          <w:p w14:paraId="27CD02F2" w14:textId="77777777" w:rsidR="00944DC1" w:rsidRPr="00C934D8" w:rsidRDefault="00944DC1" w:rsidP="00944DC1">
            <w:pPr>
              <w:spacing w:after="0"/>
              <w:jc w:val="center"/>
              <w:rPr>
                <w:rFonts w:ascii="Segoe UI Light" w:hAnsi="Segoe UI Light" w:cs="Segoe UI Light"/>
                <w:b/>
                <w:sz w:val="18"/>
                <w:szCs w:val="18"/>
              </w:rPr>
            </w:pPr>
          </w:p>
        </w:tc>
        <w:tc>
          <w:tcPr>
            <w:tcW w:w="1238" w:type="pct"/>
            <w:tcBorders>
              <w:bottom w:val="single" w:sz="4" w:space="0" w:color="auto"/>
              <w:right w:val="single" w:sz="4" w:space="0" w:color="auto"/>
            </w:tcBorders>
          </w:tcPr>
          <w:p w14:paraId="7EF6C6D1"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Other services</w:t>
            </w:r>
          </w:p>
        </w:tc>
        <w:tc>
          <w:tcPr>
            <w:tcW w:w="402" w:type="pct"/>
            <w:tcBorders>
              <w:left w:val="single" w:sz="4" w:space="0" w:color="auto"/>
              <w:bottom w:val="single" w:sz="4" w:space="0" w:color="auto"/>
            </w:tcBorders>
          </w:tcPr>
          <w:p w14:paraId="5C363603"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1.16</w:t>
            </w:r>
          </w:p>
        </w:tc>
        <w:tc>
          <w:tcPr>
            <w:tcW w:w="809" w:type="pct"/>
            <w:tcBorders>
              <w:bottom w:val="single" w:sz="4" w:space="0" w:color="auto"/>
            </w:tcBorders>
          </w:tcPr>
          <w:p w14:paraId="26C2F51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B056F8">
              <w:rPr>
                <w:rFonts w:ascii="Segoe UI Light" w:hAnsi="Segoe UI Light" w:cs="Segoe UI Light"/>
                <w:sz w:val="18"/>
                <w:szCs w:val="18"/>
              </w:rPr>
              <w:t>0.82,</w:t>
            </w:r>
            <w:r>
              <w:rPr>
                <w:rFonts w:ascii="Segoe UI Light" w:hAnsi="Segoe UI Light" w:cs="Segoe UI Light"/>
                <w:sz w:val="18"/>
                <w:szCs w:val="18"/>
              </w:rPr>
              <w:t xml:space="preserve">  </w:t>
            </w:r>
            <w:r w:rsidRPr="00B056F8">
              <w:rPr>
                <w:rFonts w:ascii="Segoe UI Light" w:hAnsi="Segoe UI Light" w:cs="Segoe UI Light"/>
                <w:sz w:val="18"/>
                <w:szCs w:val="18"/>
              </w:rPr>
              <w:t>1.50</w:t>
            </w:r>
            <w:r>
              <w:rPr>
                <w:rFonts w:ascii="Segoe UI Light" w:hAnsi="Segoe UI Light" w:cs="Segoe UI Light"/>
                <w:sz w:val="18"/>
                <w:szCs w:val="18"/>
              </w:rPr>
              <w:t>)</w:t>
            </w:r>
            <w:r w:rsidRPr="00B056F8">
              <w:rPr>
                <w:rFonts w:ascii="Segoe UI Light" w:hAnsi="Segoe UI Light" w:cs="Segoe UI Light"/>
                <w:sz w:val="18"/>
                <w:szCs w:val="18"/>
              </w:rPr>
              <w:t xml:space="preserve">   </w:t>
            </w:r>
          </w:p>
        </w:tc>
        <w:tc>
          <w:tcPr>
            <w:tcW w:w="214" w:type="pct"/>
            <w:tcBorders>
              <w:bottom w:val="single" w:sz="4" w:space="0" w:color="auto"/>
            </w:tcBorders>
          </w:tcPr>
          <w:p w14:paraId="20426C8C"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p>
        </w:tc>
        <w:tc>
          <w:tcPr>
            <w:tcW w:w="271" w:type="pct"/>
            <w:tcBorders>
              <w:bottom w:val="single" w:sz="4" w:space="0" w:color="auto"/>
            </w:tcBorders>
          </w:tcPr>
          <w:p w14:paraId="2F4AF8D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0.63</w:t>
            </w:r>
          </w:p>
        </w:tc>
        <w:tc>
          <w:tcPr>
            <w:tcW w:w="72" w:type="pct"/>
            <w:tcBorders>
              <w:bottom w:val="single" w:sz="4" w:space="0" w:color="auto"/>
            </w:tcBorders>
          </w:tcPr>
          <w:p w14:paraId="6A3A5DD3" w14:textId="77777777" w:rsidR="00944DC1" w:rsidRPr="00167FCD" w:rsidRDefault="00944DC1" w:rsidP="00944DC1">
            <w:pPr>
              <w:spacing w:after="0"/>
              <w:rPr>
                <w:rFonts w:ascii="Segoe UI Light" w:hAnsi="Segoe UI Light" w:cs="Segoe UI Light"/>
                <w:sz w:val="18"/>
                <w:szCs w:val="18"/>
              </w:rPr>
            </w:pPr>
          </w:p>
        </w:tc>
        <w:tc>
          <w:tcPr>
            <w:tcW w:w="363" w:type="pct"/>
            <w:tcBorders>
              <w:left w:val="nil"/>
              <w:bottom w:val="single" w:sz="4" w:space="0" w:color="auto"/>
            </w:tcBorders>
          </w:tcPr>
          <w:p w14:paraId="5C2E472F" w14:textId="77777777" w:rsidR="00944DC1" w:rsidRPr="003A64DC" w:rsidRDefault="00944DC1" w:rsidP="00944DC1">
            <w:pPr>
              <w:spacing w:after="0"/>
              <w:rPr>
                <w:rFonts w:ascii="Segoe UI Light" w:hAnsi="Segoe UI Light" w:cs="Segoe UI Light"/>
                <w:sz w:val="18"/>
                <w:szCs w:val="18"/>
              </w:rPr>
            </w:pPr>
            <w:r w:rsidRPr="00167FCD">
              <w:rPr>
                <w:rFonts w:ascii="Segoe UI Light" w:hAnsi="Segoe UI Light" w:cs="Segoe UI Light"/>
                <w:sz w:val="18"/>
                <w:szCs w:val="18"/>
              </w:rPr>
              <w:t>1.16</w:t>
            </w:r>
          </w:p>
        </w:tc>
        <w:tc>
          <w:tcPr>
            <w:tcW w:w="849" w:type="pct"/>
            <w:tcBorders>
              <w:bottom w:val="single" w:sz="4" w:space="0" w:color="auto"/>
            </w:tcBorders>
          </w:tcPr>
          <w:p w14:paraId="766DC69D"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167FCD">
              <w:rPr>
                <w:rFonts w:ascii="Segoe UI Light" w:hAnsi="Segoe UI Light" w:cs="Segoe UI Light"/>
                <w:sz w:val="18"/>
                <w:szCs w:val="18"/>
              </w:rPr>
              <w:t>0.51,</w:t>
            </w:r>
            <w:r>
              <w:rPr>
                <w:rFonts w:ascii="Segoe UI Light" w:hAnsi="Segoe UI Light" w:cs="Segoe UI Light"/>
                <w:sz w:val="18"/>
                <w:szCs w:val="18"/>
              </w:rPr>
              <w:t xml:space="preserve">  </w:t>
            </w:r>
            <w:r w:rsidRPr="00167FCD">
              <w:rPr>
                <w:rFonts w:ascii="Segoe UI Light" w:hAnsi="Segoe UI Light" w:cs="Segoe UI Light"/>
                <w:sz w:val="18"/>
                <w:szCs w:val="18"/>
              </w:rPr>
              <w:t>1.81</w:t>
            </w:r>
            <w:r>
              <w:rPr>
                <w:rFonts w:ascii="Segoe UI Light" w:hAnsi="Segoe UI Light" w:cs="Segoe UI Light"/>
                <w:sz w:val="18"/>
                <w:szCs w:val="18"/>
              </w:rPr>
              <w:t>)</w:t>
            </w:r>
            <w:r w:rsidRPr="00167FCD">
              <w:rPr>
                <w:rFonts w:ascii="Segoe UI Light" w:hAnsi="Segoe UI Light" w:cs="Segoe UI Light"/>
                <w:sz w:val="18"/>
                <w:szCs w:val="18"/>
              </w:rPr>
              <w:t xml:space="preserve">   </w:t>
            </w:r>
          </w:p>
        </w:tc>
        <w:tc>
          <w:tcPr>
            <w:tcW w:w="244" w:type="pct"/>
            <w:tcBorders>
              <w:bottom w:val="single" w:sz="4" w:space="0" w:color="auto"/>
            </w:tcBorders>
          </w:tcPr>
          <w:p w14:paraId="6C696E7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p>
        </w:tc>
        <w:tc>
          <w:tcPr>
            <w:tcW w:w="308" w:type="pct"/>
            <w:tcBorders>
              <w:bottom w:val="single" w:sz="4" w:space="0" w:color="auto"/>
              <w:right w:val="single" w:sz="4" w:space="0" w:color="auto"/>
            </w:tcBorders>
          </w:tcPr>
          <w:p w14:paraId="23C0C28C"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0.49</w:t>
            </w:r>
          </w:p>
        </w:tc>
      </w:tr>
      <w:tr w:rsidR="00944DC1" w:rsidRPr="003A64DC" w14:paraId="58D23C02" w14:textId="77777777" w:rsidTr="00944DC1">
        <w:tc>
          <w:tcPr>
            <w:tcW w:w="231" w:type="pct"/>
            <w:vMerge w:val="restart"/>
            <w:tcBorders>
              <w:top w:val="single" w:sz="4" w:space="0" w:color="auto"/>
              <w:left w:val="single" w:sz="4" w:space="0" w:color="auto"/>
            </w:tcBorders>
            <w:textDirection w:val="btLr"/>
            <w:vAlign w:val="center"/>
          </w:tcPr>
          <w:p w14:paraId="1A90454E" w14:textId="77777777" w:rsidR="00944DC1" w:rsidRPr="00C934D8" w:rsidRDefault="00944DC1" w:rsidP="00944DC1">
            <w:pPr>
              <w:spacing w:after="0"/>
              <w:ind w:left="113" w:right="113"/>
              <w:jc w:val="center"/>
              <w:rPr>
                <w:rFonts w:ascii="Segoe UI Light" w:hAnsi="Segoe UI Light" w:cs="Segoe UI Light"/>
                <w:b/>
                <w:sz w:val="18"/>
                <w:szCs w:val="18"/>
              </w:rPr>
            </w:pPr>
            <w:r w:rsidRPr="00C934D8">
              <w:rPr>
                <w:rFonts w:ascii="Segoe UI Light" w:hAnsi="Segoe UI Light" w:cs="Segoe UI Light"/>
                <w:b/>
                <w:sz w:val="18"/>
                <w:szCs w:val="18"/>
              </w:rPr>
              <w:t>Panel analysis (2000-2011)</w:t>
            </w:r>
          </w:p>
        </w:tc>
        <w:tc>
          <w:tcPr>
            <w:tcW w:w="1238" w:type="pct"/>
            <w:tcBorders>
              <w:top w:val="single" w:sz="4" w:space="0" w:color="auto"/>
              <w:right w:val="single" w:sz="4" w:space="0" w:color="auto"/>
            </w:tcBorders>
          </w:tcPr>
          <w:p w14:paraId="2BBF9362"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Total</w:t>
            </w:r>
          </w:p>
        </w:tc>
        <w:tc>
          <w:tcPr>
            <w:tcW w:w="402" w:type="pct"/>
            <w:tcBorders>
              <w:top w:val="single" w:sz="4" w:space="0" w:color="auto"/>
              <w:left w:val="single" w:sz="4" w:space="0" w:color="auto"/>
            </w:tcBorders>
          </w:tcPr>
          <w:p w14:paraId="6F85EC78"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0.27</w:t>
            </w:r>
          </w:p>
        </w:tc>
        <w:tc>
          <w:tcPr>
            <w:tcW w:w="809" w:type="pct"/>
            <w:tcBorders>
              <w:top w:val="single" w:sz="4" w:space="0" w:color="auto"/>
            </w:tcBorders>
          </w:tcPr>
          <w:p w14:paraId="7FCD9793"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w:t>
            </w:r>
            <w:r w:rsidRPr="00535ACC">
              <w:rPr>
                <w:rFonts w:ascii="Segoe UI Light" w:hAnsi="Segoe UI Light" w:cs="Segoe UI Light"/>
                <w:b/>
                <w:sz w:val="18"/>
                <w:szCs w:val="18"/>
              </w:rPr>
              <w:t>0.09,</w:t>
            </w:r>
            <w:r>
              <w:rPr>
                <w:rFonts w:ascii="Segoe UI Light" w:hAnsi="Segoe UI Light" w:cs="Segoe UI Light"/>
                <w:b/>
                <w:sz w:val="18"/>
                <w:szCs w:val="18"/>
              </w:rPr>
              <w:t xml:space="preserve">  </w:t>
            </w:r>
            <w:r w:rsidRPr="00535ACC">
              <w:rPr>
                <w:rFonts w:ascii="Segoe UI Light" w:hAnsi="Segoe UI Light" w:cs="Segoe UI Light"/>
                <w:b/>
                <w:sz w:val="18"/>
                <w:szCs w:val="18"/>
              </w:rPr>
              <w:t>0.45</w:t>
            </w:r>
            <w:r>
              <w:rPr>
                <w:rFonts w:ascii="Segoe UI Light" w:hAnsi="Segoe UI Light" w:cs="Segoe UI Light"/>
                <w:b/>
                <w:sz w:val="18"/>
                <w:szCs w:val="18"/>
              </w:rPr>
              <w:t>)</w:t>
            </w:r>
          </w:p>
        </w:tc>
        <w:tc>
          <w:tcPr>
            <w:tcW w:w="214" w:type="pct"/>
            <w:tcBorders>
              <w:top w:val="single" w:sz="4" w:space="0" w:color="auto"/>
            </w:tcBorders>
          </w:tcPr>
          <w:p w14:paraId="0D3CD678"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w:t>
            </w:r>
          </w:p>
        </w:tc>
        <w:tc>
          <w:tcPr>
            <w:tcW w:w="271" w:type="pct"/>
            <w:tcBorders>
              <w:top w:val="single" w:sz="4" w:space="0" w:color="auto"/>
            </w:tcBorders>
          </w:tcPr>
          <w:p w14:paraId="71FC7B01"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0.99</w:t>
            </w:r>
          </w:p>
        </w:tc>
        <w:tc>
          <w:tcPr>
            <w:tcW w:w="72" w:type="pct"/>
            <w:tcBorders>
              <w:top w:val="single" w:sz="4" w:space="0" w:color="auto"/>
            </w:tcBorders>
          </w:tcPr>
          <w:p w14:paraId="7E07C527" w14:textId="77777777" w:rsidR="00944DC1" w:rsidRPr="008E69FF" w:rsidRDefault="00944DC1" w:rsidP="00944DC1">
            <w:pPr>
              <w:spacing w:after="0"/>
              <w:rPr>
                <w:rFonts w:ascii="Segoe UI Light" w:hAnsi="Segoe UI Light" w:cs="Segoe UI Light"/>
                <w:b/>
                <w:sz w:val="18"/>
                <w:szCs w:val="18"/>
              </w:rPr>
            </w:pPr>
          </w:p>
        </w:tc>
        <w:tc>
          <w:tcPr>
            <w:tcW w:w="363" w:type="pct"/>
            <w:tcBorders>
              <w:top w:val="single" w:sz="4" w:space="0" w:color="auto"/>
              <w:left w:val="nil"/>
            </w:tcBorders>
          </w:tcPr>
          <w:p w14:paraId="0B2369AC"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0.35</w:t>
            </w:r>
          </w:p>
        </w:tc>
        <w:tc>
          <w:tcPr>
            <w:tcW w:w="849" w:type="pct"/>
            <w:tcBorders>
              <w:top w:val="single" w:sz="4" w:space="0" w:color="auto"/>
            </w:tcBorders>
          </w:tcPr>
          <w:p w14:paraId="6899B2BD"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(0.17,  0.52)</w:t>
            </w:r>
          </w:p>
        </w:tc>
        <w:tc>
          <w:tcPr>
            <w:tcW w:w="244" w:type="pct"/>
            <w:tcBorders>
              <w:top w:val="single" w:sz="4" w:space="0" w:color="auto"/>
            </w:tcBorders>
          </w:tcPr>
          <w:p w14:paraId="6B6AF2E5"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w:t>
            </w:r>
          </w:p>
        </w:tc>
        <w:tc>
          <w:tcPr>
            <w:tcW w:w="308" w:type="pct"/>
            <w:tcBorders>
              <w:top w:val="single" w:sz="4" w:space="0" w:color="auto"/>
              <w:right w:val="single" w:sz="4" w:space="0" w:color="auto"/>
            </w:tcBorders>
          </w:tcPr>
          <w:p w14:paraId="00F52D29"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0.98</w:t>
            </w:r>
          </w:p>
        </w:tc>
      </w:tr>
      <w:tr w:rsidR="00944DC1" w:rsidRPr="003A64DC" w14:paraId="08295E7B" w14:textId="77777777" w:rsidTr="00944DC1">
        <w:tc>
          <w:tcPr>
            <w:tcW w:w="231" w:type="pct"/>
            <w:vMerge/>
            <w:tcBorders>
              <w:left w:val="single" w:sz="4" w:space="0" w:color="auto"/>
            </w:tcBorders>
          </w:tcPr>
          <w:p w14:paraId="145508D3"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1D403B68"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 xml:space="preserve">   Food</w:t>
            </w:r>
          </w:p>
        </w:tc>
        <w:tc>
          <w:tcPr>
            <w:tcW w:w="402" w:type="pct"/>
            <w:tcBorders>
              <w:left w:val="single" w:sz="4" w:space="0" w:color="auto"/>
            </w:tcBorders>
          </w:tcPr>
          <w:p w14:paraId="4433B376"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0.08</w:t>
            </w:r>
          </w:p>
        </w:tc>
        <w:tc>
          <w:tcPr>
            <w:tcW w:w="809" w:type="pct"/>
          </w:tcPr>
          <w:p w14:paraId="0E7895EE"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w:t>
            </w:r>
            <w:r w:rsidRPr="00535ACC">
              <w:rPr>
                <w:rFonts w:ascii="Segoe UI Light" w:hAnsi="Segoe UI Light" w:cs="Segoe UI Light"/>
                <w:b/>
                <w:sz w:val="18"/>
                <w:szCs w:val="18"/>
              </w:rPr>
              <w:t>-0.11,</w:t>
            </w:r>
            <w:r>
              <w:rPr>
                <w:rFonts w:ascii="Segoe UI Light" w:hAnsi="Segoe UI Light" w:cs="Segoe UI Light"/>
                <w:b/>
                <w:sz w:val="18"/>
                <w:szCs w:val="18"/>
              </w:rPr>
              <w:t xml:space="preserve"> </w:t>
            </w:r>
            <w:r w:rsidRPr="00535ACC">
              <w:rPr>
                <w:rFonts w:ascii="Segoe UI Light" w:hAnsi="Segoe UI Light" w:cs="Segoe UI Light"/>
                <w:b/>
                <w:sz w:val="18"/>
                <w:szCs w:val="18"/>
              </w:rPr>
              <w:t>0.27</w:t>
            </w:r>
            <w:r>
              <w:rPr>
                <w:rFonts w:ascii="Segoe UI Light" w:hAnsi="Segoe UI Light" w:cs="Segoe UI Light"/>
                <w:b/>
                <w:sz w:val="18"/>
                <w:szCs w:val="18"/>
              </w:rPr>
              <w:t>)</w:t>
            </w:r>
          </w:p>
        </w:tc>
        <w:tc>
          <w:tcPr>
            <w:tcW w:w="214" w:type="pct"/>
          </w:tcPr>
          <w:p w14:paraId="431C79B1" w14:textId="77777777" w:rsidR="00944DC1" w:rsidRPr="008E69FF" w:rsidRDefault="00944DC1" w:rsidP="00944DC1">
            <w:pPr>
              <w:spacing w:after="0"/>
              <w:rPr>
                <w:rFonts w:ascii="Segoe UI Light" w:hAnsi="Segoe UI Light" w:cs="Segoe UI Light"/>
                <w:b/>
                <w:sz w:val="18"/>
                <w:szCs w:val="18"/>
              </w:rPr>
            </w:pPr>
          </w:p>
        </w:tc>
        <w:tc>
          <w:tcPr>
            <w:tcW w:w="271" w:type="pct"/>
          </w:tcPr>
          <w:p w14:paraId="367557EA"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0.99</w:t>
            </w:r>
          </w:p>
        </w:tc>
        <w:tc>
          <w:tcPr>
            <w:tcW w:w="72" w:type="pct"/>
          </w:tcPr>
          <w:p w14:paraId="4EBA72F7" w14:textId="77777777" w:rsidR="00944DC1" w:rsidRPr="008E69FF" w:rsidRDefault="00944DC1" w:rsidP="00944DC1">
            <w:pPr>
              <w:spacing w:after="0"/>
              <w:rPr>
                <w:rFonts w:ascii="Segoe UI Light" w:hAnsi="Segoe UI Light" w:cs="Segoe UI Light"/>
                <w:b/>
                <w:sz w:val="18"/>
                <w:szCs w:val="18"/>
              </w:rPr>
            </w:pPr>
          </w:p>
        </w:tc>
        <w:tc>
          <w:tcPr>
            <w:tcW w:w="363" w:type="pct"/>
            <w:tcBorders>
              <w:left w:val="nil"/>
            </w:tcBorders>
          </w:tcPr>
          <w:p w14:paraId="61D94818"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0.13</w:t>
            </w:r>
          </w:p>
        </w:tc>
        <w:tc>
          <w:tcPr>
            <w:tcW w:w="849" w:type="pct"/>
          </w:tcPr>
          <w:p w14:paraId="67AF9CCE"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(-0.06, 0.31)</w:t>
            </w:r>
          </w:p>
        </w:tc>
        <w:tc>
          <w:tcPr>
            <w:tcW w:w="244" w:type="pct"/>
          </w:tcPr>
          <w:p w14:paraId="571F6DBD" w14:textId="77777777" w:rsidR="00944DC1" w:rsidRPr="008E69FF" w:rsidRDefault="00944DC1" w:rsidP="00944DC1">
            <w:pPr>
              <w:spacing w:after="0"/>
              <w:rPr>
                <w:rFonts w:ascii="Segoe UI Light" w:hAnsi="Segoe UI Light" w:cs="Segoe UI Light"/>
                <w:b/>
                <w:sz w:val="18"/>
                <w:szCs w:val="18"/>
              </w:rPr>
            </w:pPr>
          </w:p>
        </w:tc>
        <w:tc>
          <w:tcPr>
            <w:tcW w:w="308" w:type="pct"/>
            <w:tcBorders>
              <w:right w:val="single" w:sz="4" w:space="0" w:color="auto"/>
            </w:tcBorders>
          </w:tcPr>
          <w:p w14:paraId="6BC1E2DE"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0.98</w:t>
            </w:r>
          </w:p>
        </w:tc>
      </w:tr>
      <w:tr w:rsidR="00944DC1" w:rsidRPr="003A64DC" w14:paraId="2E100B6C" w14:textId="77777777" w:rsidTr="00944DC1">
        <w:trPr>
          <w:trHeight w:val="58"/>
        </w:trPr>
        <w:tc>
          <w:tcPr>
            <w:tcW w:w="231" w:type="pct"/>
            <w:vMerge/>
            <w:tcBorders>
              <w:left w:val="single" w:sz="4" w:space="0" w:color="auto"/>
            </w:tcBorders>
          </w:tcPr>
          <w:p w14:paraId="361A43AA"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28A2A654"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Plant-based food</w:t>
            </w:r>
          </w:p>
        </w:tc>
        <w:tc>
          <w:tcPr>
            <w:tcW w:w="402" w:type="pct"/>
            <w:tcBorders>
              <w:left w:val="single" w:sz="4" w:space="0" w:color="auto"/>
            </w:tcBorders>
          </w:tcPr>
          <w:p w14:paraId="02D3A8A1" w14:textId="77777777" w:rsidR="00944DC1" w:rsidRPr="003A64DC" w:rsidRDefault="00944DC1" w:rsidP="00944DC1">
            <w:pPr>
              <w:spacing w:after="0"/>
              <w:rPr>
                <w:rFonts w:ascii="Segoe UI Light" w:hAnsi="Segoe UI Light" w:cs="Segoe UI Light"/>
                <w:sz w:val="18"/>
                <w:szCs w:val="18"/>
              </w:rPr>
            </w:pPr>
            <w:r w:rsidRPr="00535ACC">
              <w:rPr>
                <w:rFonts w:ascii="Segoe UI Light" w:hAnsi="Segoe UI Light" w:cs="Segoe UI Light"/>
                <w:sz w:val="18"/>
                <w:szCs w:val="18"/>
              </w:rPr>
              <w:t>0.06</w:t>
            </w:r>
          </w:p>
        </w:tc>
        <w:tc>
          <w:tcPr>
            <w:tcW w:w="809" w:type="pct"/>
          </w:tcPr>
          <w:p w14:paraId="0CF8E03D"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35ACC">
              <w:rPr>
                <w:rFonts w:ascii="Segoe UI Light" w:hAnsi="Segoe UI Light" w:cs="Segoe UI Light"/>
                <w:sz w:val="18"/>
                <w:szCs w:val="18"/>
              </w:rPr>
              <w:t>-0.25,</w:t>
            </w:r>
            <w:r>
              <w:rPr>
                <w:rFonts w:ascii="Segoe UI Light" w:hAnsi="Segoe UI Light" w:cs="Segoe UI Light"/>
                <w:sz w:val="18"/>
                <w:szCs w:val="18"/>
              </w:rPr>
              <w:t xml:space="preserve"> </w:t>
            </w:r>
            <w:r w:rsidRPr="00535ACC">
              <w:rPr>
                <w:rFonts w:ascii="Segoe UI Light" w:hAnsi="Segoe UI Light" w:cs="Segoe UI Light"/>
                <w:sz w:val="18"/>
                <w:szCs w:val="18"/>
              </w:rPr>
              <w:t>0.38</w:t>
            </w:r>
            <w:r>
              <w:rPr>
                <w:rFonts w:ascii="Segoe UI Light" w:hAnsi="Segoe UI Light" w:cs="Segoe UI Light"/>
                <w:sz w:val="18"/>
                <w:szCs w:val="18"/>
              </w:rPr>
              <w:t>)</w:t>
            </w:r>
          </w:p>
        </w:tc>
        <w:tc>
          <w:tcPr>
            <w:tcW w:w="214" w:type="pct"/>
          </w:tcPr>
          <w:p w14:paraId="42BF3D09" w14:textId="77777777" w:rsidR="00944DC1" w:rsidRPr="003A64DC" w:rsidRDefault="00944DC1" w:rsidP="00944DC1">
            <w:pPr>
              <w:spacing w:after="0"/>
              <w:rPr>
                <w:rFonts w:ascii="Segoe UI Light" w:hAnsi="Segoe UI Light" w:cs="Segoe UI Light"/>
                <w:sz w:val="18"/>
                <w:szCs w:val="18"/>
              </w:rPr>
            </w:pPr>
          </w:p>
        </w:tc>
        <w:tc>
          <w:tcPr>
            <w:tcW w:w="271" w:type="pct"/>
          </w:tcPr>
          <w:p w14:paraId="3D95479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0.97</w:t>
            </w:r>
          </w:p>
        </w:tc>
        <w:tc>
          <w:tcPr>
            <w:tcW w:w="72" w:type="pct"/>
          </w:tcPr>
          <w:p w14:paraId="22E77745"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24D753A1"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0.03</w:t>
            </w:r>
          </w:p>
        </w:tc>
        <w:tc>
          <w:tcPr>
            <w:tcW w:w="849" w:type="pct"/>
          </w:tcPr>
          <w:p w14:paraId="73B01EDA"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-0.51,</w:t>
            </w:r>
            <w:r>
              <w:rPr>
                <w:rFonts w:ascii="Segoe UI Light" w:hAnsi="Segoe UI Light" w:cs="Segoe UI Light"/>
                <w:sz w:val="18"/>
                <w:szCs w:val="18"/>
              </w:rPr>
              <w:t xml:space="preserve"> </w:t>
            </w:r>
            <w:r w:rsidRPr="00290936">
              <w:rPr>
                <w:rFonts w:ascii="Segoe UI Light" w:hAnsi="Segoe UI Light" w:cs="Segoe UI Light"/>
                <w:sz w:val="18"/>
                <w:szCs w:val="18"/>
              </w:rPr>
              <w:t>0.57</w:t>
            </w:r>
            <w:r>
              <w:rPr>
                <w:rFonts w:ascii="Segoe UI Light" w:hAnsi="Segoe UI Light" w:cs="Segoe UI Light"/>
                <w:sz w:val="18"/>
                <w:szCs w:val="18"/>
              </w:rPr>
              <w:t>)</w:t>
            </w:r>
          </w:p>
        </w:tc>
        <w:tc>
          <w:tcPr>
            <w:tcW w:w="244" w:type="pct"/>
          </w:tcPr>
          <w:p w14:paraId="469C8975" w14:textId="77777777" w:rsidR="00944DC1" w:rsidRPr="003A64DC" w:rsidRDefault="00944DC1" w:rsidP="00944DC1">
            <w:pPr>
              <w:spacing w:after="0"/>
              <w:rPr>
                <w:rFonts w:ascii="Segoe UI Light" w:hAnsi="Segoe UI Light" w:cs="Segoe UI Light"/>
                <w:sz w:val="18"/>
                <w:szCs w:val="18"/>
              </w:rPr>
            </w:pPr>
          </w:p>
        </w:tc>
        <w:tc>
          <w:tcPr>
            <w:tcW w:w="308" w:type="pct"/>
            <w:tcBorders>
              <w:right w:val="single" w:sz="4" w:space="0" w:color="auto"/>
            </w:tcBorders>
          </w:tcPr>
          <w:p w14:paraId="7E52158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0.90</w:t>
            </w:r>
          </w:p>
        </w:tc>
      </w:tr>
      <w:tr w:rsidR="00944DC1" w:rsidRPr="003A64DC" w14:paraId="3E351DA3" w14:textId="77777777" w:rsidTr="00944DC1">
        <w:tc>
          <w:tcPr>
            <w:tcW w:w="231" w:type="pct"/>
            <w:vMerge/>
            <w:tcBorders>
              <w:left w:val="single" w:sz="4" w:space="0" w:color="auto"/>
            </w:tcBorders>
          </w:tcPr>
          <w:p w14:paraId="3892F6FE"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791A300F"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Animal-based food</w:t>
            </w:r>
          </w:p>
        </w:tc>
        <w:tc>
          <w:tcPr>
            <w:tcW w:w="402" w:type="pct"/>
            <w:tcBorders>
              <w:left w:val="single" w:sz="4" w:space="0" w:color="auto"/>
            </w:tcBorders>
          </w:tcPr>
          <w:p w14:paraId="7CB29BB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-0.02</w:t>
            </w:r>
          </w:p>
        </w:tc>
        <w:tc>
          <w:tcPr>
            <w:tcW w:w="809" w:type="pct"/>
          </w:tcPr>
          <w:p w14:paraId="6B0CCDD0"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35ACC">
              <w:rPr>
                <w:rFonts w:ascii="Segoe UI Light" w:hAnsi="Segoe UI Light" w:cs="Segoe UI Light"/>
                <w:sz w:val="18"/>
                <w:szCs w:val="18"/>
              </w:rPr>
              <w:t>-0.28,</w:t>
            </w:r>
            <w:r>
              <w:rPr>
                <w:rFonts w:ascii="Segoe UI Light" w:hAnsi="Segoe UI Light" w:cs="Segoe UI Light"/>
                <w:sz w:val="18"/>
                <w:szCs w:val="18"/>
              </w:rPr>
              <w:t xml:space="preserve"> </w:t>
            </w:r>
            <w:r w:rsidRPr="00535ACC">
              <w:rPr>
                <w:rFonts w:ascii="Segoe UI Light" w:hAnsi="Segoe UI Light" w:cs="Segoe UI Light"/>
                <w:sz w:val="18"/>
                <w:szCs w:val="18"/>
              </w:rPr>
              <w:t>0.24</w:t>
            </w:r>
            <w:r>
              <w:rPr>
                <w:rFonts w:ascii="Segoe UI Light" w:hAnsi="Segoe UI Light" w:cs="Segoe UI Light"/>
                <w:sz w:val="18"/>
                <w:szCs w:val="18"/>
              </w:rPr>
              <w:t>)</w:t>
            </w:r>
          </w:p>
        </w:tc>
        <w:tc>
          <w:tcPr>
            <w:tcW w:w="214" w:type="pct"/>
          </w:tcPr>
          <w:p w14:paraId="65409B06" w14:textId="77777777" w:rsidR="00944DC1" w:rsidRPr="003A64DC" w:rsidRDefault="00944DC1" w:rsidP="00944DC1">
            <w:pPr>
              <w:spacing w:after="0"/>
              <w:rPr>
                <w:rFonts w:ascii="Segoe UI Light" w:hAnsi="Segoe UI Light" w:cs="Segoe UI Light"/>
                <w:sz w:val="18"/>
                <w:szCs w:val="18"/>
              </w:rPr>
            </w:pPr>
          </w:p>
        </w:tc>
        <w:tc>
          <w:tcPr>
            <w:tcW w:w="271" w:type="pct"/>
          </w:tcPr>
          <w:p w14:paraId="7A8815C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0.98</w:t>
            </w:r>
          </w:p>
        </w:tc>
        <w:tc>
          <w:tcPr>
            <w:tcW w:w="72" w:type="pct"/>
          </w:tcPr>
          <w:p w14:paraId="51B7B8D9"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103B42F6"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0.03</w:t>
            </w:r>
          </w:p>
        </w:tc>
        <w:tc>
          <w:tcPr>
            <w:tcW w:w="849" w:type="pct"/>
          </w:tcPr>
          <w:p w14:paraId="4C84A0F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-0.20,</w:t>
            </w:r>
            <w:r>
              <w:rPr>
                <w:rFonts w:ascii="Segoe UI Light" w:hAnsi="Segoe UI Light" w:cs="Segoe UI Light"/>
                <w:sz w:val="18"/>
                <w:szCs w:val="18"/>
              </w:rPr>
              <w:t xml:space="preserve"> </w:t>
            </w:r>
            <w:r w:rsidRPr="00290936">
              <w:rPr>
                <w:rFonts w:ascii="Segoe UI Light" w:hAnsi="Segoe UI Light" w:cs="Segoe UI Light"/>
                <w:sz w:val="18"/>
                <w:szCs w:val="18"/>
              </w:rPr>
              <w:t>0.27</w:t>
            </w:r>
            <w:r>
              <w:rPr>
                <w:rFonts w:ascii="Segoe UI Light" w:hAnsi="Segoe UI Light" w:cs="Segoe UI Light"/>
                <w:sz w:val="18"/>
                <w:szCs w:val="18"/>
              </w:rPr>
              <w:t>)</w:t>
            </w:r>
          </w:p>
        </w:tc>
        <w:tc>
          <w:tcPr>
            <w:tcW w:w="244" w:type="pct"/>
          </w:tcPr>
          <w:p w14:paraId="171F4BFE" w14:textId="77777777" w:rsidR="00944DC1" w:rsidRPr="003A64DC" w:rsidRDefault="00944DC1" w:rsidP="00944DC1">
            <w:pPr>
              <w:spacing w:after="0"/>
              <w:rPr>
                <w:rFonts w:ascii="Segoe UI Light" w:hAnsi="Segoe UI Light" w:cs="Segoe UI Light"/>
                <w:sz w:val="18"/>
                <w:szCs w:val="18"/>
              </w:rPr>
            </w:pPr>
          </w:p>
        </w:tc>
        <w:tc>
          <w:tcPr>
            <w:tcW w:w="308" w:type="pct"/>
            <w:tcBorders>
              <w:right w:val="single" w:sz="4" w:space="0" w:color="auto"/>
            </w:tcBorders>
          </w:tcPr>
          <w:p w14:paraId="26B30E37"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0.97</w:t>
            </w:r>
          </w:p>
        </w:tc>
      </w:tr>
      <w:tr w:rsidR="00944DC1" w:rsidRPr="003A64DC" w14:paraId="642FE7C8" w14:textId="77777777" w:rsidTr="00944DC1">
        <w:tc>
          <w:tcPr>
            <w:tcW w:w="231" w:type="pct"/>
            <w:vMerge/>
            <w:tcBorders>
              <w:left w:val="single" w:sz="4" w:space="0" w:color="auto"/>
            </w:tcBorders>
          </w:tcPr>
          <w:p w14:paraId="16BEBEE6"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2EAE3860"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Processed food</w:t>
            </w:r>
          </w:p>
        </w:tc>
        <w:tc>
          <w:tcPr>
            <w:tcW w:w="402" w:type="pct"/>
            <w:tcBorders>
              <w:left w:val="single" w:sz="4" w:space="0" w:color="auto"/>
            </w:tcBorders>
          </w:tcPr>
          <w:p w14:paraId="6CB584E7"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0.43</w:t>
            </w:r>
          </w:p>
        </w:tc>
        <w:tc>
          <w:tcPr>
            <w:tcW w:w="809" w:type="pct"/>
          </w:tcPr>
          <w:p w14:paraId="0AB87D7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80630">
              <w:rPr>
                <w:rFonts w:ascii="Segoe UI Light" w:hAnsi="Segoe UI Light" w:cs="Segoe UI Light"/>
                <w:sz w:val="18"/>
                <w:szCs w:val="18"/>
              </w:rPr>
              <w:t>0.10,</w:t>
            </w:r>
            <w:r>
              <w:rPr>
                <w:rFonts w:ascii="Segoe UI Light" w:hAnsi="Segoe UI Light" w:cs="Segoe UI Light"/>
                <w:sz w:val="18"/>
                <w:szCs w:val="18"/>
              </w:rPr>
              <w:t xml:space="preserve">  </w:t>
            </w:r>
            <w:r w:rsidRPr="00580630">
              <w:rPr>
                <w:rFonts w:ascii="Segoe UI Light" w:hAnsi="Segoe UI Light" w:cs="Segoe UI Light"/>
                <w:sz w:val="18"/>
                <w:szCs w:val="18"/>
              </w:rPr>
              <w:t>0.76</w:t>
            </w:r>
            <w:r>
              <w:rPr>
                <w:rFonts w:ascii="Segoe UI Light" w:hAnsi="Segoe UI Light" w:cs="Segoe UI Light"/>
                <w:sz w:val="18"/>
                <w:szCs w:val="18"/>
              </w:rPr>
              <w:t>)</w:t>
            </w:r>
          </w:p>
        </w:tc>
        <w:tc>
          <w:tcPr>
            <w:tcW w:w="214" w:type="pct"/>
          </w:tcPr>
          <w:p w14:paraId="62B124B3"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p>
        </w:tc>
        <w:tc>
          <w:tcPr>
            <w:tcW w:w="271" w:type="pct"/>
          </w:tcPr>
          <w:p w14:paraId="40D9E043"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0.98</w:t>
            </w:r>
          </w:p>
        </w:tc>
        <w:tc>
          <w:tcPr>
            <w:tcW w:w="72" w:type="pct"/>
          </w:tcPr>
          <w:p w14:paraId="017D4023"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3D12315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0.54</w:t>
            </w:r>
          </w:p>
        </w:tc>
        <w:tc>
          <w:tcPr>
            <w:tcW w:w="849" w:type="pct"/>
          </w:tcPr>
          <w:p w14:paraId="7DFCB4E5"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0.25,</w:t>
            </w:r>
            <w:r>
              <w:rPr>
                <w:rFonts w:ascii="Segoe UI Light" w:hAnsi="Segoe UI Light" w:cs="Segoe UI Light"/>
                <w:sz w:val="18"/>
                <w:szCs w:val="18"/>
              </w:rPr>
              <w:t xml:space="preserve">  </w:t>
            </w:r>
            <w:r w:rsidRPr="00290936">
              <w:rPr>
                <w:rFonts w:ascii="Segoe UI Light" w:hAnsi="Segoe UI Light" w:cs="Segoe UI Light"/>
                <w:sz w:val="18"/>
                <w:szCs w:val="18"/>
              </w:rPr>
              <w:t>0.84</w:t>
            </w:r>
            <w:r>
              <w:rPr>
                <w:rFonts w:ascii="Segoe UI Light" w:hAnsi="Segoe UI Light" w:cs="Segoe UI Light"/>
                <w:sz w:val="18"/>
                <w:szCs w:val="18"/>
              </w:rPr>
              <w:t>)</w:t>
            </w:r>
          </w:p>
        </w:tc>
        <w:tc>
          <w:tcPr>
            <w:tcW w:w="244" w:type="pct"/>
          </w:tcPr>
          <w:p w14:paraId="62B4A103"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4691D89D"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0.97</w:t>
            </w:r>
          </w:p>
        </w:tc>
      </w:tr>
      <w:tr w:rsidR="00944DC1" w:rsidRPr="003A64DC" w14:paraId="16986336" w14:textId="77777777" w:rsidTr="00944DC1">
        <w:tc>
          <w:tcPr>
            <w:tcW w:w="231" w:type="pct"/>
            <w:vMerge/>
            <w:tcBorders>
              <w:left w:val="single" w:sz="4" w:space="0" w:color="auto"/>
            </w:tcBorders>
          </w:tcPr>
          <w:p w14:paraId="1CDBE150"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3A5F84FE"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 xml:space="preserve">   Non-food</w:t>
            </w:r>
          </w:p>
        </w:tc>
        <w:tc>
          <w:tcPr>
            <w:tcW w:w="402" w:type="pct"/>
            <w:tcBorders>
              <w:left w:val="single" w:sz="4" w:space="0" w:color="auto"/>
            </w:tcBorders>
          </w:tcPr>
          <w:p w14:paraId="7D7DD052"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0.67</w:t>
            </w:r>
          </w:p>
        </w:tc>
        <w:tc>
          <w:tcPr>
            <w:tcW w:w="809" w:type="pct"/>
          </w:tcPr>
          <w:p w14:paraId="5EADE800"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w:t>
            </w:r>
            <w:r w:rsidRPr="00580630">
              <w:rPr>
                <w:rFonts w:ascii="Segoe UI Light" w:hAnsi="Segoe UI Light" w:cs="Segoe UI Light"/>
                <w:b/>
                <w:sz w:val="18"/>
                <w:szCs w:val="18"/>
              </w:rPr>
              <w:t>0.38,</w:t>
            </w:r>
            <w:r>
              <w:rPr>
                <w:rFonts w:ascii="Segoe UI Light" w:hAnsi="Segoe UI Light" w:cs="Segoe UI Light"/>
                <w:b/>
                <w:sz w:val="18"/>
                <w:szCs w:val="18"/>
              </w:rPr>
              <w:t xml:space="preserve">  </w:t>
            </w:r>
            <w:r w:rsidRPr="00580630">
              <w:rPr>
                <w:rFonts w:ascii="Segoe UI Light" w:hAnsi="Segoe UI Light" w:cs="Segoe UI Light"/>
                <w:b/>
                <w:sz w:val="18"/>
                <w:szCs w:val="18"/>
              </w:rPr>
              <w:t>0.96</w:t>
            </w:r>
            <w:r>
              <w:rPr>
                <w:rFonts w:ascii="Segoe UI Light" w:hAnsi="Segoe UI Light" w:cs="Segoe UI Light"/>
                <w:b/>
                <w:sz w:val="18"/>
                <w:szCs w:val="18"/>
              </w:rPr>
              <w:t>)</w:t>
            </w:r>
          </w:p>
        </w:tc>
        <w:tc>
          <w:tcPr>
            <w:tcW w:w="214" w:type="pct"/>
          </w:tcPr>
          <w:p w14:paraId="50AA3EE9"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w:t>
            </w:r>
          </w:p>
        </w:tc>
        <w:tc>
          <w:tcPr>
            <w:tcW w:w="271" w:type="pct"/>
          </w:tcPr>
          <w:p w14:paraId="2E3C549A" w14:textId="77777777" w:rsidR="00944DC1" w:rsidRPr="008E69FF" w:rsidRDefault="00944DC1" w:rsidP="00944DC1">
            <w:pPr>
              <w:spacing w:after="0"/>
              <w:rPr>
                <w:rFonts w:ascii="Segoe UI Light" w:hAnsi="Segoe UI Light" w:cs="Segoe UI Light"/>
                <w:b/>
                <w:sz w:val="18"/>
                <w:szCs w:val="18"/>
              </w:rPr>
            </w:pPr>
            <w:r>
              <w:rPr>
                <w:rFonts w:ascii="Segoe UI Light" w:hAnsi="Segoe UI Light" w:cs="Segoe UI Light"/>
                <w:b/>
                <w:sz w:val="18"/>
                <w:szCs w:val="18"/>
              </w:rPr>
              <w:t>0.97</w:t>
            </w:r>
          </w:p>
        </w:tc>
        <w:tc>
          <w:tcPr>
            <w:tcW w:w="72" w:type="pct"/>
          </w:tcPr>
          <w:p w14:paraId="5B865742" w14:textId="77777777" w:rsidR="00944DC1" w:rsidRPr="008E69FF" w:rsidRDefault="00944DC1" w:rsidP="00944DC1">
            <w:pPr>
              <w:spacing w:after="0"/>
              <w:rPr>
                <w:rFonts w:ascii="Segoe UI Light" w:hAnsi="Segoe UI Light" w:cs="Segoe UI Light"/>
                <w:b/>
                <w:sz w:val="18"/>
                <w:szCs w:val="18"/>
              </w:rPr>
            </w:pPr>
          </w:p>
        </w:tc>
        <w:tc>
          <w:tcPr>
            <w:tcW w:w="363" w:type="pct"/>
            <w:tcBorders>
              <w:left w:val="nil"/>
            </w:tcBorders>
          </w:tcPr>
          <w:p w14:paraId="4BCE6B79"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0.85</w:t>
            </w:r>
          </w:p>
        </w:tc>
        <w:tc>
          <w:tcPr>
            <w:tcW w:w="849" w:type="pct"/>
          </w:tcPr>
          <w:p w14:paraId="48FDDB65"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(0.54,  1.15)</w:t>
            </w:r>
          </w:p>
        </w:tc>
        <w:tc>
          <w:tcPr>
            <w:tcW w:w="244" w:type="pct"/>
          </w:tcPr>
          <w:p w14:paraId="4DD694BF"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w:t>
            </w:r>
          </w:p>
        </w:tc>
        <w:tc>
          <w:tcPr>
            <w:tcW w:w="308" w:type="pct"/>
            <w:tcBorders>
              <w:right w:val="single" w:sz="4" w:space="0" w:color="auto"/>
            </w:tcBorders>
          </w:tcPr>
          <w:p w14:paraId="3C15422C" w14:textId="77777777" w:rsidR="00944DC1" w:rsidRPr="008E69FF" w:rsidRDefault="00944DC1" w:rsidP="00944DC1">
            <w:pPr>
              <w:spacing w:after="0"/>
              <w:rPr>
                <w:rFonts w:ascii="Segoe UI Light" w:hAnsi="Segoe UI Light" w:cs="Segoe UI Light"/>
                <w:b/>
                <w:sz w:val="18"/>
                <w:szCs w:val="18"/>
              </w:rPr>
            </w:pPr>
            <w:r w:rsidRPr="008E69FF">
              <w:rPr>
                <w:rFonts w:ascii="Segoe UI Light" w:hAnsi="Segoe UI Light" w:cs="Segoe UI Light"/>
                <w:b/>
                <w:sz w:val="18"/>
                <w:szCs w:val="18"/>
              </w:rPr>
              <w:t>0.97</w:t>
            </w:r>
          </w:p>
        </w:tc>
      </w:tr>
      <w:tr w:rsidR="00944DC1" w:rsidRPr="003A64DC" w14:paraId="672D3D45" w14:textId="77777777" w:rsidTr="00944DC1">
        <w:tc>
          <w:tcPr>
            <w:tcW w:w="231" w:type="pct"/>
            <w:vMerge/>
            <w:tcBorders>
              <w:left w:val="single" w:sz="4" w:space="0" w:color="auto"/>
            </w:tcBorders>
          </w:tcPr>
          <w:p w14:paraId="6F22BE32"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22E76B1E"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Clothing</w:t>
            </w:r>
          </w:p>
        </w:tc>
        <w:tc>
          <w:tcPr>
            <w:tcW w:w="402" w:type="pct"/>
            <w:tcBorders>
              <w:left w:val="single" w:sz="4" w:space="0" w:color="auto"/>
            </w:tcBorders>
          </w:tcPr>
          <w:p w14:paraId="2305278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0.75</w:t>
            </w:r>
          </w:p>
        </w:tc>
        <w:tc>
          <w:tcPr>
            <w:tcW w:w="809" w:type="pct"/>
          </w:tcPr>
          <w:p w14:paraId="17CB3B45"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80630">
              <w:rPr>
                <w:rFonts w:ascii="Segoe UI Light" w:hAnsi="Segoe UI Light" w:cs="Segoe UI Light"/>
                <w:sz w:val="18"/>
                <w:szCs w:val="18"/>
              </w:rPr>
              <w:t>0.46,</w:t>
            </w:r>
            <w:r>
              <w:rPr>
                <w:rFonts w:ascii="Segoe UI Light" w:hAnsi="Segoe UI Light" w:cs="Segoe UI Light"/>
                <w:sz w:val="18"/>
                <w:szCs w:val="18"/>
              </w:rPr>
              <w:t xml:space="preserve">  </w:t>
            </w:r>
            <w:r w:rsidRPr="00580630">
              <w:rPr>
                <w:rFonts w:ascii="Segoe UI Light" w:hAnsi="Segoe UI Light" w:cs="Segoe UI Light"/>
                <w:sz w:val="18"/>
                <w:szCs w:val="18"/>
              </w:rPr>
              <w:t>1.05</w:t>
            </w:r>
            <w:r>
              <w:rPr>
                <w:rFonts w:ascii="Segoe UI Light" w:hAnsi="Segoe UI Light" w:cs="Segoe UI Light"/>
                <w:sz w:val="18"/>
                <w:szCs w:val="18"/>
              </w:rPr>
              <w:t>)</w:t>
            </w:r>
          </w:p>
        </w:tc>
        <w:tc>
          <w:tcPr>
            <w:tcW w:w="214" w:type="pct"/>
          </w:tcPr>
          <w:p w14:paraId="6AAD80E2"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1D364E7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0.96</w:t>
            </w:r>
          </w:p>
        </w:tc>
        <w:tc>
          <w:tcPr>
            <w:tcW w:w="72" w:type="pct"/>
          </w:tcPr>
          <w:p w14:paraId="476E234C"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674CE72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0.94</w:t>
            </w:r>
          </w:p>
        </w:tc>
        <w:tc>
          <w:tcPr>
            <w:tcW w:w="849" w:type="pct"/>
          </w:tcPr>
          <w:p w14:paraId="0C4DE85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0.54,</w:t>
            </w:r>
            <w:r>
              <w:rPr>
                <w:rFonts w:ascii="Segoe UI Light" w:hAnsi="Segoe UI Light" w:cs="Segoe UI Light"/>
                <w:sz w:val="18"/>
                <w:szCs w:val="18"/>
              </w:rPr>
              <w:t xml:space="preserve">  </w:t>
            </w:r>
            <w:r w:rsidRPr="00290936">
              <w:rPr>
                <w:rFonts w:ascii="Segoe UI Light" w:hAnsi="Segoe UI Light" w:cs="Segoe UI Light"/>
                <w:sz w:val="18"/>
                <w:szCs w:val="18"/>
              </w:rPr>
              <w:t>1.35</w:t>
            </w:r>
            <w:r>
              <w:rPr>
                <w:rFonts w:ascii="Segoe UI Light" w:hAnsi="Segoe UI Light" w:cs="Segoe UI Light"/>
                <w:sz w:val="18"/>
                <w:szCs w:val="18"/>
              </w:rPr>
              <w:t>)</w:t>
            </w:r>
          </w:p>
        </w:tc>
        <w:tc>
          <w:tcPr>
            <w:tcW w:w="244" w:type="pct"/>
          </w:tcPr>
          <w:p w14:paraId="23D72B85"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10AD65F6"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0.94</w:t>
            </w:r>
          </w:p>
        </w:tc>
      </w:tr>
      <w:tr w:rsidR="00944DC1" w:rsidRPr="003A64DC" w14:paraId="379906BC" w14:textId="77777777" w:rsidTr="00944DC1">
        <w:tc>
          <w:tcPr>
            <w:tcW w:w="231" w:type="pct"/>
            <w:vMerge/>
            <w:tcBorders>
              <w:left w:val="single" w:sz="4" w:space="0" w:color="auto"/>
            </w:tcBorders>
          </w:tcPr>
          <w:p w14:paraId="4D947507"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535A7C23"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Shelter</w:t>
            </w:r>
          </w:p>
        </w:tc>
        <w:tc>
          <w:tcPr>
            <w:tcW w:w="402" w:type="pct"/>
            <w:tcBorders>
              <w:left w:val="single" w:sz="4" w:space="0" w:color="auto"/>
            </w:tcBorders>
          </w:tcPr>
          <w:p w14:paraId="51592873"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0.83</w:t>
            </w:r>
          </w:p>
        </w:tc>
        <w:tc>
          <w:tcPr>
            <w:tcW w:w="809" w:type="pct"/>
          </w:tcPr>
          <w:p w14:paraId="6471A68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80630">
              <w:rPr>
                <w:rFonts w:ascii="Segoe UI Light" w:hAnsi="Segoe UI Light" w:cs="Segoe UI Light"/>
                <w:sz w:val="18"/>
                <w:szCs w:val="18"/>
              </w:rPr>
              <w:t>0.50,</w:t>
            </w:r>
            <w:r>
              <w:rPr>
                <w:rFonts w:ascii="Segoe UI Light" w:hAnsi="Segoe UI Light" w:cs="Segoe UI Light"/>
                <w:sz w:val="18"/>
                <w:szCs w:val="18"/>
              </w:rPr>
              <w:t xml:space="preserve">  </w:t>
            </w:r>
            <w:r w:rsidRPr="00580630">
              <w:rPr>
                <w:rFonts w:ascii="Segoe UI Light" w:hAnsi="Segoe UI Light" w:cs="Segoe UI Light"/>
                <w:sz w:val="18"/>
                <w:szCs w:val="18"/>
              </w:rPr>
              <w:t>1.16</w:t>
            </w:r>
            <w:r>
              <w:rPr>
                <w:rFonts w:ascii="Segoe UI Light" w:hAnsi="Segoe UI Light" w:cs="Segoe UI Light"/>
                <w:sz w:val="18"/>
                <w:szCs w:val="18"/>
              </w:rPr>
              <w:t>)</w:t>
            </w:r>
          </w:p>
        </w:tc>
        <w:tc>
          <w:tcPr>
            <w:tcW w:w="214" w:type="pct"/>
          </w:tcPr>
          <w:p w14:paraId="770E98AD"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06042CEC"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0.97</w:t>
            </w:r>
          </w:p>
        </w:tc>
        <w:tc>
          <w:tcPr>
            <w:tcW w:w="72" w:type="pct"/>
          </w:tcPr>
          <w:p w14:paraId="693C07D0"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3F04AB9A"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1.03</w:t>
            </w:r>
          </w:p>
        </w:tc>
        <w:tc>
          <w:tcPr>
            <w:tcW w:w="849" w:type="pct"/>
          </w:tcPr>
          <w:p w14:paraId="31380225"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0.62,</w:t>
            </w:r>
            <w:r>
              <w:rPr>
                <w:rFonts w:ascii="Segoe UI Light" w:hAnsi="Segoe UI Light" w:cs="Segoe UI Light"/>
                <w:sz w:val="18"/>
                <w:szCs w:val="18"/>
              </w:rPr>
              <w:t xml:space="preserve">  </w:t>
            </w:r>
            <w:r w:rsidRPr="00290936">
              <w:rPr>
                <w:rFonts w:ascii="Segoe UI Light" w:hAnsi="Segoe UI Light" w:cs="Segoe UI Light"/>
                <w:sz w:val="18"/>
                <w:szCs w:val="18"/>
              </w:rPr>
              <w:t>1.44</w:t>
            </w:r>
            <w:r>
              <w:rPr>
                <w:rFonts w:ascii="Segoe UI Light" w:hAnsi="Segoe UI Light" w:cs="Segoe UI Light"/>
                <w:sz w:val="18"/>
                <w:szCs w:val="18"/>
              </w:rPr>
              <w:t>)</w:t>
            </w:r>
          </w:p>
        </w:tc>
        <w:tc>
          <w:tcPr>
            <w:tcW w:w="244" w:type="pct"/>
          </w:tcPr>
          <w:p w14:paraId="4CB71F0E"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282F3F3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0.96</w:t>
            </w:r>
          </w:p>
        </w:tc>
      </w:tr>
      <w:tr w:rsidR="00944DC1" w:rsidRPr="003A64DC" w14:paraId="25A71CD8" w14:textId="77777777" w:rsidTr="00944DC1">
        <w:tc>
          <w:tcPr>
            <w:tcW w:w="231" w:type="pct"/>
            <w:vMerge/>
            <w:tcBorders>
              <w:left w:val="single" w:sz="4" w:space="0" w:color="auto"/>
            </w:tcBorders>
          </w:tcPr>
          <w:p w14:paraId="04A42767"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28884A60"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Manufactured products</w:t>
            </w:r>
          </w:p>
        </w:tc>
        <w:tc>
          <w:tcPr>
            <w:tcW w:w="402" w:type="pct"/>
            <w:tcBorders>
              <w:left w:val="single" w:sz="4" w:space="0" w:color="auto"/>
            </w:tcBorders>
          </w:tcPr>
          <w:p w14:paraId="0F9A01F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1.25</w:t>
            </w:r>
          </w:p>
        </w:tc>
        <w:tc>
          <w:tcPr>
            <w:tcW w:w="809" w:type="pct"/>
          </w:tcPr>
          <w:p w14:paraId="224955D1"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80630">
              <w:rPr>
                <w:rFonts w:ascii="Segoe UI Light" w:hAnsi="Segoe UI Light" w:cs="Segoe UI Light"/>
                <w:sz w:val="18"/>
                <w:szCs w:val="18"/>
              </w:rPr>
              <w:t>0.99,</w:t>
            </w:r>
            <w:r>
              <w:rPr>
                <w:rFonts w:ascii="Segoe UI Light" w:hAnsi="Segoe UI Light" w:cs="Segoe UI Light"/>
                <w:sz w:val="18"/>
                <w:szCs w:val="18"/>
              </w:rPr>
              <w:t xml:space="preserve">  </w:t>
            </w:r>
            <w:r w:rsidRPr="00580630">
              <w:rPr>
                <w:rFonts w:ascii="Segoe UI Light" w:hAnsi="Segoe UI Light" w:cs="Segoe UI Light"/>
                <w:sz w:val="18"/>
                <w:szCs w:val="18"/>
              </w:rPr>
              <w:t>1.51</w:t>
            </w:r>
            <w:r>
              <w:rPr>
                <w:rFonts w:ascii="Segoe UI Light" w:hAnsi="Segoe UI Light" w:cs="Segoe UI Light"/>
                <w:sz w:val="18"/>
                <w:szCs w:val="18"/>
              </w:rPr>
              <w:t>)</w:t>
            </w:r>
          </w:p>
        </w:tc>
        <w:tc>
          <w:tcPr>
            <w:tcW w:w="214" w:type="pct"/>
          </w:tcPr>
          <w:p w14:paraId="726DEF8A"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271" w:type="pct"/>
          </w:tcPr>
          <w:p w14:paraId="7E8B7F4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0.96</w:t>
            </w:r>
          </w:p>
        </w:tc>
        <w:tc>
          <w:tcPr>
            <w:tcW w:w="72" w:type="pct"/>
          </w:tcPr>
          <w:p w14:paraId="489FF568" w14:textId="77777777" w:rsidR="00944DC1" w:rsidRDefault="00944DC1" w:rsidP="00944DC1">
            <w:pPr>
              <w:spacing w:after="0"/>
              <w:rPr>
                <w:rFonts w:ascii="Segoe UI Light" w:hAnsi="Segoe UI Light" w:cs="Segoe UI Light"/>
                <w:sz w:val="18"/>
                <w:szCs w:val="18"/>
              </w:rPr>
            </w:pPr>
          </w:p>
        </w:tc>
        <w:tc>
          <w:tcPr>
            <w:tcW w:w="363" w:type="pct"/>
            <w:tcBorders>
              <w:left w:val="nil"/>
            </w:tcBorders>
          </w:tcPr>
          <w:p w14:paraId="3B966C6D"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0.94</w:t>
            </w:r>
          </w:p>
        </w:tc>
        <w:tc>
          <w:tcPr>
            <w:tcW w:w="849" w:type="pct"/>
          </w:tcPr>
          <w:p w14:paraId="14CA5CA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0.66,</w:t>
            </w:r>
            <w:r>
              <w:rPr>
                <w:rFonts w:ascii="Segoe UI Light" w:hAnsi="Segoe UI Light" w:cs="Segoe UI Light"/>
                <w:sz w:val="18"/>
                <w:szCs w:val="18"/>
              </w:rPr>
              <w:t xml:space="preserve">  </w:t>
            </w:r>
            <w:r w:rsidRPr="00290936">
              <w:rPr>
                <w:rFonts w:ascii="Segoe UI Light" w:hAnsi="Segoe UI Light" w:cs="Segoe UI Light"/>
                <w:sz w:val="18"/>
                <w:szCs w:val="18"/>
              </w:rPr>
              <w:t>1.22</w:t>
            </w:r>
            <w:r>
              <w:rPr>
                <w:rFonts w:ascii="Segoe UI Light" w:hAnsi="Segoe UI Light" w:cs="Segoe UI Light"/>
                <w:sz w:val="18"/>
                <w:szCs w:val="18"/>
              </w:rPr>
              <w:t>)</w:t>
            </w:r>
          </w:p>
        </w:tc>
        <w:tc>
          <w:tcPr>
            <w:tcW w:w="244" w:type="pct"/>
          </w:tcPr>
          <w:p w14:paraId="325232D6"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w:t>
            </w:r>
          </w:p>
        </w:tc>
        <w:tc>
          <w:tcPr>
            <w:tcW w:w="308" w:type="pct"/>
            <w:tcBorders>
              <w:right w:val="single" w:sz="4" w:space="0" w:color="auto"/>
            </w:tcBorders>
          </w:tcPr>
          <w:p w14:paraId="16751B5B"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0.95</w:t>
            </w:r>
          </w:p>
        </w:tc>
      </w:tr>
      <w:tr w:rsidR="00944DC1" w:rsidRPr="003A64DC" w14:paraId="2ED9928F" w14:textId="77777777" w:rsidTr="00944DC1">
        <w:tc>
          <w:tcPr>
            <w:tcW w:w="231" w:type="pct"/>
            <w:vMerge/>
            <w:tcBorders>
              <w:left w:val="single" w:sz="4" w:space="0" w:color="auto"/>
            </w:tcBorders>
          </w:tcPr>
          <w:p w14:paraId="170A5972" w14:textId="77777777" w:rsidR="00944DC1" w:rsidRPr="003A64DC" w:rsidRDefault="00944DC1" w:rsidP="00944DC1">
            <w:pPr>
              <w:spacing w:after="0"/>
              <w:rPr>
                <w:rFonts w:ascii="Segoe UI Light" w:hAnsi="Segoe UI Light" w:cs="Segoe UI Light"/>
                <w:sz w:val="18"/>
                <w:szCs w:val="18"/>
              </w:rPr>
            </w:pPr>
          </w:p>
        </w:tc>
        <w:tc>
          <w:tcPr>
            <w:tcW w:w="1238" w:type="pct"/>
            <w:tcBorders>
              <w:right w:val="single" w:sz="4" w:space="0" w:color="auto"/>
            </w:tcBorders>
          </w:tcPr>
          <w:p w14:paraId="03162F21"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Waste services</w:t>
            </w:r>
          </w:p>
        </w:tc>
        <w:tc>
          <w:tcPr>
            <w:tcW w:w="402" w:type="pct"/>
            <w:tcBorders>
              <w:left w:val="single" w:sz="4" w:space="0" w:color="auto"/>
            </w:tcBorders>
          </w:tcPr>
          <w:p w14:paraId="051AA7C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1.18</w:t>
            </w:r>
          </w:p>
        </w:tc>
        <w:tc>
          <w:tcPr>
            <w:tcW w:w="809" w:type="pct"/>
          </w:tcPr>
          <w:p w14:paraId="6AA27BBE"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80630">
              <w:rPr>
                <w:rFonts w:ascii="Segoe UI Light" w:hAnsi="Segoe UI Light" w:cs="Segoe UI Light"/>
                <w:sz w:val="18"/>
                <w:szCs w:val="18"/>
              </w:rPr>
              <w:t>-1.46,</w:t>
            </w:r>
            <w:r>
              <w:rPr>
                <w:rFonts w:ascii="Segoe UI Light" w:hAnsi="Segoe UI Light" w:cs="Segoe UI Light"/>
                <w:sz w:val="18"/>
                <w:szCs w:val="18"/>
              </w:rPr>
              <w:t xml:space="preserve"> </w:t>
            </w:r>
            <w:r w:rsidRPr="00580630">
              <w:rPr>
                <w:rFonts w:ascii="Segoe UI Light" w:hAnsi="Segoe UI Light" w:cs="Segoe UI Light"/>
                <w:sz w:val="18"/>
                <w:szCs w:val="18"/>
              </w:rPr>
              <w:t>3.82</w:t>
            </w:r>
            <w:r>
              <w:rPr>
                <w:rFonts w:ascii="Segoe UI Light" w:hAnsi="Segoe UI Light" w:cs="Segoe UI Light"/>
                <w:sz w:val="18"/>
                <w:szCs w:val="18"/>
              </w:rPr>
              <w:t>)</w:t>
            </w:r>
          </w:p>
        </w:tc>
        <w:tc>
          <w:tcPr>
            <w:tcW w:w="214" w:type="pct"/>
          </w:tcPr>
          <w:p w14:paraId="767216AE" w14:textId="77777777" w:rsidR="00944DC1" w:rsidRPr="003A64DC" w:rsidRDefault="00944DC1" w:rsidP="00944DC1">
            <w:pPr>
              <w:spacing w:after="0"/>
              <w:rPr>
                <w:rFonts w:ascii="Segoe UI Light" w:hAnsi="Segoe UI Light" w:cs="Segoe UI Light"/>
                <w:sz w:val="18"/>
                <w:szCs w:val="18"/>
              </w:rPr>
            </w:pPr>
          </w:p>
        </w:tc>
        <w:tc>
          <w:tcPr>
            <w:tcW w:w="271" w:type="pct"/>
          </w:tcPr>
          <w:p w14:paraId="11DD0CF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0.84</w:t>
            </w:r>
          </w:p>
        </w:tc>
        <w:tc>
          <w:tcPr>
            <w:tcW w:w="72" w:type="pct"/>
          </w:tcPr>
          <w:p w14:paraId="684848CF" w14:textId="77777777" w:rsidR="00944DC1" w:rsidRPr="00290936" w:rsidRDefault="00944DC1" w:rsidP="00944DC1">
            <w:pPr>
              <w:spacing w:after="0"/>
              <w:rPr>
                <w:rFonts w:ascii="Segoe UI Light" w:hAnsi="Segoe UI Light" w:cs="Segoe UI Light"/>
                <w:sz w:val="18"/>
                <w:szCs w:val="18"/>
              </w:rPr>
            </w:pPr>
          </w:p>
        </w:tc>
        <w:tc>
          <w:tcPr>
            <w:tcW w:w="363" w:type="pct"/>
            <w:tcBorders>
              <w:left w:val="nil"/>
            </w:tcBorders>
          </w:tcPr>
          <w:p w14:paraId="381E138D" w14:textId="77777777" w:rsidR="00944DC1" w:rsidRPr="003A64DC" w:rsidRDefault="00944DC1" w:rsidP="00944DC1">
            <w:pPr>
              <w:spacing w:after="0"/>
              <w:rPr>
                <w:rFonts w:ascii="Segoe UI Light" w:hAnsi="Segoe UI Light" w:cs="Segoe UI Light"/>
                <w:sz w:val="18"/>
                <w:szCs w:val="18"/>
              </w:rPr>
            </w:pPr>
            <w:r w:rsidRPr="00290936">
              <w:rPr>
                <w:rFonts w:ascii="Segoe UI Light" w:hAnsi="Segoe UI Light" w:cs="Segoe UI Light"/>
                <w:sz w:val="18"/>
                <w:szCs w:val="18"/>
              </w:rPr>
              <w:t>1.98</w:t>
            </w:r>
          </w:p>
        </w:tc>
        <w:tc>
          <w:tcPr>
            <w:tcW w:w="849" w:type="pct"/>
          </w:tcPr>
          <w:p w14:paraId="74E0E6B4"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-0.90,</w:t>
            </w:r>
            <w:r>
              <w:rPr>
                <w:rFonts w:ascii="Segoe UI Light" w:hAnsi="Segoe UI Light" w:cs="Segoe UI Light"/>
                <w:sz w:val="18"/>
                <w:szCs w:val="18"/>
              </w:rPr>
              <w:t xml:space="preserve"> </w:t>
            </w:r>
            <w:r w:rsidRPr="00290936">
              <w:rPr>
                <w:rFonts w:ascii="Segoe UI Light" w:hAnsi="Segoe UI Light" w:cs="Segoe UI Light"/>
                <w:sz w:val="18"/>
                <w:szCs w:val="18"/>
              </w:rPr>
              <w:t>4.86</w:t>
            </w:r>
            <w:r>
              <w:rPr>
                <w:rFonts w:ascii="Segoe UI Light" w:hAnsi="Segoe UI Light" w:cs="Segoe UI Light"/>
                <w:sz w:val="18"/>
                <w:szCs w:val="18"/>
              </w:rPr>
              <w:t>)</w:t>
            </w:r>
          </w:p>
        </w:tc>
        <w:tc>
          <w:tcPr>
            <w:tcW w:w="244" w:type="pct"/>
          </w:tcPr>
          <w:p w14:paraId="72FF8977" w14:textId="77777777" w:rsidR="00944DC1" w:rsidRPr="003A64DC" w:rsidRDefault="00944DC1" w:rsidP="00944DC1">
            <w:pPr>
              <w:spacing w:after="0"/>
              <w:rPr>
                <w:rFonts w:ascii="Segoe UI Light" w:hAnsi="Segoe UI Light" w:cs="Segoe UI Light"/>
                <w:sz w:val="18"/>
                <w:szCs w:val="18"/>
              </w:rPr>
            </w:pPr>
          </w:p>
        </w:tc>
        <w:tc>
          <w:tcPr>
            <w:tcW w:w="308" w:type="pct"/>
            <w:tcBorders>
              <w:right w:val="single" w:sz="4" w:space="0" w:color="auto"/>
            </w:tcBorders>
          </w:tcPr>
          <w:p w14:paraId="504980A8"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0.82</w:t>
            </w:r>
          </w:p>
        </w:tc>
      </w:tr>
      <w:tr w:rsidR="00944DC1" w:rsidRPr="003A64DC" w14:paraId="65D0FCE6" w14:textId="77777777" w:rsidTr="00944DC1">
        <w:trPr>
          <w:trHeight w:val="73"/>
        </w:trPr>
        <w:tc>
          <w:tcPr>
            <w:tcW w:w="231" w:type="pct"/>
            <w:vMerge/>
            <w:tcBorders>
              <w:left w:val="single" w:sz="4" w:space="0" w:color="auto"/>
              <w:bottom w:val="single" w:sz="4" w:space="0" w:color="auto"/>
            </w:tcBorders>
          </w:tcPr>
          <w:p w14:paraId="6BD85682" w14:textId="77777777" w:rsidR="00944DC1" w:rsidRPr="003A64DC" w:rsidRDefault="00944DC1" w:rsidP="00944DC1">
            <w:pPr>
              <w:spacing w:after="0"/>
              <w:rPr>
                <w:rFonts w:ascii="Segoe UI Light" w:hAnsi="Segoe UI Light" w:cs="Segoe UI Light"/>
                <w:sz w:val="18"/>
                <w:szCs w:val="18"/>
              </w:rPr>
            </w:pPr>
          </w:p>
        </w:tc>
        <w:tc>
          <w:tcPr>
            <w:tcW w:w="1238" w:type="pct"/>
            <w:tcBorders>
              <w:bottom w:val="single" w:sz="4" w:space="0" w:color="auto"/>
              <w:right w:val="single" w:sz="4" w:space="0" w:color="auto"/>
            </w:tcBorders>
          </w:tcPr>
          <w:p w14:paraId="657B9BE8" w14:textId="77777777" w:rsidR="00944DC1" w:rsidRPr="003A64DC" w:rsidRDefault="00944DC1" w:rsidP="00944DC1">
            <w:pPr>
              <w:spacing w:after="0"/>
              <w:rPr>
                <w:rFonts w:ascii="Segoe UI Light" w:hAnsi="Segoe UI Light" w:cs="Segoe UI Light"/>
                <w:sz w:val="18"/>
                <w:szCs w:val="18"/>
              </w:rPr>
            </w:pPr>
            <w:r w:rsidRPr="003A64DC">
              <w:rPr>
                <w:rFonts w:ascii="Segoe UI Light" w:hAnsi="Segoe UI Light" w:cs="Segoe UI Light"/>
                <w:sz w:val="18"/>
                <w:szCs w:val="18"/>
              </w:rPr>
              <w:t xml:space="preserve">    Other services</w:t>
            </w:r>
          </w:p>
        </w:tc>
        <w:tc>
          <w:tcPr>
            <w:tcW w:w="402" w:type="pct"/>
            <w:tcBorders>
              <w:left w:val="single" w:sz="4" w:space="0" w:color="auto"/>
              <w:bottom w:val="single" w:sz="4" w:space="0" w:color="auto"/>
            </w:tcBorders>
          </w:tcPr>
          <w:p w14:paraId="5218F5A9"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0.41</w:t>
            </w:r>
          </w:p>
        </w:tc>
        <w:tc>
          <w:tcPr>
            <w:tcW w:w="809" w:type="pct"/>
            <w:tcBorders>
              <w:bottom w:val="single" w:sz="4" w:space="0" w:color="auto"/>
            </w:tcBorders>
          </w:tcPr>
          <w:p w14:paraId="22954131"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580630">
              <w:rPr>
                <w:rFonts w:ascii="Segoe UI Light" w:hAnsi="Segoe UI Light" w:cs="Segoe UI Light"/>
                <w:sz w:val="18"/>
                <w:szCs w:val="18"/>
              </w:rPr>
              <w:t>0.03,</w:t>
            </w:r>
            <w:r>
              <w:rPr>
                <w:rFonts w:ascii="Segoe UI Light" w:hAnsi="Segoe UI Light" w:cs="Segoe UI Light"/>
                <w:sz w:val="18"/>
                <w:szCs w:val="18"/>
              </w:rPr>
              <w:t xml:space="preserve">  </w:t>
            </w:r>
            <w:r w:rsidRPr="00580630">
              <w:rPr>
                <w:rFonts w:ascii="Segoe UI Light" w:hAnsi="Segoe UI Light" w:cs="Segoe UI Light"/>
                <w:sz w:val="18"/>
                <w:szCs w:val="18"/>
              </w:rPr>
              <w:t>0.79</w:t>
            </w:r>
            <w:r>
              <w:rPr>
                <w:rFonts w:ascii="Segoe UI Light" w:hAnsi="Segoe UI Light" w:cs="Segoe UI Light"/>
                <w:sz w:val="18"/>
                <w:szCs w:val="18"/>
              </w:rPr>
              <w:t>)</w:t>
            </w:r>
            <w:r w:rsidRPr="00580630">
              <w:rPr>
                <w:rFonts w:ascii="Segoe UI Light" w:hAnsi="Segoe UI Light" w:cs="Segoe UI Light"/>
                <w:sz w:val="18"/>
                <w:szCs w:val="18"/>
              </w:rPr>
              <w:t xml:space="preserve">   </w:t>
            </w:r>
          </w:p>
        </w:tc>
        <w:tc>
          <w:tcPr>
            <w:tcW w:w="214" w:type="pct"/>
            <w:tcBorders>
              <w:bottom w:val="single" w:sz="4" w:space="0" w:color="auto"/>
            </w:tcBorders>
          </w:tcPr>
          <w:p w14:paraId="52F2C4C0"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p>
        </w:tc>
        <w:tc>
          <w:tcPr>
            <w:tcW w:w="271" w:type="pct"/>
            <w:tcBorders>
              <w:bottom w:val="single" w:sz="4" w:space="0" w:color="auto"/>
            </w:tcBorders>
          </w:tcPr>
          <w:p w14:paraId="4672CC5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0.97</w:t>
            </w:r>
          </w:p>
        </w:tc>
        <w:tc>
          <w:tcPr>
            <w:tcW w:w="72" w:type="pct"/>
            <w:tcBorders>
              <w:bottom w:val="single" w:sz="4" w:space="0" w:color="auto"/>
            </w:tcBorders>
          </w:tcPr>
          <w:p w14:paraId="3D154613" w14:textId="77777777" w:rsidR="00944DC1" w:rsidRDefault="00944DC1" w:rsidP="00944DC1">
            <w:pPr>
              <w:spacing w:after="0"/>
              <w:rPr>
                <w:rFonts w:ascii="Segoe UI Light" w:hAnsi="Segoe UI Light" w:cs="Segoe UI Light"/>
                <w:sz w:val="18"/>
                <w:szCs w:val="18"/>
              </w:rPr>
            </w:pPr>
          </w:p>
        </w:tc>
        <w:tc>
          <w:tcPr>
            <w:tcW w:w="363" w:type="pct"/>
            <w:tcBorders>
              <w:left w:val="nil"/>
              <w:bottom w:val="single" w:sz="4" w:space="0" w:color="auto"/>
            </w:tcBorders>
          </w:tcPr>
          <w:p w14:paraId="742E0A09"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0.75</w:t>
            </w:r>
          </w:p>
        </w:tc>
        <w:tc>
          <w:tcPr>
            <w:tcW w:w="849" w:type="pct"/>
            <w:tcBorders>
              <w:bottom w:val="single" w:sz="4" w:space="0" w:color="auto"/>
            </w:tcBorders>
          </w:tcPr>
          <w:p w14:paraId="2543F1E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r w:rsidRPr="00290936">
              <w:rPr>
                <w:rFonts w:ascii="Segoe UI Light" w:hAnsi="Segoe UI Light" w:cs="Segoe UI Light"/>
                <w:sz w:val="18"/>
                <w:szCs w:val="18"/>
              </w:rPr>
              <w:t>0.28,</w:t>
            </w:r>
            <w:r>
              <w:rPr>
                <w:rFonts w:ascii="Segoe UI Light" w:hAnsi="Segoe UI Light" w:cs="Segoe UI Light"/>
                <w:sz w:val="18"/>
                <w:szCs w:val="18"/>
              </w:rPr>
              <w:t xml:space="preserve">  </w:t>
            </w:r>
            <w:r w:rsidRPr="00290936">
              <w:rPr>
                <w:rFonts w:ascii="Segoe UI Light" w:hAnsi="Segoe UI Light" w:cs="Segoe UI Light"/>
                <w:sz w:val="18"/>
                <w:szCs w:val="18"/>
              </w:rPr>
              <w:t>1.21</w:t>
            </w:r>
            <w:r>
              <w:rPr>
                <w:rFonts w:ascii="Segoe UI Light" w:hAnsi="Segoe UI Light" w:cs="Segoe UI Light"/>
                <w:sz w:val="18"/>
                <w:szCs w:val="18"/>
              </w:rPr>
              <w:t>)</w:t>
            </w:r>
            <w:r w:rsidRPr="00290936">
              <w:rPr>
                <w:rFonts w:ascii="Segoe UI Light" w:hAnsi="Segoe UI Light" w:cs="Segoe UI Light"/>
                <w:sz w:val="18"/>
                <w:szCs w:val="18"/>
              </w:rPr>
              <w:t xml:space="preserve">   </w:t>
            </w:r>
          </w:p>
        </w:tc>
        <w:tc>
          <w:tcPr>
            <w:tcW w:w="244" w:type="pct"/>
            <w:tcBorders>
              <w:bottom w:val="single" w:sz="4" w:space="0" w:color="auto"/>
            </w:tcBorders>
          </w:tcPr>
          <w:p w14:paraId="3AA33342"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w:t>
            </w:r>
          </w:p>
        </w:tc>
        <w:tc>
          <w:tcPr>
            <w:tcW w:w="308" w:type="pct"/>
            <w:tcBorders>
              <w:bottom w:val="single" w:sz="4" w:space="0" w:color="auto"/>
              <w:right w:val="single" w:sz="4" w:space="0" w:color="auto"/>
            </w:tcBorders>
          </w:tcPr>
          <w:p w14:paraId="21F241BF" w14:textId="77777777" w:rsidR="00944DC1" w:rsidRPr="003A64DC" w:rsidRDefault="00944DC1" w:rsidP="00944DC1">
            <w:pPr>
              <w:spacing w:after="0"/>
              <w:rPr>
                <w:rFonts w:ascii="Segoe UI Light" w:hAnsi="Segoe UI Light" w:cs="Segoe UI Light"/>
                <w:sz w:val="18"/>
                <w:szCs w:val="18"/>
              </w:rPr>
            </w:pPr>
            <w:r>
              <w:rPr>
                <w:rFonts w:ascii="Segoe UI Light" w:hAnsi="Segoe UI Light" w:cs="Segoe UI Light"/>
                <w:sz w:val="18"/>
                <w:szCs w:val="18"/>
              </w:rPr>
              <w:t>0.97</w:t>
            </w:r>
          </w:p>
        </w:tc>
      </w:tr>
    </w:tbl>
    <w:p w14:paraId="1D82EC75" w14:textId="77777777" w:rsidR="00944DC1" w:rsidRPr="006D5FD3" w:rsidRDefault="00944DC1" w:rsidP="00944DC1">
      <w:pPr>
        <w:rPr>
          <w:rFonts w:ascii="Times New Roman" w:hAnsi="Times New Roman"/>
        </w:rPr>
      </w:pPr>
      <w:r w:rsidRPr="00EC25C1">
        <w:rPr>
          <w:rFonts w:ascii="Times New Roman" w:hAnsi="Times New Roman"/>
          <w:b/>
          <w:iCs/>
          <w:sz w:val="22"/>
          <w:szCs w:val="22"/>
        </w:rPr>
        <w:t>Table 1</w:t>
      </w:r>
      <w:r w:rsidRPr="00027376">
        <w:rPr>
          <w:rFonts w:ascii="Times New Roman" w:hAnsi="Times New Roman"/>
          <w:iCs/>
          <w:sz w:val="22"/>
          <w:szCs w:val="22"/>
        </w:rPr>
        <w:t>.</w:t>
      </w:r>
      <w:r w:rsidRPr="006D5FD3">
        <w:rPr>
          <w:rFonts w:ascii="Times New Roman" w:hAnsi="Times New Roman"/>
          <w:iCs/>
          <w:sz w:val="22"/>
          <w:szCs w:val="22"/>
        </w:rPr>
        <w:t xml:space="preserve"> Income elasticities of footprints based on 49 countries and RoW regions by consumption category (2000-2011). Cross-sectional </w:t>
      </w:r>
      <w:r>
        <w:rPr>
          <w:rFonts w:ascii="Times New Roman" w:hAnsi="Times New Roman"/>
          <w:iCs/>
          <w:sz w:val="22"/>
          <w:szCs w:val="22"/>
        </w:rPr>
        <w:t>ordinary least squares (</w:t>
      </w:r>
      <w:r w:rsidRPr="006D5FD3">
        <w:rPr>
          <w:rFonts w:ascii="Times New Roman" w:hAnsi="Times New Roman"/>
          <w:iCs/>
          <w:sz w:val="22"/>
          <w:szCs w:val="22"/>
        </w:rPr>
        <w:t>OLS</w:t>
      </w:r>
      <w:r>
        <w:rPr>
          <w:rFonts w:ascii="Times New Roman" w:hAnsi="Times New Roman"/>
          <w:iCs/>
          <w:sz w:val="22"/>
          <w:szCs w:val="22"/>
        </w:rPr>
        <w:t>)</w:t>
      </w:r>
      <w:r w:rsidRPr="006D5FD3">
        <w:rPr>
          <w:rFonts w:ascii="Times New Roman" w:hAnsi="Times New Roman"/>
          <w:iCs/>
          <w:sz w:val="22"/>
          <w:szCs w:val="22"/>
        </w:rPr>
        <w:t xml:space="preserve"> model for 2011 data (using robust standard errors) and fixed-effects linear model for 2000-2011 panel data (using clustered standard errors). </w:t>
      </w:r>
      <w:r>
        <w:rPr>
          <w:rFonts w:ascii="Times New Roman" w:hAnsi="Times New Roman"/>
          <w:iCs/>
          <w:sz w:val="22"/>
          <w:szCs w:val="22"/>
        </w:rPr>
        <w:t>The dependent variables are l</w:t>
      </w:r>
      <w:r w:rsidRPr="006D5FD3">
        <w:rPr>
          <w:rFonts w:ascii="Times New Roman" w:hAnsi="Times New Roman"/>
          <w:iCs/>
          <w:sz w:val="22"/>
          <w:szCs w:val="22"/>
        </w:rPr>
        <w:t xml:space="preserve">og transformed values of footprints by consumption domain </w:t>
      </w:r>
      <w:r>
        <w:rPr>
          <w:rFonts w:ascii="Times New Roman" w:hAnsi="Times New Roman"/>
          <w:iCs/>
          <w:sz w:val="22"/>
          <w:szCs w:val="22"/>
        </w:rPr>
        <w:t>(</w:t>
      </w:r>
      <w:r w:rsidRPr="006D5FD3">
        <w:rPr>
          <w:rFonts w:ascii="Times New Roman" w:hAnsi="Times New Roman"/>
          <w:iCs/>
          <w:sz w:val="22"/>
          <w:szCs w:val="22"/>
        </w:rPr>
        <w:t>in g</w:t>
      </w:r>
      <w:r>
        <w:rPr>
          <w:rFonts w:ascii="Times New Roman" w:hAnsi="Times New Roman"/>
          <w:iCs/>
          <w:sz w:val="22"/>
          <w:szCs w:val="22"/>
        </w:rPr>
        <w:t xml:space="preserve"> </w:t>
      </w:r>
      <w:r w:rsidRPr="006D5FD3">
        <w:rPr>
          <w:rFonts w:ascii="Times New Roman" w:hAnsi="Times New Roman"/>
          <w:iCs/>
          <w:sz w:val="22"/>
          <w:szCs w:val="22"/>
        </w:rPr>
        <w:t>N</w:t>
      </w:r>
      <w:r>
        <w:rPr>
          <w:rFonts w:ascii="Times New Roman" w:hAnsi="Times New Roman"/>
          <w:iCs/>
          <w:sz w:val="22"/>
          <w:szCs w:val="22"/>
        </w:rPr>
        <w:t xml:space="preserve"> </w:t>
      </w:r>
      <w:r w:rsidRPr="006D5FD3">
        <w:rPr>
          <w:rFonts w:ascii="Times New Roman" w:hAnsi="Times New Roman"/>
          <w:iCs/>
          <w:sz w:val="22"/>
          <w:szCs w:val="22"/>
        </w:rPr>
        <w:t>eq</w:t>
      </w:r>
      <w:r>
        <w:rPr>
          <w:rFonts w:ascii="Times New Roman" w:hAnsi="Times New Roman"/>
          <w:iCs/>
          <w:sz w:val="22"/>
          <w:szCs w:val="22"/>
        </w:rPr>
        <w:t>.</w:t>
      </w:r>
      <w:r w:rsidRPr="006D5FD3">
        <w:rPr>
          <w:rFonts w:ascii="Times New Roman" w:hAnsi="Times New Roman"/>
          <w:iCs/>
          <w:sz w:val="22"/>
          <w:szCs w:val="22"/>
        </w:rPr>
        <w:t xml:space="preserve">/cap for </w:t>
      </w:r>
      <w:r>
        <w:rPr>
          <w:rFonts w:ascii="Times New Roman" w:hAnsi="Times New Roman"/>
          <w:iCs/>
          <w:sz w:val="22"/>
          <w:szCs w:val="22"/>
        </w:rPr>
        <w:t>ME and g P eq./cap for FE)</w:t>
      </w:r>
      <w:r w:rsidRPr="006D5FD3">
        <w:rPr>
          <w:rFonts w:ascii="Times New Roman" w:hAnsi="Times New Roman"/>
          <w:iCs/>
          <w:sz w:val="22"/>
          <w:szCs w:val="22"/>
        </w:rPr>
        <w:t>. The independent variable is the log-transformed GDP per capita in 2011-constant USD PPP per capita. Significance level</w:t>
      </w:r>
      <w:r>
        <w:rPr>
          <w:rFonts w:ascii="Times New Roman" w:hAnsi="Times New Roman"/>
          <w:iCs/>
          <w:sz w:val="22"/>
          <w:szCs w:val="22"/>
        </w:rPr>
        <w:t xml:space="preserve"> (Sig)</w:t>
      </w:r>
      <w:r w:rsidRPr="006D5FD3">
        <w:rPr>
          <w:rFonts w:ascii="Times New Roman" w:hAnsi="Times New Roman"/>
          <w:iCs/>
          <w:sz w:val="22"/>
          <w:szCs w:val="22"/>
        </w:rPr>
        <w:t>: * p &lt;0.1; ** p &lt;0.05; *** p &lt;0.01.</w:t>
      </w:r>
      <w:r>
        <w:rPr>
          <w:rFonts w:ascii="Times New Roman" w:hAnsi="Times New Roman"/>
          <w:iCs/>
          <w:sz w:val="22"/>
          <w:szCs w:val="22"/>
        </w:rPr>
        <w:t xml:space="preserve"> CI = Confidence interval</w:t>
      </w:r>
    </w:p>
    <w:p w14:paraId="40E2EC02" w14:textId="77777777" w:rsidR="005D4998" w:rsidRDefault="005D4998" w:rsidP="005D4998">
      <w:pPr>
        <w:rPr>
          <w:rFonts w:ascii="Times New Roman" w:hAnsi="Times New Roman"/>
        </w:rPr>
      </w:pPr>
      <w:r>
        <w:rPr>
          <w:rFonts w:ascii="Times New Roman" w:hAnsi="Times New Roman"/>
        </w:rPr>
        <w:t>We test wealth as a potential factor affecting the distribution of ME and FE across countries and time. To increase the robustness of our results, we perform cross-sectional (2011) and panel data regression analysis (2000-2011) on the per capita level. P</w:t>
      </w:r>
      <w:r w:rsidRPr="003F45E1">
        <w:rPr>
          <w:rFonts w:ascii="Times New Roman" w:hAnsi="Times New Roman"/>
        </w:rPr>
        <w:t>ositive and significant coefficients</w:t>
      </w:r>
      <w:r>
        <w:rPr>
          <w:rFonts w:ascii="Times New Roman" w:hAnsi="Times New Roman"/>
        </w:rPr>
        <w:t xml:space="preserve"> (and 95% confidence intervals) suggest</w:t>
      </w:r>
      <w:r w:rsidRPr="003F45E1">
        <w:rPr>
          <w:rFonts w:ascii="Times New Roman" w:hAnsi="Times New Roman"/>
        </w:rPr>
        <w:t xml:space="preserve"> that </w:t>
      </w:r>
      <w:r>
        <w:rPr>
          <w:rFonts w:ascii="Times New Roman" w:hAnsi="Times New Roman"/>
        </w:rPr>
        <w:t>affluence, measured by per-capita GDP,</w:t>
      </w:r>
      <w:r w:rsidRPr="003F45E1">
        <w:rPr>
          <w:rFonts w:ascii="Times New Roman" w:hAnsi="Times New Roman"/>
        </w:rPr>
        <w:t xml:space="preserve"> increases </w:t>
      </w:r>
      <w:r>
        <w:rPr>
          <w:rFonts w:ascii="Times New Roman" w:hAnsi="Times New Roman"/>
        </w:rPr>
        <w:t>ME</w:t>
      </w:r>
      <w:r w:rsidRPr="003F45E1">
        <w:rPr>
          <w:rFonts w:ascii="Times New Roman" w:hAnsi="Times New Roman"/>
        </w:rPr>
        <w:t xml:space="preserve"> and </w:t>
      </w:r>
      <w:r>
        <w:rPr>
          <w:rFonts w:ascii="Times New Roman" w:hAnsi="Times New Roman"/>
        </w:rPr>
        <w:t>FE footprints (table 1).</w:t>
      </w:r>
    </w:p>
    <w:p w14:paraId="5BAC1632" w14:textId="2597A3C6" w:rsidR="00944DC1" w:rsidRDefault="008F68E5" w:rsidP="00944DC1">
      <w:pPr>
        <w:rPr>
          <w:rFonts w:ascii="Times New Roman" w:hAnsi="Times New Roman"/>
        </w:rPr>
      </w:pPr>
      <w:r>
        <w:rPr>
          <w:rFonts w:ascii="Times New Roman" w:hAnsi="Times New Roman"/>
        </w:rPr>
        <w:t>This analysis</w:t>
      </w:r>
      <w:r w:rsidRPr="003F45E1">
        <w:rPr>
          <w:rFonts w:ascii="Times New Roman" w:hAnsi="Times New Roman"/>
        </w:rPr>
        <w:t xml:space="preserve"> </w:t>
      </w:r>
      <w:r w:rsidR="00944DC1" w:rsidRPr="003F45E1">
        <w:rPr>
          <w:rFonts w:ascii="Times New Roman" w:hAnsi="Times New Roman"/>
        </w:rPr>
        <w:t>indicat</w:t>
      </w:r>
      <w:r w:rsidR="00944DC1">
        <w:rPr>
          <w:rFonts w:ascii="Times New Roman" w:hAnsi="Times New Roman"/>
        </w:rPr>
        <w:t>es</w:t>
      </w:r>
      <w:r w:rsidR="00944DC1" w:rsidRPr="003F45E1">
        <w:rPr>
          <w:rFonts w:ascii="Times New Roman" w:hAnsi="Times New Roman"/>
        </w:rPr>
        <w:t xml:space="preserve"> that a </w:t>
      </w:r>
      <w:r w:rsidR="00944DC1" w:rsidRPr="00B13427">
        <w:rPr>
          <w:rFonts w:ascii="Times New Roman" w:hAnsi="Times New Roman"/>
        </w:rPr>
        <w:t>1%</w:t>
      </w:r>
      <w:r w:rsidR="00944DC1" w:rsidRPr="003F45E1">
        <w:rPr>
          <w:rFonts w:ascii="Times New Roman" w:hAnsi="Times New Roman"/>
        </w:rPr>
        <w:t xml:space="preserve"> increase in GDP per capita leads to an increase </w:t>
      </w:r>
      <w:r w:rsidR="00944DC1" w:rsidRPr="00B13427">
        <w:rPr>
          <w:rFonts w:ascii="Times New Roman" w:hAnsi="Times New Roman"/>
        </w:rPr>
        <w:t xml:space="preserve">of </w:t>
      </w:r>
      <w:r w:rsidR="00944DC1">
        <w:rPr>
          <w:rFonts w:ascii="Times New Roman" w:hAnsi="Times New Roman"/>
        </w:rPr>
        <w:t>1</w:t>
      </w:r>
      <w:r w:rsidR="00944DC1" w:rsidRPr="00B13427">
        <w:rPr>
          <w:rFonts w:ascii="Times New Roman" w:hAnsi="Times New Roman"/>
        </w:rPr>
        <w:t>.</w:t>
      </w:r>
      <w:r w:rsidR="00944DC1">
        <w:rPr>
          <w:rFonts w:ascii="Times New Roman" w:hAnsi="Times New Roman"/>
        </w:rPr>
        <w:t>0</w:t>
      </w:r>
      <w:r w:rsidR="00944DC1" w:rsidRPr="00B13427">
        <w:rPr>
          <w:rFonts w:ascii="Times New Roman" w:hAnsi="Times New Roman"/>
        </w:rPr>
        <w:t>% and 0.</w:t>
      </w:r>
      <w:r w:rsidR="00944DC1">
        <w:rPr>
          <w:rFonts w:ascii="Times New Roman" w:hAnsi="Times New Roman"/>
        </w:rPr>
        <w:t>9</w:t>
      </w:r>
      <w:r w:rsidR="00944DC1" w:rsidRPr="00B13427">
        <w:rPr>
          <w:rFonts w:ascii="Times New Roman" w:hAnsi="Times New Roman"/>
        </w:rPr>
        <w:t>% in</w:t>
      </w:r>
      <w:r w:rsidR="00944DC1" w:rsidRPr="003F45E1">
        <w:rPr>
          <w:rFonts w:ascii="Times New Roman" w:hAnsi="Times New Roman"/>
        </w:rPr>
        <w:t xml:space="preserve"> </w:t>
      </w:r>
      <w:r w:rsidR="00944DC1">
        <w:rPr>
          <w:rFonts w:ascii="Times New Roman" w:hAnsi="Times New Roman"/>
        </w:rPr>
        <w:t xml:space="preserve">the </w:t>
      </w:r>
      <w:r>
        <w:rPr>
          <w:rFonts w:ascii="Times New Roman" w:hAnsi="Times New Roman"/>
        </w:rPr>
        <w:t xml:space="preserve">ME and FE </w:t>
      </w:r>
      <w:r w:rsidR="00944DC1" w:rsidRPr="003F45E1">
        <w:rPr>
          <w:rFonts w:ascii="Times New Roman" w:hAnsi="Times New Roman"/>
        </w:rPr>
        <w:t>footprints</w:t>
      </w:r>
      <w:r>
        <w:rPr>
          <w:rFonts w:ascii="Times New Roman" w:hAnsi="Times New Roman"/>
        </w:rPr>
        <w:t xml:space="preserve"> (cross-section elasti</w:t>
      </w:r>
      <w:r w:rsidRPr="003F45E1">
        <w:rPr>
          <w:rFonts w:ascii="Times New Roman" w:hAnsi="Times New Roman"/>
        </w:rPr>
        <w:t xml:space="preserve">city coefficients for </w:t>
      </w:r>
      <w:r>
        <w:rPr>
          <w:rFonts w:ascii="Times New Roman" w:hAnsi="Times New Roman"/>
        </w:rPr>
        <w:t xml:space="preserve">non-food: </w:t>
      </w:r>
      <w:r w:rsidRPr="00B13427">
        <w:rPr>
          <w:rFonts w:ascii="Times New Roman" w:hAnsi="Times New Roman"/>
        </w:rPr>
        <w:t>0.9</w:t>
      </w:r>
      <w:r>
        <w:rPr>
          <w:rFonts w:ascii="Times New Roman" w:hAnsi="Times New Roman"/>
        </w:rPr>
        <w:t xml:space="preserve">9 </w:t>
      </w:r>
      <w:r w:rsidRPr="00B13427">
        <w:rPr>
          <w:rFonts w:ascii="Times New Roman" w:hAnsi="Times New Roman"/>
        </w:rPr>
        <w:t xml:space="preserve">and </w:t>
      </w:r>
      <w:r>
        <w:rPr>
          <w:rFonts w:ascii="Times New Roman" w:hAnsi="Times New Roman"/>
        </w:rPr>
        <w:t>0.88</w:t>
      </w:r>
      <w:r w:rsidRPr="00B13427">
        <w:rPr>
          <w:rFonts w:ascii="Times New Roman" w:hAnsi="Times New Roman"/>
        </w:rPr>
        <w:t xml:space="preserve"> </w:t>
      </w:r>
      <w:r>
        <w:rPr>
          <w:rFonts w:ascii="Times New Roman" w:hAnsi="Times New Roman"/>
        </w:rPr>
        <w:t xml:space="preserve">respectively, table 1 top). </w:t>
      </w:r>
      <w:r w:rsidR="00944DC1">
        <w:rPr>
          <w:rFonts w:ascii="Times New Roman" w:hAnsi="Times New Roman"/>
        </w:rPr>
        <w:t xml:space="preserve">All cross-sectional models share positive and highly significant coefficients, suggesting that eutrophication impacts are responsive to increases in income with regards to both food and non-food consumption. We cannot conclude significant differences between food and non-food coefficients (table 1, top). </w:t>
      </w:r>
    </w:p>
    <w:p w14:paraId="74136772" w14:textId="77777777" w:rsidR="005D4998" w:rsidRDefault="005D4998" w:rsidP="005D4998">
      <w:pPr>
        <w:rPr>
          <w:rFonts w:ascii="Times New Roman" w:hAnsi="Times New Roman"/>
        </w:rPr>
      </w:pPr>
      <w:r>
        <w:rPr>
          <w:rFonts w:ascii="Times New Roman" w:hAnsi="Times New Roman"/>
        </w:rPr>
        <w:t>The panel data analyses indicate that non-food consumption is significantly</w:t>
      </w:r>
      <w:r w:rsidRPr="003F45E1">
        <w:rPr>
          <w:rFonts w:ascii="Times New Roman" w:hAnsi="Times New Roman"/>
        </w:rPr>
        <w:t xml:space="preserve"> more income-elastic</w:t>
      </w:r>
      <w:r>
        <w:rPr>
          <w:rFonts w:ascii="Times New Roman" w:hAnsi="Times New Roman"/>
        </w:rPr>
        <w:t xml:space="preserve"> than food consumption for the period 2000-2011. For non-food models, the ME- and FE- income coefficients are 0.67 (0.38, 0.96) and 0.85 (0.54, 1.15), respectively (table 1, bottom). Clothing, shelter, and manufactured products are particularly elastic and significant at the 1% level (table 1, bottom). While the share of global impacts across these consumption categories is relatively small, they have increased rapidly with economic growth: the global ME shares for clothing, shelter, and manufactured products have grown from 2.1 to 2.2%, 6.2 to 7.2%, and 6.2 to 7.6% from 2000 to 2011. For FE, the shares have increased from 2.5 to </w:t>
      </w:r>
      <w:r>
        <w:rPr>
          <w:rFonts w:ascii="Times New Roman" w:hAnsi="Times New Roman"/>
        </w:rPr>
        <w:lastRenderedPageBreak/>
        <w:t xml:space="preserve">2.6%, 4.4 to 5.2%, and 4.3 to 4.7% for the above categories, respectively. Services and, in particular, waste services are less responsive to changes in income (table 1, bottom). In terms of plant- and animal-based food, income elasticities are insignificant at the 5% level </w:t>
      </w:r>
      <w:r w:rsidRPr="003F45E1">
        <w:rPr>
          <w:rFonts w:ascii="Times New Roman" w:hAnsi="Times New Roman"/>
        </w:rPr>
        <w:t xml:space="preserve">both for </w:t>
      </w:r>
      <w:r>
        <w:rPr>
          <w:rFonts w:ascii="Times New Roman" w:hAnsi="Times New Roman"/>
        </w:rPr>
        <w:t>ME</w:t>
      </w:r>
      <w:r w:rsidRPr="003F45E1">
        <w:rPr>
          <w:rFonts w:ascii="Times New Roman" w:hAnsi="Times New Roman"/>
        </w:rPr>
        <w:t xml:space="preserve"> and </w:t>
      </w:r>
      <w:r>
        <w:rPr>
          <w:rFonts w:ascii="Times New Roman" w:hAnsi="Times New Roman"/>
        </w:rPr>
        <w:t>FE. However for processed food, we find statistically significant coefficients of 0.43 (0.10, 0.76) and 0.54 (0.25, 0.84) for ME and FE, respectively. Prior studies have noted dietary shifts to processed food associated with increased affluence</w:t>
      </w:r>
      <w:r>
        <w:rPr>
          <w:rFonts w:ascii="Times New Roman" w:hAnsi="Times New Roman"/>
        </w:rPr>
        <w:fldChar w:fldCharType="begin" w:fldLock="1"/>
      </w:r>
      <w:r>
        <w:rPr>
          <w:rFonts w:ascii="Times New Roman" w:hAnsi="Times New Roman"/>
        </w:rPr>
        <w:instrText>ADDIN CSL_CITATION { "citationItems" : [ { "id" : "ITEM-1", "itemData" : { "DOI" : "10.1111/jiec.12405", "ISBN" : "10881980 (ISSN)", "ISSN" : "15309290", "abstract" : "Environmentally extended input-output analysis is the prevailing method for national environmental footprint accounting; however, its practical usefulness for consumers and policy makers suffers from lack of detail. Several extensive global multiregional input-output (MRIO) databases have recently been released. A standard framework for linking such databases with the highly detailed household expenditure surveys that are conducted regularly by national statistics offices has the potential of providing analysts in countries worldwide with a powerful tool for in-depth analyses of their national environmental footprints. In this article, we combine the Norwegian consumer expenditure survey with a global MRIO database to assess the carbon footprint (CF) of Norwegian household consumption in 2012, as well as its annual development since 1999. We offer a didactic account of the practical challenges associated with the combination of these types of data sets and the approach taken here to address these, and we discuss what barriers still remain before such analyses can be practically conducted and provide reliable results. We find a CF of 22.3 tonnes of carbon dioxide equivalents per household in 2012, a 26% increase since 1999. Transport, housing, and food were the expenditures contributing the most toward the total footprint. CF per unit of expenditure increased with overall expenditure levels (elasticity: 1.14), notably owing to the correlation between overall household expenditure and transport activities (elasticity: 1.48). Household energy use, which is generally inelastic, is, in Norway, largely based on hydropower and hence contributes comparatively little to the overall expenditure elasticity of household CF. \u00a92016, Yale University.", "author" : [ { "dropping-particle" : "", "family" : "Steen-Olsen", "given" : "Kjartan", "non-dropping-particle" : "", "parse-names" : false, "suffix" : "" }, { "dropping-particle" : "", "family" : "Wood", "given" : "Richard", "non-dropping-particle" : "", "parse-names" : false, "suffix" : "" }, { "dropping-particle" : "", "family" : "Hertwich", "given" : "Edgar G.", "non-dropping-particle" : "", "parse-names" : false, "suffix" : "" } ], "container-title" : "Journal of Industrial Ecology", "id" : "ITEM-1", "issue" : "3", "issued" : { "date-parts" : [ [ "2016" ] ] }, "page" : "582-592", "title" : "The carbon footprint of Norwegian household consumption 1999-2012", "type" : "article-journal", "volume" : "20" }, "uris" : [ "http://www.mendeley.com/documents/?uuid=744ece22-4961-4aef-a030-7fb3a3d97cf2", "http://www.mendeley.com/documents/?uuid=b62cfa52-0243-41cf-ae2b-a783f0c234ff" ] }, { "id" : "ITEM-2", "itemData" : { "DOI" : "10.1111/j.1530-9290.2012.00494.x", "ISSN" : "10881980", "author" : [ { "dropping-particle" : "", "family" : "Feng", "given" : "Kuishuang", "non-dropping-particle" : "", "parse-names" : false, "suffix" : "" }, { "dropping-particle" : "", "family" : "Siu", "given" : "Yim Ling", "non-dropping-particle" : "", "parse-names" : false, "suffix" : "" }, { "dropping-particle" : "", "family" : "Guan", "given" : "Dabo", "non-dropping-particle" : "", "parse-names" : false, "suffix" : "" }, { "dropping-particle" : "", "family" : "Hubacek", "given" : "Klaus", "non-dropping-particle" : "", "parse-names" : false, "suffix" : "" } ], "container-title" : "Journal of Industrial Ecology", "id" : "ITEM-2", "issue" : "4", "issued" : { "date-parts" : [ [ "2012", "8" ] ] }, "page" : "600-611", "title" : "Analyzing Drivers of Regional Carbon Dioxide Emissions for China", "type" : "article-journal", "volume" : "16" }, "uris" : [ "http://www.mendeley.com/documents/?uuid=121aad4c-484d-453c-9a2d-d1d4b4b26c06", "http://www.mendeley.com/documents/?uuid=f87dc541-e807-474c-8c07-c82580e05438" ] }, { "id" : "ITEM-3", "itemData" : { "abstract" : "To ensure the quality of its research reports and satisfy government-wide standards, ERS requires that all research reports with substantively new material be reviewed by qualified technical research peers. This technical peer review process, coordinated by ERS' Peer Review Coordinating Council, allows experts who possess the technical background, perspective, and expertise to provide an objective and meaningful assessment of the output's substantive content and clarity of communication during the publication's review. For more information on the Agency's peer review process, go to: http://www.ers.usda.gov/about-ers/peer-reviews.aspx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"author" : [ { "dropping-particle" : "", "family" : "Muhammad", "given" : "Andrew", "non-dropping-particle" : "", "parse-names" : false, "suffix" : "" }, { "dropping-particle" : "", "family" : "Souza", "given" : "Anna D '", "non-dropping-particle" : "", "parse-names" : false, "suffix" : "" }, { "dropping-particle" : "", "family" : "Meade", "given" : "Birgit", "non-dropping-particle" : "", "parse-names" : false, "suffix" : "" }, { "dropping-particle" : "", "family" : "Micha", "given" : "Renata", "non-dropping-particle" : "", "parse-names" : false, "suffix" : "" }, { "dropping-particle" : "", "family" : "Mozaffarian", "given" : "Dariush", "non-dropping-particle" : "", "parse-names" : false, "suffix" : "" } ], "id" : "ITEM-3", "issue" : "225", "issued" : { "date-parts" : [ [ "2017" ] ] }, "number-of-pages" : "1-39", "title" : "The Influence of Income and Prices on Global Dietary Patterns by Country, Age, and Gender", "type" : "report" }, "uris" : [ "http://www.mendeley.com/documents/?uuid=653369b4-dc4a-4007-9512-0d366f83a2d2", "http://www.mendeley.com/documents/?uuid=c61364d8-04b9-44bc-aca1-cda46936a151" ] }, { "id" : "ITEM-4", "itemData" : { "DOI" : "10.1111/jiec.12371", "ISBN" : "1088-1980", "ISSN" : "15309290", "abstract" : "We analyze the environmental impact of household consumption in terms of the material, water, and land-use requirements, as well as greenhouse gas (GHG) emissions, associated with the production and use of products and services consumed by these households. Using the new EXIOBASE 2.2 multiregional input-output database, which describes the world economy at the detail of 43 countries, five rest-of-the-world regions, and 200 product sectors, we are able to trace the origin of the products consumed by households and represent global supply chains for 2007. We highlight the importance of environmental pressure arising from households with their consumption contributing to more than 60% of global GHG emissions and between 50% and 80% of total land, material, and water use. The footprints are unevenly distributed across regions, with wealthier countries generating the most significant impacts per capita. Elasticities suggest a robust and significant relationship between households' expenditure and their environmental impacts, driven by a rising demand of nonprimary consumption items. Mobility, shelter, and food are the most important consumption categories across the environmental footprints. Globally, food accounts for 48% and 70% of household impacts on land and water resources, respectively, with consumption of meat, dairy, and processed food rising fast with income. Shelter and mobility stand out with high carbon and material intensity, whereas the significance of services for footprints relates to the large amount of household expenditure associated with them.", "author" : [ { "dropping-particle" : "", "family" : "Ivanova", "given" : "Diana", "non-dropping-particle" : "", "parse-names" : false, "suffix" : "" }, { "dropping-particle" : "", "family" : "Stadler", "given" : "Konstantin", "non-dropping-particle" : "", "parse-names" : false, "suffix" : "" }, { "dropping-particle" : "", "family" : "Steen-Olsen", "given" : "Kjartan", "non-dropping-particle" : "", "parse-names" : false, "suffix" : "" }, { "dropping-particle" : "", "family" : "Wood", "given" : "Richard", "non-dropping-particle" : "", "parse-names" : false, "suffix" : "" }, { "dropping-particle" : "", "family" : "Vita", "given" : "Gibran", "non-dropping-particle" : "", "parse-names" : false, "suffix" : "" }, { "dropping-particle" : "", "family" : "Tukker", "given" : "Arnold", "non-dropping-particle" : "", "parse-names" : false, "suffix" : "" }, { "dropping-particle" : "", "family" : "Hertwich", "given" : "Edgar G.", "non-dropping-particle" : "", "parse-names" : false, "suffix" : "" } ], "container-title" : "Journal of Industrial Ecology", "id" : "ITEM-4", "issue" : "3", "issued" : { "date-parts" : [ [ "2016" ] ] }, "page" : "526-536", "title" : "Environmental Impact Assessment of Household Consumption", "type" : "article-journal", "volume" : "20" }, "uris" : [ "http://www.mendeley.com/documents/?uuid=bbed89e1-fe6f-41cd-b27d-9eadfa653f7e" ] } ], "mendeley" : { "formattedCitation" : "&lt;sup&gt;23,29\u201331&lt;/sup&gt;", "plainTextFormattedCitation" : "23,29\u201331", "previouslyFormattedCitation" : "&lt;sup&gt;23,29\u201331&lt;/sup&gt;" }, "properties" : {  }, "schema" : "https://github.com/citation-style-language/schema/raw/master/csl-citation.json" }</w:instrText>
      </w:r>
      <w:r>
        <w:rPr>
          <w:rFonts w:ascii="Times New Roman" w:hAnsi="Times New Roman"/>
        </w:rPr>
        <w:fldChar w:fldCharType="separate"/>
      </w:r>
      <w:r w:rsidRPr="000F4114">
        <w:rPr>
          <w:rFonts w:ascii="Times New Roman" w:hAnsi="Times New Roman"/>
          <w:noProof/>
          <w:vertAlign w:val="superscript"/>
        </w:rPr>
        <w:t>23,29–31</w:t>
      </w:r>
      <w:r>
        <w:rPr>
          <w:rFonts w:ascii="Times New Roman" w:hAnsi="Times New Roman"/>
        </w:rPr>
        <w:fldChar w:fldCharType="end"/>
      </w:r>
      <w:r>
        <w:rPr>
          <w:rFonts w:ascii="Times New Roman" w:hAnsi="Times New Roman"/>
        </w:rPr>
        <w:t>. See SI for a further discussion of regression analyses.</w:t>
      </w:r>
    </w:p>
    <w:p w14:paraId="4555F362" w14:textId="3C727714" w:rsidR="007C4522" w:rsidRDefault="007C4522" w:rsidP="007C4522">
      <w:pPr>
        <w:spacing w:before="100" w:beforeAutospacing="1" w:after="100" w:afterAutospacing="1"/>
        <w:rPr>
          <w:rFonts w:ascii="Times New Roman" w:hAnsi="Times New Roman"/>
          <w:b/>
        </w:rPr>
      </w:pPr>
      <w:r w:rsidRPr="004535A8">
        <w:rPr>
          <w:rFonts w:ascii="Times New Roman" w:hAnsi="Times New Roman"/>
          <w:b/>
        </w:rPr>
        <w:t>Discussion</w:t>
      </w:r>
    </w:p>
    <w:p w14:paraId="7D58D852" w14:textId="134949F2" w:rsidR="003C61B8" w:rsidRDefault="005158D5" w:rsidP="00B018A6">
      <w:pPr>
        <w:spacing w:before="100" w:beforeAutospacing="1" w:after="100" w:afterAutospacing="1"/>
        <w:rPr>
          <w:rFonts w:ascii="Times New Roman" w:hAnsi="Times New Roman"/>
        </w:rPr>
      </w:pPr>
      <w:r>
        <w:rPr>
          <w:rFonts w:ascii="Times New Roman" w:hAnsi="Times New Roman"/>
        </w:rPr>
        <w:t xml:space="preserve">The role of </w:t>
      </w:r>
      <w:r w:rsidR="00A367D0">
        <w:rPr>
          <w:rFonts w:ascii="Times New Roman" w:hAnsi="Times New Roman"/>
        </w:rPr>
        <w:t>food and diets</w:t>
      </w:r>
      <w:r>
        <w:rPr>
          <w:rFonts w:ascii="Times New Roman" w:hAnsi="Times New Roman"/>
        </w:rPr>
        <w:t xml:space="preserve"> as drivers of eutrophication has been the focal point of recent studies</w:t>
      </w:r>
      <w:r w:rsidR="00A1364F">
        <w:rPr>
          <w:rFonts w:ascii="Times New Roman" w:hAnsi="Times New Roman"/>
        </w:rPr>
        <w:fldChar w:fldCharType="begin" w:fldLock="1"/>
      </w:r>
      <w:r w:rsidR="00A1364F">
        <w:rPr>
          <w:rFonts w:ascii="Times New Roman" w:hAnsi="Times New Roman"/>
        </w:rPr>
        <w:instrText>ADDIN CSL_CITATION { "citationItems" : [ { "id" : "ITEM-1", "itemData" : { "DOI" : "10.1088/1748-9326/10/11/115004", "ISBN" : "1748-9318", "ISSN" : "1748-9326", "abstract" : "Livestock production systems currently occupy around28%of the land surface of the European Union (equivalent to65%of the agricultural land). Inconjunction with otherhumanactivities, livestock production systems affect water, air and soil quality, global climate and biodiversity, altering the biogeochemical cycles of nitrogen, phosphorus and carbon. Here,we quantify the contribution of European livestock production to these major impacts. For each environmental effect, the contribution of livestock is expressed as shares of the emitted compounds and land used, as compared to the whole agricultural sector. The results show that the livestock sector contributes significantly to agricultural environmental impacts. This contribution is78%for terrestrial biodiversity loss,80%for soil acidification and air pollution (ammoniaand nitrogen oxides emissions),81%for global warming, and73%for water pollution (bothNandP). The agriculture sector itself is one of the major contributors to these environmental impacts, ranging between12%for global warming and59%for Nwater quality impact. Significant progress in mitigating these environmental impacts in Europe will only be possible through a combination of technological measures reducing livestock emissions, improved food choices and reduced food waste of European citizens. Introduction", "author" : [ { "dropping-particle" : "", "family" : "Leip", "given" : "a", "non-dropping-particle" : "", "parse-names" : false, "suffix" : "" }, { "dropping-particle" : "", "family" : "Billen", "given" : "G", "non-dropping-particle" : "", "parse-names" : false, "suffix" : "" }, { "dropping-particle" : "", "family" : "Garnier", "given" : "J", "non-dropping-particle" : "", "parse-names" : false, "suffix" : "" }, { "dropping-particle" : "", "family" : "Grizzetti", "given" : "B", "non-dropping-particle" : "", "parse-names" : false, "suffix" : "" }, { "dropping-particle" : "", "family" : "Lassaletta", "given" : "L", "non-dropping-particle" : "", "parse-names" : false, "suffix" : "" }, { "dropping-particle" : "", "family" : "Reis", "given" : "S", "non-dropping-particle" : "", "parse-names" : false, "suffix" : "" }, { "dropping-particle" : "", "family" : "Simpson", "given" : "D", "non-dropping-particle" : "", "parse-names" : false, "suffix" : "" }, { "dropping-particle" : "", "family" : "Sutton", "given" : "M a", "non-dropping-particle" : "", "parse-names" : false, "suffix" : "" }, { "dropping-particle" : "", "family" : "Vries", "given" : "W", "non-dropping-particle" : "de", "parse-names" : false, "suffix" : "" }, { "dropping-particle" : "", "family" : "Weiss", "given" : "F", "non-dropping-particle" : "", "parse-names" : false, "suffix" : "" }, { "dropping-particle" : "", "family" : "Westhoek", "given" : "H", "non-dropping-particle" : "", "parse-names" : false, "suffix" : "" } ], "container-title" : "Environmental Research Letters", "id" : "ITEM-1", "issue" : "11", "issued" : { "date-parts" : [ [ "2015" ] ] }, "page" : "115004", "publisher" : "IOP Publishing", "title" : "Impacts of European livestock production: nitrogen, sulphur, phosphorus and greenhouse gas emissions, land-use, water eutrophication and biodiversity", "type" : "article-journal", "volume" : "10" }, "uris" : [ "http://www.mendeley.com/documents/?uuid=7015abc7-0259-4132-a26c-a936159c4591" ] }, { "id" : "ITEM-2", "itemData" : { "DOI" : "10.1007/s10533-013-9923-4", "ISBN" : "0168-2563", "ISSN" : "1573515X", "abstract" : "The alteration of the global nitrogen (N) cycle is creating severe environmental impacts. This paper analyses the increasing importance of the international trade of food and feed in the alteration of theNcycle at the global scale in two ways. First, using the information on food and feed trade across world countries, and assuming that N constitutes 16 % of proteins, we quantified the N annually traded in the period 1961\u20132010.Weobserved that in that period, the amount of N traded between countries has increased eightfold (from 3 to 24 TgN) and now concerns one- third of the total N in world crop production, with the largest part corresponding to animal feed. Secondly, we divided the world into 12 regions and studied theN transfer among them in two reference years: 1986 and 2009. The N flow among these regions has dramati- cally intensified during this period not only due to an increase in the population but also in the proportion of animal protein in the diet of some countries. Nowa- days, in terms of proteins and N, a small number of countries (e.g., USA, Argentina and Brazil) are feeding the rest of the world. At the global scale the system is becoming less efficient because of the disconnection between crop and livestock production across specia- lised regions, increasing the environmental impacts. As human diet is an additional clear driver of the observed changes, the solutions must rely not only on the producers, but also on the consumers. The results of our study provide new insights into the food depen- dency relationships between the different regions of the world as well as the growing importance of international food and feed trade in the globalNcycle.", "author" : [ { "dropping-particle" : "", "family" : "Lassaletta", "given" : "Luis", "non-dropping-particle" : "", "parse-names" : false, "suffix" : "" }, { "dropping-particle" : "", "family" : "Billen", "given" : "Gilles", "non-dropping-particle" : "", "parse-names" : false, "suffix" : "" }, { "dropping-particle" : "", "family" : "Grizzetti", "given" : "Bruna", "non-dropping-particle" : "", "parse-names" : false, "suffix" : "" }, { "dropping-particle" : "", "family" : "Garnier", "given" : "Josette", "non-dropping-particle" : "", "parse-names" : false, "suffix" : "" }, { "dropping-particle" : "", "family" : "Leach", "given" : "Allison M.", "non-dropping-particle" : "", "parse-names" : false, "suffix" : "" }, { "dropping-particle" : "", "family" : "Galloway", "given" : "James N.", "non-dropping-particle" : "", "parse-names" : false, "suffix" : "" } ], "container-title" : "Biogeochemistry", "id" : "ITEM-2", "issue" : "1-3", "issued" : { "date-parts" : [ [ "2014" ] ] }, "page" : "225-241", "title" : "Food and feed trade as a driver in the global nitrogen cycle: 50-year trends", "type" : "article-journal", "volume" : "118" }, "uris" : [ "http://www.mendeley.com/documents/?uuid=36a5c507-9303-4319-9307-510de6b1709e" ] }, { "id" : "ITEM-3", "itemData" : { "DOI" : "10.1007/s10021-011-9507-x", "ISBN" : "1432-9840", "ISSN" : "14329840", "abstract" : "Trends of increasing agricultural trade, increased concentration of livestock production systems, and increased human consumption of livestock products influence the distribution of nutrients across the global landscape. Phosphorus (P) represents a unique management challenge as we are rapidly depleting mineable reserves of this essential and non-renewable resource. At the same time, its overuse can lead to pollution of aquatic ecosystems. We analyzed the relative contributions of food crop, feed crop, and livestock product trade to P flows through agricultural soils for 12 countries from 1961 to 2007. Due to the intensification of agricultural production, average soil surface P balances more than tripled from 6 to 21 kg P ha\u22121 between 1961 and 2007 for the 12 study countries. Consequently, countries that are primarily agricultural exporters carried increased risks for water pollution or, for Argentina, reduced soil fertility due to soil P mining to support exports. In 2007, nations imported food and feed from regions with higher apparent P fertilizer use efficiencies than if those crops were produced domestically. However, this was largely because imports were sourced from regions depleting soil P resources to support export crop production. In addition, the pattern of regional specialization and intensification of production systems also reduced the potential to recycle P resources, with greater implications for livestock production than crop production. In a globalizing world, it will be increasingly important to integrate biophysical constraints of our natural resources and environmental impacts of agricultural systems into trade policy and agreements and to develop mechanisms that move us closer to more equitable management of non-renewable resources such as phosphorus.", "author" : [ { "dropping-particle" : "", "family" : "Schipanski", "given" : "Meagan E.", "non-dropping-particle" : "", "parse-names" : false, "suffix" : "" }, { "dropping-particle" : "", "family" : "Bennett", "given" : "Elena M.", "non-dropping-particle" : "", "parse-names" : false, "suffix" : "" } ], "container-title" : "Ecosystems", "id" : "ITEM-3", "issue" : "2", "issued" : { "date-parts" : [ [ "2012" ] ] }, "page" : "256-268", "title" : "The Influence of Agricultural Trade and Livestock Production on the Global Phosphorus Cycle", "type" : "article-journal", "volume" : "15" }, "uris" : [ "http://www.mendeley.com/documents/?uuid=df13c0b7-1665-49bb-943b-84e86e51423a" ] }, { "id" : "ITEM-4", "itemData" : { "DOI" : "10.1021/acs.est.6b00740", "ISSN" : "15205851", "abstract" : "We investigated water-related resource use, emissions and ecosystem impacts of food consumed in Switzerland. To do so, we coupled LCA methodologies on freshwater consumption, freshwater eutrophication and the consequent local and global biodiversity impacts with Swiss customs data and multiregional input-output analysis. Most of the resource use, emissions and impacts occur outside the national boundaries which illustrates the extent of environmental outsourcing facilitated by international trade. Countries that are severely affected by Swiss food consumption include Spain, the United States and Ecuador. Cocoa, coffee, and almonds stood out as products with high impacts. By identifying spatial hotspots and impactful products, awareness of policy-makers as well as individual consumers can be raised and efforts of detailed assessments can be streamlined. However, political and economic constraints and the resistance by individual consumers limit the high potential of changes in diets and trade relations to ...", "author" : [ { "dropping-particle" : "", "family" : "Scherer", "given" : "Laura", "non-dropping-particle" : "", "parse-names" : false, "suffix" : "" }, { "dropping-particle" : "", "family" : "Pfister", "given" : "Stephan", "non-dropping-particle" : "", "parse-names" : false, "suffix" : "" } ], "container-title" : "Environmental Science and Technology", "id" : "ITEM-4", "issue" : "13", "issued" : { "date-parts" : [ [ "2016" ] ] }, "note" : "NULL", "page" : "7019-7028", "title" : "Global Biodiversity Loss by Freshwater Consumption and Eutrophication from Swiss Food Consumption", "type" : "article-journal", "volume" : "50" }, "uris" : [ "http://www.mendeley.com/documents/?uuid=8a3e9f27-27b4-4137-b0e9-c917d797fb80" ] }, { "id" : "ITEM-5", "itemData" : { "DOI" : "10.1016/j.gloenvcha.2011.09.013", "ISBN" : "0959-3780", "ISSN" : "09593780", "abstract" : "The volume of agricultural trade increased by more than ten times throughout the past six decades and is likely to continue with high rates in the future. Thereby, it largely affects environment and climate. We analyse future trade scenarios covering the period of 2005-2045 by evaluating economic and environmental effects using the global land-use model MAgPIE (\" Model of Agricultural Production and its Impact on the Environment\" ). This is the first trade study using spatially explicit mapping of land use patterns and greenhouse gas emissions. We focus on three scenarios: the reference scenario fixes current trade patterns, the policy scenario follows a historically derived liberalisation pathway, and the liberalisation scenario assumes a path, which ends with full trade liberalisation in 2045.Further trade liberalisation leads to lower global costs of food. Regions with comparative advantages like Latin America for cereals and oil crops and China for livestock products will export more. In contrast, regions like the Middle East, North Africa, and South Asia face the highest increases of imports. Deforestation, mainly in Latin America, leads to significant amounts of additional carbon emissions due to trade liberalisation. Non-CO 2 emissions will mostly shift to China due to comparative advantages in livestock production and rising livestock demand in the region. Overall, further trade liberalisation leads to higher economic benefits at the expense of environment and climate, if no other regulations are put in place. ?? 2011 Elsevier Ltd.", "author" : [ { "dropping-particle" : "", "family" : "Schmitz", "given" : "Christoph", "non-dropping-particle" : "", "parse-names" : false, "suffix" : "" }, { "dropping-particle" : "", "family" : "Biewald", "given" : "Anne", "non-dropping-particle" : "", "parse-names" : false, "suffix" : "" }, { "dropping-particle" : "", "family" : "Lotze-Campen", "given" : "Hermann", "non-dropping-particle" : "", "parse-names" : false, "suffix" : "" }, { "dropping-particle" : "", "family" : "Popp", "given" : "Alexander", "non-dropping-particle" : "", "parse-names" : false, "suffix" : "" }, { "dropping-particle" : "", "family" : "Dietrich", "given" : "Jan Philipp", "non-dropping-particle" : "", "parse-names" : false, "suffix" : "" }, { "dropping-particle" : "", "family" : "Bodirsky", "given" : "Benjamin", "non-dropping-particle" : "", "parse-names" : false, "suffix" : "" }, { "dropping-particle" : "", "family" : "Krause", "given" : "Michael", "non-dropping-particle" : "", "parse-names" : false, "suffix" : "" }, { "dropping-particle" : "", "family" : "Weindl", "given" : "Isabelle", "non-dropping-particle" : "", "parse-names" : false, "suffix" : "" } ], "container-title" : "Global Environmental Change", "id" : "ITEM-5", "issue" : "1", "issued" : { "date-parts" : [ [ "2012" ] ] }, "note" : "NULL", "page" : "189-209", "publisher" : "Elsevier Ltd", "title" : "Trading more food: Implications for land use, greenhouse gas emissions, and the food system", "type" : "article-journal", "volume" : "22" }, "uris" : [ "http://www.mendeley.com/documents/?uuid=324ccc95-022d-4265-9d0e-f4db791e05f2" ] }, { "id" : "ITEM-6", "itemData" : { "DOI" : "10.1021/es9034478", "ISBN" : "0013-936X", "ISSN" : "1520-5851", "PMID" : "20704246", "abstract" : "Although the environmental impacts and carbon footprints of foods are gaining more public attention and scientific debate, few studies have systematically evaluated the life cycle nitrogen and phosphorus flows among different food types. Disruption of natural nitrogen and phosphorus cycles already result in serious environmental quality degradation and economic losses, such as loss of fisheries due to hypoxia in the Gulf of Mexico. This study characterizes the nutrient flows during food production, processing, packaging, and distribution stages for eight food types; compares carbon footprints and nitrogen equivalent footprints of food groups; evaluates solutions to reduce excessive nitrogen outputs; and estimates effectiveness and efficiency of possible solutions. Different food groups exhibit a highly variable nitrogen-intensity; on average, red meat and dairy products require much more nitrogen than cereals/carbohydrates. The ranking of foods' nitrogen footprints is not consistent with their carbon footprints. For example, dairy products and chicken/eggs have relatively high nitrogen footprint and low carbon footprints. Finally, the study evaluates shifting food consumption patterns. Dietary shifts from dairy products and red meat to cereals can be an effective approach for lowering the personal nitrogen footprint.", "author" : [ { "dropping-particle" : "", "family" : "Xue", "given" : "Xiaobo", "non-dropping-particle" : "", "parse-names" : false, "suffix" : "" }, { "dropping-particle" : "", "family" : "Landis", "given" : "Amy E", "non-dropping-particle" : "", "parse-names" : false, "suffix" : "" } ], "container-title" : "Environmental Science &amp; Technology", "id" : "ITEM-6", "issue" : "16", "issued" : { "date-parts" : [ [ "2010" ] ] }, "note" : "NULL", "page" : "6450-6456", "title" : "Eutrophication potential of food consumption patterns.", "type" : "article-journal", "volume" : "44" }, "uris" : [ "http://www.mendeley.com/documents/?uuid=07c8f280-9073-4ac4-aa93-ef66146f2c28" ] }, { "id" : "ITEM-7", "itemData" : { "DOI" : "10.1038/s41893-018-0035-y", "ISSN" : "2398-9629", "author" : [ { "dropping-particle" : "", "family" : "He", "given" : "Pan", "non-dropping-particle" : "", "parse-names" : false, "suffix" : "" }, { "dropping-particle" : "", "family" : "Baiocchi", "given" : "Giovanni", "non-dropping-particle" : "", "parse-names" : false, "suffix" : "" }, { "dropping-particle" : "", "family" : "Hubacek", "given" : "Klaus", "non-dropping-particle" : "", "parse-names" : false, "suffix" : "" }, { "dropping-particle" : "", "family" : "Feng", "given" : "Kuishuang", "non-dropping-particle" : "", "parse-names" : false, "suffix" : "" }, { "dropping-particle" : "", "family" : "Yu", "given" : "Yang", "non-dropping-particle" : "", "parse-names" : false, "suffix" : "" } ], "container-title" : "Nature Sustainability", "id" : "ITEM-7", "issue" : "3", "issued" : { "date-parts" : [ [ "2018" ] ] }, "page" : "122-127", "publisher" : "Springer US", "title" : "The environmental impacts of rapidly changing diets and their nutritional quality in China", "type" : "article-journal", "volume" : "1" }, "uris" : [ "http://www.mendeley.com/documents/?uuid=de7debcd-2912-4ab8-9246-648cf9ed955e" ] } ], "mendeley" : { "formattedCitation" : "&lt;sup&gt;8,12\u201316,32&lt;/sup&gt;", "plainTextFormattedCitation" : "8,12\u201316,32", "previouslyFormattedCitation" : "&lt;sup&gt;8,12\u201316,32&lt;/sup&gt;" }, "properties" : {  }, "schema" : "https://github.com/citation-style-language/schema/raw/master/csl-citation.json" }</w:instrText>
      </w:r>
      <w:r w:rsidR="00A1364F">
        <w:rPr>
          <w:rFonts w:ascii="Times New Roman" w:hAnsi="Times New Roman"/>
        </w:rPr>
        <w:fldChar w:fldCharType="separate"/>
      </w:r>
      <w:r w:rsidR="00A1364F" w:rsidRPr="00A1364F">
        <w:rPr>
          <w:rFonts w:ascii="Times New Roman" w:hAnsi="Times New Roman"/>
          <w:noProof/>
          <w:vertAlign w:val="superscript"/>
        </w:rPr>
        <w:t>8,12–16,32</w:t>
      </w:r>
      <w:r w:rsidR="00A1364F">
        <w:rPr>
          <w:rFonts w:ascii="Times New Roman" w:hAnsi="Times New Roman"/>
        </w:rPr>
        <w:fldChar w:fldCharType="end"/>
      </w:r>
      <w:r>
        <w:rPr>
          <w:rFonts w:ascii="Times New Roman" w:hAnsi="Times New Roman"/>
        </w:rPr>
        <w:t>; this is justified considering that agriculture accounts for the vast majority of production-side eutrophication impacts</w:t>
      </w:r>
      <w:r w:rsidR="00415176">
        <w:rPr>
          <w:rFonts w:ascii="Times New Roman" w:hAnsi="Times New Roman"/>
        </w:rPr>
        <w:t xml:space="preserve"> </w:t>
      </w:r>
      <w:r w:rsidR="00C74921">
        <w:rPr>
          <w:rFonts w:ascii="Times New Roman" w:hAnsi="Times New Roman"/>
        </w:rPr>
        <w:t xml:space="preserve">and </w:t>
      </w:r>
      <w:r w:rsidR="00C74921" w:rsidRPr="00F31EDD">
        <w:rPr>
          <w:rFonts w:ascii="Times New Roman" w:hAnsi="Times New Roman"/>
        </w:rPr>
        <w:t>has a clear link to food production</w:t>
      </w:r>
      <w:r w:rsidRPr="00F31EDD">
        <w:rPr>
          <w:rFonts w:ascii="Times New Roman" w:hAnsi="Times New Roman"/>
        </w:rPr>
        <w:t xml:space="preserve">. However, we find that focusing on food consumption and diets alone would lead to a systematic and significant </w:t>
      </w:r>
      <w:r w:rsidR="00E35774" w:rsidRPr="00F31EDD">
        <w:rPr>
          <w:rFonts w:ascii="Times New Roman" w:hAnsi="Times New Roman"/>
        </w:rPr>
        <w:t xml:space="preserve">underestimation </w:t>
      </w:r>
      <w:r w:rsidRPr="00F31EDD">
        <w:rPr>
          <w:rFonts w:ascii="Times New Roman" w:hAnsi="Times New Roman"/>
        </w:rPr>
        <w:t xml:space="preserve">of eutrophication impacts </w:t>
      </w:r>
      <w:r w:rsidR="00C74921" w:rsidRPr="00F31EDD">
        <w:rPr>
          <w:rFonts w:ascii="Times New Roman" w:hAnsi="Times New Roman"/>
        </w:rPr>
        <w:t>from a consumption viewpoint</w:t>
      </w:r>
      <w:r w:rsidRPr="00F31EDD">
        <w:rPr>
          <w:rFonts w:ascii="Times New Roman" w:hAnsi="Times New Roman"/>
        </w:rPr>
        <w:t>.</w:t>
      </w:r>
      <w:r w:rsidR="00EC1FC5" w:rsidRPr="00F31EDD">
        <w:rPr>
          <w:rFonts w:ascii="Times New Roman" w:hAnsi="Times New Roman"/>
        </w:rPr>
        <w:t xml:space="preserve"> With </w:t>
      </w:r>
      <w:r w:rsidR="00C40E12" w:rsidRPr="00F31EDD">
        <w:rPr>
          <w:rFonts w:ascii="Times New Roman" w:hAnsi="Times New Roman"/>
        </w:rPr>
        <w:t>non-food</w:t>
      </w:r>
      <w:r w:rsidR="00F61DCF" w:rsidRPr="00F31EDD">
        <w:rPr>
          <w:rFonts w:ascii="Times New Roman" w:hAnsi="Times New Roman"/>
        </w:rPr>
        <w:t xml:space="preserve"> consumption </w:t>
      </w:r>
      <w:r w:rsidR="00A367D0" w:rsidRPr="00F31EDD">
        <w:rPr>
          <w:rFonts w:ascii="Times New Roman" w:hAnsi="Times New Roman"/>
        </w:rPr>
        <w:t>growing</w:t>
      </w:r>
      <w:r w:rsidR="00F61DCF" w:rsidRPr="00F31EDD">
        <w:rPr>
          <w:rFonts w:ascii="Times New Roman" w:hAnsi="Times New Roman"/>
        </w:rPr>
        <w:t xml:space="preserve"> over time, being highly responsive to changes in wealth and </w:t>
      </w:r>
      <w:r w:rsidR="006767B7" w:rsidRPr="00F31EDD">
        <w:rPr>
          <w:rFonts w:ascii="Times New Roman" w:hAnsi="Times New Roman"/>
        </w:rPr>
        <w:t>subject to</w:t>
      </w:r>
      <w:r w:rsidR="00F61DCF" w:rsidRPr="00F31EDD">
        <w:rPr>
          <w:rFonts w:ascii="Times New Roman" w:hAnsi="Times New Roman"/>
        </w:rPr>
        <w:t xml:space="preserve"> large global </w:t>
      </w:r>
      <w:r w:rsidR="006767B7" w:rsidRPr="00F31EDD">
        <w:rPr>
          <w:rFonts w:ascii="Times New Roman" w:hAnsi="Times New Roman"/>
        </w:rPr>
        <w:t>supply chain fragmentation</w:t>
      </w:r>
      <w:r w:rsidR="00F61DCF" w:rsidRPr="00F31EDD">
        <w:rPr>
          <w:rFonts w:ascii="Times New Roman" w:hAnsi="Times New Roman"/>
        </w:rPr>
        <w:t xml:space="preserve">, </w:t>
      </w:r>
      <w:r w:rsidR="003D4D87" w:rsidRPr="00F31EDD">
        <w:rPr>
          <w:rFonts w:ascii="Times New Roman" w:hAnsi="Times New Roman"/>
        </w:rPr>
        <w:t xml:space="preserve">it </w:t>
      </w:r>
      <w:r w:rsidR="00A367D0" w:rsidRPr="00F31EDD">
        <w:rPr>
          <w:rFonts w:ascii="Times New Roman" w:hAnsi="Times New Roman"/>
        </w:rPr>
        <w:t xml:space="preserve">is increasingly important </w:t>
      </w:r>
      <w:r w:rsidR="003D4D87" w:rsidRPr="00F31EDD">
        <w:rPr>
          <w:rFonts w:ascii="Times New Roman" w:hAnsi="Times New Roman"/>
        </w:rPr>
        <w:t xml:space="preserve">to </w:t>
      </w:r>
      <w:r w:rsidR="001A5578" w:rsidRPr="00F31EDD">
        <w:rPr>
          <w:rFonts w:ascii="Times New Roman" w:hAnsi="Times New Roman"/>
        </w:rPr>
        <w:t>consider these environmental concerns in policy development.</w:t>
      </w:r>
      <w:r w:rsidR="003D4D87">
        <w:rPr>
          <w:rFonts w:ascii="Times New Roman" w:hAnsi="Times New Roman"/>
        </w:rPr>
        <w:t xml:space="preserve"> </w:t>
      </w:r>
    </w:p>
    <w:p w14:paraId="13C6772C" w14:textId="6920156F" w:rsidR="00A77A2D" w:rsidRDefault="000F4EA1" w:rsidP="000F4EA1">
      <w:pPr>
        <w:spacing w:before="100" w:beforeAutospacing="1" w:after="100" w:afterAutospacing="1"/>
        <w:rPr>
          <w:rFonts w:ascii="Times New Roman" w:hAnsi="Times New Roman"/>
        </w:rPr>
      </w:pPr>
      <w:r>
        <w:rPr>
          <w:rFonts w:ascii="Times New Roman" w:hAnsi="Times New Roman"/>
        </w:rPr>
        <w:t>To adequately address eutrophication, a variety of policy instruments and strategies are needed.  This is because N</w:t>
      </w:r>
      <w:r w:rsidR="00F0138D">
        <w:rPr>
          <w:rFonts w:ascii="Times New Roman" w:hAnsi="Times New Roman"/>
        </w:rPr>
        <w:t xml:space="preserve"> and P</w:t>
      </w:r>
      <w:r>
        <w:rPr>
          <w:rFonts w:ascii="Times New Roman" w:hAnsi="Times New Roman"/>
        </w:rPr>
        <w:t xml:space="preserve"> emission pathways are complex: they originate from point and non-point sources, are emitted by a number of sectors and have a variety of drivers.</w:t>
      </w:r>
      <w:r>
        <w:rPr>
          <w:rFonts w:ascii="Times New Roman" w:hAnsi="Times New Roman"/>
        </w:rPr>
        <w:fldChar w:fldCharType="begin" w:fldLock="1"/>
      </w:r>
      <w:r w:rsidR="00A1364F">
        <w:rPr>
          <w:rFonts w:ascii="Times New Roman" w:hAnsi="Times New Roman"/>
        </w:rPr>
        <w:instrText>ADDIN CSL_CITATION { "citationItems" : [ { "id" : "ITEM-1", "itemData" : { "abstract" : "Nutrient overenrichment of freshwater and coastal ecosystems\u2014or eutrophication\u2014is a rapidly growing environmental crisis. Worldwide, the number of coastal areas impacted by eutrophication stands at over 500. In coastal areas, occurrences of dead zones, which are caused by eutrophic conditions, have increased from 10 documented cases in 1960 to 405 documented cases in 2008. In addition, many of the world's freshwater lakes, streams, and reservoirs suffer from eutrophi-cation; in the United States, eutrophication is considered the primary cause of freshwater impairment. In order to reverse eutrophication trends and mitigate nutrient losses to aquatic ecosystems, policymakers should: 1. Implement research and monitoring programs to characterize the effects of eutrophication, collect water quality data, and inform adaptive management strategies. Information is a key element in the development of robust strategies to reduce eutrophication. 2. Raise awareness of eutrophication. Eutrophication and its effects are not well understood by the public or policymakers. Public awareness campaigns, school environmental education programs, and targeted outreach and technical assistance are all important components of raising the profile of eutrophication within commu-nities and building a foundation and support for effective actions to reduce nutrient losses and eutrophication. 3. Implement regulations to mitigate nutrient losses, such as standards, technology requirements, or pollution caps for various sectors. 4. Create fiscal and economic incentives to encourage nutrient-reducing actions using taxes and fees, subsidies, or environmental markets. 5. Preserve and restore natural ecosystems that capture and cycle nutrients. 6. Establish strong, engaged, and coordinated institutions to address eutrophication. Effective institutions to implement and enforce policies are important to the success of any eutrophication strategy, especially where multiple jurisdictions are involved. 7. Capitalize on environmental synergies when designing comprehen-sive policies to address eutrophication. Many policies and activities associated with reducing nutrient pollution have synergies with other environmental problems such as climate change, smog, and acid rain. Policies selected and implemented should seek to maxi-mize environmental benefits. N utrient overenrichment\u2014or eutrophication\u2014of freshwa-ter and marine ecosystems is growing rapidly as a result of human activities (MA 2005; Mee\u2026", "author" : [ { "dropping-particle" : "", "family" : "Selman", "given" : "Mindy", "non-dropping-particle" : "", "parse-names" : false, "suffix" : "" }, { "dropping-particle" : "", "family" : "Greenhalgh", "given" : "Suzie", "non-dropping-particle" : "", "parse-names" : false, "suffix" : "" } ], "container-title" : "WRI Policy note - Water quality: Eutrophication and hypoxia", "id" : "ITEM-1", "issue" : "3", "issued" : { "date-parts" : [ [ "2009" ] ] }, "page" : "16", "title" : "Eutrophication: Policies, Actions, and Strategies to Address Nutrient Pollution", "type" : "article-journal", "volume" : "3" }, "uris" : [ "http://www.mendeley.com/documents/?uuid=a9f0d07d-5eb2-4e72-b23d-bbf8b9ebb518", "http://www.mendeley.com/documents/?uuid=9bc8aef4-bc97-4582-a1a2-bb46f53763be" ] } ], "mendeley" : { "formattedCitation" : "&lt;sup&gt;33&lt;/sup&gt;", "plainTextFormattedCitation" : "33", "previouslyFormattedCitation" : "&lt;sup&gt;33&lt;/sup&gt;"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33</w:t>
      </w:r>
      <w:r>
        <w:rPr>
          <w:rFonts w:ascii="Times New Roman" w:hAnsi="Times New Roman"/>
        </w:rPr>
        <w:fldChar w:fldCharType="end"/>
      </w:r>
      <w:r>
        <w:rPr>
          <w:rFonts w:ascii="Times New Roman" w:hAnsi="Times New Roman"/>
        </w:rPr>
        <w:t xml:space="preserve"> </w:t>
      </w:r>
      <w:r w:rsidR="00B2376A">
        <w:rPr>
          <w:rFonts w:ascii="Times New Roman" w:hAnsi="Times New Roman"/>
        </w:rPr>
        <w:t>Domestic policies</w:t>
      </w:r>
      <w:r>
        <w:rPr>
          <w:rFonts w:ascii="Times New Roman" w:hAnsi="Times New Roman"/>
        </w:rPr>
        <w:t xml:space="preserve"> include improving agricultural practices through reduced fertilizer use and improved animal husbandry feeding practices. These can be enforced or incentivized through e.g. country/region-level regulatory standards (e.g. the EU Nitrate directive mandates the designation of sensitive farming areas</w:t>
      </w:r>
      <w:r>
        <w:rPr>
          <w:rFonts w:ascii="Times New Roman" w:hAnsi="Times New Roman"/>
        </w:rPr>
        <w:fldChar w:fldCharType="begin" w:fldLock="1"/>
      </w:r>
      <w:r w:rsidR="00A1364F">
        <w:rPr>
          <w:rFonts w:ascii="Times New Roman" w:hAnsi="Times New Roman"/>
        </w:rPr>
        <w:instrText>ADDIN CSL_CITATION { "citationItems" : [ { "id" : "ITEM-1", "itemData" : { "URL" : "http://ec.europa.eu/environment/water/water-nitrates/index_en.html", "accessed" : { "date-parts" : [ [ "2017", "6", "16" ] ] }, "author" : [ { "dropping-particle" : "", "family" : "European Commission", "given" : "", "non-dropping-particle" : "", "parse-names" : false, "suffix" : "" } ], "container-title" : "The EU Nitrates Directive", "id" : "ITEM-1", "issued" : { "date-parts" : [ [ "2010" ] ] }, "page" : "1-4", "title" : "Water Frameworks Directive", "type" : "webpage" }, "uris" : [ "http://www.mendeley.com/documents/?uuid=92d1300a-8cab-468f-bdab-22604d3f7205" ] } ], "mendeley" : { "formattedCitation" : "&lt;sup&gt;34&lt;/sup&gt;", "plainTextFormattedCitation" : "34", "previouslyFormattedCitation" : "&lt;sup&gt;34&lt;/sup&gt;"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34</w:t>
      </w:r>
      <w:r>
        <w:rPr>
          <w:rFonts w:ascii="Times New Roman" w:hAnsi="Times New Roman"/>
        </w:rPr>
        <w:fldChar w:fldCharType="end"/>
      </w:r>
      <w:r>
        <w:rPr>
          <w:rFonts w:ascii="Times New Roman" w:hAnsi="Times New Roman"/>
        </w:rPr>
        <w:t xml:space="preserve">) and fiscal and economic incentives (e.g. </w:t>
      </w:r>
      <w:r w:rsidR="006D3580">
        <w:rPr>
          <w:rFonts w:ascii="Times New Roman" w:hAnsi="Times New Roman"/>
        </w:rPr>
        <w:t>subsidies</w:t>
      </w:r>
      <w:r w:rsidR="006D3580">
        <w:rPr>
          <w:rFonts w:ascii="Times New Roman" w:hAnsi="Times New Roman"/>
        </w:rPr>
        <w:fldChar w:fldCharType="begin" w:fldLock="1"/>
      </w:r>
      <w:r w:rsidR="006D3580">
        <w:rPr>
          <w:rFonts w:ascii="Times New Roman" w:hAnsi="Times New Roman"/>
        </w:rPr>
        <w:instrText>ADDIN CSL_CITATION { "citationItems" : [ { "id" : "ITEM-1", "itemData" : { "author" : [ { "dropping-particle" : "", "family" : "Shortle", "given" : "J. S.", "non-dropping-particle" : "", "parse-names" : false, "suffix" : "" }, { "dropping-particle" : "", "family" : "Abler", "given" : "D. G.", "non-dropping-particle" : "", "parse-names" : false, "suffix" : "" } ], "id" : "ITEM-1", "issued" : { "date-parts" : [ [ "2001" ] ] }, "number-of-pages" : "1-240", "title" : "Environmental Policies for Agricultural Pollution Control", "type" : "book" }, "uris" : [ "http://www.mendeley.com/documents/?uuid=ee9b42a6-de46-4573-a9f1-d4c88492272c" ] } ], "mendeley" : { "formattedCitation" : "&lt;sup&gt;35&lt;/sup&gt;", "plainTextFormattedCitation" : "35", "previouslyFormattedCitation" : "&lt;sup&gt;35&lt;/sup&gt;" }, "properties" : {  }, "schema" : "https://github.com/citation-style-language/schema/raw/master/csl-citation.json" }</w:instrText>
      </w:r>
      <w:r w:rsidR="006D3580">
        <w:rPr>
          <w:rFonts w:ascii="Times New Roman" w:hAnsi="Times New Roman"/>
        </w:rPr>
        <w:fldChar w:fldCharType="separate"/>
      </w:r>
      <w:r w:rsidR="006D3580" w:rsidRPr="00A1364F">
        <w:rPr>
          <w:rFonts w:ascii="Times New Roman" w:hAnsi="Times New Roman"/>
          <w:noProof/>
          <w:vertAlign w:val="superscript"/>
        </w:rPr>
        <w:t>35</w:t>
      </w:r>
      <w:r w:rsidR="006D3580">
        <w:rPr>
          <w:rFonts w:ascii="Times New Roman" w:hAnsi="Times New Roman"/>
        </w:rPr>
        <w:fldChar w:fldCharType="end"/>
      </w:r>
      <w:r w:rsidR="006D3580">
        <w:rPr>
          <w:rFonts w:ascii="Times New Roman" w:hAnsi="Times New Roman"/>
        </w:rPr>
        <w:t xml:space="preserve"> and </w:t>
      </w:r>
      <w:r>
        <w:rPr>
          <w:rFonts w:ascii="Times New Roman" w:hAnsi="Times New Roman"/>
        </w:rPr>
        <w:t>polluters pay tax and).</w:t>
      </w:r>
      <w:r>
        <w:rPr>
          <w:rFonts w:ascii="Times New Roman" w:hAnsi="Times New Roman"/>
        </w:rPr>
        <w:fldChar w:fldCharType="begin" w:fldLock="1"/>
      </w:r>
      <w:r w:rsidR="00A1364F">
        <w:rPr>
          <w:rFonts w:ascii="Times New Roman" w:hAnsi="Times New Roman"/>
        </w:rPr>
        <w:instrText>ADDIN CSL_CITATION { "citationItems" : [ { "id" : "ITEM-1", "itemData" : { "abstract" : "Nutrient overenrichment of freshwater and coastal ecosystems\u2014or eutrophication\u2014is a rapidly growing environmental crisis. Worldwide, the number of coastal areas impacted by eutrophication stands at over 500. In coastal areas, occurrences of dead zones, which are caused by eutrophic conditions, have increased from 10 documented cases in 1960 to 405 documented cases in 2008. In addition, many of the world's freshwater lakes, streams, and reservoirs suffer from eutrophi-cation; in the United States, eutrophication is considered the primary cause of freshwater impairment. In order to reverse eutrophication trends and mitigate nutrient losses to aquatic ecosystems, policymakers should: 1. Implement research and monitoring programs to characterize the effects of eutrophication, collect water quality data, and inform adaptive management strategies. Information is a key element in the development of robust strategies to reduce eutrophication. 2. Raise awareness of eutrophication. Eutrophication and its effects are not well understood by the public or policymakers. Public awareness campaigns, school environmental education programs, and targeted outreach and technical assistance are all important components of raising the profile of eutrophication within commu-nities and building a foundation and support for effective actions to reduce nutrient losses and eutrophication. 3. Implement regulations to mitigate nutrient losses, such as standards, technology requirements, or pollution caps for various sectors. 4. Create fiscal and economic incentives to encourage nutrient-reducing actions using taxes and fees, subsidies, or environmental markets. 5. Preserve and restore natural ecosystems that capture and cycle nutrients. 6. Establish strong, engaged, and coordinated institutions to address eutrophication. Effective institutions to implement and enforce policies are important to the success of any eutrophication strategy, especially where multiple jurisdictions are involved. 7. Capitalize on environmental synergies when designing comprehen-sive policies to address eutrophication. Many policies and activities associated with reducing nutrient pollution have synergies with other environmental problems such as climate change, smog, and acid rain. Policies selected and implemented should seek to maxi-mize environmental benefits. N utrient overenrichment\u2014or eutrophication\u2014of freshwa-ter and marine ecosystems is growing rapidly as a result of human activities (MA 2005; Mee\u2026", "author" : [ { "dropping-particle" : "", "family" : "Selman", "given" : "Mindy", "non-dropping-particle" : "", "parse-names" : false, "suffix" : "" }, { "dropping-particle" : "", "family" : "Greenhalgh", "given" : "Suzie", "non-dropping-particle" : "", "parse-names" : false, "suffix" : "" } ], "container-title" : "WRI Policy note - Water quality: Eutrophication and hypoxia", "id" : "ITEM-1", "issue" : "3", "issued" : { "date-parts" : [ [ "2009" ] ] }, "page" : "16", "title" : "Eutrophication: Policies, Actions, and Strategies to Address Nutrient Pollution", "type" : "article-journal", "volume" : "3" }, "uris" : [ "http://www.mendeley.com/documents/?uuid=9bc8aef4-bc97-4582-a1a2-bb46f53763be", "http://www.mendeley.com/documents/?uuid=a9f0d07d-5eb2-4e72-b23d-bbf8b9ebb518" ] } ], "mendeley" : { "formattedCitation" : "&lt;sup&gt;33&lt;/sup&gt;", "plainTextFormattedCitation" : "33", "previouslyFormattedCitation" : "&lt;sup&gt;33&lt;/sup&gt;"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33</w:t>
      </w:r>
      <w:r>
        <w:rPr>
          <w:rFonts w:ascii="Times New Roman" w:hAnsi="Times New Roman"/>
        </w:rPr>
        <w:fldChar w:fldCharType="end"/>
      </w:r>
      <w:r>
        <w:rPr>
          <w:rFonts w:ascii="Times New Roman" w:hAnsi="Times New Roman"/>
        </w:rPr>
        <w:t xml:space="preserve"> </w:t>
      </w:r>
    </w:p>
    <w:p w14:paraId="3BBE90D5" w14:textId="0EB24C26" w:rsidR="003B6CA6" w:rsidRDefault="000F4EA1" w:rsidP="000F4EA1">
      <w:pPr>
        <w:spacing w:before="100" w:beforeAutospacing="1" w:after="100" w:afterAutospacing="1"/>
        <w:rPr>
          <w:rFonts w:ascii="Times New Roman" w:hAnsi="Times New Roman"/>
        </w:rPr>
      </w:pPr>
      <w:r>
        <w:rPr>
          <w:rFonts w:ascii="Times New Roman" w:hAnsi="Times New Roman"/>
        </w:rPr>
        <w:t xml:space="preserve">However, </w:t>
      </w:r>
      <w:r w:rsidR="008F68E5">
        <w:rPr>
          <w:rFonts w:ascii="Times New Roman" w:hAnsi="Times New Roman"/>
        </w:rPr>
        <w:t xml:space="preserve">our </w:t>
      </w:r>
      <w:r>
        <w:rPr>
          <w:rFonts w:ascii="Times New Roman" w:hAnsi="Times New Roman"/>
        </w:rPr>
        <w:t>analysis has shown that the strong</w:t>
      </w:r>
      <w:r w:rsidR="003B6CA6">
        <w:rPr>
          <w:rFonts w:ascii="Times New Roman" w:hAnsi="Times New Roman"/>
        </w:rPr>
        <w:t xml:space="preserve"> and increasing</w:t>
      </w:r>
      <w:r>
        <w:rPr>
          <w:rFonts w:ascii="Times New Roman" w:hAnsi="Times New Roman"/>
        </w:rPr>
        <w:t xml:space="preserve"> trade component of agriculture</w:t>
      </w:r>
      <w:r w:rsidR="003B6CA6">
        <w:rPr>
          <w:rFonts w:ascii="Times New Roman" w:hAnsi="Times New Roman"/>
        </w:rPr>
        <w:t xml:space="preserve"> </w:t>
      </w:r>
      <w:r w:rsidR="008F68E5">
        <w:rPr>
          <w:rFonts w:ascii="Times New Roman" w:hAnsi="Times New Roman"/>
        </w:rPr>
        <w:t xml:space="preserve">prompts </w:t>
      </w:r>
      <w:r w:rsidR="003B6CA6">
        <w:rPr>
          <w:rFonts w:ascii="Times New Roman" w:hAnsi="Times New Roman"/>
        </w:rPr>
        <w:t xml:space="preserve">the need for accounting for </w:t>
      </w:r>
      <w:r w:rsidR="00A77A2D">
        <w:rPr>
          <w:rFonts w:ascii="Times New Roman" w:hAnsi="Times New Roman"/>
        </w:rPr>
        <w:t xml:space="preserve">all eutrophication due to a country’s consumption - </w:t>
      </w:r>
      <w:r w:rsidR="003B6CA6">
        <w:rPr>
          <w:rFonts w:ascii="Times New Roman" w:hAnsi="Times New Roman"/>
        </w:rPr>
        <w:t xml:space="preserve">both domestic and international. </w:t>
      </w:r>
      <w:r w:rsidR="006125CB">
        <w:rPr>
          <w:rFonts w:ascii="Times New Roman" w:hAnsi="Times New Roman"/>
        </w:rPr>
        <w:t>Otherwise,</w:t>
      </w:r>
      <w:r w:rsidR="00F0138D">
        <w:rPr>
          <w:rFonts w:ascii="Times New Roman" w:hAnsi="Times New Roman"/>
        </w:rPr>
        <w:t xml:space="preserve"> reducing</w:t>
      </w:r>
      <w:r w:rsidR="003B6CA6">
        <w:rPr>
          <w:rFonts w:ascii="Times New Roman" w:hAnsi="Times New Roman"/>
        </w:rPr>
        <w:t xml:space="preserve"> eutrophication </w:t>
      </w:r>
      <w:r w:rsidR="00F0138D">
        <w:rPr>
          <w:rFonts w:ascii="Times New Roman" w:hAnsi="Times New Roman"/>
        </w:rPr>
        <w:t xml:space="preserve">domestically </w:t>
      </w:r>
      <w:r w:rsidR="006125CB">
        <w:rPr>
          <w:rFonts w:ascii="Times New Roman" w:hAnsi="Times New Roman"/>
        </w:rPr>
        <w:t xml:space="preserve">could </w:t>
      </w:r>
      <w:r w:rsidR="00B2376A">
        <w:rPr>
          <w:rFonts w:ascii="Times New Roman" w:hAnsi="Times New Roman"/>
        </w:rPr>
        <w:t>be</w:t>
      </w:r>
      <w:r w:rsidR="003B6CA6">
        <w:rPr>
          <w:rFonts w:ascii="Times New Roman" w:hAnsi="Times New Roman"/>
        </w:rPr>
        <w:t xml:space="preserve"> achieved </w:t>
      </w:r>
      <w:r w:rsidR="00A77A2D">
        <w:rPr>
          <w:rFonts w:ascii="Times New Roman" w:hAnsi="Times New Roman"/>
        </w:rPr>
        <w:t xml:space="preserve">through outsourcing impacts to other countries. For example, our results show that the vast majority of all eutrophication related to </w:t>
      </w:r>
      <w:r w:rsidR="006F15AF">
        <w:rPr>
          <w:rFonts w:ascii="Times New Roman" w:hAnsi="Times New Roman"/>
        </w:rPr>
        <w:t xml:space="preserve">the </w:t>
      </w:r>
      <w:r w:rsidR="00A77A2D">
        <w:rPr>
          <w:rFonts w:ascii="Times New Roman" w:hAnsi="Times New Roman"/>
        </w:rPr>
        <w:t xml:space="preserve">EU’s non-food consumption occurs in other </w:t>
      </w:r>
      <w:r w:rsidR="006125CB">
        <w:rPr>
          <w:rFonts w:ascii="Times New Roman" w:hAnsi="Times New Roman"/>
        </w:rPr>
        <w:t>regions</w:t>
      </w:r>
      <w:r w:rsidR="00A77A2D">
        <w:rPr>
          <w:rFonts w:ascii="Times New Roman" w:hAnsi="Times New Roman"/>
        </w:rPr>
        <w:t xml:space="preserve">. The EU both i) drives the largest global non-food eutrophication displacements to Asia-Pacific and Africa for ME and FE, respectively and ii) displaces a </w:t>
      </w:r>
      <w:r w:rsidR="00A37E65">
        <w:rPr>
          <w:rFonts w:ascii="Times New Roman" w:hAnsi="Times New Roman"/>
        </w:rPr>
        <w:t>high percentage of non-food impacts</w:t>
      </w:r>
      <w:r w:rsidR="000476A6">
        <w:rPr>
          <w:rFonts w:ascii="Times New Roman" w:hAnsi="Times New Roman"/>
        </w:rPr>
        <w:t xml:space="preserve">. </w:t>
      </w:r>
      <w:r w:rsidR="00A77A2D">
        <w:rPr>
          <w:rFonts w:ascii="Times New Roman" w:hAnsi="Times New Roman"/>
        </w:rPr>
        <w:t>While the EU has developed frameworks and strategies for tackling eutrophication within Europe</w:t>
      </w:r>
      <w:r w:rsidR="00A77A2D">
        <w:rPr>
          <w:rFonts w:ascii="Times New Roman" w:hAnsi="Times New Roman"/>
        </w:rPr>
        <w:fldChar w:fldCharType="begin" w:fldLock="1"/>
      </w:r>
      <w:r w:rsidR="00A1364F">
        <w:rPr>
          <w:rFonts w:ascii="Times New Roman" w:hAnsi="Times New Roman"/>
        </w:rPr>
        <w:instrText>ADDIN CSL_CITATION { "citationItems" : [ { "id" : "ITEM-1", "itemData" : { "URL" : "http://ec.europa.eu/environment/water/water-framework/index_en.html", "accessed" : { "date-parts" : [ [ "2017", "5", "12" ] ] }, "author" : [ { "dropping-particle" : "", "family" : "European Commission DG Environment", "given" : "", "non-dropping-particle" : "", "parse-names" : false, "suffix" : "" } ], "container-title" : "Joining Forces for Europe's Shared Waters: Coordination in international river basin districts", "id" : "ITEM-1", "issued" : { "date-parts" : [ [ "2008" ] ] }, "title" : "The EU Water Framework Directive", "type" : "webpage" }, "uris" : [ "http://www.mendeley.com/documents/?uuid=0836ba2c-2d9f-4d4a-b152-56dd457bb89c" ] }, { "id" : "ITEM-2", "itemData" : { "URL" : "http://ec.europa.eu/environment/water/water-nitrates/index_en.html", "accessed" : { "date-parts" : [ [ "2017", "6", "16" ] ] }, "author" : [ { "dropping-particle" : "", "family" : "European Commission", "given" : "", "non-dropping-particle" : "", "parse-names" : false, "suffix" : "" } ], "container-title" : "The EU Nitrates Directive", "id" : "ITEM-2", "issued" : { "date-parts" : [ [ "2010" ] ] }, "page" : "1-4", "title" : "Water Frameworks Directive", "type" : "webpage" }, "uris" : [ "http://www.mendeley.com/documents/?uuid=92d1300a-8cab-468f-bdab-22604d3f7205" ] } ], "mendeley" : { "formattedCitation" : "&lt;sup&gt;34,36&lt;/sup&gt;", "plainTextFormattedCitation" : "34,36", "previouslyFormattedCitation" : "&lt;sup&gt;34,36&lt;/sup&gt;" }, "properties" : {  }, "schema" : "https://github.com/citation-style-language/schema/raw/master/csl-citation.json" }</w:instrText>
      </w:r>
      <w:r w:rsidR="00A77A2D">
        <w:rPr>
          <w:rFonts w:ascii="Times New Roman" w:hAnsi="Times New Roman"/>
        </w:rPr>
        <w:fldChar w:fldCharType="separate"/>
      </w:r>
      <w:r w:rsidR="00A1364F" w:rsidRPr="00A1364F">
        <w:rPr>
          <w:rFonts w:ascii="Times New Roman" w:hAnsi="Times New Roman"/>
          <w:noProof/>
          <w:vertAlign w:val="superscript"/>
        </w:rPr>
        <w:t>34,36</w:t>
      </w:r>
      <w:r w:rsidR="00A77A2D">
        <w:rPr>
          <w:rFonts w:ascii="Times New Roman" w:hAnsi="Times New Roman"/>
        </w:rPr>
        <w:fldChar w:fldCharType="end"/>
      </w:r>
      <w:r w:rsidR="00F0138D">
        <w:rPr>
          <w:rFonts w:ascii="Times New Roman" w:hAnsi="Times New Roman"/>
        </w:rPr>
        <w:t xml:space="preserve">, </w:t>
      </w:r>
      <w:r w:rsidR="00A77A2D">
        <w:rPr>
          <w:rFonts w:ascii="Times New Roman" w:hAnsi="Times New Roman"/>
        </w:rPr>
        <w:t>policies that integrate international supply chains for addressing eutrophication abroad are lacking.</w:t>
      </w:r>
      <w:r w:rsidR="00A77A2D">
        <w:rPr>
          <w:rFonts w:ascii="Times New Roman" w:hAnsi="Times New Roman"/>
        </w:rPr>
        <w:fldChar w:fldCharType="begin" w:fldLock="1"/>
      </w:r>
      <w:r w:rsidR="00A1364F">
        <w:rPr>
          <w:rFonts w:ascii="Times New Roman" w:hAnsi="Times New Roman"/>
        </w:rPr>
        <w:instrText>ADDIN CSL_CITATION { "citationItems" : [ { "id" : "ITEM-1", "itemData" : { "DOI" : "10.1016/j.envdev.2013.03.003", "ISBN" : "2211-4645", "ISSN" : "22114645", "abstract" : "The the global the ... ...", "author" : [ { "dropping-particle" : "", "family" : "Sutton", "given" : "Mark A.", "non-dropping-particle" : "", "parse-names" : false, "suffix" : "" }, { "dropping-particle" : "", "family" : "Howard", "given" : "Clare M.", "non-dropping-particle" : "", "parse-names" : false, "suffix" : "" }, { "dropping-particle" : "", "family" : "Bleeker", "given" : "Albert", "non-dropping-particle" : "", "parse-names" : false, "suffix" : "" }, { "dropping-particle" : "", "family" : "Datta", "given" : "Anjan", "non-dropping-particle" : "", "parse-names" : false, "suffix" : "" } ], "container-title" : "Environmental Development", "id" : "ITEM-1", "issue" : "1", "issued" : { "date-parts" : [ [ "2013" ] ] }, "page" : "80-85", "publisher" : "Elsevier", "title" : "The global nutrient challenge: From science to public engagement", "type" : "article-journal", "volume" : "6" }, "uris" : [ "http://www.mendeley.com/documents/?uuid=9f8821ad-f781-4770-97d0-33335b01becc" ] }, { "id" : "ITEM-2", "itemData" : { "DOI" : "10.1038/ngeo2635", "ISBN" : "9789264185715", "ISSN" : "1752-0894", "abstract" : "Anthropogenic emissions of reactive nitrogen to the atmo- sphere and water bodies can damage human health and ecosystems1,2 . As a measure of a nation\u2019s contribution to this potential damage, a country\u2019s nitrogen footprint has been defined as the quantity of reactive nitrogen emitted during the production, consumption and transportation of commodities consumed within that country, whether those commodities are produced domestically or internationally3 . Here we use global emissions databases4,5 , a global nitrogen cycle model6 , and a global input\u2013output database of domestic and international trade7,8 to calculate the nitrogen footprints for 188 countries as the sum of emissions of ammonia, nitrogen oxides and nitrous oxide to the atmosphere, and of nitrogen potentially exportable to water bodies. Per-capita footprints range from under 7 kgNyr\u22121 in some developing countries to over 100kgNyr\u22121 in some wealthy nations. Consumption in China, India, the United States and Brazil is responsible for 46% of global emissions. Roughly a quarter of the global nitrogen footprint is from commodities that were traded across country borders. The main net exporters have significant agricultural, food and textile exports, and are often developing countries, whereas important net importers are almost exclusively developed economies. We conclude that substantial local nitrogen pollution is driven by demand from consumers in other countries.", "author" : [ { "dropping-particle" : "", "family" : "Oita", "given" : "Azusa", "non-dropping-particle" : "", "parse-names" : false, "suffix" : "" }, { "dropping-particle" : "", "family" : "Malik", "given" : "Arunima", "non-dropping-particle" : "", "parse-names" : false, "suffix" : "" }, { "dropping-particle" : "", "family" : "Kanemoto", "given" : "Keiichiro", "non-dropping-particle" : "", "parse-names" : false, "suffix" : "" }, { "dropping-particle" : "", "family" : "Geschke", "given" : "Arne", "non-dropping-particle" : "", "parse-names" : false, "suffix" : "" }, { "dropping-particle" : "", "family" : "Nishijima", "given" : "Shota", "non-dropping-particle" : "", "parse-names" : false, "suffix" : "" }, { "dropping-particle" : "", "family" : "Lenzen", "given" : "Manfred", "non-dropping-particle" : "", "parse-names" : false, "suffix" : "" } ], "container-title" : "Nature Geoscience", "id" : "ITEM-2", "issue" : "January", "issued" : { "date-parts" : [ [ "2016" ] ] }, "page" : "111\u2013115", "title" : "Substantial nitrogen pollution embedded in international trade", "type" : "article-journal", "volume" : "9" }, "uris" : [ "http://www.mendeley.com/documents/?uuid=2dd8a226-190d-4964-97d0-0bd9309016a1" ] } ], "mendeley" : { "formattedCitation" : "&lt;sup&gt;21,37&lt;/sup&gt;", "plainTextFormattedCitation" : "21,37", "previouslyFormattedCitation" : "&lt;sup&gt;21,37&lt;/sup&gt;" }, "properties" : {  }, "schema" : "https://github.com/citation-style-language/schema/raw/master/csl-citation.json" }</w:instrText>
      </w:r>
      <w:r w:rsidR="00A77A2D">
        <w:rPr>
          <w:rFonts w:ascii="Times New Roman" w:hAnsi="Times New Roman"/>
        </w:rPr>
        <w:fldChar w:fldCharType="separate"/>
      </w:r>
      <w:r w:rsidR="00A1364F" w:rsidRPr="00A1364F">
        <w:rPr>
          <w:rFonts w:ascii="Times New Roman" w:hAnsi="Times New Roman"/>
          <w:noProof/>
          <w:vertAlign w:val="superscript"/>
        </w:rPr>
        <w:t>21,37</w:t>
      </w:r>
      <w:r w:rsidR="00A77A2D">
        <w:rPr>
          <w:rFonts w:ascii="Times New Roman" w:hAnsi="Times New Roman"/>
        </w:rPr>
        <w:fldChar w:fldCharType="end"/>
      </w:r>
      <w:r w:rsidR="00A77A2D">
        <w:rPr>
          <w:rFonts w:ascii="Times New Roman" w:hAnsi="Times New Roman"/>
        </w:rPr>
        <w:t xml:space="preserve"> Such policies are especially important when developing countries are the primary recipients of displaced impacts and these impacts potentially impede the country’s ability to sustainably grow. For example,</w:t>
      </w:r>
      <w:r w:rsidR="00F2476D">
        <w:rPr>
          <w:rFonts w:ascii="Times New Roman" w:hAnsi="Times New Roman"/>
        </w:rPr>
        <w:t xml:space="preserve"> in China,</w:t>
      </w:r>
      <w:r w:rsidR="00A77A2D">
        <w:rPr>
          <w:rFonts w:ascii="Times New Roman" w:hAnsi="Times New Roman"/>
        </w:rPr>
        <w:t xml:space="preserve"> </w:t>
      </w:r>
      <w:r w:rsidR="00F2476D">
        <w:rPr>
          <w:rFonts w:ascii="Times New Roman" w:hAnsi="Times New Roman"/>
        </w:rPr>
        <w:t xml:space="preserve">the total economic losses due to FE </w:t>
      </w:r>
      <w:r w:rsidR="00965BC1">
        <w:rPr>
          <w:rFonts w:ascii="Times New Roman" w:hAnsi="Times New Roman"/>
        </w:rPr>
        <w:t>are valued at</w:t>
      </w:r>
      <w:r w:rsidR="00F2476D">
        <w:rPr>
          <w:rFonts w:ascii="Times New Roman" w:hAnsi="Times New Roman"/>
        </w:rPr>
        <w:t xml:space="preserve"> billions of yuan</w:t>
      </w:r>
      <w:r w:rsidR="00F2476D">
        <w:rPr>
          <w:rFonts w:ascii="Times New Roman" w:hAnsi="Times New Roman"/>
        </w:rPr>
        <w:fldChar w:fldCharType="begin" w:fldLock="1"/>
      </w:r>
      <w:r w:rsidR="00A1364F">
        <w:rPr>
          <w:rFonts w:ascii="Times New Roman" w:hAnsi="Times New Roman"/>
        </w:rPr>
        <w:instrText>ADDIN CSL_CITATION { "citationItems" : [ { "id" : "ITEM-1", "itemData" : { "DOI" : "10.1007/s00267-010-9440-3", "ISBN" : "0364-152X", "ISSN" : "0364152X", "PMID" : "20177679", "abstract" : "Lake water eutrophication has become one of the most important factors impeding sustainable economic development in China. Knowledge of the current status of lake water eutrophication and determination of its mechanism are prerequisites to devising a sound solution to the problem. Based on reviewing the literature, this paper elaborates on the evolutional process and current state of shallow inland lake water eutrophication in China. The mechanism of lake water eutrophication is explored from nutrient sources. In light of the identified mechanism strategies are proposed to control and tackle lake water eutrophication. This review reveals that water eutrophication in most lakes was initiated in the 1980s when the national economy underwent rapid development. At present, the problem of water eutrophication is still serious, with frequent occurrence of damaging algal blooms, which have disrupted the normal supply of drinking water in shore cities. Each destructive bloom caused a direct economic loss valued at billions of yuan. Nonpoint pollution sources, namely, waste discharge from agricultural fields and nutrients released from floor deposits, are identified as the two major sources of nitrogen and phosphorus. Therefore, all control and rehabilitation measures of lake water eutrophication should target these nutrient sources. Biological measures are recommended to rehabilitate eutrophied lake waters and restore the lake ecosystem in order to bring the problem under control.", "author" : [ { "dropping-particle" : "", "family" : "Le", "given" : "C.", "non-dropping-particle" : "", "parse-names" : false, "suffix" : "" }, { "dropping-particle" : "", "family" : "Zha", "given" : "Y.", "non-dropping-particle" : "", "parse-names" : false, "suffix" : "" }, { "dropping-particle" : "", "family" : "Li", "given" : "Y.", "non-dropping-particle" : "", "parse-names" : false, "suffix" : "" }, { "dropping-particle" : "", "family" : "Sun", "given" : "D.", "non-dropping-particle" : "", "parse-names" : false, "suffix" : "" }, { "dropping-particle" : "", "family" : "Lu", "given" : "H.", "non-dropping-particle" : "", "parse-names" : false, "suffix" : "" }, { "dropping-particle" : "", "family" : "Yin", "given" : "B.", "non-dropping-particle" : "", "parse-names" : false, "suffix" : "" } ], "container-title" : "Environmental Management", "id" : "ITEM-1", "issue" : "4", "issued" : { "date-parts" : [ [ "2010" ] ] }, "page" : "662-668", "title" : "Eutrophication of lake waters in China: Cost, causes, and control", "type" : "article-journal", "volume" : "45" }, "uris" : [ "http://www.mendeley.com/documents/?uuid=140ff831-1d5a-4fe6-8a31-fc4346faceb7" ] } ], "mendeley" : { "formattedCitation" : "&lt;sup&gt;38&lt;/sup&gt;", "plainTextFormattedCitation" : "38", "previouslyFormattedCitation" : "&lt;sup&gt;38&lt;/sup&gt;" }, "properties" : {  }, "schema" : "https://github.com/citation-style-language/schema/raw/master/csl-citation.json" }</w:instrText>
      </w:r>
      <w:r w:rsidR="00F2476D">
        <w:rPr>
          <w:rFonts w:ascii="Times New Roman" w:hAnsi="Times New Roman"/>
        </w:rPr>
        <w:fldChar w:fldCharType="separate"/>
      </w:r>
      <w:r w:rsidR="00A1364F" w:rsidRPr="00A1364F">
        <w:rPr>
          <w:rFonts w:ascii="Times New Roman" w:hAnsi="Times New Roman"/>
          <w:noProof/>
          <w:vertAlign w:val="superscript"/>
        </w:rPr>
        <w:t>38</w:t>
      </w:r>
      <w:r w:rsidR="00F2476D">
        <w:rPr>
          <w:rFonts w:ascii="Times New Roman" w:hAnsi="Times New Roman"/>
        </w:rPr>
        <w:fldChar w:fldCharType="end"/>
      </w:r>
      <w:r w:rsidR="00F2476D">
        <w:rPr>
          <w:rFonts w:ascii="Times New Roman" w:hAnsi="Times New Roman"/>
        </w:rPr>
        <w:t xml:space="preserve"> and, in addition, </w:t>
      </w:r>
      <w:r w:rsidR="00965BC1">
        <w:rPr>
          <w:rFonts w:ascii="Times New Roman" w:hAnsi="Times New Roman"/>
        </w:rPr>
        <w:t>frequently disrupt</w:t>
      </w:r>
      <w:r w:rsidR="00F2476D">
        <w:rPr>
          <w:rFonts w:ascii="Times New Roman" w:hAnsi="Times New Roman"/>
        </w:rPr>
        <w:t xml:space="preserve"> the natural drinking supply of coastal Chinese cities.</w:t>
      </w:r>
      <w:r w:rsidR="00F2476D">
        <w:rPr>
          <w:rFonts w:ascii="Times New Roman" w:hAnsi="Times New Roman"/>
        </w:rPr>
        <w:fldChar w:fldCharType="begin" w:fldLock="1"/>
      </w:r>
      <w:r w:rsidR="00A1364F">
        <w:rPr>
          <w:rFonts w:ascii="Times New Roman" w:hAnsi="Times New Roman"/>
        </w:rPr>
        <w:instrText>ADDIN CSL_CITATION { "citationItems" : [ { "id" : "ITEM-1", "itemData" : { "DOI" : "10.1007/s00267-010-9440-3", "ISBN" : "0364-152X", "ISSN" : "0364152X", "PMID" : "20177679", "abstract" : "Lake water eutrophication has become one of the most important factors impeding sustainable economic development in China. Knowledge of the current status of lake water eutrophication and determination of its mechanism are prerequisites to devising a sound solution to the problem. Based on reviewing the literature, this paper elaborates on the evolutional process and current state of shallow inland lake water eutrophication in China. The mechanism of lake water eutrophication is explored from nutrient sources. In light of the identified mechanism strategies are proposed to control and tackle lake water eutrophication. This review reveals that water eutrophication in most lakes was initiated in the 1980s when the national economy underwent rapid development. At present, the problem of water eutrophication is still serious, with frequent occurrence of damaging algal blooms, which have disrupted the normal supply of drinking water in shore cities. Each destructive bloom caused a direct economic loss valued at billions of yuan. Nonpoint pollution sources, namely, waste discharge from agricultural fields and nutrients released from floor deposits, are identified as the two major sources of nitrogen and phosphorus. Therefore, all control and rehabilitation measures of lake water eutrophication should target these nutrient sources. Biological measures are recommended to rehabilitate eutrophied lake waters and restore the lake ecosystem in order to bring the problem under control.", "author" : [ { "dropping-particle" : "", "family" : "Le", "given" : "C.", "non-dropping-particle" : "", "parse-names" : false, "suffix" : "" }, { "dropping-particle" : "", "family" : "Zha", "given" : "Y.", "non-dropping-particle" : "", "parse-names" : false, "suffix" : "" }, { "dropping-particle" : "", "family" : "Li", "given" : "Y.", "non-dropping-particle" : "", "parse-names" : false, "suffix" : "" }, { "dropping-particle" : "", "family" : "Sun", "given" : "D.", "non-dropping-particle" : "", "parse-names" : false, "suffix" : "" }, { "dropping-particle" : "", "family" : "Lu", "given" : "H.", "non-dropping-particle" : "", "parse-names" : false, "suffix" : "" }, { "dropping-particle" : "", "family" : "Yin", "given" : "B.", "non-dropping-particle" : "", "parse-names" : false, "suffix" : "" } ], "container-title" : "Environmental Management", "id" : "ITEM-1", "issue" : "4", "issued" : { "date-parts" : [ [ "2010" ] ] }, "page" : "662-668", "title" : "Eutrophication of lake waters in China: Cost, causes, and control", "type" : "article-journal", "volume" : "45" }, "uris" : [ "http://www.mendeley.com/documents/?uuid=140ff831-1d5a-4fe6-8a31-fc4346faceb7" ] } ], "mendeley" : { "formattedCitation" : "&lt;sup&gt;38&lt;/sup&gt;", "plainTextFormattedCitation" : "38", "previouslyFormattedCitation" : "&lt;sup&gt;38&lt;/sup&gt;" }, "properties" : {  }, "schema" : "https://github.com/citation-style-language/schema/raw/master/csl-citation.json" }</w:instrText>
      </w:r>
      <w:r w:rsidR="00F2476D">
        <w:rPr>
          <w:rFonts w:ascii="Times New Roman" w:hAnsi="Times New Roman"/>
        </w:rPr>
        <w:fldChar w:fldCharType="separate"/>
      </w:r>
      <w:r w:rsidR="00A1364F" w:rsidRPr="00A1364F">
        <w:rPr>
          <w:rFonts w:ascii="Times New Roman" w:hAnsi="Times New Roman"/>
          <w:noProof/>
          <w:vertAlign w:val="superscript"/>
        </w:rPr>
        <w:t>38</w:t>
      </w:r>
      <w:r w:rsidR="00F2476D">
        <w:rPr>
          <w:rFonts w:ascii="Times New Roman" w:hAnsi="Times New Roman"/>
        </w:rPr>
        <w:fldChar w:fldCharType="end"/>
      </w:r>
      <w:r w:rsidR="00F2476D">
        <w:rPr>
          <w:rFonts w:ascii="Times New Roman" w:hAnsi="Times New Roman"/>
        </w:rPr>
        <w:t xml:space="preserve"> This analysis has shown that over 13% of these impacts are the result of producing products for export. </w:t>
      </w:r>
    </w:p>
    <w:p w14:paraId="10A8ED4D" w14:textId="61851BBE" w:rsidR="00F015BA" w:rsidRDefault="00F2476D" w:rsidP="000F4EA1">
      <w:pPr>
        <w:spacing w:before="100" w:beforeAutospacing="1" w:after="100" w:afterAutospacing="1"/>
        <w:rPr>
          <w:rFonts w:ascii="Times New Roman" w:hAnsi="Times New Roman"/>
        </w:rPr>
      </w:pPr>
      <w:r>
        <w:rPr>
          <w:rFonts w:ascii="Times New Roman" w:hAnsi="Times New Roman"/>
        </w:rPr>
        <w:t>We argue that a consumption</w:t>
      </w:r>
      <w:r w:rsidR="00F0138D">
        <w:rPr>
          <w:rFonts w:ascii="Times New Roman" w:hAnsi="Times New Roman"/>
        </w:rPr>
        <w:t>-</w:t>
      </w:r>
      <w:r>
        <w:rPr>
          <w:rFonts w:ascii="Times New Roman" w:hAnsi="Times New Roman"/>
        </w:rPr>
        <w:t>based approach</w:t>
      </w:r>
      <w:r w:rsidR="00B81879">
        <w:rPr>
          <w:rFonts w:ascii="Times New Roman" w:hAnsi="Times New Roman"/>
        </w:rPr>
        <w:t xml:space="preserve"> </w:t>
      </w:r>
      <w:r w:rsidR="00F0138D">
        <w:rPr>
          <w:rFonts w:ascii="Times New Roman" w:hAnsi="Times New Roman"/>
        </w:rPr>
        <w:t>provides key insights into</w:t>
      </w:r>
      <w:r w:rsidR="000476A6">
        <w:rPr>
          <w:rFonts w:ascii="Times New Roman" w:hAnsi="Times New Roman"/>
        </w:rPr>
        <w:t xml:space="preserve"> </w:t>
      </w:r>
      <w:r w:rsidR="00B81879">
        <w:rPr>
          <w:rFonts w:ascii="Times New Roman" w:hAnsi="Times New Roman"/>
        </w:rPr>
        <w:t>consumer drivers</w:t>
      </w:r>
      <w:r w:rsidR="00FE395B">
        <w:rPr>
          <w:rFonts w:ascii="Times New Roman" w:hAnsi="Times New Roman"/>
        </w:rPr>
        <w:t xml:space="preserve">, </w:t>
      </w:r>
      <w:r>
        <w:rPr>
          <w:rFonts w:ascii="Times New Roman" w:hAnsi="Times New Roman"/>
        </w:rPr>
        <w:t>increase</w:t>
      </w:r>
      <w:r w:rsidR="00FE395B">
        <w:rPr>
          <w:rFonts w:ascii="Times New Roman" w:hAnsi="Times New Roman"/>
        </w:rPr>
        <w:t>s</w:t>
      </w:r>
      <w:r>
        <w:rPr>
          <w:rFonts w:ascii="Times New Roman" w:hAnsi="Times New Roman"/>
        </w:rPr>
        <w:t xml:space="preserve"> stakeholder engagement </w:t>
      </w:r>
      <w:r w:rsidR="00FE395B">
        <w:rPr>
          <w:rFonts w:ascii="Times New Roman" w:hAnsi="Times New Roman"/>
        </w:rPr>
        <w:t>as well as</w:t>
      </w:r>
      <w:r>
        <w:rPr>
          <w:rFonts w:ascii="Times New Roman" w:hAnsi="Times New Roman"/>
        </w:rPr>
        <w:t xml:space="preserve"> increase</w:t>
      </w:r>
      <w:r w:rsidR="00FE395B">
        <w:rPr>
          <w:rFonts w:ascii="Times New Roman" w:hAnsi="Times New Roman"/>
        </w:rPr>
        <w:t>s</w:t>
      </w:r>
      <w:r>
        <w:rPr>
          <w:rFonts w:ascii="Times New Roman" w:hAnsi="Times New Roman"/>
        </w:rPr>
        <w:t xml:space="preserve"> the pressure for implementing policy through both demand- and production-side measures.</w:t>
      </w:r>
      <w:r w:rsidR="002C75A5">
        <w:rPr>
          <w:rFonts w:ascii="Times New Roman" w:hAnsi="Times New Roman"/>
        </w:rPr>
        <w:t xml:space="preserve"> </w:t>
      </w:r>
      <w:r>
        <w:rPr>
          <w:rFonts w:ascii="Times New Roman" w:hAnsi="Times New Roman"/>
        </w:rPr>
        <w:t xml:space="preserve">Demand-side </w:t>
      </w:r>
      <w:r w:rsidR="007707A8">
        <w:rPr>
          <w:rFonts w:ascii="Times New Roman" w:hAnsi="Times New Roman"/>
        </w:rPr>
        <w:t xml:space="preserve">policies can </w:t>
      </w:r>
      <w:r>
        <w:rPr>
          <w:rFonts w:ascii="Times New Roman" w:hAnsi="Times New Roman"/>
        </w:rPr>
        <w:t>include consumption</w:t>
      </w:r>
      <w:r w:rsidR="002C75A5">
        <w:rPr>
          <w:rFonts w:ascii="Times New Roman" w:hAnsi="Times New Roman"/>
        </w:rPr>
        <w:t>-</w:t>
      </w:r>
      <w:r>
        <w:rPr>
          <w:rFonts w:ascii="Times New Roman" w:hAnsi="Times New Roman"/>
        </w:rPr>
        <w:t>based targets</w:t>
      </w:r>
      <w:r w:rsidR="002C75A5">
        <w:rPr>
          <w:rFonts w:ascii="Times New Roman" w:hAnsi="Times New Roman"/>
        </w:rPr>
        <w:t xml:space="preserve"> (e.g. a 40% reduc</w:t>
      </w:r>
      <w:r w:rsidR="008D05B6">
        <w:rPr>
          <w:rFonts w:ascii="Times New Roman" w:hAnsi="Times New Roman"/>
        </w:rPr>
        <w:t>tion</w:t>
      </w:r>
      <w:r w:rsidR="002C75A5">
        <w:rPr>
          <w:rFonts w:ascii="Times New Roman" w:hAnsi="Times New Roman"/>
        </w:rPr>
        <w:t xml:space="preserve"> in the EU’s global eutrophication footprint)</w:t>
      </w:r>
      <w:r>
        <w:rPr>
          <w:rFonts w:ascii="Times New Roman" w:hAnsi="Times New Roman"/>
        </w:rPr>
        <w:t xml:space="preserve">, </w:t>
      </w:r>
      <w:r w:rsidR="007707A8">
        <w:rPr>
          <w:rFonts w:ascii="Times New Roman" w:hAnsi="Times New Roman"/>
        </w:rPr>
        <w:t xml:space="preserve">and measures can include </w:t>
      </w:r>
      <w:r>
        <w:rPr>
          <w:rFonts w:ascii="Times New Roman" w:hAnsi="Times New Roman"/>
        </w:rPr>
        <w:t xml:space="preserve">trade agreements and pricing mechanisms. </w:t>
      </w:r>
      <w:r w:rsidR="006125CB">
        <w:rPr>
          <w:rFonts w:ascii="Times New Roman" w:hAnsi="Times New Roman"/>
        </w:rPr>
        <w:t>Furthermore</w:t>
      </w:r>
      <w:r w:rsidR="002C75A5">
        <w:rPr>
          <w:rFonts w:ascii="Times New Roman" w:hAnsi="Times New Roman"/>
        </w:rPr>
        <w:t>,</w:t>
      </w:r>
      <w:r w:rsidR="00C074FB">
        <w:rPr>
          <w:rFonts w:ascii="Times New Roman" w:hAnsi="Times New Roman"/>
        </w:rPr>
        <w:t xml:space="preserve"> the transfer of </w:t>
      </w:r>
      <w:r w:rsidR="008D05B6">
        <w:rPr>
          <w:rFonts w:ascii="Times New Roman" w:hAnsi="Times New Roman"/>
        </w:rPr>
        <w:t>technology/</w:t>
      </w:r>
      <w:r w:rsidR="002C75A5">
        <w:rPr>
          <w:rFonts w:ascii="Times New Roman" w:hAnsi="Times New Roman"/>
        </w:rPr>
        <w:t xml:space="preserve">skills </w:t>
      </w:r>
      <w:r w:rsidR="00B81879">
        <w:rPr>
          <w:rFonts w:ascii="Times New Roman" w:hAnsi="Times New Roman"/>
        </w:rPr>
        <w:t xml:space="preserve">to </w:t>
      </w:r>
      <w:r w:rsidR="000F4EA1">
        <w:rPr>
          <w:rFonts w:ascii="Times New Roman" w:hAnsi="Times New Roman"/>
        </w:rPr>
        <w:t xml:space="preserve">countries </w:t>
      </w:r>
      <w:r w:rsidR="008D05B6">
        <w:rPr>
          <w:rFonts w:ascii="Times New Roman" w:hAnsi="Times New Roman"/>
        </w:rPr>
        <w:t xml:space="preserve">for </w:t>
      </w:r>
      <w:r w:rsidR="00FE395B">
        <w:rPr>
          <w:rFonts w:ascii="Times New Roman" w:hAnsi="Times New Roman"/>
        </w:rPr>
        <w:t xml:space="preserve">e.g. </w:t>
      </w:r>
      <w:r w:rsidR="008D05B6">
        <w:rPr>
          <w:rFonts w:ascii="Times New Roman" w:hAnsi="Times New Roman"/>
        </w:rPr>
        <w:t>improving</w:t>
      </w:r>
      <w:r w:rsidR="00C074FB">
        <w:rPr>
          <w:rFonts w:ascii="Times New Roman" w:hAnsi="Times New Roman"/>
        </w:rPr>
        <w:t xml:space="preserve"> fertilizer</w:t>
      </w:r>
      <w:r w:rsidR="008D05B6">
        <w:rPr>
          <w:rFonts w:ascii="Times New Roman" w:hAnsi="Times New Roman"/>
        </w:rPr>
        <w:t xml:space="preserve"> efficiencies or managing</w:t>
      </w:r>
      <w:r w:rsidR="00C074FB">
        <w:rPr>
          <w:rFonts w:ascii="Times New Roman" w:hAnsi="Times New Roman"/>
        </w:rPr>
        <w:t xml:space="preserve"> waste</w:t>
      </w:r>
      <w:r w:rsidR="006125CB">
        <w:rPr>
          <w:rFonts w:ascii="Times New Roman" w:hAnsi="Times New Roman"/>
        </w:rPr>
        <w:t xml:space="preserve"> (a </w:t>
      </w:r>
      <w:r w:rsidR="006125CB">
        <w:rPr>
          <w:rFonts w:ascii="Times New Roman" w:hAnsi="Times New Roman"/>
        </w:rPr>
        <w:lastRenderedPageBreak/>
        <w:t>production</w:t>
      </w:r>
      <w:r w:rsidR="006D3580">
        <w:rPr>
          <w:rFonts w:ascii="Times New Roman" w:hAnsi="Times New Roman"/>
        </w:rPr>
        <w:t>-</w:t>
      </w:r>
      <w:r w:rsidR="006125CB">
        <w:rPr>
          <w:rFonts w:ascii="Times New Roman" w:hAnsi="Times New Roman"/>
        </w:rPr>
        <w:t>side mitigation)</w:t>
      </w:r>
      <w:r w:rsidR="00C074FB">
        <w:rPr>
          <w:rFonts w:ascii="Times New Roman" w:hAnsi="Times New Roman"/>
        </w:rPr>
        <w:t xml:space="preserve"> can be motivated through a consumption approach</w:t>
      </w:r>
      <w:r w:rsidR="00FE395B">
        <w:rPr>
          <w:rFonts w:ascii="Times New Roman" w:hAnsi="Times New Roman"/>
        </w:rPr>
        <w:t>.</w:t>
      </w:r>
      <w:r w:rsidR="006125CB">
        <w:rPr>
          <w:rFonts w:ascii="Times New Roman" w:hAnsi="Times New Roman"/>
        </w:rPr>
        <w:t xml:space="preserve"> </w:t>
      </w:r>
      <w:r w:rsidR="00FE395B">
        <w:rPr>
          <w:rFonts w:ascii="Times New Roman" w:hAnsi="Times New Roman"/>
        </w:rPr>
        <w:t xml:space="preserve">This is especially so </w:t>
      </w:r>
      <w:r w:rsidR="006125CB">
        <w:rPr>
          <w:rFonts w:ascii="Times New Roman" w:hAnsi="Times New Roman"/>
        </w:rPr>
        <w:t>considering</w:t>
      </w:r>
      <w:r w:rsidR="006D3580">
        <w:rPr>
          <w:rFonts w:ascii="Times New Roman" w:hAnsi="Times New Roman"/>
        </w:rPr>
        <w:t xml:space="preserve"> </w:t>
      </w:r>
      <w:r w:rsidR="000476A6">
        <w:rPr>
          <w:rFonts w:ascii="Times New Roman" w:hAnsi="Times New Roman"/>
        </w:rPr>
        <w:t>that c</w:t>
      </w:r>
      <w:r w:rsidR="00B2376A">
        <w:rPr>
          <w:lang w:val="en-GB"/>
        </w:rPr>
        <w:t>onsumer-</w:t>
      </w:r>
      <w:r w:rsidR="00B81879" w:rsidRPr="00B81879">
        <w:rPr>
          <w:lang w:val="en-GB"/>
        </w:rPr>
        <w:t>driven environmental policy development often comes from wealthy regions, who can more easily afford the resources needed to support the implementation of polic</w:t>
      </w:r>
      <w:r w:rsidR="006125CB">
        <w:rPr>
          <w:lang w:val="en-GB"/>
        </w:rPr>
        <w:t>ies in</w:t>
      </w:r>
      <w:r w:rsidR="00B81879">
        <w:rPr>
          <w:lang w:val="en-GB"/>
        </w:rPr>
        <w:t xml:space="preserve"> developing countries. </w:t>
      </w:r>
    </w:p>
    <w:p w14:paraId="4DD8AE62" w14:textId="626FF7F4" w:rsidR="001A0EF9" w:rsidRDefault="005C673B" w:rsidP="00B018A6">
      <w:pPr>
        <w:spacing w:before="100" w:beforeAutospacing="1" w:after="100" w:afterAutospacing="1"/>
      </w:pPr>
      <w:r w:rsidRPr="005C673B">
        <w:rPr>
          <w:i/>
        </w:rPr>
        <w:t>Uncertainty</w:t>
      </w:r>
      <w:r w:rsidR="008F608D">
        <w:rPr>
          <w:i/>
        </w:rPr>
        <w:t xml:space="preserve"> and spatial variability</w:t>
      </w:r>
      <w:r>
        <w:t xml:space="preserve">. </w:t>
      </w:r>
      <w:r w:rsidR="002F32CE" w:rsidRPr="006E0C33">
        <w:t>Modeling eutrophication</w:t>
      </w:r>
      <w:r w:rsidR="001676DE">
        <w:t xml:space="preserve"> impacts at a global scale</w:t>
      </w:r>
      <w:r w:rsidR="002F32CE" w:rsidRPr="006E0C33">
        <w:t xml:space="preserve"> is inherently associated with uncertainty</w:t>
      </w:r>
      <w:r w:rsidR="001676DE">
        <w:t xml:space="preserve"> and is highly limited by data resolution</w:t>
      </w:r>
      <w:r w:rsidR="002F32CE" w:rsidRPr="006E0C33">
        <w:t xml:space="preserve">. </w:t>
      </w:r>
      <w:r w:rsidR="004578F9">
        <w:t>T</w:t>
      </w:r>
      <w:r w:rsidR="001676DE">
        <w:t xml:space="preserve">he </w:t>
      </w:r>
      <w:r w:rsidR="004578F9">
        <w:t xml:space="preserve">MRIO </w:t>
      </w:r>
      <w:r w:rsidR="001676DE">
        <w:t>model</w:t>
      </w:r>
      <w:r w:rsidR="003351CA">
        <w:t xml:space="preserve"> used</w:t>
      </w:r>
      <w:r w:rsidR="001676DE">
        <w:t xml:space="preserve"> provides data </w:t>
      </w:r>
      <w:r w:rsidR="004578F9">
        <w:t xml:space="preserve">detailed </w:t>
      </w:r>
      <w:r w:rsidR="001676DE">
        <w:t>at the product-level</w:t>
      </w:r>
      <w:r w:rsidR="004578F9">
        <w:t xml:space="preserve"> (15 agricultural goods, 12 food commodities, </w:t>
      </w:r>
      <w:r w:rsidR="006125CB">
        <w:t xml:space="preserve">around </w:t>
      </w:r>
      <w:r w:rsidR="004578F9">
        <w:t xml:space="preserve">40 manufactured goods </w:t>
      </w:r>
      <w:r w:rsidR="00C3788D">
        <w:t>[</w:t>
      </w:r>
      <w:r w:rsidR="004578F9">
        <w:t>non-food/agricultural/energy goods</w:t>
      </w:r>
      <w:r w:rsidR="00C3788D">
        <w:t>]</w:t>
      </w:r>
      <w:r w:rsidR="00E24BA0">
        <w:t>,</w:t>
      </w:r>
      <w:r w:rsidR="004578F9">
        <w:t xml:space="preserve"> and 25 services)</w:t>
      </w:r>
      <w:r w:rsidR="00686029">
        <w:t xml:space="preserve"> </w:t>
      </w:r>
      <w:r w:rsidR="000940B6">
        <w:t>the geographical resolution is restricted to 44 countries and 5</w:t>
      </w:r>
      <w:r w:rsidR="00686029">
        <w:t xml:space="preserve"> rest of world regions. Alternative </w:t>
      </w:r>
      <w:r w:rsidR="000D0567">
        <w:t xml:space="preserve">MRIO </w:t>
      </w:r>
      <w:r w:rsidR="00686029">
        <w:t>models</w:t>
      </w:r>
      <w:r w:rsidR="006D3580">
        <w:t xml:space="preserve"> </w:t>
      </w:r>
      <w:r w:rsidR="006125CB">
        <w:t xml:space="preserve">provide a </w:t>
      </w:r>
      <w:r w:rsidR="00686029">
        <w:t>higher country granularity</w:t>
      </w:r>
      <w:r w:rsidR="006D3580">
        <w:t xml:space="preserve"> </w:t>
      </w:r>
      <w:r w:rsidR="006125CB">
        <w:t>(e.g.</w:t>
      </w:r>
      <w:r w:rsidR="00686029">
        <w:t xml:space="preserve"> Eora</w:t>
      </w:r>
      <w:r w:rsidR="00E04379">
        <w:fldChar w:fldCharType="begin" w:fldLock="1"/>
      </w:r>
      <w:r w:rsidR="00A1364F">
        <w:instrText>ADDIN CSL_CITATION { "citationItems" : [ { "id" : "ITEM-1", "itemData" : { "DOI" : "10.1080/09535314.2013.769938", "ISBN" : "0953-5314", "ISSN" : "0953-5314", "PMID" : "22794089", "abstract" : "ISSN: 0953-5314 (Print) 1469-5758 (Online) Journal homepage: http://www.tandfonline.com/loi/cesr20 There are a number of initiatives aimed at compiling large-scale global multi-region input\u2013output (MRIO) tables complemented with non-monetary information such as on resource flows and environmental burdens. Depending on purpose or application, MRIO construction and usage has been hampered by a lack of geographical and sectoral detail; at the time of writing, the most advanced initiatives opt for a breakdown into at most 129 regions and 120 sectors. Not all existing global MRIO frameworks feature continuous time series, margins and tax sheets, and information on reliability and uncertainty. Despite these potential limitations, constructing a large MRIO requires significant manual labour and many years of time. This paper describes the results from a project aimed at creating an MRIO account that represents all countries at a detailed sectoral level, allows continuous updating, provides information on data reliability, contains table sheets expressed in basic prices as well as all margins and taxes, and contains a historical time series. We achieve these goals through a high level of procedural standardisation, automation, and data organisation.", "author" : [ { "dropping-particle" : "", "family" : "Lenzen", "given" : "Manfred", "non-dropping-particle" : "", "parse-names" : false, "suffix" : "" }, { "dropping-particle" : "", "family" : "Moran", "given" : "Daniel", "non-dropping-particle" : "", "parse-names" : false, "suffix" : "" }, { "dropping-particle" : "", "family" : "Kanemoto", "given" : "Keiichiro", "non-dropping-particle" : "", "parse-names" : false, "suffix" : "" }, { "dropping-particle" : "", "family" : "Geschke", "given" : "Arne", "non-dropping-particle" : "", "parse-names" : false, "suffix" : "" } ], "container-title" : "Economic Systems Research", "id" : "ITEM-1", "issue" : "1", "issued" : { "date-parts" : [ [ "2013" ] ] }, "page" : "20-49", "title" : "Building Eora: a Global Multi-Region Input\u2013Output Database At High Country and Sector Resolution", "type" : "article-journal", "volume" : "25" }, "uris" : [ "http://www.mendeley.com/documents/?uuid=a20a45b9-c0e6-4af8-bbb9-cb9933f9069c" ] } ], "mendeley" : { "formattedCitation" : "&lt;sup&gt;39&lt;/sup&gt;", "plainTextFormattedCitation" : "39", "previouslyFormattedCitation" : "&lt;sup&gt;39&lt;/sup&gt;" }, "properties" : {  }, "schema" : "https://github.com/citation-style-language/schema/raw/master/csl-citation.json" }</w:instrText>
      </w:r>
      <w:r w:rsidR="00E04379">
        <w:fldChar w:fldCharType="separate"/>
      </w:r>
      <w:r w:rsidR="00A1364F" w:rsidRPr="00A1364F">
        <w:rPr>
          <w:noProof/>
          <w:vertAlign w:val="superscript"/>
        </w:rPr>
        <w:t>39</w:t>
      </w:r>
      <w:r w:rsidR="00E04379">
        <w:fldChar w:fldCharType="end"/>
      </w:r>
      <w:r w:rsidR="006125CB">
        <w:t>)</w:t>
      </w:r>
      <w:r w:rsidR="006D3580">
        <w:t>,</w:t>
      </w:r>
      <w:r w:rsidR="00686029">
        <w:t xml:space="preserve"> however, these models lack the </w:t>
      </w:r>
      <w:r w:rsidR="008D05B6">
        <w:t>estimation of both N and P</w:t>
      </w:r>
      <w:r w:rsidR="004578F9">
        <w:t xml:space="preserve"> emissions as well as the </w:t>
      </w:r>
      <w:r w:rsidR="00686029">
        <w:t>product specificit</w:t>
      </w:r>
      <w:r w:rsidR="004352E8">
        <w:t xml:space="preserve">y necessary to characterize </w:t>
      </w:r>
      <w:r w:rsidR="00C40E12">
        <w:t>non-food</w:t>
      </w:r>
      <w:r w:rsidR="00686029">
        <w:t xml:space="preserve"> commodities separate from food commodities.</w:t>
      </w:r>
      <w:r w:rsidR="006767B7">
        <w:t xml:space="preserve"> Other methods based on physical flow accounting have captured the physical dimension of agricultural trade, but </w:t>
      </w:r>
      <w:r w:rsidR="003351CA">
        <w:t xml:space="preserve">have </w:t>
      </w:r>
      <w:r w:rsidR="006767B7">
        <w:t>not been able to quantify non-food demand</w:t>
      </w:r>
      <w:r w:rsidR="00B8129D">
        <w:fldChar w:fldCharType="begin" w:fldLock="1"/>
      </w:r>
      <w:r w:rsidR="00A1364F">
        <w:instrText>ADDIN CSL_CITATION { "citationItems" : [ { "id" : "ITEM-1", "itemData" : { "DOI" : "10.1016/j.ecolecon.2014.02.020", "ISSN" : "09218009", "author" : [ { "dropping-particle" : "", "family" : "Weinzettel", "given" : "Jan", "non-dropping-particle" : "", "parse-names" : false, "suffix" : "" }, { "dropping-particle" : "", "family" : "Steen-Olsen", "given" : "Kjartan", "non-dropping-particle" : "", "parse-names" : false, "suffix" : "" }, { "dropping-particle" : "", "family" : "Hertwich", "given" : "Edgar G.", "non-dropping-particle" : "", "parse-names" : false, "suffix" : "" }, { "dropping-particle" : "", "family" : "Borucke", "given" : "Michael", "non-dropping-particle" : "", "parse-names" : false, "suffix" : "" }, { "dropping-particle" : "", "family" : "Galli", "given" : "Alessandro", "non-dropping-particle" : "", "parse-names" : false, "suffix" : "" } ], "container-title" : "Ecological Economics", "id" : "ITEM-1", "issued" : { "date-parts" : [ [ "2014", "5" ] ] }, "page" : "115-126", "publisher" : "Elsevier B.V.", "title" : "Ecological footprint of nations: Comparison of process analysis, and standard and hybrid multiregional input\u2013output analysis", "type" : "article-journal", "volume" : "101" }, "uris" : [ "http://www.mendeley.com/documents/?uuid=543373d0-4513-4714-8b74-d1ccee70c075", "http://www.mendeley.com/documents/?uuid=dc35b08d-6fa8-4986-abd2-004e807bebe6" ] } ], "mendeley" : { "formattedCitation" : "&lt;sup&gt;40&lt;/sup&gt;", "plainTextFormattedCitation" : "40", "previouslyFormattedCitation" : "&lt;sup&gt;40&lt;/sup&gt;" }, "properties" : {  }, "schema" : "https://github.com/citation-style-language/schema/raw/master/csl-citation.json" }</w:instrText>
      </w:r>
      <w:r w:rsidR="00B8129D">
        <w:fldChar w:fldCharType="separate"/>
      </w:r>
      <w:r w:rsidR="00A1364F" w:rsidRPr="00A1364F">
        <w:rPr>
          <w:noProof/>
          <w:vertAlign w:val="superscript"/>
        </w:rPr>
        <w:t>40</w:t>
      </w:r>
      <w:r w:rsidR="00B8129D">
        <w:fldChar w:fldCharType="end"/>
      </w:r>
      <w:r w:rsidR="006767B7">
        <w:t>. In the calculation of environmental footprints, MRIO approaches use relative monetary relationships, which reflect the economic demand for goods</w:t>
      </w:r>
      <w:r w:rsidR="004C1581">
        <w:t>;</w:t>
      </w:r>
      <w:r w:rsidR="000F1C71">
        <w:t xml:space="preserve"> this is</w:t>
      </w:r>
      <w:r w:rsidR="006767B7">
        <w:t xml:space="preserve"> in comparison to physical trade approaches</w:t>
      </w:r>
      <w:r w:rsidR="000F1C71">
        <w:t>,</w:t>
      </w:r>
      <w:r w:rsidR="006767B7">
        <w:t xml:space="preserve"> which would reflect relative demand for goods in mass terms. There is no general consensus on the best approach, but it is considered that consumption based impacts due to the economic MRIO data have an impact on uncertainty of ca +/-10-20% at the national level</w:t>
      </w:r>
      <w:r w:rsidR="00B8129D">
        <w:fldChar w:fldCharType="begin" w:fldLock="1"/>
      </w:r>
      <w:r w:rsidR="00A1364F">
        <w:instrText>ADDIN CSL_CITATION { "citationItems" : [ { "id" : "ITEM-1", "itemData" : { "DOI" : "10.1080/09535314.2014.935298", "ISSN" : "14695758", "abstract" : "In this paper, we take an overview of several of the biggest independently constructed global multi-regional input-output (MRIO) databases and ask how reliable and consonant these databases are. The key question is whether MRIO accounts are robust enough for setting environmental policies. This paper compares the results of four global MRIOs: Eora, WIOD, EXIOBASE, and the GTAP-based OpenEU databases, and investigates how much each diverges from the multi-model mean. We also use Monte Carlo analysis to conduct sensitivity analysis of the robustness of each accounts' results and we test to see how much variation in the environmental satellite account, rather than the economic structure itself, causes divergence in results. After harmonising the satellite account, we found that carbon footprint results for most major economies disagree by&lt;10% between MRIOs. Confidence estimates are necessary if MRIO methods and consumption-based accounting are to be used in environmental policy-making at the national level. \u00a9 2014 The International Input-Output Association.", "author" : [ { "dropping-particle" : "", "family" : "Moran", "given" : "D.", "non-dropping-particle" : "", "parse-names" : false, "suffix" : "" }, { "dropping-particle" : "", "family" : "Wood", "given" : "R.", "non-dropping-particle" : "", "parse-names" : false, "suffix" : "" } ], "container-title" : "Economic Systems Research", "id" : "ITEM-1", "issue" : "3", "issued" : { "date-parts" : [ [ "2014" ] ] }, "page" : "1469-5758", "title" : "Convergence between the EORA, WIOD, EXIOBASE, and OPENEU'S consumption-based carbon accounts", "type" : "article-journal", "volume" : "26" }, "uris" : [ "http://www.mendeley.com/documents/?uuid=2b82f10c-c79d-4a55-85f4-bdc0e53a90c4" ] } ], "mendeley" : { "formattedCitation" : "&lt;sup&gt;41&lt;/sup&gt;", "plainTextFormattedCitation" : "41", "previouslyFormattedCitation" : "&lt;sup&gt;41&lt;/sup&gt;" }, "properties" : {  }, "schema" : "https://github.com/citation-style-language/schema/raw/master/csl-citation.json" }</w:instrText>
      </w:r>
      <w:r w:rsidR="00B8129D">
        <w:fldChar w:fldCharType="separate"/>
      </w:r>
      <w:r w:rsidR="00A1364F" w:rsidRPr="00A1364F">
        <w:rPr>
          <w:noProof/>
          <w:vertAlign w:val="superscript"/>
        </w:rPr>
        <w:t>41</w:t>
      </w:r>
      <w:r w:rsidR="00B8129D">
        <w:fldChar w:fldCharType="end"/>
      </w:r>
      <w:r w:rsidR="006767B7">
        <w:t>.</w:t>
      </w:r>
      <w:r w:rsidR="002B1210">
        <w:t xml:space="preserve"> A difference in scope is found in that MRIO approaches distinguish intermediate from final food consumption. </w:t>
      </w:r>
      <w:r w:rsidR="00EF242F">
        <w:t>Using hypothetical extractions (see methods) our</w:t>
      </w:r>
      <w:r w:rsidR="00EF242F" w:rsidRPr="001559A2">
        <w:t xml:space="preserve"> </w:t>
      </w:r>
      <w:r w:rsidR="002B1210" w:rsidRPr="001559A2">
        <w:t xml:space="preserve">results showed </w:t>
      </w:r>
      <w:r w:rsidR="00417F87" w:rsidRPr="001559A2">
        <w:t>that intermediate demand for food</w:t>
      </w:r>
      <w:r w:rsidR="00EF242F">
        <w:t>, in for example, government services,</w:t>
      </w:r>
      <w:r w:rsidR="00417F87" w:rsidRPr="001559A2">
        <w:t xml:space="preserve"> contributes to</w:t>
      </w:r>
      <w:r w:rsidR="001559A2" w:rsidRPr="001559A2">
        <w:t xml:space="preserve"> </w:t>
      </w:r>
      <w:r w:rsidR="00EF242F">
        <w:t xml:space="preserve">roughly 9 </w:t>
      </w:r>
      <w:r w:rsidR="00FF46EB" w:rsidRPr="001559A2">
        <w:t>%</w:t>
      </w:r>
      <w:r w:rsidR="002B1210" w:rsidRPr="001559A2">
        <w:t xml:space="preserve"> of the global total </w:t>
      </w:r>
      <w:r w:rsidR="00FF46EB" w:rsidRPr="001559A2">
        <w:t xml:space="preserve">of FE and ME footprints respectively </w:t>
      </w:r>
      <w:r w:rsidR="001559A2" w:rsidRPr="001559A2">
        <w:t xml:space="preserve">and </w:t>
      </w:r>
      <w:r w:rsidR="002B1210" w:rsidRPr="001559A2">
        <w:t xml:space="preserve">roughly </w:t>
      </w:r>
      <w:r w:rsidR="00FF46EB" w:rsidRPr="001559A2">
        <w:t>15-</w:t>
      </w:r>
      <w:r w:rsidR="002B1210" w:rsidRPr="001559A2">
        <w:t>20% of the non-food footprints.</w:t>
      </w:r>
      <w:r w:rsidR="006767B7">
        <w:t xml:space="preserve"> </w:t>
      </w:r>
      <w:r w:rsidR="004578F9">
        <w:t>F</w:t>
      </w:r>
      <w:r w:rsidR="00686029">
        <w:t xml:space="preserve">uture </w:t>
      </w:r>
      <w:r w:rsidR="004C5049">
        <w:t xml:space="preserve">MRIO development </w:t>
      </w:r>
      <w:r w:rsidR="00686029">
        <w:t xml:space="preserve">should focus on both disaggregating world regions and improving product level detail in order to fully </w:t>
      </w:r>
      <w:r w:rsidR="000F24C2">
        <w:t>assess the importance of individual products for driving environmental impacts.</w:t>
      </w:r>
      <w:r w:rsidR="000F4114">
        <w:fldChar w:fldCharType="begin" w:fldLock="1"/>
      </w:r>
      <w:r w:rsidR="00A1364F">
        <w:instrText>ADDIN CSL_CITATION { "citationItems" : [ { "id" : "ITEM-1", "itemData" : { "DOI" : "10.1111/jiec.12716", "ISSN" : "15309290", "abstract" : "Global multiregional input-output databases (GMRIOs) became the standard tool for tracking environmental impacts through global supply chains. To date, several GMRIOs are available, but the numerical results differ. This paper considers how GMRIOs can be made more robust and authoritative. We show that GMRIOs need detail in environmentally relevant sectors. On the basis of a review of earlier work, we conclude that the highest uncertainty in footprint analyses is caused by the environmental data used in a GMRIO, followed by the size of country measured in gross domestic product (GDP) as fraction of the global total, the structure of the national table, and only at the end the structure of trade. We suggest the following to enhance robustness of results. In the short term, we recommend using the Single country National Accounts Consistent footprint approach, that uses official data for extensions and the national table for the country in question, combined with embodiments in imports calculated using a GMRIO. In a time period of 2 to 3 years, we propose work on harmonized environmental data for water, carbon, materials, and land, and use the aggregated Organization for Economic Cooperation and Development (OECD) Inter-Country Input-Output GMRIO as default in combination with detailing procedures developed in, for example, the EXIOBASE and Eora projects. In the long term, solutions should be coordinated by the international organizations such as the United Nations (UN) Statistical Division, OECD, and Eurostat. This could ensure that when input-output tables and trade data of individual countries are combined, that the global totals are consistent and that bilateral trade asymmetries are resolved.", "author" : [ { "dropping-particle" : "", "family" : "Tukker", "given" : "Arnold", "non-dropping-particle" : "", "parse-names" : false, "suffix" : "" }, { "dropping-particle" : "", "family" : "Giljum", "given" : "Stefan", "non-dropping-particle" : "", "parse-names" : false, "suffix" : "" }, { "dropping-particle" : "", "family" : "Stadler", "given" : "Konstantin", "non-dropping-particle" : "", "parse-names" : false, "suffix" : "" } ], "container-title" : "Journal of Industrial Ecology", "id" : "ITEM-1", "issue" : "0", "issued" : { "date-parts" : [ [ "0" ] ] }, "page" : "1-14", "title" : "Towards Robust, Authoritative Assessments of Environmental Impacts Embodied in Trade: Current State and Recommendations", "type" : "article-journal", "volume" : "00" }, "uris" : [ "http://www.mendeley.com/documents/?uuid=10c84281-18af-4aa8-b82d-69896b55e79f" ] } ], "mendeley" : { "formattedCitation" : "&lt;sup&gt;42&lt;/sup&gt;", "plainTextFormattedCitation" : "42", "previouslyFormattedCitation" : "&lt;sup&gt;42&lt;/sup&gt;" }, "properties" : {  }, "schema" : "https://github.com/citation-style-language/schema/raw/master/csl-citation.json" }</w:instrText>
      </w:r>
      <w:r w:rsidR="000F4114">
        <w:fldChar w:fldCharType="separate"/>
      </w:r>
      <w:r w:rsidR="00A1364F" w:rsidRPr="00A1364F">
        <w:rPr>
          <w:noProof/>
          <w:vertAlign w:val="superscript"/>
        </w:rPr>
        <w:t>42</w:t>
      </w:r>
      <w:r w:rsidR="000F4114">
        <w:fldChar w:fldCharType="end"/>
      </w:r>
      <w:r w:rsidR="008361A9">
        <w:t xml:space="preserve"> </w:t>
      </w:r>
      <w:r w:rsidR="008D05B6">
        <w:t>The N and P</w:t>
      </w:r>
      <w:r w:rsidR="00FE59D2">
        <w:t xml:space="preserve"> accounts derived in this work can be further refined to capture spatial variations in agricultural practices to the point of emission</w:t>
      </w:r>
      <w:r w:rsidR="0032178E">
        <w:t xml:space="preserve">. </w:t>
      </w:r>
      <w:r w:rsidR="00D735A9">
        <w:t>See SI for further details.</w:t>
      </w:r>
      <w:r w:rsidR="00551B52">
        <w:t xml:space="preserve"> </w:t>
      </w:r>
      <w:r w:rsidR="00FE59D2">
        <w:t xml:space="preserve"> </w:t>
      </w:r>
    </w:p>
    <w:p w14:paraId="165DF247" w14:textId="33D8E386" w:rsidR="0022772B" w:rsidRDefault="0022772B" w:rsidP="00B018A6">
      <w:pPr>
        <w:autoSpaceDE w:val="0"/>
        <w:autoSpaceDN w:val="0"/>
        <w:adjustRightInd w:val="0"/>
        <w:spacing w:after="0"/>
        <w:rPr>
          <w:rFonts w:cs="Times"/>
          <w:szCs w:val="24"/>
        </w:rPr>
      </w:pPr>
      <w:r>
        <w:rPr>
          <w:rFonts w:cs="Times"/>
          <w:szCs w:val="24"/>
        </w:rPr>
        <w:t xml:space="preserve">The impact assessment methodology is based on the generic assumption that P is the limiting nutrient for primary production </w:t>
      </w:r>
      <w:r w:rsidR="00CD1C40">
        <w:rPr>
          <w:rFonts w:cs="Times"/>
          <w:szCs w:val="24"/>
        </w:rPr>
        <w:t xml:space="preserve">of biomass </w:t>
      </w:r>
      <w:r>
        <w:rPr>
          <w:rFonts w:cs="Times"/>
          <w:szCs w:val="24"/>
        </w:rPr>
        <w:t xml:space="preserve">in freshwater systems and N is the limiting nutrient for primary production in marine systems. </w:t>
      </w:r>
      <w:r>
        <w:rPr>
          <w:rFonts w:ascii="Times New Roman" w:hAnsi="Times New Roman"/>
          <w:szCs w:val="24"/>
        </w:rPr>
        <w:t xml:space="preserve">Research has challenged this assumption and has shown that </w:t>
      </w:r>
      <w:r w:rsidR="008D05B6">
        <w:rPr>
          <w:rFonts w:ascii="Times New Roman" w:hAnsi="Times New Roman"/>
          <w:szCs w:val="24"/>
        </w:rPr>
        <w:t>N</w:t>
      </w:r>
      <w:r>
        <w:rPr>
          <w:rFonts w:cs="Times"/>
          <w:szCs w:val="24"/>
        </w:rPr>
        <w:t xml:space="preserve"> </w:t>
      </w:r>
      <w:r>
        <w:rPr>
          <w:rFonts w:ascii="Times New Roman" w:hAnsi="Times New Roman"/>
          <w:szCs w:val="24"/>
        </w:rPr>
        <w:t xml:space="preserve">and </w:t>
      </w:r>
      <w:r w:rsidR="008D05B6">
        <w:rPr>
          <w:rFonts w:ascii="Times New Roman" w:hAnsi="Times New Roman"/>
          <w:szCs w:val="24"/>
        </w:rPr>
        <w:t>P</w:t>
      </w:r>
      <w:r>
        <w:rPr>
          <w:rFonts w:ascii="Times New Roman" w:hAnsi="Times New Roman"/>
          <w:szCs w:val="24"/>
        </w:rPr>
        <w:t xml:space="preserve"> can be both limiting for marine and fresh waters.</w:t>
      </w:r>
      <w:r>
        <w:rPr>
          <w:rFonts w:ascii="Times New Roman" w:hAnsi="Times New Roman"/>
          <w:szCs w:val="24"/>
        </w:rPr>
        <w:fldChar w:fldCharType="begin" w:fldLock="1"/>
      </w:r>
      <w:r w:rsidR="00A1364F">
        <w:rPr>
          <w:rFonts w:ascii="Times New Roman" w:hAnsi="Times New Roman"/>
          <w:szCs w:val="24"/>
        </w:rPr>
        <w:instrText>ADDIN CSL_CITATION { "citationItems" : [ { "id" : "ITEM-1", "itemData" : { "author" : [ { "dropping-particle" : "al", "family" : "Azevedo", "given" : "Ligia B. et", "non-dropping-particle" : "", "parse-names" : false, "suffix" : "" } ], "container-title" : "Environmental science &amp; technology", "id" : "ITEM-1", "issued" : { "date-parts" : [ [ "2013" ] ] }, "page" : "13565-13570", "title" : "Assessing the importance of spatial variability versus madel choices in life cycle impact assessment: The case of freshwater eutrophication in Europe", "type" : "article-journal", "volume" : "47" }, "uris" : [ "http://www.mendeley.com/documents/?uuid=61abbfbf-75a5-4f5c-adaa-a4ab0268df0d" ] }, { "id" : "ITEM-2", "itemData" : { "DOI" : "10.4319/lo.2006.51.1_part_2.0364", "ISBN" : "0024-3590", "ISSN" : "00243590", "PMID" : "6673659", "abstract" : "The first specialv olume of Limnologya nd Oceanographyp, ublishedi n 1972, focused on whetherp hosphorus (P) or carbon( C) is the majora gentc ausinge utrophicatioinn aquatice cosystems.O nly slight mentionw as made thate stuariesm ay behaved ifferentlyfr oml akes andt hatn itrogen( N) may causee utrophicatioinn estuariesI. n the followingd ecade,a n understandinogf eutrophicatioinn estuariesp roceededin relativei solationf romt hec ommunity of scientists studying lakes. National water quality policy in the United States was directed almost solely toward P controlf or bothl akesa nde stuariesa, nds imilarlyE, uropeann ationst endedt o focus on P controli n lakes.A lthough bioassayd atai ndicatedN controlo f eutrophicatioinn estuariesa s earlya s the 1970s,t his body of knowledgew as treatedw ith skepticismb y manyf reshwaters cientistsa nd water-qualitmy anagersb, ecauseb ioassayd atai n lakes often did not properlyi ndicatet he importanceo f P relativet o C in those ecosystems.H ence,t he bioassayd atai n estuariesh ad little influenceo n water-qualitmy anagementO. ver the past two decades,a strongc onsensush as evolveda mongt he scientificc ommunityth atN is the primaryc ause of eutrophicatioinn manyc oastale cosystems. The developmenot f this consensusw as basedi n parto n dataf romw hole-ecosystemst udiesa ndo n a growingb ody of evidencet hatp resentedc onvincingm echanisticr easonsw hy the controlso f eutrophicatioinn lakes and coastal marinee cosystemsm ay differ.E vent houghN is probablyth e majorc auseo f eutrophicatioinn mostc oastals ystems in the temperatez one, optimalm anagemenot f coastal eutrophicatiosnu ggestsc ontrollingb oth N and P, in part becauseP can limit primaryp roductionin some systems.I n addition,e xcess P in estuariesc an interactw ith the availabilityo f N and silica (Si) to adverselya ffect ecological structureR. eductiono f P to upstreamf reshwater ecosystemsc an also benefitc oastalm arinee cosystemst hroughm echanismss uch as increasedS i fluxes.", "author" : [ { "dropping-particle" : "", "family" : "Howarth", "given" : "Robert W.", "non-dropping-particle" : "", "parse-names" : false, "suffix" : "" }, { "dropping-particle" : "", "family" : "Marino", "given" : "Roxanne", "non-dropping-particle" : "", "parse-names" : false, "suffix" : "" } ], "container-title" : "Limnology and Oceanography", "id" : "ITEM-2", "issue" : "1", "issued" : { "date-parts" : [ [ "2006" ] ] }, "page" : "364-376", "title" : "Nitrogen as the limiting nutrient for eutrophication in coastal marine ecosystems: Evolving views over three decades", "type" : "article-journal", "volume" : "51" }, "uris" : [ "http://www.mendeley.com/documents/?uuid=b30f4208-863b-4dce-bec4-1b1eee1b3c07" ] }, { "id" : "ITEM-3", "itemData" : { "DOI" : "10.1111/j.1461-0248.2007.01113.x", "ISBN" : "1461-023X", "ISSN" : "1461023X", "PMID" : "17922835", "abstract" : "The cycles of the key nutrient elements nitrogen (N) and phosphorus (P) have been massively altered by anthropogenic activities. Thus, it is essential to understand how photosynthetic production across diverse ecosystems is, or is not, limited by N and P. Via a large-scale meta-analysis of experimental enrichments, we show that P limitation is equally strong across these major habitats and that N and P limitation are equivalent within both terrestrial and freshwater systems. Furthermore, simultaneous N and P enrichment produces strongly positive synergistic responses in all three environments. Thus, contrary to some prevailing paradigms, freshwater, marine and terrestrial ecosystems are surprisingly similar in terms of N and P limitation.", "author" : [ { "dropping-particle" : "", "family" : "Elser", "given" : "James J.", "non-dropping-particle" : "", "parse-names" : false, "suffix" : "" }, { "dropping-particle" : "", "family" : "Bracken", "given" : "Matthew E S", "non-dropping-particle" : "", "parse-names" : false, "suffix" : "" }, { "dropping-particle" : "", "family" : "Cleland", "given" : "Elsa E.", "non-dropping-particle" : "", "parse-names" : false, "suffix" : "" }, { "dropping-particle" : "", "family" : "Gruner", "given" : "Daniel S.", "non-dropping-particle" : "", "parse-names" : false, "suffix" : "" }, { "dropping-particle" : "", "family" : "Harpole", "given" : "W. Stanley", "non-dropping-particle" : "", "parse-names" : false, "suffix" : "" }, { "dropping-particle" : "", "family" : "Hillebrand", "given" : "Helmut", "non-dropping-particle" : "", "parse-names" : false, "suffix" : "" }, { "dropping-particle" : "", "family" : "Ngai", "given" : "Jacqueline T.", "non-dropping-particle" : "", "parse-names" : false, "suffix" : "" }, { "dropping-particle" : "", "family" : "Seabloom", "given" : "Eric W.", "non-dropping-particle" : "", "parse-names" : false, "suffix" : "" }, { "dropping-particle" : "", "family" : "Shurin", "given" : "Jonathan B.", "non-dropping-particle" : "", "parse-names" : false, "suffix" : "" }, { "dropping-particle" : "", "family" : "Smith", "given" : "Jennifer E.", "non-dropping-particle" : "", "parse-names" : false, "suffix" : "" } ], "container-title" : "Ecology Letters", "id" : "ITEM-3", "issue" : "12", "issued" : { "date-parts" : [ [ "2007" ] ] }, "page" : "1135-1142", "title" : "Global analysis of nitrogen and phosphorus limitation of primary producers in freshwater, marine and terrestrial ecosystems", "type" : "article-journal", "volume" : "10" }, "uris" : [ "http://www.mendeley.com/documents/?uuid=6de999a9-bb2d-4335-94c2-ec8741c8a627" ] } ], "mendeley" : { "formattedCitation" : "&lt;sup&gt;4,43,44&lt;/sup&gt;", "plainTextFormattedCitation" : "4,43,44", "previouslyFormattedCitation" : "&lt;sup&gt;4,43,44&lt;/sup&gt;" }, "properties" : {  }, "schema" : "https://github.com/citation-style-language/schema/raw/master/csl-citation.json" }</w:instrText>
      </w:r>
      <w:r>
        <w:rPr>
          <w:rFonts w:ascii="Times New Roman" w:hAnsi="Times New Roman"/>
          <w:szCs w:val="24"/>
        </w:rPr>
        <w:fldChar w:fldCharType="separate"/>
      </w:r>
      <w:r w:rsidR="00A1364F" w:rsidRPr="00A1364F">
        <w:rPr>
          <w:rFonts w:ascii="Times New Roman" w:hAnsi="Times New Roman"/>
          <w:noProof/>
          <w:szCs w:val="24"/>
          <w:vertAlign w:val="superscript"/>
        </w:rPr>
        <w:t>4,43,44</w:t>
      </w:r>
      <w:r>
        <w:rPr>
          <w:rFonts w:ascii="Times New Roman" w:hAnsi="Times New Roman"/>
          <w:szCs w:val="24"/>
        </w:rPr>
        <w:fldChar w:fldCharType="end"/>
      </w:r>
      <w:r>
        <w:rPr>
          <w:rFonts w:ascii="Times New Roman" w:hAnsi="Times New Roman"/>
          <w:sz w:val="16"/>
          <w:szCs w:val="16"/>
        </w:rPr>
        <w:t xml:space="preserve"> </w:t>
      </w:r>
      <w:r>
        <w:rPr>
          <w:rFonts w:cs="Times"/>
          <w:szCs w:val="24"/>
        </w:rPr>
        <w:t>In freshwater systems, studies suggest that nitrogen as well as iron could be co-limiting over shorter time-scales.</w:t>
      </w:r>
      <w:r>
        <w:rPr>
          <w:rFonts w:cs="Times"/>
          <w:szCs w:val="24"/>
        </w:rPr>
        <w:fldChar w:fldCharType="begin" w:fldLock="1"/>
      </w:r>
      <w:r w:rsidR="00A1364F">
        <w:rPr>
          <w:rFonts w:cs="Times"/>
          <w:szCs w:val="24"/>
        </w:rPr>
        <w:instrText>ADDIN CSL_CITATION { "citationItems" : [ { "id" : "ITEM-1", "itemData" : { "DOI" : "10.1002/iroh.200811068", "ISBN" : "1434-2944", "ISSN" : "14342944", "abstract" : "Lakes are often said to be primarily phosphorus limited, but this paradigm has been described in numerous ways and there is considerable evidence that algae in lakes are often limited by other elements too. Crucial whole-ecosystem experiments that support the paradigm of the primacy of P limitation are few in number and have been limited to naturally oligotrophic lakes. A large amount of observational and experimental data seems to contradict the phosphorus limitation paradigm and instead indicates that most lakes are co-limited by N and P as well as, perhaps, by Fe and other resources. The biogeochemical theory behind the phosphorus limitation paradigm is that mechanisms can supplement cycles of C and N (and, discussed here, perhaps Fe) so that ultimately it is P that limits production and biomass. However, no mechanism has been proposed for ecosystems to overshoot this endpoint, meaning one might logically expect to see frequent occurrence of co-limitation by P, N and other resources over short, but still ecologically meaningful time scales that influence, for example, biodiversity patterns in lakes. One point of view has been that small-scale experimentation is simply misleading. However, an alternative is that even if P is ultimately limiting over multi-annual time scales, over shorter but still meaningful time scales, co-limitation of multiple nutrients is expected, and indeed is very common", "author" : [ { "dropping-particle" : "", "family" : "Sterner", "given" : "Robert W.", "non-dropping-particle" : "", "parse-names" : false, "suffix" : "" } ], "container-title" : "International Review of Hydrobiology", "id" : "ITEM-1", "issue" : "4-5", "issued" : { "date-parts" : [ [ "2008" ] ] }, "page" : "433-445", "title" : "On the phosphorus limitation paradigm for lakes", "type" : "article-journal", "volume" : "93" }, "uris" : [ "http://www.mendeley.com/documents/?uuid=4f4e2d79-8198-457b-baba-abfae47cba89" ] } ], "mendeley" : { "formattedCitation" : "&lt;sup&gt;45&lt;/sup&gt;", "plainTextFormattedCitation" : "45", "previouslyFormattedCitation" : "&lt;sup&gt;45&lt;/sup&gt;" }, "properties" : {  }, "schema" : "https://github.com/citation-style-language/schema/raw/master/csl-citation.json" }</w:instrText>
      </w:r>
      <w:r>
        <w:rPr>
          <w:rFonts w:cs="Times"/>
          <w:szCs w:val="24"/>
        </w:rPr>
        <w:fldChar w:fldCharType="separate"/>
      </w:r>
      <w:r w:rsidR="00A1364F" w:rsidRPr="00A1364F">
        <w:rPr>
          <w:rFonts w:cs="Times"/>
          <w:noProof/>
          <w:szCs w:val="24"/>
          <w:vertAlign w:val="superscript"/>
        </w:rPr>
        <w:t>45</w:t>
      </w:r>
      <w:r>
        <w:rPr>
          <w:rFonts w:cs="Times"/>
          <w:szCs w:val="24"/>
        </w:rPr>
        <w:fldChar w:fldCharType="end"/>
      </w:r>
      <w:r>
        <w:rPr>
          <w:rFonts w:cs="Times"/>
          <w:sz w:val="16"/>
          <w:szCs w:val="16"/>
        </w:rPr>
        <w:t xml:space="preserve"> </w:t>
      </w:r>
      <w:r>
        <w:rPr>
          <w:rFonts w:cs="Times"/>
          <w:szCs w:val="24"/>
        </w:rPr>
        <w:t>Therefore, we recommend further research to focus on deriving eutrophication potentials for all nutrients in both marine and freshwater ecosystems.</w:t>
      </w:r>
    </w:p>
    <w:p w14:paraId="2D245520" w14:textId="77777777" w:rsidR="0022772B" w:rsidRDefault="0022772B" w:rsidP="00B018A6">
      <w:pPr>
        <w:autoSpaceDE w:val="0"/>
        <w:autoSpaceDN w:val="0"/>
        <w:adjustRightInd w:val="0"/>
        <w:spacing w:after="0"/>
        <w:rPr>
          <w:rFonts w:cs="Times"/>
          <w:szCs w:val="24"/>
        </w:rPr>
      </w:pPr>
    </w:p>
    <w:p w14:paraId="2D10E93F" w14:textId="6D233D5E" w:rsidR="0022772B" w:rsidRDefault="0022772B" w:rsidP="00B018A6">
      <w:pPr>
        <w:autoSpaceDE w:val="0"/>
        <w:autoSpaceDN w:val="0"/>
        <w:adjustRightInd w:val="0"/>
        <w:spacing w:after="0"/>
        <w:rPr>
          <w:rFonts w:cs="Times"/>
          <w:szCs w:val="24"/>
        </w:rPr>
      </w:pPr>
      <w:r>
        <w:rPr>
          <w:rFonts w:cs="Times"/>
          <w:szCs w:val="24"/>
        </w:rPr>
        <w:t>Furthermore, Azevedo et al.</w:t>
      </w:r>
      <w:r>
        <w:rPr>
          <w:rFonts w:cs="Times"/>
          <w:szCs w:val="24"/>
        </w:rPr>
        <w:fldChar w:fldCharType="begin" w:fldLock="1"/>
      </w:r>
      <w:r w:rsidR="00A1364F">
        <w:rPr>
          <w:rFonts w:cs="Times"/>
          <w:szCs w:val="24"/>
        </w:rPr>
        <w:instrText>ADDIN CSL_CITATION { "citationItems" : [ { "id" : "ITEM-1", "itemData" : { "author" : [ { "dropping-particle" : "al", "family" : "Azevedo", "given" : "Ligia B. et", "non-dropping-particle" : "", "parse-names" : false, "suffix" : "" } ], "container-title" : "Environmental science &amp; technology", "id" : "ITEM-1", "issued" : { "date-parts" : [ [ "2013" ] ] }, "page" : "13565-13570", "title" : "Assessing the importance of spatial variability versus madel choices in life cycle impact assessment: The case of freshwater eutrophication in Europe", "type" : "article-journal", "volume" : "47" }, "uris" : [ "http://www.mendeley.com/documents/?uuid=61abbfbf-75a5-4f5c-adaa-a4ab0268df0d" ] } ], "mendeley" : { "formattedCitation" : "&lt;sup&gt;43&lt;/sup&gt;", "plainTextFormattedCitation" : "43", "previouslyFormattedCitation" : "&lt;sup&gt;43&lt;/sup&gt;" }, "properties" : {  }, "schema" : "https://github.com/citation-style-language/schema/raw/master/csl-citation.json" }</w:instrText>
      </w:r>
      <w:r>
        <w:rPr>
          <w:rFonts w:cs="Times"/>
          <w:szCs w:val="24"/>
        </w:rPr>
        <w:fldChar w:fldCharType="separate"/>
      </w:r>
      <w:r w:rsidR="00A1364F" w:rsidRPr="00A1364F">
        <w:rPr>
          <w:rFonts w:cs="Times"/>
          <w:noProof/>
          <w:szCs w:val="24"/>
          <w:vertAlign w:val="superscript"/>
        </w:rPr>
        <w:t>43</w:t>
      </w:r>
      <w:r>
        <w:rPr>
          <w:rFonts w:cs="Times"/>
          <w:szCs w:val="24"/>
        </w:rPr>
        <w:fldChar w:fldCharType="end"/>
      </w:r>
      <w:r w:rsidR="0020612C">
        <w:rPr>
          <w:rFonts w:cs="Times"/>
          <w:szCs w:val="24"/>
        </w:rPr>
        <w:t xml:space="preserve"> </w:t>
      </w:r>
      <w:r>
        <w:rPr>
          <w:rFonts w:cs="Times"/>
          <w:szCs w:val="24"/>
        </w:rPr>
        <w:t>showed</w:t>
      </w:r>
      <w:r w:rsidR="0020612C">
        <w:rPr>
          <w:rFonts w:cs="Times"/>
          <w:szCs w:val="24"/>
        </w:rPr>
        <w:t xml:space="preserve"> that spatially-</w:t>
      </w:r>
      <w:r>
        <w:rPr>
          <w:rFonts w:cs="Times"/>
          <w:szCs w:val="24"/>
        </w:rPr>
        <w:t>explicit methodologies for impact assessment are crucial for accurate assessments of P emission impacts in freshwater systems. Currently</w:t>
      </w:r>
      <w:r w:rsidR="0020612C">
        <w:rPr>
          <w:rFonts w:cs="Times"/>
          <w:szCs w:val="24"/>
        </w:rPr>
        <w:t>,</w:t>
      </w:r>
      <w:r>
        <w:rPr>
          <w:rFonts w:cs="Times"/>
          <w:szCs w:val="24"/>
        </w:rPr>
        <w:t xml:space="preserve"> we account for the spatial variability of P inputs to freshwater systems with country-specific </w:t>
      </w:r>
      <w:r w:rsidR="0069026C">
        <w:rPr>
          <w:rFonts w:cs="Times"/>
          <w:szCs w:val="24"/>
        </w:rPr>
        <w:t>eutrophication potentials</w:t>
      </w:r>
      <w:r w:rsidR="0020612C">
        <w:rPr>
          <w:rFonts w:cs="Times"/>
          <w:szCs w:val="24"/>
        </w:rPr>
        <w:t>. Thereby</w:t>
      </w:r>
      <w:r>
        <w:rPr>
          <w:rFonts w:cs="Times"/>
          <w:szCs w:val="24"/>
        </w:rPr>
        <w:t xml:space="preserve">, </w:t>
      </w:r>
      <w:r w:rsidR="0020612C">
        <w:rPr>
          <w:rFonts w:cs="Times"/>
          <w:szCs w:val="24"/>
        </w:rPr>
        <w:t>we account</w:t>
      </w:r>
      <w:r>
        <w:rPr>
          <w:rFonts w:cs="Times"/>
          <w:szCs w:val="24"/>
        </w:rPr>
        <w:t xml:space="preserve"> for the difference in residence time in water bodies, whilst recognizing that the relationship to ecological responses are more complex. The variability in FE used is mainly caused by variability in hydrological residence time between river basins.</w:t>
      </w:r>
      <w:r w:rsidR="0020612C">
        <w:rPr>
          <w:rFonts w:cs="Times"/>
          <w:szCs w:val="24"/>
        </w:rPr>
        <w:fldChar w:fldCharType="begin" w:fldLock="1"/>
      </w:r>
      <w:r w:rsidR="00A1364F">
        <w:rPr>
          <w:rFonts w:cs="Times"/>
          <w:szCs w:val="24"/>
        </w:rPr>
        <w:instrText>ADDIN CSL_CITATION { "citationItems" : [ { "id" : "ITEM-1", "itemData" : { "DOI" : "10.1007/s11367-012-0382-2", "ISSN" : "0948-3349", "author" : [ { "dropping-particle" : "", "family" : "Helmes", "given" : "Roel J. K.", "non-dropping-particle" : "", "parse-names" : false, "suffix" : "" }, { "dropping-particle" : "", "family" : "Huijbregts", "given" : "Mark a. J.", "non-dropping-particle" : "", "parse-names" : false, "suffix" : "" }, { "dropping-particle" : "", "family" : "Henderson", "given" : "Andrew D.", "non-dropping-particle" : "", "parse-names" : false, "suffix" : "" }, { "dropping-particle" : "", "family" : "Jolliet", "given" : "Olivier", "non-dropping-particle" : "", "parse-names" : false, "suffix" : "" } ], "container-title" : "The International Journal of Life Cycle Assessment", "id" : "ITEM-1", "issue" : "5", "issued" : { "date-parts" : [ [ "2012", "2", "2" ] ] }, "page" : "646-654", "title" : "Spatially explicit fate factors of phosphorous emissions to freshwater at the global scale", "type" : "article-journal", "volume" : "17" }, "uris" : [ "http://www.mendeley.com/documents/?uuid=ed47082d-8abc-41a7-abe6-7ce1d2c65e27" ] }, { "id" : "ITEM-2", "itemData" : { "abstract" : "Nutrient overenrichment of freshwater and coastal ecosystems\u2014or eutrophication\u2014is a rapidly growing environmental crisis. Worldwide, the number of coastal areas impacted by eutrophication stands at over 500. In coastal areas, occurrences of dead zones, which are caused by eutrophic conditions, have increased from 10 documented cases in 1960 to 405 documented cases in 2008. In addition, many of the world's freshwater lakes, streams, and reservoirs suffer from eutrophi-cation; in the United States, eutrophication is considered the primary cause of freshwater impairment. In order to reverse eutrophication trends and mitigate nutrient losses to aquatic ecosystems, policymakers should: 1. Implement research and monitoring programs to characterize the effects of eutrophication, collect water quality data, and inform adaptive management strategies. Information is a key element in the development of robust strategies to reduce eutrophication. 2. Raise awareness of eutrophication. Eutrophication and its effects are not well understood by the public or policymakers. Public awareness campaigns, school environmental education programs, and targeted outreach and technical assistance are all important components of raising the profile of eutrophication within commu-nities and building a foundation and support for effective actions to reduce nutrient losses and eutrophication. 3. Implement regulations to mitigate nutrient losses, such as standards, technology requirements, or pollution caps for various sectors. 4. Create fiscal and economic incentives to encourage nutrient-reducing actions using taxes and fees, subsidies, or environmental markets. 5. Preserve and restore natural ecosystems that capture and cycle nutrients. 6. Establish strong, engaged, and coordinated institutions to address eutrophication. Effective institutions to implement and enforce policies are important to the success of any eutrophication strategy, especially where multiple jurisdictions are involved. 7. Capitalize on environmental synergies when designing comprehen-sive policies to address eutrophication. Many policies and activities associated with reducing nutrient pollution have synergies with other environmental problems such as climate change, smog, and acid rain. Policies selected and implemented should seek to maxi-mize environmental benefits. N utrient overenrichment\u2014or eutrophication\u2014of freshwa-ter and marine ecosystems is growing rapidly as a result of human activities (MA 2005; Mee\u2026", "author" : [ { "dropping-particle" : "", "family" : "Selman", "given" : "Mindy", "non-dropping-particle" : "", "parse-names" : false, "suffix" : "" }, { "dropping-particle" : "", "family" : "Greenhalgh", "given" : "Suzie", "non-dropping-particle" : "", "parse-names" : false, "suffix" : "" } ], "container-title" : "WRI Policy note - Water quality: Eutrophication and hypoxia", "id" : "ITEM-2", "issue" : "3", "issued" : { "date-parts" : [ [ "2009" ] ] }, "page" : "16", "title" : "Eutrophication: Policies, Actions, and Strategies to Address Nutrient Pollution", "type" : "article-journal", "volume" : "3" }, "uris" : [ "http://www.mendeley.com/documents/?uuid=9bc8aef4-bc97-4582-a1a2-bb46f53763be" ] } ], "mendeley" : { "formattedCitation" : "&lt;sup&gt;33,46&lt;/sup&gt;", "plainTextFormattedCitation" : "33,46", "previouslyFormattedCitation" : "&lt;sup&gt;33,46&lt;/sup&gt;" }, "properties" : {  }, "schema" : "https://github.com/citation-style-language/schema/raw/master/csl-citation.json" }</w:instrText>
      </w:r>
      <w:r w:rsidR="0020612C">
        <w:rPr>
          <w:rFonts w:cs="Times"/>
          <w:szCs w:val="24"/>
        </w:rPr>
        <w:fldChar w:fldCharType="separate"/>
      </w:r>
      <w:r w:rsidR="00A1364F" w:rsidRPr="00A1364F">
        <w:rPr>
          <w:rFonts w:cs="Times"/>
          <w:noProof/>
          <w:szCs w:val="24"/>
          <w:vertAlign w:val="superscript"/>
        </w:rPr>
        <w:t>33,46</w:t>
      </w:r>
      <w:r w:rsidR="0020612C">
        <w:rPr>
          <w:rFonts w:cs="Times"/>
          <w:szCs w:val="24"/>
        </w:rPr>
        <w:fldChar w:fldCharType="end"/>
      </w:r>
      <w:r>
        <w:rPr>
          <w:rFonts w:cs="Times"/>
          <w:szCs w:val="24"/>
        </w:rPr>
        <w:t xml:space="preserve"> </w:t>
      </w:r>
      <w:r w:rsidR="008D05B6">
        <w:rPr>
          <w:rFonts w:cs="Times"/>
          <w:szCs w:val="24"/>
        </w:rPr>
        <w:t xml:space="preserve">While FE </w:t>
      </w:r>
      <w:r w:rsidR="0020612C">
        <w:rPr>
          <w:rFonts w:cs="Times"/>
          <w:szCs w:val="24"/>
        </w:rPr>
        <w:t xml:space="preserve">potentials were </w:t>
      </w:r>
      <w:r w:rsidR="00F03E5B">
        <w:rPr>
          <w:rFonts w:cs="Times"/>
          <w:szCs w:val="24"/>
        </w:rPr>
        <w:t>country-specific</w:t>
      </w:r>
      <w:r w:rsidR="00655C44">
        <w:rPr>
          <w:rFonts w:cs="Times"/>
          <w:szCs w:val="24"/>
        </w:rPr>
        <w:t xml:space="preserve">, ME </w:t>
      </w:r>
      <w:r w:rsidR="0020612C">
        <w:rPr>
          <w:rFonts w:cs="Times"/>
          <w:szCs w:val="24"/>
        </w:rPr>
        <w:t>potenti</w:t>
      </w:r>
      <w:r w:rsidR="00F03E5B">
        <w:rPr>
          <w:rFonts w:cs="Times"/>
          <w:szCs w:val="24"/>
        </w:rPr>
        <w:t xml:space="preserve">als were only available per continent. </w:t>
      </w:r>
      <w:r>
        <w:rPr>
          <w:rFonts w:cs="Times"/>
          <w:szCs w:val="24"/>
        </w:rPr>
        <w:t>Results of the work by Cosme et al.</w:t>
      </w:r>
      <w:r>
        <w:rPr>
          <w:rFonts w:cs="Times"/>
          <w:szCs w:val="24"/>
        </w:rPr>
        <w:fldChar w:fldCharType="begin" w:fldLock="1"/>
      </w:r>
      <w:r w:rsidR="00A1364F">
        <w:rPr>
          <w:rFonts w:cs="Times"/>
          <w:szCs w:val="24"/>
        </w:rPr>
        <w:instrText>ADDIN CSL_CITATION { "citationItems" : [ { "id" : "ITEM-1", "itemData" : { "DOI" : "10.1016/j.ecolind.2016.10.026", "ISSN" : "1470160X", "abstract" : "Marine eutrophication refers to an ecosystem response to the loading of nutrients, typically nitrogen (N), to coastal waters where several impacts may occur. The increase of planktonic growth due to N-enrichment fuels the organic carbon cycles and may lead to excessive oxygen depletion in benthic waters. Such hypoxic conditions may cause severe effects on exposed ecological communities. The biologic processes that determine production, sink, and aerobic respiration of organic material, as a function of available N, are coupled with the sensitivity of demersal species to hypoxia to derive an indicator of the Ecosystem Response (ER) to N-uptake. The loss of species richness expressed by the ER is further modelled to a marine eutrophication Ecosystem Damage (meED) indicator, as an absolute metric of time integrated number of species disappeared (species yr), by applying a newly-proposed and spatially-explicit factor based on species density (SD). The meED indicator is calculated for 66 Large Marine Ecosystems and ranges from 1.6 \u00d7 10\u221212 species kgN\u22121 in the Central Arctic Ocean, to 4.8 \u00d7 10\u22128 species kgN\u22121 in the Northeast U.S. Continental Shelf. The spatially explicit SDs contribute to the environmental relevance of meED scores and to the harmonisation of marine eutrophication impacts with other ecosystem-damage Life Cycle Impact Assessment (LCIA) indicators. The novel features improve current methodologies and support the adoption of the meED indicator in LCIA for the characterization of anthropogenic-N emissions and thus contributing to the sustainability assessment of human activities.", "author" : [ { "dropping-particle" : "", "family" : "Cosme", "given" : "Nuno", "non-dropping-particle" : "", "parse-names" : false, "suffix" : "" }, { "dropping-particle" : "", "family" : "Jones", "given" : "Miranda C.", "non-dropping-particle" : "", "parse-names" : false, "suffix" : "" }, { "dropping-particle" : "", "family" : "Cheung", "given" : "William W.L.", "non-dropping-particle" : "", "parse-names" : false, "suffix" : "" }, { "dropping-particle" : "", "family" : "Larsen", "given" : "Henrik Fred", "non-dropping-particle" : "", "parse-names" : false, "suffix" : "" } ], "container-title" : "Ecological Indicators", "id" : "ITEM-1", "issued" : { "date-parts" : [ [ "2017" ] ] }, "page" : "676-685", "publisher" : "Elsevier Ltd", "title" : "Spatial differentiation of marine eutrophication damage indicators based on species density", "type" : "article-journal", "volume" : "73" }, "uris" : [ "http://www.mendeley.com/documents/?uuid=690de3f3-1a5d-497f-b23d-a840f972367c" ] } ], "mendeley" : { "formattedCitation" : "&lt;sup&gt;47&lt;/sup&gt;", "plainTextFormattedCitation" : "47", "previouslyFormattedCitation" : "&lt;sup&gt;47&lt;/sup&gt;" }, "properties" : {  }, "schema" : "https://github.com/citation-style-language/schema/raw/master/csl-citation.json" }</w:instrText>
      </w:r>
      <w:r>
        <w:rPr>
          <w:rFonts w:cs="Times"/>
          <w:szCs w:val="24"/>
        </w:rPr>
        <w:fldChar w:fldCharType="separate"/>
      </w:r>
      <w:r w:rsidR="00A1364F" w:rsidRPr="00A1364F">
        <w:rPr>
          <w:rFonts w:cs="Times"/>
          <w:noProof/>
          <w:szCs w:val="24"/>
          <w:vertAlign w:val="superscript"/>
        </w:rPr>
        <w:t>47</w:t>
      </w:r>
      <w:r>
        <w:rPr>
          <w:rFonts w:cs="Times"/>
          <w:szCs w:val="24"/>
        </w:rPr>
        <w:fldChar w:fldCharType="end"/>
      </w:r>
      <w:r>
        <w:rPr>
          <w:rFonts w:cs="Times"/>
          <w:sz w:val="16"/>
          <w:szCs w:val="16"/>
        </w:rPr>
        <w:t xml:space="preserve"> </w:t>
      </w:r>
      <w:r>
        <w:rPr>
          <w:rFonts w:cs="Times"/>
          <w:szCs w:val="24"/>
        </w:rPr>
        <w:t xml:space="preserve">show that </w:t>
      </w:r>
      <w:r w:rsidR="0069026C">
        <w:rPr>
          <w:rFonts w:cs="Times"/>
          <w:szCs w:val="24"/>
        </w:rPr>
        <w:t>eutrophication damage indicators</w:t>
      </w:r>
      <w:r>
        <w:rPr>
          <w:rFonts w:cs="Times"/>
          <w:szCs w:val="24"/>
        </w:rPr>
        <w:t xml:space="preserve"> in marine ecosystems</w:t>
      </w:r>
      <w:r w:rsidR="0020612C">
        <w:rPr>
          <w:rFonts w:cs="Times"/>
          <w:szCs w:val="24"/>
        </w:rPr>
        <w:t xml:space="preserve"> can </w:t>
      </w:r>
      <w:r>
        <w:rPr>
          <w:rFonts w:cs="Times"/>
          <w:szCs w:val="24"/>
        </w:rPr>
        <w:t>vary up to 4 orders of magnitude for emissions to rivers and marine water</w:t>
      </w:r>
      <w:r w:rsidR="0020612C">
        <w:rPr>
          <w:rFonts w:cs="Times"/>
          <w:szCs w:val="24"/>
        </w:rPr>
        <w:t>s</w:t>
      </w:r>
      <w:r>
        <w:rPr>
          <w:rFonts w:cs="Times"/>
          <w:szCs w:val="24"/>
        </w:rPr>
        <w:t xml:space="preserve">. This could </w:t>
      </w:r>
      <w:r w:rsidR="0020612C">
        <w:rPr>
          <w:rFonts w:cs="Times"/>
          <w:szCs w:val="24"/>
        </w:rPr>
        <w:t xml:space="preserve">significantly influence the results, particularly for determining </w:t>
      </w:r>
      <w:r>
        <w:rPr>
          <w:rFonts w:cs="Times"/>
          <w:szCs w:val="24"/>
        </w:rPr>
        <w:t>which cou</w:t>
      </w:r>
      <w:r w:rsidR="008D05B6">
        <w:rPr>
          <w:rFonts w:cs="Times"/>
          <w:szCs w:val="24"/>
        </w:rPr>
        <w:t xml:space="preserve">ntry contributes most to ME </w:t>
      </w:r>
      <w:r>
        <w:rPr>
          <w:rFonts w:cs="Times"/>
          <w:szCs w:val="24"/>
        </w:rPr>
        <w:t>impacts</w:t>
      </w:r>
      <w:r w:rsidR="00F44C0D">
        <w:rPr>
          <w:rFonts w:cs="Times"/>
          <w:szCs w:val="24"/>
        </w:rPr>
        <w:t xml:space="preserve"> (see </w:t>
      </w:r>
      <w:r w:rsidR="00391E07">
        <w:rPr>
          <w:rFonts w:cs="Times"/>
          <w:szCs w:val="24"/>
        </w:rPr>
        <w:t>SI</w:t>
      </w:r>
      <w:r w:rsidR="00F44C0D">
        <w:rPr>
          <w:rFonts w:cs="Times"/>
          <w:szCs w:val="24"/>
        </w:rPr>
        <w:t xml:space="preserve"> for detail)</w:t>
      </w:r>
      <w:r>
        <w:rPr>
          <w:rFonts w:cs="Times"/>
          <w:szCs w:val="24"/>
        </w:rPr>
        <w:t>.</w:t>
      </w:r>
      <w:r w:rsidRPr="00E0091C">
        <w:rPr>
          <w:rFonts w:cs="Times"/>
          <w:szCs w:val="24"/>
        </w:rPr>
        <w:t xml:space="preserve"> </w:t>
      </w:r>
    </w:p>
    <w:p w14:paraId="7BF6438B" w14:textId="77777777" w:rsidR="00655C44" w:rsidRDefault="00655C44" w:rsidP="00B018A6">
      <w:pPr>
        <w:autoSpaceDE w:val="0"/>
        <w:autoSpaceDN w:val="0"/>
        <w:adjustRightInd w:val="0"/>
        <w:spacing w:after="0"/>
        <w:rPr>
          <w:rFonts w:cs="Times"/>
          <w:szCs w:val="24"/>
        </w:rPr>
      </w:pPr>
    </w:p>
    <w:p w14:paraId="336A85D1" w14:textId="77777777" w:rsidR="00A37E65" w:rsidRDefault="00A37E65" w:rsidP="00B018A6">
      <w:pPr>
        <w:autoSpaceDE w:val="0"/>
        <w:autoSpaceDN w:val="0"/>
        <w:adjustRightInd w:val="0"/>
        <w:spacing w:after="0"/>
        <w:rPr>
          <w:rFonts w:cs="Times"/>
          <w:szCs w:val="24"/>
        </w:rPr>
      </w:pPr>
    </w:p>
    <w:p w14:paraId="098EF63E" w14:textId="557B720A" w:rsidR="007C4522" w:rsidRPr="006A6E9B" w:rsidRDefault="007C4522" w:rsidP="007C4522">
      <w:pPr>
        <w:pStyle w:val="TFReferencesSection"/>
        <w:spacing w:before="100" w:beforeAutospacing="1" w:after="100" w:afterAutospacing="1" w:line="240" w:lineRule="auto"/>
        <w:ind w:firstLine="0"/>
        <w:rPr>
          <w:rFonts w:ascii="Times New Roman" w:hAnsi="Times New Roman"/>
          <w:b/>
        </w:rPr>
      </w:pPr>
      <w:r w:rsidRPr="006A6E9B">
        <w:rPr>
          <w:rFonts w:ascii="Times New Roman" w:hAnsi="Times New Roman"/>
          <w:b/>
        </w:rPr>
        <w:lastRenderedPageBreak/>
        <w:t>R</w:t>
      </w:r>
      <w:r w:rsidR="00B503FF" w:rsidRPr="006A6E9B">
        <w:rPr>
          <w:rFonts w:ascii="Times New Roman" w:hAnsi="Times New Roman"/>
          <w:b/>
        </w:rPr>
        <w:t>eferences</w:t>
      </w:r>
    </w:p>
    <w:p w14:paraId="0AEE9D4C" w14:textId="333F18C8" w:rsidR="00A1364F" w:rsidRPr="00A1364F" w:rsidRDefault="004A17BE" w:rsidP="00A1364F">
      <w:pPr>
        <w:widowControl w:val="0"/>
        <w:autoSpaceDE w:val="0"/>
        <w:autoSpaceDN w:val="0"/>
        <w:adjustRightInd w:val="0"/>
        <w:spacing w:before="100" w:after="100"/>
        <w:ind w:left="640" w:hanging="640"/>
        <w:rPr>
          <w:rFonts w:ascii="Times New Roman" w:hAnsi="Times New Roman"/>
          <w:noProof/>
          <w:szCs w:val="24"/>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sidR="00A1364F" w:rsidRPr="00A1364F">
        <w:rPr>
          <w:rFonts w:ascii="Times New Roman" w:hAnsi="Times New Roman"/>
          <w:noProof/>
          <w:szCs w:val="24"/>
        </w:rPr>
        <w:t>1.</w:t>
      </w:r>
      <w:r w:rsidR="00A1364F" w:rsidRPr="00A1364F">
        <w:rPr>
          <w:rFonts w:ascii="Times New Roman" w:hAnsi="Times New Roman"/>
          <w:noProof/>
          <w:szCs w:val="24"/>
        </w:rPr>
        <w:tab/>
        <w:t xml:space="preserve">MacDonald, G. K., Bennett, E. M., Potter, P. A. &amp; Ramankutty, N. Agronomic phosphorus imbalances across the world’s croplands. </w:t>
      </w:r>
      <w:r w:rsidR="00A1364F" w:rsidRPr="00A1364F">
        <w:rPr>
          <w:rFonts w:ascii="Times New Roman" w:hAnsi="Times New Roman"/>
          <w:i/>
          <w:iCs/>
          <w:noProof/>
          <w:szCs w:val="24"/>
        </w:rPr>
        <w:t>Proc. Natl. Acad. Sci. U. S. A.</w:t>
      </w:r>
      <w:r w:rsidR="00A1364F" w:rsidRPr="00A1364F">
        <w:rPr>
          <w:rFonts w:ascii="Times New Roman" w:hAnsi="Times New Roman"/>
          <w:noProof/>
          <w:szCs w:val="24"/>
        </w:rPr>
        <w:t xml:space="preserve"> </w:t>
      </w:r>
      <w:r w:rsidR="00A1364F" w:rsidRPr="00A1364F">
        <w:rPr>
          <w:rFonts w:ascii="Times New Roman" w:hAnsi="Times New Roman"/>
          <w:b/>
          <w:bCs/>
          <w:noProof/>
          <w:szCs w:val="24"/>
        </w:rPr>
        <w:t>108,</w:t>
      </w:r>
      <w:r w:rsidR="00A1364F" w:rsidRPr="00A1364F">
        <w:rPr>
          <w:rFonts w:ascii="Times New Roman" w:hAnsi="Times New Roman"/>
          <w:noProof/>
          <w:szCs w:val="24"/>
        </w:rPr>
        <w:t xml:space="preserve"> 3086–91 (2011).</w:t>
      </w:r>
    </w:p>
    <w:p w14:paraId="7F15182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w:t>
      </w:r>
      <w:r w:rsidRPr="00A1364F">
        <w:rPr>
          <w:rFonts w:ascii="Times New Roman" w:hAnsi="Times New Roman"/>
          <w:noProof/>
          <w:szCs w:val="24"/>
        </w:rPr>
        <w:tab/>
        <w:t xml:space="preserve">Tilman, D., Cassman, K. G., Matson, P. A., Naylor, R. L. &amp; Polasky, S. Agricultural sustainability and intensive production practices. </w:t>
      </w:r>
      <w:r w:rsidRPr="00A1364F">
        <w:rPr>
          <w:rFonts w:ascii="Times New Roman" w:hAnsi="Times New Roman"/>
          <w:i/>
          <w:iCs/>
          <w:noProof/>
          <w:szCs w:val="24"/>
        </w:rPr>
        <w:t>Nature</w:t>
      </w:r>
      <w:r w:rsidRPr="00A1364F">
        <w:rPr>
          <w:rFonts w:ascii="Times New Roman" w:hAnsi="Times New Roman"/>
          <w:noProof/>
          <w:szCs w:val="24"/>
        </w:rPr>
        <w:t xml:space="preserve"> </w:t>
      </w:r>
      <w:r w:rsidRPr="00A1364F">
        <w:rPr>
          <w:rFonts w:ascii="Times New Roman" w:hAnsi="Times New Roman"/>
          <w:b/>
          <w:bCs/>
          <w:noProof/>
          <w:szCs w:val="24"/>
        </w:rPr>
        <w:t>418,</w:t>
      </w:r>
      <w:r w:rsidRPr="00A1364F">
        <w:rPr>
          <w:rFonts w:ascii="Times New Roman" w:hAnsi="Times New Roman"/>
          <w:noProof/>
          <w:szCs w:val="24"/>
        </w:rPr>
        <w:t xml:space="preserve"> 671–677 (2002).</w:t>
      </w:r>
    </w:p>
    <w:p w14:paraId="674C0B5F"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w:t>
      </w:r>
      <w:r w:rsidRPr="00A1364F">
        <w:rPr>
          <w:rFonts w:ascii="Times New Roman" w:hAnsi="Times New Roman"/>
          <w:noProof/>
          <w:szCs w:val="24"/>
        </w:rPr>
        <w:tab/>
        <w:t xml:space="preserve">Vitousek P.M. et al. Nutrient imbalances in agricultural development. </w:t>
      </w:r>
      <w:r w:rsidRPr="00A1364F">
        <w:rPr>
          <w:rFonts w:ascii="Times New Roman" w:hAnsi="Times New Roman"/>
          <w:i/>
          <w:iCs/>
          <w:noProof/>
          <w:szCs w:val="24"/>
        </w:rPr>
        <w:t>Science (80-. ).</w:t>
      </w:r>
      <w:r w:rsidRPr="00A1364F">
        <w:rPr>
          <w:rFonts w:ascii="Times New Roman" w:hAnsi="Times New Roman"/>
          <w:noProof/>
          <w:szCs w:val="24"/>
        </w:rPr>
        <w:t xml:space="preserve"> </w:t>
      </w:r>
      <w:r w:rsidRPr="00A1364F">
        <w:rPr>
          <w:rFonts w:ascii="Times New Roman" w:hAnsi="Times New Roman"/>
          <w:b/>
          <w:bCs/>
          <w:noProof/>
          <w:szCs w:val="24"/>
        </w:rPr>
        <w:t>324,</w:t>
      </w:r>
      <w:r w:rsidRPr="00A1364F">
        <w:rPr>
          <w:rFonts w:ascii="Times New Roman" w:hAnsi="Times New Roman"/>
          <w:noProof/>
          <w:szCs w:val="24"/>
        </w:rPr>
        <w:t xml:space="preserve"> 1519–1520 (2009).</w:t>
      </w:r>
    </w:p>
    <w:p w14:paraId="6B5D23BC"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w:t>
      </w:r>
      <w:r w:rsidRPr="00A1364F">
        <w:rPr>
          <w:rFonts w:ascii="Times New Roman" w:hAnsi="Times New Roman"/>
          <w:noProof/>
          <w:szCs w:val="24"/>
        </w:rPr>
        <w:tab/>
        <w:t xml:space="preserve">Elser, J. J. </w:t>
      </w:r>
      <w:r w:rsidRPr="00A1364F">
        <w:rPr>
          <w:rFonts w:ascii="Times New Roman" w:hAnsi="Times New Roman"/>
          <w:i/>
          <w:iCs/>
          <w:noProof/>
          <w:szCs w:val="24"/>
        </w:rPr>
        <w:t>et al.</w:t>
      </w:r>
      <w:r w:rsidRPr="00A1364F">
        <w:rPr>
          <w:rFonts w:ascii="Times New Roman" w:hAnsi="Times New Roman"/>
          <w:noProof/>
          <w:szCs w:val="24"/>
        </w:rPr>
        <w:t xml:space="preserve"> Global analysis of nitrogen and phosphorus limitation of primary producers in freshwater, marine and terrestrial ecosystems. </w:t>
      </w:r>
      <w:r w:rsidRPr="00A1364F">
        <w:rPr>
          <w:rFonts w:ascii="Times New Roman" w:hAnsi="Times New Roman"/>
          <w:i/>
          <w:iCs/>
          <w:noProof/>
          <w:szCs w:val="24"/>
        </w:rPr>
        <w:t>Ecol. Lett.</w:t>
      </w:r>
      <w:r w:rsidRPr="00A1364F">
        <w:rPr>
          <w:rFonts w:ascii="Times New Roman" w:hAnsi="Times New Roman"/>
          <w:noProof/>
          <w:szCs w:val="24"/>
        </w:rPr>
        <w:t xml:space="preserve"> </w:t>
      </w:r>
      <w:r w:rsidRPr="00A1364F">
        <w:rPr>
          <w:rFonts w:ascii="Times New Roman" w:hAnsi="Times New Roman"/>
          <w:b/>
          <w:bCs/>
          <w:noProof/>
          <w:szCs w:val="24"/>
        </w:rPr>
        <w:t>10,</w:t>
      </w:r>
      <w:r w:rsidRPr="00A1364F">
        <w:rPr>
          <w:rFonts w:ascii="Times New Roman" w:hAnsi="Times New Roman"/>
          <w:noProof/>
          <w:szCs w:val="24"/>
        </w:rPr>
        <w:t xml:space="preserve"> 1135–1142 (2007).</w:t>
      </w:r>
    </w:p>
    <w:p w14:paraId="6F30D689"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w:t>
      </w:r>
      <w:r w:rsidRPr="00A1364F">
        <w:rPr>
          <w:rFonts w:ascii="Times New Roman" w:hAnsi="Times New Roman"/>
          <w:noProof/>
          <w:szCs w:val="24"/>
        </w:rPr>
        <w:tab/>
        <w:t xml:space="preserve">Smith, V. H., Tilman, G. D. &amp; Nekola, J. C. Eutrophication : Impacts of Excess Nutrient Inputs on Freshwater , Marine , and Terrestrial Ecosystems. </w:t>
      </w:r>
      <w:r w:rsidRPr="00A1364F">
        <w:rPr>
          <w:rFonts w:ascii="Times New Roman" w:hAnsi="Times New Roman"/>
          <w:i/>
          <w:iCs/>
          <w:noProof/>
          <w:szCs w:val="24"/>
        </w:rPr>
        <w:t>Environ. Pollut.</w:t>
      </w:r>
      <w:r w:rsidRPr="00A1364F">
        <w:rPr>
          <w:rFonts w:ascii="Times New Roman" w:hAnsi="Times New Roman"/>
          <w:noProof/>
          <w:szCs w:val="24"/>
        </w:rPr>
        <w:t xml:space="preserve"> </w:t>
      </w:r>
      <w:r w:rsidRPr="00A1364F">
        <w:rPr>
          <w:rFonts w:ascii="Times New Roman" w:hAnsi="Times New Roman"/>
          <w:b/>
          <w:bCs/>
          <w:noProof/>
          <w:szCs w:val="24"/>
        </w:rPr>
        <w:t>100,</w:t>
      </w:r>
      <w:r w:rsidRPr="00A1364F">
        <w:rPr>
          <w:rFonts w:ascii="Times New Roman" w:hAnsi="Times New Roman"/>
          <w:noProof/>
          <w:szCs w:val="24"/>
        </w:rPr>
        <w:t xml:space="preserve"> (1999).</w:t>
      </w:r>
    </w:p>
    <w:p w14:paraId="3FA32DB2"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w:t>
      </w:r>
      <w:r w:rsidRPr="00A1364F">
        <w:rPr>
          <w:rFonts w:ascii="Times New Roman" w:hAnsi="Times New Roman"/>
          <w:noProof/>
          <w:szCs w:val="24"/>
        </w:rPr>
        <w:tab/>
        <w:t xml:space="preserve">Potter, P., Ramankutty, N., Bennett, E. M. &amp; Donner, S. D. Characterizing the spatial patterns of global fertilizer application and manure production. </w:t>
      </w:r>
      <w:r w:rsidRPr="00A1364F">
        <w:rPr>
          <w:rFonts w:ascii="Times New Roman" w:hAnsi="Times New Roman"/>
          <w:i/>
          <w:iCs/>
          <w:noProof/>
          <w:szCs w:val="24"/>
        </w:rPr>
        <w:t>Earth Interact.</w:t>
      </w:r>
      <w:r w:rsidRPr="00A1364F">
        <w:rPr>
          <w:rFonts w:ascii="Times New Roman" w:hAnsi="Times New Roman"/>
          <w:noProof/>
          <w:szCs w:val="24"/>
        </w:rPr>
        <w:t xml:space="preserve"> </w:t>
      </w:r>
      <w:r w:rsidRPr="00A1364F">
        <w:rPr>
          <w:rFonts w:ascii="Times New Roman" w:hAnsi="Times New Roman"/>
          <w:b/>
          <w:bCs/>
          <w:noProof/>
          <w:szCs w:val="24"/>
        </w:rPr>
        <w:t>14,</w:t>
      </w:r>
      <w:r w:rsidRPr="00A1364F">
        <w:rPr>
          <w:rFonts w:ascii="Times New Roman" w:hAnsi="Times New Roman"/>
          <w:noProof/>
          <w:szCs w:val="24"/>
        </w:rPr>
        <w:t xml:space="preserve"> (2010).</w:t>
      </w:r>
    </w:p>
    <w:p w14:paraId="721CDD1A"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w:t>
      </w:r>
      <w:r w:rsidRPr="00A1364F">
        <w:rPr>
          <w:rFonts w:ascii="Times New Roman" w:hAnsi="Times New Roman"/>
          <w:noProof/>
          <w:szCs w:val="24"/>
        </w:rPr>
        <w:tab/>
        <w:t xml:space="preserve">Kleinman, P. J. a </w:t>
      </w:r>
      <w:r w:rsidRPr="00A1364F">
        <w:rPr>
          <w:rFonts w:ascii="Times New Roman" w:hAnsi="Times New Roman"/>
          <w:i/>
          <w:iCs/>
          <w:noProof/>
          <w:szCs w:val="24"/>
        </w:rPr>
        <w:t>et al.</w:t>
      </w:r>
      <w:r w:rsidRPr="00A1364F">
        <w:rPr>
          <w:rFonts w:ascii="Times New Roman" w:hAnsi="Times New Roman"/>
          <w:noProof/>
          <w:szCs w:val="24"/>
        </w:rPr>
        <w:t xml:space="preserve"> Managing agricultural phosphorus for water quality protection: Principles for progress. </w:t>
      </w:r>
      <w:r w:rsidRPr="00A1364F">
        <w:rPr>
          <w:rFonts w:ascii="Times New Roman" w:hAnsi="Times New Roman"/>
          <w:i/>
          <w:iCs/>
          <w:noProof/>
          <w:szCs w:val="24"/>
        </w:rPr>
        <w:t>Plant Soil</w:t>
      </w:r>
      <w:r w:rsidRPr="00A1364F">
        <w:rPr>
          <w:rFonts w:ascii="Times New Roman" w:hAnsi="Times New Roman"/>
          <w:noProof/>
          <w:szCs w:val="24"/>
        </w:rPr>
        <w:t xml:space="preserve"> </w:t>
      </w:r>
      <w:r w:rsidRPr="00A1364F">
        <w:rPr>
          <w:rFonts w:ascii="Times New Roman" w:hAnsi="Times New Roman"/>
          <w:b/>
          <w:bCs/>
          <w:noProof/>
          <w:szCs w:val="24"/>
        </w:rPr>
        <w:t>349,</w:t>
      </w:r>
      <w:r w:rsidRPr="00A1364F">
        <w:rPr>
          <w:rFonts w:ascii="Times New Roman" w:hAnsi="Times New Roman"/>
          <w:noProof/>
          <w:szCs w:val="24"/>
        </w:rPr>
        <w:t xml:space="preserve"> 169–182 (2011).</w:t>
      </w:r>
    </w:p>
    <w:p w14:paraId="585B2DAC"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8.</w:t>
      </w:r>
      <w:r w:rsidRPr="00A1364F">
        <w:rPr>
          <w:rFonts w:ascii="Times New Roman" w:hAnsi="Times New Roman"/>
          <w:noProof/>
          <w:szCs w:val="24"/>
        </w:rPr>
        <w:tab/>
        <w:t xml:space="preserve">Leip,  a </w:t>
      </w:r>
      <w:r w:rsidRPr="00A1364F">
        <w:rPr>
          <w:rFonts w:ascii="Times New Roman" w:hAnsi="Times New Roman"/>
          <w:i/>
          <w:iCs/>
          <w:noProof/>
          <w:szCs w:val="24"/>
        </w:rPr>
        <w:t>et al.</w:t>
      </w:r>
      <w:r w:rsidRPr="00A1364F">
        <w:rPr>
          <w:rFonts w:ascii="Times New Roman" w:hAnsi="Times New Roman"/>
          <w:noProof/>
          <w:szCs w:val="24"/>
        </w:rPr>
        <w:t xml:space="preserve"> Impacts of European livestock production: nitrogen, sulphur, phosphorus and greenhouse gas emissions, land-use, water eutrophication and biodiversity. </w:t>
      </w:r>
      <w:r w:rsidRPr="00A1364F">
        <w:rPr>
          <w:rFonts w:ascii="Times New Roman" w:hAnsi="Times New Roman"/>
          <w:i/>
          <w:iCs/>
          <w:noProof/>
          <w:szCs w:val="24"/>
        </w:rPr>
        <w:t>Environ. Res. Lett.</w:t>
      </w:r>
      <w:r w:rsidRPr="00A1364F">
        <w:rPr>
          <w:rFonts w:ascii="Times New Roman" w:hAnsi="Times New Roman"/>
          <w:noProof/>
          <w:szCs w:val="24"/>
        </w:rPr>
        <w:t xml:space="preserve"> </w:t>
      </w:r>
      <w:r w:rsidRPr="00A1364F">
        <w:rPr>
          <w:rFonts w:ascii="Times New Roman" w:hAnsi="Times New Roman"/>
          <w:b/>
          <w:bCs/>
          <w:noProof/>
          <w:szCs w:val="24"/>
        </w:rPr>
        <w:t>10,</w:t>
      </w:r>
      <w:r w:rsidRPr="00A1364F">
        <w:rPr>
          <w:rFonts w:ascii="Times New Roman" w:hAnsi="Times New Roman"/>
          <w:noProof/>
          <w:szCs w:val="24"/>
        </w:rPr>
        <w:t xml:space="preserve"> 115004 (2015).</w:t>
      </w:r>
    </w:p>
    <w:p w14:paraId="3CF409CF"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9.</w:t>
      </w:r>
      <w:r w:rsidRPr="00A1364F">
        <w:rPr>
          <w:rFonts w:ascii="Times New Roman" w:hAnsi="Times New Roman"/>
          <w:noProof/>
          <w:szCs w:val="24"/>
        </w:rPr>
        <w:tab/>
        <w:t xml:space="preserve">Kleinman, P. J. A. </w:t>
      </w:r>
      <w:r w:rsidRPr="00A1364F">
        <w:rPr>
          <w:rFonts w:ascii="Times New Roman" w:hAnsi="Times New Roman"/>
          <w:i/>
          <w:iCs/>
          <w:noProof/>
          <w:szCs w:val="24"/>
        </w:rPr>
        <w:t>et al.</w:t>
      </w:r>
      <w:r w:rsidRPr="00A1364F">
        <w:rPr>
          <w:rFonts w:ascii="Times New Roman" w:hAnsi="Times New Roman"/>
          <w:noProof/>
          <w:szCs w:val="24"/>
        </w:rPr>
        <w:t xml:space="preserve"> Implementing agricultural phosphorus science and management to combat eutrophication. </w:t>
      </w:r>
      <w:r w:rsidRPr="00A1364F">
        <w:rPr>
          <w:rFonts w:ascii="Times New Roman" w:hAnsi="Times New Roman"/>
          <w:i/>
          <w:iCs/>
          <w:noProof/>
          <w:szCs w:val="24"/>
        </w:rPr>
        <w:t>Ambio</w:t>
      </w:r>
      <w:r w:rsidRPr="00A1364F">
        <w:rPr>
          <w:rFonts w:ascii="Times New Roman" w:hAnsi="Times New Roman"/>
          <w:noProof/>
          <w:szCs w:val="24"/>
        </w:rPr>
        <w:t xml:space="preserve"> </w:t>
      </w:r>
      <w:r w:rsidRPr="00A1364F">
        <w:rPr>
          <w:rFonts w:ascii="Times New Roman" w:hAnsi="Times New Roman"/>
          <w:b/>
          <w:bCs/>
          <w:noProof/>
          <w:szCs w:val="24"/>
        </w:rPr>
        <w:t>44,</w:t>
      </w:r>
      <w:r w:rsidRPr="00A1364F">
        <w:rPr>
          <w:rFonts w:ascii="Times New Roman" w:hAnsi="Times New Roman"/>
          <w:noProof/>
          <w:szCs w:val="24"/>
        </w:rPr>
        <w:t xml:space="preserve"> 297–310 (2015).</w:t>
      </w:r>
    </w:p>
    <w:p w14:paraId="79291A5F"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10.</w:t>
      </w:r>
      <w:r w:rsidRPr="00A1364F">
        <w:rPr>
          <w:rFonts w:ascii="Times New Roman" w:hAnsi="Times New Roman"/>
          <w:noProof/>
          <w:szCs w:val="24"/>
        </w:rPr>
        <w:tab/>
        <w:t xml:space="preserve">Diaz, R. J. &amp; Rosenberg, R. Spreading dead zones and consequences for marine ecosystems. </w:t>
      </w:r>
      <w:r w:rsidRPr="00A1364F">
        <w:rPr>
          <w:rFonts w:ascii="Times New Roman" w:hAnsi="Times New Roman"/>
          <w:i/>
          <w:iCs/>
          <w:noProof/>
          <w:szCs w:val="24"/>
        </w:rPr>
        <w:t>Science (80-. ).</w:t>
      </w:r>
      <w:r w:rsidRPr="00A1364F">
        <w:rPr>
          <w:rFonts w:ascii="Times New Roman" w:hAnsi="Times New Roman"/>
          <w:noProof/>
          <w:szCs w:val="24"/>
        </w:rPr>
        <w:t xml:space="preserve"> </w:t>
      </w:r>
      <w:r w:rsidRPr="00A1364F">
        <w:rPr>
          <w:rFonts w:ascii="Times New Roman" w:hAnsi="Times New Roman"/>
          <w:b/>
          <w:bCs/>
          <w:noProof/>
          <w:szCs w:val="24"/>
        </w:rPr>
        <w:t>321,</w:t>
      </w:r>
      <w:r w:rsidRPr="00A1364F">
        <w:rPr>
          <w:rFonts w:ascii="Times New Roman" w:hAnsi="Times New Roman"/>
          <w:noProof/>
          <w:szCs w:val="24"/>
        </w:rPr>
        <w:t xml:space="preserve"> 926–929 (2008).</w:t>
      </w:r>
    </w:p>
    <w:p w14:paraId="38E595FD"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11.</w:t>
      </w:r>
      <w:r w:rsidRPr="00A1364F">
        <w:rPr>
          <w:rFonts w:ascii="Times New Roman" w:hAnsi="Times New Roman"/>
          <w:noProof/>
          <w:szCs w:val="24"/>
        </w:rPr>
        <w:tab/>
        <w:t xml:space="preserve">Steffen, W. </w:t>
      </w:r>
      <w:r w:rsidRPr="00A1364F">
        <w:rPr>
          <w:rFonts w:ascii="Times New Roman" w:hAnsi="Times New Roman"/>
          <w:i/>
          <w:iCs/>
          <w:noProof/>
          <w:szCs w:val="24"/>
        </w:rPr>
        <w:t>et al.</w:t>
      </w:r>
      <w:r w:rsidRPr="00A1364F">
        <w:rPr>
          <w:rFonts w:ascii="Times New Roman" w:hAnsi="Times New Roman"/>
          <w:noProof/>
          <w:szCs w:val="24"/>
        </w:rPr>
        <w:t xml:space="preserve"> Planetary boundaries: Guiding human development on a changing planet. </w:t>
      </w:r>
      <w:r w:rsidRPr="00A1364F">
        <w:rPr>
          <w:rFonts w:ascii="Times New Roman" w:hAnsi="Times New Roman"/>
          <w:i/>
          <w:iCs/>
          <w:noProof/>
          <w:szCs w:val="24"/>
        </w:rPr>
        <w:t>Science (80-. ).</w:t>
      </w:r>
      <w:r w:rsidRPr="00A1364F">
        <w:rPr>
          <w:rFonts w:ascii="Times New Roman" w:hAnsi="Times New Roman"/>
          <w:noProof/>
          <w:szCs w:val="24"/>
        </w:rPr>
        <w:t xml:space="preserve"> </w:t>
      </w:r>
      <w:r w:rsidRPr="00A1364F">
        <w:rPr>
          <w:rFonts w:ascii="Times New Roman" w:hAnsi="Times New Roman"/>
          <w:b/>
          <w:bCs/>
          <w:noProof/>
          <w:szCs w:val="24"/>
        </w:rPr>
        <w:t>347,</w:t>
      </w:r>
      <w:r w:rsidRPr="00A1364F">
        <w:rPr>
          <w:rFonts w:ascii="Times New Roman" w:hAnsi="Times New Roman"/>
          <w:noProof/>
          <w:szCs w:val="24"/>
        </w:rPr>
        <w:t xml:space="preserve"> 1259855–1259855 (2015).</w:t>
      </w:r>
    </w:p>
    <w:p w14:paraId="5AB7DEE7"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12.</w:t>
      </w:r>
      <w:r w:rsidRPr="00A1364F">
        <w:rPr>
          <w:rFonts w:ascii="Times New Roman" w:hAnsi="Times New Roman"/>
          <w:noProof/>
          <w:szCs w:val="24"/>
        </w:rPr>
        <w:tab/>
        <w:t xml:space="preserve">Lassaletta, L. </w:t>
      </w:r>
      <w:r w:rsidRPr="00A1364F">
        <w:rPr>
          <w:rFonts w:ascii="Times New Roman" w:hAnsi="Times New Roman"/>
          <w:i/>
          <w:iCs/>
          <w:noProof/>
          <w:szCs w:val="24"/>
        </w:rPr>
        <w:t>et al.</w:t>
      </w:r>
      <w:r w:rsidRPr="00A1364F">
        <w:rPr>
          <w:rFonts w:ascii="Times New Roman" w:hAnsi="Times New Roman"/>
          <w:noProof/>
          <w:szCs w:val="24"/>
        </w:rPr>
        <w:t xml:space="preserve"> Food and feed trade as a driver in the global nitrogen cycle: 50-year trends. </w:t>
      </w:r>
      <w:r w:rsidRPr="00A1364F">
        <w:rPr>
          <w:rFonts w:ascii="Times New Roman" w:hAnsi="Times New Roman"/>
          <w:i/>
          <w:iCs/>
          <w:noProof/>
          <w:szCs w:val="24"/>
        </w:rPr>
        <w:t>Biogeochemistry</w:t>
      </w:r>
      <w:r w:rsidRPr="00A1364F">
        <w:rPr>
          <w:rFonts w:ascii="Times New Roman" w:hAnsi="Times New Roman"/>
          <w:noProof/>
          <w:szCs w:val="24"/>
        </w:rPr>
        <w:t xml:space="preserve"> </w:t>
      </w:r>
      <w:r w:rsidRPr="00A1364F">
        <w:rPr>
          <w:rFonts w:ascii="Times New Roman" w:hAnsi="Times New Roman"/>
          <w:b/>
          <w:bCs/>
          <w:noProof/>
          <w:szCs w:val="24"/>
        </w:rPr>
        <w:t>118,</w:t>
      </w:r>
      <w:r w:rsidRPr="00A1364F">
        <w:rPr>
          <w:rFonts w:ascii="Times New Roman" w:hAnsi="Times New Roman"/>
          <w:noProof/>
          <w:szCs w:val="24"/>
        </w:rPr>
        <w:t xml:space="preserve"> 225–241 (2014).</w:t>
      </w:r>
    </w:p>
    <w:p w14:paraId="5AEF3582"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13.</w:t>
      </w:r>
      <w:r w:rsidRPr="00A1364F">
        <w:rPr>
          <w:rFonts w:ascii="Times New Roman" w:hAnsi="Times New Roman"/>
          <w:noProof/>
          <w:szCs w:val="24"/>
        </w:rPr>
        <w:tab/>
        <w:t xml:space="preserve">Schipanski, M. E. &amp; Bennett, E. M. The Influence of Agricultural Trade and Livestock Production on the Global Phosphorus Cycle. </w:t>
      </w:r>
      <w:r w:rsidRPr="00A1364F">
        <w:rPr>
          <w:rFonts w:ascii="Times New Roman" w:hAnsi="Times New Roman"/>
          <w:i/>
          <w:iCs/>
          <w:noProof/>
          <w:szCs w:val="24"/>
        </w:rPr>
        <w:t>Ecosystems</w:t>
      </w:r>
      <w:r w:rsidRPr="00A1364F">
        <w:rPr>
          <w:rFonts w:ascii="Times New Roman" w:hAnsi="Times New Roman"/>
          <w:noProof/>
          <w:szCs w:val="24"/>
        </w:rPr>
        <w:t xml:space="preserve"> </w:t>
      </w:r>
      <w:r w:rsidRPr="00A1364F">
        <w:rPr>
          <w:rFonts w:ascii="Times New Roman" w:hAnsi="Times New Roman"/>
          <w:b/>
          <w:bCs/>
          <w:noProof/>
          <w:szCs w:val="24"/>
        </w:rPr>
        <w:t>15,</w:t>
      </w:r>
      <w:r w:rsidRPr="00A1364F">
        <w:rPr>
          <w:rFonts w:ascii="Times New Roman" w:hAnsi="Times New Roman"/>
          <w:noProof/>
          <w:szCs w:val="24"/>
        </w:rPr>
        <w:t xml:space="preserve"> 256–268 (2012).</w:t>
      </w:r>
    </w:p>
    <w:p w14:paraId="25E4A427"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14.</w:t>
      </w:r>
      <w:r w:rsidRPr="00A1364F">
        <w:rPr>
          <w:rFonts w:ascii="Times New Roman" w:hAnsi="Times New Roman"/>
          <w:noProof/>
          <w:szCs w:val="24"/>
        </w:rPr>
        <w:tab/>
        <w:t xml:space="preserve">Scherer, L. &amp; Pfister, S. Global Biodiversity Loss by Freshwater Consumption and Eutrophication from Swiss Food Consumption. </w:t>
      </w:r>
      <w:r w:rsidRPr="00A1364F">
        <w:rPr>
          <w:rFonts w:ascii="Times New Roman" w:hAnsi="Times New Roman"/>
          <w:i/>
          <w:iCs/>
          <w:noProof/>
          <w:szCs w:val="24"/>
        </w:rPr>
        <w:t>Environ. Sci. Technol.</w:t>
      </w:r>
      <w:r w:rsidRPr="00A1364F">
        <w:rPr>
          <w:rFonts w:ascii="Times New Roman" w:hAnsi="Times New Roman"/>
          <w:noProof/>
          <w:szCs w:val="24"/>
        </w:rPr>
        <w:t xml:space="preserve"> </w:t>
      </w:r>
      <w:r w:rsidRPr="00A1364F">
        <w:rPr>
          <w:rFonts w:ascii="Times New Roman" w:hAnsi="Times New Roman"/>
          <w:b/>
          <w:bCs/>
          <w:noProof/>
          <w:szCs w:val="24"/>
        </w:rPr>
        <w:t>50,</w:t>
      </w:r>
      <w:r w:rsidRPr="00A1364F">
        <w:rPr>
          <w:rFonts w:ascii="Times New Roman" w:hAnsi="Times New Roman"/>
          <w:noProof/>
          <w:szCs w:val="24"/>
        </w:rPr>
        <w:t xml:space="preserve"> 7019–7028 (2016).</w:t>
      </w:r>
    </w:p>
    <w:p w14:paraId="4F7A4389"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15.</w:t>
      </w:r>
      <w:r w:rsidRPr="00A1364F">
        <w:rPr>
          <w:rFonts w:ascii="Times New Roman" w:hAnsi="Times New Roman"/>
          <w:noProof/>
          <w:szCs w:val="24"/>
        </w:rPr>
        <w:tab/>
        <w:t xml:space="preserve">Schmitz, C. </w:t>
      </w:r>
      <w:r w:rsidRPr="00A1364F">
        <w:rPr>
          <w:rFonts w:ascii="Times New Roman" w:hAnsi="Times New Roman"/>
          <w:i/>
          <w:iCs/>
          <w:noProof/>
          <w:szCs w:val="24"/>
        </w:rPr>
        <w:t>et al.</w:t>
      </w:r>
      <w:r w:rsidRPr="00A1364F">
        <w:rPr>
          <w:rFonts w:ascii="Times New Roman" w:hAnsi="Times New Roman"/>
          <w:noProof/>
          <w:szCs w:val="24"/>
        </w:rPr>
        <w:t xml:space="preserve"> Trading more food: Implications for land use, greenhouse gas emissions, and the food system. </w:t>
      </w:r>
      <w:r w:rsidRPr="00A1364F">
        <w:rPr>
          <w:rFonts w:ascii="Times New Roman" w:hAnsi="Times New Roman"/>
          <w:i/>
          <w:iCs/>
          <w:noProof/>
          <w:szCs w:val="24"/>
        </w:rPr>
        <w:t>Glob. Environ. Chang.</w:t>
      </w:r>
      <w:r w:rsidRPr="00A1364F">
        <w:rPr>
          <w:rFonts w:ascii="Times New Roman" w:hAnsi="Times New Roman"/>
          <w:noProof/>
          <w:szCs w:val="24"/>
        </w:rPr>
        <w:t xml:space="preserve"> </w:t>
      </w:r>
      <w:r w:rsidRPr="00A1364F">
        <w:rPr>
          <w:rFonts w:ascii="Times New Roman" w:hAnsi="Times New Roman"/>
          <w:b/>
          <w:bCs/>
          <w:noProof/>
          <w:szCs w:val="24"/>
        </w:rPr>
        <w:t>22,</w:t>
      </w:r>
      <w:r w:rsidRPr="00A1364F">
        <w:rPr>
          <w:rFonts w:ascii="Times New Roman" w:hAnsi="Times New Roman"/>
          <w:noProof/>
          <w:szCs w:val="24"/>
        </w:rPr>
        <w:t xml:space="preserve"> 189–209 (2012).</w:t>
      </w:r>
    </w:p>
    <w:p w14:paraId="207DB0AB"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16.</w:t>
      </w:r>
      <w:r w:rsidRPr="00A1364F">
        <w:rPr>
          <w:rFonts w:ascii="Times New Roman" w:hAnsi="Times New Roman"/>
          <w:noProof/>
          <w:szCs w:val="24"/>
        </w:rPr>
        <w:tab/>
        <w:t xml:space="preserve">Xue, X. &amp; Landis, A. E. Eutrophication potential of food consumption patterns. </w:t>
      </w:r>
      <w:r w:rsidRPr="00A1364F">
        <w:rPr>
          <w:rFonts w:ascii="Times New Roman" w:hAnsi="Times New Roman"/>
          <w:i/>
          <w:iCs/>
          <w:noProof/>
          <w:szCs w:val="24"/>
        </w:rPr>
        <w:t>Environ. Sci. Technol.</w:t>
      </w:r>
      <w:r w:rsidRPr="00A1364F">
        <w:rPr>
          <w:rFonts w:ascii="Times New Roman" w:hAnsi="Times New Roman"/>
          <w:noProof/>
          <w:szCs w:val="24"/>
        </w:rPr>
        <w:t xml:space="preserve"> </w:t>
      </w:r>
      <w:r w:rsidRPr="00A1364F">
        <w:rPr>
          <w:rFonts w:ascii="Times New Roman" w:hAnsi="Times New Roman"/>
          <w:b/>
          <w:bCs/>
          <w:noProof/>
          <w:szCs w:val="24"/>
        </w:rPr>
        <w:t>44,</w:t>
      </w:r>
      <w:r w:rsidRPr="00A1364F">
        <w:rPr>
          <w:rFonts w:ascii="Times New Roman" w:hAnsi="Times New Roman"/>
          <w:noProof/>
          <w:szCs w:val="24"/>
        </w:rPr>
        <w:t xml:space="preserve"> 6450–6456 (2010).</w:t>
      </w:r>
    </w:p>
    <w:p w14:paraId="10EF580E"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FE395B">
        <w:rPr>
          <w:rFonts w:ascii="Times New Roman" w:hAnsi="Times New Roman"/>
          <w:noProof/>
          <w:szCs w:val="24"/>
        </w:rPr>
        <w:t>17.</w:t>
      </w:r>
      <w:r w:rsidRPr="00FE395B">
        <w:rPr>
          <w:rFonts w:ascii="Times New Roman" w:hAnsi="Times New Roman"/>
          <w:noProof/>
          <w:szCs w:val="24"/>
        </w:rPr>
        <w:tab/>
        <w:t xml:space="preserve">MacDonald, G. K. </w:t>
      </w:r>
      <w:r w:rsidRPr="00FE395B">
        <w:rPr>
          <w:rFonts w:ascii="Times New Roman" w:hAnsi="Times New Roman"/>
          <w:i/>
          <w:iCs/>
          <w:noProof/>
          <w:szCs w:val="24"/>
        </w:rPr>
        <w:t>et al.</w:t>
      </w:r>
      <w:r w:rsidRPr="00FE395B">
        <w:rPr>
          <w:rFonts w:ascii="Times New Roman" w:hAnsi="Times New Roman"/>
          <w:noProof/>
          <w:szCs w:val="24"/>
        </w:rPr>
        <w:t xml:space="preserve"> </w:t>
      </w:r>
      <w:r w:rsidRPr="00A1364F">
        <w:rPr>
          <w:rFonts w:ascii="Times New Roman" w:hAnsi="Times New Roman"/>
          <w:noProof/>
          <w:szCs w:val="24"/>
        </w:rPr>
        <w:t xml:space="preserve">Rethinking agricultural trade relationships in an era of globalization. </w:t>
      </w:r>
      <w:r w:rsidRPr="00A1364F">
        <w:rPr>
          <w:rFonts w:ascii="Times New Roman" w:hAnsi="Times New Roman"/>
          <w:i/>
          <w:iCs/>
          <w:noProof/>
          <w:szCs w:val="24"/>
        </w:rPr>
        <w:t>Bioscience</w:t>
      </w:r>
      <w:r w:rsidRPr="00A1364F">
        <w:rPr>
          <w:rFonts w:ascii="Times New Roman" w:hAnsi="Times New Roman"/>
          <w:noProof/>
          <w:szCs w:val="24"/>
        </w:rPr>
        <w:t xml:space="preserve"> </w:t>
      </w:r>
      <w:r w:rsidRPr="00A1364F">
        <w:rPr>
          <w:rFonts w:ascii="Times New Roman" w:hAnsi="Times New Roman"/>
          <w:b/>
          <w:bCs/>
          <w:noProof/>
          <w:szCs w:val="24"/>
        </w:rPr>
        <w:t>65,</w:t>
      </w:r>
      <w:r w:rsidRPr="00A1364F">
        <w:rPr>
          <w:rFonts w:ascii="Times New Roman" w:hAnsi="Times New Roman"/>
          <w:noProof/>
          <w:szCs w:val="24"/>
        </w:rPr>
        <w:t xml:space="preserve"> 275–289 (2015).</w:t>
      </w:r>
    </w:p>
    <w:p w14:paraId="4911D2F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18.</w:t>
      </w:r>
      <w:r w:rsidRPr="00A1364F">
        <w:rPr>
          <w:rFonts w:ascii="Times New Roman" w:hAnsi="Times New Roman"/>
          <w:noProof/>
          <w:szCs w:val="24"/>
        </w:rPr>
        <w:tab/>
        <w:t xml:space="preserve">MacDonald, G. K., Bennett, E. M. &amp; Carpenter, S. R. Embodied phosphorus and the global connections of United States agriculture. </w:t>
      </w:r>
      <w:r w:rsidRPr="00A1364F">
        <w:rPr>
          <w:rFonts w:ascii="Times New Roman" w:hAnsi="Times New Roman"/>
          <w:i/>
          <w:iCs/>
          <w:noProof/>
          <w:szCs w:val="24"/>
        </w:rPr>
        <w:t>Environ. Res. Lett.</w:t>
      </w:r>
      <w:r w:rsidRPr="00A1364F">
        <w:rPr>
          <w:rFonts w:ascii="Times New Roman" w:hAnsi="Times New Roman"/>
          <w:noProof/>
          <w:szCs w:val="24"/>
        </w:rPr>
        <w:t xml:space="preserve"> </w:t>
      </w:r>
      <w:r w:rsidRPr="00A1364F">
        <w:rPr>
          <w:rFonts w:ascii="Times New Roman" w:hAnsi="Times New Roman"/>
          <w:b/>
          <w:bCs/>
          <w:noProof/>
          <w:szCs w:val="24"/>
        </w:rPr>
        <w:t>7,</w:t>
      </w:r>
      <w:r w:rsidRPr="00A1364F">
        <w:rPr>
          <w:rFonts w:ascii="Times New Roman" w:hAnsi="Times New Roman"/>
          <w:noProof/>
          <w:szCs w:val="24"/>
        </w:rPr>
        <w:t xml:space="preserve"> 44024 (2012).</w:t>
      </w:r>
    </w:p>
    <w:p w14:paraId="4BD68127"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lastRenderedPageBreak/>
        <w:t>19.</w:t>
      </w:r>
      <w:r w:rsidRPr="00A1364F">
        <w:rPr>
          <w:rFonts w:ascii="Times New Roman" w:hAnsi="Times New Roman"/>
          <w:noProof/>
          <w:szCs w:val="24"/>
        </w:rPr>
        <w:tab/>
        <w:t xml:space="preserve">Boyer, E. W., Goodale, C. L., Jaworski, N. A. &amp; Howarth, R. W. Anthropogenic nitrogen sources and relationships to riverine nitrogen export in the northeastern U.S.A. </w:t>
      </w:r>
      <w:r w:rsidRPr="00A1364F">
        <w:rPr>
          <w:rFonts w:ascii="Times New Roman" w:hAnsi="Times New Roman"/>
          <w:i/>
          <w:iCs/>
          <w:noProof/>
          <w:szCs w:val="24"/>
        </w:rPr>
        <w:t>Biogeochemistry</w:t>
      </w:r>
      <w:r w:rsidRPr="00A1364F">
        <w:rPr>
          <w:rFonts w:ascii="Times New Roman" w:hAnsi="Times New Roman"/>
          <w:noProof/>
          <w:szCs w:val="24"/>
        </w:rPr>
        <w:t xml:space="preserve"> </w:t>
      </w:r>
      <w:r w:rsidRPr="00A1364F">
        <w:rPr>
          <w:rFonts w:ascii="Times New Roman" w:hAnsi="Times New Roman"/>
          <w:b/>
          <w:bCs/>
          <w:noProof/>
          <w:szCs w:val="24"/>
        </w:rPr>
        <w:t>57/58,</w:t>
      </w:r>
      <w:r w:rsidRPr="00A1364F">
        <w:rPr>
          <w:rFonts w:ascii="Times New Roman" w:hAnsi="Times New Roman"/>
          <w:noProof/>
          <w:szCs w:val="24"/>
        </w:rPr>
        <w:t xml:space="preserve"> 137–169 (2002).</w:t>
      </w:r>
    </w:p>
    <w:p w14:paraId="7F259CF1"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20.</w:t>
      </w:r>
      <w:r w:rsidRPr="00A1364F">
        <w:rPr>
          <w:rFonts w:ascii="Times New Roman" w:hAnsi="Times New Roman"/>
          <w:noProof/>
          <w:szCs w:val="24"/>
        </w:rPr>
        <w:tab/>
        <w:t xml:space="preserve">Mekonnen, M. M., Lutter, S. &amp; Martinez, A. Anthropogenic nitrogen and phosphorus emissions and related grey water footprints caused by EU-27’s crop production and consumption. </w:t>
      </w:r>
      <w:r w:rsidRPr="00A1364F">
        <w:rPr>
          <w:rFonts w:ascii="Times New Roman" w:hAnsi="Times New Roman"/>
          <w:i/>
          <w:iCs/>
          <w:noProof/>
          <w:szCs w:val="24"/>
        </w:rPr>
        <w:t>Water</w:t>
      </w:r>
      <w:r w:rsidRPr="00A1364F">
        <w:rPr>
          <w:rFonts w:ascii="Times New Roman" w:hAnsi="Times New Roman"/>
          <w:noProof/>
          <w:szCs w:val="24"/>
        </w:rPr>
        <w:t xml:space="preserve"> </w:t>
      </w:r>
      <w:r w:rsidRPr="00A1364F">
        <w:rPr>
          <w:rFonts w:ascii="Times New Roman" w:hAnsi="Times New Roman"/>
          <w:b/>
          <w:bCs/>
          <w:noProof/>
          <w:szCs w:val="24"/>
        </w:rPr>
        <w:t>8,</w:t>
      </w:r>
      <w:r w:rsidRPr="00A1364F">
        <w:rPr>
          <w:rFonts w:ascii="Times New Roman" w:hAnsi="Times New Roman"/>
          <w:noProof/>
          <w:szCs w:val="24"/>
        </w:rPr>
        <w:t xml:space="preserve"> 1–14 (2016).</w:t>
      </w:r>
    </w:p>
    <w:p w14:paraId="6102B958"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21.</w:t>
      </w:r>
      <w:r w:rsidRPr="00A1364F">
        <w:rPr>
          <w:rFonts w:ascii="Times New Roman" w:hAnsi="Times New Roman"/>
          <w:noProof/>
          <w:szCs w:val="24"/>
        </w:rPr>
        <w:tab/>
        <w:t xml:space="preserve">Oita, A. </w:t>
      </w:r>
      <w:r w:rsidRPr="00A1364F">
        <w:rPr>
          <w:rFonts w:ascii="Times New Roman" w:hAnsi="Times New Roman"/>
          <w:i/>
          <w:iCs/>
          <w:noProof/>
          <w:szCs w:val="24"/>
        </w:rPr>
        <w:t>et al.</w:t>
      </w:r>
      <w:r w:rsidRPr="00A1364F">
        <w:rPr>
          <w:rFonts w:ascii="Times New Roman" w:hAnsi="Times New Roman"/>
          <w:noProof/>
          <w:szCs w:val="24"/>
        </w:rPr>
        <w:t xml:space="preserve"> Substantial nitrogen pollution embedded in international trade. </w:t>
      </w:r>
      <w:r w:rsidRPr="00A1364F">
        <w:rPr>
          <w:rFonts w:ascii="Times New Roman" w:hAnsi="Times New Roman"/>
          <w:i/>
          <w:iCs/>
          <w:noProof/>
          <w:szCs w:val="24"/>
        </w:rPr>
        <w:t>Nat. Geosci.</w:t>
      </w:r>
      <w:r w:rsidRPr="00A1364F">
        <w:rPr>
          <w:rFonts w:ascii="Times New Roman" w:hAnsi="Times New Roman"/>
          <w:noProof/>
          <w:szCs w:val="24"/>
        </w:rPr>
        <w:t xml:space="preserve"> </w:t>
      </w:r>
      <w:r w:rsidRPr="00A1364F">
        <w:rPr>
          <w:rFonts w:ascii="Times New Roman" w:hAnsi="Times New Roman"/>
          <w:b/>
          <w:bCs/>
          <w:noProof/>
          <w:szCs w:val="24"/>
        </w:rPr>
        <w:t>9,</w:t>
      </w:r>
      <w:r w:rsidRPr="00A1364F">
        <w:rPr>
          <w:rFonts w:ascii="Times New Roman" w:hAnsi="Times New Roman"/>
          <w:noProof/>
          <w:szCs w:val="24"/>
        </w:rPr>
        <w:t xml:space="preserve"> 111–115 (2016).</w:t>
      </w:r>
    </w:p>
    <w:p w14:paraId="408D3F1C"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22.</w:t>
      </w:r>
      <w:r w:rsidRPr="00A1364F">
        <w:rPr>
          <w:rFonts w:ascii="Times New Roman" w:hAnsi="Times New Roman"/>
          <w:noProof/>
          <w:szCs w:val="24"/>
        </w:rPr>
        <w:tab/>
        <w:t xml:space="preserve">Hertwich, E. G. The Life Cycle Environmental Impacts of Consumption. </w:t>
      </w:r>
      <w:r w:rsidRPr="00A1364F">
        <w:rPr>
          <w:rFonts w:ascii="Times New Roman" w:hAnsi="Times New Roman"/>
          <w:i/>
          <w:iCs/>
          <w:noProof/>
          <w:szCs w:val="24"/>
        </w:rPr>
        <w:t>Econ. Syst. Res.</w:t>
      </w:r>
      <w:r w:rsidRPr="00A1364F">
        <w:rPr>
          <w:rFonts w:ascii="Times New Roman" w:hAnsi="Times New Roman"/>
          <w:noProof/>
          <w:szCs w:val="24"/>
        </w:rPr>
        <w:t xml:space="preserve"> </w:t>
      </w:r>
      <w:r w:rsidRPr="00A1364F">
        <w:rPr>
          <w:rFonts w:ascii="Times New Roman" w:hAnsi="Times New Roman"/>
          <w:b/>
          <w:bCs/>
          <w:noProof/>
          <w:szCs w:val="24"/>
        </w:rPr>
        <w:t>23,</w:t>
      </w:r>
      <w:r w:rsidRPr="00A1364F">
        <w:rPr>
          <w:rFonts w:ascii="Times New Roman" w:hAnsi="Times New Roman"/>
          <w:noProof/>
          <w:szCs w:val="24"/>
        </w:rPr>
        <w:t xml:space="preserve"> 27–47 (2011).</w:t>
      </w:r>
    </w:p>
    <w:p w14:paraId="05BADC5C"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23.</w:t>
      </w:r>
      <w:r w:rsidRPr="00A1364F">
        <w:rPr>
          <w:rFonts w:ascii="Times New Roman" w:hAnsi="Times New Roman"/>
          <w:noProof/>
          <w:szCs w:val="24"/>
        </w:rPr>
        <w:tab/>
        <w:t xml:space="preserve">Ivanova, D. </w:t>
      </w:r>
      <w:r w:rsidRPr="00A1364F">
        <w:rPr>
          <w:rFonts w:ascii="Times New Roman" w:hAnsi="Times New Roman"/>
          <w:i/>
          <w:iCs/>
          <w:noProof/>
          <w:szCs w:val="24"/>
        </w:rPr>
        <w:t>et al.</w:t>
      </w:r>
      <w:r w:rsidRPr="00A1364F">
        <w:rPr>
          <w:rFonts w:ascii="Times New Roman" w:hAnsi="Times New Roman"/>
          <w:noProof/>
          <w:szCs w:val="24"/>
        </w:rPr>
        <w:t xml:space="preserve"> Environmental Impact Assessment of Household Consumption. </w:t>
      </w:r>
      <w:r w:rsidRPr="00A1364F">
        <w:rPr>
          <w:rFonts w:ascii="Times New Roman" w:hAnsi="Times New Roman"/>
          <w:i/>
          <w:iCs/>
          <w:noProof/>
          <w:szCs w:val="24"/>
        </w:rPr>
        <w:t>J. Ind. Ecol.</w:t>
      </w:r>
      <w:r w:rsidRPr="00A1364F">
        <w:rPr>
          <w:rFonts w:ascii="Times New Roman" w:hAnsi="Times New Roman"/>
          <w:noProof/>
          <w:szCs w:val="24"/>
        </w:rPr>
        <w:t xml:space="preserve"> </w:t>
      </w:r>
      <w:r w:rsidRPr="00A1364F">
        <w:rPr>
          <w:rFonts w:ascii="Times New Roman" w:hAnsi="Times New Roman"/>
          <w:b/>
          <w:bCs/>
          <w:noProof/>
          <w:szCs w:val="24"/>
        </w:rPr>
        <w:t>20,</w:t>
      </w:r>
      <w:r w:rsidRPr="00A1364F">
        <w:rPr>
          <w:rFonts w:ascii="Times New Roman" w:hAnsi="Times New Roman"/>
          <w:noProof/>
          <w:szCs w:val="24"/>
        </w:rPr>
        <w:t xml:space="preserve"> 526–536 (2016).</w:t>
      </w:r>
    </w:p>
    <w:p w14:paraId="6CA457F6"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24.</w:t>
      </w:r>
      <w:r w:rsidRPr="00A1364F">
        <w:rPr>
          <w:rFonts w:ascii="Times New Roman" w:hAnsi="Times New Roman"/>
          <w:noProof/>
          <w:szCs w:val="24"/>
        </w:rPr>
        <w:tab/>
        <w:t xml:space="preserve">Hertwich, E. &amp; Peters, G. Carbon footprint of nations: A global, trade-linked analysis. </w:t>
      </w:r>
      <w:r w:rsidRPr="00A1364F">
        <w:rPr>
          <w:rFonts w:ascii="Times New Roman" w:hAnsi="Times New Roman"/>
          <w:i/>
          <w:iCs/>
          <w:noProof/>
          <w:szCs w:val="24"/>
        </w:rPr>
        <w:t>Environ. Sci. Technol.</w:t>
      </w:r>
      <w:r w:rsidRPr="00A1364F">
        <w:rPr>
          <w:rFonts w:ascii="Times New Roman" w:hAnsi="Times New Roman"/>
          <w:noProof/>
          <w:szCs w:val="24"/>
        </w:rPr>
        <w:t xml:space="preserve"> </w:t>
      </w:r>
      <w:r w:rsidRPr="00A1364F">
        <w:rPr>
          <w:rFonts w:ascii="Times New Roman" w:hAnsi="Times New Roman"/>
          <w:b/>
          <w:bCs/>
          <w:noProof/>
          <w:szCs w:val="24"/>
        </w:rPr>
        <w:t>43,</w:t>
      </w:r>
      <w:r w:rsidRPr="00A1364F">
        <w:rPr>
          <w:rFonts w:ascii="Times New Roman" w:hAnsi="Times New Roman"/>
          <w:noProof/>
          <w:szCs w:val="24"/>
        </w:rPr>
        <w:t xml:space="preserve"> 6414–6420 (2009).</w:t>
      </w:r>
    </w:p>
    <w:p w14:paraId="77CF6E7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25.</w:t>
      </w:r>
      <w:r w:rsidRPr="00A1364F">
        <w:rPr>
          <w:rFonts w:ascii="Times New Roman" w:hAnsi="Times New Roman"/>
          <w:noProof/>
          <w:szCs w:val="24"/>
        </w:rPr>
        <w:tab/>
        <w:t xml:space="preserve">He, Q. </w:t>
      </w:r>
      <w:r w:rsidRPr="00A1364F">
        <w:rPr>
          <w:rFonts w:ascii="Times New Roman" w:hAnsi="Times New Roman"/>
          <w:i/>
          <w:iCs/>
          <w:noProof/>
          <w:szCs w:val="24"/>
        </w:rPr>
        <w:t>et al.</w:t>
      </w:r>
      <w:r w:rsidRPr="00A1364F">
        <w:rPr>
          <w:rFonts w:ascii="Times New Roman" w:hAnsi="Times New Roman"/>
          <w:noProof/>
          <w:szCs w:val="24"/>
        </w:rPr>
        <w:t xml:space="preserve"> Economic development and coastal ecosystem change in China. </w:t>
      </w:r>
      <w:r w:rsidRPr="00A1364F">
        <w:rPr>
          <w:rFonts w:ascii="Times New Roman" w:hAnsi="Times New Roman"/>
          <w:i/>
          <w:iCs/>
          <w:noProof/>
          <w:szCs w:val="24"/>
        </w:rPr>
        <w:t>Sci. Rep.</w:t>
      </w:r>
      <w:r w:rsidRPr="00A1364F">
        <w:rPr>
          <w:rFonts w:ascii="Times New Roman" w:hAnsi="Times New Roman"/>
          <w:noProof/>
          <w:szCs w:val="24"/>
        </w:rPr>
        <w:t xml:space="preserve"> </w:t>
      </w:r>
      <w:r w:rsidRPr="00A1364F">
        <w:rPr>
          <w:rFonts w:ascii="Times New Roman" w:hAnsi="Times New Roman"/>
          <w:b/>
          <w:bCs/>
          <w:noProof/>
          <w:szCs w:val="24"/>
        </w:rPr>
        <w:t>4,</w:t>
      </w:r>
      <w:r w:rsidRPr="00A1364F">
        <w:rPr>
          <w:rFonts w:ascii="Times New Roman" w:hAnsi="Times New Roman"/>
          <w:noProof/>
          <w:szCs w:val="24"/>
        </w:rPr>
        <w:t xml:space="preserve"> 1–9 (2014).</w:t>
      </w:r>
    </w:p>
    <w:p w14:paraId="6BCD3C2B"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26.</w:t>
      </w:r>
      <w:r w:rsidRPr="00A1364F">
        <w:rPr>
          <w:rFonts w:ascii="Times New Roman" w:hAnsi="Times New Roman"/>
          <w:noProof/>
          <w:szCs w:val="24"/>
        </w:rPr>
        <w:tab/>
        <w:t xml:space="preserve">Steen-Olsen, K., Weinzettel, J., Cranston, G., Ercin, A. E. &amp; Hertwich, E. G. Carbon, land, and water footprint accounts for the european union: Consumption, production, and displacements through international trade. </w:t>
      </w:r>
      <w:r w:rsidRPr="00A1364F">
        <w:rPr>
          <w:rFonts w:ascii="Times New Roman" w:hAnsi="Times New Roman"/>
          <w:i/>
          <w:iCs/>
          <w:noProof/>
          <w:szCs w:val="24"/>
        </w:rPr>
        <w:t>Environ. Sci. Technol.</w:t>
      </w:r>
      <w:r w:rsidRPr="00A1364F">
        <w:rPr>
          <w:rFonts w:ascii="Times New Roman" w:hAnsi="Times New Roman"/>
          <w:noProof/>
          <w:szCs w:val="24"/>
        </w:rPr>
        <w:t xml:space="preserve"> </w:t>
      </w:r>
      <w:r w:rsidRPr="00A1364F">
        <w:rPr>
          <w:rFonts w:ascii="Times New Roman" w:hAnsi="Times New Roman"/>
          <w:b/>
          <w:bCs/>
          <w:noProof/>
          <w:szCs w:val="24"/>
        </w:rPr>
        <w:t>46,</w:t>
      </w:r>
      <w:r w:rsidRPr="00A1364F">
        <w:rPr>
          <w:rFonts w:ascii="Times New Roman" w:hAnsi="Times New Roman"/>
          <w:noProof/>
          <w:szCs w:val="24"/>
        </w:rPr>
        <w:t xml:space="preserve"> 10883–10891 (2012).</w:t>
      </w:r>
    </w:p>
    <w:p w14:paraId="3B8A2A58"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27.</w:t>
      </w:r>
      <w:r w:rsidRPr="00A1364F">
        <w:rPr>
          <w:rFonts w:ascii="Times New Roman" w:hAnsi="Times New Roman"/>
          <w:noProof/>
          <w:szCs w:val="24"/>
        </w:rPr>
        <w:tab/>
        <w:t xml:space="preserve">Huijbregts, M. A. J. </w:t>
      </w:r>
      <w:r w:rsidRPr="00A1364F">
        <w:rPr>
          <w:rFonts w:ascii="Times New Roman" w:hAnsi="Times New Roman"/>
          <w:i/>
          <w:iCs/>
          <w:noProof/>
          <w:szCs w:val="24"/>
        </w:rPr>
        <w:t>et al.</w:t>
      </w:r>
      <w:r w:rsidRPr="00A1364F">
        <w:rPr>
          <w:rFonts w:ascii="Times New Roman" w:hAnsi="Times New Roman"/>
          <w:noProof/>
          <w:szCs w:val="24"/>
        </w:rPr>
        <w:t xml:space="preserve"> </w:t>
      </w:r>
      <w:r w:rsidRPr="00A1364F">
        <w:rPr>
          <w:rFonts w:ascii="Times New Roman" w:hAnsi="Times New Roman"/>
          <w:i/>
          <w:iCs/>
          <w:noProof/>
          <w:szCs w:val="24"/>
        </w:rPr>
        <w:t>ReCiPe 2016 v1.1 A harmonized life cycle impact assessment method at midpoint and endpoint level</w:t>
      </w:r>
      <w:r w:rsidRPr="00A1364F">
        <w:rPr>
          <w:rFonts w:ascii="Times New Roman" w:hAnsi="Times New Roman"/>
          <w:noProof/>
          <w:szCs w:val="24"/>
        </w:rPr>
        <w:t>. (2017).</w:t>
      </w:r>
    </w:p>
    <w:p w14:paraId="3E873B06"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28.</w:t>
      </w:r>
      <w:r w:rsidRPr="00A1364F">
        <w:rPr>
          <w:rFonts w:ascii="Times New Roman" w:hAnsi="Times New Roman"/>
          <w:noProof/>
          <w:szCs w:val="24"/>
        </w:rPr>
        <w:tab/>
        <w:t xml:space="preserve">Mekonnen, M. M. &amp; Hoekstra, A. Y. Global Gray Water Footprint and Water Pollution Levels Related to Anthropogenic Nitrogen Loads to Fresh Water. </w:t>
      </w:r>
      <w:r w:rsidRPr="00A1364F">
        <w:rPr>
          <w:rFonts w:ascii="Times New Roman" w:hAnsi="Times New Roman"/>
          <w:i/>
          <w:iCs/>
          <w:noProof/>
          <w:szCs w:val="24"/>
        </w:rPr>
        <w:t>Environ. Sci. Technol.</w:t>
      </w:r>
      <w:r w:rsidRPr="00A1364F">
        <w:rPr>
          <w:rFonts w:ascii="Times New Roman" w:hAnsi="Times New Roman"/>
          <w:noProof/>
          <w:szCs w:val="24"/>
        </w:rPr>
        <w:t xml:space="preserve"> </w:t>
      </w:r>
      <w:r w:rsidRPr="00A1364F">
        <w:rPr>
          <w:rFonts w:ascii="Times New Roman" w:hAnsi="Times New Roman"/>
          <w:b/>
          <w:bCs/>
          <w:noProof/>
          <w:szCs w:val="24"/>
        </w:rPr>
        <w:t>49,</w:t>
      </w:r>
      <w:r w:rsidRPr="00A1364F">
        <w:rPr>
          <w:rFonts w:ascii="Times New Roman" w:hAnsi="Times New Roman"/>
          <w:noProof/>
          <w:szCs w:val="24"/>
        </w:rPr>
        <w:t xml:space="preserve"> 12860–12868 (2015).</w:t>
      </w:r>
    </w:p>
    <w:p w14:paraId="64F032D7"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29.</w:t>
      </w:r>
      <w:r w:rsidRPr="00A1364F">
        <w:rPr>
          <w:rFonts w:ascii="Times New Roman" w:hAnsi="Times New Roman"/>
          <w:noProof/>
          <w:szCs w:val="24"/>
        </w:rPr>
        <w:tab/>
        <w:t xml:space="preserve">Steen-Olsen, K., Wood, R. &amp; Hertwich, E. G. The carbon footprint of Norwegian household consumption 1999-2012. </w:t>
      </w:r>
      <w:r w:rsidRPr="00A1364F">
        <w:rPr>
          <w:rFonts w:ascii="Times New Roman" w:hAnsi="Times New Roman"/>
          <w:i/>
          <w:iCs/>
          <w:noProof/>
          <w:szCs w:val="24"/>
        </w:rPr>
        <w:t>J. Ind. Ecol.</w:t>
      </w:r>
      <w:r w:rsidRPr="00A1364F">
        <w:rPr>
          <w:rFonts w:ascii="Times New Roman" w:hAnsi="Times New Roman"/>
          <w:noProof/>
          <w:szCs w:val="24"/>
        </w:rPr>
        <w:t xml:space="preserve"> </w:t>
      </w:r>
      <w:r w:rsidRPr="00A1364F">
        <w:rPr>
          <w:rFonts w:ascii="Times New Roman" w:hAnsi="Times New Roman"/>
          <w:b/>
          <w:bCs/>
          <w:noProof/>
          <w:szCs w:val="24"/>
        </w:rPr>
        <w:t>20,</w:t>
      </w:r>
      <w:r w:rsidRPr="00A1364F">
        <w:rPr>
          <w:rFonts w:ascii="Times New Roman" w:hAnsi="Times New Roman"/>
          <w:noProof/>
          <w:szCs w:val="24"/>
        </w:rPr>
        <w:t xml:space="preserve"> 582–592 (2016).</w:t>
      </w:r>
    </w:p>
    <w:p w14:paraId="6DDB3DE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30.</w:t>
      </w:r>
      <w:r w:rsidRPr="00A1364F">
        <w:rPr>
          <w:rFonts w:ascii="Times New Roman" w:hAnsi="Times New Roman"/>
          <w:noProof/>
          <w:szCs w:val="24"/>
        </w:rPr>
        <w:tab/>
        <w:t xml:space="preserve">Feng, K., Siu, Y. L., Guan, D. &amp; Hubacek, K. Analyzing Drivers of Regional Carbon Dioxide Emissions for China. </w:t>
      </w:r>
      <w:r w:rsidRPr="00A1364F">
        <w:rPr>
          <w:rFonts w:ascii="Times New Roman" w:hAnsi="Times New Roman"/>
          <w:i/>
          <w:iCs/>
          <w:noProof/>
          <w:szCs w:val="24"/>
        </w:rPr>
        <w:t>J. Ind. Ecol.</w:t>
      </w:r>
      <w:r w:rsidRPr="00A1364F">
        <w:rPr>
          <w:rFonts w:ascii="Times New Roman" w:hAnsi="Times New Roman"/>
          <w:noProof/>
          <w:szCs w:val="24"/>
        </w:rPr>
        <w:t xml:space="preserve"> </w:t>
      </w:r>
      <w:r w:rsidRPr="00A1364F">
        <w:rPr>
          <w:rFonts w:ascii="Times New Roman" w:hAnsi="Times New Roman"/>
          <w:b/>
          <w:bCs/>
          <w:noProof/>
          <w:szCs w:val="24"/>
        </w:rPr>
        <w:t>16,</w:t>
      </w:r>
      <w:r w:rsidRPr="00A1364F">
        <w:rPr>
          <w:rFonts w:ascii="Times New Roman" w:hAnsi="Times New Roman"/>
          <w:noProof/>
          <w:szCs w:val="24"/>
        </w:rPr>
        <w:t xml:space="preserve"> 600–611 (2012).</w:t>
      </w:r>
    </w:p>
    <w:p w14:paraId="0EE2413A"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31.</w:t>
      </w:r>
      <w:r w:rsidRPr="00A1364F">
        <w:rPr>
          <w:rFonts w:ascii="Times New Roman" w:hAnsi="Times New Roman"/>
          <w:noProof/>
          <w:szCs w:val="24"/>
        </w:rPr>
        <w:tab/>
        <w:t xml:space="preserve">Muhammad, A., Souza, A. D. ’, Meade, B., Micha, R. &amp; Mozaffarian, D. </w:t>
      </w:r>
      <w:r w:rsidRPr="00A1364F">
        <w:rPr>
          <w:rFonts w:ascii="Times New Roman" w:hAnsi="Times New Roman"/>
          <w:i/>
          <w:iCs/>
          <w:noProof/>
          <w:szCs w:val="24"/>
        </w:rPr>
        <w:t>The Influence of Income and Prices on Global Dietary Patterns by Country, Age, and Gender</w:t>
      </w:r>
      <w:r w:rsidRPr="00A1364F">
        <w:rPr>
          <w:rFonts w:ascii="Times New Roman" w:hAnsi="Times New Roman"/>
          <w:noProof/>
          <w:szCs w:val="24"/>
        </w:rPr>
        <w:t>. (2017).</w:t>
      </w:r>
    </w:p>
    <w:p w14:paraId="18ED090B"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32.</w:t>
      </w:r>
      <w:r w:rsidRPr="00A1364F">
        <w:rPr>
          <w:rFonts w:ascii="Times New Roman" w:hAnsi="Times New Roman"/>
          <w:noProof/>
          <w:szCs w:val="24"/>
        </w:rPr>
        <w:tab/>
        <w:t xml:space="preserve">He, P., Baiocchi, G., Hubacek, K., Feng, K. &amp; Yu, Y. The environmental impacts of rapidly changing diets and their nutritional quality in China. </w:t>
      </w:r>
      <w:r w:rsidRPr="00A1364F">
        <w:rPr>
          <w:rFonts w:ascii="Times New Roman" w:hAnsi="Times New Roman"/>
          <w:i/>
          <w:iCs/>
          <w:noProof/>
          <w:szCs w:val="24"/>
        </w:rPr>
        <w:t>Nat. Sustain.</w:t>
      </w:r>
      <w:r w:rsidRPr="00A1364F">
        <w:rPr>
          <w:rFonts w:ascii="Times New Roman" w:hAnsi="Times New Roman"/>
          <w:noProof/>
          <w:szCs w:val="24"/>
        </w:rPr>
        <w:t xml:space="preserve"> </w:t>
      </w:r>
      <w:r w:rsidRPr="00A1364F">
        <w:rPr>
          <w:rFonts w:ascii="Times New Roman" w:hAnsi="Times New Roman"/>
          <w:b/>
          <w:bCs/>
          <w:noProof/>
          <w:szCs w:val="24"/>
        </w:rPr>
        <w:t>1,</w:t>
      </w:r>
      <w:r w:rsidRPr="00A1364F">
        <w:rPr>
          <w:rFonts w:ascii="Times New Roman" w:hAnsi="Times New Roman"/>
          <w:noProof/>
          <w:szCs w:val="24"/>
        </w:rPr>
        <w:t xml:space="preserve"> 122–127 (2018).</w:t>
      </w:r>
    </w:p>
    <w:p w14:paraId="58809C99"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33.</w:t>
      </w:r>
      <w:r w:rsidRPr="00A1364F">
        <w:rPr>
          <w:rFonts w:ascii="Times New Roman" w:hAnsi="Times New Roman"/>
          <w:noProof/>
          <w:szCs w:val="24"/>
        </w:rPr>
        <w:tab/>
        <w:t xml:space="preserve">Selman, M. &amp; Greenhalgh, S. Eutrophication: Policies, Actions, and Strategies to Address Nutrient Pollution. </w:t>
      </w:r>
      <w:r w:rsidRPr="00A1364F">
        <w:rPr>
          <w:rFonts w:ascii="Times New Roman" w:hAnsi="Times New Roman"/>
          <w:i/>
          <w:iCs/>
          <w:noProof/>
          <w:szCs w:val="24"/>
        </w:rPr>
        <w:t>WRI Policy note - Water Qual. Eutrophication hypoxia</w:t>
      </w:r>
      <w:r w:rsidRPr="00A1364F">
        <w:rPr>
          <w:rFonts w:ascii="Times New Roman" w:hAnsi="Times New Roman"/>
          <w:noProof/>
          <w:szCs w:val="24"/>
        </w:rPr>
        <w:t xml:space="preserve"> </w:t>
      </w:r>
      <w:r w:rsidRPr="00A1364F">
        <w:rPr>
          <w:rFonts w:ascii="Times New Roman" w:hAnsi="Times New Roman"/>
          <w:b/>
          <w:bCs/>
          <w:noProof/>
          <w:szCs w:val="24"/>
        </w:rPr>
        <w:t>3,</w:t>
      </w:r>
      <w:r w:rsidRPr="00A1364F">
        <w:rPr>
          <w:rFonts w:ascii="Times New Roman" w:hAnsi="Times New Roman"/>
          <w:noProof/>
          <w:szCs w:val="24"/>
        </w:rPr>
        <w:t xml:space="preserve"> 16 (2009).</w:t>
      </w:r>
    </w:p>
    <w:p w14:paraId="59047CDC"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34.</w:t>
      </w:r>
      <w:r w:rsidRPr="00A1364F">
        <w:rPr>
          <w:rFonts w:ascii="Times New Roman" w:hAnsi="Times New Roman"/>
          <w:noProof/>
          <w:szCs w:val="24"/>
        </w:rPr>
        <w:tab/>
        <w:t xml:space="preserve">European Commission. Water Frameworks Directive. </w:t>
      </w:r>
      <w:r w:rsidRPr="00A1364F">
        <w:rPr>
          <w:rFonts w:ascii="Times New Roman" w:hAnsi="Times New Roman"/>
          <w:i/>
          <w:iCs/>
          <w:noProof/>
          <w:szCs w:val="24"/>
        </w:rPr>
        <w:t>The EU Nitrates Directive</w:t>
      </w:r>
      <w:r w:rsidRPr="00A1364F">
        <w:rPr>
          <w:rFonts w:ascii="Times New Roman" w:hAnsi="Times New Roman"/>
          <w:noProof/>
          <w:szCs w:val="24"/>
        </w:rPr>
        <w:t xml:space="preserve"> 1–4 (2010). Available at: http://ec.europa.eu/environment/water/water-nitrates/index_en.html. (Accessed: 16th June 2017)</w:t>
      </w:r>
    </w:p>
    <w:p w14:paraId="1C36F79D"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35.</w:t>
      </w:r>
      <w:r w:rsidRPr="00A1364F">
        <w:rPr>
          <w:rFonts w:ascii="Times New Roman" w:hAnsi="Times New Roman"/>
          <w:noProof/>
          <w:szCs w:val="24"/>
        </w:rPr>
        <w:tab/>
        <w:t xml:space="preserve">Shortle, J. S. &amp; Abler, D. G. </w:t>
      </w:r>
      <w:r w:rsidRPr="00A1364F">
        <w:rPr>
          <w:rFonts w:ascii="Times New Roman" w:hAnsi="Times New Roman"/>
          <w:i/>
          <w:iCs/>
          <w:noProof/>
          <w:szCs w:val="24"/>
        </w:rPr>
        <w:t>Environmental Policies for Agricultural Pollution Control</w:t>
      </w:r>
      <w:r w:rsidRPr="00A1364F">
        <w:rPr>
          <w:rFonts w:ascii="Times New Roman" w:hAnsi="Times New Roman"/>
          <w:noProof/>
          <w:szCs w:val="24"/>
        </w:rPr>
        <w:t>. (2001).</w:t>
      </w:r>
    </w:p>
    <w:p w14:paraId="03C606E6"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36.</w:t>
      </w:r>
      <w:r w:rsidRPr="00A1364F">
        <w:rPr>
          <w:rFonts w:ascii="Times New Roman" w:hAnsi="Times New Roman"/>
          <w:noProof/>
          <w:szCs w:val="24"/>
        </w:rPr>
        <w:tab/>
        <w:t xml:space="preserve">European Commission DG Environment. The EU Water Framework Directive. </w:t>
      </w:r>
      <w:r w:rsidRPr="00A1364F">
        <w:rPr>
          <w:rFonts w:ascii="Times New Roman" w:hAnsi="Times New Roman"/>
          <w:i/>
          <w:iCs/>
          <w:noProof/>
          <w:szCs w:val="24"/>
        </w:rPr>
        <w:t>Joining Forces for Europe’s Shared Waters: Coordination in international river basin districts</w:t>
      </w:r>
      <w:r w:rsidRPr="00A1364F">
        <w:rPr>
          <w:rFonts w:ascii="Times New Roman" w:hAnsi="Times New Roman"/>
          <w:noProof/>
          <w:szCs w:val="24"/>
        </w:rPr>
        <w:t xml:space="preserve"> </w:t>
      </w:r>
      <w:r w:rsidRPr="00A1364F">
        <w:rPr>
          <w:rFonts w:ascii="Times New Roman" w:hAnsi="Times New Roman"/>
          <w:noProof/>
          <w:szCs w:val="24"/>
        </w:rPr>
        <w:lastRenderedPageBreak/>
        <w:t>(2008). Available at: http://ec.europa.eu/environment/water/water-framework/index_en.html. (Accessed: 12th May 2017)</w:t>
      </w:r>
    </w:p>
    <w:p w14:paraId="5F035642"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37.</w:t>
      </w:r>
      <w:r w:rsidRPr="00A1364F">
        <w:rPr>
          <w:rFonts w:ascii="Times New Roman" w:hAnsi="Times New Roman"/>
          <w:noProof/>
          <w:szCs w:val="24"/>
        </w:rPr>
        <w:tab/>
        <w:t xml:space="preserve">Sutton, M. A., Howard, C. M., Bleeker, A. &amp; Datta, A. The global nutrient challenge: From science to public engagement. </w:t>
      </w:r>
      <w:r w:rsidRPr="00A1364F">
        <w:rPr>
          <w:rFonts w:ascii="Times New Roman" w:hAnsi="Times New Roman"/>
          <w:i/>
          <w:iCs/>
          <w:noProof/>
          <w:szCs w:val="24"/>
        </w:rPr>
        <w:t>Environ. Dev.</w:t>
      </w:r>
      <w:r w:rsidRPr="00A1364F">
        <w:rPr>
          <w:rFonts w:ascii="Times New Roman" w:hAnsi="Times New Roman"/>
          <w:noProof/>
          <w:szCs w:val="24"/>
        </w:rPr>
        <w:t xml:space="preserve"> </w:t>
      </w:r>
      <w:r w:rsidRPr="00A1364F">
        <w:rPr>
          <w:rFonts w:ascii="Times New Roman" w:hAnsi="Times New Roman"/>
          <w:b/>
          <w:bCs/>
          <w:noProof/>
          <w:szCs w:val="24"/>
        </w:rPr>
        <w:t>6,</w:t>
      </w:r>
      <w:r w:rsidRPr="00A1364F">
        <w:rPr>
          <w:rFonts w:ascii="Times New Roman" w:hAnsi="Times New Roman"/>
          <w:noProof/>
          <w:szCs w:val="24"/>
        </w:rPr>
        <w:t xml:space="preserve"> 80–85 (2013).</w:t>
      </w:r>
    </w:p>
    <w:p w14:paraId="1E10FE5E"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38.</w:t>
      </w:r>
      <w:r w:rsidRPr="00A1364F">
        <w:rPr>
          <w:rFonts w:ascii="Times New Roman" w:hAnsi="Times New Roman"/>
          <w:noProof/>
          <w:szCs w:val="24"/>
        </w:rPr>
        <w:tab/>
        <w:t xml:space="preserve">Le, C. </w:t>
      </w:r>
      <w:r w:rsidRPr="00A1364F">
        <w:rPr>
          <w:rFonts w:ascii="Times New Roman" w:hAnsi="Times New Roman"/>
          <w:i/>
          <w:iCs/>
          <w:noProof/>
          <w:szCs w:val="24"/>
        </w:rPr>
        <w:t>et al.</w:t>
      </w:r>
      <w:r w:rsidRPr="00A1364F">
        <w:rPr>
          <w:rFonts w:ascii="Times New Roman" w:hAnsi="Times New Roman"/>
          <w:noProof/>
          <w:szCs w:val="24"/>
        </w:rPr>
        <w:t xml:space="preserve"> Eutrophication of lake waters in China: Cost, causes, and control. </w:t>
      </w:r>
      <w:r w:rsidRPr="00A1364F">
        <w:rPr>
          <w:rFonts w:ascii="Times New Roman" w:hAnsi="Times New Roman"/>
          <w:i/>
          <w:iCs/>
          <w:noProof/>
          <w:szCs w:val="24"/>
        </w:rPr>
        <w:t>Environ. Manage.</w:t>
      </w:r>
      <w:r w:rsidRPr="00A1364F">
        <w:rPr>
          <w:rFonts w:ascii="Times New Roman" w:hAnsi="Times New Roman"/>
          <w:noProof/>
          <w:szCs w:val="24"/>
        </w:rPr>
        <w:t xml:space="preserve"> </w:t>
      </w:r>
      <w:r w:rsidRPr="00A1364F">
        <w:rPr>
          <w:rFonts w:ascii="Times New Roman" w:hAnsi="Times New Roman"/>
          <w:b/>
          <w:bCs/>
          <w:noProof/>
          <w:szCs w:val="24"/>
        </w:rPr>
        <w:t>45,</w:t>
      </w:r>
      <w:r w:rsidRPr="00A1364F">
        <w:rPr>
          <w:rFonts w:ascii="Times New Roman" w:hAnsi="Times New Roman"/>
          <w:noProof/>
          <w:szCs w:val="24"/>
        </w:rPr>
        <w:t xml:space="preserve"> 662–668 (2010).</w:t>
      </w:r>
    </w:p>
    <w:p w14:paraId="0CFB0E3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39.</w:t>
      </w:r>
      <w:r w:rsidRPr="00A1364F">
        <w:rPr>
          <w:rFonts w:ascii="Times New Roman" w:hAnsi="Times New Roman"/>
          <w:noProof/>
          <w:szCs w:val="24"/>
        </w:rPr>
        <w:tab/>
        <w:t xml:space="preserve">Lenzen, M., Moran, D., Kanemoto, K. &amp; Geschke, A. Building Eora: a Global Multi-Region Input–Output Database At High Country and Sector Resolution. </w:t>
      </w:r>
      <w:r w:rsidRPr="00A1364F">
        <w:rPr>
          <w:rFonts w:ascii="Times New Roman" w:hAnsi="Times New Roman"/>
          <w:i/>
          <w:iCs/>
          <w:noProof/>
          <w:szCs w:val="24"/>
        </w:rPr>
        <w:t>Econ. Syst. Res.</w:t>
      </w:r>
      <w:r w:rsidRPr="00A1364F">
        <w:rPr>
          <w:rFonts w:ascii="Times New Roman" w:hAnsi="Times New Roman"/>
          <w:noProof/>
          <w:szCs w:val="24"/>
        </w:rPr>
        <w:t xml:space="preserve"> </w:t>
      </w:r>
      <w:r w:rsidRPr="00A1364F">
        <w:rPr>
          <w:rFonts w:ascii="Times New Roman" w:hAnsi="Times New Roman"/>
          <w:b/>
          <w:bCs/>
          <w:noProof/>
          <w:szCs w:val="24"/>
        </w:rPr>
        <w:t>25,</w:t>
      </w:r>
      <w:r w:rsidRPr="00A1364F">
        <w:rPr>
          <w:rFonts w:ascii="Times New Roman" w:hAnsi="Times New Roman"/>
          <w:noProof/>
          <w:szCs w:val="24"/>
        </w:rPr>
        <w:t xml:space="preserve"> 20–49 (2013).</w:t>
      </w:r>
    </w:p>
    <w:p w14:paraId="165CA142"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40.</w:t>
      </w:r>
      <w:r w:rsidRPr="00A1364F">
        <w:rPr>
          <w:rFonts w:ascii="Times New Roman" w:hAnsi="Times New Roman"/>
          <w:noProof/>
          <w:szCs w:val="24"/>
        </w:rPr>
        <w:tab/>
        <w:t xml:space="preserve">Weinzettel, J., Steen-Olsen, K., Hertwich, E. G., Borucke, M. &amp; Galli, A. Ecological footprint of nations: Comparison of process analysis, and standard and hybrid multiregional input–output analysis. </w:t>
      </w:r>
      <w:r w:rsidRPr="00A1364F">
        <w:rPr>
          <w:rFonts w:ascii="Times New Roman" w:hAnsi="Times New Roman"/>
          <w:i/>
          <w:iCs/>
          <w:noProof/>
          <w:szCs w:val="24"/>
        </w:rPr>
        <w:t>Ecol. Econ.</w:t>
      </w:r>
      <w:r w:rsidRPr="00A1364F">
        <w:rPr>
          <w:rFonts w:ascii="Times New Roman" w:hAnsi="Times New Roman"/>
          <w:noProof/>
          <w:szCs w:val="24"/>
        </w:rPr>
        <w:t xml:space="preserve"> </w:t>
      </w:r>
      <w:r w:rsidRPr="00A1364F">
        <w:rPr>
          <w:rFonts w:ascii="Times New Roman" w:hAnsi="Times New Roman"/>
          <w:b/>
          <w:bCs/>
          <w:noProof/>
          <w:szCs w:val="24"/>
        </w:rPr>
        <w:t>101,</w:t>
      </w:r>
      <w:r w:rsidRPr="00A1364F">
        <w:rPr>
          <w:rFonts w:ascii="Times New Roman" w:hAnsi="Times New Roman"/>
          <w:noProof/>
          <w:szCs w:val="24"/>
        </w:rPr>
        <w:t xml:space="preserve"> 115–126 (2014).</w:t>
      </w:r>
    </w:p>
    <w:p w14:paraId="7AA3159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41.</w:t>
      </w:r>
      <w:r w:rsidRPr="00A1364F">
        <w:rPr>
          <w:rFonts w:ascii="Times New Roman" w:hAnsi="Times New Roman"/>
          <w:noProof/>
          <w:szCs w:val="24"/>
        </w:rPr>
        <w:tab/>
        <w:t xml:space="preserve">Moran, D. &amp; Wood, R. Convergence between the EORA, WIOD, EXIOBASE, and OPENEU’S consumption-based carbon accounts. </w:t>
      </w:r>
      <w:r w:rsidRPr="00A1364F">
        <w:rPr>
          <w:rFonts w:ascii="Times New Roman" w:hAnsi="Times New Roman"/>
          <w:i/>
          <w:iCs/>
          <w:noProof/>
          <w:szCs w:val="24"/>
        </w:rPr>
        <w:t>Econ. Syst. Res.</w:t>
      </w:r>
      <w:r w:rsidRPr="00A1364F">
        <w:rPr>
          <w:rFonts w:ascii="Times New Roman" w:hAnsi="Times New Roman"/>
          <w:noProof/>
          <w:szCs w:val="24"/>
        </w:rPr>
        <w:t xml:space="preserve"> </w:t>
      </w:r>
      <w:r w:rsidRPr="00A1364F">
        <w:rPr>
          <w:rFonts w:ascii="Times New Roman" w:hAnsi="Times New Roman"/>
          <w:b/>
          <w:bCs/>
          <w:noProof/>
          <w:szCs w:val="24"/>
        </w:rPr>
        <w:t>26,</w:t>
      </w:r>
      <w:r w:rsidRPr="00A1364F">
        <w:rPr>
          <w:rFonts w:ascii="Times New Roman" w:hAnsi="Times New Roman"/>
          <w:noProof/>
          <w:szCs w:val="24"/>
        </w:rPr>
        <w:t xml:space="preserve"> 1469–5758 (2014).</w:t>
      </w:r>
    </w:p>
    <w:p w14:paraId="5D7F95DF"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42.</w:t>
      </w:r>
      <w:r w:rsidRPr="00A1364F">
        <w:rPr>
          <w:rFonts w:ascii="Times New Roman" w:hAnsi="Times New Roman"/>
          <w:noProof/>
          <w:szCs w:val="24"/>
        </w:rPr>
        <w:tab/>
        <w:t xml:space="preserve">Tukker, A., Giljum, S. &amp; Stadler, K. Towards Robust, Authoritative Assessments of Environmental Impacts Embodied in Trade: Current State and Recommendations. </w:t>
      </w:r>
      <w:r w:rsidRPr="00A1364F">
        <w:rPr>
          <w:rFonts w:ascii="Times New Roman" w:hAnsi="Times New Roman"/>
          <w:i/>
          <w:iCs/>
          <w:noProof/>
          <w:szCs w:val="24"/>
        </w:rPr>
        <w:t>J. Ind. Ecol.</w:t>
      </w:r>
      <w:r w:rsidRPr="00A1364F">
        <w:rPr>
          <w:rFonts w:ascii="Times New Roman" w:hAnsi="Times New Roman"/>
          <w:noProof/>
          <w:szCs w:val="24"/>
        </w:rPr>
        <w:t xml:space="preserve"> </w:t>
      </w:r>
      <w:r w:rsidRPr="00A1364F">
        <w:rPr>
          <w:rFonts w:ascii="Times New Roman" w:hAnsi="Times New Roman"/>
          <w:b/>
          <w:bCs/>
          <w:noProof/>
          <w:szCs w:val="24"/>
        </w:rPr>
        <w:t>0,</w:t>
      </w:r>
      <w:r w:rsidRPr="00A1364F">
        <w:rPr>
          <w:rFonts w:ascii="Times New Roman" w:hAnsi="Times New Roman"/>
          <w:noProof/>
          <w:szCs w:val="24"/>
        </w:rPr>
        <w:t xml:space="preserve"> 1–14</w:t>
      </w:r>
    </w:p>
    <w:p w14:paraId="02A5746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43.</w:t>
      </w:r>
      <w:r w:rsidRPr="00A1364F">
        <w:rPr>
          <w:rFonts w:ascii="Times New Roman" w:hAnsi="Times New Roman"/>
          <w:noProof/>
          <w:szCs w:val="24"/>
        </w:rPr>
        <w:tab/>
        <w:t xml:space="preserve">Azevedo, L. B. et al. Assessing the importance of spatial variability versus madel choices in life cycle impact assessment: The case of freshwater eutrophication in Europe. </w:t>
      </w:r>
      <w:r w:rsidRPr="00A1364F">
        <w:rPr>
          <w:rFonts w:ascii="Times New Roman" w:hAnsi="Times New Roman"/>
          <w:i/>
          <w:iCs/>
          <w:noProof/>
          <w:szCs w:val="24"/>
        </w:rPr>
        <w:t>Environ. Sci. Technol.</w:t>
      </w:r>
      <w:r w:rsidRPr="00A1364F">
        <w:rPr>
          <w:rFonts w:ascii="Times New Roman" w:hAnsi="Times New Roman"/>
          <w:noProof/>
          <w:szCs w:val="24"/>
        </w:rPr>
        <w:t xml:space="preserve"> </w:t>
      </w:r>
      <w:r w:rsidRPr="00A1364F">
        <w:rPr>
          <w:rFonts w:ascii="Times New Roman" w:hAnsi="Times New Roman"/>
          <w:b/>
          <w:bCs/>
          <w:noProof/>
          <w:szCs w:val="24"/>
        </w:rPr>
        <w:t>47,</w:t>
      </w:r>
      <w:r w:rsidRPr="00A1364F">
        <w:rPr>
          <w:rFonts w:ascii="Times New Roman" w:hAnsi="Times New Roman"/>
          <w:noProof/>
          <w:szCs w:val="24"/>
        </w:rPr>
        <w:t xml:space="preserve"> 13565–13570 (2013).</w:t>
      </w:r>
    </w:p>
    <w:p w14:paraId="206ED4C8"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44.</w:t>
      </w:r>
      <w:r w:rsidRPr="00A1364F">
        <w:rPr>
          <w:rFonts w:ascii="Times New Roman" w:hAnsi="Times New Roman"/>
          <w:noProof/>
          <w:szCs w:val="24"/>
        </w:rPr>
        <w:tab/>
        <w:t xml:space="preserve">Howarth, R. W. &amp; Marino, R. Nitrogen as the limiting nutrient for eutrophication in coastal marine ecosystems: Evolving views over three decades. </w:t>
      </w:r>
      <w:r w:rsidRPr="00A1364F">
        <w:rPr>
          <w:rFonts w:ascii="Times New Roman" w:hAnsi="Times New Roman"/>
          <w:i/>
          <w:iCs/>
          <w:noProof/>
          <w:szCs w:val="24"/>
        </w:rPr>
        <w:t>Limnol. Oceanogr.</w:t>
      </w:r>
      <w:r w:rsidRPr="00A1364F">
        <w:rPr>
          <w:rFonts w:ascii="Times New Roman" w:hAnsi="Times New Roman"/>
          <w:noProof/>
          <w:szCs w:val="24"/>
        </w:rPr>
        <w:t xml:space="preserve"> </w:t>
      </w:r>
      <w:r w:rsidRPr="00A1364F">
        <w:rPr>
          <w:rFonts w:ascii="Times New Roman" w:hAnsi="Times New Roman"/>
          <w:b/>
          <w:bCs/>
          <w:noProof/>
          <w:szCs w:val="24"/>
        </w:rPr>
        <w:t>51,</w:t>
      </w:r>
      <w:r w:rsidRPr="00A1364F">
        <w:rPr>
          <w:rFonts w:ascii="Times New Roman" w:hAnsi="Times New Roman"/>
          <w:noProof/>
          <w:szCs w:val="24"/>
        </w:rPr>
        <w:t xml:space="preserve"> 364–376 (2006).</w:t>
      </w:r>
    </w:p>
    <w:p w14:paraId="56E5B5D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45.</w:t>
      </w:r>
      <w:r w:rsidRPr="00A1364F">
        <w:rPr>
          <w:rFonts w:ascii="Times New Roman" w:hAnsi="Times New Roman"/>
          <w:noProof/>
          <w:szCs w:val="24"/>
        </w:rPr>
        <w:tab/>
        <w:t xml:space="preserve">Sterner, R. W. On the phosphorus limitation paradigm for lakes. </w:t>
      </w:r>
      <w:r w:rsidRPr="00A1364F">
        <w:rPr>
          <w:rFonts w:ascii="Times New Roman" w:hAnsi="Times New Roman"/>
          <w:i/>
          <w:iCs/>
          <w:noProof/>
          <w:szCs w:val="24"/>
        </w:rPr>
        <w:t>Int. Rev. Hydrobiol.</w:t>
      </w:r>
      <w:r w:rsidRPr="00A1364F">
        <w:rPr>
          <w:rFonts w:ascii="Times New Roman" w:hAnsi="Times New Roman"/>
          <w:noProof/>
          <w:szCs w:val="24"/>
        </w:rPr>
        <w:t xml:space="preserve"> </w:t>
      </w:r>
      <w:r w:rsidRPr="00A1364F">
        <w:rPr>
          <w:rFonts w:ascii="Times New Roman" w:hAnsi="Times New Roman"/>
          <w:b/>
          <w:bCs/>
          <w:noProof/>
          <w:szCs w:val="24"/>
        </w:rPr>
        <w:t>93,</w:t>
      </w:r>
      <w:r w:rsidRPr="00A1364F">
        <w:rPr>
          <w:rFonts w:ascii="Times New Roman" w:hAnsi="Times New Roman"/>
          <w:noProof/>
          <w:szCs w:val="24"/>
        </w:rPr>
        <w:t xml:space="preserve"> 433–445 (2008).</w:t>
      </w:r>
    </w:p>
    <w:p w14:paraId="457D673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46.</w:t>
      </w:r>
      <w:r w:rsidRPr="00A1364F">
        <w:rPr>
          <w:rFonts w:ascii="Times New Roman" w:hAnsi="Times New Roman"/>
          <w:noProof/>
          <w:szCs w:val="24"/>
        </w:rPr>
        <w:tab/>
        <w:t xml:space="preserve">Helmes, R. J. K., Huijbregts, M. a. J., Henderson, A. D. &amp; Jolliet, O. Spatially explicit fate factors of phosphorous emissions to freshwater at the global scale. </w:t>
      </w:r>
      <w:r w:rsidRPr="00A1364F">
        <w:rPr>
          <w:rFonts w:ascii="Times New Roman" w:hAnsi="Times New Roman"/>
          <w:i/>
          <w:iCs/>
          <w:noProof/>
          <w:szCs w:val="24"/>
        </w:rPr>
        <w:t>Int. J. Life Cycle Assess.</w:t>
      </w:r>
      <w:r w:rsidRPr="00A1364F">
        <w:rPr>
          <w:rFonts w:ascii="Times New Roman" w:hAnsi="Times New Roman"/>
          <w:noProof/>
          <w:szCs w:val="24"/>
        </w:rPr>
        <w:t xml:space="preserve"> </w:t>
      </w:r>
      <w:r w:rsidRPr="00A1364F">
        <w:rPr>
          <w:rFonts w:ascii="Times New Roman" w:hAnsi="Times New Roman"/>
          <w:b/>
          <w:bCs/>
          <w:noProof/>
          <w:szCs w:val="24"/>
        </w:rPr>
        <w:t>17,</w:t>
      </w:r>
      <w:r w:rsidRPr="00A1364F">
        <w:rPr>
          <w:rFonts w:ascii="Times New Roman" w:hAnsi="Times New Roman"/>
          <w:noProof/>
          <w:szCs w:val="24"/>
        </w:rPr>
        <w:t xml:space="preserve"> 646–654 (2012).</w:t>
      </w:r>
    </w:p>
    <w:p w14:paraId="76ECD98E"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47.</w:t>
      </w:r>
      <w:r w:rsidRPr="00A1364F">
        <w:rPr>
          <w:rFonts w:ascii="Times New Roman" w:hAnsi="Times New Roman"/>
          <w:noProof/>
          <w:szCs w:val="24"/>
        </w:rPr>
        <w:tab/>
        <w:t xml:space="preserve">Cosme, N., Jones, M. C., Cheung, W. W. L. &amp; Larsen, H. F. Spatial differentiation of marine eutrophication damage indicators based on species density. </w:t>
      </w:r>
      <w:r w:rsidRPr="00A1364F">
        <w:rPr>
          <w:rFonts w:ascii="Times New Roman" w:hAnsi="Times New Roman"/>
          <w:i/>
          <w:iCs/>
          <w:noProof/>
          <w:szCs w:val="24"/>
        </w:rPr>
        <w:t>Ecol. Indic.</w:t>
      </w:r>
      <w:r w:rsidRPr="00A1364F">
        <w:rPr>
          <w:rFonts w:ascii="Times New Roman" w:hAnsi="Times New Roman"/>
          <w:noProof/>
          <w:szCs w:val="24"/>
        </w:rPr>
        <w:t xml:space="preserve"> </w:t>
      </w:r>
      <w:r w:rsidRPr="00A1364F">
        <w:rPr>
          <w:rFonts w:ascii="Times New Roman" w:hAnsi="Times New Roman"/>
          <w:b/>
          <w:bCs/>
          <w:noProof/>
          <w:szCs w:val="24"/>
        </w:rPr>
        <w:t>73,</w:t>
      </w:r>
      <w:r w:rsidRPr="00A1364F">
        <w:rPr>
          <w:rFonts w:ascii="Times New Roman" w:hAnsi="Times New Roman"/>
          <w:noProof/>
          <w:szCs w:val="24"/>
        </w:rPr>
        <w:t xml:space="preserve"> 676–685 (2017).</w:t>
      </w:r>
    </w:p>
    <w:p w14:paraId="7763081B"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FE395B">
        <w:rPr>
          <w:rFonts w:ascii="Times New Roman" w:hAnsi="Times New Roman"/>
          <w:noProof/>
          <w:szCs w:val="24"/>
        </w:rPr>
        <w:t>48.</w:t>
      </w:r>
      <w:r w:rsidRPr="00FE395B">
        <w:rPr>
          <w:rFonts w:ascii="Times New Roman" w:hAnsi="Times New Roman"/>
          <w:noProof/>
          <w:szCs w:val="24"/>
        </w:rPr>
        <w:tab/>
        <w:t xml:space="preserve">Huijbregts, M. A. J. </w:t>
      </w:r>
      <w:r w:rsidRPr="00FE395B">
        <w:rPr>
          <w:rFonts w:ascii="Times New Roman" w:hAnsi="Times New Roman"/>
          <w:i/>
          <w:iCs/>
          <w:noProof/>
          <w:szCs w:val="24"/>
        </w:rPr>
        <w:t>et al.</w:t>
      </w:r>
      <w:r w:rsidRPr="00FE395B">
        <w:rPr>
          <w:rFonts w:ascii="Times New Roman" w:hAnsi="Times New Roman"/>
          <w:noProof/>
          <w:szCs w:val="24"/>
        </w:rPr>
        <w:t xml:space="preserve"> </w:t>
      </w:r>
      <w:r w:rsidRPr="00A1364F">
        <w:rPr>
          <w:rFonts w:ascii="Times New Roman" w:hAnsi="Times New Roman"/>
          <w:noProof/>
          <w:szCs w:val="24"/>
        </w:rPr>
        <w:t xml:space="preserve">ReCiPe2016: a harmonized life cycle impact assessment method at midpoint and endpoint level. </w:t>
      </w:r>
      <w:r w:rsidRPr="00A1364F">
        <w:rPr>
          <w:rFonts w:ascii="Times New Roman" w:hAnsi="Times New Roman"/>
          <w:i/>
          <w:iCs/>
          <w:noProof/>
          <w:szCs w:val="24"/>
        </w:rPr>
        <w:t>Int. J. Life Cycle Assess.</w:t>
      </w:r>
      <w:r w:rsidRPr="00A1364F">
        <w:rPr>
          <w:rFonts w:ascii="Times New Roman" w:hAnsi="Times New Roman"/>
          <w:noProof/>
          <w:szCs w:val="24"/>
        </w:rPr>
        <w:t xml:space="preserve"> 138–147 (2017). doi:10.1007/s11367-016-1246-y</w:t>
      </w:r>
    </w:p>
    <w:p w14:paraId="2D3AE6D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49.</w:t>
      </w:r>
      <w:r w:rsidRPr="00A1364F">
        <w:rPr>
          <w:rFonts w:ascii="Times New Roman" w:hAnsi="Times New Roman"/>
          <w:noProof/>
          <w:szCs w:val="24"/>
        </w:rPr>
        <w:tab/>
        <w:t xml:space="preserve">Wood, R. </w:t>
      </w:r>
      <w:r w:rsidRPr="00A1364F">
        <w:rPr>
          <w:rFonts w:ascii="Times New Roman" w:hAnsi="Times New Roman"/>
          <w:i/>
          <w:iCs/>
          <w:noProof/>
          <w:szCs w:val="24"/>
        </w:rPr>
        <w:t>et al.</w:t>
      </w:r>
      <w:r w:rsidRPr="00A1364F">
        <w:rPr>
          <w:rFonts w:ascii="Times New Roman" w:hAnsi="Times New Roman"/>
          <w:noProof/>
          <w:szCs w:val="24"/>
        </w:rPr>
        <w:t xml:space="preserve"> Global sustainability accounting-developing EXIOBASE for multi-regional footprint analysis. </w:t>
      </w:r>
      <w:r w:rsidRPr="00A1364F">
        <w:rPr>
          <w:rFonts w:ascii="Times New Roman" w:hAnsi="Times New Roman"/>
          <w:i/>
          <w:iCs/>
          <w:noProof/>
          <w:szCs w:val="24"/>
        </w:rPr>
        <w:t>Sustain.</w:t>
      </w:r>
      <w:r w:rsidRPr="00A1364F">
        <w:rPr>
          <w:rFonts w:ascii="Times New Roman" w:hAnsi="Times New Roman"/>
          <w:noProof/>
          <w:szCs w:val="24"/>
        </w:rPr>
        <w:t xml:space="preserve"> </w:t>
      </w:r>
      <w:r w:rsidRPr="00A1364F">
        <w:rPr>
          <w:rFonts w:ascii="Times New Roman" w:hAnsi="Times New Roman"/>
          <w:b/>
          <w:bCs/>
          <w:noProof/>
          <w:szCs w:val="24"/>
        </w:rPr>
        <w:t>7,</w:t>
      </w:r>
      <w:r w:rsidRPr="00A1364F">
        <w:rPr>
          <w:rFonts w:ascii="Times New Roman" w:hAnsi="Times New Roman"/>
          <w:noProof/>
          <w:szCs w:val="24"/>
        </w:rPr>
        <w:t xml:space="preserve"> 138–163 (2015).</w:t>
      </w:r>
    </w:p>
    <w:p w14:paraId="47B5FF99"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50.</w:t>
      </w:r>
      <w:r w:rsidRPr="00A1364F">
        <w:rPr>
          <w:rFonts w:ascii="Times New Roman" w:hAnsi="Times New Roman"/>
          <w:noProof/>
          <w:szCs w:val="24"/>
        </w:rPr>
        <w:tab/>
        <w:t xml:space="preserve">Zhang, C. &amp; Anadon, L. D. A multi-regional input-output analysis of domestic virtual water trade and provincial water footprint in China. </w:t>
      </w:r>
      <w:r w:rsidRPr="00A1364F">
        <w:rPr>
          <w:rFonts w:ascii="Times New Roman" w:hAnsi="Times New Roman"/>
          <w:i/>
          <w:iCs/>
          <w:noProof/>
          <w:szCs w:val="24"/>
        </w:rPr>
        <w:t>Ecol. Econ.</w:t>
      </w:r>
      <w:r w:rsidRPr="00A1364F">
        <w:rPr>
          <w:rFonts w:ascii="Times New Roman" w:hAnsi="Times New Roman"/>
          <w:noProof/>
          <w:szCs w:val="24"/>
        </w:rPr>
        <w:t xml:space="preserve"> </w:t>
      </w:r>
      <w:r w:rsidRPr="00A1364F">
        <w:rPr>
          <w:rFonts w:ascii="Times New Roman" w:hAnsi="Times New Roman"/>
          <w:b/>
          <w:bCs/>
          <w:noProof/>
          <w:szCs w:val="24"/>
        </w:rPr>
        <w:t>100,</w:t>
      </w:r>
      <w:r w:rsidRPr="00A1364F">
        <w:rPr>
          <w:rFonts w:ascii="Times New Roman" w:hAnsi="Times New Roman"/>
          <w:noProof/>
          <w:szCs w:val="24"/>
        </w:rPr>
        <w:t xml:space="preserve"> 159–172 (2014).</w:t>
      </w:r>
    </w:p>
    <w:p w14:paraId="2C1B6D58"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51.</w:t>
      </w:r>
      <w:r w:rsidRPr="00A1364F">
        <w:rPr>
          <w:rFonts w:ascii="Times New Roman" w:hAnsi="Times New Roman"/>
          <w:noProof/>
          <w:szCs w:val="24"/>
        </w:rPr>
        <w:tab/>
        <w:t xml:space="preserve">Simas, M., Wood, R. &amp; Hertwich, E. Labor Embodied in Trade. </w:t>
      </w:r>
      <w:r w:rsidRPr="00A1364F">
        <w:rPr>
          <w:rFonts w:ascii="Times New Roman" w:hAnsi="Times New Roman"/>
          <w:i/>
          <w:iCs/>
          <w:noProof/>
          <w:szCs w:val="24"/>
        </w:rPr>
        <w:t>J. Ind. Ecol.</w:t>
      </w:r>
      <w:r w:rsidRPr="00A1364F">
        <w:rPr>
          <w:rFonts w:ascii="Times New Roman" w:hAnsi="Times New Roman"/>
          <w:noProof/>
          <w:szCs w:val="24"/>
        </w:rPr>
        <w:t xml:space="preserve"> </w:t>
      </w:r>
      <w:r w:rsidRPr="00A1364F">
        <w:rPr>
          <w:rFonts w:ascii="Times New Roman" w:hAnsi="Times New Roman"/>
          <w:b/>
          <w:bCs/>
          <w:noProof/>
          <w:szCs w:val="24"/>
        </w:rPr>
        <w:t>19,</w:t>
      </w:r>
      <w:r w:rsidRPr="00A1364F">
        <w:rPr>
          <w:rFonts w:ascii="Times New Roman" w:hAnsi="Times New Roman"/>
          <w:noProof/>
          <w:szCs w:val="24"/>
        </w:rPr>
        <w:t xml:space="preserve"> 343–356 (2015).</w:t>
      </w:r>
    </w:p>
    <w:p w14:paraId="333E9DDD"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52.</w:t>
      </w:r>
      <w:r w:rsidRPr="00A1364F">
        <w:rPr>
          <w:rFonts w:ascii="Times New Roman" w:hAnsi="Times New Roman"/>
          <w:noProof/>
          <w:szCs w:val="24"/>
        </w:rPr>
        <w:tab/>
        <w:t xml:space="preserve">Turner, K., Lenzen, M., Wiedmann, T. &amp; Barrett, J. Examining the global environmental impact of regional consumption activities - Part 1: A technical note on combining input-output and ecological footprint analysis. </w:t>
      </w:r>
      <w:r w:rsidRPr="00A1364F">
        <w:rPr>
          <w:rFonts w:ascii="Times New Roman" w:hAnsi="Times New Roman"/>
          <w:i/>
          <w:iCs/>
          <w:noProof/>
          <w:szCs w:val="24"/>
        </w:rPr>
        <w:t>Ecol. Econ.</w:t>
      </w:r>
      <w:r w:rsidRPr="00A1364F">
        <w:rPr>
          <w:rFonts w:ascii="Times New Roman" w:hAnsi="Times New Roman"/>
          <w:noProof/>
          <w:szCs w:val="24"/>
        </w:rPr>
        <w:t xml:space="preserve"> </w:t>
      </w:r>
      <w:r w:rsidRPr="00A1364F">
        <w:rPr>
          <w:rFonts w:ascii="Times New Roman" w:hAnsi="Times New Roman"/>
          <w:b/>
          <w:bCs/>
          <w:noProof/>
          <w:szCs w:val="24"/>
        </w:rPr>
        <w:t>62,</w:t>
      </w:r>
      <w:r w:rsidRPr="00A1364F">
        <w:rPr>
          <w:rFonts w:ascii="Times New Roman" w:hAnsi="Times New Roman"/>
          <w:noProof/>
          <w:szCs w:val="24"/>
        </w:rPr>
        <w:t xml:space="preserve"> 37–44 (2007).</w:t>
      </w:r>
    </w:p>
    <w:p w14:paraId="043AF969"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lastRenderedPageBreak/>
        <w:t>53.</w:t>
      </w:r>
      <w:r w:rsidRPr="00A1364F">
        <w:rPr>
          <w:rFonts w:ascii="Times New Roman" w:hAnsi="Times New Roman"/>
          <w:noProof/>
          <w:szCs w:val="24"/>
        </w:rPr>
        <w:tab/>
        <w:t xml:space="preserve">Miller, R. A. &amp; Blair, P. D. </w:t>
      </w:r>
      <w:r w:rsidRPr="00A1364F">
        <w:rPr>
          <w:rFonts w:ascii="Times New Roman" w:hAnsi="Times New Roman"/>
          <w:i/>
          <w:iCs/>
          <w:noProof/>
          <w:szCs w:val="24"/>
        </w:rPr>
        <w:t>Input-Output Analysis Foundations and Extensions</w:t>
      </w:r>
      <w:r w:rsidRPr="00A1364F">
        <w:rPr>
          <w:rFonts w:ascii="Times New Roman" w:hAnsi="Times New Roman"/>
          <w:noProof/>
          <w:szCs w:val="24"/>
        </w:rPr>
        <w:t>. (Cambridge University Press, 2009).</w:t>
      </w:r>
    </w:p>
    <w:p w14:paraId="657EE79E"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54.</w:t>
      </w:r>
      <w:r w:rsidRPr="00A1364F">
        <w:rPr>
          <w:rFonts w:ascii="Times New Roman" w:hAnsi="Times New Roman"/>
          <w:noProof/>
          <w:szCs w:val="24"/>
        </w:rPr>
        <w:tab/>
        <w:t xml:space="preserve">Murray, J. &amp; Wood, R. </w:t>
      </w:r>
      <w:r w:rsidRPr="00A1364F">
        <w:rPr>
          <w:rFonts w:ascii="Times New Roman" w:hAnsi="Times New Roman"/>
          <w:i/>
          <w:iCs/>
          <w:noProof/>
          <w:szCs w:val="24"/>
        </w:rPr>
        <w:t>The Sustainability Practitioner’s Guide to Input-Output Analysis</w:t>
      </w:r>
      <w:r w:rsidRPr="00A1364F">
        <w:rPr>
          <w:rFonts w:ascii="Times New Roman" w:hAnsi="Times New Roman"/>
          <w:noProof/>
          <w:szCs w:val="24"/>
        </w:rPr>
        <w:t>. (Common Ground Publishing, 2010).</w:t>
      </w:r>
    </w:p>
    <w:p w14:paraId="5088744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55.</w:t>
      </w:r>
      <w:r w:rsidRPr="00A1364F">
        <w:rPr>
          <w:rFonts w:ascii="Times New Roman" w:hAnsi="Times New Roman"/>
          <w:noProof/>
          <w:szCs w:val="24"/>
        </w:rPr>
        <w:tab/>
        <w:t xml:space="preserve">Tukker, A. </w:t>
      </w:r>
      <w:r w:rsidRPr="00A1364F">
        <w:rPr>
          <w:rFonts w:ascii="Times New Roman" w:hAnsi="Times New Roman"/>
          <w:i/>
          <w:iCs/>
          <w:noProof/>
          <w:szCs w:val="24"/>
        </w:rPr>
        <w:t>et al.</w:t>
      </w:r>
      <w:r w:rsidRPr="00A1364F">
        <w:rPr>
          <w:rFonts w:ascii="Times New Roman" w:hAnsi="Times New Roman"/>
          <w:noProof/>
          <w:szCs w:val="24"/>
        </w:rPr>
        <w:t xml:space="preserve"> Exiopol – Development and Illustrative Analyses of a Detailed Global MR EE SUT/IOT. </w:t>
      </w:r>
      <w:r w:rsidRPr="00A1364F">
        <w:rPr>
          <w:rFonts w:ascii="Times New Roman" w:hAnsi="Times New Roman"/>
          <w:i/>
          <w:iCs/>
          <w:noProof/>
          <w:szCs w:val="24"/>
        </w:rPr>
        <w:t>Econ. Syst. Res.</w:t>
      </w:r>
      <w:r w:rsidRPr="00A1364F">
        <w:rPr>
          <w:rFonts w:ascii="Times New Roman" w:hAnsi="Times New Roman"/>
          <w:noProof/>
          <w:szCs w:val="24"/>
        </w:rPr>
        <w:t xml:space="preserve"> </w:t>
      </w:r>
      <w:r w:rsidRPr="00A1364F">
        <w:rPr>
          <w:rFonts w:ascii="Times New Roman" w:hAnsi="Times New Roman"/>
          <w:b/>
          <w:bCs/>
          <w:noProof/>
          <w:szCs w:val="24"/>
        </w:rPr>
        <w:t>25,</w:t>
      </w:r>
      <w:r w:rsidRPr="00A1364F">
        <w:rPr>
          <w:rFonts w:ascii="Times New Roman" w:hAnsi="Times New Roman"/>
          <w:noProof/>
          <w:szCs w:val="24"/>
        </w:rPr>
        <w:t xml:space="preserve"> 50–70 (2013).</w:t>
      </w:r>
    </w:p>
    <w:p w14:paraId="1DE0FC58"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56.</w:t>
      </w:r>
      <w:r w:rsidRPr="00A1364F">
        <w:rPr>
          <w:rFonts w:ascii="Times New Roman" w:hAnsi="Times New Roman"/>
          <w:noProof/>
          <w:szCs w:val="24"/>
        </w:rPr>
        <w:tab/>
        <w:t xml:space="preserve">Stadler, K. </w:t>
      </w:r>
      <w:r w:rsidRPr="00A1364F">
        <w:rPr>
          <w:rFonts w:ascii="Times New Roman" w:hAnsi="Times New Roman"/>
          <w:i/>
          <w:iCs/>
          <w:noProof/>
          <w:szCs w:val="24"/>
        </w:rPr>
        <w:t>et al.</w:t>
      </w:r>
      <w:r w:rsidRPr="00A1364F">
        <w:rPr>
          <w:rFonts w:ascii="Times New Roman" w:hAnsi="Times New Roman"/>
          <w:noProof/>
          <w:szCs w:val="24"/>
        </w:rPr>
        <w:t xml:space="preserve"> EXIOBASE 3 Developing a time series of detailed Environmentally Extended Multi-Regional Input-Output tables. </w:t>
      </w:r>
      <w:r w:rsidRPr="00A1364F">
        <w:rPr>
          <w:rFonts w:ascii="Times New Roman" w:hAnsi="Times New Roman"/>
          <w:i/>
          <w:iCs/>
          <w:noProof/>
          <w:szCs w:val="24"/>
        </w:rPr>
        <w:t>J. Ind. Ecol.</w:t>
      </w:r>
      <w:r w:rsidRPr="00A1364F">
        <w:rPr>
          <w:rFonts w:ascii="Times New Roman" w:hAnsi="Times New Roman"/>
          <w:noProof/>
          <w:szCs w:val="24"/>
        </w:rPr>
        <w:t xml:space="preserve"> (2018). doi:10.1111/jiec.12715</w:t>
      </w:r>
    </w:p>
    <w:p w14:paraId="5B3D72D1"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57.</w:t>
      </w:r>
      <w:r w:rsidRPr="00A1364F">
        <w:rPr>
          <w:rFonts w:ascii="Times New Roman" w:hAnsi="Times New Roman"/>
          <w:noProof/>
          <w:szCs w:val="24"/>
        </w:rPr>
        <w:tab/>
        <w:t xml:space="preserve">Aguiar, A., Narayanan, B. &amp; McDougall, R. An overview of the GTAP 9 data base. </w:t>
      </w:r>
      <w:r w:rsidRPr="00A1364F">
        <w:rPr>
          <w:rFonts w:ascii="Times New Roman" w:hAnsi="Times New Roman"/>
          <w:i/>
          <w:iCs/>
          <w:noProof/>
          <w:szCs w:val="24"/>
        </w:rPr>
        <w:t>J. Glob. Econ.</w:t>
      </w:r>
      <w:r w:rsidRPr="00A1364F">
        <w:rPr>
          <w:rFonts w:ascii="Times New Roman" w:hAnsi="Times New Roman"/>
          <w:noProof/>
          <w:szCs w:val="24"/>
        </w:rPr>
        <w:t xml:space="preserve"> (2016).</w:t>
      </w:r>
    </w:p>
    <w:p w14:paraId="5F6A944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58.</w:t>
      </w:r>
      <w:r w:rsidRPr="00A1364F">
        <w:rPr>
          <w:rFonts w:ascii="Times New Roman" w:hAnsi="Times New Roman"/>
          <w:noProof/>
          <w:szCs w:val="24"/>
        </w:rPr>
        <w:tab/>
        <w:t xml:space="preserve">Owen, A., Steen-Olsen, K., Barrett, J., Wiedmann, T. &amp; Lenzen, M. A structural decomposition approach to comparing MRIO databases. </w:t>
      </w:r>
      <w:r w:rsidRPr="00A1364F">
        <w:rPr>
          <w:rFonts w:ascii="Times New Roman" w:hAnsi="Times New Roman"/>
          <w:i/>
          <w:iCs/>
          <w:noProof/>
          <w:szCs w:val="24"/>
        </w:rPr>
        <w:t>Econ. Syst. Res.</w:t>
      </w:r>
      <w:r w:rsidRPr="00A1364F">
        <w:rPr>
          <w:rFonts w:ascii="Times New Roman" w:hAnsi="Times New Roman"/>
          <w:noProof/>
          <w:szCs w:val="24"/>
        </w:rPr>
        <w:t xml:space="preserve"> </w:t>
      </w:r>
      <w:r w:rsidRPr="00A1364F">
        <w:rPr>
          <w:rFonts w:ascii="Times New Roman" w:hAnsi="Times New Roman"/>
          <w:b/>
          <w:bCs/>
          <w:noProof/>
          <w:szCs w:val="24"/>
        </w:rPr>
        <w:t>26,</w:t>
      </w:r>
      <w:r w:rsidRPr="00A1364F">
        <w:rPr>
          <w:rFonts w:ascii="Times New Roman" w:hAnsi="Times New Roman"/>
          <w:noProof/>
          <w:szCs w:val="24"/>
        </w:rPr>
        <w:t xml:space="preserve"> 262–283 (2014).</w:t>
      </w:r>
    </w:p>
    <w:p w14:paraId="16C6D477"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59.</w:t>
      </w:r>
      <w:r w:rsidRPr="00A1364F">
        <w:rPr>
          <w:rFonts w:ascii="Times New Roman" w:hAnsi="Times New Roman"/>
          <w:noProof/>
          <w:szCs w:val="24"/>
        </w:rPr>
        <w:tab/>
        <w:t xml:space="preserve">Stadler, K., Steen-olsen, K. &amp; Wood, R. The ‘ Rest of the World ’ – Estimating the economic structure of missing regions in global multi- regional input-output tables. </w:t>
      </w:r>
      <w:r w:rsidRPr="00A1364F">
        <w:rPr>
          <w:rFonts w:ascii="Times New Roman" w:hAnsi="Times New Roman"/>
          <w:i/>
          <w:iCs/>
          <w:noProof/>
          <w:szCs w:val="24"/>
        </w:rPr>
        <w:t>Econ. Syst. Res.</w:t>
      </w:r>
      <w:r w:rsidRPr="00A1364F">
        <w:rPr>
          <w:rFonts w:ascii="Times New Roman" w:hAnsi="Times New Roman"/>
          <w:noProof/>
          <w:szCs w:val="24"/>
        </w:rPr>
        <w:t xml:space="preserve"> </w:t>
      </w:r>
      <w:r w:rsidRPr="00A1364F">
        <w:rPr>
          <w:rFonts w:ascii="Times New Roman" w:hAnsi="Times New Roman"/>
          <w:b/>
          <w:bCs/>
          <w:noProof/>
          <w:szCs w:val="24"/>
        </w:rPr>
        <w:t>26,</w:t>
      </w:r>
      <w:r w:rsidRPr="00A1364F">
        <w:rPr>
          <w:rFonts w:ascii="Times New Roman" w:hAnsi="Times New Roman"/>
          <w:noProof/>
          <w:szCs w:val="24"/>
        </w:rPr>
        <w:t xml:space="preserve"> 303–326 (2014).</w:t>
      </w:r>
    </w:p>
    <w:p w14:paraId="64D191F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60.</w:t>
      </w:r>
      <w:r w:rsidRPr="00A1364F">
        <w:rPr>
          <w:rFonts w:ascii="Times New Roman" w:hAnsi="Times New Roman"/>
          <w:noProof/>
          <w:szCs w:val="24"/>
        </w:rPr>
        <w:tab/>
        <w:t xml:space="preserve">Steen-Olsen, K., Owen, A., Hertwich, E. G. &amp; Lenzen, M. Effects of sector aggregation on CO2 multipliers in multiregional input-output analysis. </w:t>
      </w:r>
      <w:r w:rsidRPr="00A1364F">
        <w:rPr>
          <w:rFonts w:ascii="Times New Roman" w:hAnsi="Times New Roman"/>
          <w:i/>
          <w:iCs/>
          <w:noProof/>
          <w:szCs w:val="24"/>
        </w:rPr>
        <w:t>Econ. Syst. Res.</w:t>
      </w:r>
      <w:r w:rsidRPr="00A1364F">
        <w:rPr>
          <w:rFonts w:ascii="Times New Roman" w:hAnsi="Times New Roman"/>
          <w:noProof/>
          <w:szCs w:val="24"/>
        </w:rPr>
        <w:t xml:space="preserve"> 284–302 (2014). doi:10.1080/09535314.2014.934325</w:t>
      </w:r>
    </w:p>
    <w:p w14:paraId="56D9045F"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61.</w:t>
      </w:r>
      <w:r w:rsidRPr="00A1364F">
        <w:rPr>
          <w:rFonts w:ascii="Times New Roman" w:hAnsi="Times New Roman"/>
          <w:noProof/>
          <w:szCs w:val="24"/>
        </w:rPr>
        <w:tab/>
        <w:t xml:space="preserve">Bouwmeester, M. &amp; Oosterhaven, J. Specification and Aggregation Errors in Environmentally Extended Input–Output Models. </w:t>
      </w:r>
      <w:r w:rsidRPr="00A1364F">
        <w:rPr>
          <w:rFonts w:ascii="Times New Roman" w:hAnsi="Times New Roman"/>
          <w:i/>
          <w:iCs/>
          <w:noProof/>
          <w:szCs w:val="24"/>
        </w:rPr>
        <w:t>Environ. Resour. Econ.</w:t>
      </w:r>
      <w:r w:rsidRPr="00A1364F">
        <w:rPr>
          <w:rFonts w:ascii="Times New Roman" w:hAnsi="Times New Roman"/>
          <w:noProof/>
          <w:szCs w:val="24"/>
        </w:rPr>
        <w:t xml:space="preserve"> </w:t>
      </w:r>
      <w:r w:rsidRPr="00A1364F">
        <w:rPr>
          <w:rFonts w:ascii="Times New Roman" w:hAnsi="Times New Roman"/>
          <w:b/>
          <w:bCs/>
          <w:noProof/>
          <w:szCs w:val="24"/>
        </w:rPr>
        <w:t>56,</w:t>
      </w:r>
      <w:r w:rsidRPr="00A1364F">
        <w:rPr>
          <w:rFonts w:ascii="Times New Roman" w:hAnsi="Times New Roman"/>
          <w:noProof/>
          <w:szCs w:val="24"/>
        </w:rPr>
        <w:t xml:space="preserve"> 307–335 (2013).</w:t>
      </w:r>
    </w:p>
    <w:p w14:paraId="5E899C55"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62.</w:t>
      </w:r>
      <w:r w:rsidRPr="00A1364F">
        <w:rPr>
          <w:rFonts w:ascii="Times New Roman" w:hAnsi="Times New Roman"/>
          <w:noProof/>
          <w:szCs w:val="24"/>
        </w:rPr>
        <w:tab/>
        <w:t xml:space="preserve">Dietzenbacher, E. &amp; Lahr, M. L. Expanding Extractions. </w:t>
      </w:r>
      <w:r w:rsidRPr="00A1364F">
        <w:rPr>
          <w:rFonts w:ascii="Times New Roman" w:hAnsi="Times New Roman"/>
          <w:i/>
          <w:iCs/>
          <w:noProof/>
          <w:szCs w:val="24"/>
        </w:rPr>
        <w:t>Econ. Syst. Res.</w:t>
      </w:r>
      <w:r w:rsidRPr="00A1364F">
        <w:rPr>
          <w:rFonts w:ascii="Times New Roman" w:hAnsi="Times New Roman"/>
          <w:noProof/>
          <w:szCs w:val="24"/>
        </w:rPr>
        <w:t xml:space="preserve"> </w:t>
      </w:r>
      <w:r w:rsidRPr="00A1364F">
        <w:rPr>
          <w:rFonts w:ascii="Times New Roman" w:hAnsi="Times New Roman"/>
          <w:b/>
          <w:bCs/>
          <w:noProof/>
          <w:szCs w:val="24"/>
        </w:rPr>
        <w:t>25,</w:t>
      </w:r>
      <w:r w:rsidRPr="00A1364F">
        <w:rPr>
          <w:rFonts w:ascii="Times New Roman" w:hAnsi="Times New Roman"/>
          <w:noProof/>
          <w:szCs w:val="24"/>
        </w:rPr>
        <w:t xml:space="preserve"> 341–360 (2013).</w:t>
      </w:r>
    </w:p>
    <w:p w14:paraId="603F515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63.</w:t>
      </w:r>
      <w:r w:rsidRPr="00A1364F">
        <w:rPr>
          <w:rFonts w:ascii="Times New Roman" w:hAnsi="Times New Roman"/>
          <w:noProof/>
          <w:szCs w:val="24"/>
        </w:rPr>
        <w:tab/>
        <w:t>Merciai, S. &amp; Schmidt, J. H. Physical/Hybrid supply and use tables. Methodological report. EU FP7 DESIRE project. 1–91 (2016).</w:t>
      </w:r>
    </w:p>
    <w:p w14:paraId="781FE54B"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64.</w:t>
      </w:r>
      <w:r w:rsidRPr="00A1364F">
        <w:rPr>
          <w:rFonts w:ascii="Times New Roman" w:hAnsi="Times New Roman"/>
          <w:noProof/>
          <w:szCs w:val="24"/>
        </w:rPr>
        <w:tab/>
        <w:t xml:space="preserve">Food and Agricultural organization of the United Nations (FAO). Statistics at FAO. </w:t>
      </w:r>
      <w:r w:rsidRPr="00A1364F">
        <w:rPr>
          <w:rFonts w:ascii="Times New Roman" w:hAnsi="Times New Roman"/>
          <w:b/>
          <w:bCs/>
          <w:noProof/>
          <w:szCs w:val="24"/>
        </w:rPr>
        <w:t>2015,</w:t>
      </w:r>
      <w:r w:rsidRPr="00A1364F">
        <w:rPr>
          <w:rFonts w:ascii="Times New Roman" w:hAnsi="Times New Roman"/>
          <w:noProof/>
          <w:szCs w:val="24"/>
        </w:rPr>
        <w:t xml:space="preserve"> (2016).</w:t>
      </w:r>
    </w:p>
    <w:p w14:paraId="7AAC7005"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65.</w:t>
      </w:r>
      <w:r w:rsidRPr="00A1364F">
        <w:rPr>
          <w:rFonts w:ascii="Times New Roman" w:hAnsi="Times New Roman"/>
          <w:noProof/>
          <w:szCs w:val="24"/>
        </w:rPr>
        <w:tab/>
        <w:t>IFA. Statistical Database of International Fertilizer Industry Association. (2015). Available at: http://www.fertilizer.org/Statistics. (Accessed: 15th March 2015)</w:t>
      </w:r>
    </w:p>
    <w:p w14:paraId="445260BC"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66.</w:t>
      </w:r>
      <w:r w:rsidRPr="00A1364F">
        <w:rPr>
          <w:rFonts w:ascii="Times New Roman" w:hAnsi="Times New Roman"/>
          <w:noProof/>
          <w:szCs w:val="24"/>
        </w:rPr>
        <w:tab/>
        <w:t>FAO. Fertilizer use by crop - Food and Agriculture Organization of the United Nations. Fertilizer and Plant Nutrition Bulletin 17. (2006).</w:t>
      </w:r>
    </w:p>
    <w:p w14:paraId="2755DBF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67.</w:t>
      </w:r>
      <w:r w:rsidRPr="00A1364F">
        <w:rPr>
          <w:rFonts w:ascii="Times New Roman" w:hAnsi="Times New Roman"/>
          <w:noProof/>
          <w:szCs w:val="24"/>
        </w:rPr>
        <w:tab/>
        <w:t>Heffer, P. Assessment of Fertilizer Use by Crop at the Global Level 2010 - 2010/2011. 0–9 (2013). Available at: www.fertilizer.org/ifa/Home-Page/LIBRARY/Publication-database. (Accessed: 14th April 2015)</w:t>
      </w:r>
    </w:p>
    <w:p w14:paraId="23E3AFFA"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68.</w:t>
      </w:r>
      <w:r w:rsidRPr="00A1364F">
        <w:rPr>
          <w:rFonts w:ascii="Times New Roman" w:hAnsi="Times New Roman"/>
          <w:noProof/>
          <w:szCs w:val="24"/>
        </w:rPr>
        <w:tab/>
        <w:t xml:space="preserve">Kuenen, J., Fernández, J. A., Usubiaga, A. &amp; Wittmer, D. </w:t>
      </w:r>
      <w:r w:rsidRPr="00A1364F">
        <w:rPr>
          <w:rFonts w:ascii="Times New Roman" w:hAnsi="Times New Roman"/>
          <w:i/>
          <w:iCs/>
          <w:noProof/>
          <w:szCs w:val="24"/>
        </w:rPr>
        <w:t>Report on Update EXIOPOL Emissions Database</w:t>
      </w:r>
      <w:r w:rsidRPr="00A1364F">
        <w:rPr>
          <w:rFonts w:ascii="Times New Roman" w:hAnsi="Times New Roman"/>
          <w:noProof/>
          <w:szCs w:val="24"/>
        </w:rPr>
        <w:t xml:space="preserve">. </w:t>
      </w:r>
      <w:r w:rsidRPr="00A1364F">
        <w:rPr>
          <w:rFonts w:ascii="Times New Roman" w:hAnsi="Times New Roman"/>
          <w:i/>
          <w:iCs/>
          <w:noProof/>
          <w:szCs w:val="24"/>
        </w:rPr>
        <w:t>Compiling and Refining Environmental and Economic Accounts (CREEA)</w:t>
      </w:r>
      <w:r w:rsidRPr="00A1364F">
        <w:rPr>
          <w:rFonts w:ascii="Times New Roman" w:hAnsi="Times New Roman"/>
          <w:noProof/>
          <w:szCs w:val="24"/>
        </w:rPr>
        <w:t xml:space="preserve"> (European Union , 2013).</w:t>
      </w:r>
    </w:p>
    <w:p w14:paraId="70E2D439"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69.</w:t>
      </w:r>
      <w:r w:rsidRPr="00A1364F">
        <w:rPr>
          <w:rFonts w:ascii="Times New Roman" w:hAnsi="Times New Roman"/>
          <w:noProof/>
          <w:szCs w:val="24"/>
        </w:rPr>
        <w:tab/>
        <w:t xml:space="preserve">Moeller, J. </w:t>
      </w:r>
      <w:r w:rsidRPr="00A1364F">
        <w:rPr>
          <w:rFonts w:ascii="Times New Roman" w:hAnsi="Times New Roman"/>
          <w:i/>
          <w:iCs/>
          <w:noProof/>
          <w:szCs w:val="24"/>
        </w:rPr>
        <w:t>et al.</w:t>
      </w:r>
      <w:r w:rsidRPr="00A1364F">
        <w:rPr>
          <w:rFonts w:ascii="Times New Roman" w:hAnsi="Times New Roman"/>
          <w:noProof/>
          <w:szCs w:val="24"/>
        </w:rPr>
        <w:t xml:space="preserve"> </w:t>
      </w:r>
      <w:r w:rsidRPr="00A1364F">
        <w:rPr>
          <w:rFonts w:ascii="Times New Roman" w:hAnsi="Times New Roman"/>
          <w:i/>
          <w:iCs/>
          <w:noProof/>
          <w:szCs w:val="24"/>
        </w:rPr>
        <w:t>Fodermiddeltabel 2005: sammensætning og foderværdi af fodermidler til kvæg [English: Feed property table 2005: Composition and value of feed materials for cattle]</w:t>
      </w:r>
      <w:r w:rsidRPr="00A1364F">
        <w:rPr>
          <w:rFonts w:ascii="Times New Roman" w:hAnsi="Times New Roman"/>
          <w:noProof/>
          <w:szCs w:val="24"/>
        </w:rPr>
        <w:t>. (2005).</w:t>
      </w:r>
    </w:p>
    <w:p w14:paraId="48F476B5"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70.</w:t>
      </w:r>
      <w:r w:rsidRPr="00A1364F">
        <w:rPr>
          <w:rFonts w:ascii="Times New Roman" w:hAnsi="Times New Roman"/>
          <w:noProof/>
          <w:szCs w:val="24"/>
        </w:rPr>
        <w:tab/>
        <w:t xml:space="preserve">IPCC. </w:t>
      </w:r>
      <w:r w:rsidRPr="00A1364F">
        <w:rPr>
          <w:rFonts w:ascii="Times New Roman" w:hAnsi="Times New Roman"/>
          <w:i/>
          <w:iCs/>
          <w:noProof/>
          <w:szCs w:val="24"/>
        </w:rPr>
        <w:t>Chapter 11: N2O Emissions From Managed Soils, and CO2 Emissions From Lime and Urea application</w:t>
      </w:r>
      <w:r w:rsidRPr="00A1364F">
        <w:rPr>
          <w:rFonts w:ascii="Times New Roman" w:hAnsi="Times New Roman"/>
          <w:noProof/>
          <w:szCs w:val="24"/>
        </w:rPr>
        <w:t xml:space="preserve">. </w:t>
      </w:r>
      <w:r w:rsidRPr="00A1364F">
        <w:rPr>
          <w:rFonts w:ascii="Times New Roman" w:hAnsi="Times New Roman"/>
          <w:i/>
          <w:iCs/>
          <w:noProof/>
          <w:szCs w:val="24"/>
        </w:rPr>
        <w:t>IPCC Guidelines for National Greenhouse Gas Inventories</w:t>
      </w:r>
      <w:r w:rsidRPr="00A1364F">
        <w:rPr>
          <w:rFonts w:ascii="Times New Roman" w:hAnsi="Times New Roman"/>
          <w:noProof/>
          <w:szCs w:val="24"/>
        </w:rPr>
        <w:t xml:space="preserve"> </w:t>
      </w:r>
      <w:r w:rsidRPr="00A1364F">
        <w:rPr>
          <w:rFonts w:ascii="Times New Roman" w:hAnsi="Times New Roman"/>
          <w:noProof/>
          <w:szCs w:val="24"/>
        </w:rPr>
        <w:lastRenderedPageBreak/>
        <w:t>(2006).</w:t>
      </w:r>
    </w:p>
    <w:p w14:paraId="657ADC16"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71.</w:t>
      </w:r>
      <w:r w:rsidRPr="00A1364F">
        <w:rPr>
          <w:rFonts w:ascii="Times New Roman" w:hAnsi="Times New Roman"/>
          <w:noProof/>
          <w:szCs w:val="24"/>
        </w:rPr>
        <w:tab/>
        <w:t xml:space="preserve">DTU. </w:t>
      </w:r>
      <w:r w:rsidRPr="00A1364F">
        <w:rPr>
          <w:rFonts w:ascii="Times New Roman" w:hAnsi="Times New Roman"/>
          <w:i/>
          <w:iCs/>
          <w:noProof/>
          <w:szCs w:val="24"/>
        </w:rPr>
        <w:t>Fridata Fooddata Version 2</w:t>
      </w:r>
      <w:r w:rsidRPr="00A1364F">
        <w:rPr>
          <w:rFonts w:ascii="Times New Roman" w:hAnsi="Times New Roman"/>
          <w:noProof/>
          <w:szCs w:val="24"/>
        </w:rPr>
        <w:t>. (http://frida.fooddata.dk/, Accessed May 2017, 2016).</w:t>
      </w:r>
    </w:p>
    <w:p w14:paraId="355A2C22"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72.</w:t>
      </w:r>
      <w:r w:rsidRPr="00A1364F">
        <w:rPr>
          <w:rFonts w:ascii="Times New Roman" w:hAnsi="Times New Roman"/>
          <w:noProof/>
          <w:szCs w:val="24"/>
        </w:rPr>
        <w:tab/>
        <w:t xml:space="preserve">Ketterings, Q. &amp; Czymmek, K. </w:t>
      </w:r>
      <w:r w:rsidRPr="00A1364F">
        <w:rPr>
          <w:rFonts w:ascii="Times New Roman" w:hAnsi="Times New Roman"/>
          <w:i/>
          <w:iCs/>
          <w:noProof/>
          <w:szCs w:val="24"/>
        </w:rPr>
        <w:t>Agronomy Fact Sheet 28: Removal of Phosphorus by Field Crops</w:t>
      </w:r>
      <w:r w:rsidRPr="00A1364F">
        <w:rPr>
          <w:rFonts w:ascii="Times New Roman" w:hAnsi="Times New Roman"/>
          <w:noProof/>
          <w:szCs w:val="24"/>
        </w:rPr>
        <w:t>. (2007).</w:t>
      </w:r>
    </w:p>
    <w:p w14:paraId="5F5BDCA8"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73.</w:t>
      </w:r>
      <w:r w:rsidRPr="00A1364F">
        <w:rPr>
          <w:rFonts w:ascii="Times New Roman" w:hAnsi="Times New Roman"/>
          <w:noProof/>
          <w:szCs w:val="24"/>
        </w:rPr>
        <w:tab/>
        <w:t xml:space="preserve">Bouwman, A. F., Beusen, A. H. W. &amp; Billen, G. Human alteration of the global nitrogen and phosphorus soil balances for the period 1970-2050. </w:t>
      </w:r>
      <w:r w:rsidRPr="00A1364F">
        <w:rPr>
          <w:rFonts w:ascii="Times New Roman" w:hAnsi="Times New Roman"/>
          <w:i/>
          <w:iCs/>
          <w:noProof/>
          <w:szCs w:val="24"/>
        </w:rPr>
        <w:t>Global Biogeochem. Cycles</w:t>
      </w:r>
      <w:r w:rsidRPr="00A1364F">
        <w:rPr>
          <w:rFonts w:ascii="Times New Roman" w:hAnsi="Times New Roman"/>
          <w:noProof/>
          <w:szCs w:val="24"/>
        </w:rPr>
        <w:t xml:space="preserve"> </w:t>
      </w:r>
      <w:r w:rsidRPr="00A1364F">
        <w:rPr>
          <w:rFonts w:ascii="Times New Roman" w:hAnsi="Times New Roman"/>
          <w:b/>
          <w:bCs/>
          <w:noProof/>
          <w:szCs w:val="24"/>
        </w:rPr>
        <w:t>23,</w:t>
      </w:r>
      <w:r w:rsidRPr="00A1364F">
        <w:rPr>
          <w:rFonts w:ascii="Times New Roman" w:hAnsi="Times New Roman"/>
          <w:noProof/>
          <w:szCs w:val="24"/>
        </w:rPr>
        <w:t xml:space="preserve"> (2009).</w:t>
      </w:r>
    </w:p>
    <w:p w14:paraId="622CFDBC"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74.</w:t>
      </w:r>
      <w:r w:rsidRPr="00A1364F">
        <w:rPr>
          <w:rFonts w:ascii="Times New Roman" w:hAnsi="Times New Roman"/>
          <w:noProof/>
          <w:szCs w:val="24"/>
        </w:rPr>
        <w:tab/>
        <w:t xml:space="preserve">Bennett, E. M., Carpenter, S. R. &amp; Caraco, N. F. Human Impact on Erodable Phosphorus and Eutrophication: A Global Perspective. </w:t>
      </w:r>
      <w:r w:rsidRPr="00A1364F">
        <w:rPr>
          <w:rFonts w:ascii="Times New Roman" w:hAnsi="Times New Roman"/>
          <w:i/>
          <w:iCs/>
          <w:noProof/>
          <w:szCs w:val="24"/>
        </w:rPr>
        <w:t>Bioscience</w:t>
      </w:r>
      <w:r w:rsidRPr="00A1364F">
        <w:rPr>
          <w:rFonts w:ascii="Times New Roman" w:hAnsi="Times New Roman"/>
          <w:noProof/>
          <w:szCs w:val="24"/>
        </w:rPr>
        <w:t xml:space="preserve"> </w:t>
      </w:r>
      <w:r w:rsidRPr="00A1364F">
        <w:rPr>
          <w:rFonts w:ascii="Times New Roman" w:hAnsi="Times New Roman"/>
          <w:b/>
          <w:bCs/>
          <w:noProof/>
          <w:szCs w:val="24"/>
        </w:rPr>
        <w:t>51,</w:t>
      </w:r>
      <w:r w:rsidRPr="00A1364F">
        <w:rPr>
          <w:rFonts w:ascii="Times New Roman" w:hAnsi="Times New Roman"/>
          <w:noProof/>
          <w:szCs w:val="24"/>
        </w:rPr>
        <w:t xml:space="preserve"> 227 (2001).</w:t>
      </w:r>
    </w:p>
    <w:p w14:paraId="730EF3EE"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75.</w:t>
      </w:r>
      <w:r w:rsidRPr="00A1364F">
        <w:rPr>
          <w:rFonts w:ascii="Times New Roman" w:hAnsi="Times New Roman"/>
          <w:noProof/>
          <w:szCs w:val="24"/>
        </w:rPr>
        <w:tab/>
        <w:t xml:space="preserve">Cosme, N., Koski, M. &amp; Hauschild, M. Z. Exposure factors for marine eutrophication impacts assessment based on a mechanistic biological model. </w:t>
      </w:r>
      <w:r w:rsidRPr="00A1364F">
        <w:rPr>
          <w:rFonts w:ascii="Times New Roman" w:hAnsi="Times New Roman"/>
          <w:i/>
          <w:iCs/>
          <w:noProof/>
          <w:szCs w:val="24"/>
        </w:rPr>
        <w:t>Ecol. Modell.</w:t>
      </w:r>
      <w:r w:rsidRPr="00A1364F">
        <w:rPr>
          <w:rFonts w:ascii="Times New Roman" w:hAnsi="Times New Roman"/>
          <w:noProof/>
          <w:szCs w:val="24"/>
        </w:rPr>
        <w:t xml:space="preserve"> </w:t>
      </w:r>
      <w:r w:rsidRPr="00A1364F">
        <w:rPr>
          <w:rFonts w:ascii="Times New Roman" w:hAnsi="Times New Roman"/>
          <w:b/>
          <w:bCs/>
          <w:noProof/>
          <w:szCs w:val="24"/>
        </w:rPr>
        <w:t>317,</w:t>
      </w:r>
      <w:r w:rsidRPr="00A1364F">
        <w:rPr>
          <w:rFonts w:ascii="Times New Roman" w:hAnsi="Times New Roman"/>
          <w:noProof/>
          <w:szCs w:val="24"/>
        </w:rPr>
        <w:t xml:space="preserve"> 50–63 (2015).</w:t>
      </w:r>
    </w:p>
    <w:p w14:paraId="1FB0DB1D"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76.</w:t>
      </w:r>
      <w:r w:rsidRPr="00A1364F">
        <w:rPr>
          <w:rFonts w:ascii="Times New Roman" w:hAnsi="Times New Roman"/>
          <w:noProof/>
          <w:szCs w:val="24"/>
        </w:rPr>
        <w:tab/>
        <w:t xml:space="preserve">Cosme, N., Mayorga, E. &amp; Hauschild, M. Z. Spatially explicit fate factors of waterborne nitrogen emissions at the global scale. </w:t>
      </w:r>
      <w:r w:rsidRPr="00A1364F">
        <w:rPr>
          <w:rFonts w:ascii="Times New Roman" w:hAnsi="Times New Roman"/>
          <w:i/>
          <w:iCs/>
          <w:noProof/>
          <w:szCs w:val="24"/>
        </w:rPr>
        <w:t>Int. J. Life Cycle Assess.</w:t>
      </w:r>
      <w:r w:rsidRPr="00A1364F">
        <w:rPr>
          <w:rFonts w:ascii="Times New Roman" w:hAnsi="Times New Roman"/>
          <w:noProof/>
          <w:szCs w:val="24"/>
        </w:rPr>
        <w:t xml:space="preserve"> 1–11 (2017). doi:10.1007/s11367-017-1349-0</w:t>
      </w:r>
    </w:p>
    <w:p w14:paraId="5ED29F81"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77.</w:t>
      </w:r>
      <w:r w:rsidRPr="00A1364F">
        <w:rPr>
          <w:rFonts w:ascii="Times New Roman" w:hAnsi="Times New Roman"/>
          <w:noProof/>
          <w:szCs w:val="24"/>
        </w:rPr>
        <w:tab/>
        <w:t xml:space="preserve">Roy, P. O., Huijbregts, M., Deschênes, L. &amp; Margni, M. Spatially-differentiated atmospheric source-receptor relationships for nitrogen oxides, sulfur oxides and ammonia emissions at the global scale for life cycle impact assessment. </w:t>
      </w:r>
      <w:r w:rsidRPr="00A1364F">
        <w:rPr>
          <w:rFonts w:ascii="Times New Roman" w:hAnsi="Times New Roman"/>
          <w:i/>
          <w:iCs/>
          <w:noProof/>
          <w:szCs w:val="24"/>
        </w:rPr>
        <w:t>Atmos. Environ.</w:t>
      </w:r>
      <w:r w:rsidRPr="00A1364F">
        <w:rPr>
          <w:rFonts w:ascii="Times New Roman" w:hAnsi="Times New Roman"/>
          <w:noProof/>
          <w:szCs w:val="24"/>
        </w:rPr>
        <w:t xml:space="preserve"> </w:t>
      </w:r>
      <w:r w:rsidRPr="00A1364F">
        <w:rPr>
          <w:rFonts w:ascii="Times New Roman" w:hAnsi="Times New Roman"/>
          <w:b/>
          <w:bCs/>
          <w:noProof/>
          <w:szCs w:val="24"/>
        </w:rPr>
        <w:t>62,</w:t>
      </w:r>
      <w:r w:rsidRPr="00A1364F">
        <w:rPr>
          <w:rFonts w:ascii="Times New Roman" w:hAnsi="Times New Roman"/>
          <w:noProof/>
          <w:szCs w:val="24"/>
        </w:rPr>
        <w:t xml:space="preserve"> 74–81 (2012).</w:t>
      </w:r>
    </w:p>
    <w:p w14:paraId="513E0C00"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78.</w:t>
      </w:r>
      <w:r w:rsidRPr="00A1364F">
        <w:rPr>
          <w:rFonts w:ascii="Times New Roman" w:hAnsi="Times New Roman"/>
          <w:noProof/>
          <w:szCs w:val="24"/>
        </w:rPr>
        <w:tab/>
        <w:t xml:space="preserve">Steinberger, J. K., Krausmann, F., Getzner, M., Schandl, H. &amp; West, J. Development and Dematerialization: An International Study. </w:t>
      </w:r>
      <w:r w:rsidRPr="00A1364F">
        <w:rPr>
          <w:rFonts w:ascii="Times New Roman" w:hAnsi="Times New Roman"/>
          <w:i/>
          <w:iCs/>
          <w:noProof/>
          <w:szCs w:val="24"/>
        </w:rPr>
        <w:t>PLoS One</w:t>
      </w:r>
      <w:r w:rsidRPr="00A1364F">
        <w:rPr>
          <w:rFonts w:ascii="Times New Roman" w:hAnsi="Times New Roman"/>
          <w:noProof/>
          <w:szCs w:val="24"/>
        </w:rPr>
        <w:t xml:space="preserve"> </w:t>
      </w:r>
      <w:r w:rsidRPr="00A1364F">
        <w:rPr>
          <w:rFonts w:ascii="Times New Roman" w:hAnsi="Times New Roman"/>
          <w:b/>
          <w:bCs/>
          <w:noProof/>
          <w:szCs w:val="24"/>
        </w:rPr>
        <w:t>8,</w:t>
      </w:r>
      <w:r w:rsidRPr="00A1364F">
        <w:rPr>
          <w:rFonts w:ascii="Times New Roman" w:hAnsi="Times New Roman"/>
          <w:noProof/>
          <w:szCs w:val="24"/>
        </w:rPr>
        <w:t xml:space="preserve"> (2013).</w:t>
      </w:r>
    </w:p>
    <w:p w14:paraId="545F4AAB"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79.</w:t>
      </w:r>
      <w:r w:rsidRPr="00A1364F">
        <w:rPr>
          <w:rFonts w:ascii="Times New Roman" w:hAnsi="Times New Roman"/>
          <w:noProof/>
          <w:szCs w:val="24"/>
        </w:rPr>
        <w:tab/>
        <w:t xml:space="preserve">Liao, H. &amp; Cao, H. S. How does carbon dioxide emission change with the economic development? Statistical experiences from 132 countries. </w:t>
      </w:r>
      <w:r w:rsidRPr="00A1364F">
        <w:rPr>
          <w:rFonts w:ascii="Times New Roman" w:hAnsi="Times New Roman"/>
          <w:i/>
          <w:iCs/>
          <w:noProof/>
          <w:szCs w:val="24"/>
        </w:rPr>
        <w:t>Glob. Environ. Chang.</w:t>
      </w:r>
      <w:r w:rsidRPr="00A1364F">
        <w:rPr>
          <w:rFonts w:ascii="Times New Roman" w:hAnsi="Times New Roman"/>
          <w:noProof/>
          <w:szCs w:val="24"/>
        </w:rPr>
        <w:t xml:space="preserve"> </w:t>
      </w:r>
      <w:r w:rsidRPr="00A1364F">
        <w:rPr>
          <w:rFonts w:ascii="Times New Roman" w:hAnsi="Times New Roman"/>
          <w:b/>
          <w:bCs/>
          <w:noProof/>
          <w:szCs w:val="24"/>
        </w:rPr>
        <w:t>23,</w:t>
      </w:r>
      <w:r w:rsidRPr="00A1364F">
        <w:rPr>
          <w:rFonts w:ascii="Times New Roman" w:hAnsi="Times New Roman"/>
          <w:noProof/>
          <w:szCs w:val="24"/>
        </w:rPr>
        <w:t xml:space="preserve"> 1073–1082 (2013).</w:t>
      </w:r>
    </w:p>
    <w:p w14:paraId="66C066D3"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80.</w:t>
      </w:r>
      <w:r w:rsidRPr="00A1364F">
        <w:rPr>
          <w:rFonts w:ascii="Times New Roman" w:hAnsi="Times New Roman"/>
          <w:noProof/>
          <w:szCs w:val="24"/>
        </w:rPr>
        <w:tab/>
        <w:t xml:space="preserve">Wiedenhofer, D. </w:t>
      </w:r>
      <w:r w:rsidRPr="00A1364F">
        <w:rPr>
          <w:rFonts w:ascii="Times New Roman" w:hAnsi="Times New Roman"/>
          <w:i/>
          <w:iCs/>
          <w:noProof/>
          <w:szCs w:val="24"/>
        </w:rPr>
        <w:t>et al.</w:t>
      </w:r>
      <w:r w:rsidRPr="00A1364F">
        <w:rPr>
          <w:rFonts w:ascii="Times New Roman" w:hAnsi="Times New Roman"/>
          <w:noProof/>
          <w:szCs w:val="24"/>
        </w:rPr>
        <w:t xml:space="preserve"> Unequal household carbon footprints in China. </w:t>
      </w:r>
      <w:r w:rsidRPr="00A1364F">
        <w:rPr>
          <w:rFonts w:ascii="Times New Roman" w:hAnsi="Times New Roman"/>
          <w:i/>
          <w:iCs/>
          <w:noProof/>
          <w:szCs w:val="24"/>
        </w:rPr>
        <w:t>Nat. Clim. Chang.</w:t>
      </w:r>
      <w:r w:rsidRPr="00A1364F">
        <w:rPr>
          <w:rFonts w:ascii="Times New Roman" w:hAnsi="Times New Roman"/>
          <w:noProof/>
          <w:szCs w:val="24"/>
        </w:rPr>
        <w:t xml:space="preserve"> </w:t>
      </w:r>
      <w:r w:rsidRPr="00A1364F">
        <w:rPr>
          <w:rFonts w:ascii="Times New Roman" w:hAnsi="Times New Roman"/>
          <w:b/>
          <w:bCs/>
          <w:noProof/>
          <w:szCs w:val="24"/>
        </w:rPr>
        <w:t>7,</w:t>
      </w:r>
      <w:r w:rsidRPr="00A1364F">
        <w:rPr>
          <w:rFonts w:ascii="Times New Roman" w:hAnsi="Times New Roman"/>
          <w:noProof/>
          <w:szCs w:val="24"/>
        </w:rPr>
        <w:t xml:space="preserve"> (2016).</w:t>
      </w:r>
    </w:p>
    <w:p w14:paraId="7E358B49"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81.</w:t>
      </w:r>
      <w:r w:rsidRPr="00A1364F">
        <w:rPr>
          <w:rFonts w:ascii="Times New Roman" w:hAnsi="Times New Roman"/>
          <w:noProof/>
          <w:szCs w:val="24"/>
        </w:rPr>
        <w:tab/>
        <w:t xml:space="preserve">Weinzettel, J., Hertwich, E. G., Peters, G. P., Steen-Olsen, K. &amp; Galli, A. Affluence drives the global displacement of land use. </w:t>
      </w:r>
      <w:r w:rsidRPr="00A1364F">
        <w:rPr>
          <w:rFonts w:ascii="Times New Roman" w:hAnsi="Times New Roman"/>
          <w:i/>
          <w:iCs/>
          <w:noProof/>
          <w:szCs w:val="24"/>
        </w:rPr>
        <w:t>Glob. Environ. Chang.</w:t>
      </w:r>
      <w:r w:rsidRPr="00A1364F">
        <w:rPr>
          <w:rFonts w:ascii="Times New Roman" w:hAnsi="Times New Roman"/>
          <w:noProof/>
          <w:szCs w:val="24"/>
        </w:rPr>
        <w:t xml:space="preserve"> </w:t>
      </w:r>
      <w:r w:rsidRPr="00A1364F">
        <w:rPr>
          <w:rFonts w:ascii="Times New Roman" w:hAnsi="Times New Roman"/>
          <w:b/>
          <w:bCs/>
          <w:noProof/>
          <w:szCs w:val="24"/>
        </w:rPr>
        <w:t>23,</w:t>
      </w:r>
      <w:r w:rsidRPr="00A1364F">
        <w:rPr>
          <w:rFonts w:ascii="Times New Roman" w:hAnsi="Times New Roman"/>
          <w:noProof/>
          <w:szCs w:val="24"/>
        </w:rPr>
        <w:t xml:space="preserve"> 433–438 (2013).</w:t>
      </w:r>
    </w:p>
    <w:p w14:paraId="672D592B"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szCs w:val="24"/>
        </w:rPr>
      </w:pPr>
      <w:r w:rsidRPr="00A1364F">
        <w:rPr>
          <w:rFonts w:ascii="Times New Roman" w:hAnsi="Times New Roman"/>
          <w:noProof/>
          <w:szCs w:val="24"/>
        </w:rPr>
        <w:t>82.</w:t>
      </w:r>
      <w:r w:rsidRPr="00A1364F">
        <w:rPr>
          <w:rFonts w:ascii="Times New Roman" w:hAnsi="Times New Roman"/>
          <w:noProof/>
          <w:szCs w:val="24"/>
        </w:rPr>
        <w:tab/>
        <w:t xml:space="preserve">Wiedmann, T. O. </w:t>
      </w:r>
      <w:r w:rsidRPr="00A1364F">
        <w:rPr>
          <w:rFonts w:ascii="Times New Roman" w:hAnsi="Times New Roman"/>
          <w:i/>
          <w:iCs/>
          <w:noProof/>
          <w:szCs w:val="24"/>
        </w:rPr>
        <w:t>et al.</w:t>
      </w:r>
      <w:r w:rsidRPr="00A1364F">
        <w:rPr>
          <w:rFonts w:ascii="Times New Roman" w:hAnsi="Times New Roman"/>
          <w:noProof/>
          <w:szCs w:val="24"/>
        </w:rPr>
        <w:t xml:space="preserve"> The material footprint of nations. </w:t>
      </w:r>
      <w:r w:rsidRPr="00A1364F">
        <w:rPr>
          <w:rFonts w:ascii="Times New Roman" w:hAnsi="Times New Roman"/>
          <w:i/>
          <w:iCs/>
          <w:noProof/>
          <w:szCs w:val="24"/>
        </w:rPr>
        <w:t>Proc. Natl. Acad. Sci. U. S. A.</w:t>
      </w:r>
      <w:r w:rsidRPr="00A1364F">
        <w:rPr>
          <w:rFonts w:ascii="Times New Roman" w:hAnsi="Times New Roman"/>
          <w:noProof/>
          <w:szCs w:val="24"/>
        </w:rPr>
        <w:t xml:space="preserve"> 1–6 (2013). doi:10.1073/pnas.1220362110</w:t>
      </w:r>
    </w:p>
    <w:p w14:paraId="51C2A4F4" w14:textId="77777777" w:rsidR="00A1364F" w:rsidRPr="00A1364F" w:rsidRDefault="00A1364F" w:rsidP="00A1364F">
      <w:pPr>
        <w:widowControl w:val="0"/>
        <w:autoSpaceDE w:val="0"/>
        <w:autoSpaceDN w:val="0"/>
        <w:adjustRightInd w:val="0"/>
        <w:spacing w:before="100" w:after="100"/>
        <w:ind w:left="640" w:hanging="640"/>
        <w:rPr>
          <w:rFonts w:ascii="Times New Roman" w:hAnsi="Times New Roman"/>
          <w:noProof/>
        </w:rPr>
      </w:pPr>
      <w:r w:rsidRPr="00A1364F">
        <w:rPr>
          <w:rFonts w:ascii="Times New Roman" w:hAnsi="Times New Roman"/>
          <w:noProof/>
          <w:szCs w:val="24"/>
        </w:rPr>
        <w:t>83.</w:t>
      </w:r>
      <w:r w:rsidRPr="00A1364F">
        <w:rPr>
          <w:rFonts w:ascii="Times New Roman" w:hAnsi="Times New Roman"/>
          <w:noProof/>
          <w:szCs w:val="24"/>
        </w:rPr>
        <w:tab/>
        <w:t xml:space="preserve">Wiedenhofer, D., Lenzen, M. &amp; Steinberger, J. K. Energy requirements of consumption: Urban form, climatic and socio-economic factors, rebounds and their policy implications. </w:t>
      </w:r>
      <w:r w:rsidRPr="00A1364F">
        <w:rPr>
          <w:rFonts w:ascii="Times New Roman" w:hAnsi="Times New Roman"/>
          <w:i/>
          <w:iCs/>
          <w:noProof/>
          <w:szCs w:val="24"/>
        </w:rPr>
        <w:t>Energy Policy</w:t>
      </w:r>
      <w:r w:rsidRPr="00A1364F">
        <w:rPr>
          <w:rFonts w:ascii="Times New Roman" w:hAnsi="Times New Roman"/>
          <w:noProof/>
          <w:szCs w:val="24"/>
        </w:rPr>
        <w:t xml:space="preserve"> </w:t>
      </w:r>
      <w:r w:rsidRPr="00A1364F">
        <w:rPr>
          <w:rFonts w:ascii="Times New Roman" w:hAnsi="Times New Roman"/>
          <w:b/>
          <w:bCs/>
          <w:noProof/>
          <w:szCs w:val="24"/>
        </w:rPr>
        <w:t>63,</w:t>
      </w:r>
      <w:r w:rsidRPr="00A1364F">
        <w:rPr>
          <w:rFonts w:ascii="Times New Roman" w:hAnsi="Times New Roman"/>
          <w:noProof/>
          <w:szCs w:val="24"/>
        </w:rPr>
        <w:t xml:space="preserve"> 696–707 (2013).</w:t>
      </w:r>
    </w:p>
    <w:p w14:paraId="41BFA98F" w14:textId="39F77519" w:rsidR="007C4522" w:rsidRDefault="004A17BE" w:rsidP="006A6E9B">
      <w:pPr>
        <w:pStyle w:val="TFReferencesSection"/>
        <w:spacing w:before="100" w:beforeAutospacing="1" w:after="100" w:afterAutospacing="1" w:line="240" w:lineRule="auto"/>
        <w:ind w:firstLine="0"/>
        <w:rPr>
          <w:rFonts w:ascii="Times New Roman" w:hAnsi="Times New Roman"/>
          <w:b/>
        </w:rPr>
      </w:pPr>
      <w:r>
        <w:rPr>
          <w:rFonts w:ascii="Times New Roman" w:hAnsi="Times New Roman"/>
        </w:rPr>
        <w:fldChar w:fldCharType="end"/>
      </w:r>
      <w:r w:rsidR="007C4522" w:rsidRPr="00460B52">
        <w:rPr>
          <w:rFonts w:ascii="Times New Roman" w:hAnsi="Times New Roman"/>
          <w:b/>
        </w:rPr>
        <w:t>Acknowledgements</w:t>
      </w:r>
    </w:p>
    <w:p w14:paraId="70D8A8E4" w14:textId="1A1E3494" w:rsidR="007C4522" w:rsidRDefault="007C4522" w:rsidP="007C4522">
      <w:pPr>
        <w:pStyle w:val="TFReferencesSection"/>
        <w:spacing w:after="0" w:line="240" w:lineRule="auto"/>
        <w:ind w:firstLine="0"/>
        <w:jc w:val="left"/>
        <w:rPr>
          <w:rFonts w:ascii="Times New Roman" w:hAnsi="Times New Roman"/>
        </w:rPr>
      </w:pPr>
      <w:r>
        <w:rPr>
          <w:rFonts w:ascii="Times New Roman" w:hAnsi="Times New Roman"/>
        </w:rPr>
        <w:t xml:space="preserve">We would like to thank Kjartan Bjørset (Norkart), Kjartan Steen-Olsen (NTNU) and Moana Simas (NTNU) for their </w:t>
      </w:r>
      <w:r w:rsidR="00465DE4">
        <w:rPr>
          <w:rFonts w:ascii="Times New Roman" w:hAnsi="Times New Roman"/>
        </w:rPr>
        <w:t>technical</w:t>
      </w:r>
      <w:r w:rsidR="00BB56EB">
        <w:rPr>
          <w:rFonts w:ascii="Times New Roman" w:hAnsi="Times New Roman"/>
        </w:rPr>
        <w:t xml:space="preserve"> support</w:t>
      </w:r>
      <w:r w:rsidR="00147AAF">
        <w:rPr>
          <w:rFonts w:ascii="Times New Roman" w:hAnsi="Times New Roman"/>
        </w:rPr>
        <w:t xml:space="preserve">, Mark Huijbrets (RU) for valuable comments and feedback, Guillaume Majeau-Bettez, </w:t>
      </w:r>
      <w:r w:rsidR="00147AAF" w:rsidRPr="00147AAF">
        <w:rPr>
          <w:rFonts w:ascii="Times New Roman" w:hAnsi="Times New Roman"/>
        </w:rPr>
        <w:t>Cécile Bulle</w:t>
      </w:r>
      <w:r w:rsidR="00147AAF">
        <w:rPr>
          <w:rFonts w:ascii="Times New Roman" w:hAnsi="Times New Roman"/>
        </w:rPr>
        <w:t xml:space="preserve"> (CIRAIG) and Francesca Verones (NTNU) for help with characterization factors</w:t>
      </w:r>
      <w:r w:rsidR="00BB56EB">
        <w:rPr>
          <w:rFonts w:ascii="Times New Roman" w:hAnsi="Times New Roman"/>
        </w:rPr>
        <w:t>.</w:t>
      </w:r>
      <w:r>
        <w:rPr>
          <w:rFonts w:ascii="Times New Roman" w:hAnsi="Times New Roman"/>
        </w:rPr>
        <w:t xml:space="preserve"> </w:t>
      </w:r>
      <w:r w:rsidR="00BB56EB">
        <w:rPr>
          <w:rFonts w:ascii="Times New Roman" w:hAnsi="Times New Roman"/>
        </w:rPr>
        <w:t>We would also like to thank</w:t>
      </w:r>
      <w:r>
        <w:rPr>
          <w:rFonts w:ascii="Times New Roman" w:hAnsi="Times New Roman"/>
        </w:rPr>
        <w:t xml:space="preserve"> Radek</w:t>
      </w:r>
      <w:r w:rsidR="00BB56EB">
        <w:rPr>
          <w:rFonts w:ascii="Times New Roman" w:hAnsi="Times New Roman"/>
        </w:rPr>
        <w:t xml:space="preserve"> Lonka (NTNU) for his assistance with the visualization tools. </w:t>
      </w:r>
    </w:p>
    <w:p w14:paraId="42D419C8" w14:textId="77777777" w:rsidR="007C4522" w:rsidRPr="00460B52" w:rsidRDefault="007C4522" w:rsidP="007C4522">
      <w:pPr>
        <w:pStyle w:val="TFReferencesSection"/>
        <w:spacing w:after="0" w:line="240" w:lineRule="auto"/>
        <w:ind w:firstLine="0"/>
        <w:jc w:val="left"/>
        <w:rPr>
          <w:rFonts w:ascii="Times New Roman" w:hAnsi="Times New Roman"/>
          <w:b/>
        </w:rPr>
      </w:pPr>
    </w:p>
    <w:p w14:paraId="5DEDD74F" w14:textId="77777777" w:rsidR="007C4522" w:rsidRPr="00460B52" w:rsidRDefault="007C4522" w:rsidP="007C4522">
      <w:pPr>
        <w:spacing w:after="0"/>
        <w:rPr>
          <w:rFonts w:ascii="Times New Roman" w:hAnsi="Times New Roman"/>
          <w:b/>
        </w:rPr>
      </w:pPr>
      <w:r w:rsidRPr="00460B52">
        <w:rPr>
          <w:rFonts w:ascii="Times New Roman" w:hAnsi="Times New Roman"/>
          <w:b/>
        </w:rPr>
        <w:t>Author contributions</w:t>
      </w:r>
    </w:p>
    <w:p w14:paraId="0869E0BF" w14:textId="34D7D297" w:rsidR="007C4522" w:rsidRDefault="007C4522" w:rsidP="007C4522">
      <w:pPr>
        <w:spacing w:after="0"/>
        <w:rPr>
          <w:rFonts w:ascii="Times New Roman" w:hAnsi="Times New Roman"/>
        </w:rPr>
      </w:pPr>
      <w:r>
        <w:rPr>
          <w:rFonts w:ascii="Times New Roman" w:hAnsi="Times New Roman"/>
        </w:rPr>
        <w:lastRenderedPageBreak/>
        <w:t xml:space="preserve">H.H. and R.W. designed the study. R.W. prepared the IO </w:t>
      </w:r>
      <w:r w:rsidR="003A25C5">
        <w:rPr>
          <w:rFonts w:ascii="Times New Roman" w:hAnsi="Times New Roman"/>
        </w:rPr>
        <w:t>model and basic results</w:t>
      </w:r>
      <w:r>
        <w:rPr>
          <w:rFonts w:ascii="Times New Roman" w:hAnsi="Times New Roman"/>
        </w:rPr>
        <w:t>. S.M. and J.S. developed the phosphorus and nitrogen accounts. R.Z. prepared the impact assessment method. H.H. and D.I. conducted the analysis.</w:t>
      </w:r>
      <w:r w:rsidR="00D21122">
        <w:rPr>
          <w:rFonts w:ascii="Times New Roman" w:hAnsi="Times New Roman"/>
        </w:rPr>
        <w:t xml:space="preserve"> D.M. conducted the sensitivity analysis.</w:t>
      </w:r>
      <w:r>
        <w:rPr>
          <w:rFonts w:ascii="Times New Roman" w:hAnsi="Times New Roman"/>
        </w:rPr>
        <w:t xml:space="preserve"> H.H. made the figures. H.H., R.W., K.S. and D.I. contributed to the data interpretation. H.H., D.I., and R.W. wrote the paper. H.H., R.W., D.I., R.Z., K.S., S.M.</w:t>
      </w:r>
      <w:r w:rsidR="00D21122">
        <w:rPr>
          <w:rFonts w:ascii="Times New Roman" w:hAnsi="Times New Roman"/>
        </w:rPr>
        <w:t>, D.M.</w:t>
      </w:r>
      <w:r>
        <w:rPr>
          <w:rFonts w:ascii="Times New Roman" w:hAnsi="Times New Roman"/>
        </w:rPr>
        <w:t xml:space="preserve"> and J.S. contributed to manuscript editing.</w:t>
      </w:r>
      <w:r w:rsidR="00D21122">
        <w:rPr>
          <w:rFonts w:ascii="Times New Roman" w:hAnsi="Times New Roman"/>
        </w:rPr>
        <w:t xml:space="preserve"> </w:t>
      </w:r>
    </w:p>
    <w:p w14:paraId="38F4ACEC" w14:textId="77777777" w:rsidR="001419C3" w:rsidRDefault="001419C3" w:rsidP="001419C3">
      <w:pPr>
        <w:spacing w:after="0"/>
        <w:rPr>
          <w:rFonts w:ascii="Times New Roman" w:hAnsi="Times New Roman"/>
        </w:rPr>
      </w:pPr>
    </w:p>
    <w:p w14:paraId="19604D93" w14:textId="77777777" w:rsidR="001419C3" w:rsidRDefault="001419C3" w:rsidP="007C4522">
      <w:pPr>
        <w:spacing w:after="0"/>
        <w:rPr>
          <w:rFonts w:ascii="Times New Roman" w:hAnsi="Times New Roman"/>
          <w:b/>
        </w:rPr>
      </w:pPr>
    </w:p>
    <w:p w14:paraId="01F74D4A" w14:textId="77777777" w:rsidR="007C4522" w:rsidRPr="00460B52" w:rsidRDefault="007C4522" w:rsidP="007C4522">
      <w:pPr>
        <w:spacing w:after="0"/>
        <w:rPr>
          <w:rFonts w:ascii="Times New Roman" w:hAnsi="Times New Roman"/>
          <w:b/>
        </w:rPr>
      </w:pPr>
      <w:r w:rsidRPr="00460B52">
        <w:rPr>
          <w:rFonts w:ascii="Times New Roman" w:hAnsi="Times New Roman"/>
          <w:b/>
        </w:rPr>
        <w:t>Competing interests</w:t>
      </w:r>
    </w:p>
    <w:p w14:paraId="03CCDCD4" w14:textId="13223E61" w:rsidR="001273D4" w:rsidRDefault="007C4522" w:rsidP="009514B7">
      <w:pPr>
        <w:spacing w:after="0"/>
        <w:rPr>
          <w:rFonts w:ascii="Times New Roman" w:hAnsi="Times New Roman"/>
        </w:rPr>
      </w:pPr>
      <w:r>
        <w:rPr>
          <w:rFonts w:ascii="Times New Roman" w:hAnsi="Times New Roman"/>
        </w:rPr>
        <w:t>The authors declare no competing interests.</w:t>
      </w:r>
    </w:p>
    <w:p w14:paraId="23BFC317" w14:textId="77777777" w:rsidR="001273D4" w:rsidRDefault="001273D4">
      <w:pPr>
        <w:spacing w:after="160" w:line="259" w:lineRule="auto"/>
        <w:jc w:val="left"/>
        <w:rPr>
          <w:rFonts w:ascii="Times New Roman" w:hAnsi="Times New Roman"/>
        </w:rPr>
      </w:pPr>
      <w:r>
        <w:rPr>
          <w:rFonts w:ascii="Times New Roman" w:hAnsi="Times New Roman"/>
        </w:rPr>
        <w:br w:type="page"/>
      </w:r>
    </w:p>
    <w:p w14:paraId="42054D18" w14:textId="77777777" w:rsidR="001273D4" w:rsidRPr="00761387" w:rsidRDefault="001273D4" w:rsidP="001273D4">
      <w:pPr>
        <w:pStyle w:val="TAMainText"/>
        <w:spacing w:before="100" w:beforeAutospacing="1" w:after="100" w:afterAutospacing="1" w:line="240" w:lineRule="auto"/>
        <w:ind w:firstLine="0"/>
        <w:rPr>
          <w:rFonts w:ascii="Times New Roman" w:hAnsi="Times New Roman"/>
          <w:b/>
        </w:rPr>
      </w:pPr>
      <w:r>
        <w:rPr>
          <w:rFonts w:ascii="Times New Roman" w:hAnsi="Times New Roman"/>
          <w:b/>
        </w:rPr>
        <w:lastRenderedPageBreak/>
        <w:t>Methods</w:t>
      </w:r>
    </w:p>
    <w:p w14:paraId="606B6929" w14:textId="6E17BD3D" w:rsidR="001273D4" w:rsidRDefault="001273D4" w:rsidP="001273D4">
      <w:pPr>
        <w:pStyle w:val="TAMainText"/>
        <w:spacing w:before="100" w:beforeAutospacing="1" w:after="100" w:afterAutospacing="1" w:line="240" w:lineRule="auto"/>
        <w:ind w:firstLine="0"/>
        <w:rPr>
          <w:rFonts w:ascii="Times New Roman" w:hAnsi="Times New Roman"/>
        </w:rPr>
      </w:pPr>
      <w:r>
        <w:rPr>
          <w:rFonts w:ascii="Times New Roman" w:hAnsi="Times New Roman"/>
        </w:rPr>
        <w:t xml:space="preserve">We </w:t>
      </w:r>
      <w:r w:rsidR="00343C88">
        <w:rPr>
          <w:rFonts w:ascii="Times New Roman" w:hAnsi="Times New Roman"/>
        </w:rPr>
        <w:t>apply</w:t>
      </w:r>
      <w:r>
        <w:rPr>
          <w:rFonts w:ascii="Times New Roman" w:hAnsi="Times New Roman"/>
        </w:rPr>
        <w:t xml:space="preserve"> environmentally extended multi-regional input output analysis (MRIO) to </w:t>
      </w:r>
      <w:r w:rsidR="00343C88">
        <w:rPr>
          <w:rFonts w:ascii="Times New Roman" w:hAnsi="Times New Roman"/>
        </w:rPr>
        <w:t>quantify the summed supply chain emissions of</w:t>
      </w:r>
      <w:r>
        <w:rPr>
          <w:rFonts w:ascii="Times New Roman" w:hAnsi="Times New Roman"/>
        </w:rPr>
        <w:t xml:space="preserve"> nitrogen and phosphorus due to consuming a given good or service. </w:t>
      </w:r>
      <w:r w:rsidR="00343C88">
        <w:rPr>
          <w:rFonts w:ascii="Times New Roman" w:hAnsi="Times New Roman"/>
        </w:rPr>
        <w:t>S</w:t>
      </w:r>
      <w:r>
        <w:rPr>
          <w:rFonts w:ascii="Times New Roman" w:hAnsi="Times New Roman"/>
        </w:rPr>
        <w:t>patially explicit life cycle impact assessment methods</w:t>
      </w:r>
      <w:r w:rsidR="00343C88">
        <w:rPr>
          <w:rFonts w:ascii="Times New Roman" w:hAnsi="Times New Roman"/>
        </w:rPr>
        <w:t xml:space="preserve"> were used</w:t>
      </w:r>
      <w:r>
        <w:rPr>
          <w:rFonts w:ascii="Times New Roman" w:hAnsi="Times New Roman"/>
        </w:rPr>
        <w:t xml:space="preserve"> to characterize the physical emissions into a standard unit termed ‘eutrophication potential’ that spatially differentiates the level of impact in i) N equivalents for marine eutrophication footprints and ii) P equivalents for freshwater eutrophication footprints.</w:t>
      </w:r>
      <w:r>
        <w:rPr>
          <w:rFonts w:ascii="Times New Roman" w:hAnsi="Times New Roman"/>
        </w:rPr>
        <w:fldChar w:fldCharType="begin" w:fldLock="1"/>
      </w:r>
      <w:r w:rsidR="00A1364F">
        <w:rPr>
          <w:rFonts w:ascii="Times New Roman" w:hAnsi="Times New Roman"/>
        </w:rPr>
        <w:instrText>ADDIN CSL_CITATION { "citationItems" : [ { "id" : "ITEM-1", "itemData" : { "DOI" : "10.1007/s11367-016-1246-y", "ISSN" : "0948-3349", "author" : [ { "dropping-particle" : "", "family" : "Huijbregts", "given" : "Mark A J", "non-dropping-particle" : "", "parse-names" : false, "suffix" : "" }, { "dropping-particle" : "", "family" : "Steinmann", "given" : "Zoran J N", "non-dropping-particle" : "", "parse-names" : false, "suffix" : "" }, { "dropping-particle" : "", "family" : "Elshout", "given" : "Pieter M F", "non-dropping-particle" : "", "parse-names" : false, "suffix" : "" }, { "dropping-particle" : "", "family" : "Stam", "given" : "Gea", "non-dropping-particle" : "", "parse-names" : false, "suffix" : "" }, { "dropping-particle" : "", "family" : "Verones", "given" : "Francesca", "non-dropping-particle" : "", "parse-names" : false, "suffix" : "" }, { "dropping-particle" : "", "family" : "Vieira", "given" : "Marisa", "non-dropping-particle" : "", "parse-names" : false, "suffix" : "" }, { "dropping-particle" : "", "family" : "Zelm", "given" : "Rosalie", "non-dropping-particle" : "van", "parse-names" : false, "suffix" : "" } ], "container-title" : "The International Journal of Life Cycle Assessment", "id" : "ITEM-1", "issue" : "22", "issued" : { "date-parts" : [ [ "2017" ] ] }, "note" : "NULL", "page" : "138-147", "publisher" : "The International Journal of Life Cycle Assessment", "title" : "ReCiPe2016: a harmonized life cycle impact assessment method at midpoint and endpoint level", "type" : "article-journal" }, "uris" : [ "http://www.mendeley.com/documents/?uuid=e27c04b6-7360-4b57-8dc6-788807f8b0ca" ] } ], "mendeley" : { "formattedCitation" : "&lt;sup&gt;48&lt;/sup&gt;", "plainTextFormattedCitation" : "48", "previouslyFormattedCitation" : "&lt;sup&gt;48&lt;/sup&gt;"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48</w:t>
      </w:r>
      <w:r>
        <w:rPr>
          <w:rFonts w:ascii="Times New Roman" w:hAnsi="Times New Roman"/>
        </w:rPr>
        <w:fldChar w:fldCharType="end"/>
      </w:r>
      <w:r>
        <w:rPr>
          <w:rFonts w:ascii="Times New Roman" w:hAnsi="Times New Roman"/>
        </w:rPr>
        <w:t xml:space="preserve"> </w:t>
      </w:r>
      <w:r w:rsidR="00343C88">
        <w:rPr>
          <w:rFonts w:ascii="Times New Roman" w:hAnsi="Times New Roman"/>
        </w:rPr>
        <w:t>T</w:t>
      </w:r>
      <w:r>
        <w:rPr>
          <w:rFonts w:ascii="Times New Roman" w:hAnsi="Times New Roman"/>
        </w:rPr>
        <w:t xml:space="preserve">his </w:t>
      </w:r>
      <w:r w:rsidR="00343C88">
        <w:rPr>
          <w:rFonts w:ascii="Times New Roman" w:hAnsi="Times New Roman"/>
        </w:rPr>
        <w:t>was done for</w:t>
      </w:r>
      <w:r>
        <w:rPr>
          <w:rFonts w:ascii="Times New Roman" w:hAnsi="Times New Roman"/>
        </w:rPr>
        <w:t xml:space="preserve"> each year in the period between 2000 and 2011. </w:t>
      </w:r>
      <w:r w:rsidRPr="00426222">
        <w:rPr>
          <w:rFonts w:ascii="Times New Roman" w:hAnsi="Times New Roman"/>
        </w:rPr>
        <w:t xml:space="preserve">Finally, we </w:t>
      </w:r>
      <w:r>
        <w:rPr>
          <w:rFonts w:ascii="Times New Roman" w:hAnsi="Times New Roman"/>
        </w:rPr>
        <w:t>explore</w:t>
      </w:r>
      <w:r w:rsidRPr="00426222">
        <w:rPr>
          <w:rFonts w:ascii="Times New Roman" w:hAnsi="Times New Roman"/>
        </w:rPr>
        <w:t xml:space="preserve"> the relationship between the observed impacts and wealth</w:t>
      </w:r>
      <w:r>
        <w:rPr>
          <w:rFonts w:ascii="Times New Roman" w:hAnsi="Times New Roman"/>
        </w:rPr>
        <w:t xml:space="preserve"> through a set of univariate regression models</w:t>
      </w:r>
      <w:r w:rsidRPr="00426222">
        <w:rPr>
          <w:rFonts w:ascii="Times New Roman" w:hAnsi="Times New Roman"/>
        </w:rPr>
        <w:t>.</w:t>
      </w:r>
      <w:r>
        <w:rPr>
          <w:rFonts w:ascii="Times New Roman" w:hAnsi="Times New Roman"/>
        </w:rPr>
        <w:t xml:space="preserve"> </w:t>
      </w:r>
      <w:r w:rsidR="003070A4" w:rsidRPr="003070A4">
        <w:rPr>
          <w:rFonts w:ascii="Times New Roman" w:hAnsi="Times New Roman"/>
        </w:rPr>
        <w:t>For the sensitivity analysis</w:t>
      </w:r>
      <w:r w:rsidR="003070A4">
        <w:rPr>
          <w:rFonts w:ascii="Times New Roman" w:hAnsi="Times New Roman"/>
        </w:rPr>
        <w:t>,</w:t>
      </w:r>
      <w:r w:rsidR="003070A4" w:rsidRPr="003070A4">
        <w:rPr>
          <w:rFonts w:ascii="Times New Roman" w:hAnsi="Times New Roman"/>
        </w:rPr>
        <w:t xml:space="preserve"> the primary variables of the model – the trade flows, consumption patterns, P and N releases, and eutrophication impact of </w:t>
      </w:r>
      <w:r w:rsidR="003070A4">
        <w:rPr>
          <w:rFonts w:ascii="Times New Roman" w:hAnsi="Times New Roman"/>
        </w:rPr>
        <w:t>these</w:t>
      </w:r>
      <w:r w:rsidR="003070A4" w:rsidRPr="003070A4">
        <w:rPr>
          <w:rFonts w:ascii="Times New Roman" w:hAnsi="Times New Roman"/>
        </w:rPr>
        <w:t xml:space="preserve"> releases – were perturbed and the model result sensitivity to those perturbations </w:t>
      </w:r>
      <w:r w:rsidR="003070A4">
        <w:rPr>
          <w:rFonts w:ascii="Times New Roman" w:hAnsi="Times New Roman"/>
        </w:rPr>
        <w:t>were</w:t>
      </w:r>
      <w:r w:rsidR="003070A4" w:rsidRPr="003070A4">
        <w:rPr>
          <w:rFonts w:ascii="Times New Roman" w:hAnsi="Times New Roman"/>
        </w:rPr>
        <w:t xml:space="preserve"> measured. </w:t>
      </w:r>
      <w:r>
        <w:rPr>
          <w:rFonts w:ascii="Times New Roman" w:hAnsi="Times New Roman"/>
        </w:rPr>
        <w:t>The below paragraphs provide a detailed description of the methods and key assumptions made in this analysis.</w:t>
      </w:r>
    </w:p>
    <w:p w14:paraId="13AE22C3" w14:textId="77777777" w:rsidR="001273D4" w:rsidRDefault="001273D4" w:rsidP="001273D4">
      <w:pPr>
        <w:pStyle w:val="TAMainText"/>
        <w:spacing w:before="100" w:beforeAutospacing="1" w:after="100" w:afterAutospacing="1" w:line="240" w:lineRule="auto"/>
        <w:ind w:firstLine="0"/>
        <w:rPr>
          <w:rFonts w:ascii="Times New Roman" w:hAnsi="Times New Roman"/>
          <w:i/>
        </w:rPr>
      </w:pPr>
      <w:r>
        <w:rPr>
          <w:rFonts w:ascii="Times New Roman" w:hAnsi="Times New Roman"/>
          <w:i/>
        </w:rPr>
        <w:t>E</w:t>
      </w:r>
      <w:r w:rsidRPr="000362A2">
        <w:rPr>
          <w:rFonts w:ascii="Times New Roman" w:hAnsi="Times New Roman"/>
          <w:i/>
        </w:rPr>
        <w:t xml:space="preserve">nvironmentally Extended Multi-Regional Input-Output analysis </w:t>
      </w:r>
    </w:p>
    <w:p w14:paraId="1A7856A7" w14:textId="500755B9" w:rsidR="001273D4" w:rsidRDefault="001273D4" w:rsidP="001273D4">
      <w:pPr>
        <w:pStyle w:val="TAMainText"/>
        <w:spacing w:before="100" w:beforeAutospacing="1" w:after="100" w:afterAutospacing="1" w:line="240" w:lineRule="auto"/>
        <w:ind w:firstLine="0"/>
        <w:rPr>
          <w:rFonts w:ascii="Times New Roman" w:hAnsi="Times New Roman"/>
        </w:rPr>
      </w:pPr>
      <w:r>
        <w:rPr>
          <w:rFonts w:ascii="Times New Roman" w:hAnsi="Times New Roman"/>
        </w:rPr>
        <w:t>MRIO analysis is a widely used tool for calculating environmental footprints for various environmental pressures</w:t>
      </w:r>
      <w:r>
        <w:rPr>
          <w:rFonts w:ascii="Times New Roman" w:hAnsi="Times New Roman"/>
        </w:rPr>
        <w:fldChar w:fldCharType="begin" w:fldLock="1"/>
      </w:r>
      <w:r w:rsidR="00A1364F">
        <w:rPr>
          <w:rFonts w:ascii="Times New Roman" w:hAnsi="Times New Roman"/>
        </w:rPr>
        <w:instrText>ADDIN CSL_CITATION { "citationItems" : [ { "id" : "ITEM-1", "itemData" : { "DOI" : "10.3390/su7010138", "ISBN" : "2071-1050", "ISSN" : "20711050", "abstract" : "Measuring progress towards sustainable development requires appropriate frameworks and databases. The System of Environmental-Economic Accounts (SEEA) is undergoing continuous refinement with these objectives in mind. In SEEA, there is a need for databases to encompass the global dimension of societal metabolism. In this paper, we focus on the latest effort to construct a global multi-regional input\u2212output database (EXIOBASE) with a focus on environmentally relevant activities. The database and its broader analytical framework allows for the as yet most detailed insight into the production-related impacts and \u201cfootprints\u201d of our consumption. We explore the methods used to arrive at the database, and some key relationships extracted from the database.", "author" : [ { "dropping-particle" : "", "family" : "Wood", "given" : "Richard", "non-dropping-particle" : "", "parse-names" : false, "suffix" : "" }, { "dropping-particle" : "", "family" : "Stadler", "given" : "Konstantin", "non-dropping-particle" : "", "parse-names" : false, "suffix" : "" }, { "dropping-particle" : "", "family" : "Bulavskaya", "given" : "Tatyana", "non-dropping-particle" : "", "parse-names" : false, "suffix" : "" }, { "dropping-particle" : "", "family" : "Lutter", "given" : "Stephan", "non-dropping-particle" : "", "parse-names" : false, "suffix" : "" }, { "dropping-particle" : "", "family" : "Giljum", "given" : "Stefan", "non-dropping-particle" : "", "parse-names" : false, "suffix" : "" }, { "dropping-particle" : "", "family" : "Koning", "given" : "Arjan", "non-dropping-particle" : "de", "parse-names" : false, "suffix" : "" }, { "dropping-particle" : "", "family" : "Kuenen", "given" : "Jeroen", "non-dropping-particle" : "", "parse-names" : false, "suffix" : "" }, { "dropping-particle" : "", "family" : "Sch\u00fctz", "given" : "Helmut", "non-dropping-particle" : "", "parse-names" : false, "suffix" : "" }, { "dropping-particle" : "", "family" : "Acosta-Fern\u00e1ndez", "given" : "Jos\u00e9", "non-dropping-particle" : "", "parse-names" : false, "suffix" : "" }, { "dropping-particle" : "", "family" : "Usubiaga", "given" : "Arkaitz", "non-dropping-particle" : "", "parse-names" : false, "suffix" : "" }, { "dropping-particle" : "", "family" : "Simas", "given" : "Moana", "non-dropping-particle" : "", "parse-names" : false, "suffix" : "" }, { "dropping-particle" : "", "family" : "Ivanova", "given" : "Olga", "non-dropping-particle" : "", "parse-names" : false, "suffix" : "" }, { "dropping-particle" : "", "family" : "Weinzettel", "given" : "Jan", "non-dropping-particle" : "", "parse-names" : false, "suffix" : "" }, { "dropping-particle" : "", "family" : "Schmidt", "given" : "Jannick H.", "non-dropping-particle" : "", "parse-names" : false, "suffix" : "" }, { "dropping-particle" : "", "family" : "Merciai", "given" : "Stefano", "non-dropping-particle" : "", "parse-names" : false, "suffix" : "" }, { "dropping-particle" : "", "family" : "Tukker", "given" : "Arnold", "non-dropping-particle" : "", "parse-names" : false, "suffix" : "" } ], "container-title" : "Sustainability (Switzerland)", "id" : "ITEM-1", "issue" : "1", "issued" : { "date-parts" : [ [ "2015" ] ] }, "note" : "NULL", "page" : "138-163", "title" : "Global sustainability accounting-developing EXIOBASE for multi-regional footprint analysis", "type" : "article-journal", "volume" : "7" }, "uris" : [ "http://www.mendeley.com/documents/?uuid=527bb1d0-3538-43c9-bce2-fd60f4e35798" ] } ], "mendeley" : { "formattedCitation" : "&lt;sup&gt;49&lt;/sup&gt;", "plainTextFormattedCitation" : "49", "previouslyFormattedCitation" : "&lt;sup&gt;49&lt;/sup&gt;"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49</w:t>
      </w:r>
      <w:r>
        <w:rPr>
          <w:rFonts w:ascii="Times New Roman" w:hAnsi="Times New Roman"/>
        </w:rPr>
        <w:fldChar w:fldCharType="end"/>
      </w:r>
      <w:r>
        <w:rPr>
          <w:rFonts w:ascii="Times New Roman" w:hAnsi="Times New Roman"/>
        </w:rPr>
        <w:t>, for example carbon footprints</w:t>
      </w:r>
      <w:r>
        <w:rPr>
          <w:rFonts w:ascii="Times New Roman" w:hAnsi="Times New Roman"/>
        </w:rPr>
        <w:fldChar w:fldCharType="begin" w:fldLock="1"/>
      </w:r>
      <w:r w:rsidR="000F4114">
        <w:rPr>
          <w:rFonts w:ascii="Times New Roman" w:hAnsi="Times New Roman"/>
        </w:rPr>
        <w:instrText>ADDIN CSL_CITATION { "citationItems" : [ { "id" : "ITEM-1", "itemData" : { "DOI" : "10.1021/es803496a", "author" : [ { "dropping-particle" : "", "family" : "Hertwich", "given" : "E.", "non-dropping-particle" : "", "parse-names" : false, "suffix" : "" }, { "dropping-particle" : "", "family" : "Peters", "given" : "G.", "non-dropping-particle" : "", "parse-names" : false, "suffix" : "" } ], "container-title" : "Environmental Science &amp; Technology", "id" : "ITEM-1", "issue" : "16", "issued" : { "date-parts" : [ [ "2009" ] ] }, "page" : "6414-6420", "title" : "Carbon footprint of nations: A global, trade-linked analysis", "type" : "article-journal", "volume" : "43" }, "uris" : [ "http://www.mendeley.com/documents/?uuid=4513b795-b7c9-4cff-9bf2-fda1b77dbbe5", "http://www.mendeley.com/documents/?uuid=ee62629c-4182-4398-beba-441668bfad2a" ] } ], "mendeley" : { "formattedCitation" : "&lt;sup&gt;24&lt;/sup&gt;", "plainTextFormattedCitation" : "24", "previouslyFormattedCitation" : "&lt;sup&gt;24&lt;/sup&gt;" }, "properties" : {  }, "schema" : "https://github.com/citation-style-language/schema/raw/master/csl-citation.json" }</w:instrText>
      </w:r>
      <w:r>
        <w:rPr>
          <w:rFonts w:ascii="Times New Roman" w:hAnsi="Times New Roman"/>
        </w:rPr>
        <w:fldChar w:fldCharType="separate"/>
      </w:r>
      <w:r w:rsidR="00E741B8" w:rsidRPr="00E741B8">
        <w:rPr>
          <w:rFonts w:ascii="Times New Roman" w:hAnsi="Times New Roman"/>
          <w:noProof/>
          <w:vertAlign w:val="superscript"/>
        </w:rPr>
        <w:t>24</w:t>
      </w:r>
      <w:r>
        <w:rPr>
          <w:rFonts w:ascii="Times New Roman" w:hAnsi="Times New Roman"/>
        </w:rPr>
        <w:fldChar w:fldCharType="end"/>
      </w:r>
      <w:r>
        <w:rPr>
          <w:rFonts w:ascii="Times New Roman" w:hAnsi="Times New Roman"/>
        </w:rPr>
        <w:t>, land footprints, water footprints</w:t>
      </w:r>
      <w:r>
        <w:rPr>
          <w:rFonts w:ascii="Times New Roman" w:hAnsi="Times New Roman"/>
        </w:rPr>
        <w:fldChar w:fldCharType="begin" w:fldLock="1"/>
      </w:r>
      <w:r w:rsidR="00A1364F">
        <w:rPr>
          <w:rFonts w:ascii="Times New Roman" w:hAnsi="Times New Roman"/>
        </w:rPr>
        <w:instrText>ADDIN CSL_CITATION { "citationItems" : [ { "id" : "ITEM-1", "itemData" : { "DOI" : "10.1016/j.ecolecon.2014.02.006", "ISBN" : "0921-8009", "ISSN" : "09218009", "abstract" : "China's booming economy has brought increasing pressures on its water resources. The water scarcity problem in China is characterized by a mismatch between the spatial distributions of water resources, economic development and other primary factors of production, which leads to the separation of production and consumption of water-intensive products. In this paper, we quantify the scale and structure of virtual water trade and consumption-based water footprints at the provincial level in China based on a multi-regional input-output model. We found that virtual water withdrawals and consumption embodied in domestic trade amounts to 184billionm3 and 101billionm3 in 2007, respectively, which is equivalent to 38% and 39% of national total fresh water withdrawals and consumption, respectively. Virtual water trade embodied in domestic trade is about two times as much as virtual water embodied in China's international exports. Water footprint in all four municipalities, i.e., Beijing, Tianjin, Shanghai and Chongqing, depends heavily on virtual water inflow from other provinces. China has a north-to-south net VWT pattern which is roughly the opposite of the distribution of its water resources. In addition to water efficiency improvement measures, re-shaping the water-trade nexus can be a significant complementary tool to address local water scarcity problems. ?? 2014 Elsevier B.V.", "author" : [ { "dropping-particle" : "", "family" : "Zhang", "given" : "Chao", "non-dropping-particle" : "", "parse-names" : false, "suffix" : "" }, { "dropping-particle" : "", "family" : "Anadon", "given" : "Laura Diaz", "non-dropping-particle" : "", "parse-names" : false, "suffix" : "" } ], "container-title" : "Ecological Economics", "id" : "ITEM-1", "issued" : { "date-parts" : [ [ "2014" ] ] }, "page" : "159-172", "publisher" : "Elsevier B.V.", "title" : "A multi-regional input-output analysis of domestic virtual water trade and provincial water footprint in China", "type" : "article-journal", "volume" : "100" }, "uris" : [ "http://www.mendeley.com/documents/?uuid=7580870a-d72b-4040-9cb2-5fe2c0c6d257" ] } ], "mendeley" : { "formattedCitation" : "&lt;sup&gt;50&lt;/sup&gt;", "plainTextFormattedCitation" : "50", "previouslyFormattedCitation" : "&lt;sup&gt;50&lt;/sup&gt;"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50</w:t>
      </w:r>
      <w:r>
        <w:rPr>
          <w:rFonts w:ascii="Times New Roman" w:hAnsi="Times New Roman"/>
        </w:rPr>
        <w:fldChar w:fldCharType="end"/>
      </w:r>
      <w:r>
        <w:rPr>
          <w:rFonts w:ascii="Times New Roman" w:hAnsi="Times New Roman"/>
        </w:rPr>
        <w:t xml:space="preserve"> and labor footprints</w:t>
      </w:r>
      <w:r>
        <w:rPr>
          <w:rFonts w:ascii="Times New Roman" w:hAnsi="Times New Roman"/>
        </w:rPr>
        <w:fldChar w:fldCharType="begin" w:fldLock="1"/>
      </w:r>
      <w:r w:rsidR="00A1364F">
        <w:rPr>
          <w:rFonts w:ascii="Times New Roman" w:hAnsi="Times New Roman"/>
        </w:rPr>
        <w:instrText>ADDIN CSL_CITATION { "citationItems" : [ { "id" : "ITEM-1", "itemData" : { "DOI" : "10.1111/jiec.12187", "ISBN" : "1530-9290", "ISSN" : "10881980", "abstract" : "Global production chains carry environmental and socioeconomic impacts embodied in each traded good and service. Even though labor and energy productivities tend to be higher for domestic production in high-income countries than those in emerging economies, this difference is significantly reduced for consumption, when including imported products to satisfy national demand. The analysis of socioeconomic and environmental aspects embodied in consumption can shed a light on the real level of productivity of an economy, as well as the effects of rising imports and offshoring. This research introduces a consumption-based metric for productivity, in which we evaluate the loss of productivity of developed nations resulting from imports from less-developed economies and offshoring of labor-intensive production. We measure the labor, energy, and greenhouse gas emissions footprints in the European Union's trade with the rest of the world through a multiregional input-output model. We confirm that the labor footprint of European imports is significantly higher than the one of exports, mainly from low-skilled, labor-intensive primary sectors. A high share of labor embodied in exports is commonly associated with low energy productivities in domestic industries. Hence, this reconfirms that the offshoring of production to cheaper and low-skilled, labor-abundant countries offsets, or even reverts, energy efficiency gains and climate-change mitigation actions in developed countries.", "author" : [ { "dropping-particle" : "", "family" : "Simas", "given" : "Moana", "non-dropping-particle" : "", "parse-names" : false, "suffix" : "" }, { "dropping-particle" : "", "family" : "Wood", "given" : "Richard", "non-dropping-particle" : "", "parse-names" : false, "suffix" : "" }, { "dropping-particle" : "", "family" : "Hertwich", "given" : "Edgar", "non-dropping-particle" : "", "parse-names" : false, "suffix" : "" } ], "container-title" : "Journal of Industrial Ecology", "id" : "ITEM-1", "issue" : "3", "issued" : { "date-parts" : [ [ "2015" ] ] }, "page" : "343-356", "title" : "Labor Embodied in Trade", "type" : "article-journal", "volume" : "19" }, "uris" : [ "http://www.mendeley.com/documents/?uuid=95724371-acc3-49cd-901e-4062dbf67180" ] } ], "mendeley" : { "formattedCitation" : "&lt;sup&gt;51&lt;/sup&gt;", "plainTextFormattedCitation" : "51", "previouslyFormattedCitation" : "&lt;sup&gt;51&lt;/sup&gt;"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51</w:t>
      </w:r>
      <w:r>
        <w:rPr>
          <w:rFonts w:ascii="Times New Roman" w:hAnsi="Times New Roman"/>
        </w:rPr>
        <w:fldChar w:fldCharType="end"/>
      </w:r>
      <w:r>
        <w:rPr>
          <w:rFonts w:ascii="Times New Roman" w:hAnsi="Times New Roman"/>
        </w:rPr>
        <w:t>.  MRIO analyzes inter-industry flows between economic sectors both domestically and abroad. This allows to distinguish between domestic impacts versus impacts that occur in other countries due to the consumption of traded goods and track the onward processing of goods across multiple borders (for example, the production of soy in South America, to the production of beef cattle in North America, to the import of</w:t>
      </w:r>
      <w:r w:rsidR="00807EAC">
        <w:rPr>
          <w:rFonts w:ascii="Times New Roman" w:hAnsi="Times New Roman"/>
        </w:rPr>
        <w:t xml:space="preserve"> leather to Indonesia for textile production to the final demand of clothing</w:t>
      </w:r>
      <w:r w:rsidR="008D05B6">
        <w:rPr>
          <w:rFonts w:ascii="Times New Roman" w:hAnsi="Times New Roman"/>
        </w:rPr>
        <w:t xml:space="preserve"> </w:t>
      </w:r>
      <w:r w:rsidR="00807EAC">
        <w:rPr>
          <w:rFonts w:ascii="Times New Roman" w:hAnsi="Times New Roman"/>
        </w:rPr>
        <w:t>in Europe</w:t>
      </w:r>
      <w:r>
        <w:rPr>
          <w:rFonts w:ascii="Times New Roman" w:hAnsi="Times New Roman"/>
        </w:rPr>
        <w:t xml:space="preserve">). The use of MRIO for calculating environmental footprints has been documented extensively and further information can be found, for example, in </w:t>
      </w:r>
      <w:r w:rsidRPr="00C01BD2">
        <w:rPr>
          <w:rFonts w:ascii="Times New Roman" w:hAnsi="Times New Roman"/>
        </w:rPr>
        <w:t>Turner et al</w:t>
      </w:r>
      <w:r>
        <w:rPr>
          <w:rFonts w:ascii="Times New Roman" w:hAnsi="Times New Roman"/>
        </w:rPr>
        <w:t>.</w:t>
      </w:r>
      <w:r>
        <w:rPr>
          <w:rFonts w:ascii="Times New Roman" w:hAnsi="Times New Roman"/>
        </w:rPr>
        <w:fldChar w:fldCharType="begin" w:fldLock="1"/>
      </w:r>
      <w:r w:rsidR="00A1364F">
        <w:rPr>
          <w:rFonts w:ascii="Times New Roman" w:hAnsi="Times New Roman"/>
        </w:rPr>
        <w:instrText>ADDIN CSL_CITATION { "citationItems" : [ { "id" : "ITEM-1", "itemData" : { "DOI" : "10.1016/j.ecolecon.2006.12.002", "ISBN" : "09218009 (ISSN)", "ISSN" : "09218009", "abstract" : "In recent years there have been a number of attempts to develop a more comprehensive approach to the issue of measuring resource use and/or pollution generation embodied in trade flows, including contributions that combine input-output techniques and Ecological Footprint analysis. In this two-part paper we describe how to enumerate the resource and/or pollution content of inter-regional and inter-national trade flows (Part 1) and we present a literature review of recent methodological and empirical developments (Part 2). It is straightforward in principle to extend the basic input-output approach to capture international trade flows. However, in practice, problems of data availability and compatibility, and of computability of extended input-output matrices, mean that simplifying assumptions are generally applied, but with the implications of these assumptions often not made fully explicit. What appears to be absent from previous applications is an account of the analytical method by which Ecological Footprints should ideally be estimated in an international input-output accounting analysis. This allows an explicit analysis of the problems that prevent the application of the full method and identification of the most appropriate short-cut methods in a transparent way. The objective of this paper is to provide such an account. ?? 2006 Elsevier B.V. All rights reserved.", "author" : [ { "dropping-particle" : "", "family" : "Turner", "given" : "Karen", "non-dropping-particle" : "", "parse-names" : false, "suffix" : "" }, { "dropping-particle" : "", "family" : "Lenzen", "given" : "Manfred", "non-dropping-particle" : "", "parse-names" : false, "suffix" : "" }, { "dropping-particle" : "", "family" : "Wiedmann", "given" : "Thomas", "non-dropping-particle" : "", "parse-names" : false, "suffix" : "" }, { "dropping-particle" : "", "family" : "Barrett", "given" : "John", "non-dropping-particle" : "", "parse-names" : false, "suffix" : "" } ], "container-title" : "Ecological Economics", "id" : "ITEM-1", "issue" : "1", "issued" : { "date-parts" : [ [ "2007" ] ] }, "page" : "37-44", "title" : "Examining the global environmental impact of regional consumption activities - Part 1: A technical note on combining input-output and ecological footprint analysis", "type" : "article-journal", "volume" : "62" }, "uris" : [ "http://www.mendeley.com/documents/?uuid=05895f30-b7cb-4633-bc3c-c4ab59255cf2" ] } ], "mendeley" : { "formattedCitation" : "&lt;sup&gt;52&lt;/sup&gt;", "plainTextFormattedCitation" : "52", "previouslyFormattedCitation" : "&lt;sup&gt;52&lt;/sup&gt;"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52</w:t>
      </w:r>
      <w:r>
        <w:rPr>
          <w:rFonts w:ascii="Times New Roman" w:hAnsi="Times New Roman"/>
        </w:rPr>
        <w:fldChar w:fldCharType="end"/>
      </w:r>
      <w:r>
        <w:rPr>
          <w:rFonts w:ascii="Times New Roman" w:hAnsi="Times New Roman"/>
        </w:rPr>
        <w:t xml:space="preserve"> We use a standard Leontief demand pull technique to allocate environmental pressure to final consumption category, using a full MRIO approach.</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"Miller", "given" : "Ronald A.", "non-dropping-particle" : "", "parse-names" : false, "suffix" : "" }, { "dropping-particle" : "", "family" : "Blair", "given" : "Peter D.", "non-dropping-particle" : "", "parse-names" : false, "suffix" : "" } ], "edition" : "2nd", "id" : "ITEM-1", "issued" : { "date-parts" : [ [ "2009" ] ] }, "number-of-pages" : "1-784", "publisher" : "Cambridge University Press", "publisher-place" : "Cambridge, United Kingdom", "title" : "Input-Output Analysis Foundations and Extensions", "type" : "book" }, "uris" : [ "http://www.mendeley.com/documents/?uuid=bf29ed7e-2b2e-412c-96f7-7f45c6429f20" ] }, { "id" : "ITEM-2", "itemData" : { "author" : [ { "dropping-particle" : "", "family" : "Murray", "given" : "Joy", "non-dropping-particle" : "", "parse-names" : false, "suffix" : "" }, { "dropping-particle" : "", "family" : "Wood", "given" : "Richard", "non-dropping-particle" : "", "parse-names" : false, "suffix" : "" } ], "id" : "ITEM-2", "issued" : { "date-parts" : [ [ "2010" ] ] }, "number-of-pages" : "1-256", "publisher" : "Common Ground Publishing", "title" : "The Sustainability Practitioner's Guide to Input-Output Analysis", "type" : "book" }, "uris" : [ "http://www.mendeley.com/documents/?uuid=7f315b68-a9a5-4347-9e60-895d4e622ed5" ] } ], "mendeley" : { "formattedCitation" : "&lt;sup&gt;53,54&lt;/sup&gt;", "plainTextFormattedCitation" : "53,54", "previouslyFormattedCitation" : "&lt;sup&gt;53,54&lt;/sup&gt;"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53,54</w:t>
      </w:r>
      <w:r>
        <w:rPr>
          <w:rFonts w:ascii="Times New Roman" w:hAnsi="Times New Roman"/>
        </w:rPr>
        <w:fldChar w:fldCharType="end"/>
      </w:r>
      <w:r>
        <w:rPr>
          <w:rFonts w:ascii="Times New Roman" w:hAnsi="Times New Roman"/>
        </w:rPr>
        <w:t xml:space="preserve"> </w:t>
      </w:r>
    </w:p>
    <w:p w14:paraId="15A106E8" w14:textId="235D957F" w:rsidR="001273D4" w:rsidRPr="007174C0" w:rsidRDefault="001273D4" w:rsidP="001273D4">
      <w:pPr>
        <w:pStyle w:val="TAMainText"/>
        <w:spacing w:before="100" w:beforeAutospacing="1" w:after="100" w:afterAutospacing="1" w:line="240" w:lineRule="auto"/>
        <w:ind w:firstLine="0"/>
        <w:rPr>
          <w:rFonts w:ascii="Times New Roman" w:hAnsi="Times New Roman"/>
          <w:color w:val="FF0000"/>
        </w:rPr>
      </w:pPr>
      <w:r>
        <w:rPr>
          <w:rFonts w:ascii="Times New Roman" w:hAnsi="Times New Roman"/>
        </w:rPr>
        <w:t>Here, we use the EXIOBASE</w:t>
      </w:r>
      <w:r w:rsidR="00197429">
        <w:rPr>
          <w:rFonts w:ascii="Times New Roman" w:hAnsi="Times New Roman"/>
        </w:rPr>
        <w:t xml:space="preserve"> (v3.4)</w:t>
      </w:r>
      <w:r>
        <w:rPr>
          <w:rFonts w:ascii="Times New Roman" w:hAnsi="Times New Roman"/>
        </w:rPr>
        <w:t xml:space="preserve"> MRIO model</w:t>
      </w:r>
      <w:r>
        <w:rPr>
          <w:rFonts w:ascii="Times New Roman" w:hAnsi="Times New Roman"/>
        </w:rPr>
        <w:fldChar w:fldCharType="begin" w:fldLock="1"/>
      </w:r>
      <w:r w:rsidR="00A1364F">
        <w:rPr>
          <w:rFonts w:ascii="Times New Roman" w:hAnsi="Times New Roman"/>
        </w:rPr>
        <w:instrText>ADDIN CSL_CITATION { "citationItems" : [ { "id" : "ITEM-1", "itemData" : { "DOI" : "10.1080/09535314.2012.761952", "author" : [ { "dropping-particle" : "", "family" : "Tukker", "given" : "Arnold", "non-dropping-particle" : "", "parse-names" : false, "suffix" : "" }, { "dropping-particle" : "", "family" : "Koning", "given" : "Arjan", "non-dropping-particle" : "de", "parse-names" : false, "suffix" : "" }, { "dropping-particle" : "", "family" : "Wood", "given" : "Richard", "non-dropping-particle" : "", "parse-names" : false, "suffix" : "" }, { "dropping-particle" : "", "family" : "Hawkins", "given" : "Troy", "non-dropping-particle" : "", "parse-names" : false, "suffix" : "" }, { "dropping-particle" : "", "family" : "Lutter", "given" : "Stephan", "non-dropping-particle" : "", "parse-names" : false, "suffix" : "" }, { "dropping-particle" : "", "family" : "Acosta", "given" : "Jose", "non-dropping-particle" : "", "parse-names" : false, "suffix" : "" }, { "dropping-particle" : "", "family" : "Rueda Cantuche", "given" : "Jose M.", "non-dropping-particle" : "", "parse-names" : false, "suffix" : "" }, { "dropping-particle" : "", "family" : "Bouwmeester", "given" : "Maaike", "non-dropping-particle" : "", "parse-names" : false, "suffix" : "" }, { "dropping-particle" : "", "family" : "Oosterhaven", "given" : "Jan", "non-dropping-particle" : "", "parse-names" : false, "suffix" : "" }, { "dropping-particle" : "", "family" : "Drosdowski", "given" : "Thomas", "non-dropping-particle" : "", "parse-names" : false, "suffix" : "" }, { "dropping-particle" : "", "family" : "Kuenen", "given" : "Jeroen", "non-dropping-particle" : "", "parse-names" : false, "suffix" : "" } ], "container-title" : "Economic Systems Research", "id" : "ITEM-1", "issue" : "1", "issued" : { "date-parts" : [ [ "2013", "3" ] ] }, "page" : "50-70", "title" : "Exiopol \u2013 Development and Illustrative Analyses of a Detailed Global MR EE SUT/IOT", "type" : "article-journal", "volume" : "25" }, "uris" : [ "http://www.mendeley.com/documents/?uuid=ac2cd216-9db9-41a3-b8f4-f0eb7ffb4b10" ] }, { "id" : "ITEM-2", "itemData" : { "DOI" : "10.3390/su7010138", "ISBN" : "2071-1050", "ISSN" : "20711050", "abstract" : "Measuring progress towards sustainable development requires appropriate frameworks and databases. The System of Environmental-Economic Accounts (SEEA) is undergoing continuous refinement with these objectives in mind. In SEEA, there is a need for databases to encompass the global dimension of societal metabolism. In this paper, we focus on the latest effort to construct a global multi-regional input\u2212output database (EXIOBASE) with a focus on environmentally relevant activities. The database and its broader analytical framework allows for the as yet most detailed insight into the production-related impacts and \u201cfootprints\u201d of our consumption. We explore the methods used to arrive at the database, and some key relationships extracted from the database.", "author" : [ { "dropping-particle" : "", "family" : "Wood", "given" : "Richard", "non-dropping-particle" : "", "parse-names" : false, "suffix" : "" }, { "dropping-particle" : "", "family" : "Stadler", "given" : "Konstantin", "non-dropping-particle" : "", "parse-names" : false, "suffix" : "" }, { "dropping-particle" : "", "family" : "Bulavskaya", "given" : "Tatyana", "non-dropping-particle" : "", "parse-names" : false, "suffix" : "" }, { "dropping-particle" : "", "family" : "Lutter", "given" : "Stephan", "non-dropping-particle" : "", "parse-names" : false, "suffix" : "" }, { "dropping-particle" : "", "family" : "Giljum", "given" : "Stefan", "non-dropping-particle" : "", "parse-names" : false, "suffix" : "" }, { "dropping-particle" : "", "family" : "Koning", "given" : "Arjan", "non-dropping-particle" : "de", "parse-names" : false, "suffix" : "" }, { "dropping-particle" : "", "family" : "Kuenen", "given" : "Jeroen", "non-dropping-particle" : "", "parse-names" : false, "suffix" : "" }, { "dropping-particle" : "", "family" : "Sch\u00fctz", "given" : "Helmut", "non-dropping-particle" : "", "parse-names" : false, "suffix" : "" }, { "dropping-particle" : "", "family" : "Acosta-Fern\u00e1ndez", "given" : "Jos\u00e9", "non-dropping-particle" : "", "parse-names" : false, "suffix" : "" }, { "dropping-particle" : "", "family" : "Usubiaga", "given" : "Arkaitz", "non-dropping-particle" : "", "parse-names" : false, "suffix" : "" }, { "dropping-particle" : "", "family" : "Simas", "given" : "Moana", "non-dropping-particle" : "", "parse-names" : false, "suffix" : "" }, { "dropping-particle" : "", "family" : "Ivanova", "given" : "Olga", "non-dropping-particle" : "", "parse-names" : false, "suffix" : "" }, { "dropping-particle" : "", "family" : "Weinzettel", "given" : "Jan", "non-dropping-particle" : "", "parse-names" : false, "suffix" : "" }, { "dropping-particle" : "", "family" : "Schmidt", "given" : "Jannick H.", "non-dropping-particle" : "", "parse-names" : false, "suffix" : "" }, { "dropping-particle" : "", "family" : "Merciai", "given" : "Stefano", "non-dropping-particle" : "", "parse-names" : false, "suffix" : "" }, { "dropping-particle" : "", "family" : "Tukker", "given" : "Arnold", "non-dropping-particle" : "", "parse-names" : false, "suffix" : "" } ], "container-title" : "Sustainability (Switzerland)", "id" : "ITEM-2", "issue" : "1", "issued" : { "date-parts" : [ [ "2015" ] ] }, "note" : "NULL", "page" : "138-163", "title" : "Global sustainability accounting-developing EXIOBASE for multi-regional footprint analysis", "type" : "article-journal", "volume" : "7" }, "uris" : [ "http://www.mendeley.com/documents/?uuid=527bb1d0-3538-43c9-bce2-fd60f4e35798" ] }, { "id" : "ITEM-3", "itemData" : { "DOI" : "10.1111/jiec.12715", "author" : [ { "dropping-particle" : "", "family" : "Stadler", "given" : "Konstantin", "non-dropping-particle" : "", "parse-names" : false, "suffix" : "" }, { "dropping-particle" : "", "family" : "Wood", "given" : "Richard", "non-dropping-particle" : "", "parse-names" : false, "suffix" : "" }, { "dropping-particle" : "", "family" : "Bulavskaya", "given" : "Tatyana", "non-dropping-particle" : "", "parse-names" : false, "suffix" : "" }, { "dropping-particle" : "", "family" : "S\u00f6dersten", "given" : "Carl-Johan", "non-dropping-particle" : "", "parse-names" : false, "suffix" : "" }, { "dropping-particle" : "", "family" : "Simas", "given" : "Moana", "non-dropping-particle" : "", "parse-names" : false, "suffix" : "" }, { "dropping-particle" : "", "family" : "Schmidt", "given" : "Sarah", "non-dropping-particle" : "", "parse-names" : false, "suffix" : "" }, { "dropping-particle" : "", "family" : "Usubiaga", "given" : "Arkaitz", "non-dropping-particle" : "", "parse-names" : false, "suffix" : "" }, { "dropping-particle" : "", "family" : "Acosta-Fern\u00e1ndez", "given" : "Jos\u00e9", "non-dropping-particle" : "", "parse-names" : false, "suffix" : "" }, { "dropping-particle" : "", "family" : "Kuenen", "given" : "Jeroen", "non-dropping-particle" : "", "parse-names" : false, "suffix" : "" }, { "dropping-particle" : "", "family" : "Bruckner", "given" : "Martin", "non-dropping-particle" : "", "parse-names" : false, "suffix" : "" }, { "dropping-particle" : "", "family" : "Giljum", "given" : "Stefan", "non-dropping-particle" : "", "parse-names" : false, "suffix" : "" }, { "dropping-particle" : "", "family" : "Lutter", "given" : "Stephan", "non-dropping-particle" : "", "parse-names" : false, "suffix" : "" }, { "dropping-particle" : "", "family" : "Merciai", "given" : "Stefano", "non-dropping-particle" : "", "parse-names" : false, "suffix" : "" }, { "dropping-particle" : "", "family" : "Schmidt", "given" : "Jannick H", "non-dropping-particle" : "", "parse-names" : false, "suffix" : "" }, { "dropping-particle" : "", "family" : "Theurl", "given" : "Michaela C.", "non-dropping-particle" : "", "parse-names" : false, "suffix" : "" }, { "dropping-particle" : "", "family" : "Plutzar", "given" : "Christoph", "non-dropping-particle" : "", "parse-names" : false, "suffix" : "" }, { "dropping-particle" : "", "family" : "Kastner", "given" : "Thomas", "non-dropping-particle" : "", "parse-names" : false, "suffix" : "" }, { "dropping-particle" : "", "family" : "Eisenmenger", "given" : "Nina", "non-dropping-particle" : "", "parse-names" : false, "suffix" : "" }, { "dropping-particle" : "", "family" : "Erb", "given" : "Karl-Heinz", "non-dropping-particle" : "", "parse-names" : false, "suffix" : "" }, { "dropping-particle" : "de", "family" : "Koning", "given" : "Arjan", "non-dropping-particle" : "", "parse-names" : false, "suffix" : "" }, { "dropping-particle" : "", "family" : "Tukker", "given" : "Arnold", "non-dropping-particle" : "", "parse-names" : false, "suffix" : "" } ], "container-title" : "Journal of Industrial Ecology", "id" : "ITEM-3", "issued" : { "date-parts" : [ [ "2018" ] ] }, "title" : "EXIOBASE 3 Developing a time series of detailed Environmentally Extended Multi-Regional Input-Output tables", "type" : "article-journal" }, "uris" : [ "http://www.mendeley.com/documents/?uuid=0152deea-4c32-462b-a2b7-fd3acf061306" ] } ], "mendeley" : { "formattedCitation" : "&lt;sup&gt;49,55,56&lt;/sup&gt;", "plainTextFormattedCitation" : "49,55,56", "previouslyFormattedCitation" : "&lt;sup&gt;49,55,56&lt;/sup&gt;"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49,55,56</w:t>
      </w:r>
      <w:r>
        <w:rPr>
          <w:rFonts w:ascii="Times New Roman" w:hAnsi="Times New Roman"/>
        </w:rPr>
        <w:fldChar w:fldCharType="end"/>
      </w:r>
      <w:r>
        <w:rPr>
          <w:rFonts w:ascii="Times New Roman" w:hAnsi="Times New Roman"/>
        </w:rPr>
        <w:t xml:space="preserve"> to calculate freshwater and marine eutrophication footprints. EXIOBASE provides globally consistent disaggregation of agricultural and food products with the principal goal to separate out animal, crop and fiber crop based supply chains. EXIOBASE provides full coverage of individual EU countries and 15 other major economies, whilst modelling five other rest of the world (RoW) regions grouped by continent. Fifteen agricultural industries are modelled and 12 food processing industries as well as separate industries for forestry and textile production. We use version 3 of the database</w:t>
      </w:r>
      <w:r>
        <w:rPr>
          <w:rFonts w:ascii="Times New Roman" w:hAnsi="Times New Roman"/>
        </w:rPr>
        <w:fldChar w:fldCharType="begin" w:fldLock="1"/>
      </w:r>
      <w:r w:rsidR="00A1364F">
        <w:rPr>
          <w:rFonts w:ascii="Times New Roman" w:hAnsi="Times New Roman"/>
        </w:rPr>
        <w:instrText>ADDIN CSL_CITATION { "citationItems" : [ { "id" : "ITEM-1", "itemData" : { "DOI" : "10.1111/jiec.12715", "author" : [ { "dropping-particle" : "", "family" : "Stadler", "given" : "Konstantin", "non-dropping-particle" : "", "parse-names" : false, "suffix" : "" }, { "dropping-particle" : "", "family" : "Wood", "given" : "Richard", "non-dropping-particle" : "", "parse-names" : false, "suffix" : "" }, { "dropping-particle" : "", "family" : "Bulavskaya", "given" : "Tatyana", "non-dropping-particle" : "", "parse-names" : false, "suffix" : "" }, { "dropping-particle" : "", "family" : "S\u00f6dersten", "given" : "Carl-Johan", "non-dropping-particle" : "", "parse-names" : false, "suffix" : "" }, { "dropping-particle" : "", "family" : "Simas", "given" : "Moana", "non-dropping-particle" : "", "parse-names" : false, "suffix" : "" }, { "dropping-particle" : "", "family" : "Schmidt", "given" : "Sarah", "non-dropping-particle" : "", "parse-names" : false, "suffix" : "" }, { "dropping-particle" : "", "family" : "Usubiaga", "given" : "Arkaitz", "non-dropping-particle" : "", "parse-names" : false, "suffix" : "" }, { "dropping-particle" : "", "family" : "Acosta-Fern\u00e1ndez", "given" : "Jos\u00e9", "non-dropping-particle" : "", "parse-names" : false, "suffix" : "" }, { "dropping-particle" : "", "family" : "Kuenen", "given" : "Jeroen", "non-dropping-particle" : "", "parse-names" : false, "suffix" : "" }, { "dropping-particle" : "", "family" : "Bruckner", "given" : "Martin", "non-dropping-particle" : "", "parse-names" : false, "suffix" : "" }, { "dropping-particle" : "", "family" : "Giljum", "given" : "Stefan", "non-dropping-particle" : "", "parse-names" : false, "suffix" : "" }, { "dropping-particle" : "", "family" : "Lutter", "given" : "Stephan", "non-dropping-particle" : "", "parse-names" : false, "suffix" : "" }, { "dropping-particle" : "", "family" : "Merciai", "given" : "Stefano", "non-dropping-particle" : "", "parse-names" : false, "suffix" : "" }, { "dropping-particle" : "", "family" : "Schmidt", "given" : "Jannick H", "non-dropping-particle" : "", "parse-names" : false, "suffix" : "" }, { "dropping-particle" : "", "family" : "Theurl", "given" : "Michaela C.", "non-dropping-particle" : "", "parse-names" : false, "suffix" : "" }, { "dropping-particle" : "", "family" : "Plutzar", "given" : "Christoph", "non-dropping-particle" : "", "parse-names" : false, "suffix" : "" }, { "dropping-particle" : "", "family" : "Kastner", "given" : "Thomas", "non-dropping-particle" : "", "parse-names" : false, "suffix" : "" }, { "dropping-particle" : "", "family" : "Eisenmenger", "given" : "Nina", "non-dropping-particle" : "", "parse-names" : false, "suffix" : "" }, { "dropping-particle" : "", "family" : "Erb", "given" : "Karl-Heinz", "non-dropping-particle" : "", "parse-names" : false, "suffix" : "" }, { "dropping-particle" : "de", "family" : "Koning", "given" : "Arjan", "non-dropping-particle" : "", "parse-names" : false, "suffix" : "" }, { "dropping-particle" : "", "family" : "Tukker", "given" : "Arnold", "non-dropping-particle" : "", "parse-names" : false, "suffix" : "" } ], "container-title" : "Journal of Industrial Ecology", "id" : "ITEM-1", "issued" : { "date-parts" : [ [ "2018" ] ] }, "title" : "EXIOBASE 3 Developing a time series of detailed Environmentally Extended Multi-Regional Input-Output tables", "type" : "article-journal" }, "uris" : [ "http://www.mendeley.com/documents/?uuid=0152deea-4c32-462b-a2b7-fd3acf061306" ] } ], "mendeley" : { "formattedCitation" : "&lt;sup&gt;56&lt;/sup&gt;", "plainTextFormattedCitation" : "56", "previouslyFormattedCitation" : "&lt;sup&gt;56&lt;/sup&gt;"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56</w:t>
      </w:r>
      <w:r>
        <w:rPr>
          <w:rFonts w:ascii="Times New Roman" w:hAnsi="Times New Roman"/>
        </w:rPr>
        <w:fldChar w:fldCharType="end"/>
      </w:r>
      <w:r>
        <w:rPr>
          <w:rFonts w:ascii="Times New Roman" w:hAnsi="Times New Roman"/>
        </w:rPr>
        <w:t>, for years 2000-2011</w:t>
      </w:r>
      <w:r w:rsidR="003361F3">
        <w:rPr>
          <w:rFonts w:ascii="Times New Roman" w:hAnsi="Times New Roman"/>
        </w:rPr>
        <w:t xml:space="preserve"> in the </w:t>
      </w:r>
      <w:r>
        <w:rPr>
          <w:rFonts w:ascii="Times New Roman" w:hAnsi="Times New Roman"/>
        </w:rPr>
        <w:t xml:space="preserve">industry by industry </w:t>
      </w:r>
      <w:r w:rsidR="003361F3">
        <w:rPr>
          <w:rFonts w:ascii="Times New Roman" w:hAnsi="Times New Roman"/>
        </w:rPr>
        <w:t>classification</w:t>
      </w:r>
      <w:r>
        <w:rPr>
          <w:rFonts w:ascii="Times New Roman" w:hAnsi="Times New Roman"/>
        </w:rPr>
        <w:t>. We conduct the analysis at the full level of database disaggregation before aggregating results into sector groups based on production method (animal husbandry versus crop production versus other industries) and product type (food versus nonfood). See supporting information for the sector aggregation key. Other MRIO models exist such as GTAP</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"Aguiar", "given" : "A", "non-dropping-particle" : "", "parse-names" : false, "suffix" : "" }, { "dropping-particle" : "", "family" : "Narayanan", "given" : "B", "non-dropping-particle" : "", "parse-names" : false, "suffix" : "" }, { "dropping-particle" : "", "family" : "McDougall", "given" : "R", "non-dropping-particle" : "", "parse-names" : false, "suffix" : "" } ], "container-title" : "Journal of Global Economic", "id" : "ITEM-1", "issued" : { "date-parts" : [ [ "2016" ] ] }, "title" : "An overview of the GTAP 9 data base", "type" : "article-journal" }, "uris" : [ "http://www.mendeley.com/documents/?uuid=4102580a-9e1f-4422-8578-38b800246d87" ] } ], "mendeley" : { "formattedCitation" : "&lt;sup&gt;57&lt;/sup&gt;", "plainTextFormattedCitation" : "57", "previouslyFormattedCitation" : "&lt;sup&gt;57&lt;/sup&gt;"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57</w:t>
      </w:r>
      <w:r>
        <w:rPr>
          <w:rFonts w:ascii="Times New Roman" w:hAnsi="Times New Roman"/>
        </w:rPr>
        <w:fldChar w:fldCharType="end"/>
      </w:r>
      <w:r>
        <w:rPr>
          <w:rFonts w:ascii="Times New Roman" w:hAnsi="Times New Roman"/>
        </w:rPr>
        <w:t xml:space="preserve"> and Eora</w:t>
      </w:r>
      <w:r>
        <w:rPr>
          <w:rFonts w:ascii="Times New Roman" w:hAnsi="Times New Roman"/>
        </w:rPr>
        <w:fldChar w:fldCharType="begin" w:fldLock="1"/>
      </w:r>
      <w:r w:rsidR="00A1364F">
        <w:rPr>
          <w:rFonts w:ascii="Times New Roman" w:hAnsi="Times New Roman"/>
        </w:rPr>
        <w:instrText>ADDIN CSL_CITATION { "citationItems" : [ { "id" : "ITEM-1", "itemData" : { "DOI" : "10.1080/09535314.2013.769938", "ISBN" : "0953-5314", "ISSN" : "0953-5314", "PMID" : "22794089", "abstract" : "ISSN: 0953-5314 (Print) 1469-5758 (Online) Journal homepage: http://www.tandfonline.com/loi/cesr20 There are a number of initiatives aimed at compiling large-scale global multi-region input\u2013output (MRIO) tables complemented with non-monetary information such as on resource flows and environmental burdens. Depending on purpose or application, MRIO construction and usage has been hampered by a lack of geographical and sectoral detail; at the time of writing, the most advanced initiatives opt for a breakdown into at most 129 regions and 120 sectors. Not all existing global MRIO frameworks feature continuous time series, margins and tax sheets, and information on reliability and uncertainty. Despite these potential limitations, constructing a large MRIO requires significant manual labour and many years of time. This paper describes the results from a project aimed at creating an MRIO account that represents all countries at a detailed sectoral level, allows continuous updating, provides information on data reliability, contains table sheets expressed in basic prices as well as all margins and taxes, and contains a historical time series. We achieve these goals through a high level of procedural standardisation, automation, and data organisation.", "author" : [ { "dropping-particle" : "", "family" : "Lenzen", "given" : "Manfred", "non-dropping-particle" : "", "parse-names" : false, "suffix" : "" }, { "dropping-particle" : "", "family" : "Moran", "given" : "Daniel", "non-dropping-particle" : "", "parse-names" : false, "suffix" : "" }, { "dropping-particle" : "", "family" : "Kanemoto", "given" : "Keiichiro", "non-dropping-particle" : "", "parse-names" : false, "suffix" : "" }, { "dropping-particle" : "", "family" : "Geschke", "given" : "Arne", "non-dropping-particle" : "", "parse-names" : false, "suffix" : "" } ], "container-title" : "Economic Systems Research", "id" : "ITEM-1", "issue" : "1", "issued" : { "date-parts" : [ [ "2013" ] ] }, "page" : "20-49", "title" : "Building Eora: a Global Multi-Region Input\u2013Output Database At High Country and Sector Resolution", "type" : "article-journal", "volume" : "25" }, "uris" : [ "http://www.mendeley.com/documents/?uuid=a20a45b9-c0e6-4af8-bbb9-cb9933f9069c" ] } ], "mendeley" : { "formattedCitation" : "&lt;sup&gt;39&lt;/sup&gt;", "plainTextFormattedCitation" : "39", "previouslyFormattedCitation" : "&lt;sup&gt;39&lt;/sup&gt;"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39</w:t>
      </w:r>
      <w:r>
        <w:rPr>
          <w:rFonts w:ascii="Times New Roman" w:hAnsi="Times New Roman"/>
        </w:rPr>
        <w:fldChar w:fldCharType="end"/>
      </w:r>
      <w:r>
        <w:rPr>
          <w:rFonts w:ascii="Times New Roman" w:hAnsi="Times New Roman"/>
        </w:rPr>
        <w:t>. Eora does not have the product resolution for disaggregating food and non-food drivers, whilst GTAP lacks time-series data. A comparison of results across choice of MRIO model focusing on regional and product level aggregation effects for national footprints has been undertaken by a number of authors for other environmental indicators, finding country level differences commonly in the range of 10-20%</w:t>
      </w:r>
      <w:r>
        <w:rPr>
          <w:rFonts w:ascii="Times New Roman" w:hAnsi="Times New Roman"/>
        </w:rPr>
        <w:fldChar w:fldCharType="begin" w:fldLock="1"/>
      </w:r>
      <w:r w:rsidR="00A1364F">
        <w:rPr>
          <w:rFonts w:ascii="Times New Roman" w:hAnsi="Times New Roman"/>
        </w:rPr>
        <w:instrText>ADDIN CSL_CITATION { "citationItems" : [ { "id" : "ITEM-1", "itemData" : { "DOI" : "10.1080/09535314.2014.935299", "ISBN" : "09535314 (ISSN)", "abstract" : "The construction of multi-regional input-output tables is complex, and databases produced using different approaches lead to different analytical outcomes. We outline a decomposition methodology for investigating the variations that exist when using different multiregional input-output (MRIO) systems to calculate a region's consumption-based account. Structural decomposition analysis attributes the change in emissions to a set of dependent determinants, such as technical coefficients, the Leontief inverse and final demands. We apply our methodology to three MRIO databases - Eora, GTAP and WIOD. Findings reveal that the variation between Eora and GTAP can be attributed to differences in the Leontief inverse and emissions' data, whereas the variation between Eora and WIOD is due to differences in final demand and the Leontief inverse. For the majority of regions, GTAP and WIOD produce similar results. The approach in this study could help move MRIO databases from the academic arena to a useful policy instrument. \u00a9 2014 The International Input-Output Association.", "author" : [ { "dropping-particle" : "", "family" : "Owen", "given" : "A", "non-dropping-particle" : "", "parse-names" : false, "suffix" : "" }, { "dropping-particle" : "", "family" : "Steen-Olsen", "given" : "K", "non-dropping-particle" : "", "parse-names" : false, "suffix" : "" }, { "dropping-particle" : "", "family" : "Barrett", "given" : "J", "non-dropping-particle" : "", "parse-names" : false, "suffix" : "" }, { "dropping-particle" : "", "family" : "Wiedmann", "given" : "T", "non-dropping-particle" : "", "parse-names" : false, "suffix" : "" }, { "dropping-particle" : "", "family" : "Lenzen", "given" : "M", "non-dropping-particle" : "", "parse-names" : false, "suffix" : "" } ], "container-title" : "Economic Systems Research", "id" : "ITEM-1", "issue" : "3", "issued" : { "date-parts" : [ [ "2014" ] ] }, "language" : "English", "page" : "262-283", "publisher" : "Routledge", "title" : "A structural decomposition approach to comparing MRIO databases", "type" : "article-journal", "volume" : "26" }, "uris" : [ "http://www.mendeley.com/documents/?uuid=fbe99eb4-1da7-4843-b69f-9c8569706135" ] }, { "id" : "ITEM-2", "itemData" : { "DOI" : "10.1080/09535314.2014.936831", "ISSN" : "0953-5314", "author" : [ { "dropping-particle" : "", "family" : "Stadler", "given" : "Konstantin", "non-dropping-particle" : "", "parse-names" : false, "suffix" : "" }, { "dropping-particle" : "", "family" : "Steen-olsen", "given" : "Kjartan", "non-dropping-particle" : "", "parse-names" : false, "suffix" : "" }, { "dropping-particle" : "", "family" : "Wood", "given" : "Richard", "non-dropping-particle" : "", "parse-names" : false, "suffix" : "" } ], "container-title" : "Economic Systems Research", "id" : "ITEM-2", "issue" : "3", "issued" : { "date-parts" : [ [ "2014" ] ] }, "page" : "303-326", "title" : "The \u2018 Rest of the World \u2019 \u2013 Estimating the economic structure of missing regions in global multi- regional input-output tables", "type" : "article-journal", "volume" : "26" }, "uris" : [ "http://www.mendeley.com/documents/?uuid=125bdfe1-60aa-4e44-9428-ca845ecc8957" ] }, { "id" : "ITEM-3", "itemData" : { "DOI" : "10.1080/09535314.2014.935298", "ISSN" : "14695758", "abstract" : "In this paper, we take an overview of several of the biggest independently constructed global multi-regional input-output (MRIO) databases and ask how reliable and consonant these databases are. The key question is whether MRIO accounts are robust enough for setting environmental policies. This paper compares the results of four global MRIOs: Eora, WIOD, EXIOBASE, and the GTAP-based OpenEU databases, and investigates how much each diverges from the multi-model mean. We also use Monte Carlo analysis to conduct sensitivity analysis of the robustness of each accounts' results and we test to see how much variation in the environmental satellite account, rather than the economic structure itself, causes divergence in results. After harmonising the satellite account, we found that carbon footprint results for most major economies disagree by&lt;10% between MRIOs. Confidence estimates are necessary if MRIO methods and consumption-based accounting are to be used in environmental policy-making at the national level. \u00a9 2014 The International Input-Output Association.", "author" : [ { "dropping-particle" : "", "family" : "Moran", "given" : "D.", "non-dropping-particle" : "", "parse-names" : false, "suffix" : "" }, { "dropping-particle" : "", "family" : "Wood", "given" : "R.", "non-dropping-particle" : "", "parse-names" : false, "suffix" : "" } ], "container-title" : "Economic Systems Research", "id" : "ITEM-3", "issue" : "3", "issued" : { "date-parts" : [ [ "2014" ] ] }, "page" : "1469-5758", "title" : "Convergence between the EORA, WIOD, EXIOBASE, and OPENEU'S consumption-based carbon accounts", "type" : "article-journal", "volume" : "26" }, "uris" : [ "http://www.mendeley.com/documents/?uuid=2b82f10c-c79d-4a55-85f4-bdc0e53a90c4" ] }, { "id" : "ITEM-4", "itemData" : { "DOI" : "10.1080/09535314.2014.934325", "ISBN" : "0953-5314", "abstract" : "The past few years have seen the emergence of several global multiregional input?output (MRIO) databases. Due to the cost and complexity of developing such extensive tables, industry sectors are generally represented at a rather aggregate level. Currently, one of the most important applications of input?output analysis is environmental assessments, for which highly aggregate sectors may not be sufficient to yield accurate results. We experiment with four of the most important global MRIO systems available, analyzing the sensitivity of a set of aggregate CO2 multipliers to aggregations in the MRIO tables used to calculate them. Across databases, we find (a) significant sensitivity to background system detail and (b) that sub-sectors contained within the same aggregate MRIO sector may exhibit highly different carbon multipliers. We conclude that the additional information provided by the extra sector detail may warrant the additional costs of compilation, due to the heterogeneous nature of economic sectors in terms of their environmental characteristics.", "author" : [ { "dropping-particle" : "", "family" : "Steen-Olsen", "given" : "Kjartan", "non-dropping-particle" : "", "parse-names" : false, "suffix" : "" }, { "dropping-particle" : "", "family" : "Owen", "given" : "Anne", "non-dropping-particle" : "", "parse-names" : false, "suffix" : "" }, { "dropping-particle" : "", "family" : "Hertwich", "given" : "Edgar G", "non-dropping-particle" : "", "parse-names" : false, "suffix" : "" }, { "dropping-particle" : "", "family" : "Lenzen", "given" : "Manfred", "non-dropping-particle" : "", "parse-names" : false, "suffix" : "" } ], "container-title" : "Economic Systems Research", "id" : "ITEM-4", "issue" : "3", "issued" : { "date-parts" : [ [ "2014" ] ] }, "page" : "284-302", "publisher" : "Routledge", "title" : "Effects of sector aggregation on CO2 multipliers in multiregional input-output analysis", "type" : "article-journal" }, "uris" : [ "http://www.mendeley.com/documents/?uuid=49ec076d-68b9-4bba-8e4c-07d86596839b" ] }, { "id" : "ITEM-5", "itemData" : { "DOI" : "10.1007/s10640-013-9649-8", "ISBN" : "0924-6460", "author" : [ { "dropping-particle" : "", "family" : "Bouwmeester", "given" : "MaaikeC", "non-dropping-particle" : "", "parse-names" : false, "suffix" : "" }, { "dropping-particle" : "", "family" : "Oosterhaven", "given" : "Jan", "non-dropping-particle" : "", "parse-names" : false, "suffix" : "" } ], "container-title" : "Environmental and Resource Economics", "id" : "ITEM-5", "issue" : "3", "issued" : { "date-parts" : [ [ "2013" ] ] }, "language" : "English", "page" : "307-335", "publisher" : "Springer Netherlands", "title" : "Specification and Aggregation Errors in Environmentally Extended Input\u2013Output Models", "type" : "article-journal", "volume" : "56" }, "uris" : [ "http://www.mendeley.com/documents/?uuid=b75b705e-d32d-4ad0-ab67-472ae9cdc751" ] } ], "mendeley" : { "formattedCitation" : "&lt;sup&gt;41,58\u201361&lt;/sup&gt;", "plainTextFormattedCitation" : "41,58\u201361", "previouslyFormattedCitation" : "&lt;sup&gt;41,58\u201361&lt;/sup&gt;"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41,58–61</w:t>
      </w:r>
      <w:r>
        <w:rPr>
          <w:rFonts w:ascii="Times New Roman" w:hAnsi="Times New Roman"/>
        </w:rPr>
        <w:fldChar w:fldCharType="end"/>
      </w:r>
      <w:r>
        <w:rPr>
          <w:rFonts w:ascii="Times New Roman" w:hAnsi="Times New Roman"/>
        </w:rPr>
        <w:t xml:space="preserve">. A further discussion of these issues is provided in the supplementary material. </w:t>
      </w:r>
    </w:p>
    <w:p w14:paraId="5D92BBA2" w14:textId="76DD589B" w:rsidR="001273D4" w:rsidRDefault="001273D4" w:rsidP="001273D4">
      <w:pPr>
        <w:pStyle w:val="TAMainText"/>
        <w:spacing w:before="100" w:beforeAutospacing="1" w:after="100" w:afterAutospacing="1" w:line="240" w:lineRule="auto"/>
        <w:ind w:firstLine="0"/>
        <w:rPr>
          <w:rFonts w:ascii="Times New Roman" w:hAnsi="Times New Roman"/>
        </w:rPr>
      </w:pPr>
      <w:r>
        <w:rPr>
          <w:rFonts w:ascii="Times New Roman" w:hAnsi="Times New Roman"/>
        </w:rPr>
        <w:lastRenderedPageBreak/>
        <w:t xml:space="preserve">In MRIO modelling food is treated as both a good for intermediate and final consumption. In order to avoid double counting, all impacts of intermediate consumption are allocated to final consumption in the Leontief demand calculation. Hence, </w:t>
      </w:r>
      <w:r w:rsidR="001253BA">
        <w:rPr>
          <w:rFonts w:ascii="Times New Roman" w:hAnsi="Times New Roman"/>
        </w:rPr>
        <w:t xml:space="preserve">food provided by </w:t>
      </w:r>
      <w:r>
        <w:rPr>
          <w:rFonts w:ascii="Times New Roman" w:hAnsi="Times New Roman"/>
        </w:rPr>
        <w:t>the workplace</w:t>
      </w:r>
      <w:r w:rsidR="001253BA">
        <w:rPr>
          <w:rFonts w:ascii="Times New Roman" w:hAnsi="Times New Roman"/>
        </w:rPr>
        <w:t>, by education or health facilities will be shown in the footprint of the consumption of the respective service</w:t>
      </w:r>
      <w:r>
        <w:rPr>
          <w:rFonts w:ascii="Times New Roman" w:hAnsi="Times New Roman"/>
        </w:rPr>
        <w:t>. It is possible to estimate the magnitude of such effects using a technique known as “hypothetical extraction”.</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"Miller", "given" : "Ronald A.", "non-dropping-particle" : "", "parse-names" : false, "suffix" : "" }, { "dropping-particle" : "", "family" : "Blair", "given" : "Peter D.", "non-dropping-particle" : "", "parse-names" : false, "suffix" : "" } ], "edition" : "2nd", "id" : "ITEM-1", "issued" : { "date-parts" : [ [ "2009" ] ] }, "number-of-pages" : "1-784", "publisher" : "Cambridge University Press", "publisher-place" : "Cambridge, United Kingdom", "title" : "Input-Output Analysis Foundations and Extensions", "type" : "book" }, "uris" : [ "http://www.mendeley.com/documents/?uuid=bf29ed7e-2b2e-412c-96f7-7f45c6429f20" ] }, { "id" : "ITEM-2", "itemData" : { "DOI" : "10.1080/09535314.2013.774266", "ISBN" : "0953-5314", "ISSN" : "09535314", "abstract" : "In this paper, we generalize hypothetical extraction techniques. We suggest that the effect of certain economic phenomena can be measured by removing them from an input\u2013output (I\u2013O) table and by rebalancing the set of I\u2013O accounts. The difference between the two sets of accounts yields the phenomenon's effect (or importance). We suggest that the approach can be used to measure the effect of changes in intermediate output, which are otherwise not easily rationalized within a Leontief framework. Of course, it can also be used to estimate the possible effects of the shutdown of a particular establishment or other identifiable segment of an economy. We demonstrate some properties and potential of the approach using the annual 2006 US I\u2013O accounts.", "author" : [ { "dropping-particle" : "", "family" : "Dietzenbacher", "given" : "Erik", "non-dropping-particle" : "", "parse-names" : false, "suffix" : "" }, { "dropping-particle" : "", "family" : "Lahr", "given" : "Michael L.", "non-dropping-particle" : "", "parse-names" : false, "suffix" : "" } ], "container-title" : "Economic Systems Research", "id" : "ITEM-2", "issue" : "3", "issued" : { "date-parts" : [ [ "2013" ] ] }, "page" : "341-360", "title" : "Expanding Extractions", "type" : "article-journal", "volume" : "25" }, "uris" : [ "http://www.mendeley.com/documents/?uuid=3e0721e5-93fd-4602-ab25-10e2130ccb9f" ] } ], "mendeley" : { "formattedCitation" : "&lt;sup&gt;53,62&lt;/sup&gt;", "plainTextFormattedCitation" : "53,62", "previouslyFormattedCitation" : "&lt;sup&gt;53,62&lt;/sup&gt;"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53,62</w:t>
      </w:r>
      <w:r>
        <w:rPr>
          <w:rFonts w:ascii="Times New Roman" w:hAnsi="Times New Roman"/>
        </w:rPr>
        <w:fldChar w:fldCharType="end"/>
      </w:r>
      <w:r>
        <w:rPr>
          <w:rFonts w:ascii="Times New Roman" w:hAnsi="Times New Roman"/>
        </w:rPr>
        <w:t xml:space="preserve"> In such cases, the flows of interest are set to zero in the intermediate coefficient matrix, and the difference between the results from the full coefficient matrix and the adjusted coefficient matrix gives the contribution of the flows to the overall footprint. In this case, we set all food flows into </w:t>
      </w:r>
      <w:r w:rsidR="001253BA">
        <w:rPr>
          <w:rFonts w:ascii="Times New Roman" w:hAnsi="Times New Roman"/>
        </w:rPr>
        <w:t>the service sector</w:t>
      </w:r>
      <w:r>
        <w:rPr>
          <w:rFonts w:ascii="Times New Roman" w:hAnsi="Times New Roman"/>
        </w:rPr>
        <w:t xml:space="preserve"> to zero across the whole MRIO database and calculate the resultant FE and ME footprints. In the supplementary material, we present results as a fraction of the total FE and ME footprint globally.</w:t>
      </w:r>
    </w:p>
    <w:p w14:paraId="61352F62" w14:textId="77777777" w:rsidR="001273D4" w:rsidRDefault="001273D4" w:rsidP="001273D4">
      <w:pPr>
        <w:spacing w:before="100" w:beforeAutospacing="1" w:after="100" w:afterAutospacing="1"/>
        <w:rPr>
          <w:rFonts w:ascii="Times New Roman" w:hAnsi="Times New Roman"/>
          <w:i/>
        </w:rPr>
      </w:pPr>
      <w:r w:rsidRPr="00D92776">
        <w:rPr>
          <w:rFonts w:ascii="Times New Roman" w:hAnsi="Times New Roman"/>
          <w:i/>
        </w:rPr>
        <w:t>Phosphorus and Nitrogen Accounts</w:t>
      </w:r>
    </w:p>
    <w:p w14:paraId="5067B444" w14:textId="568447C4" w:rsidR="001273D4" w:rsidRDefault="001273D4" w:rsidP="001273D4">
      <w:pPr>
        <w:spacing w:before="100" w:beforeAutospacing="1" w:after="100" w:afterAutospacing="1"/>
        <w:rPr>
          <w:rFonts w:ascii="Times New Roman" w:hAnsi="Times New Roman"/>
        </w:rPr>
      </w:pPr>
      <w:r>
        <w:rPr>
          <w:rFonts w:ascii="Times New Roman" w:hAnsi="Times New Roman"/>
        </w:rPr>
        <w:t>The P and N emissions due to various sector activities are included in the EXIOBASE dataset and the calculation procedure is described in full by Merciai and Schmidt.</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"Merciai", "given" : "S.", "non-dropping-particle" : "", "parse-names" : false, "suffix" : "" }, { "dropping-particle" : "", "family" : "Schmidt", "given" : "J.H.", "non-dropping-particle" : "", "parse-names" : false, "suffix" : "" } ], "id" : "ITEM-1", "issued" : { "date-parts" : [ [ "2016" ] ] }, "page" : "1-91", "publisher" : "http://fp7desire.eu/documents/, Accessed May 2017", "publisher-place" : "Aalborg, Denmark", "title" : "Physical/Hybrid supply and use tables. Methodological report. EU FP7 DESIRE project", "type" : "webpage" }, "uris" : [ "http://www.mendeley.com/documents/?uuid=84a89745-6b2b-4b34-a205-7b663379d64d" ] } ], "mendeley" : { "formattedCitation" : "&lt;sup&gt;63&lt;/sup&gt;", "plainTextFormattedCitation" : "63", "previouslyFormattedCitation" : "&lt;sup&gt;63&lt;/sup&gt;"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63</w:t>
      </w:r>
      <w:r>
        <w:rPr>
          <w:rFonts w:ascii="Times New Roman" w:hAnsi="Times New Roman"/>
        </w:rPr>
        <w:fldChar w:fldCharType="end"/>
      </w:r>
      <w:r>
        <w:rPr>
          <w:rFonts w:ascii="Times New Roman" w:hAnsi="Times New Roman"/>
        </w:rPr>
        <w:t xml:space="preserve"> Here, we provide a summary of their approach. P and N emissions that result from crop production are calculated using a mass balance approach, where the emissions are the difference between the nutrient inputs (chemical fertilizer and manure) and outputs (i.e. crops, fodder and pasture). Production levels of individual crops, fodder crops and pasture are obtained at the national level from the FAOSTAT database</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"Food and Agricultural organization of the United Nations (FAO)", "given" : "", "non-dropping-particle" : "", "parse-names" : false, "suffix" : "" } ], "id" : "ITEM-1", "issue" : "28 November 2015", "issued" : { "date-parts" : [ [ "2016" ] ] }, "title" : "Statistics at FAO", "type" : "webpage", "volume" : "2015" }, "uris" : [ "http://www.mendeley.com/documents/?uuid=d784b43b-0a90-43cc-ab06-6ff17bc5acae" ] } ], "mendeley" : { "formattedCitation" : "&lt;sup&gt;64&lt;/sup&gt;", "plainTextFormattedCitation" : "64", "previouslyFormattedCitation" : "&lt;sup&gt;64&lt;/sup&gt;"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64</w:t>
      </w:r>
      <w:r>
        <w:rPr>
          <w:rFonts w:ascii="Times New Roman" w:hAnsi="Times New Roman"/>
        </w:rPr>
        <w:fldChar w:fldCharType="end"/>
      </w:r>
      <w:r>
        <w:rPr>
          <w:rFonts w:ascii="Times New Roman" w:hAnsi="Times New Roman"/>
        </w:rPr>
        <w:t>. The total domestic demand of nutrients, as defined by the International Fertilizer Industry Association</w:t>
      </w:r>
      <w:r>
        <w:rPr>
          <w:rFonts w:ascii="Times New Roman" w:hAnsi="Times New Roman"/>
        </w:rPr>
        <w:fldChar w:fldCharType="begin" w:fldLock="1"/>
      </w:r>
      <w:r w:rsidR="00A1364F">
        <w:rPr>
          <w:rFonts w:ascii="Times New Roman" w:hAnsi="Times New Roman"/>
        </w:rPr>
        <w:instrText>ADDIN CSL_CITATION { "citationItems" : [ { "id" : "ITEM-1", "itemData" : { "URL" : "http://www.fertilizer.org/Statistics", "accessed" : { "date-parts" : [ [ "2015", "3", "15" ] ] }, "author" : [ { "dropping-particle" : "", "family" : "IFA", "given" : "", "non-dropping-particle" : "", "parse-names" : false, "suffix" : "" } ], "id" : "ITEM-1", "issued" : { "date-parts" : [ [ "2015" ] ] }, "title" : "Statistical Database of International Fertilizer Industry Association", "type" : "webpage" }, "uris" : [ "http://www.mendeley.com/documents/?uuid=b2b45f4a-0aa7-407d-9f0c-ba5454fdca66" ] } ], "mendeley" : { "formattedCitation" : "&lt;sup&gt;65&lt;/sup&gt;", "plainTextFormattedCitation" : "65", "previouslyFormattedCitation" : "&lt;sup&gt;65&lt;/sup&gt;"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65</w:t>
      </w:r>
      <w:r>
        <w:rPr>
          <w:rFonts w:ascii="Times New Roman" w:hAnsi="Times New Roman"/>
        </w:rPr>
        <w:fldChar w:fldCharType="end"/>
      </w:r>
      <w:r>
        <w:rPr>
          <w:rFonts w:ascii="Times New Roman" w:hAnsi="Times New Roman"/>
        </w:rPr>
        <w:t>, are distributed to crops, fodder crops and pasture using distribution factors obtained from FAO</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"FAO", "given" : "", "non-dropping-particle" : "", "parse-names" : false, "suffix" : "" } ], "id" : "ITEM-1", "issued" : { "date-parts" : [ [ "2006" ] ] }, "title" : "Fertilizer use by crop - Food and Agriculture Organization of the United Nations. Fertilizer and Plant Nutrition Bulletin 17", "type" : "webpage" }, "uris" : [ "http://www.mendeley.com/documents/?uuid=6e59cfb8-ad3c-4070-b056-e3b729ed74fc" ] } ], "mendeley" : { "formattedCitation" : "&lt;sup&gt;66&lt;/sup&gt;", "plainTextFormattedCitation" : "66", "previouslyFormattedCitation" : "&lt;sup&gt;66&lt;/sup&gt;"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66</w:t>
      </w:r>
      <w:r>
        <w:rPr>
          <w:rFonts w:ascii="Times New Roman" w:hAnsi="Times New Roman"/>
        </w:rPr>
        <w:fldChar w:fldCharType="end"/>
      </w:r>
      <w:r>
        <w:rPr>
          <w:rFonts w:ascii="Times New Roman" w:hAnsi="Times New Roman"/>
        </w:rPr>
        <w:t xml:space="preserve"> and Heffer</w:t>
      </w:r>
      <w:r>
        <w:rPr>
          <w:rFonts w:ascii="Times New Roman" w:hAnsi="Times New Roman"/>
        </w:rPr>
        <w:fldChar w:fldCharType="begin" w:fldLock="1"/>
      </w:r>
      <w:r w:rsidR="00A1364F">
        <w:rPr>
          <w:rFonts w:ascii="Times New Roman" w:hAnsi="Times New Roman"/>
        </w:rPr>
        <w:instrText>ADDIN CSL_CITATION { "citationItems" : [ { "id" : "ITEM-1", "itemData" : { "URL" : "www.fertilizer.org/ifa/Home-Page/LIBRARY/Publication-database", "accessed" : { "date-parts" : [ [ "2015", "4", "14" ] ] }, "author" : [ { "dropping-particle" : "", "family" : "Heffer", "given" : "Patrick", "non-dropping-particle" : "", "parse-names" : false, "suffix" : "" } ], "id" : "ITEM-1", "issued" : { "date-parts" : [ [ "2013" ] ] }, "page" : "0-9", "publisher-place" : "Paris, France", "title" : "Assessment of Fertilizer Use by Crop at the Global Level 2010 - 2010/2011", "type" : "webpage" }, "uris" : [ "http://www.mendeley.com/documents/?uuid=d6d70f19-080e-41bd-b243-ada2ac0f4583" ] } ], "mendeley" : { "formattedCitation" : "&lt;sup&gt;67&lt;/sup&gt;", "plainTextFormattedCitation" : "67", "previouslyFormattedCitation" : "&lt;sup&gt;67&lt;/sup&gt;"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67</w:t>
      </w:r>
      <w:r>
        <w:rPr>
          <w:rFonts w:ascii="Times New Roman" w:hAnsi="Times New Roman"/>
        </w:rPr>
        <w:fldChar w:fldCharType="end"/>
      </w:r>
      <w:r>
        <w:rPr>
          <w:rFonts w:ascii="Times New Roman" w:hAnsi="Times New Roman"/>
        </w:rPr>
        <w:t xml:space="preserve">. Emissions from fodder crops, pasture and manure not spread on land are allocated to the respective livestock activities. N and P emissions from sewage treatment plants and landfills are modelled based on estimated food consumption </w:t>
      </w:r>
      <w:r w:rsidRPr="004735BF">
        <w:rPr>
          <w:rFonts w:ascii="Times New Roman" w:hAnsi="Times New Roman"/>
        </w:rPr>
        <w:t xml:space="preserve">and other </w:t>
      </w:r>
      <w:r>
        <w:rPr>
          <w:rFonts w:ascii="Times New Roman" w:hAnsi="Times New Roman"/>
        </w:rPr>
        <w:t xml:space="preserve">relevant </w:t>
      </w:r>
      <w:r w:rsidRPr="004735BF">
        <w:rPr>
          <w:rFonts w:ascii="Times New Roman" w:hAnsi="Times New Roman"/>
        </w:rPr>
        <w:t>industrial inputs</w:t>
      </w:r>
      <w:r w:rsidR="00F3187A">
        <w:rPr>
          <w:rFonts w:ascii="Times New Roman" w:hAnsi="Times New Roman"/>
        </w:rPr>
        <w:t>, and allocated directly to the relevant waste sector in EXIOBASE</w:t>
      </w:r>
      <w:r w:rsidRPr="004735BF">
        <w:rPr>
          <w:rFonts w:ascii="Times New Roman" w:hAnsi="Times New Roman"/>
        </w:rPr>
        <w:t>.</w:t>
      </w:r>
      <w:r>
        <w:rPr>
          <w:rFonts w:ascii="Times New Roman" w:hAnsi="Times New Roman"/>
        </w:rPr>
        <w:t xml:space="preserve"> Non-agricultural N emissions to air are based on UNFCCC inventories and emission factors applied to fuel combustion</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"Kuenen", "given" : "Jeroen", "non-dropping-particle" : "", "parse-names" : false, "suffix" : "" }, { "dropping-particle" : "", "family" : "Fern\u00e1ndez", "given" : "Jos\u00e9 Acosta", "non-dropping-particle" : "", "parse-names" : false, "suffix" : "" }, { "dropping-particle" : "", "family" : "Usubiaga", "given" : "Arkaitz", "non-dropping-particle" : "", "parse-names" : false, "suffix" : "" }, { "dropping-particle" : "", "family" : "Wittmer", "given" : "Dominic", "non-dropping-particle" : "", "parse-names" : false, "suffix" : "" } ], "container-title" : "Compiling and Refining Environmental and Economic Accounts (CREEA)", "editor" : [ { "dropping-particle" : "", "family" : "Compiling and Refining Environmental and Economic Accounts", "given" : "", "non-dropping-particle" : "", "parse-names" : false, "suffix" : "" }, { "dropping-particle" : "", "family" : "Funded by the EU\u2019s Seventh Framework Program \u2013 Theme ENV.2010.4.2.2-1", "given" : "", "non-dropping-particle" : "", "parse-names" : false, "suffix" : "" }, { "dropping-particle" : "", "family" : "Collaborative project", "given" : "", "non-dropping-particle" : "", "parse-names" : false, "suffix" : "" }, { "dropping-particle" : "", "family" : "265134", "given" : "Grant agreement no:", "non-dropping-particle" : "", "parse-names" : false, "suffix" : "" } ], "id" : "ITEM-1", "issued" : { "date-parts" : [ [ "2013" ] ] }, "publisher" : "European Union ", "publisher-place" : "Delft ", "title" : "Report on Update EXIOPOL Emissions Database", "type" : "report" }, "uris" : [ "http://www.mendeley.com/documents/?uuid=6098cbd0-4f85-4987-8ab5-c20dc643ac2e" ] } ], "mendeley" : { "formattedCitation" : "&lt;sup&gt;68&lt;/sup&gt;", "plainTextFormattedCitation" : "68", "previouslyFormattedCitation" : "&lt;sup&gt;68&lt;/sup&gt;"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68</w:t>
      </w:r>
      <w:r>
        <w:rPr>
          <w:rFonts w:ascii="Times New Roman" w:hAnsi="Times New Roman"/>
        </w:rPr>
        <w:fldChar w:fldCharType="end"/>
      </w:r>
      <w:r>
        <w:rPr>
          <w:rFonts w:ascii="Times New Roman" w:hAnsi="Times New Roman"/>
        </w:rPr>
        <w:t>.</w:t>
      </w:r>
      <w:r w:rsidR="00630C84">
        <w:rPr>
          <w:rFonts w:ascii="Times New Roman" w:hAnsi="Times New Roman"/>
        </w:rPr>
        <w:t xml:space="preserve"> It is important to note that </w:t>
      </w:r>
      <w:r w:rsidR="00630C84" w:rsidRPr="00630C84">
        <w:rPr>
          <w:rFonts w:ascii="Times New Roman" w:hAnsi="Times New Roman"/>
        </w:rPr>
        <w:t xml:space="preserve">our methods were specifically developed to only consider the </w:t>
      </w:r>
      <w:r w:rsidR="00630C84">
        <w:rPr>
          <w:rFonts w:ascii="Times New Roman" w:hAnsi="Times New Roman"/>
        </w:rPr>
        <w:t>anthropogenic</w:t>
      </w:r>
      <w:r w:rsidR="00630C84" w:rsidRPr="00630C84">
        <w:rPr>
          <w:rFonts w:ascii="Times New Roman" w:hAnsi="Times New Roman"/>
        </w:rPr>
        <w:t xml:space="preserve"> system</w:t>
      </w:r>
      <w:r w:rsidR="00630C84">
        <w:rPr>
          <w:rFonts w:ascii="Times New Roman" w:hAnsi="Times New Roman"/>
        </w:rPr>
        <w:t xml:space="preserve"> (excluding the natural background losses)</w:t>
      </w:r>
      <w:r w:rsidR="00630C84" w:rsidRPr="00630C84">
        <w:rPr>
          <w:rFonts w:ascii="Times New Roman" w:hAnsi="Times New Roman"/>
        </w:rPr>
        <w:t>.</w:t>
      </w:r>
      <w:r w:rsidR="00630C84" w:rsidRPr="00630C84">
        <w:rPr>
          <w:color w:val="2E74B5" w:themeColor="accent1" w:themeShade="BF"/>
          <w:lang w:val="en-GB"/>
        </w:rPr>
        <w:t xml:space="preserve"> </w:t>
      </w:r>
      <w:r w:rsidR="00630C84" w:rsidRPr="00630C84">
        <w:rPr>
          <w:rFonts w:ascii="Times New Roman" w:hAnsi="Times New Roman"/>
        </w:rPr>
        <w:t>This is so that we can isolate the effect of consumption and income to improve our understanding of eutrophication drivers</w:t>
      </w:r>
      <w:r w:rsidR="00630C84">
        <w:rPr>
          <w:rFonts w:ascii="Times New Roman" w:hAnsi="Times New Roman"/>
        </w:rPr>
        <w:t>.</w:t>
      </w:r>
    </w:p>
    <w:p w14:paraId="357B8399" w14:textId="132FBC67" w:rsidR="001273D4" w:rsidRDefault="001273D4" w:rsidP="001273D4">
      <w:pPr>
        <w:spacing w:before="100" w:beforeAutospacing="1" w:after="100" w:afterAutospacing="1"/>
      </w:pPr>
      <w:r>
        <w:rPr>
          <w:rFonts w:ascii="Times New Roman" w:hAnsi="Times New Roman"/>
        </w:rPr>
        <w:t>With regard to agricultural emissions of N, the protein content of crops, converted to N using the factor 6.25 kg protein/kg N</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"Moeller", "given" : "J.", "non-dropping-particle" : "", "parse-names" : false, "suffix" : "" }, { "dropping-particle" : "", "family" : "Th\u00f8gersen", "given" : "R", "non-dropping-particle" : "", "parse-names" : false, "suffix" : "" }, { "dropping-particle" : "", "family" : "Hellesh\u00f8j", "given" : "M. E.", "non-dropping-particle" : "", "parse-names" : false, "suffix" : "" }, { "dropping-particle" : "", "family" : "Weisbjerg", "given" : "M. R", "non-dropping-particle" : "", "parse-names" : false, "suffix" : "" }, { "dropping-particle" : "", "family" : "S\u00f8egaard", "given" : "K.", "non-dropping-particle" : "", "parse-names" : false, "suffix" : "" }, { "dropping-particle" : "", "family" : "Hvelplund", "given" : "T.", "non-dropping-particle" : "", "parse-names" : false, "suffix" : "" } ], "id" : "ITEM-1", "issued" : { "date-parts" : [ [ "2005" ] ] }, "number-of-pages" : "1-64", "publisher-place" : "Tjele, Denmark", "title" : "Fodermiddeltabel 2005: sammens\u00e6tning og foderv\u00e6rdi af fodermidler til kv\u00e6g [English: Feed property table 2005: Composition and value of feed materials for cattle]", "type" : "report" }, "uris" : [ "http://www.mendeley.com/documents/?uuid=84a08113-fe68-491a-a52d-80d427436b72" ] } ], "mendeley" : { "formattedCitation" : "&lt;sup&gt;69&lt;/sup&gt;", "plainTextFormattedCitation" : "69", "previouslyFormattedCitation" : "&lt;sup&gt;69&lt;/sup&gt;"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69</w:t>
      </w:r>
      <w:r>
        <w:rPr>
          <w:rFonts w:ascii="Times New Roman" w:hAnsi="Times New Roman"/>
        </w:rPr>
        <w:fldChar w:fldCharType="end"/>
      </w:r>
      <w:r>
        <w:rPr>
          <w:rFonts w:ascii="Times New Roman" w:hAnsi="Times New Roman"/>
        </w:rPr>
        <w:t>, gives the amount of absorbed N. The IPCC’s procedure</w:t>
      </w:r>
      <w:r>
        <w:rPr>
          <w:rFonts w:ascii="Times New Roman" w:hAnsi="Times New Roman"/>
        </w:rPr>
        <w:fldChar w:fldCharType="begin" w:fldLock="1"/>
      </w:r>
      <w:r w:rsidR="00A1364F">
        <w:rPr>
          <w:rFonts w:ascii="Times New Roman" w:hAnsi="Times New Roman"/>
        </w:rPr>
        <w:instrText>ADDIN CSL_CITATION { "citationItems" : [ { "id" : "ITEM-1", "itemData" : { "ISBN" : "4887880324", "abstract" : "Intergovernmental Panel on Climate Change (IPCC) (2006), \u201c2006 IPCC Guidelines for National Greenhouse Gas Inventories\u201d, Geneva, Vol. 4, Chapter 11, pp. 1-54.", "author" : [ { "dropping-particle" : "", "family" : "IPCC", "given" : "", "non-dropping-particle" : "", "parse-names" : false, "suffix" : "" } ], "container-title" : "IPCC Guidelines for National Greenhouse Gas Inventories", "id" : "ITEM-1", "issued" : { "date-parts" : [ [ "2006" ] ] }, "number-of-pages" : "11.1-11.54", "title" : "Chapter 11: N2O Emissions From Managed Soils, and CO2 Emissions From Lime and Urea application", "type" : "report" }, "uris" : [ "http://www.mendeley.com/documents/?uuid=207c1f24-9785-452b-acec-eac98d21004e" ] } ], "mendeley" : { "formattedCitation" : "&lt;sup&gt;70&lt;/sup&gt;", "plainTextFormattedCitation" : "70", "previouslyFormattedCitation" : "&lt;sup&gt;70&lt;/sup&gt;"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70</w:t>
      </w:r>
      <w:r>
        <w:rPr>
          <w:rFonts w:ascii="Times New Roman" w:hAnsi="Times New Roman"/>
        </w:rPr>
        <w:fldChar w:fldCharType="end"/>
      </w:r>
      <w:r>
        <w:rPr>
          <w:rFonts w:ascii="Times New Roman" w:hAnsi="Times New Roman"/>
        </w:rPr>
        <w:t xml:space="preserve"> is then applied to determine the direct and indirect (leaching) water emissions of </w:t>
      </w:r>
      <w:r w:rsidRPr="00E66829">
        <w:t>N</w:t>
      </w:r>
      <w:r w:rsidRPr="0038417F">
        <w:rPr>
          <w:vertAlign w:val="subscript"/>
        </w:rPr>
        <w:t>2</w:t>
      </w:r>
      <w:r w:rsidRPr="00E66829">
        <w:t>O</w:t>
      </w:r>
      <w:r>
        <w:t xml:space="preserve"> and NO</w:t>
      </w:r>
      <w:r w:rsidRPr="004735BF">
        <w:rPr>
          <w:vertAlign w:val="subscript"/>
        </w:rPr>
        <w:t>3</w:t>
      </w:r>
      <w:r>
        <w:rPr>
          <w:vertAlign w:val="subscript"/>
        </w:rPr>
        <w:t xml:space="preserve"> </w:t>
      </w:r>
      <w:r>
        <w:t>and the air emissions of NO</w:t>
      </w:r>
      <w:r w:rsidRPr="0038417F">
        <w:rPr>
          <w:vertAlign w:val="subscript"/>
        </w:rPr>
        <w:t>x</w:t>
      </w:r>
      <w:r>
        <w:t>, NH</w:t>
      </w:r>
      <w:r w:rsidRPr="0038417F">
        <w:rPr>
          <w:vertAlign w:val="subscript"/>
        </w:rPr>
        <w:t>3</w:t>
      </w:r>
      <w:r>
        <w:t xml:space="preserve"> and NO</w:t>
      </w:r>
      <w:r w:rsidRPr="0038417F">
        <w:rPr>
          <w:vertAlign w:val="subscript"/>
        </w:rPr>
        <w:t>3</w:t>
      </w:r>
      <w:r>
        <w:t>. We assumed that the remainder are N</w:t>
      </w:r>
      <w:r w:rsidRPr="0038417F">
        <w:rPr>
          <w:vertAlign w:val="subscript"/>
        </w:rPr>
        <w:t>2</w:t>
      </w:r>
      <w:r>
        <w:t xml:space="preserve"> emissions. If</w:t>
      </w:r>
      <w:r w:rsidRPr="00E821C0">
        <w:t xml:space="preserve"> the calculated N</w:t>
      </w:r>
      <w:r w:rsidRPr="0038417F">
        <w:rPr>
          <w:vertAlign w:val="subscript"/>
        </w:rPr>
        <w:t>2</w:t>
      </w:r>
      <w:r w:rsidRPr="00E821C0">
        <w:t xml:space="preserve"> turn</w:t>
      </w:r>
      <w:r>
        <w:t>ed</w:t>
      </w:r>
      <w:r w:rsidRPr="00E821C0">
        <w:t xml:space="preserve"> out negative, the protein content of the crop </w:t>
      </w:r>
      <w:r>
        <w:t>was</w:t>
      </w:r>
      <w:r w:rsidRPr="00E821C0">
        <w:t xml:space="preserve"> adjusted to ensure a consistent N-balance.</w:t>
      </w:r>
    </w:p>
    <w:p w14:paraId="5E7457D3" w14:textId="441B2C4C" w:rsidR="001273D4" w:rsidRDefault="001273D4" w:rsidP="001273D4">
      <w:pPr>
        <w:spacing w:before="100" w:beforeAutospacing="1" w:after="100" w:afterAutospacing="1"/>
        <w:rPr>
          <w:rFonts w:ascii="Times New Roman" w:hAnsi="Times New Roman"/>
        </w:rPr>
      </w:pPr>
      <w:r>
        <w:rPr>
          <w:rFonts w:ascii="Times New Roman" w:hAnsi="Times New Roman"/>
        </w:rPr>
        <w:t>With regard to P, the quantity absorbed by crops is determined from a database on food compositions</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"DTU", "given" : "", "non-dropping-particle" : "", "parse-names" : false, "suffix" : "" } ], "id" : "ITEM-1", "issued" : { "date-parts" : [ [ "2016" ] ] }, "publisher" : "http://frida.fooddata.dk/, Accessed May 2017", "title" : "Fridata Fooddata Version 2", "type" : "report" }, "uris" : [ "http://www.mendeley.com/documents/?uuid=366a8387-3ca6-4e7a-9103-63ed4e8869b9" ] } ], "mendeley" : { "formattedCitation" : "&lt;sup&gt;71&lt;/sup&gt;", "plainTextFormattedCitation" : "71", "previouslyFormattedCitation" : "&lt;sup&gt;71&lt;/sup&gt;"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71</w:t>
      </w:r>
      <w:r>
        <w:rPr>
          <w:rFonts w:ascii="Times New Roman" w:hAnsi="Times New Roman"/>
        </w:rPr>
        <w:fldChar w:fldCharType="end"/>
      </w:r>
      <w:r>
        <w:rPr>
          <w:rFonts w:ascii="Times New Roman" w:hAnsi="Times New Roman"/>
        </w:rPr>
        <w:t xml:space="preserve"> supplemented by Ketterings and Czymmek</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"Ketterings", "given" : "Quirine", "non-dropping-particle" : "", "parse-names" : false, "suffix" : "" }, { "dropping-particle" : "", "family" : "Czymmek", "given" : "Karl", "non-dropping-particle" : "", "parse-names" : false, "suffix" : "" } ], "collection-title" : "Agronomy Fact Sheet Series 28", "id" : "ITEM-1", "issued" : { "date-parts" : [ [ "2007" ] ] }, "number-of-pages" : "1-2", "publisher-place" : "Ithaca, New York", "title" : "Agronomy Fact Sheet 28: Removal of Phosphorus by Field Crops", "type" : "report" }, "uris" : [ "http://www.mendeley.com/documents/?uuid=795a30c9-3f42-4232-8083-aa4ebd2899e2" ] } ], "mendeley" : { "formattedCitation" : "&lt;sup&gt;72&lt;/sup&gt;", "plainTextFormattedCitation" : "72", "previouslyFormattedCitation" : "&lt;sup&gt;72&lt;/sup&gt;"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72</w:t>
      </w:r>
      <w:r>
        <w:rPr>
          <w:rFonts w:ascii="Times New Roman" w:hAnsi="Times New Roman"/>
        </w:rPr>
        <w:fldChar w:fldCharType="end"/>
      </w:r>
      <w:r>
        <w:rPr>
          <w:rFonts w:ascii="Times New Roman" w:hAnsi="Times New Roman"/>
        </w:rPr>
        <w:t>. We assume the residual part is emitted, with 2.9% of total emissions leaching into water based on the rest accumulating in soil stocks. Whenever the quantity of absorbed P is higher than the applied quantity, no emissions occur. Because</w:t>
      </w:r>
      <w:r w:rsidRPr="00527D4A">
        <w:rPr>
          <w:rFonts w:ascii="Times New Roman" w:hAnsi="Times New Roman"/>
        </w:rPr>
        <w:t xml:space="preserve"> these factors vary spatially, there is a strong need for </w:t>
      </w:r>
      <w:r>
        <w:rPr>
          <w:rFonts w:ascii="Times New Roman" w:hAnsi="Times New Roman"/>
        </w:rPr>
        <w:t xml:space="preserve">further </w:t>
      </w:r>
      <w:r w:rsidRPr="00527D4A">
        <w:rPr>
          <w:rFonts w:ascii="Times New Roman" w:hAnsi="Times New Roman"/>
        </w:rPr>
        <w:t xml:space="preserve">research in this domain. The factors we use represent </w:t>
      </w:r>
      <w:r>
        <w:rPr>
          <w:rFonts w:ascii="Times New Roman" w:hAnsi="Times New Roman"/>
        </w:rPr>
        <w:t xml:space="preserve">common practice in life-cycle assessment </w:t>
      </w:r>
      <w:r w:rsidRPr="00527D4A">
        <w:rPr>
          <w:rFonts w:ascii="Times New Roman" w:hAnsi="Times New Roman"/>
        </w:rPr>
        <w:t>and can be compared agai</w:t>
      </w:r>
      <w:r>
        <w:rPr>
          <w:rFonts w:ascii="Times New Roman" w:hAnsi="Times New Roman"/>
        </w:rPr>
        <w:t xml:space="preserve">nst the global average estimate of </w:t>
      </w:r>
      <w:r w:rsidRPr="00527D4A">
        <w:rPr>
          <w:rFonts w:ascii="Times New Roman" w:hAnsi="Times New Roman"/>
        </w:rPr>
        <w:t xml:space="preserve">10% leaching of </w:t>
      </w:r>
      <w:r>
        <w:rPr>
          <w:rFonts w:ascii="Times New Roman" w:hAnsi="Times New Roman"/>
        </w:rPr>
        <w:t xml:space="preserve">P inputs to </w:t>
      </w:r>
      <w:r w:rsidRPr="00527D4A">
        <w:rPr>
          <w:rFonts w:ascii="Times New Roman" w:hAnsi="Times New Roman"/>
        </w:rPr>
        <w:t>soil to water</w:t>
      </w:r>
      <w:r>
        <w:rPr>
          <w:rFonts w:ascii="Times New Roman" w:hAnsi="Times New Roman"/>
        </w:rPr>
        <w:t xml:space="preserve"> emissions</w:t>
      </w:r>
      <w:r>
        <w:rPr>
          <w:rFonts w:ascii="Times New Roman" w:hAnsi="Times New Roman"/>
        </w:rPr>
        <w:fldChar w:fldCharType="begin" w:fldLock="1"/>
      </w:r>
      <w:r w:rsidR="00A1364F">
        <w:rPr>
          <w:rFonts w:ascii="Times New Roman" w:hAnsi="Times New Roman"/>
        </w:rPr>
        <w:instrText>ADDIN CSL_CITATION { "citationItems" : [ { "id" : "ITEM-1", "itemData" : { "DOI" : "10.1029/2009GB003576", "ISBN" : "0886-6236", "ISSN" : "08866236", "abstract" : "The Millennium Ecosystem Assessment scenarios for 2000 to 2050 describe contrasting future developments in agricultural land use under changing climate. Differences are related to the total crop and livestock production and the efficiency of nutrient use in agriculture. The scenarios with a reactive approach to environmental problems show increases in agricultural N and P soil balances in all developing countries. In the scenarios with a proactive attitude, N balances decrease and P balances show no change or a slight increase. In Europe and North America, the N balance will decline in all scenarios, most strongly in the environment-oriented scenarios; the P balance declines (proactive) or increases slowly (reactive approach). Even with rapidly increasing agricultural efficiency, the global N balance, ammonia, leaching and denitrification loss will not decrease from their current levels even in the most optimistic scenario. Soil P depletion seems to be a major problem in large parts of the global grassland area.", "author" : [ { "dropping-particle" : "", "family" : "Bouwman", "given" : "A. F.", "non-dropping-particle" : "", "parse-names" : false, "suffix" : "" }, { "dropping-particle" : "", "family" : "Beusen", "given" : "A. H W", "non-dropping-particle" : "", "parse-names" : false, "suffix" : "" }, { "dropping-particle" : "", "family" : "Billen", "given" : "G.", "non-dropping-particle" : "", "parse-names" : false, "suffix" : "" } ], "container-title" : "Global Biogeochemical Cycles", "id" : "ITEM-1", "issue" : "4", "issued" : { "date-parts" : [ [ "2009" ] ] }, "title" : "Human alteration of the global nitrogen and phosphorus soil balances for the period 1970-2050", "type" : "article-journal", "volume" : "23" }, "uris" : [ "http://www.mendeley.com/documents/?uuid=d47b7c2f-a9d8-4f9b-9c9f-4dc899fde88d" ] } ], "mendeley" : { "formattedCitation" : "&lt;sup&gt;73&lt;/sup&gt;", "plainTextFormattedCitation" : "73", "previouslyFormattedCitation" : "&lt;sup&gt;73&lt;/sup&gt;"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73</w:t>
      </w:r>
      <w:r>
        <w:rPr>
          <w:rFonts w:ascii="Times New Roman" w:hAnsi="Times New Roman"/>
        </w:rPr>
        <w:fldChar w:fldCharType="end"/>
      </w:r>
      <w:r>
        <w:rPr>
          <w:rFonts w:ascii="Times New Roman" w:hAnsi="Times New Roman"/>
        </w:rPr>
        <w:t xml:space="preserve">, which is an overestimate compared to </w:t>
      </w:r>
      <w:r w:rsidRPr="004E2C6A">
        <w:rPr>
          <w:rFonts w:ascii="Times New Roman" w:hAnsi="Times New Roman"/>
        </w:rPr>
        <w:t>Bennet (2001)</w:t>
      </w:r>
      <w:r w:rsidRPr="004E2C6A">
        <w:rPr>
          <w:rFonts w:ascii="Times New Roman" w:hAnsi="Times New Roman"/>
        </w:rPr>
        <w:fldChar w:fldCharType="begin" w:fldLock="1"/>
      </w:r>
      <w:r w:rsidR="00A1364F">
        <w:rPr>
          <w:rFonts w:ascii="Times New Roman" w:hAnsi="Times New Roman"/>
        </w:rPr>
        <w:instrText>ADDIN CSL_CITATION { "citationItems" : [ { "id" : "ITEM-1", "itemData" : { "DOI" : "10.1641/0006-3568(2001)051[0227:HIOEPA]2.0.CO;2", "ISBN" : "00063568", "ISSN" : "0006-3568", "PMID" : "172151600009", "abstract" : "INCREASING ACCUMULATION OF PHOSPHORUS IN SOIL THREATENS RIVERS, LAKES, AND COASTAL OCEANS WITH EUTROPHICATION", "author" : [ { "dropping-particle" : "", "family" : "Bennett", "given" : "Elena M", "non-dropping-particle" : "", "parse-names" : false, "suffix" : "" }, { "dropping-particle" : "", "family" : "Carpenter", "given" : "Stephen R", "non-dropping-particle" : "", "parse-names" : false, "suffix" : "" }, { "dropping-particle" : "", "family" : "Caraco", "given" : "Nina F", "non-dropping-particle" : "", "parse-names" : false, "suffix" : "" } ], "container-title" : "BioScience", "id" : "ITEM-1", "issue" : "3", "issued" : { "date-parts" : [ [ "2001" ] ] }, "page" : "227", "title" : "Human Impact on Erodable Phosphorus and Eutrophication: A Global Perspective", "type" : "article-journal", "volume" : "51" }, "uris" : [ "http://www.mendeley.com/documents/?uuid=a3a20044-2ffa-4ddf-8641-583f4a333204" ] } ], "mendeley" : { "formattedCitation" : "&lt;sup&gt;74&lt;/sup&gt;", "plainTextFormattedCitation" : "74", "previouslyFormattedCitation" : "&lt;sup&gt;74&lt;/sup&gt;" }, "properties" : {  }, "schema" : "https://github.com/citation-style-language/schema/raw/master/csl-citation.json" }</w:instrText>
      </w:r>
      <w:r w:rsidRPr="004E2C6A">
        <w:rPr>
          <w:rFonts w:ascii="Times New Roman" w:hAnsi="Times New Roman"/>
        </w:rPr>
        <w:fldChar w:fldCharType="separate"/>
      </w:r>
      <w:r w:rsidR="00A1364F" w:rsidRPr="00A1364F">
        <w:rPr>
          <w:rFonts w:ascii="Times New Roman" w:hAnsi="Times New Roman"/>
          <w:noProof/>
          <w:vertAlign w:val="superscript"/>
        </w:rPr>
        <w:t>74</w:t>
      </w:r>
      <w:r w:rsidRPr="004E2C6A">
        <w:rPr>
          <w:rFonts w:ascii="Times New Roman" w:hAnsi="Times New Roman"/>
        </w:rPr>
        <w:fldChar w:fldCharType="end"/>
      </w:r>
      <w:r>
        <w:rPr>
          <w:rFonts w:ascii="Times New Roman" w:hAnsi="Times New Roman"/>
        </w:rPr>
        <w:t>.</w:t>
      </w:r>
    </w:p>
    <w:p w14:paraId="305A324A" w14:textId="5E26D562" w:rsidR="001273D4" w:rsidRDefault="001273D4" w:rsidP="001273D4">
      <w:pPr>
        <w:rPr>
          <w:rFonts w:ascii="Times New Roman" w:hAnsi="Times New Roman"/>
        </w:rPr>
      </w:pPr>
      <w:r w:rsidRPr="00426222">
        <w:rPr>
          <w:rFonts w:ascii="Times New Roman" w:hAnsi="Times New Roman"/>
        </w:rPr>
        <w:t xml:space="preserve">The modelling of emissions from </w:t>
      </w:r>
      <w:r>
        <w:rPr>
          <w:rFonts w:ascii="Times New Roman" w:hAnsi="Times New Roman"/>
        </w:rPr>
        <w:t>land application of manure management (in the stable and storage) is based on the IPCC, chapter 11.</w:t>
      </w:r>
      <w:r w:rsidRPr="00426222">
        <w:rPr>
          <w:rFonts w:ascii="Times New Roman" w:hAnsi="Times New Roman"/>
        </w:rPr>
        <w:fldChar w:fldCharType="begin" w:fldLock="1"/>
      </w:r>
      <w:r w:rsidR="00A1364F">
        <w:rPr>
          <w:rFonts w:ascii="Times New Roman" w:hAnsi="Times New Roman"/>
        </w:rPr>
        <w:instrText>ADDIN CSL_CITATION { "citationItems" : [ { "id" : "ITEM-1", "itemData" : { "ISBN" : "4887880324", "abstract" : "Intergovernmental Panel on Climate Change (IPCC) (2006), \u201c2006 IPCC Guidelines for National Greenhouse Gas Inventories\u201d, Geneva, Vol. 4, Chapter 11, pp. 1-54.", "author" : [ { "dropping-particle" : "", "family" : "IPCC", "given" : "", "non-dropping-particle" : "", "parse-names" : false, "suffix" : "" } ], "container-title" : "IPCC Guidelines for National Greenhouse Gas Inventories", "id" : "ITEM-1", "issued" : { "date-parts" : [ [ "2006" ] ] }, "number-of-pages" : "11.1-11.54", "title" : "Chapter 11: N2O Emissions From Managed Soils, and CO2 Emissions From Lime and Urea application", "type" : "report" }, "uris" : [ "http://www.mendeley.com/documents/?uuid=207c1f24-9785-452b-acec-eac98d21004e" ] } ], "mendeley" : { "formattedCitation" : "&lt;sup&gt;70&lt;/sup&gt;", "plainTextFormattedCitation" : "70", "previouslyFormattedCitation" : "&lt;sup&gt;70&lt;/sup&gt;" }, "properties" : {  }, "schema" : "https://github.com/citation-style-language/schema/raw/master/csl-citation.json" }</w:instrText>
      </w:r>
      <w:r w:rsidRPr="00426222">
        <w:rPr>
          <w:rFonts w:ascii="Times New Roman" w:hAnsi="Times New Roman"/>
        </w:rPr>
        <w:fldChar w:fldCharType="separate"/>
      </w:r>
      <w:r w:rsidR="00A1364F" w:rsidRPr="00A1364F">
        <w:rPr>
          <w:rFonts w:ascii="Times New Roman" w:hAnsi="Times New Roman"/>
          <w:noProof/>
          <w:vertAlign w:val="superscript"/>
        </w:rPr>
        <w:t>70</w:t>
      </w:r>
      <w:r w:rsidRPr="00426222">
        <w:rPr>
          <w:rFonts w:ascii="Times New Roman" w:hAnsi="Times New Roman"/>
        </w:rPr>
        <w:fldChar w:fldCharType="end"/>
      </w:r>
      <w:r>
        <w:rPr>
          <w:rFonts w:ascii="Times New Roman" w:hAnsi="Times New Roman"/>
        </w:rPr>
        <w:t xml:space="preserve"> The input parameters for this, i.e. the amount of </w:t>
      </w:r>
      <w:r>
        <w:rPr>
          <w:rFonts w:ascii="Times New Roman" w:hAnsi="Times New Roman"/>
        </w:rPr>
        <w:lastRenderedPageBreak/>
        <w:t>manure, is calculated based on metabolic mass balances of animals for all animal categories and countries included in EXIOBASE.</w:t>
      </w:r>
      <w:r>
        <w:rPr>
          <w:rFonts w:ascii="Times New Roman" w:hAnsi="Times New Roman"/>
        </w:rPr>
        <w:fldChar w:fldCharType="begin" w:fldLock="1"/>
      </w:r>
      <w:r w:rsidR="00A1364F">
        <w:rPr>
          <w:rFonts w:ascii="Times New Roman" w:hAnsi="Times New Roman"/>
        </w:rPr>
        <w:instrText>ADDIN CSL_CITATION { "citationItems" : [ { "id" : "ITEM-1", "itemData" : { "author" : [ { "dropping-particle" : "", "family" : "Merciai", "given" : "S.", "non-dropping-particle" : "", "parse-names" : false, "suffix" : "" }, { "dropping-particle" : "", "family" : "Schmidt", "given" : "J.H.", "non-dropping-particle" : "", "parse-names" : false, "suffix" : "" } ], "id" : "ITEM-1", "issued" : { "date-parts" : [ [ "2016" ] ] }, "page" : "1-91", "publisher" : "http://fp7desire.eu/documents/, Accessed May 2017", "publisher-place" : "Aalborg, Denmark", "title" : "Physical/Hybrid supply and use tables. Methodological report. EU FP7 DESIRE project", "type" : "webpage" }, "uris" : [ "http://www.mendeley.com/documents/?uuid=84a89745-6b2b-4b34-a205-7b663379d64d" ] } ], "mendeley" : { "formattedCitation" : "&lt;sup&gt;63&lt;/sup&gt;", "plainTextFormattedCitation" : "63", "previouslyFormattedCitation" : "&lt;sup&gt;63&lt;/sup&gt;"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63</w:t>
      </w:r>
      <w:r>
        <w:rPr>
          <w:rFonts w:ascii="Times New Roman" w:hAnsi="Times New Roman"/>
        </w:rPr>
        <w:fldChar w:fldCharType="end"/>
      </w:r>
      <w:r>
        <w:rPr>
          <w:rFonts w:ascii="Times New Roman" w:hAnsi="Times New Roman"/>
        </w:rPr>
        <w:t xml:space="preserve"> These emissions are allocated directly to the corresponding input-output sector of each animal type</w:t>
      </w:r>
      <w:r w:rsidRPr="00426222">
        <w:rPr>
          <w:rFonts w:ascii="Times New Roman" w:hAnsi="Times New Roman"/>
        </w:rPr>
        <w:t xml:space="preserve">. </w:t>
      </w:r>
      <w:r>
        <w:rPr>
          <w:rFonts w:ascii="Times New Roman" w:hAnsi="Times New Roman"/>
        </w:rPr>
        <w:t xml:space="preserve">Further information regarding this approach can be found in the </w:t>
      </w:r>
      <w:r w:rsidR="00391E07">
        <w:rPr>
          <w:rFonts w:ascii="Times New Roman" w:hAnsi="Times New Roman"/>
        </w:rPr>
        <w:t>SI</w:t>
      </w:r>
      <w:r>
        <w:rPr>
          <w:rFonts w:ascii="Times New Roman" w:hAnsi="Times New Roman"/>
        </w:rPr>
        <w:t>.</w:t>
      </w:r>
    </w:p>
    <w:p w14:paraId="0F48054C" w14:textId="77777777" w:rsidR="001273D4" w:rsidRDefault="001273D4" w:rsidP="001273D4">
      <w:pPr>
        <w:spacing w:before="100" w:beforeAutospacing="1" w:after="100" w:afterAutospacing="1"/>
        <w:rPr>
          <w:rFonts w:ascii="Times New Roman" w:hAnsi="Times New Roman"/>
          <w:i/>
        </w:rPr>
      </w:pPr>
      <w:r>
        <w:rPr>
          <w:rFonts w:ascii="Times New Roman" w:hAnsi="Times New Roman"/>
          <w:i/>
        </w:rPr>
        <w:t>Impact assessment methods</w:t>
      </w:r>
    </w:p>
    <w:p w14:paraId="08ACF489" w14:textId="458352B7" w:rsidR="00280B01" w:rsidRDefault="00280B01" w:rsidP="00280B01">
      <w:pPr>
        <w:spacing w:before="100" w:beforeAutospacing="1" w:after="100" w:afterAutospacing="1"/>
        <w:rPr>
          <w:rFonts w:ascii="Times New Roman" w:hAnsi="Times New Roman"/>
        </w:rPr>
      </w:pPr>
      <w:r>
        <w:rPr>
          <w:rFonts w:ascii="Times New Roman" w:hAnsi="Times New Roman"/>
        </w:rPr>
        <w:t>We characterize the N and P emissions following ReCiPe 2016v1.1</w:t>
      </w:r>
      <w:r>
        <w:rPr>
          <w:rFonts w:ascii="Times New Roman" w:hAnsi="Times New Roman"/>
        </w:rPr>
        <w:fldChar w:fldCharType="begin" w:fldLock="1"/>
      </w:r>
      <w:r w:rsidR="00A1364F">
        <w:rPr>
          <w:rFonts w:ascii="Times New Roman" w:hAnsi="Times New Roman"/>
        </w:rPr>
        <w:instrText>ADDIN CSL_CITATION { "citationItems" : [ { "id" : "ITEM-1", "itemData" : { "DOI" : "10.1007/s11367-016-1246-y", "ISSN" : "0948-3349", "author" : [ { "dropping-particle" : "", "family" : "Huijbregts", "given" : "Mark A J", "non-dropping-particle" : "", "parse-names" : false, "suffix" : "" }, { "dropping-particle" : "", "family" : "Steinmann", "given" : "Zoran J N", "non-dropping-particle" : "", "parse-names" : false, "suffix" : "" }, { "dropping-particle" : "", "family" : "Elshout", "given" : "Pieter M F", "non-dropping-particle" : "", "parse-names" : false, "suffix" : "" }, { "dropping-particle" : "", "family" : "Stam", "given" : "Gea", "non-dropping-particle" : "", "parse-names" : false, "suffix" : "" }, { "dropping-particle" : "", "family" : "Verones", "given" : "Francesca", "non-dropping-particle" : "", "parse-names" : false, "suffix" : "" }, { "dropping-particle" : "", "family" : "Vieira", "given" : "Marisa", "non-dropping-particle" : "", "parse-names" : false, "suffix" : "" }, { "dropping-particle" : "", "family" : "Zelm", "given" : "Rosalie", "non-dropping-particle" : "van", "parse-names" : false, "suffix" : "" } ], "container-title" : "The International Journal of Life Cycle Assessment", "id" : "ITEM-1", "issue" : "22", "issued" : { "date-parts" : [ [ "2017" ] ] }, "note" : "NULL", "page" : "138-147", "publisher" : "The International Journal of Life Cycle Assessment", "title" : "ReCiPe2016: a harmonized life cycle impact assessment method at midpoint and endpoint level", "type" : "article-journal" }, "uris" : [ "http://www.mendeley.com/documents/?uuid=e27c04b6-7360-4b57-8dc6-788807f8b0ca" ] } ], "mendeley" : { "formattedCitation" : "&lt;sup&gt;48&lt;/sup&gt;", "plainTextFormattedCitation" : "48", "previouslyFormattedCitation" : "&lt;sup&gt;48&lt;/sup&gt;"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48</w:t>
      </w:r>
      <w:r>
        <w:rPr>
          <w:rFonts w:ascii="Times New Roman" w:hAnsi="Times New Roman"/>
        </w:rPr>
        <w:fldChar w:fldCharType="end"/>
      </w:r>
      <w:r>
        <w:rPr>
          <w:rFonts w:ascii="Times New Roman" w:hAnsi="Times New Roman"/>
        </w:rPr>
        <w:t>, converting them to respective marine and freshwater eutrophication potentials. In contrast to previous versions, ReCiPe 2016v1.1 provides country-specific eutrophication potentials that capture the differing impacts P emissions have in different freshwater ecosystems, while it includes continent-specific factors for N emissions. River-basin specific e</w:t>
      </w:r>
      <w:r>
        <w:rPr>
          <w:rFonts w:cs="Times"/>
          <w:szCs w:val="24"/>
        </w:rPr>
        <w:t>utrophication potentials include the fate of P and N in aquatic systems, i.e. residence time in lakes and rivers determined by inflow, advection, retention and water use processes.</w:t>
      </w:r>
      <w:r>
        <w:rPr>
          <w:rFonts w:cs="Times"/>
          <w:szCs w:val="24"/>
        </w:rPr>
        <w:fldChar w:fldCharType="begin" w:fldLock="1"/>
      </w:r>
      <w:r w:rsidR="00A1364F">
        <w:rPr>
          <w:rFonts w:cs="Times"/>
          <w:szCs w:val="24"/>
        </w:rPr>
        <w:instrText>ADDIN CSL_CITATION { "citationItems" : [ { "id" : "ITEM-1", "itemData" : { "DOI" : "10.1007/s11367-012-0382-2", "ISSN" : "0948-3349", "author" : [ { "dropping-particle" : "", "family" : "Helmes", "given" : "Roel J. K.", "non-dropping-particle" : "", "parse-names" : false, "suffix" : "" }, { "dropping-particle" : "", "family" : "Huijbregts", "given" : "Mark a. J.", "non-dropping-particle" : "", "parse-names" : false, "suffix" : "" }, { "dropping-particle" : "", "family" : "Henderson", "given" : "Andrew D.", "non-dropping-particle" : "", "parse-names" : false, "suffix" : "" }, { "dropping-particle" : "", "family" : "Jolliet", "given" : "Olivier", "non-dropping-particle" : "", "parse-names" : false, "suffix" : "" } ], "container-title" : "The International Journal of Life Cycle Assessment", "id" : "ITEM-1", "issue" : "5", "issued" : { "date-parts" : [ [ "2012", "2", "2" ] ] }, "page" : "646-654", "title" : "Spatially explicit fate factors of phosphorous emissions to freshwater at the global scale", "type" : "article-journal", "volume" : "17" }, "uris" : [ "http://www.mendeley.com/documents/?uuid=ed47082d-8abc-41a7-abe6-7ce1d2c65e27" ] }, { "id" : "ITEM-2", "itemData" : { "DOI" : "10.1016/j.ecolmodel.2015.09.005", "ISBN" : "0304-3800", "ISSN" : "03043800", "abstract" : "Emissions of nitrogen (N) from anthropogenic sources enrich marine waters and promote planktonic growth. This newly synthesised organic carbon is eventually exported to benthic waters where aerobic respiration by heterotrophic bacteria results in the consumption of dissolved oxygen (DO). This pathway is typical of marine eutrophication. A model is proposed to mechanistically estimate the response of coastal marine ecosystems to N inputs. It addresses the biological processes of nutrient-limited primary production (PP), metazoan consumption, and bacterial degradation, in four distinct sinking routes from primary (cell aggregates) and secondary producers (faecal pellets, carcasses, and active vertical transport). Carbon export production (PE) and ecosystems eXposure Factors (XF), which represents a nitrogen-to-oxygen 'conversion' potential, were estimated at a spatial resolution of 66 large marine ecosystem (LME), five climate zones, and site-generic. The XFs obtained range from 0.45 (Central Arctic Ocean) to 15.9kgO2kgN-1(Baltic Sea). While LME resolution is recommended, aggregated PEor XF per climate zone can be adopted, but not global aggregation due to high variability. The XF is essential to estimate a marine eutrophication impacts indicator in Life Cycle Impact Assessment (LCIA) of anthropogenic-N emissions. Every relevant process was modelled and the uncertainty of the driving parameters considered low suggesting valid applicability in characterisation modelling in LCIA.", "author" : [ { "dropping-particle" : "", "family" : "Cosme", "given" : "Nuno", "non-dropping-particle" : "", "parse-names" : false, "suffix" : "" }, { "dropping-particle" : "", "family" : "Koski", "given" : "Marja", "non-dropping-particle" : "", "parse-names" : false, "suffix" : "" }, { "dropping-particle" : "", "family" : "Hauschild", "given" : "Michael Z.", "non-dropping-particle" : "", "parse-names" : false, "suffix" : "" } ], "container-title" : "Ecological Modelling", "id" : "ITEM-2", "issued" : { "date-parts" : [ [ "2015" ] ] }, "page" : "50-63", "publisher" : "Elsevier B.V.", "title" : "Exposure factors for marine eutrophication impacts assessment based on a mechanistic biological model", "type" : "article-journal", "volume" : "317" }, "uris" : [ "http://www.mendeley.com/documents/?uuid=3984a7f3-e4f5-4681-b733-7f194206fbc7" ] }, { "id" : "ITEM-3", "itemData" : { "DOI" : "10.1007/s11367-017-1349-0", "ISSN" : "16147502", "abstract" : "\u00a9 2017 Springer-Verlag GmbH Germany Purpose: Marine eutrophication impacts due to waterborne nitrogen (N) emissions may vary significantly with their type and location. The environmental fate of dissolved inorganic nitrogen (DIN) forms is essential to understand the impacts they may trigger in receiving coastal waters. Current life cycle impact assessment (LCIA) methods apply fate factors (FFs) with limited specificity of DIN emission routes, and often lack spatial differentiation and global applicability. This paper describes a newly developed method to estimate spatially explicit FFs for marine eutrophication at a global scale and river basin resolution. Methods: The FF modelling work includes DIN removal processes in both inland (soil and river) and marine compartments. Model input parameters are the removal coefficients extracted from the Global NEWS 2-DIN model and residence time of receiving coastal waters. The resulting FFs express the persistence of the fraction of the original DIN emission in the receiving coastal large marine ecosystems (LMEs). The method further discriminates three DIN emission routes, i.e., diffuse emission from soils, and direct point emissions to freshwater or marine water. Based on modelling of individual river basins, regionally aggregated FFs are calculated as emission-weighted averages. Results and discussion: Among 5772 river basins of the world, the calculated FFs show 5 orders of magnitude variation for the soil-related emission route, 3 for the river-related, and 2 for emissions to marine water. Spatial aggregation of the FFs at the continental level decreases this variation to 1 order of magnitude or less for all routes. Coastal water residence time was found to show inconsistency and scarcity of literature sources. Improvement of data quality for this parameter is suggested. Conclusions: With the proposed method and factors, spatial information of DIN emissions can be used to improve the environmental relevance and the discriminatory power of the assessment of marine eutrophication impacts in a geographically differentiated characterization model at a global scale.", "author" : [ { "dropping-particle" : "", "family" : "Cosme", "given" : "Nuno", "non-dropping-particle" : "", "parse-names" : false, "suffix" : "" }, { "dropping-particle" : "", "family" : "Mayorga", "given" : "Emilio", "non-dropping-particle" : "", "parse-names" : false, "suffix" : "" }, { "dropping-particle" : "", "family" : "Hauschild", "given" : "Michael Z.", "non-dropping-particle" : "", "parse-names" : false, "suffix" : "" } ], "container-title" : "International Journal of Life Cycle Assessment", "id" : "ITEM-3", "issued" : { "date-parts" : [ [ "2017" ] ] }, "page" : "1-11", "publisher" : "The International Journal of Life Cycle Assessment", "title" : "Spatially explicit fate factors of waterborne nitrogen emissions at the global scale", "type" : "article-journal" }, "uris" : [ "http://www.mendeley.com/documents/?uuid=a07c79b1-ccc2-4bc9-87d4-768f7795b030" ] } ], "mendeley" : { "formattedCitation" : "&lt;sup&gt;46,75,76&lt;/sup&gt;", "plainTextFormattedCitation" : "46,75,76", "previouslyFormattedCitation" : "&lt;sup&gt;46,75,76&lt;/sup&gt;" }, "properties" : {  }, "schema" : "https://github.com/citation-style-language/schema/raw/master/csl-citation.json" }</w:instrText>
      </w:r>
      <w:r>
        <w:rPr>
          <w:rFonts w:cs="Times"/>
          <w:szCs w:val="24"/>
        </w:rPr>
        <w:fldChar w:fldCharType="separate"/>
      </w:r>
      <w:r w:rsidR="00A1364F" w:rsidRPr="00A1364F">
        <w:rPr>
          <w:rFonts w:cs="Times"/>
          <w:noProof/>
          <w:szCs w:val="24"/>
          <w:vertAlign w:val="superscript"/>
        </w:rPr>
        <w:t>46,75,76</w:t>
      </w:r>
      <w:r>
        <w:rPr>
          <w:rFonts w:cs="Times"/>
          <w:szCs w:val="24"/>
        </w:rPr>
        <w:fldChar w:fldCharType="end"/>
      </w:r>
      <w:r>
        <w:rPr>
          <w:rFonts w:cs="Times"/>
          <w:szCs w:val="24"/>
        </w:rPr>
        <w:t xml:space="preserve"> </w:t>
      </w:r>
      <w:r>
        <w:rPr>
          <w:rFonts w:ascii="Times New Roman" w:hAnsi="Times New Roman"/>
        </w:rPr>
        <w:t>As emissions to air are not characterized for marine eutrophication in ReCiPe, we dete</w:t>
      </w:r>
      <w:r w:rsidR="000F4114">
        <w:rPr>
          <w:rFonts w:ascii="Times New Roman" w:hAnsi="Times New Roman"/>
        </w:rPr>
        <w:t>rmined the potentials by includ</w:t>
      </w:r>
      <w:r>
        <w:rPr>
          <w:rFonts w:ascii="Times New Roman" w:hAnsi="Times New Roman"/>
        </w:rPr>
        <w:t>ing the atmospheric fate and chemistry of th</w:t>
      </w:r>
      <w:r w:rsidR="00D763C4">
        <w:rPr>
          <w:rFonts w:ascii="Times New Roman" w:hAnsi="Times New Roman"/>
        </w:rPr>
        <w:t>e compounds from Roy et al.</w:t>
      </w:r>
      <w:r w:rsidR="00D763C4">
        <w:rPr>
          <w:rFonts w:ascii="Times New Roman" w:hAnsi="Times New Roman"/>
        </w:rPr>
        <w:fldChar w:fldCharType="begin" w:fldLock="1"/>
      </w:r>
      <w:r w:rsidR="00A1364F">
        <w:rPr>
          <w:rFonts w:ascii="Times New Roman" w:hAnsi="Times New Roman"/>
        </w:rPr>
        <w:instrText>ADDIN CSL_CITATION { "citationItems" : [ { "id" : "ITEM-1", "itemData" : { "DOI" : "10.1016/j.atmosenv.2012.07.069", "ISBN" : "1352-2310", "ISSN" : "13522310", "abstract" : "This paper aims to advance regional worldwide source-receptor relationships, providing fate factors for acidifying and eutrophying air emissions (NOx, HNO3, SO2, SO4and NH3) to be used within life cycle impact assessment. A simulation for the reference year 2005 of the three-dimensional global scale tropospheric GEOS-Chem model was used as the basis of a novel methodological approach to derive source-receptor matrices (SRMs) whose elements are fate factors at a global 2\u00b0 \u00d7 2.5\u00b0 grid. This new approach makes it possible to assess the impact of transboundary emissions while maintaining regional scale emission differentiation. These 2\u00b0 \u00d7 2.5\u00b0 grid resolution fate factors were later aggregated at continental and country resolutions using emission weighting. Continental fate factor results showed that 50-70% of nitrogen oxides (NOx, HNO3) and sulfur oxides (SO2, SO4) and approximately 80% of ammonia (NH3) emissions will deposit on the same continent. Results showed that the developed fate factor derivation approach was within a \u00b110% agreement with GEOS-Chem simulations in which fate factors were determined by withdrawing the regional emission inventory over Canada and in \u00b150% agreement with current state-of-the-art LCIA fate factors (calculated with the European Monitoring and Evaluation Programme (EMEP) model). The SRMs outlined in this paper facilitate further modeling developments without having to run the underlying tropospheric model, thus opening the door to the assessment of the regional life cycle inventories of a global economy. \u00a9 2012 Elsevier Ltd.", "author" : [ { "dropping-particle" : "", "family" : "Roy", "given" : "Pierre Olivier", "non-dropping-particle" : "", "parse-names" : false, "suffix" : "" }, { "dropping-particle" : "", "family" : "Huijbregts", "given" : "Mark", "non-dropping-particle" : "", "parse-names" : false, "suffix" : "" }, { "dropping-particle" : "", "family" : "Desch\u00eanes", "given" : "Louise", "non-dropping-particle" : "", "parse-names" : false, "suffix" : "" }, { "dropping-particle" : "", "family" : "Margni", "given" : "Manuele", "non-dropping-particle" : "", "parse-names" : false, "suffix" : "" } ], "container-title" : "Atmospheric Environment", "id" : "ITEM-1", "issued" : { "date-parts" : [ [ "2012" ] ] }, "page" : "74-81", "publisher" : "Elsevier Ltd", "title" : "Spatially-differentiated atmospheric source-receptor relationships for nitrogen oxides, sulfur oxides and ammonia emissions at the global scale for life cycle impact assessment", "type" : "article-journal", "volume" : "62" }, "uris" : [ "http://www.mendeley.com/documents/?uuid=2d2258e1-13c6-4f02-9307-c85f83d898eb" ] } ], "mendeley" : { "formattedCitation" : "&lt;sup&gt;77&lt;/sup&gt;", "plainTextFormattedCitation" : "77", "previouslyFormattedCitation" : "&lt;sup&gt;77&lt;/sup&gt;" }, "properties" : {  }, "schema" : "https://github.com/citation-style-language/schema/raw/master/csl-citation.json" }</w:instrText>
      </w:r>
      <w:r w:rsidR="00D763C4">
        <w:rPr>
          <w:rFonts w:ascii="Times New Roman" w:hAnsi="Times New Roman"/>
        </w:rPr>
        <w:fldChar w:fldCharType="separate"/>
      </w:r>
      <w:r w:rsidR="00A1364F" w:rsidRPr="00A1364F">
        <w:rPr>
          <w:rFonts w:ascii="Times New Roman" w:hAnsi="Times New Roman"/>
          <w:noProof/>
          <w:vertAlign w:val="superscript"/>
        </w:rPr>
        <w:t>77</w:t>
      </w:r>
      <w:r w:rsidR="00D763C4">
        <w:rPr>
          <w:rFonts w:ascii="Times New Roman" w:hAnsi="Times New Roman"/>
        </w:rPr>
        <w:fldChar w:fldCharType="end"/>
      </w:r>
      <w:r>
        <w:rPr>
          <w:rFonts w:ascii="Times New Roman" w:hAnsi="Times New Roman"/>
        </w:rPr>
        <w:t xml:space="preserve"> with the soil fate from Cosme et al.</w:t>
      </w:r>
      <w:r w:rsidR="000F4114">
        <w:rPr>
          <w:rFonts w:ascii="Times New Roman" w:hAnsi="Times New Roman"/>
        </w:rPr>
        <w:fldChar w:fldCharType="begin" w:fldLock="1"/>
      </w:r>
      <w:r w:rsidR="00A1364F">
        <w:rPr>
          <w:rFonts w:ascii="Times New Roman" w:hAnsi="Times New Roman"/>
        </w:rPr>
        <w:instrText>ADDIN CSL_CITATION { "citationItems" : [ { "id" : "ITEM-1", "itemData" : { "DOI" : "10.1007/s11367-017-1349-0", "ISSN" : "16147502", "abstract" : "\u00a9 2017 Springer-Verlag GmbH Germany Purpose: Marine eutrophication impacts due to waterborne nitrogen (N) emissions may vary significantly with their type and location. The environmental fate of dissolved inorganic nitrogen (DIN) forms is essential to understand the impacts they may trigger in receiving coastal waters. Current life cycle impact assessment (LCIA) methods apply fate factors (FFs) with limited specificity of DIN emission routes, and often lack spatial differentiation and global applicability. This paper describes a newly developed method to estimate spatially explicit FFs for marine eutrophication at a global scale and river basin resolution. Methods: The FF modelling work includes DIN removal processes in both inland (soil and river) and marine compartments. Model input parameters are the removal coefficients extracted from the Global NEWS 2-DIN model and residence time of receiving coastal waters. The resulting FFs express the persistence of the fraction of the original DIN emission in the receiving coastal large marine ecosystems (LMEs). The method further discriminates three DIN emission routes, i.e., diffuse emission from soils, and direct point emissions to freshwater or marine water. Based on modelling of individual river basins, regionally aggregated FFs are calculated as emission-weighted averages. Results and discussion: Among 5772 river basins of the world, the calculated FFs show 5 orders of magnitude variation for the soil-related emission route, 3 for the river-related, and 2 for emissions to marine water. Spatial aggregation of the FFs at the continental level decreases this variation to 1 order of magnitude or less for all routes. Coastal water residence time was found to show inconsistency and scarcity of literature sources. Improvement of data quality for this parameter is suggested. Conclusions: With the proposed method and factors, spatial information of DIN emissions can be used to improve the environmental relevance and the discriminatory power of the assessment of marine eutrophication impacts in a geographically differentiated characterization model at a global scale.", "author" : [ { "dropping-particle" : "", "family" : "Cosme", "given" : "Nuno", "non-dropping-particle" : "", "parse-names" : false, "suffix" : "" }, { "dropping-particle" : "", "family" : "Mayorga", "given" : "Emilio", "non-dropping-particle" : "", "parse-names" : false, "suffix" : "" }, { "dropping-particle" : "", "family" : "Hauschild", "given" : "Michael Z.", "non-dropping-particle" : "", "parse-names" : false, "suffix" : "" } ], "container-title" : "International Journal of Life Cycle Assessment", "id" : "ITEM-1", "issued" : { "date-parts" : [ [ "2017" ] ] }, "page" : "1-11", "publisher" : "The International Journal of Life Cycle Assessment", "title" : "Spatially explicit fate factors of waterborne nitrogen emissions at the global scale", "type" : "article-journal" }, "uris" : [ "http://www.mendeley.com/documents/?uuid=a07c79b1-ccc2-4bc9-87d4-768f7795b030" ] } ], "mendeley" : { "formattedCitation" : "&lt;sup&gt;76&lt;/sup&gt;", "plainTextFormattedCitation" : "76", "previouslyFormattedCitation" : "&lt;sup&gt;76&lt;/sup&gt;" }, "properties" : {  }, "schema" : "https://github.com/citation-style-language/schema/raw/master/csl-citation.json" }</w:instrText>
      </w:r>
      <w:r w:rsidR="000F4114">
        <w:rPr>
          <w:rFonts w:ascii="Times New Roman" w:hAnsi="Times New Roman"/>
        </w:rPr>
        <w:fldChar w:fldCharType="separate"/>
      </w:r>
      <w:r w:rsidR="00A1364F" w:rsidRPr="00A1364F">
        <w:rPr>
          <w:rFonts w:ascii="Times New Roman" w:hAnsi="Times New Roman"/>
          <w:noProof/>
          <w:vertAlign w:val="superscript"/>
        </w:rPr>
        <w:t>76</w:t>
      </w:r>
      <w:r w:rsidR="000F4114">
        <w:rPr>
          <w:rFonts w:ascii="Times New Roman" w:hAnsi="Times New Roman"/>
        </w:rPr>
        <w:fldChar w:fldCharType="end"/>
      </w:r>
      <w:r>
        <w:rPr>
          <w:rFonts w:ascii="Times New Roman" w:hAnsi="Times New Roman"/>
        </w:rPr>
        <w:t xml:space="preserve">  </w:t>
      </w:r>
      <w:r>
        <w:rPr>
          <w:rFonts w:cs="Times"/>
          <w:szCs w:val="24"/>
        </w:rPr>
        <w:t>Continent</w:t>
      </w:r>
      <w:r w:rsidRPr="005E2253">
        <w:rPr>
          <w:rFonts w:cs="Times"/>
          <w:szCs w:val="24"/>
        </w:rPr>
        <w:t xml:space="preserve"> aggregated </w:t>
      </w:r>
      <w:r>
        <w:rPr>
          <w:rFonts w:cs="Times"/>
          <w:szCs w:val="24"/>
        </w:rPr>
        <w:t>potentials</w:t>
      </w:r>
      <w:r w:rsidRPr="005E2253">
        <w:rPr>
          <w:rFonts w:cs="Times"/>
          <w:szCs w:val="24"/>
        </w:rPr>
        <w:t xml:space="preserve"> </w:t>
      </w:r>
      <w:r>
        <w:rPr>
          <w:rFonts w:cs="Times"/>
          <w:szCs w:val="24"/>
        </w:rPr>
        <w:t xml:space="preserve">for marine eutrophication </w:t>
      </w:r>
      <w:r w:rsidRPr="005E2253">
        <w:rPr>
          <w:rFonts w:cs="Times"/>
          <w:szCs w:val="24"/>
        </w:rPr>
        <w:t xml:space="preserve">were determined based on </w:t>
      </w:r>
      <w:r>
        <w:rPr>
          <w:rFonts w:cs="Times"/>
          <w:szCs w:val="24"/>
        </w:rPr>
        <w:t>emission data.</w:t>
      </w:r>
      <w:r w:rsidR="000F4114">
        <w:rPr>
          <w:rFonts w:cs="Times"/>
          <w:szCs w:val="24"/>
        </w:rPr>
        <w:fldChar w:fldCharType="begin" w:fldLock="1"/>
      </w:r>
      <w:r w:rsidR="000F4114">
        <w:rPr>
          <w:rFonts w:cs="Times"/>
          <w:szCs w:val="24"/>
        </w:rPr>
        <w:instrText>ADDIN CSL_CITATION { "citationItems" : [ { "id" : "ITEM-1", "itemData" : { "author" : [ { "dropping-particle" : "", "family" : "Huijbregts", "given" : "Mark A. J.", "non-dropping-particle" : "", "parse-names" : false, "suffix" : "" }, { "dropping-particle" : "", "family" : "Steinmann", "given" : "Zoran J. N.", "non-dropping-particle" : "", "parse-names" : false, "suffix" : "" }, { "dropping-particle" : "", "family" : "Elshout", "given" : "Pieter M. F.", "non-dropping-particle" : "", "parse-names" : false, "suffix" : "" }, { "dropping-particle" : "", "family" : "Stam", "given" : "Gea", "non-dropping-particle" : "", "parse-names" : false, "suffix" : "" }, { "dropping-particle" : "", "family" : "Verones", "given" : "Francesca", "non-dropping-particle" : "", "parse-names" : false, "suffix" : "" }, { "dropping-particle" : "", "family" : "Vieira", "given" : "Marisa", "non-dropping-particle" : "", "parse-names" : false, "suffix" : "" }, { "dropping-particle" : "", "family" : "Hollander", "given" : "Anne", "non-dropping-particle" : "", "parse-names" : false, "suffix" : "" }, { "dropping-particle" : "", "family" : "Zijp", "given" : "Michiel", "non-dropping-particle" : "", "parse-names" : false, "suffix" : "" }, { "dropping-particle" : "", "family" : "Zelm", "given" : "Rosalie", "non-dropping-particle" : "van", "parse-names" : false, "suffix" : "" } ], "id" : "ITEM-1", "issued" : { "date-parts" : [ [ "2017" ] ] }, "number-of-pages" : "1-201", "publisher-place" : "Bilthoven, The Netherlands", "title" : "ReCiPe 2016 v1.1 A harmonized life cycle impact assessment method at midpoint and endpoint level", "type" : "report" }, "uris" : [ "http://www.mendeley.com/documents/?uuid=36656d93-99a4-4643-a69a-95fcaa915b6d" ] } ], "mendeley" : { "formattedCitation" : "&lt;sup&gt;27&lt;/sup&gt;", "plainTextFormattedCitation" : "27", "previouslyFormattedCitation" : "&lt;sup&gt;27&lt;/sup&gt;" }, "properties" : {  }, "schema" : "https://github.com/citation-style-language/schema/raw/master/csl-citation.json" }</w:instrText>
      </w:r>
      <w:r w:rsidR="000F4114">
        <w:rPr>
          <w:rFonts w:cs="Times"/>
          <w:szCs w:val="24"/>
        </w:rPr>
        <w:fldChar w:fldCharType="separate"/>
      </w:r>
      <w:r w:rsidR="000F4114" w:rsidRPr="000F4114">
        <w:rPr>
          <w:rFonts w:cs="Times"/>
          <w:noProof/>
          <w:szCs w:val="24"/>
          <w:vertAlign w:val="superscript"/>
        </w:rPr>
        <w:t>27</w:t>
      </w:r>
      <w:r w:rsidR="000F4114">
        <w:rPr>
          <w:rFonts w:cs="Times"/>
          <w:szCs w:val="24"/>
        </w:rPr>
        <w:fldChar w:fldCharType="end"/>
      </w:r>
      <w:r w:rsidR="000F4114">
        <w:rPr>
          <w:rFonts w:cs="Times"/>
          <w:szCs w:val="24"/>
        </w:rPr>
        <w:t xml:space="preserve"> C</w:t>
      </w:r>
      <w:r>
        <w:rPr>
          <w:rFonts w:cs="Times"/>
          <w:szCs w:val="24"/>
        </w:rPr>
        <w:t xml:space="preserve">ountry-aggregation for freshwater eutrophication in ReCiPe was based on gridded population estimates, representing wastewater treatment plant emissions in urban areas. For the purpose of this paper, we recalculated the country aggregates for emissions to agricultural soil based on gridded P fertilizer and manure </w:t>
      </w:r>
      <w:r w:rsidR="00534514">
        <w:rPr>
          <w:rFonts w:cs="Times"/>
          <w:szCs w:val="24"/>
        </w:rPr>
        <w:t>application</w:t>
      </w:r>
      <w:r>
        <w:rPr>
          <w:rFonts w:cs="Times"/>
          <w:szCs w:val="24"/>
        </w:rPr>
        <w:t>.</w:t>
      </w:r>
      <w:r w:rsidR="00534514">
        <w:rPr>
          <w:rFonts w:cs="Times"/>
          <w:szCs w:val="24"/>
        </w:rPr>
        <w:fldChar w:fldCharType="begin" w:fldLock="1"/>
      </w:r>
      <w:r w:rsidR="00534514">
        <w:rPr>
          <w:rFonts w:cs="Times"/>
          <w:szCs w:val="24"/>
        </w:rPr>
        <w:instrText>ADDIN CSL_CITATION { "citationItems" : [ { "id" : "ITEM-1", "itemData" : { "DOI" : "10.1175/2009EI288.1", "ISBN" : "10873562", "ISSN" : "10873562", "PMID" : "52009639", "abstract" : "Abstract Agriculture has had a tremendous impact on soil nutrients around the world. In some regions, soil nutrients are depleted because of low initial soil fertility or excessive nutrient removals through intense land use relative to nutrient additions. In other regions, application of chemical fertilizers and manure has led to an accumulation of nutrients and subsequent water quality problems. Understanding the current level and spatial patterns of fertilizer and manure inputs would greatly improve the ability to identify areas that might be sensitive to aquatic eutrophication or to nutrient depletion. The authors calculated spatially explicit fertilizer inputs of nitrogen (N) and phosphorus (P) by fusing national-level statistics on fertilizer use with global maps of harvested area for 175 crops. They also calculated spatially explicit manure inputs of N and P by fusing global maps of animal density and international data on manure production and nutrient content. Significantly higher application rates were found for both fertilizers and manures in the Northern Hemisphere, with maxima centered on areas with intensive cropland and high densities of livestock. Furthermore, nutrient use is confined to a few major hot spots, with approximately 10% of the treated land receiving over 50% of the use of both fertilizers and manures. The authors\u2019 new spatial disaggregation of the rich International Fertilizer Industry Association (IFA) fertilizer-use dataset will provide new and interesting avenues to explore the impact of anthropogenic activity on ecosystems at the global scale and may also have implications for policies designed to improve soil quality or reduce nutrient runoff.", "author" : [ { "dropping-particle" : "", "family" : "Potter", "given" : "Philip", "non-dropping-particle" : "", "parse-names" : false, "suffix" : "" }, { "dropping-particle" : "", "family" : "Ramankutty", "given" : "Navin", "non-dropping-particle" : "", "parse-names" : false, "suffix" : "" }, { "dropping-particle" : "", "family" : "Bennett", "given" : "Elena M.", "non-dropping-particle" : "", "parse-names" : false, "suffix" : "" }, { "dropping-particle" : "", "family" : "Donner", "given" : "Simon D.", "non-dropping-particle" : "", "parse-names" : false, "suffix" : "" } ], "container-title" : "Earth Interactions", "id" : "ITEM-1", "issue" : "2", "issued" : { "date-parts" : [ [ "2010" ] ] }, "title" : "Characterizing the spatial patterns of global fertilizer application and manure production", "type" : "article-journal", "volume" : "14" }, "uris" : [ "http://www.mendeley.com/documents/?uuid=99b20b5e-66b4-405e-9696-ea9e5f9f95a6" ] } ], "mendeley" : { "formattedCitation" : "&lt;sup&gt;6&lt;/sup&gt;", "plainTextFormattedCitation" : "6", "previouslyFormattedCitation" : "&lt;sup&gt;6&lt;/sup&gt;" }, "properties" : {  }, "schema" : "https://github.com/citation-style-language/schema/raw/master/csl-citation.json" }</w:instrText>
      </w:r>
      <w:r w:rsidR="00534514">
        <w:rPr>
          <w:rFonts w:cs="Times"/>
          <w:szCs w:val="24"/>
        </w:rPr>
        <w:fldChar w:fldCharType="separate"/>
      </w:r>
      <w:r w:rsidR="00534514" w:rsidRPr="00534514">
        <w:rPr>
          <w:rFonts w:cs="Times"/>
          <w:noProof/>
          <w:szCs w:val="24"/>
          <w:vertAlign w:val="superscript"/>
        </w:rPr>
        <w:t>6</w:t>
      </w:r>
      <w:r w:rsidR="00534514">
        <w:rPr>
          <w:rFonts w:cs="Times"/>
          <w:szCs w:val="24"/>
        </w:rPr>
        <w:fldChar w:fldCharType="end"/>
      </w:r>
      <w:r>
        <w:rPr>
          <w:rFonts w:cs="Times"/>
          <w:szCs w:val="24"/>
        </w:rPr>
        <w:t xml:space="preserve"> </w:t>
      </w:r>
      <w:r>
        <w:rPr>
          <w:rFonts w:ascii="Times New Roman" w:hAnsi="Times New Roman"/>
        </w:rPr>
        <w:t xml:space="preserve">ReCiPe methods are based on the underlying assumption that freshwater eutrophication is P limited and marine eutrophication is N limited. Therefore, it only considers P emissions as relevant for freshwater eutrophication and N emissions as relevant for marine eutrophication. See </w:t>
      </w:r>
      <w:r w:rsidR="00391E07">
        <w:rPr>
          <w:rFonts w:ascii="Times New Roman" w:hAnsi="Times New Roman"/>
        </w:rPr>
        <w:t xml:space="preserve">SI </w:t>
      </w:r>
      <w:r>
        <w:rPr>
          <w:rFonts w:ascii="Times New Roman" w:hAnsi="Times New Roman"/>
        </w:rPr>
        <w:t xml:space="preserve">data file for data. </w:t>
      </w:r>
    </w:p>
    <w:p w14:paraId="29205ABF" w14:textId="77777777" w:rsidR="00944DC1" w:rsidRDefault="00944DC1" w:rsidP="00944DC1">
      <w:pPr>
        <w:spacing w:before="100" w:beforeAutospacing="1" w:after="100" w:afterAutospacing="1"/>
        <w:rPr>
          <w:rFonts w:ascii="Times New Roman" w:hAnsi="Times New Roman"/>
          <w:i/>
        </w:rPr>
      </w:pPr>
      <w:r>
        <w:rPr>
          <w:rFonts w:ascii="Times New Roman" w:hAnsi="Times New Roman"/>
          <w:i/>
        </w:rPr>
        <w:t>Regression analysis</w:t>
      </w:r>
    </w:p>
    <w:p w14:paraId="59462CCC" w14:textId="61F477C6" w:rsidR="00944DC1" w:rsidRDefault="00944DC1" w:rsidP="00944DC1">
      <w:pPr>
        <w:rPr>
          <w:rFonts w:ascii="Times New Roman" w:hAnsi="Times New Roman"/>
        </w:rPr>
      </w:pPr>
      <w:r w:rsidRPr="00904D2B">
        <w:rPr>
          <w:rFonts w:ascii="Times New Roman" w:hAnsi="Times New Roman"/>
        </w:rPr>
        <w:t>We present income elasticities on the freshwater and marine eutrophication footprints based on data from 44 countries and 5 rest-of-the-world regions</w:t>
      </w:r>
      <w:r>
        <w:rPr>
          <w:rFonts w:ascii="Times New Roman" w:hAnsi="Times New Roman"/>
        </w:rPr>
        <w:t>. Our analysis is conducted on per capita values for ME (measured in g N eq./cap), FE (in g P eq./cap) and income (GDP/cap in 2011-constant USD PPP). This is done in order to simplify the analysis and isolate the income effect from population changes</w:t>
      </w:r>
      <w:r>
        <w:rPr>
          <w:rFonts w:ascii="Times New Roman" w:hAnsi="Times New Roman"/>
        </w:rPr>
        <w:fldChar w:fldCharType="begin" w:fldLock="1"/>
      </w:r>
      <w:r w:rsidR="00A1364F">
        <w:rPr>
          <w:rFonts w:ascii="Times New Roman" w:hAnsi="Times New Roman"/>
        </w:rPr>
        <w:instrText>ADDIN CSL_CITATION { "citationItems" : [ { "id" : "ITEM-1", "itemData" : { "DOI" : "10.1371/journal.pone.0070385", "ISBN" : "1932-6203", "ISSN" : "19326203", "PMID" : "24204555", "abstract" : "Economic development and growth depend on growing levels of resource use, and result in environmental impacts from large scale resource extraction and emissions of waste. In this study, we examine the resource dependency of economic activities over the past several decades for a set of countries comprising developing, emerging and mature industrialized economies. Rather than a single universal industrial development pathway, we find a diversity of economic dependencies on material use, made evident through cluster analysis. We conduct tests for relative and absolute decoupling of the economy from material use, and compare these with similar tests for decoupling from carbon emissions, both for single countries and country groupings using panel analysis. We show that, over the longer term, emerging and developing countries tend to have significantly larger material-economic coupling than mature industrialized economies (although this effect may be enhanced by trade patterns), but that the contrary is true for short-term coupling. Moreover, we demonstrate that absolute dematerialization limits economic growth rates, while the successful industrialization of developing countries inevitably requires a strong material component. Alternative development priorities are thus urgently needed both for mature and emerging economies: reducing absolute consumption levels for the former, and avoiding the trap of resource-intensive economic and human development for the latter.", "author" : [ { "dropping-particle" : "", "family" : "Steinberger", "given" : "Julia K.", "non-dropping-particle" : "", "parse-names" : false, "suffix" : "" }, { "dropping-particle" : "", "family" : "Krausmann", "given" : "Fridolin", "non-dropping-particle" : "", "parse-names" : false, "suffix" : "" }, { "dropping-particle" : "", "family" : "Getzner", "given" : "Michael", "non-dropping-particle" : "", "parse-names" : false, "suffix" : "" }, { "dropping-particle" : "", "family" : "Schandl", "given" : "Heinz", "non-dropping-particle" : "", "parse-names" : false, "suffix" : "" }, { "dropping-particle" : "", "family" : "West", "given" : "Jim", "non-dropping-particle" : "", "parse-names" : false, "suffix" : "" } ], "container-title" : "PLoS ONE", "id" : "ITEM-1", "issue" : "10", "issued" : { "date-parts" : [ [ "2013" ] ] }, "title" : "Development and Dematerialization: An International Study", "type" : "article-journal", "volume" : "8" }, "uris" : [ "http://www.mendeley.com/documents/?uuid=a9548472-1e9a-405c-8a8b-7c829e63db5e", "http://www.mendeley.com/documents/?uuid=117ba3d2-1c7c-404d-b6dd-68622d7dc989" ] } ], "mendeley" : { "formattedCitation" : "&lt;sup&gt;78&lt;/sup&gt;", "plainTextFormattedCitation" : "78", "previouslyFormattedCitation" : "&lt;sup&gt;78&lt;/sup&gt;"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78</w:t>
      </w:r>
      <w:r>
        <w:rPr>
          <w:rFonts w:ascii="Times New Roman" w:hAnsi="Times New Roman"/>
        </w:rPr>
        <w:fldChar w:fldCharType="end"/>
      </w:r>
      <w:r>
        <w:rPr>
          <w:rFonts w:ascii="Times New Roman" w:hAnsi="Times New Roman"/>
        </w:rPr>
        <w:t>. Income coefficients are reported separately for ME and FE, and across consumption categories</w:t>
      </w:r>
      <w:r w:rsidRPr="00904D2B">
        <w:rPr>
          <w:rFonts w:ascii="Times New Roman" w:hAnsi="Times New Roman"/>
        </w:rPr>
        <w:t xml:space="preserve"> (total, food vs non-foo</w:t>
      </w:r>
      <w:r>
        <w:rPr>
          <w:rFonts w:ascii="Times New Roman" w:hAnsi="Times New Roman"/>
        </w:rPr>
        <w:t>d, and disaggregated further by eight</w:t>
      </w:r>
      <w:r w:rsidRPr="00904D2B">
        <w:rPr>
          <w:rFonts w:ascii="Times New Roman" w:hAnsi="Times New Roman"/>
        </w:rPr>
        <w:t xml:space="preserve"> consumption categories).</w:t>
      </w:r>
      <w:r>
        <w:rPr>
          <w:rFonts w:ascii="Times New Roman" w:hAnsi="Times New Roman"/>
        </w:rPr>
        <w:t xml:space="preserve"> Prior studies have calculated and used income/expenditure elasticities in the context of other environmental indicators, e.g. carbon footprints</w:t>
      </w:r>
      <w:r>
        <w:rPr>
          <w:rFonts w:ascii="Times New Roman" w:hAnsi="Times New Roman"/>
        </w:rPr>
        <w:fldChar w:fldCharType="begin" w:fldLock="1"/>
      </w:r>
      <w:r w:rsidR="00A1364F">
        <w:rPr>
          <w:rFonts w:ascii="Times New Roman" w:hAnsi="Times New Roman"/>
        </w:rPr>
        <w:instrText>ADDIN CSL_CITATION { "citationItems" : [ { "id" : "ITEM-1", "itemData" : { "DOI" : "10.1016/j.gloenvcha.2013.06.006", "ISBN" : "0959-3780", "ISSN" : "09593780", "abstract" : "Issues concerning what measures should be adopted to achieve a sustainable world with less carbon dioxide emission and in what magnitude should we reduce our emission have been on agenda in both international negotiations and countries' policy making aimed at coping with potential global climate change. These issues cannot be easily addressed unless comprehensive understanding about the countries' status quo as well as historical relationship between economic development and carbon dioxide emission are gained. In this paper, we examine the historical relationship between economic development and carbon dioxide emission; the ex ante restrictions on function forms and the poorly handled robustness issues rife in economics literature are synthetically addressed. Evidence from recent four decades indicates that per capita carbon dioxide emission first significantly and monotonously increase at low income level and flattens after per capita income reaches at about 22,000. $ (2005 constant price). We perform various robustness checks by employing different data sources, different model specifications and different econometric estimates. The captured development-emission relationship is robust. Our empirical results indicate factors such as urbanization, population density, trade, energy mix and economic environment impact the absolute level of carbon dioxide emission not the overall income elasticity structure of carbon dioxide emission. \u00a9 2013 Elsevier Ltd.", "author" : [ { "dropping-particle" : "", "family" : "Liao", "given" : "Hua", "non-dropping-particle" : "", "parse-names" : false, "suffix" : "" }, { "dropping-particle" : "", "family" : "Cao", "given" : "Huai Shu", "non-dropping-particle" : "", "parse-names" : false, "suffix" : "" } ], "container-title" : "Global Environmental Change", "id" : "ITEM-1", "issue" : "5", "issued" : { "date-parts" : [ [ "2013" ] ] }, "page" : "1073-1082", "publisher" : "Elsevier Ltd", "title" : "How does carbon dioxide emission change with the economic development? Statistical experiences from 132 countries", "type" : "article-journal", "volume" : "23" }, "uris" : [ "http://www.mendeley.com/documents/?uuid=8e45d877-ea0b-4c79-b5b7-0c90aae03b41", "http://www.mendeley.com/documents/?uuid=bfb24000-a3b4-4815-8c1a-405f47ea36f3" ] }, { "id" : "ITEM-2", "itemData" : { "DOI" : "10.1038/nclimate3165", "ISSN" : "1758-678X", "author" : [ { "dropping-particle" : "", "family" : "Wiedenhofer", "given" : "Dominik", "non-dropping-particle" : "", "parse-names" : false, "suffix" : "" }, { "dropping-particle" : "", "family" : "Guan", "given" : "Dabo", "non-dropping-particle" : "", "parse-names" : false, "suffix" : "" }, { "dropping-particle" : "", "family" : "Liu", "given" : "Zhu", "non-dropping-particle" : "", "parse-names" : false, "suffix" : "" }, { "dropping-particle" : "", "family" : "Meng", "given" : "Jing", "non-dropping-particle" : "", "parse-names" : false, "suffix" : "" }, { "dropping-particle" : "", "family" : "Zhang", "given" : "Ning", "non-dropping-particle" : "", "parse-names" : false, "suffix" : "" }, { "dropping-particle" : "", "family" : "Wei", "given" : "Yi-Ming", "non-dropping-particle" : "", "parse-names" : false, "suffix" : "" } ], "container-title" : "Nature Climate Change", "id" : "ITEM-2", "issue" : "January", "issued" : { "date-parts" : [ [ "2016" ] ] }, "title" : "Unequal household carbon footprints in China", "type" : "article-journal", "volume" : "7" }, "uris" : [ "http://www.mendeley.com/documents/?uuid=73cb6a82-8b12-48a8-9a32-f952605da22a", "http://www.mendeley.com/documents/?uuid=ce279cee-2fd5-4fcd-bef9-97d36f630d6d" ] }, { "id" : "ITEM-3", "itemData" : { "DOI" : "10.1021/es803496a", "author" : [ { "dropping-particle" : "", "family" : "Hertwich", "given" : "E.", "non-dropping-particle" : "", "parse-names" : false, "suffix" : "" }, { "dropping-particle" : "", "family" : "Peters", "given" : "G.", "non-dropping-particle" : "", "parse-names" : false, "suffix" : "" } ], "container-title" : "Environmental Science &amp; Technology", "id" : "ITEM-3", "issue" : "16", "issued" : { "date-parts" : [ [ "2009" ] ] }, "page" : "6414-6420", "title" : "Carbon footprint of nations: A global, trade-linked analysis", "type" : "article-journal", "volume" : "43" }, "uris" : [ "http://www.mendeley.com/documents/?uuid=4513b795-b7c9-4cff-9bf2-fda1b77dbbe5", "http://www.mendeley.com/documents/?uuid=ee62629c-4182-4398-beba-441668bfad2a" ] } ], "mendeley" : { "formattedCitation" : "&lt;sup&gt;24,79,80&lt;/sup&gt;", "plainTextFormattedCitation" : "24,79,80", "previouslyFormattedCitation" : "&lt;sup&gt;24,79,80&lt;/sup&gt;"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24,79,80</w:t>
      </w:r>
      <w:r>
        <w:rPr>
          <w:rFonts w:ascii="Times New Roman" w:hAnsi="Times New Roman"/>
        </w:rPr>
        <w:fldChar w:fldCharType="end"/>
      </w:r>
      <w:r>
        <w:rPr>
          <w:rFonts w:ascii="Times New Roman" w:hAnsi="Times New Roman"/>
        </w:rPr>
        <w:t>, land and water use</w:t>
      </w:r>
      <w:r>
        <w:rPr>
          <w:rFonts w:ascii="Times New Roman" w:hAnsi="Times New Roman"/>
        </w:rPr>
        <w:fldChar w:fldCharType="begin" w:fldLock="1"/>
      </w:r>
      <w:r w:rsidR="00A1364F">
        <w:rPr>
          <w:rFonts w:ascii="Times New Roman" w:hAnsi="Times New Roman"/>
        </w:rPr>
        <w:instrText>ADDIN CSL_CITATION { "citationItems" : [ { "id" : "ITEM-1", "itemData" : { "DOI" : "10.1016/j.gloenvcha.2012.12.010", "ISBN" : "0959-3780", "ISSN" : "09593780", "abstract" : "Increasing affluence is often postulated as a main driver for the human footprint on biologically productive areas, identified among the main causes of biodiversity loss, but causal relationships are obscured by international trade. Here, we trace the use of land and ocean area through international supply chains to final consumption, modeling agricultural, food, and forestry products on a high level of resolution while also including the land requirements of manufactured goods and services. In 2004, high-income countries required more biologically productive land per capita than low-income countries, but this connection could only be identified when land used to produce internationally traded products was taken into account, because higher-income countries tend to displace a larger fraction of land use. The equivalent land and ocean area footprint of nations increased by a third for each doubling of income, with all variables analyzed on a per capita basis. This increase came largely from imports, which increased proportionally to income. Export depended mostly on the capacity of countries to produce useful biomass, the biocapacity. Our analysis clearly shows that countries with a high biocapacity per capita tend to spare more land for nature. Biocapacity per capita can be increased through more intensive production or by reducing population density. The net displacement of land use from high-income to low-income countries amounted to 6% of the global land demand, even though high-income countries had more land available per capita than low-income countries. In particular, Europe and Japan placed high pressure on ecosystems in lower-income countries. \u00a9 2013 Elsevier Ltd.", "author" : [ { "dropping-particle" : "", "family" : "Weinzettel", "given" : "Jan", "non-dropping-particle" : "", "parse-names" : false, "suffix" : "" }, { "dropping-particle" : "", "family" : "Hertwich", "given" : "Edgar G.", "non-dropping-particle" : "", "parse-names" : false, "suffix" : "" }, { "dropping-particle" : "", "family" : "Peters", "given" : "Glen P.", "non-dropping-particle" : "", "parse-names" : false, "suffix" : "" }, { "dropping-particle" : "", "family" : "Steen-Olsen", "given" : "Kjartan", "non-dropping-particle" : "", "parse-names" : false, "suffix" : "" }, { "dropping-particle" : "", "family" : "Galli", "given" : "Alessandro", "non-dropping-particle" : "", "parse-names" : false, "suffix" : "" } ], "container-title" : "Global Environmental Change", "id" : "ITEM-1", "issue" : "2", "issued" : { "date-parts" : [ [ "2013" ] ] }, "page" : "433-438", "publisher" : "Elsevier Ltd", "title" : "Affluence drives the global displacement of land use", "type" : "article-journal", "volume" : "23" }, "uris" : [ "http://www.mendeley.com/documents/?uuid=4ba3a2cd-eb7b-413e-a8d9-c76ad3750b20" ] }, { "id" : "ITEM-2", "itemData" : { "DOI" : "10.1073/pnas.1220362110", "ISSN" : "1091-6490", "PMID" : "24003158", "abstract" : "Metrics on resource productivity currently used by governments suggest that some developed countries have increased the use of natural resources at a slower rate than economic growth (relative decoupling) or have even managed to use fewer resources over time (absolute decoupling). Using the material footprint (MF), a consumption-based indicator of resource use, we find the contrary: Achievements in decoupling in advanced economies are smaller than reported or even nonexistent. We present a time series analysis of the MF of 186 countries and identify material flows associated with global production and consumption networks in unprecedented specificity. By calculating raw material equivalents of international trade, we demonstrate that countries' use of nondomestic resources is, on average, about threefold larger than the physical quantity of traded goods. As wealth grows, countries tend to reduce their domestic portion of materials extraction through international trade, whereas the overall mass of material consumption generally increases. With every 10% increase in gross domestic product, the average national MF increases by 6%. Our findings call into question the sole use of current resource productivity indicators in policy making and suggest the necessity of an additional focus on consumption-based accounting for natural resource use.", "author" : [ { "dropping-particle" : "", "family" : "Wiedmann", "given" : "Thomas O", "non-dropping-particle" : "", "parse-names" : false, "suffix" : "" }, { "dropping-particle" : "", "family" : "Schandl", "given" : "Heinz", "non-dropping-particle" : "", "parse-names" : false, "suffix" : "" }, { "dropping-particle" : "", "family" : "Lenzen", "given" : "Manfred", "non-dropping-particle" : "", "parse-names" : false, "suffix" : "" }, { "dropping-particle" : "", "family" : "Moran", "given" : "Daniel", "non-dropping-particle" : "", "parse-names" : false, "suffix" : "" }, { "dropping-particle" : "", "family" : "Suh", "given" : "Sangwon", "non-dropping-particle" : "", "parse-names" : false, "suffix" : "" }, { "dropping-particle" : "", "family" : "West", "given" : "James", "non-dropping-particle" : "", "parse-names" : false, "suffix" : "" }, { "dropping-particle" : "", "family" : "Kanemoto", "given" : "Keiichiro", "non-dropping-particle" : "", "parse-names" : false, "suffix" : "" } ], "container-title" : "Proceedings of the National Academy of Sciences of the United States of America", "id" : "ITEM-2", "issued" : { "date-parts" : [ [ "2013", "9" ] ] }, "page" : "1-6", "title" : "The material footprint of nations", "type" : "article-journal" }, "uris" : [ "http://www.mendeley.com/documents/?uuid=9f3157f9-3fcf-4f72-a784-f3c59b234889", "http://www.mendeley.com/documents/?uuid=4e834422-c73c-47cd-a4e8-ed0da05326ca" ] }, { "id" : "ITEM-3", "itemData" : { "DOI" : "10.1111/jiec.12371", "ISBN" : "1088-1980", "ISSN" : "15309290", "abstract" : "We analyze the environmental impact of household consumption in terms of the material, water, and land-use requirements, as well as greenhouse gas (GHG) emissions, associated with the production and use of products and services consumed by these households. Using the new EXIOBASE 2.2 multiregional input-output database, which describes the world economy at the detail of 43 countries, five rest-of-the-world regions, and 200 product sectors, we are able to trace the origin of the products consumed by households and represent global supply chains for 2007. We highlight the importance of environmental pressure arising from households with their consumption contributing to more than 60% of global GHG emissions and between 50% and 80% of total land, material, and water use. The footprints are unevenly distributed across regions, with wealthier countries generating the most significant impacts per capita. Elasticities suggest a robust and significant relationship between households' expenditure and their environmental impacts, driven by a rising demand of nonprimary consumption items. Mobility, shelter, and food are the most important consumption categories across the environmental footprints. Globally, food accounts for 48% and 70% of household impacts on land and water resources, respectively, with consumption of meat, dairy, and processed food rising fast with income. Shelter and mobility stand out with high carbon and material intensity, whereas the significance of services for footprints relates to the large amount of household expenditure associated with them.", "author" : [ { "dropping-particle" : "", "family" : "Ivanova", "given" : "Diana", "non-dropping-particle" : "", "parse-names" : false, "suffix" : "" }, { "dropping-particle" : "", "family" : "Stadler", "given" : "Konstantin", "non-dropping-particle" : "", "parse-names" : false, "suffix" : "" }, { "dropping-particle" : "", "family" : "Steen-Olsen", "given" : "Kjartan", "non-dropping-particle" : "", "parse-names" : false, "suffix" : "" }, { "dropping-particle" : "", "family" : "Wood", "given" : "Richard", "non-dropping-particle" : "", "parse-names" : false, "suffix" : "" }, { "dropping-particle" : "", "family" : "Vita", "given" : "Gibran", "non-dropping-particle" : "", "parse-names" : false, "suffix" : "" }, { "dropping-particle" : "", "family" : "Tukker", "given" : "Arnold", "non-dropping-particle" : "", "parse-names" : false, "suffix" : "" }, { "dropping-particle" : "", "family" : "Hertwich", "given" : "Edgar G.", "non-dropping-particle" : "", "parse-names" : false, "suffix" : "" } ], "container-title" : "Journal of Industrial Ecology", "id" : "ITEM-3", "issue" : "3", "issued" : { "date-parts" : [ [ "2016" ] ] }, "page" : "526-536", "title" : "Environmental Impact Assessment of Household Consumption", "type" : "article-journal", "volume" : "20" }, "uris" : [ "http://www.mendeley.com/documents/?uuid=bbed89e1-fe6f-41cd-b27d-9eadfa653f7e" ] } ], "mendeley" : { "formattedCitation" : "&lt;sup&gt;23,81,82&lt;/sup&gt;", "plainTextFormattedCitation" : "23,81,82", "previouslyFormattedCitation" : "&lt;sup&gt;23,81,82&lt;/sup&gt;"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23,81,82</w:t>
      </w:r>
      <w:r>
        <w:rPr>
          <w:rFonts w:ascii="Times New Roman" w:hAnsi="Times New Roman"/>
        </w:rPr>
        <w:fldChar w:fldCharType="end"/>
      </w:r>
      <w:r>
        <w:rPr>
          <w:rFonts w:ascii="Times New Roman" w:hAnsi="Times New Roman"/>
        </w:rPr>
        <w:t>, and energy requirements</w:t>
      </w:r>
      <w:r>
        <w:rPr>
          <w:rFonts w:ascii="Times New Roman" w:hAnsi="Times New Roman"/>
        </w:rPr>
        <w:fldChar w:fldCharType="begin" w:fldLock="1"/>
      </w:r>
      <w:r w:rsidR="00A1364F">
        <w:rPr>
          <w:rFonts w:ascii="Times New Roman" w:hAnsi="Times New Roman"/>
        </w:rPr>
        <w:instrText>ADDIN CSL_CITATION { "citationItems" : [ { "id" : "ITEM-1", "itemData" : { "DOI" : "10.1016/j.enpol.2013.07.035", "ISBN" : "0301-4215", "ISSN" : "03014215", "abstract" : "Household consumption requires energy to be used at all stages of the economic process, thereby directly and indirectly leading to environmental impacts across the entire production chain. The levels, structure and determinants of energy requirements of household consumption therefore constitute an important avenue of research. Incorporating the full upstream requirements into the analysis helps to avoid simplistic conclusions which would actually only imply shifts between consumption categories without taking the economy wide effects into account. This paper presents the investigation of the direct and indirect primary energy requirements of Australian households, contrasting urban, suburban and rural consumption patterns as well as inter- and intra-regional levels of inequality in energy requirements. Furthermore the spatial and socio-economic drivers of energy consumption for different categories of energy requirements are identified and quantified. Conclusions regarding the relationships between energy requirements, household characteristics, urban form and urbanization processes are drawn and the respective policy implications are explored. \u00a9 2013 Elsevier Ltd.", "author" : [ { "dropping-particle" : "", "family" : "Wiedenhofer", "given" : "Dominik", "non-dropping-particle" : "", "parse-names" : false, "suffix" : "" }, { "dropping-particle" : "", "family" : "Lenzen", "given" : "Manfred", "non-dropping-particle" : "", "parse-names" : false, "suffix" : "" }, { "dropping-particle" : "", "family" : "Steinberger", "given" : "Julia K.", "non-dropping-particle" : "", "parse-names" : false, "suffix" : "" } ], "container-title" : "Energy Policy", "id" : "ITEM-1", "issued" : { "date-parts" : [ [ "2013" ] ] }, "page" : "696-707", "publisher" : "Elsevier", "title" : "Energy requirements of consumption: Urban form, climatic and socio-economic factors, rebounds and their policy implications", "type" : "article-journal", "volume" : "63" }, "uris" : [ "http://www.mendeley.com/documents/?uuid=e37b70e0-0997-490d-b254-c5ee7622735d", "http://www.mendeley.com/documents/?uuid=4400bbdb-8886-46a1-b204-635d00030c87" ] } ], "mendeley" : { "formattedCitation" : "&lt;sup&gt;83&lt;/sup&gt;", "plainTextFormattedCitation" : "83", "previouslyFormattedCitation" : "&lt;sup&gt;83&lt;/sup&gt;" }, "properties" : {  }, "schema" : "https://github.com/citation-style-language/schema/raw/master/csl-citation.json" }</w:instrText>
      </w:r>
      <w:r>
        <w:rPr>
          <w:rFonts w:ascii="Times New Roman" w:hAnsi="Times New Roman"/>
        </w:rPr>
        <w:fldChar w:fldCharType="separate"/>
      </w:r>
      <w:r w:rsidR="00A1364F" w:rsidRPr="00A1364F">
        <w:rPr>
          <w:rFonts w:ascii="Times New Roman" w:hAnsi="Times New Roman"/>
          <w:noProof/>
          <w:vertAlign w:val="superscript"/>
        </w:rPr>
        <w:t>83</w:t>
      </w:r>
      <w:r>
        <w:rPr>
          <w:rFonts w:ascii="Times New Roman" w:hAnsi="Times New Roman"/>
        </w:rPr>
        <w:fldChar w:fldCharType="end"/>
      </w:r>
      <w:r>
        <w:rPr>
          <w:rFonts w:ascii="Times New Roman" w:hAnsi="Times New Roman"/>
        </w:rPr>
        <w:t>.</w:t>
      </w:r>
    </w:p>
    <w:p w14:paraId="74317F06" w14:textId="4299603D" w:rsidR="00944DC1" w:rsidRDefault="00944DC1" w:rsidP="00944DC1">
      <w:pPr>
        <w:rPr>
          <w:rFonts w:ascii="Times New Roman" w:hAnsi="Times New Roman"/>
        </w:rPr>
      </w:pPr>
      <w:r>
        <w:rPr>
          <w:rFonts w:ascii="Times New Roman" w:hAnsi="Times New Roman"/>
        </w:rPr>
        <w:t>We study the relationship between ME/FE and income using two approaches: regression analysis on the cross-sectional data for 2011 across individual countries, and a panel analysis conducted on individual countries over time (2000-2011). The cross-sectional analysis explores inter-country variation in a single year (2011) using ordinary least squares (OLS) regressions. In addition, we examine the temporal dimension of the data (2000-2011) using the fixed-effects approach</w:t>
      </w:r>
      <w:r>
        <w:rPr>
          <w:rFonts w:ascii="Times New Roman" w:hAnsi="Times New Roman"/>
        </w:rPr>
        <w:fldChar w:fldCharType="begin" w:fldLock="1"/>
      </w:r>
      <w:r w:rsidR="000F4114">
        <w:rPr>
          <w:rFonts w:ascii="Times New Roman" w:hAnsi="Times New Roman"/>
        </w:rPr>
        <w:instrText>ADDIN CSL_CITATION { "citationItems" : [ { "id" : "ITEM-1", "itemData" : { "DOI" : "10.1038/srep05995", "ISSN" : "2045-2322", "PMID" : "25104138", "abstract" : "Despite their value, coastal ecosystems are globally threatened by anthropogenic impacts, yet how these impacts are driven by economic development is not well understood. We compiled a multifaceted dataset to quantify coastal trends and examine the role of economic growth in China\u2019s coastal degradation since the 1950s. Although China\u2019s coastal population growth did not change following the 1978 economic reforms, its coastal economy increased by orders of magnitude. All 15 coastal human impacts examined increased over time, especially after the reforms. Econometric analysis revealed positive relationships between most impacts and GDP across temporal and spatial scales, often lacking dropping thresholds. These relationships generally held when influences of population growth were addressed by analyzing per capita impacts, and when population density was included as explanatory variables. Historical trends in physical and biotic indicators showed that China\u2019s coastal ecosystems changed little or slowly between the 1950s and 1978, but have degraded at accelerated rates since 1978. Thus economic growth has been the cause of accelerating human damage to China\u2019s coastal ecosystems. China\u2019s GDP per capita remains very low. Without strict conservation efforts, continuing economic growth will further degrade China\u2019s coastal ecosystems.", "author" : [ { "dropping-particle" : "", "family" : "He", "given" : "Qiang", "non-dropping-particle" : "", "parse-names" : false, "suffix" : "" }, { "dropping-particle" : "", "family" : "Bertness", "given" : "Mark D", "non-dropping-particle" : "", "parse-names" : false, "suffix" : "" }, { "dropping-particle" : "", "family" : "Bruno", "given" : "John F", "non-dropping-particle" : "", "parse-names" : false, "suffix" : "" }, { "dropping-particle" : "", "family" : "Li", "given" : "Bo", "non-dropping-particle" : "", "parse-names" : false, "suffix" : "" }, { "dropping-particle" : "", "family" : "Chen", "given" : "Guoqian", "non-dropping-particle" : "", "parse-names" : false, "suffix" : "" }, { "dropping-particle" : "", "family" : "Coverdale", "given" : "Tyler C", "non-dropping-particle" : "", "parse-names" : false, "suffix" : "" }, { "dropping-particle" : "", "family" : "Altieri", "given" : "Andrew H", "non-dropping-particle" : "", "parse-names" : false, "suffix" : "" }, { "dropping-particle" : "", "family" : "Bai", "given" : "Junhong", "non-dropping-particle" : "", "parse-names" : false, "suffix" : "" }, { "dropping-particle" : "", "family" : "Sun", "given" : "Tao", "non-dropping-particle" : "", "parse-names" : false, "suffix" : "" }, { "dropping-particle" : "", "family" : "Pennings", "given" : "Steven C", "non-dropping-particle" : "", "parse-names" : false, "suffix" : "" }, { "dropping-particle" : "", "family" : "Liu", "given" : "Jianguo", "non-dropping-particle" : "", "parse-names" : false, "suffix" : "" }, { "dropping-particle" : "", "family" : "Ehrlich", "given" : "Paul R", "non-dropping-particle" : "", "parse-names" : false, "suffix" : "" }, { "dropping-particle" : "", "family" : "Cui", "given" : "Baoshan", "non-dropping-particle" : "", "parse-names" : false, "suffix" : "" } ], "container-title" : "Scientific Reports", "id" : "ITEM-1", "issued" : { "date-parts" : [ [ "2014" ] ] }, "page" : "1-9", "title" : "Economic development and coastal ecosystem change in China", "type" : "article-journal", "volume" : "4" }, "uris" : [ "http://www.mendeley.com/documents/?uuid=e248b5d1-c8e1-4eb8-991e-11cc3685c83e" ] } ], "mendeley" : { "formattedCitation" : "&lt;sup&gt;25&lt;/sup&gt;", "plainTextFormattedCitation" : "25", "previouslyFormattedCitation" : "&lt;sup&gt;25&lt;/sup&gt;" }, "properties" : {  }, "schema" : "https://github.com/citation-style-language/schema/raw/master/csl-citation.json" }</w:instrText>
      </w:r>
      <w:r>
        <w:rPr>
          <w:rFonts w:ascii="Times New Roman" w:hAnsi="Times New Roman"/>
        </w:rPr>
        <w:fldChar w:fldCharType="separate"/>
      </w:r>
      <w:r w:rsidRPr="003366C7">
        <w:rPr>
          <w:rFonts w:ascii="Times New Roman" w:hAnsi="Times New Roman"/>
          <w:noProof/>
          <w:vertAlign w:val="superscript"/>
        </w:rPr>
        <w:t>25</w:t>
      </w:r>
      <w:r>
        <w:rPr>
          <w:rFonts w:ascii="Times New Roman" w:hAnsi="Times New Roman"/>
        </w:rPr>
        <w:fldChar w:fldCharType="end"/>
      </w:r>
      <w:r>
        <w:rPr>
          <w:rFonts w:ascii="Times New Roman" w:hAnsi="Times New Roman"/>
        </w:rPr>
        <w:t xml:space="preserve">. Our models broadly agree about the importance of income for ME and FE impacts driven by non-food consumption. </w:t>
      </w:r>
      <w:r>
        <w:t xml:space="preserve">Using the fixed-effect approach, we control for the time-invariant differences across countries that have an effect on FE and ME. </w:t>
      </w:r>
      <w:r w:rsidRPr="003F45E1">
        <w:t>Such factors</w:t>
      </w:r>
      <w:r>
        <w:t xml:space="preserve"> </w:t>
      </w:r>
      <w:r w:rsidRPr="003F45E1">
        <w:t>include soil type</w:t>
      </w:r>
      <w:r>
        <w:t>, soil heavy metal content and precipitation amounts, amongst others</w:t>
      </w:r>
      <w:r w:rsidRPr="003F45E1">
        <w:t>.</w:t>
      </w:r>
      <w:r>
        <w:t xml:space="preserve"> These country effects rise the explanatory power of our model significantly</w:t>
      </w:r>
      <w:r w:rsidRPr="003F45E1">
        <w:t xml:space="preserve"> (</w:t>
      </w:r>
      <w:r>
        <w:t>table 1</w:t>
      </w:r>
      <w:r w:rsidRPr="003F45E1">
        <w:t>).</w:t>
      </w:r>
      <w:r>
        <w:t xml:space="preserve"> </w:t>
      </w:r>
      <w:r>
        <w:rPr>
          <w:rFonts w:ascii="Times New Roman" w:hAnsi="Times New Roman"/>
        </w:rPr>
        <w:t xml:space="preserve">It is worth noting, however, that our panel is relatively short for the </w:t>
      </w:r>
      <w:r w:rsidRPr="00904D2B">
        <w:rPr>
          <w:rFonts w:ascii="Times New Roman" w:hAnsi="Times New Roman"/>
        </w:rPr>
        <w:t>economic growth</w:t>
      </w:r>
      <w:r>
        <w:rPr>
          <w:rFonts w:ascii="Times New Roman" w:hAnsi="Times New Roman"/>
        </w:rPr>
        <w:t xml:space="preserve"> effect</w:t>
      </w:r>
      <w:r w:rsidRPr="00904D2B">
        <w:rPr>
          <w:rFonts w:ascii="Times New Roman" w:hAnsi="Times New Roman"/>
        </w:rPr>
        <w:t xml:space="preserve"> to unfold and cause a significant footprint change within </w:t>
      </w:r>
      <w:r>
        <w:rPr>
          <w:rFonts w:ascii="Times New Roman" w:hAnsi="Times New Roman"/>
        </w:rPr>
        <w:t>a country</w:t>
      </w:r>
      <w:r w:rsidRPr="00904D2B">
        <w:rPr>
          <w:rFonts w:ascii="Times New Roman" w:hAnsi="Times New Roman"/>
        </w:rPr>
        <w:t xml:space="preserve">. </w:t>
      </w:r>
      <w:r>
        <w:rPr>
          <w:rFonts w:ascii="Times New Roman" w:hAnsi="Times New Roman"/>
        </w:rPr>
        <w:t>We consult results from the Hausman test</w:t>
      </w:r>
      <w:r>
        <w:rPr>
          <w:rFonts w:ascii="Times New Roman" w:hAnsi="Times New Roman"/>
        </w:rPr>
        <w:fldChar w:fldCharType="begin" w:fldLock="1"/>
      </w:r>
      <w:r w:rsidR="000F4114">
        <w:rPr>
          <w:rFonts w:ascii="Times New Roman" w:hAnsi="Times New Roman"/>
        </w:rPr>
        <w:instrText>ADDIN CSL_CITATION { "citationItems" : [ { "id" : "ITEM-1", "itemData" : { "DOI" : "10.1038/srep05995", "ISSN" : "2045-2322", "PMID" : "25104138", "abstract" : "Despite their value, coastal ecosystems are globally threatened by anthropogenic impacts, yet how these impacts are driven by economic development is not well understood. We compiled a multifaceted dataset to quantify coastal trends and examine the role of economic growth in China\u2019s coastal degradation since the 1950s. Although China\u2019s coastal population growth did not change following the 1978 economic reforms, its coastal economy increased by orders of magnitude. All 15 coastal human impacts examined increased over time, especially after the reforms. Econometric analysis revealed positive relationships between most impacts and GDP across temporal and spatial scales, often lacking dropping thresholds. These relationships generally held when influences of population growth were addressed by analyzing per capita impacts, and when population density was included as explanatory variables. Historical trends in physical and biotic indicators showed that China\u2019s coastal ecosystems changed little or slowly between the 1950s and 1978, but have degraded at accelerated rates since 1978. Thus economic growth has been the cause of accelerating human damage to China\u2019s coastal ecosystems. China\u2019s GDP per capita remains very low. Without strict conservation efforts, continuing economic growth will further degrade China\u2019s coastal ecosystems.", "author" : [ { "dropping-particle" : "", "family" : "He", "given" : "Qiang", "non-dropping-particle" : "", "parse-names" : false, "suffix" : "" }, { "dropping-particle" : "", "family" : "Bertness", "given" : "Mark D", "non-dropping-particle" : "", "parse-names" : false, "suffix" : "" }, { "dropping-particle" : "", "family" : "Bruno", "given" : "John F", "non-dropping-particle" : "", "parse-names" : false, "suffix" : "" }, { "dropping-particle" : "", "family" : "Li", "given" : "Bo", "non-dropping-particle" : "", "parse-names" : false, "suffix" : "" }, { "dropping-particle" : "", "family" : "Chen", "given" : "Guoqian", "non-dropping-particle" : "", "parse-names" : false, "suffix" : "" }, { "dropping-particle" : "", "family" : "Coverdale", "given" : "Tyler C", "non-dropping-particle" : "", "parse-names" : false, "suffix" : "" }, { "dropping-particle" : "", "family" : "Altieri", "given" : "Andrew H", "non-dropping-particle" : "", "parse-names" : false, "suffix" : "" }, { "dropping-particle" : "", "family" : "Bai", "given" : "Junhong", "non-dropping-particle" : "", "parse-names" : false, "suffix" : "" }, { "dropping-particle" : "", "family" : "Sun", "given" : "Tao", "non-dropping-particle" : "", "parse-names" : false, "suffix" : "" }, { "dropping-particle" : "", "family" : "Pennings", "given" : "Steven C", "non-dropping-particle" : "", "parse-names" : false, "suffix" : "" }, { "dropping-particle" : "", "family" : "Liu", "given" : "Jianguo", "non-dropping-particle" : "", "parse-names" : false, "suffix" : "" }, { "dropping-particle" : "", "family" : "Ehrlich", "given" : "Paul R", "non-dropping-particle" : "", "parse-names" : false, "suffix" : "" }, { "dropping-particle" : "", "family" : "Cui", "given" : "Baoshan", "non-dropping-particle" : "", "parse-names" : false, "suffix" : "" } ], "container-title" : "Scientific Reports", "id" : "ITEM-1", "issued" : { "date-parts" : [ [ "2014" ] ] }, "page" : "1-9", "title" : "Economic development and coastal ecosystem change in China", "type" : "article-journal", "volume" : "4" }, "uris" : [ "http://www.mendeley.com/documents/?uuid=e248b5d1-c8e1-4eb8-991e-11cc3685c83e" ] } ], "mendeley" : { "formattedCitation" : "&lt;sup&gt;25&lt;/sup&gt;", "plainTextFormattedCitation" : "25", "previouslyFormattedCitation" : "&lt;sup&gt;25&lt;/sup&gt;" }, "properties" : {  }, "schema" : "https://github.com/citation-style-language/schema/raw/master/csl-citation.json" }</w:instrText>
      </w:r>
      <w:r>
        <w:rPr>
          <w:rFonts w:ascii="Times New Roman" w:hAnsi="Times New Roman"/>
        </w:rPr>
        <w:fldChar w:fldCharType="separate"/>
      </w:r>
      <w:r w:rsidRPr="00787F0C">
        <w:rPr>
          <w:rFonts w:ascii="Times New Roman" w:hAnsi="Times New Roman"/>
          <w:noProof/>
          <w:vertAlign w:val="superscript"/>
        </w:rPr>
        <w:t>25</w:t>
      </w:r>
      <w:r>
        <w:rPr>
          <w:rFonts w:ascii="Times New Roman" w:hAnsi="Times New Roman"/>
        </w:rPr>
        <w:fldChar w:fldCharType="end"/>
      </w:r>
      <w:r>
        <w:rPr>
          <w:rFonts w:ascii="Times New Roman" w:hAnsi="Times New Roman"/>
        </w:rPr>
        <w:t xml:space="preserve"> for </w:t>
      </w:r>
      <w:r w:rsidRPr="00904D2B">
        <w:rPr>
          <w:rFonts w:ascii="Times New Roman" w:hAnsi="Times New Roman"/>
        </w:rPr>
        <w:t>the</w:t>
      </w:r>
      <w:r>
        <w:rPr>
          <w:rFonts w:ascii="Times New Roman" w:hAnsi="Times New Roman"/>
        </w:rPr>
        <w:t xml:space="preserve"> choice</w:t>
      </w:r>
      <w:r w:rsidRPr="00904D2B">
        <w:rPr>
          <w:rFonts w:ascii="Times New Roman" w:hAnsi="Times New Roman"/>
        </w:rPr>
        <w:t xml:space="preserve"> </w:t>
      </w:r>
      <w:r>
        <w:rPr>
          <w:rFonts w:ascii="Times New Roman" w:hAnsi="Times New Roman"/>
        </w:rPr>
        <w:t xml:space="preserve">of </w:t>
      </w:r>
      <w:r w:rsidRPr="00904D2B">
        <w:rPr>
          <w:rFonts w:ascii="Times New Roman" w:hAnsi="Times New Roman"/>
        </w:rPr>
        <w:t xml:space="preserve">panel data </w:t>
      </w:r>
      <w:r>
        <w:rPr>
          <w:rFonts w:ascii="Times New Roman" w:hAnsi="Times New Roman"/>
        </w:rPr>
        <w:t xml:space="preserve">method (see </w:t>
      </w:r>
      <w:r w:rsidR="00391E07">
        <w:rPr>
          <w:rFonts w:ascii="Times New Roman" w:hAnsi="Times New Roman"/>
        </w:rPr>
        <w:t>SI</w:t>
      </w:r>
      <w:r>
        <w:rPr>
          <w:rFonts w:ascii="Times New Roman" w:hAnsi="Times New Roman"/>
        </w:rPr>
        <w:t>)</w:t>
      </w:r>
      <w:r w:rsidRPr="00904D2B">
        <w:rPr>
          <w:rFonts w:ascii="Times New Roman" w:hAnsi="Times New Roman"/>
        </w:rPr>
        <w:t xml:space="preserve">. </w:t>
      </w:r>
      <w:r>
        <w:rPr>
          <w:rFonts w:ascii="Times New Roman" w:hAnsi="Times New Roman"/>
        </w:rPr>
        <w:t>Further</w:t>
      </w:r>
      <w:r w:rsidRPr="00904D2B">
        <w:rPr>
          <w:rFonts w:ascii="Times New Roman" w:hAnsi="Times New Roman"/>
        </w:rPr>
        <w:t xml:space="preserve"> information on the estimated models</w:t>
      </w:r>
      <w:r>
        <w:rPr>
          <w:rFonts w:ascii="Times New Roman" w:hAnsi="Times New Roman"/>
        </w:rPr>
        <w:t xml:space="preserve">, </w:t>
      </w:r>
      <w:r>
        <w:rPr>
          <w:rFonts w:ascii="Times New Roman" w:hAnsi="Times New Roman"/>
        </w:rPr>
        <w:lastRenderedPageBreak/>
        <w:t>descriptive statistics, and robustness checks (pooled OLS and random-effects models)</w:t>
      </w:r>
      <w:r w:rsidRPr="00904D2B">
        <w:rPr>
          <w:rFonts w:ascii="Times New Roman" w:hAnsi="Times New Roman"/>
        </w:rPr>
        <w:t xml:space="preserve"> is provided in the </w:t>
      </w:r>
      <w:r w:rsidR="00391E07">
        <w:rPr>
          <w:rFonts w:ascii="Times New Roman" w:hAnsi="Times New Roman"/>
        </w:rPr>
        <w:t>SI</w:t>
      </w:r>
      <w:r>
        <w:rPr>
          <w:rFonts w:ascii="Times New Roman" w:hAnsi="Times New Roman"/>
        </w:rPr>
        <w:t xml:space="preserve">. </w:t>
      </w:r>
    </w:p>
    <w:p w14:paraId="37418ED9" w14:textId="77777777" w:rsidR="001273D4" w:rsidRPr="00460B52" w:rsidRDefault="001273D4" w:rsidP="001273D4">
      <w:pPr>
        <w:spacing w:after="0"/>
        <w:rPr>
          <w:rFonts w:ascii="Times New Roman" w:hAnsi="Times New Roman"/>
          <w:b/>
        </w:rPr>
      </w:pPr>
      <w:r>
        <w:rPr>
          <w:rFonts w:ascii="Times New Roman" w:hAnsi="Times New Roman"/>
          <w:b/>
        </w:rPr>
        <w:t>Data availability statement</w:t>
      </w:r>
    </w:p>
    <w:p w14:paraId="6911FBC9" w14:textId="2FDF74CF" w:rsidR="001273D4" w:rsidRDefault="001273D4" w:rsidP="001273D4">
      <w:pPr>
        <w:spacing w:after="0"/>
        <w:rPr>
          <w:rFonts w:ascii="Times New Roman" w:hAnsi="Times New Roman"/>
        </w:rPr>
      </w:pPr>
      <w:r>
        <w:rPr>
          <w:rFonts w:ascii="Times New Roman" w:hAnsi="Times New Roman"/>
        </w:rPr>
        <w:t xml:space="preserve">This work uses the EXIOBASE dataset which is a secondary data source released as a freely available dataset through </w:t>
      </w:r>
      <w:hyperlink r:id="rId25" w:history="1">
        <w:r w:rsidRPr="000E109B">
          <w:rPr>
            <w:rStyle w:val="Hyperlink"/>
            <w:rFonts w:ascii="Times New Roman" w:hAnsi="Times New Roman"/>
          </w:rPr>
          <w:t>www.exiobase.eu</w:t>
        </w:r>
      </w:hyperlink>
      <w:r>
        <w:rPr>
          <w:rFonts w:ascii="Times New Roman" w:hAnsi="Times New Roman"/>
        </w:rPr>
        <w:t xml:space="preserve">. See references for data specification. All figures are based on model results from this dataset. The latest version of the dataset is available on request, or through </w:t>
      </w:r>
      <w:hyperlink r:id="rId26" w:history="1">
        <w:r w:rsidRPr="000E109B">
          <w:rPr>
            <w:rStyle w:val="Hyperlink"/>
            <w:rFonts w:ascii="Times New Roman" w:hAnsi="Times New Roman"/>
          </w:rPr>
          <w:t>www.exiobase.eu</w:t>
        </w:r>
      </w:hyperlink>
      <w:r>
        <w:rPr>
          <w:rFonts w:ascii="Times New Roman" w:hAnsi="Times New Roman"/>
        </w:rPr>
        <w:t>.</w:t>
      </w:r>
    </w:p>
    <w:p w14:paraId="6BEFC9D9" w14:textId="77777777" w:rsidR="001273D4" w:rsidRDefault="001273D4" w:rsidP="001273D4">
      <w:pPr>
        <w:spacing w:after="0"/>
        <w:rPr>
          <w:rFonts w:ascii="Times New Roman" w:hAnsi="Times New Roman"/>
          <w:b/>
        </w:rPr>
      </w:pPr>
    </w:p>
    <w:p w14:paraId="4FE2C88D" w14:textId="77777777" w:rsidR="001273D4" w:rsidRDefault="001273D4" w:rsidP="001273D4">
      <w:pPr>
        <w:spacing w:after="0"/>
        <w:rPr>
          <w:rFonts w:ascii="Times New Roman" w:hAnsi="Times New Roman"/>
          <w:b/>
        </w:rPr>
      </w:pPr>
    </w:p>
    <w:p w14:paraId="6B05EF88" w14:textId="73925564" w:rsidR="001273D4" w:rsidRPr="00460B52" w:rsidRDefault="001273D4" w:rsidP="001273D4">
      <w:pPr>
        <w:spacing w:after="0"/>
        <w:rPr>
          <w:rFonts w:ascii="Times New Roman" w:hAnsi="Times New Roman"/>
          <w:b/>
        </w:rPr>
      </w:pPr>
      <w:r>
        <w:rPr>
          <w:rFonts w:ascii="Times New Roman" w:hAnsi="Times New Roman"/>
          <w:b/>
        </w:rPr>
        <w:t>Code availability statement</w:t>
      </w:r>
    </w:p>
    <w:p w14:paraId="5DC32639" w14:textId="77777777" w:rsidR="001273D4" w:rsidRDefault="001273D4" w:rsidP="001273D4">
      <w:pPr>
        <w:spacing w:after="0"/>
        <w:rPr>
          <w:rFonts w:ascii="Times New Roman" w:hAnsi="Times New Roman"/>
        </w:rPr>
      </w:pPr>
      <w:r>
        <w:rPr>
          <w:rFonts w:ascii="Times New Roman" w:hAnsi="Times New Roman"/>
        </w:rPr>
        <w:t>Two codes are used in the text. One to generate results (MATLAB), and one to perform the statistical analysis (STATA). Code is available directly from the authors on request.</w:t>
      </w:r>
    </w:p>
    <w:p w14:paraId="1840878D" w14:textId="77777777" w:rsidR="001273D4" w:rsidRDefault="001273D4" w:rsidP="001273D4">
      <w:pPr>
        <w:rPr>
          <w:rFonts w:ascii="Times New Roman" w:hAnsi="Times New Roman"/>
          <w:b/>
        </w:rPr>
      </w:pPr>
    </w:p>
    <w:p w14:paraId="29877C39" w14:textId="759CB7B5" w:rsidR="001273D4" w:rsidRPr="00890059" w:rsidRDefault="001273D4" w:rsidP="001273D4">
      <w:pPr>
        <w:rPr>
          <w:rFonts w:ascii="Times New Roman" w:hAnsi="Times New Roman"/>
          <w:b/>
        </w:rPr>
      </w:pPr>
      <w:r w:rsidRPr="00890059">
        <w:rPr>
          <w:rFonts w:ascii="Times New Roman" w:hAnsi="Times New Roman"/>
          <w:b/>
        </w:rPr>
        <w:t>References</w:t>
      </w:r>
    </w:p>
    <w:p w14:paraId="49A80C2D" w14:textId="71D9F5C9" w:rsidR="00A1364F" w:rsidRPr="00A1364F" w:rsidRDefault="001273D4" w:rsidP="00A1364F">
      <w:pPr>
        <w:widowControl w:val="0"/>
        <w:autoSpaceDE w:val="0"/>
        <w:autoSpaceDN w:val="0"/>
        <w:adjustRightInd w:val="0"/>
        <w:ind w:left="640" w:hanging="640"/>
        <w:rPr>
          <w:rFonts w:cs="Times"/>
          <w:noProof/>
          <w:szCs w:val="24"/>
        </w:rPr>
      </w:pPr>
      <w:r>
        <w:fldChar w:fldCharType="begin" w:fldLock="1"/>
      </w:r>
      <w:r w:rsidRPr="0015518B">
        <w:instrText xml:space="preserve">ADDIN Mendeley Bibliography CSL_BIBLIOGRAPHY </w:instrText>
      </w:r>
      <w:r>
        <w:fldChar w:fldCharType="separate"/>
      </w:r>
      <w:r w:rsidR="00A1364F" w:rsidRPr="00A1364F">
        <w:rPr>
          <w:rFonts w:cs="Times"/>
          <w:noProof/>
          <w:szCs w:val="24"/>
        </w:rPr>
        <w:t>1.</w:t>
      </w:r>
      <w:r w:rsidR="00A1364F" w:rsidRPr="00A1364F">
        <w:rPr>
          <w:rFonts w:cs="Times"/>
          <w:noProof/>
          <w:szCs w:val="24"/>
        </w:rPr>
        <w:tab/>
        <w:t xml:space="preserve">MacDonald, G. K., Bennett, E. M., Potter, P. A. &amp; Ramankutty, N. Agronomic phosphorus imbalances across the world’s croplands. </w:t>
      </w:r>
      <w:r w:rsidR="00A1364F" w:rsidRPr="00A1364F">
        <w:rPr>
          <w:rFonts w:cs="Times"/>
          <w:i/>
          <w:iCs/>
          <w:noProof/>
          <w:szCs w:val="24"/>
        </w:rPr>
        <w:t>Proc. Natl. Acad. Sci. U. S. A.</w:t>
      </w:r>
      <w:r w:rsidR="00A1364F" w:rsidRPr="00A1364F">
        <w:rPr>
          <w:rFonts w:cs="Times"/>
          <w:noProof/>
          <w:szCs w:val="24"/>
        </w:rPr>
        <w:t xml:space="preserve"> </w:t>
      </w:r>
      <w:r w:rsidR="00A1364F" w:rsidRPr="00A1364F">
        <w:rPr>
          <w:rFonts w:cs="Times"/>
          <w:b/>
          <w:bCs/>
          <w:noProof/>
          <w:szCs w:val="24"/>
        </w:rPr>
        <w:t>108,</w:t>
      </w:r>
      <w:r w:rsidR="00A1364F" w:rsidRPr="00A1364F">
        <w:rPr>
          <w:rFonts w:cs="Times"/>
          <w:noProof/>
          <w:szCs w:val="24"/>
        </w:rPr>
        <w:t xml:space="preserve"> 3086–91 (2011).</w:t>
      </w:r>
    </w:p>
    <w:p w14:paraId="4EE7F10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w:t>
      </w:r>
      <w:r w:rsidRPr="00A1364F">
        <w:rPr>
          <w:rFonts w:cs="Times"/>
          <w:noProof/>
          <w:szCs w:val="24"/>
        </w:rPr>
        <w:tab/>
        <w:t xml:space="preserve">Tilman, D., Cassman, K. G., Matson, P. A., Naylor, R. L. &amp; Polasky, S. Agricultural sustainability and intensive production practices. </w:t>
      </w:r>
      <w:r w:rsidRPr="00A1364F">
        <w:rPr>
          <w:rFonts w:cs="Times"/>
          <w:i/>
          <w:iCs/>
          <w:noProof/>
          <w:szCs w:val="24"/>
        </w:rPr>
        <w:t>Nature</w:t>
      </w:r>
      <w:r w:rsidRPr="00A1364F">
        <w:rPr>
          <w:rFonts w:cs="Times"/>
          <w:noProof/>
          <w:szCs w:val="24"/>
        </w:rPr>
        <w:t xml:space="preserve"> </w:t>
      </w:r>
      <w:r w:rsidRPr="00A1364F">
        <w:rPr>
          <w:rFonts w:cs="Times"/>
          <w:b/>
          <w:bCs/>
          <w:noProof/>
          <w:szCs w:val="24"/>
        </w:rPr>
        <w:t>418,</w:t>
      </w:r>
      <w:r w:rsidRPr="00A1364F">
        <w:rPr>
          <w:rFonts w:cs="Times"/>
          <w:noProof/>
          <w:szCs w:val="24"/>
        </w:rPr>
        <w:t xml:space="preserve"> 671–677 (2002).</w:t>
      </w:r>
    </w:p>
    <w:p w14:paraId="3316EC8B"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w:t>
      </w:r>
      <w:r w:rsidRPr="00A1364F">
        <w:rPr>
          <w:rFonts w:cs="Times"/>
          <w:noProof/>
          <w:szCs w:val="24"/>
        </w:rPr>
        <w:tab/>
        <w:t xml:space="preserve">Vitousek P.M. et al. Nutrient imbalances in agricultural development. </w:t>
      </w:r>
      <w:r w:rsidRPr="00A1364F">
        <w:rPr>
          <w:rFonts w:cs="Times"/>
          <w:i/>
          <w:iCs/>
          <w:noProof/>
          <w:szCs w:val="24"/>
        </w:rPr>
        <w:t>Science (80-. ).</w:t>
      </w:r>
      <w:r w:rsidRPr="00A1364F">
        <w:rPr>
          <w:rFonts w:cs="Times"/>
          <w:noProof/>
          <w:szCs w:val="24"/>
        </w:rPr>
        <w:t xml:space="preserve"> </w:t>
      </w:r>
      <w:r w:rsidRPr="00A1364F">
        <w:rPr>
          <w:rFonts w:cs="Times"/>
          <w:b/>
          <w:bCs/>
          <w:noProof/>
          <w:szCs w:val="24"/>
        </w:rPr>
        <w:t>324,</w:t>
      </w:r>
      <w:r w:rsidRPr="00A1364F">
        <w:rPr>
          <w:rFonts w:cs="Times"/>
          <w:noProof/>
          <w:szCs w:val="24"/>
        </w:rPr>
        <w:t xml:space="preserve"> 1519–1520 (2009).</w:t>
      </w:r>
    </w:p>
    <w:p w14:paraId="117D5728"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w:t>
      </w:r>
      <w:r w:rsidRPr="00A1364F">
        <w:rPr>
          <w:rFonts w:cs="Times"/>
          <w:noProof/>
          <w:szCs w:val="24"/>
        </w:rPr>
        <w:tab/>
        <w:t xml:space="preserve">Elser, J. J. </w:t>
      </w:r>
      <w:r w:rsidRPr="00A1364F">
        <w:rPr>
          <w:rFonts w:cs="Times"/>
          <w:i/>
          <w:iCs/>
          <w:noProof/>
          <w:szCs w:val="24"/>
        </w:rPr>
        <w:t>et al.</w:t>
      </w:r>
      <w:r w:rsidRPr="00A1364F">
        <w:rPr>
          <w:rFonts w:cs="Times"/>
          <w:noProof/>
          <w:szCs w:val="24"/>
        </w:rPr>
        <w:t xml:space="preserve"> Global analysis of nitrogen and phosphorus limitation of primary producers in freshwater, marine and terrestrial ecosystems. </w:t>
      </w:r>
      <w:r w:rsidRPr="00A1364F">
        <w:rPr>
          <w:rFonts w:cs="Times"/>
          <w:i/>
          <w:iCs/>
          <w:noProof/>
          <w:szCs w:val="24"/>
        </w:rPr>
        <w:t>Ecol. Lett.</w:t>
      </w:r>
      <w:r w:rsidRPr="00A1364F">
        <w:rPr>
          <w:rFonts w:cs="Times"/>
          <w:noProof/>
          <w:szCs w:val="24"/>
        </w:rPr>
        <w:t xml:space="preserve"> </w:t>
      </w:r>
      <w:r w:rsidRPr="00A1364F">
        <w:rPr>
          <w:rFonts w:cs="Times"/>
          <w:b/>
          <w:bCs/>
          <w:noProof/>
          <w:szCs w:val="24"/>
        </w:rPr>
        <w:t>10,</w:t>
      </w:r>
      <w:r w:rsidRPr="00A1364F">
        <w:rPr>
          <w:rFonts w:cs="Times"/>
          <w:noProof/>
          <w:szCs w:val="24"/>
        </w:rPr>
        <w:t xml:space="preserve"> 1135–1142 (2007).</w:t>
      </w:r>
    </w:p>
    <w:p w14:paraId="10855806"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w:t>
      </w:r>
      <w:r w:rsidRPr="00A1364F">
        <w:rPr>
          <w:rFonts w:cs="Times"/>
          <w:noProof/>
          <w:szCs w:val="24"/>
        </w:rPr>
        <w:tab/>
        <w:t xml:space="preserve">Smith, V. H., Tilman, G. D. &amp; Nekola, J. C. Eutrophication : Impacts of Excess Nutrient Inputs on Freshwater , Marine , and Terrestrial Ecosystems. </w:t>
      </w:r>
      <w:r w:rsidRPr="00A1364F">
        <w:rPr>
          <w:rFonts w:cs="Times"/>
          <w:i/>
          <w:iCs/>
          <w:noProof/>
          <w:szCs w:val="24"/>
        </w:rPr>
        <w:t>Environ. Pollut.</w:t>
      </w:r>
      <w:r w:rsidRPr="00A1364F">
        <w:rPr>
          <w:rFonts w:cs="Times"/>
          <w:noProof/>
          <w:szCs w:val="24"/>
        </w:rPr>
        <w:t xml:space="preserve"> </w:t>
      </w:r>
      <w:r w:rsidRPr="00A1364F">
        <w:rPr>
          <w:rFonts w:cs="Times"/>
          <w:b/>
          <w:bCs/>
          <w:noProof/>
          <w:szCs w:val="24"/>
        </w:rPr>
        <w:t>100,</w:t>
      </w:r>
      <w:r w:rsidRPr="00A1364F">
        <w:rPr>
          <w:rFonts w:cs="Times"/>
          <w:noProof/>
          <w:szCs w:val="24"/>
        </w:rPr>
        <w:t xml:space="preserve"> (1999).</w:t>
      </w:r>
    </w:p>
    <w:p w14:paraId="668EA463"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w:t>
      </w:r>
      <w:r w:rsidRPr="00A1364F">
        <w:rPr>
          <w:rFonts w:cs="Times"/>
          <w:noProof/>
          <w:szCs w:val="24"/>
        </w:rPr>
        <w:tab/>
        <w:t xml:space="preserve">Potter, P., Ramankutty, N., Bennett, E. M. &amp; Donner, S. D. Characterizing the spatial patterns of global fertilizer application and manure production. </w:t>
      </w:r>
      <w:r w:rsidRPr="00A1364F">
        <w:rPr>
          <w:rFonts w:cs="Times"/>
          <w:i/>
          <w:iCs/>
          <w:noProof/>
          <w:szCs w:val="24"/>
        </w:rPr>
        <w:t>Earth Interact.</w:t>
      </w:r>
      <w:r w:rsidRPr="00A1364F">
        <w:rPr>
          <w:rFonts w:cs="Times"/>
          <w:noProof/>
          <w:szCs w:val="24"/>
        </w:rPr>
        <w:t xml:space="preserve"> </w:t>
      </w:r>
      <w:r w:rsidRPr="00A1364F">
        <w:rPr>
          <w:rFonts w:cs="Times"/>
          <w:b/>
          <w:bCs/>
          <w:noProof/>
          <w:szCs w:val="24"/>
        </w:rPr>
        <w:t>14,</w:t>
      </w:r>
      <w:r w:rsidRPr="00A1364F">
        <w:rPr>
          <w:rFonts w:cs="Times"/>
          <w:noProof/>
          <w:szCs w:val="24"/>
        </w:rPr>
        <w:t xml:space="preserve"> (2010).</w:t>
      </w:r>
    </w:p>
    <w:p w14:paraId="09454B6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w:t>
      </w:r>
      <w:r w:rsidRPr="00A1364F">
        <w:rPr>
          <w:rFonts w:cs="Times"/>
          <w:noProof/>
          <w:szCs w:val="24"/>
        </w:rPr>
        <w:tab/>
        <w:t xml:space="preserve">Kleinman, P. J. a </w:t>
      </w:r>
      <w:r w:rsidRPr="00A1364F">
        <w:rPr>
          <w:rFonts w:cs="Times"/>
          <w:i/>
          <w:iCs/>
          <w:noProof/>
          <w:szCs w:val="24"/>
        </w:rPr>
        <w:t>et al.</w:t>
      </w:r>
      <w:r w:rsidRPr="00A1364F">
        <w:rPr>
          <w:rFonts w:cs="Times"/>
          <w:noProof/>
          <w:szCs w:val="24"/>
        </w:rPr>
        <w:t xml:space="preserve"> Managing agricultural phosphorus for water quality protection: Principles for progress. </w:t>
      </w:r>
      <w:r w:rsidRPr="00A1364F">
        <w:rPr>
          <w:rFonts w:cs="Times"/>
          <w:i/>
          <w:iCs/>
          <w:noProof/>
          <w:szCs w:val="24"/>
        </w:rPr>
        <w:t>Plant Soil</w:t>
      </w:r>
      <w:r w:rsidRPr="00A1364F">
        <w:rPr>
          <w:rFonts w:cs="Times"/>
          <w:noProof/>
          <w:szCs w:val="24"/>
        </w:rPr>
        <w:t xml:space="preserve"> </w:t>
      </w:r>
      <w:r w:rsidRPr="00A1364F">
        <w:rPr>
          <w:rFonts w:cs="Times"/>
          <w:b/>
          <w:bCs/>
          <w:noProof/>
          <w:szCs w:val="24"/>
        </w:rPr>
        <w:t>349,</w:t>
      </w:r>
      <w:r w:rsidRPr="00A1364F">
        <w:rPr>
          <w:rFonts w:cs="Times"/>
          <w:noProof/>
          <w:szCs w:val="24"/>
        </w:rPr>
        <w:t xml:space="preserve"> 169–182 (2011).</w:t>
      </w:r>
    </w:p>
    <w:p w14:paraId="42695A72"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8.</w:t>
      </w:r>
      <w:r w:rsidRPr="00A1364F">
        <w:rPr>
          <w:rFonts w:cs="Times"/>
          <w:noProof/>
          <w:szCs w:val="24"/>
        </w:rPr>
        <w:tab/>
        <w:t xml:space="preserve">Leip,  a </w:t>
      </w:r>
      <w:r w:rsidRPr="00A1364F">
        <w:rPr>
          <w:rFonts w:cs="Times"/>
          <w:i/>
          <w:iCs/>
          <w:noProof/>
          <w:szCs w:val="24"/>
        </w:rPr>
        <w:t>et al.</w:t>
      </w:r>
      <w:r w:rsidRPr="00A1364F">
        <w:rPr>
          <w:rFonts w:cs="Times"/>
          <w:noProof/>
          <w:szCs w:val="24"/>
        </w:rPr>
        <w:t xml:space="preserve"> Impacts of European livestock production: nitrogen, sulphur, phosphorus and greenhouse gas emissions, land-use, water eutrophication and biodiversity. </w:t>
      </w:r>
      <w:r w:rsidRPr="00A1364F">
        <w:rPr>
          <w:rFonts w:cs="Times"/>
          <w:i/>
          <w:iCs/>
          <w:noProof/>
          <w:szCs w:val="24"/>
        </w:rPr>
        <w:t>Environ. Res. Lett.</w:t>
      </w:r>
      <w:r w:rsidRPr="00A1364F">
        <w:rPr>
          <w:rFonts w:cs="Times"/>
          <w:noProof/>
          <w:szCs w:val="24"/>
        </w:rPr>
        <w:t xml:space="preserve"> </w:t>
      </w:r>
      <w:r w:rsidRPr="00A1364F">
        <w:rPr>
          <w:rFonts w:cs="Times"/>
          <w:b/>
          <w:bCs/>
          <w:noProof/>
          <w:szCs w:val="24"/>
        </w:rPr>
        <w:t>10,</w:t>
      </w:r>
      <w:r w:rsidRPr="00A1364F">
        <w:rPr>
          <w:rFonts w:cs="Times"/>
          <w:noProof/>
          <w:szCs w:val="24"/>
        </w:rPr>
        <w:t xml:space="preserve"> 115004 (2015).</w:t>
      </w:r>
    </w:p>
    <w:p w14:paraId="5EBFA692"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9.</w:t>
      </w:r>
      <w:r w:rsidRPr="00A1364F">
        <w:rPr>
          <w:rFonts w:cs="Times"/>
          <w:noProof/>
          <w:szCs w:val="24"/>
        </w:rPr>
        <w:tab/>
        <w:t xml:space="preserve">Kleinman, P. J. A. </w:t>
      </w:r>
      <w:r w:rsidRPr="00A1364F">
        <w:rPr>
          <w:rFonts w:cs="Times"/>
          <w:i/>
          <w:iCs/>
          <w:noProof/>
          <w:szCs w:val="24"/>
        </w:rPr>
        <w:t>et al.</w:t>
      </w:r>
      <w:r w:rsidRPr="00A1364F">
        <w:rPr>
          <w:rFonts w:cs="Times"/>
          <w:noProof/>
          <w:szCs w:val="24"/>
        </w:rPr>
        <w:t xml:space="preserve"> Implementing agricultural phosphorus science and management to combat eutrophication. </w:t>
      </w:r>
      <w:r w:rsidRPr="00A1364F">
        <w:rPr>
          <w:rFonts w:cs="Times"/>
          <w:i/>
          <w:iCs/>
          <w:noProof/>
          <w:szCs w:val="24"/>
        </w:rPr>
        <w:t>Ambio</w:t>
      </w:r>
      <w:r w:rsidRPr="00A1364F">
        <w:rPr>
          <w:rFonts w:cs="Times"/>
          <w:noProof/>
          <w:szCs w:val="24"/>
        </w:rPr>
        <w:t xml:space="preserve"> </w:t>
      </w:r>
      <w:r w:rsidRPr="00A1364F">
        <w:rPr>
          <w:rFonts w:cs="Times"/>
          <w:b/>
          <w:bCs/>
          <w:noProof/>
          <w:szCs w:val="24"/>
        </w:rPr>
        <w:t>44,</w:t>
      </w:r>
      <w:r w:rsidRPr="00A1364F">
        <w:rPr>
          <w:rFonts w:cs="Times"/>
          <w:noProof/>
          <w:szCs w:val="24"/>
        </w:rPr>
        <w:t xml:space="preserve"> 297–310 (2015).</w:t>
      </w:r>
    </w:p>
    <w:p w14:paraId="7966231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10.</w:t>
      </w:r>
      <w:r w:rsidRPr="00A1364F">
        <w:rPr>
          <w:rFonts w:cs="Times"/>
          <w:noProof/>
          <w:szCs w:val="24"/>
        </w:rPr>
        <w:tab/>
        <w:t xml:space="preserve">Diaz, R. J. &amp; Rosenberg, R. Spreading dead zones and consequences for marine ecosystems. </w:t>
      </w:r>
      <w:r w:rsidRPr="00A1364F">
        <w:rPr>
          <w:rFonts w:cs="Times"/>
          <w:i/>
          <w:iCs/>
          <w:noProof/>
          <w:szCs w:val="24"/>
        </w:rPr>
        <w:t>Science (80-. ).</w:t>
      </w:r>
      <w:r w:rsidRPr="00A1364F">
        <w:rPr>
          <w:rFonts w:cs="Times"/>
          <w:noProof/>
          <w:szCs w:val="24"/>
        </w:rPr>
        <w:t xml:space="preserve"> </w:t>
      </w:r>
      <w:r w:rsidRPr="00A1364F">
        <w:rPr>
          <w:rFonts w:cs="Times"/>
          <w:b/>
          <w:bCs/>
          <w:noProof/>
          <w:szCs w:val="24"/>
        </w:rPr>
        <w:t>321,</w:t>
      </w:r>
      <w:r w:rsidRPr="00A1364F">
        <w:rPr>
          <w:rFonts w:cs="Times"/>
          <w:noProof/>
          <w:szCs w:val="24"/>
        </w:rPr>
        <w:t xml:space="preserve"> 926–929 (2008).</w:t>
      </w:r>
    </w:p>
    <w:p w14:paraId="5E5D8425"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11.</w:t>
      </w:r>
      <w:r w:rsidRPr="00A1364F">
        <w:rPr>
          <w:rFonts w:cs="Times"/>
          <w:noProof/>
          <w:szCs w:val="24"/>
        </w:rPr>
        <w:tab/>
        <w:t xml:space="preserve">Steffen, W. </w:t>
      </w:r>
      <w:r w:rsidRPr="00A1364F">
        <w:rPr>
          <w:rFonts w:cs="Times"/>
          <w:i/>
          <w:iCs/>
          <w:noProof/>
          <w:szCs w:val="24"/>
        </w:rPr>
        <w:t>et al.</w:t>
      </w:r>
      <w:r w:rsidRPr="00A1364F">
        <w:rPr>
          <w:rFonts w:cs="Times"/>
          <w:noProof/>
          <w:szCs w:val="24"/>
        </w:rPr>
        <w:t xml:space="preserve"> Planetary boundaries: Guiding human development on a changing planet. </w:t>
      </w:r>
      <w:r w:rsidRPr="00A1364F">
        <w:rPr>
          <w:rFonts w:cs="Times"/>
          <w:i/>
          <w:iCs/>
          <w:noProof/>
          <w:szCs w:val="24"/>
        </w:rPr>
        <w:t>Science (80-. ).</w:t>
      </w:r>
      <w:r w:rsidRPr="00A1364F">
        <w:rPr>
          <w:rFonts w:cs="Times"/>
          <w:noProof/>
          <w:szCs w:val="24"/>
        </w:rPr>
        <w:t xml:space="preserve"> </w:t>
      </w:r>
      <w:r w:rsidRPr="00A1364F">
        <w:rPr>
          <w:rFonts w:cs="Times"/>
          <w:b/>
          <w:bCs/>
          <w:noProof/>
          <w:szCs w:val="24"/>
        </w:rPr>
        <w:t>347,</w:t>
      </w:r>
      <w:r w:rsidRPr="00A1364F">
        <w:rPr>
          <w:rFonts w:cs="Times"/>
          <w:noProof/>
          <w:szCs w:val="24"/>
        </w:rPr>
        <w:t xml:space="preserve"> 1259855–1259855 (2015).</w:t>
      </w:r>
    </w:p>
    <w:p w14:paraId="44A36844"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lastRenderedPageBreak/>
        <w:t>12.</w:t>
      </w:r>
      <w:r w:rsidRPr="00A1364F">
        <w:rPr>
          <w:rFonts w:cs="Times"/>
          <w:noProof/>
          <w:szCs w:val="24"/>
        </w:rPr>
        <w:tab/>
        <w:t xml:space="preserve">Lassaletta, L. </w:t>
      </w:r>
      <w:r w:rsidRPr="00A1364F">
        <w:rPr>
          <w:rFonts w:cs="Times"/>
          <w:i/>
          <w:iCs/>
          <w:noProof/>
          <w:szCs w:val="24"/>
        </w:rPr>
        <w:t>et al.</w:t>
      </w:r>
      <w:r w:rsidRPr="00A1364F">
        <w:rPr>
          <w:rFonts w:cs="Times"/>
          <w:noProof/>
          <w:szCs w:val="24"/>
        </w:rPr>
        <w:t xml:space="preserve"> Food and feed trade as a driver in the global nitrogen cycle: 50-year trends. </w:t>
      </w:r>
      <w:r w:rsidRPr="00A1364F">
        <w:rPr>
          <w:rFonts w:cs="Times"/>
          <w:i/>
          <w:iCs/>
          <w:noProof/>
          <w:szCs w:val="24"/>
        </w:rPr>
        <w:t>Biogeochemistry</w:t>
      </w:r>
      <w:r w:rsidRPr="00A1364F">
        <w:rPr>
          <w:rFonts w:cs="Times"/>
          <w:noProof/>
          <w:szCs w:val="24"/>
        </w:rPr>
        <w:t xml:space="preserve"> </w:t>
      </w:r>
      <w:r w:rsidRPr="00A1364F">
        <w:rPr>
          <w:rFonts w:cs="Times"/>
          <w:b/>
          <w:bCs/>
          <w:noProof/>
          <w:szCs w:val="24"/>
        </w:rPr>
        <w:t>118,</w:t>
      </w:r>
      <w:r w:rsidRPr="00A1364F">
        <w:rPr>
          <w:rFonts w:cs="Times"/>
          <w:noProof/>
          <w:szCs w:val="24"/>
        </w:rPr>
        <w:t xml:space="preserve"> 225–241 (2014).</w:t>
      </w:r>
    </w:p>
    <w:p w14:paraId="4BE3D6F6"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13.</w:t>
      </w:r>
      <w:r w:rsidRPr="00A1364F">
        <w:rPr>
          <w:rFonts w:cs="Times"/>
          <w:noProof/>
          <w:szCs w:val="24"/>
        </w:rPr>
        <w:tab/>
        <w:t xml:space="preserve">Schipanski, M. E. &amp; Bennett, E. M. The Influence of Agricultural Trade and Livestock Production on the Global Phosphorus Cycle. </w:t>
      </w:r>
      <w:r w:rsidRPr="00A1364F">
        <w:rPr>
          <w:rFonts w:cs="Times"/>
          <w:i/>
          <w:iCs/>
          <w:noProof/>
          <w:szCs w:val="24"/>
        </w:rPr>
        <w:t>Ecosystems</w:t>
      </w:r>
      <w:r w:rsidRPr="00A1364F">
        <w:rPr>
          <w:rFonts w:cs="Times"/>
          <w:noProof/>
          <w:szCs w:val="24"/>
        </w:rPr>
        <w:t xml:space="preserve"> </w:t>
      </w:r>
      <w:r w:rsidRPr="00A1364F">
        <w:rPr>
          <w:rFonts w:cs="Times"/>
          <w:b/>
          <w:bCs/>
          <w:noProof/>
          <w:szCs w:val="24"/>
        </w:rPr>
        <w:t>15,</w:t>
      </w:r>
      <w:r w:rsidRPr="00A1364F">
        <w:rPr>
          <w:rFonts w:cs="Times"/>
          <w:noProof/>
          <w:szCs w:val="24"/>
        </w:rPr>
        <w:t xml:space="preserve"> 256–268 (2012).</w:t>
      </w:r>
    </w:p>
    <w:p w14:paraId="7EBA8889"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14.</w:t>
      </w:r>
      <w:r w:rsidRPr="00A1364F">
        <w:rPr>
          <w:rFonts w:cs="Times"/>
          <w:noProof/>
          <w:szCs w:val="24"/>
        </w:rPr>
        <w:tab/>
        <w:t xml:space="preserve">Scherer, L. &amp; Pfister, S. Global Biodiversity Loss by Freshwater Consumption and Eutrophication from Swiss Food Consumption. </w:t>
      </w:r>
      <w:r w:rsidRPr="00A1364F">
        <w:rPr>
          <w:rFonts w:cs="Times"/>
          <w:i/>
          <w:iCs/>
          <w:noProof/>
          <w:szCs w:val="24"/>
        </w:rPr>
        <w:t>Environ. Sci. Technol.</w:t>
      </w:r>
      <w:r w:rsidRPr="00A1364F">
        <w:rPr>
          <w:rFonts w:cs="Times"/>
          <w:noProof/>
          <w:szCs w:val="24"/>
        </w:rPr>
        <w:t xml:space="preserve"> </w:t>
      </w:r>
      <w:r w:rsidRPr="00A1364F">
        <w:rPr>
          <w:rFonts w:cs="Times"/>
          <w:b/>
          <w:bCs/>
          <w:noProof/>
          <w:szCs w:val="24"/>
        </w:rPr>
        <w:t>50,</w:t>
      </w:r>
      <w:r w:rsidRPr="00A1364F">
        <w:rPr>
          <w:rFonts w:cs="Times"/>
          <w:noProof/>
          <w:szCs w:val="24"/>
        </w:rPr>
        <w:t xml:space="preserve"> 7019–7028 (2016).</w:t>
      </w:r>
    </w:p>
    <w:p w14:paraId="5514E28F"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15.</w:t>
      </w:r>
      <w:r w:rsidRPr="00A1364F">
        <w:rPr>
          <w:rFonts w:cs="Times"/>
          <w:noProof/>
          <w:szCs w:val="24"/>
        </w:rPr>
        <w:tab/>
        <w:t xml:space="preserve">Schmitz, C. </w:t>
      </w:r>
      <w:r w:rsidRPr="00A1364F">
        <w:rPr>
          <w:rFonts w:cs="Times"/>
          <w:i/>
          <w:iCs/>
          <w:noProof/>
          <w:szCs w:val="24"/>
        </w:rPr>
        <w:t>et al.</w:t>
      </w:r>
      <w:r w:rsidRPr="00A1364F">
        <w:rPr>
          <w:rFonts w:cs="Times"/>
          <w:noProof/>
          <w:szCs w:val="24"/>
        </w:rPr>
        <w:t xml:space="preserve"> Trading more food: Implications for land use, greenhouse gas emissions, and the food system. </w:t>
      </w:r>
      <w:r w:rsidRPr="00A1364F">
        <w:rPr>
          <w:rFonts w:cs="Times"/>
          <w:i/>
          <w:iCs/>
          <w:noProof/>
          <w:szCs w:val="24"/>
        </w:rPr>
        <w:t>Glob. Environ. Chang.</w:t>
      </w:r>
      <w:r w:rsidRPr="00A1364F">
        <w:rPr>
          <w:rFonts w:cs="Times"/>
          <w:noProof/>
          <w:szCs w:val="24"/>
        </w:rPr>
        <w:t xml:space="preserve"> </w:t>
      </w:r>
      <w:r w:rsidRPr="00A1364F">
        <w:rPr>
          <w:rFonts w:cs="Times"/>
          <w:b/>
          <w:bCs/>
          <w:noProof/>
          <w:szCs w:val="24"/>
        </w:rPr>
        <w:t>22,</w:t>
      </w:r>
      <w:r w:rsidRPr="00A1364F">
        <w:rPr>
          <w:rFonts w:cs="Times"/>
          <w:noProof/>
          <w:szCs w:val="24"/>
        </w:rPr>
        <w:t xml:space="preserve"> 189–209 (2012).</w:t>
      </w:r>
    </w:p>
    <w:p w14:paraId="1D446C48"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16.</w:t>
      </w:r>
      <w:r w:rsidRPr="00A1364F">
        <w:rPr>
          <w:rFonts w:cs="Times"/>
          <w:noProof/>
          <w:szCs w:val="24"/>
        </w:rPr>
        <w:tab/>
        <w:t xml:space="preserve">Xue, X. &amp; Landis, A. E. Eutrophication potential of food consumption patterns. </w:t>
      </w:r>
      <w:r w:rsidRPr="00A1364F">
        <w:rPr>
          <w:rFonts w:cs="Times"/>
          <w:i/>
          <w:iCs/>
          <w:noProof/>
          <w:szCs w:val="24"/>
        </w:rPr>
        <w:t>Environ. Sci. Technol.</w:t>
      </w:r>
      <w:r w:rsidRPr="00A1364F">
        <w:rPr>
          <w:rFonts w:cs="Times"/>
          <w:noProof/>
          <w:szCs w:val="24"/>
        </w:rPr>
        <w:t xml:space="preserve"> </w:t>
      </w:r>
      <w:r w:rsidRPr="00A1364F">
        <w:rPr>
          <w:rFonts w:cs="Times"/>
          <w:b/>
          <w:bCs/>
          <w:noProof/>
          <w:szCs w:val="24"/>
        </w:rPr>
        <w:t>44,</w:t>
      </w:r>
      <w:r w:rsidRPr="00A1364F">
        <w:rPr>
          <w:rFonts w:cs="Times"/>
          <w:noProof/>
          <w:szCs w:val="24"/>
        </w:rPr>
        <w:t xml:space="preserve"> 6450–6456 (2010).</w:t>
      </w:r>
    </w:p>
    <w:p w14:paraId="64FAC1F2"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17.</w:t>
      </w:r>
      <w:r w:rsidRPr="00A1364F">
        <w:rPr>
          <w:rFonts w:cs="Times"/>
          <w:noProof/>
          <w:szCs w:val="24"/>
        </w:rPr>
        <w:tab/>
        <w:t xml:space="preserve">MacDonald, G. K. </w:t>
      </w:r>
      <w:r w:rsidRPr="00A1364F">
        <w:rPr>
          <w:rFonts w:cs="Times"/>
          <w:i/>
          <w:iCs/>
          <w:noProof/>
          <w:szCs w:val="24"/>
        </w:rPr>
        <w:t>et al.</w:t>
      </w:r>
      <w:r w:rsidRPr="00A1364F">
        <w:rPr>
          <w:rFonts w:cs="Times"/>
          <w:noProof/>
          <w:szCs w:val="24"/>
        </w:rPr>
        <w:t xml:space="preserve"> Rethinking agricultural trade relationships in an era of globalization. </w:t>
      </w:r>
      <w:r w:rsidRPr="00A1364F">
        <w:rPr>
          <w:rFonts w:cs="Times"/>
          <w:i/>
          <w:iCs/>
          <w:noProof/>
          <w:szCs w:val="24"/>
        </w:rPr>
        <w:t>Bioscience</w:t>
      </w:r>
      <w:r w:rsidRPr="00A1364F">
        <w:rPr>
          <w:rFonts w:cs="Times"/>
          <w:noProof/>
          <w:szCs w:val="24"/>
        </w:rPr>
        <w:t xml:space="preserve"> </w:t>
      </w:r>
      <w:r w:rsidRPr="00A1364F">
        <w:rPr>
          <w:rFonts w:cs="Times"/>
          <w:b/>
          <w:bCs/>
          <w:noProof/>
          <w:szCs w:val="24"/>
        </w:rPr>
        <w:t>65,</w:t>
      </w:r>
      <w:r w:rsidRPr="00A1364F">
        <w:rPr>
          <w:rFonts w:cs="Times"/>
          <w:noProof/>
          <w:szCs w:val="24"/>
        </w:rPr>
        <w:t xml:space="preserve"> 275–289 (2015).</w:t>
      </w:r>
    </w:p>
    <w:p w14:paraId="02EF5F2C"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18.</w:t>
      </w:r>
      <w:r w:rsidRPr="00A1364F">
        <w:rPr>
          <w:rFonts w:cs="Times"/>
          <w:noProof/>
          <w:szCs w:val="24"/>
        </w:rPr>
        <w:tab/>
        <w:t xml:space="preserve">MacDonald, G. K., Bennett, E. M. &amp; Carpenter, S. R. Embodied phosphorus and the global connections of United States agriculture. </w:t>
      </w:r>
      <w:r w:rsidRPr="00A1364F">
        <w:rPr>
          <w:rFonts w:cs="Times"/>
          <w:i/>
          <w:iCs/>
          <w:noProof/>
          <w:szCs w:val="24"/>
        </w:rPr>
        <w:t>Environ. Res. Lett.</w:t>
      </w:r>
      <w:r w:rsidRPr="00A1364F">
        <w:rPr>
          <w:rFonts w:cs="Times"/>
          <w:noProof/>
          <w:szCs w:val="24"/>
        </w:rPr>
        <w:t xml:space="preserve"> </w:t>
      </w:r>
      <w:r w:rsidRPr="00A1364F">
        <w:rPr>
          <w:rFonts w:cs="Times"/>
          <w:b/>
          <w:bCs/>
          <w:noProof/>
          <w:szCs w:val="24"/>
        </w:rPr>
        <w:t>7,</w:t>
      </w:r>
      <w:r w:rsidRPr="00A1364F">
        <w:rPr>
          <w:rFonts w:cs="Times"/>
          <w:noProof/>
          <w:szCs w:val="24"/>
        </w:rPr>
        <w:t xml:space="preserve"> 44024 (2012).</w:t>
      </w:r>
    </w:p>
    <w:p w14:paraId="3422D0EF"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19.</w:t>
      </w:r>
      <w:r w:rsidRPr="00A1364F">
        <w:rPr>
          <w:rFonts w:cs="Times"/>
          <w:noProof/>
          <w:szCs w:val="24"/>
        </w:rPr>
        <w:tab/>
        <w:t xml:space="preserve">Boyer, E. W., Goodale, C. L., Jaworski, N. A. &amp; Howarth, R. W. Anthropogenic nitrogen sources and relationships to riverine nitrogen export in the northeastern U.S.A. </w:t>
      </w:r>
      <w:r w:rsidRPr="00A1364F">
        <w:rPr>
          <w:rFonts w:cs="Times"/>
          <w:i/>
          <w:iCs/>
          <w:noProof/>
          <w:szCs w:val="24"/>
        </w:rPr>
        <w:t>Biogeochemistry</w:t>
      </w:r>
      <w:r w:rsidRPr="00A1364F">
        <w:rPr>
          <w:rFonts w:cs="Times"/>
          <w:noProof/>
          <w:szCs w:val="24"/>
        </w:rPr>
        <w:t xml:space="preserve"> </w:t>
      </w:r>
      <w:r w:rsidRPr="00A1364F">
        <w:rPr>
          <w:rFonts w:cs="Times"/>
          <w:b/>
          <w:bCs/>
          <w:noProof/>
          <w:szCs w:val="24"/>
        </w:rPr>
        <w:t>57/58,</w:t>
      </w:r>
      <w:r w:rsidRPr="00A1364F">
        <w:rPr>
          <w:rFonts w:cs="Times"/>
          <w:noProof/>
          <w:szCs w:val="24"/>
        </w:rPr>
        <w:t xml:space="preserve"> 137–169 (2002).</w:t>
      </w:r>
    </w:p>
    <w:p w14:paraId="36B63246"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20.</w:t>
      </w:r>
      <w:r w:rsidRPr="00A1364F">
        <w:rPr>
          <w:rFonts w:cs="Times"/>
          <w:noProof/>
          <w:szCs w:val="24"/>
        </w:rPr>
        <w:tab/>
        <w:t xml:space="preserve">Mekonnen, M. M., Lutter, S. &amp; Martinez, A. Anthropogenic nitrogen and phosphorus emissions and related grey water footprints caused by EU-27’s crop production and consumption. </w:t>
      </w:r>
      <w:r w:rsidRPr="00A1364F">
        <w:rPr>
          <w:rFonts w:cs="Times"/>
          <w:i/>
          <w:iCs/>
          <w:noProof/>
          <w:szCs w:val="24"/>
        </w:rPr>
        <w:t>Water</w:t>
      </w:r>
      <w:r w:rsidRPr="00A1364F">
        <w:rPr>
          <w:rFonts w:cs="Times"/>
          <w:noProof/>
          <w:szCs w:val="24"/>
        </w:rPr>
        <w:t xml:space="preserve"> </w:t>
      </w:r>
      <w:r w:rsidRPr="00A1364F">
        <w:rPr>
          <w:rFonts w:cs="Times"/>
          <w:b/>
          <w:bCs/>
          <w:noProof/>
          <w:szCs w:val="24"/>
        </w:rPr>
        <w:t>8,</w:t>
      </w:r>
      <w:r w:rsidRPr="00A1364F">
        <w:rPr>
          <w:rFonts w:cs="Times"/>
          <w:noProof/>
          <w:szCs w:val="24"/>
        </w:rPr>
        <w:t xml:space="preserve"> 1–14 (2016).</w:t>
      </w:r>
    </w:p>
    <w:p w14:paraId="06B382EC"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21.</w:t>
      </w:r>
      <w:r w:rsidRPr="00A1364F">
        <w:rPr>
          <w:rFonts w:cs="Times"/>
          <w:noProof/>
          <w:szCs w:val="24"/>
        </w:rPr>
        <w:tab/>
        <w:t xml:space="preserve">Oita, A. </w:t>
      </w:r>
      <w:r w:rsidRPr="00A1364F">
        <w:rPr>
          <w:rFonts w:cs="Times"/>
          <w:i/>
          <w:iCs/>
          <w:noProof/>
          <w:szCs w:val="24"/>
        </w:rPr>
        <w:t>et al.</w:t>
      </w:r>
      <w:r w:rsidRPr="00A1364F">
        <w:rPr>
          <w:rFonts w:cs="Times"/>
          <w:noProof/>
          <w:szCs w:val="24"/>
        </w:rPr>
        <w:t xml:space="preserve"> Substantial nitrogen pollution embedded in international trade. </w:t>
      </w:r>
      <w:r w:rsidRPr="00A1364F">
        <w:rPr>
          <w:rFonts w:cs="Times"/>
          <w:i/>
          <w:iCs/>
          <w:noProof/>
          <w:szCs w:val="24"/>
        </w:rPr>
        <w:t>Nat. Geosci.</w:t>
      </w:r>
      <w:r w:rsidRPr="00A1364F">
        <w:rPr>
          <w:rFonts w:cs="Times"/>
          <w:noProof/>
          <w:szCs w:val="24"/>
        </w:rPr>
        <w:t xml:space="preserve"> </w:t>
      </w:r>
      <w:r w:rsidRPr="00A1364F">
        <w:rPr>
          <w:rFonts w:cs="Times"/>
          <w:b/>
          <w:bCs/>
          <w:noProof/>
          <w:szCs w:val="24"/>
        </w:rPr>
        <w:t>9,</w:t>
      </w:r>
      <w:r w:rsidRPr="00A1364F">
        <w:rPr>
          <w:rFonts w:cs="Times"/>
          <w:noProof/>
          <w:szCs w:val="24"/>
        </w:rPr>
        <w:t xml:space="preserve"> 111–115 (2016).</w:t>
      </w:r>
    </w:p>
    <w:p w14:paraId="2FB242E5"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22.</w:t>
      </w:r>
      <w:r w:rsidRPr="00A1364F">
        <w:rPr>
          <w:rFonts w:cs="Times"/>
          <w:noProof/>
          <w:szCs w:val="24"/>
        </w:rPr>
        <w:tab/>
        <w:t xml:space="preserve">Hertwich, E. G. The Life Cycle Environmental Impacts of Consumption. </w:t>
      </w:r>
      <w:r w:rsidRPr="00A1364F">
        <w:rPr>
          <w:rFonts w:cs="Times"/>
          <w:i/>
          <w:iCs/>
          <w:noProof/>
          <w:szCs w:val="24"/>
        </w:rPr>
        <w:t>Econ. Syst. Res.</w:t>
      </w:r>
      <w:r w:rsidRPr="00A1364F">
        <w:rPr>
          <w:rFonts w:cs="Times"/>
          <w:noProof/>
          <w:szCs w:val="24"/>
        </w:rPr>
        <w:t xml:space="preserve"> </w:t>
      </w:r>
      <w:r w:rsidRPr="00A1364F">
        <w:rPr>
          <w:rFonts w:cs="Times"/>
          <w:b/>
          <w:bCs/>
          <w:noProof/>
          <w:szCs w:val="24"/>
        </w:rPr>
        <w:t>23,</w:t>
      </w:r>
      <w:r w:rsidRPr="00A1364F">
        <w:rPr>
          <w:rFonts w:cs="Times"/>
          <w:noProof/>
          <w:szCs w:val="24"/>
        </w:rPr>
        <w:t xml:space="preserve"> 27–47 (2011).</w:t>
      </w:r>
    </w:p>
    <w:p w14:paraId="64BD16A4"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23.</w:t>
      </w:r>
      <w:r w:rsidRPr="00A1364F">
        <w:rPr>
          <w:rFonts w:cs="Times"/>
          <w:noProof/>
          <w:szCs w:val="24"/>
        </w:rPr>
        <w:tab/>
        <w:t xml:space="preserve">Ivanova, D. </w:t>
      </w:r>
      <w:r w:rsidRPr="00A1364F">
        <w:rPr>
          <w:rFonts w:cs="Times"/>
          <w:i/>
          <w:iCs/>
          <w:noProof/>
          <w:szCs w:val="24"/>
        </w:rPr>
        <w:t>et al.</w:t>
      </w:r>
      <w:r w:rsidRPr="00A1364F">
        <w:rPr>
          <w:rFonts w:cs="Times"/>
          <w:noProof/>
          <w:szCs w:val="24"/>
        </w:rPr>
        <w:t xml:space="preserve"> Environmental Impact Assessment of Household Consumption. </w:t>
      </w:r>
      <w:r w:rsidRPr="00A1364F">
        <w:rPr>
          <w:rFonts w:cs="Times"/>
          <w:i/>
          <w:iCs/>
          <w:noProof/>
          <w:szCs w:val="24"/>
        </w:rPr>
        <w:t>J. Ind. Ecol.</w:t>
      </w:r>
      <w:r w:rsidRPr="00A1364F">
        <w:rPr>
          <w:rFonts w:cs="Times"/>
          <w:noProof/>
          <w:szCs w:val="24"/>
        </w:rPr>
        <w:t xml:space="preserve"> </w:t>
      </w:r>
      <w:r w:rsidRPr="00A1364F">
        <w:rPr>
          <w:rFonts w:cs="Times"/>
          <w:b/>
          <w:bCs/>
          <w:noProof/>
          <w:szCs w:val="24"/>
        </w:rPr>
        <w:t>20,</w:t>
      </w:r>
      <w:r w:rsidRPr="00A1364F">
        <w:rPr>
          <w:rFonts w:cs="Times"/>
          <w:noProof/>
          <w:szCs w:val="24"/>
        </w:rPr>
        <w:t xml:space="preserve"> 526–536 (2016).</w:t>
      </w:r>
    </w:p>
    <w:p w14:paraId="451A8E69"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24.</w:t>
      </w:r>
      <w:r w:rsidRPr="00A1364F">
        <w:rPr>
          <w:rFonts w:cs="Times"/>
          <w:noProof/>
          <w:szCs w:val="24"/>
        </w:rPr>
        <w:tab/>
        <w:t xml:space="preserve">Hertwich, E. &amp; Peters, G. Carbon footprint of nations: A global, trade-linked analysis. </w:t>
      </w:r>
      <w:r w:rsidRPr="00A1364F">
        <w:rPr>
          <w:rFonts w:cs="Times"/>
          <w:i/>
          <w:iCs/>
          <w:noProof/>
          <w:szCs w:val="24"/>
        </w:rPr>
        <w:t>Environ. Sci. Technol.</w:t>
      </w:r>
      <w:r w:rsidRPr="00A1364F">
        <w:rPr>
          <w:rFonts w:cs="Times"/>
          <w:noProof/>
          <w:szCs w:val="24"/>
        </w:rPr>
        <w:t xml:space="preserve"> </w:t>
      </w:r>
      <w:r w:rsidRPr="00A1364F">
        <w:rPr>
          <w:rFonts w:cs="Times"/>
          <w:b/>
          <w:bCs/>
          <w:noProof/>
          <w:szCs w:val="24"/>
        </w:rPr>
        <w:t>43,</w:t>
      </w:r>
      <w:r w:rsidRPr="00A1364F">
        <w:rPr>
          <w:rFonts w:cs="Times"/>
          <w:noProof/>
          <w:szCs w:val="24"/>
        </w:rPr>
        <w:t xml:space="preserve"> 6414–6420 (2009).</w:t>
      </w:r>
    </w:p>
    <w:p w14:paraId="26D61D26"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25.</w:t>
      </w:r>
      <w:r w:rsidRPr="00A1364F">
        <w:rPr>
          <w:rFonts w:cs="Times"/>
          <w:noProof/>
          <w:szCs w:val="24"/>
        </w:rPr>
        <w:tab/>
        <w:t xml:space="preserve">He, Q. </w:t>
      </w:r>
      <w:r w:rsidRPr="00A1364F">
        <w:rPr>
          <w:rFonts w:cs="Times"/>
          <w:i/>
          <w:iCs/>
          <w:noProof/>
          <w:szCs w:val="24"/>
        </w:rPr>
        <w:t>et al.</w:t>
      </w:r>
      <w:r w:rsidRPr="00A1364F">
        <w:rPr>
          <w:rFonts w:cs="Times"/>
          <w:noProof/>
          <w:szCs w:val="24"/>
        </w:rPr>
        <w:t xml:space="preserve"> Economic development and coastal ecosystem change in China. </w:t>
      </w:r>
      <w:r w:rsidRPr="00A1364F">
        <w:rPr>
          <w:rFonts w:cs="Times"/>
          <w:i/>
          <w:iCs/>
          <w:noProof/>
          <w:szCs w:val="24"/>
        </w:rPr>
        <w:t>Sci. Rep.</w:t>
      </w:r>
      <w:r w:rsidRPr="00A1364F">
        <w:rPr>
          <w:rFonts w:cs="Times"/>
          <w:noProof/>
          <w:szCs w:val="24"/>
        </w:rPr>
        <w:t xml:space="preserve"> </w:t>
      </w:r>
      <w:r w:rsidRPr="00A1364F">
        <w:rPr>
          <w:rFonts w:cs="Times"/>
          <w:b/>
          <w:bCs/>
          <w:noProof/>
          <w:szCs w:val="24"/>
        </w:rPr>
        <w:t>4,</w:t>
      </w:r>
      <w:r w:rsidRPr="00A1364F">
        <w:rPr>
          <w:rFonts w:cs="Times"/>
          <w:noProof/>
          <w:szCs w:val="24"/>
        </w:rPr>
        <w:t xml:space="preserve"> 1–9 (2014).</w:t>
      </w:r>
    </w:p>
    <w:p w14:paraId="7F290DD2"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26.</w:t>
      </w:r>
      <w:r w:rsidRPr="00A1364F">
        <w:rPr>
          <w:rFonts w:cs="Times"/>
          <w:noProof/>
          <w:szCs w:val="24"/>
        </w:rPr>
        <w:tab/>
        <w:t xml:space="preserve">Steen-Olsen, K., Weinzettel, J., Cranston, G., Ercin, A. E. &amp; Hertwich, E. G. Carbon, land, and water footprint accounts for the european union: Consumption, production, and displacements through international trade. </w:t>
      </w:r>
      <w:r w:rsidRPr="00A1364F">
        <w:rPr>
          <w:rFonts w:cs="Times"/>
          <w:i/>
          <w:iCs/>
          <w:noProof/>
          <w:szCs w:val="24"/>
        </w:rPr>
        <w:t>Environ. Sci. Technol.</w:t>
      </w:r>
      <w:r w:rsidRPr="00A1364F">
        <w:rPr>
          <w:rFonts w:cs="Times"/>
          <w:noProof/>
          <w:szCs w:val="24"/>
        </w:rPr>
        <w:t xml:space="preserve"> </w:t>
      </w:r>
      <w:r w:rsidRPr="00A1364F">
        <w:rPr>
          <w:rFonts w:cs="Times"/>
          <w:b/>
          <w:bCs/>
          <w:noProof/>
          <w:szCs w:val="24"/>
        </w:rPr>
        <w:t>46,</w:t>
      </w:r>
      <w:r w:rsidRPr="00A1364F">
        <w:rPr>
          <w:rFonts w:cs="Times"/>
          <w:noProof/>
          <w:szCs w:val="24"/>
        </w:rPr>
        <w:t xml:space="preserve"> 10883–10891 (2012).</w:t>
      </w:r>
    </w:p>
    <w:p w14:paraId="65043B61"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27.</w:t>
      </w:r>
      <w:r w:rsidRPr="00A1364F">
        <w:rPr>
          <w:rFonts w:cs="Times"/>
          <w:noProof/>
          <w:szCs w:val="24"/>
        </w:rPr>
        <w:tab/>
        <w:t xml:space="preserve">Huijbregts, M. A. J. </w:t>
      </w:r>
      <w:r w:rsidRPr="00A1364F">
        <w:rPr>
          <w:rFonts w:cs="Times"/>
          <w:i/>
          <w:iCs/>
          <w:noProof/>
          <w:szCs w:val="24"/>
        </w:rPr>
        <w:t>et al.</w:t>
      </w:r>
      <w:r w:rsidRPr="00A1364F">
        <w:rPr>
          <w:rFonts w:cs="Times"/>
          <w:noProof/>
          <w:szCs w:val="24"/>
        </w:rPr>
        <w:t xml:space="preserve"> </w:t>
      </w:r>
      <w:r w:rsidRPr="00A1364F">
        <w:rPr>
          <w:rFonts w:cs="Times"/>
          <w:i/>
          <w:iCs/>
          <w:noProof/>
          <w:szCs w:val="24"/>
        </w:rPr>
        <w:t>ReCiPe 2016 v1.1 A harmonized life cycle impact assessment method at midpoint and endpoint level</w:t>
      </w:r>
      <w:r w:rsidRPr="00A1364F">
        <w:rPr>
          <w:rFonts w:cs="Times"/>
          <w:noProof/>
          <w:szCs w:val="24"/>
        </w:rPr>
        <w:t>. (2017).</w:t>
      </w:r>
    </w:p>
    <w:p w14:paraId="6E66EF72"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28.</w:t>
      </w:r>
      <w:r w:rsidRPr="00A1364F">
        <w:rPr>
          <w:rFonts w:cs="Times"/>
          <w:noProof/>
          <w:szCs w:val="24"/>
        </w:rPr>
        <w:tab/>
        <w:t xml:space="preserve">Mekonnen, M. M. &amp; Hoekstra, A. Y. Global Gray Water Footprint and Water Pollution </w:t>
      </w:r>
      <w:r w:rsidRPr="00A1364F">
        <w:rPr>
          <w:rFonts w:cs="Times"/>
          <w:noProof/>
          <w:szCs w:val="24"/>
        </w:rPr>
        <w:lastRenderedPageBreak/>
        <w:t xml:space="preserve">Levels Related to Anthropogenic Nitrogen Loads to Fresh Water. </w:t>
      </w:r>
      <w:r w:rsidRPr="00A1364F">
        <w:rPr>
          <w:rFonts w:cs="Times"/>
          <w:i/>
          <w:iCs/>
          <w:noProof/>
          <w:szCs w:val="24"/>
        </w:rPr>
        <w:t>Environ. Sci. Technol.</w:t>
      </w:r>
      <w:r w:rsidRPr="00A1364F">
        <w:rPr>
          <w:rFonts w:cs="Times"/>
          <w:noProof/>
          <w:szCs w:val="24"/>
        </w:rPr>
        <w:t xml:space="preserve"> </w:t>
      </w:r>
      <w:r w:rsidRPr="00A1364F">
        <w:rPr>
          <w:rFonts w:cs="Times"/>
          <w:b/>
          <w:bCs/>
          <w:noProof/>
          <w:szCs w:val="24"/>
        </w:rPr>
        <w:t>49,</w:t>
      </w:r>
      <w:r w:rsidRPr="00A1364F">
        <w:rPr>
          <w:rFonts w:cs="Times"/>
          <w:noProof/>
          <w:szCs w:val="24"/>
        </w:rPr>
        <w:t xml:space="preserve"> 12860–12868 (2015).</w:t>
      </w:r>
    </w:p>
    <w:p w14:paraId="7DFCE83D"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29.</w:t>
      </w:r>
      <w:r w:rsidRPr="00A1364F">
        <w:rPr>
          <w:rFonts w:cs="Times"/>
          <w:noProof/>
          <w:szCs w:val="24"/>
        </w:rPr>
        <w:tab/>
        <w:t xml:space="preserve">Steen-Olsen, K., Wood, R. &amp; Hertwich, E. G. The carbon footprint of Norwegian household consumption 1999-2012. </w:t>
      </w:r>
      <w:r w:rsidRPr="00A1364F">
        <w:rPr>
          <w:rFonts w:cs="Times"/>
          <w:i/>
          <w:iCs/>
          <w:noProof/>
          <w:szCs w:val="24"/>
        </w:rPr>
        <w:t>J. Ind. Ecol.</w:t>
      </w:r>
      <w:r w:rsidRPr="00A1364F">
        <w:rPr>
          <w:rFonts w:cs="Times"/>
          <w:noProof/>
          <w:szCs w:val="24"/>
        </w:rPr>
        <w:t xml:space="preserve"> </w:t>
      </w:r>
      <w:r w:rsidRPr="00A1364F">
        <w:rPr>
          <w:rFonts w:cs="Times"/>
          <w:b/>
          <w:bCs/>
          <w:noProof/>
          <w:szCs w:val="24"/>
        </w:rPr>
        <w:t>20,</w:t>
      </w:r>
      <w:r w:rsidRPr="00A1364F">
        <w:rPr>
          <w:rFonts w:cs="Times"/>
          <w:noProof/>
          <w:szCs w:val="24"/>
        </w:rPr>
        <w:t xml:space="preserve"> 582–592 (2016).</w:t>
      </w:r>
    </w:p>
    <w:p w14:paraId="6A6667DD"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30.</w:t>
      </w:r>
      <w:r w:rsidRPr="00A1364F">
        <w:rPr>
          <w:rFonts w:cs="Times"/>
          <w:noProof/>
          <w:szCs w:val="24"/>
        </w:rPr>
        <w:tab/>
        <w:t xml:space="preserve">Feng, K., Siu, Y. L., Guan, D. &amp; Hubacek, K. Analyzing Drivers of Regional Carbon Dioxide Emissions for China. </w:t>
      </w:r>
      <w:r w:rsidRPr="00A1364F">
        <w:rPr>
          <w:rFonts w:cs="Times"/>
          <w:i/>
          <w:iCs/>
          <w:noProof/>
          <w:szCs w:val="24"/>
        </w:rPr>
        <w:t>J. Ind. Ecol.</w:t>
      </w:r>
      <w:r w:rsidRPr="00A1364F">
        <w:rPr>
          <w:rFonts w:cs="Times"/>
          <w:noProof/>
          <w:szCs w:val="24"/>
        </w:rPr>
        <w:t xml:space="preserve"> </w:t>
      </w:r>
      <w:r w:rsidRPr="00A1364F">
        <w:rPr>
          <w:rFonts w:cs="Times"/>
          <w:b/>
          <w:bCs/>
          <w:noProof/>
          <w:szCs w:val="24"/>
        </w:rPr>
        <w:t>16,</w:t>
      </w:r>
      <w:r w:rsidRPr="00A1364F">
        <w:rPr>
          <w:rFonts w:cs="Times"/>
          <w:noProof/>
          <w:szCs w:val="24"/>
        </w:rPr>
        <w:t xml:space="preserve"> 600–611 (2012).</w:t>
      </w:r>
    </w:p>
    <w:p w14:paraId="75AB854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31.</w:t>
      </w:r>
      <w:r w:rsidRPr="00A1364F">
        <w:rPr>
          <w:rFonts w:cs="Times"/>
          <w:noProof/>
          <w:szCs w:val="24"/>
        </w:rPr>
        <w:tab/>
        <w:t xml:space="preserve">Muhammad, A., Souza, A. D. ’, Meade, B., Micha, R. &amp; Mozaffarian, D. </w:t>
      </w:r>
      <w:r w:rsidRPr="00A1364F">
        <w:rPr>
          <w:rFonts w:cs="Times"/>
          <w:i/>
          <w:iCs/>
          <w:noProof/>
          <w:szCs w:val="24"/>
        </w:rPr>
        <w:t>The Influence of Income and Prices on Global Dietary Patterns by Country, Age, and Gender</w:t>
      </w:r>
      <w:r w:rsidRPr="00A1364F">
        <w:rPr>
          <w:rFonts w:cs="Times"/>
          <w:noProof/>
          <w:szCs w:val="24"/>
        </w:rPr>
        <w:t>. (2017).</w:t>
      </w:r>
    </w:p>
    <w:p w14:paraId="50255953"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32.</w:t>
      </w:r>
      <w:r w:rsidRPr="00A1364F">
        <w:rPr>
          <w:rFonts w:cs="Times"/>
          <w:noProof/>
          <w:szCs w:val="24"/>
        </w:rPr>
        <w:tab/>
        <w:t xml:space="preserve">He, P., Baiocchi, G., Hubacek, K., Feng, K. &amp; Yu, Y. The environmental impacts of rapidly changing diets and their nutritional quality in China. </w:t>
      </w:r>
      <w:r w:rsidRPr="00A1364F">
        <w:rPr>
          <w:rFonts w:cs="Times"/>
          <w:i/>
          <w:iCs/>
          <w:noProof/>
          <w:szCs w:val="24"/>
        </w:rPr>
        <w:t>Nat. Sustain.</w:t>
      </w:r>
      <w:r w:rsidRPr="00A1364F">
        <w:rPr>
          <w:rFonts w:cs="Times"/>
          <w:noProof/>
          <w:szCs w:val="24"/>
        </w:rPr>
        <w:t xml:space="preserve"> </w:t>
      </w:r>
      <w:r w:rsidRPr="00A1364F">
        <w:rPr>
          <w:rFonts w:cs="Times"/>
          <w:b/>
          <w:bCs/>
          <w:noProof/>
          <w:szCs w:val="24"/>
        </w:rPr>
        <w:t>1,</w:t>
      </w:r>
      <w:r w:rsidRPr="00A1364F">
        <w:rPr>
          <w:rFonts w:cs="Times"/>
          <w:noProof/>
          <w:szCs w:val="24"/>
        </w:rPr>
        <w:t xml:space="preserve"> 122–127 (2018).</w:t>
      </w:r>
    </w:p>
    <w:p w14:paraId="43E09F4B"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33.</w:t>
      </w:r>
      <w:r w:rsidRPr="00A1364F">
        <w:rPr>
          <w:rFonts w:cs="Times"/>
          <w:noProof/>
          <w:szCs w:val="24"/>
        </w:rPr>
        <w:tab/>
        <w:t xml:space="preserve">Selman, M. &amp; Greenhalgh, S. Eutrophication: Policies, Actions, and Strategies to Address Nutrient Pollution. </w:t>
      </w:r>
      <w:r w:rsidRPr="00A1364F">
        <w:rPr>
          <w:rFonts w:cs="Times"/>
          <w:i/>
          <w:iCs/>
          <w:noProof/>
          <w:szCs w:val="24"/>
        </w:rPr>
        <w:t>WRI Policy note - Water Qual. Eutrophication hypoxia</w:t>
      </w:r>
      <w:r w:rsidRPr="00A1364F">
        <w:rPr>
          <w:rFonts w:cs="Times"/>
          <w:noProof/>
          <w:szCs w:val="24"/>
        </w:rPr>
        <w:t xml:space="preserve"> </w:t>
      </w:r>
      <w:r w:rsidRPr="00A1364F">
        <w:rPr>
          <w:rFonts w:cs="Times"/>
          <w:b/>
          <w:bCs/>
          <w:noProof/>
          <w:szCs w:val="24"/>
        </w:rPr>
        <w:t>3,</w:t>
      </w:r>
      <w:r w:rsidRPr="00A1364F">
        <w:rPr>
          <w:rFonts w:cs="Times"/>
          <w:noProof/>
          <w:szCs w:val="24"/>
        </w:rPr>
        <w:t xml:space="preserve"> 16 (2009).</w:t>
      </w:r>
    </w:p>
    <w:p w14:paraId="1B4BC76E"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34.</w:t>
      </w:r>
      <w:r w:rsidRPr="00A1364F">
        <w:rPr>
          <w:rFonts w:cs="Times"/>
          <w:noProof/>
          <w:szCs w:val="24"/>
        </w:rPr>
        <w:tab/>
        <w:t xml:space="preserve">European Commission. Water Frameworks Directive. </w:t>
      </w:r>
      <w:r w:rsidRPr="00A1364F">
        <w:rPr>
          <w:rFonts w:cs="Times"/>
          <w:i/>
          <w:iCs/>
          <w:noProof/>
          <w:szCs w:val="24"/>
        </w:rPr>
        <w:t>The EU Nitrates Directive</w:t>
      </w:r>
      <w:r w:rsidRPr="00A1364F">
        <w:rPr>
          <w:rFonts w:cs="Times"/>
          <w:noProof/>
          <w:szCs w:val="24"/>
        </w:rPr>
        <w:t xml:space="preserve"> 1–4 (2010). Available at: http://ec.europa.eu/environment/water/water-nitrates/index_en.html. (Accessed: 16th June 2017)</w:t>
      </w:r>
    </w:p>
    <w:p w14:paraId="452E8FDE"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35.</w:t>
      </w:r>
      <w:r w:rsidRPr="00A1364F">
        <w:rPr>
          <w:rFonts w:cs="Times"/>
          <w:noProof/>
          <w:szCs w:val="24"/>
        </w:rPr>
        <w:tab/>
        <w:t xml:space="preserve">Shortle, J. S. &amp; Abler, D. G. </w:t>
      </w:r>
      <w:r w:rsidRPr="00A1364F">
        <w:rPr>
          <w:rFonts w:cs="Times"/>
          <w:i/>
          <w:iCs/>
          <w:noProof/>
          <w:szCs w:val="24"/>
        </w:rPr>
        <w:t>Environmental Policies for Agricultural Pollution Control</w:t>
      </w:r>
      <w:r w:rsidRPr="00A1364F">
        <w:rPr>
          <w:rFonts w:cs="Times"/>
          <w:noProof/>
          <w:szCs w:val="24"/>
        </w:rPr>
        <w:t>. (2001).</w:t>
      </w:r>
    </w:p>
    <w:p w14:paraId="2652076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36.</w:t>
      </w:r>
      <w:r w:rsidRPr="00A1364F">
        <w:rPr>
          <w:rFonts w:cs="Times"/>
          <w:noProof/>
          <w:szCs w:val="24"/>
        </w:rPr>
        <w:tab/>
        <w:t xml:space="preserve">European Commission DG Environment. The EU Water Framework Directive. </w:t>
      </w:r>
      <w:r w:rsidRPr="00A1364F">
        <w:rPr>
          <w:rFonts w:cs="Times"/>
          <w:i/>
          <w:iCs/>
          <w:noProof/>
          <w:szCs w:val="24"/>
        </w:rPr>
        <w:t>Joining Forces for Europe’s Shared Waters: Coordination in international river basin districts</w:t>
      </w:r>
      <w:r w:rsidRPr="00A1364F">
        <w:rPr>
          <w:rFonts w:cs="Times"/>
          <w:noProof/>
          <w:szCs w:val="24"/>
        </w:rPr>
        <w:t xml:space="preserve"> (2008). Available at: http://ec.europa.eu/environment/water/water-framework/index_en.html. (Accessed: 12th May 2017)</w:t>
      </w:r>
    </w:p>
    <w:p w14:paraId="33F1AB8B"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37.</w:t>
      </w:r>
      <w:r w:rsidRPr="00A1364F">
        <w:rPr>
          <w:rFonts w:cs="Times"/>
          <w:noProof/>
          <w:szCs w:val="24"/>
        </w:rPr>
        <w:tab/>
        <w:t xml:space="preserve">Sutton, M. A., Howard, C. M., Bleeker, A. &amp; Datta, A. The global nutrient challenge: From science to public engagement. </w:t>
      </w:r>
      <w:r w:rsidRPr="00A1364F">
        <w:rPr>
          <w:rFonts w:cs="Times"/>
          <w:i/>
          <w:iCs/>
          <w:noProof/>
          <w:szCs w:val="24"/>
        </w:rPr>
        <w:t>Environ. Dev.</w:t>
      </w:r>
      <w:r w:rsidRPr="00A1364F">
        <w:rPr>
          <w:rFonts w:cs="Times"/>
          <w:noProof/>
          <w:szCs w:val="24"/>
        </w:rPr>
        <w:t xml:space="preserve"> </w:t>
      </w:r>
      <w:r w:rsidRPr="00A1364F">
        <w:rPr>
          <w:rFonts w:cs="Times"/>
          <w:b/>
          <w:bCs/>
          <w:noProof/>
          <w:szCs w:val="24"/>
        </w:rPr>
        <w:t>6,</w:t>
      </w:r>
      <w:r w:rsidRPr="00A1364F">
        <w:rPr>
          <w:rFonts w:cs="Times"/>
          <w:noProof/>
          <w:szCs w:val="24"/>
        </w:rPr>
        <w:t xml:space="preserve"> 80–85 (2013).</w:t>
      </w:r>
    </w:p>
    <w:p w14:paraId="594EB9C7"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38.</w:t>
      </w:r>
      <w:r w:rsidRPr="00A1364F">
        <w:rPr>
          <w:rFonts w:cs="Times"/>
          <w:noProof/>
          <w:szCs w:val="24"/>
        </w:rPr>
        <w:tab/>
        <w:t xml:space="preserve">Le, C. </w:t>
      </w:r>
      <w:r w:rsidRPr="00A1364F">
        <w:rPr>
          <w:rFonts w:cs="Times"/>
          <w:i/>
          <w:iCs/>
          <w:noProof/>
          <w:szCs w:val="24"/>
        </w:rPr>
        <w:t>et al.</w:t>
      </w:r>
      <w:r w:rsidRPr="00A1364F">
        <w:rPr>
          <w:rFonts w:cs="Times"/>
          <w:noProof/>
          <w:szCs w:val="24"/>
        </w:rPr>
        <w:t xml:space="preserve"> Eutrophication of lake waters in China: Cost, causes, and control. </w:t>
      </w:r>
      <w:r w:rsidRPr="00A1364F">
        <w:rPr>
          <w:rFonts w:cs="Times"/>
          <w:i/>
          <w:iCs/>
          <w:noProof/>
          <w:szCs w:val="24"/>
        </w:rPr>
        <w:t>Environ. Manage.</w:t>
      </w:r>
      <w:r w:rsidRPr="00A1364F">
        <w:rPr>
          <w:rFonts w:cs="Times"/>
          <w:noProof/>
          <w:szCs w:val="24"/>
        </w:rPr>
        <w:t xml:space="preserve"> </w:t>
      </w:r>
      <w:r w:rsidRPr="00A1364F">
        <w:rPr>
          <w:rFonts w:cs="Times"/>
          <w:b/>
          <w:bCs/>
          <w:noProof/>
          <w:szCs w:val="24"/>
        </w:rPr>
        <w:t>45,</w:t>
      </w:r>
      <w:r w:rsidRPr="00A1364F">
        <w:rPr>
          <w:rFonts w:cs="Times"/>
          <w:noProof/>
          <w:szCs w:val="24"/>
        </w:rPr>
        <w:t xml:space="preserve"> 662–668 (2010).</w:t>
      </w:r>
    </w:p>
    <w:p w14:paraId="3C39EFAB"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39.</w:t>
      </w:r>
      <w:r w:rsidRPr="00A1364F">
        <w:rPr>
          <w:rFonts w:cs="Times"/>
          <w:noProof/>
          <w:szCs w:val="24"/>
        </w:rPr>
        <w:tab/>
        <w:t xml:space="preserve">Lenzen, M., Moran, D., Kanemoto, K. &amp; Geschke, A. Building Eora: a Global Multi-Region Input–Output Database At High Country and Sector Resolution. </w:t>
      </w:r>
      <w:r w:rsidRPr="00A1364F">
        <w:rPr>
          <w:rFonts w:cs="Times"/>
          <w:i/>
          <w:iCs/>
          <w:noProof/>
          <w:szCs w:val="24"/>
        </w:rPr>
        <w:t>Econ. Syst. Res.</w:t>
      </w:r>
      <w:r w:rsidRPr="00A1364F">
        <w:rPr>
          <w:rFonts w:cs="Times"/>
          <w:noProof/>
          <w:szCs w:val="24"/>
        </w:rPr>
        <w:t xml:space="preserve"> </w:t>
      </w:r>
      <w:r w:rsidRPr="00A1364F">
        <w:rPr>
          <w:rFonts w:cs="Times"/>
          <w:b/>
          <w:bCs/>
          <w:noProof/>
          <w:szCs w:val="24"/>
        </w:rPr>
        <w:t>25,</w:t>
      </w:r>
      <w:r w:rsidRPr="00A1364F">
        <w:rPr>
          <w:rFonts w:cs="Times"/>
          <w:noProof/>
          <w:szCs w:val="24"/>
        </w:rPr>
        <w:t xml:space="preserve"> 20–49 (2013).</w:t>
      </w:r>
    </w:p>
    <w:p w14:paraId="15AC4DF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40.</w:t>
      </w:r>
      <w:r w:rsidRPr="00A1364F">
        <w:rPr>
          <w:rFonts w:cs="Times"/>
          <w:noProof/>
          <w:szCs w:val="24"/>
        </w:rPr>
        <w:tab/>
        <w:t xml:space="preserve">Weinzettel, J., Steen-Olsen, K., Hertwich, E. G., Borucke, M. &amp; Galli, A. Ecological footprint of nations: Comparison of process analysis, and standard and hybrid multiregional input–output analysis. </w:t>
      </w:r>
      <w:r w:rsidRPr="00A1364F">
        <w:rPr>
          <w:rFonts w:cs="Times"/>
          <w:i/>
          <w:iCs/>
          <w:noProof/>
          <w:szCs w:val="24"/>
        </w:rPr>
        <w:t>Ecol. Econ.</w:t>
      </w:r>
      <w:r w:rsidRPr="00A1364F">
        <w:rPr>
          <w:rFonts w:cs="Times"/>
          <w:noProof/>
          <w:szCs w:val="24"/>
        </w:rPr>
        <w:t xml:space="preserve"> </w:t>
      </w:r>
      <w:r w:rsidRPr="00A1364F">
        <w:rPr>
          <w:rFonts w:cs="Times"/>
          <w:b/>
          <w:bCs/>
          <w:noProof/>
          <w:szCs w:val="24"/>
        </w:rPr>
        <w:t>101,</w:t>
      </w:r>
      <w:r w:rsidRPr="00A1364F">
        <w:rPr>
          <w:rFonts w:cs="Times"/>
          <w:noProof/>
          <w:szCs w:val="24"/>
        </w:rPr>
        <w:t xml:space="preserve"> 115–126 (2014).</w:t>
      </w:r>
    </w:p>
    <w:p w14:paraId="0E36A95C"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41.</w:t>
      </w:r>
      <w:r w:rsidRPr="00A1364F">
        <w:rPr>
          <w:rFonts w:cs="Times"/>
          <w:noProof/>
          <w:szCs w:val="24"/>
        </w:rPr>
        <w:tab/>
        <w:t xml:space="preserve">Moran, D. &amp; Wood, R. Convergence between the EORA, WIOD, EXIOBASE, and OPENEU’S consumption-based carbon accounts. </w:t>
      </w:r>
      <w:r w:rsidRPr="00A1364F">
        <w:rPr>
          <w:rFonts w:cs="Times"/>
          <w:i/>
          <w:iCs/>
          <w:noProof/>
          <w:szCs w:val="24"/>
        </w:rPr>
        <w:t>Econ. Syst. Res.</w:t>
      </w:r>
      <w:r w:rsidRPr="00A1364F">
        <w:rPr>
          <w:rFonts w:cs="Times"/>
          <w:noProof/>
          <w:szCs w:val="24"/>
        </w:rPr>
        <w:t xml:space="preserve"> </w:t>
      </w:r>
      <w:r w:rsidRPr="00A1364F">
        <w:rPr>
          <w:rFonts w:cs="Times"/>
          <w:b/>
          <w:bCs/>
          <w:noProof/>
          <w:szCs w:val="24"/>
        </w:rPr>
        <w:t>26,</w:t>
      </w:r>
      <w:r w:rsidRPr="00A1364F">
        <w:rPr>
          <w:rFonts w:cs="Times"/>
          <w:noProof/>
          <w:szCs w:val="24"/>
        </w:rPr>
        <w:t xml:space="preserve"> 1469–5758 (2014).</w:t>
      </w:r>
    </w:p>
    <w:p w14:paraId="620BF899"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42.</w:t>
      </w:r>
      <w:r w:rsidRPr="00A1364F">
        <w:rPr>
          <w:rFonts w:cs="Times"/>
          <w:noProof/>
          <w:szCs w:val="24"/>
        </w:rPr>
        <w:tab/>
        <w:t xml:space="preserve">Tukker, A., Giljum, S. &amp; Stadler, K. Towards Robust, Authoritative Assessments of Environmental Impacts Embodied in Trade: Current State and Recommendations. </w:t>
      </w:r>
      <w:r w:rsidRPr="00A1364F">
        <w:rPr>
          <w:rFonts w:cs="Times"/>
          <w:i/>
          <w:iCs/>
          <w:noProof/>
          <w:szCs w:val="24"/>
        </w:rPr>
        <w:t>J. Ind. Ecol.</w:t>
      </w:r>
      <w:r w:rsidRPr="00A1364F">
        <w:rPr>
          <w:rFonts w:cs="Times"/>
          <w:noProof/>
          <w:szCs w:val="24"/>
        </w:rPr>
        <w:t xml:space="preserve"> </w:t>
      </w:r>
      <w:r w:rsidRPr="00A1364F">
        <w:rPr>
          <w:rFonts w:cs="Times"/>
          <w:b/>
          <w:bCs/>
          <w:noProof/>
          <w:szCs w:val="24"/>
        </w:rPr>
        <w:t>0,</w:t>
      </w:r>
      <w:r w:rsidRPr="00A1364F">
        <w:rPr>
          <w:rFonts w:cs="Times"/>
          <w:noProof/>
          <w:szCs w:val="24"/>
        </w:rPr>
        <w:t xml:space="preserve"> 1–14</w:t>
      </w:r>
    </w:p>
    <w:p w14:paraId="004CFF0C"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lastRenderedPageBreak/>
        <w:t>43.</w:t>
      </w:r>
      <w:r w:rsidRPr="00A1364F">
        <w:rPr>
          <w:rFonts w:cs="Times"/>
          <w:noProof/>
          <w:szCs w:val="24"/>
        </w:rPr>
        <w:tab/>
        <w:t xml:space="preserve">Azevedo, L. B. et al. Assessing the importance of spatial variability versus madel choices in life cycle impact assessment: The case of freshwater eutrophication in Europe. </w:t>
      </w:r>
      <w:r w:rsidRPr="00A1364F">
        <w:rPr>
          <w:rFonts w:cs="Times"/>
          <w:i/>
          <w:iCs/>
          <w:noProof/>
          <w:szCs w:val="24"/>
        </w:rPr>
        <w:t>Environ. Sci. Technol.</w:t>
      </w:r>
      <w:r w:rsidRPr="00A1364F">
        <w:rPr>
          <w:rFonts w:cs="Times"/>
          <w:noProof/>
          <w:szCs w:val="24"/>
        </w:rPr>
        <w:t xml:space="preserve"> </w:t>
      </w:r>
      <w:r w:rsidRPr="00A1364F">
        <w:rPr>
          <w:rFonts w:cs="Times"/>
          <w:b/>
          <w:bCs/>
          <w:noProof/>
          <w:szCs w:val="24"/>
        </w:rPr>
        <w:t>47,</w:t>
      </w:r>
      <w:r w:rsidRPr="00A1364F">
        <w:rPr>
          <w:rFonts w:cs="Times"/>
          <w:noProof/>
          <w:szCs w:val="24"/>
        </w:rPr>
        <w:t xml:space="preserve"> 13565–13570 (2013).</w:t>
      </w:r>
    </w:p>
    <w:p w14:paraId="24E10D55"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44.</w:t>
      </w:r>
      <w:r w:rsidRPr="00A1364F">
        <w:rPr>
          <w:rFonts w:cs="Times"/>
          <w:noProof/>
          <w:szCs w:val="24"/>
        </w:rPr>
        <w:tab/>
        <w:t xml:space="preserve">Howarth, R. W. &amp; Marino, R. Nitrogen as the limiting nutrient for eutrophication in coastal marine ecosystems: Evolving views over three decades. </w:t>
      </w:r>
      <w:r w:rsidRPr="00A1364F">
        <w:rPr>
          <w:rFonts w:cs="Times"/>
          <w:i/>
          <w:iCs/>
          <w:noProof/>
          <w:szCs w:val="24"/>
        </w:rPr>
        <w:t>Limnol. Oceanogr.</w:t>
      </w:r>
      <w:r w:rsidRPr="00A1364F">
        <w:rPr>
          <w:rFonts w:cs="Times"/>
          <w:noProof/>
          <w:szCs w:val="24"/>
        </w:rPr>
        <w:t xml:space="preserve"> </w:t>
      </w:r>
      <w:r w:rsidRPr="00A1364F">
        <w:rPr>
          <w:rFonts w:cs="Times"/>
          <w:b/>
          <w:bCs/>
          <w:noProof/>
          <w:szCs w:val="24"/>
        </w:rPr>
        <w:t>51,</w:t>
      </w:r>
      <w:r w:rsidRPr="00A1364F">
        <w:rPr>
          <w:rFonts w:cs="Times"/>
          <w:noProof/>
          <w:szCs w:val="24"/>
        </w:rPr>
        <w:t xml:space="preserve"> 364–376 (2006).</w:t>
      </w:r>
    </w:p>
    <w:p w14:paraId="68C94288"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45.</w:t>
      </w:r>
      <w:r w:rsidRPr="00A1364F">
        <w:rPr>
          <w:rFonts w:cs="Times"/>
          <w:noProof/>
          <w:szCs w:val="24"/>
        </w:rPr>
        <w:tab/>
        <w:t xml:space="preserve">Sterner, R. W. On the phosphorus limitation paradigm for lakes. </w:t>
      </w:r>
      <w:r w:rsidRPr="00A1364F">
        <w:rPr>
          <w:rFonts w:cs="Times"/>
          <w:i/>
          <w:iCs/>
          <w:noProof/>
          <w:szCs w:val="24"/>
        </w:rPr>
        <w:t>Int. Rev. Hydrobiol.</w:t>
      </w:r>
      <w:r w:rsidRPr="00A1364F">
        <w:rPr>
          <w:rFonts w:cs="Times"/>
          <w:noProof/>
          <w:szCs w:val="24"/>
        </w:rPr>
        <w:t xml:space="preserve"> </w:t>
      </w:r>
      <w:r w:rsidRPr="00A1364F">
        <w:rPr>
          <w:rFonts w:cs="Times"/>
          <w:b/>
          <w:bCs/>
          <w:noProof/>
          <w:szCs w:val="24"/>
        </w:rPr>
        <w:t>93,</w:t>
      </w:r>
      <w:r w:rsidRPr="00A1364F">
        <w:rPr>
          <w:rFonts w:cs="Times"/>
          <w:noProof/>
          <w:szCs w:val="24"/>
        </w:rPr>
        <w:t xml:space="preserve"> 433–445 (2008).</w:t>
      </w:r>
    </w:p>
    <w:p w14:paraId="0C0A3CAB"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46.</w:t>
      </w:r>
      <w:r w:rsidRPr="00A1364F">
        <w:rPr>
          <w:rFonts w:cs="Times"/>
          <w:noProof/>
          <w:szCs w:val="24"/>
        </w:rPr>
        <w:tab/>
        <w:t xml:space="preserve">Helmes, R. J. K., Huijbregts, M. a. J., Henderson, A. D. &amp; Jolliet, O. Spatially explicit fate factors of phosphorous emissions to freshwater at the global scale. </w:t>
      </w:r>
      <w:r w:rsidRPr="00A1364F">
        <w:rPr>
          <w:rFonts w:cs="Times"/>
          <w:i/>
          <w:iCs/>
          <w:noProof/>
          <w:szCs w:val="24"/>
        </w:rPr>
        <w:t>Int. J. Life Cycle Assess.</w:t>
      </w:r>
      <w:r w:rsidRPr="00A1364F">
        <w:rPr>
          <w:rFonts w:cs="Times"/>
          <w:noProof/>
          <w:szCs w:val="24"/>
        </w:rPr>
        <w:t xml:space="preserve"> </w:t>
      </w:r>
      <w:r w:rsidRPr="00A1364F">
        <w:rPr>
          <w:rFonts w:cs="Times"/>
          <w:b/>
          <w:bCs/>
          <w:noProof/>
          <w:szCs w:val="24"/>
        </w:rPr>
        <w:t>17,</w:t>
      </w:r>
      <w:r w:rsidRPr="00A1364F">
        <w:rPr>
          <w:rFonts w:cs="Times"/>
          <w:noProof/>
          <w:szCs w:val="24"/>
        </w:rPr>
        <w:t xml:space="preserve"> 646–654 (2012).</w:t>
      </w:r>
    </w:p>
    <w:p w14:paraId="7FC616C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47.</w:t>
      </w:r>
      <w:r w:rsidRPr="00A1364F">
        <w:rPr>
          <w:rFonts w:cs="Times"/>
          <w:noProof/>
          <w:szCs w:val="24"/>
        </w:rPr>
        <w:tab/>
        <w:t xml:space="preserve">Cosme, N., Jones, M. C., Cheung, W. W. L. &amp; Larsen, H. F. Spatial differentiation of marine eutrophication damage indicators based on species density. </w:t>
      </w:r>
      <w:r w:rsidRPr="00A1364F">
        <w:rPr>
          <w:rFonts w:cs="Times"/>
          <w:i/>
          <w:iCs/>
          <w:noProof/>
          <w:szCs w:val="24"/>
        </w:rPr>
        <w:t>Ecol. Indic.</w:t>
      </w:r>
      <w:r w:rsidRPr="00A1364F">
        <w:rPr>
          <w:rFonts w:cs="Times"/>
          <w:noProof/>
          <w:szCs w:val="24"/>
        </w:rPr>
        <w:t xml:space="preserve"> </w:t>
      </w:r>
      <w:r w:rsidRPr="00A1364F">
        <w:rPr>
          <w:rFonts w:cs="Times"/>
          <w:b/>
          <w:bCs/>
          <w:noProof/>
          <w:szCs w:val="24"/>
        </w:rPr>
        <w:t>73,</w:t>
      </w:r>
      <w:r w:rsidRPr="00A1364F">
        <w:rPr>
          <w:rFonts w:cs="Times"/>
          <w:noProof/>
          <w:szCs w:val="24"/>
        </w:rPr>
        <w:t xml:space="preserve"> 676–685 (2017).</w:t>
      </w:r>
    </w:p>
    <w:p w14:paraId="6D63D183"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48.</w:t>
      </w:r>
      <w:r w:rsidRPr="00A1364F">
        <w:rPr>
          <w:rFonts w:cs="Times"/>
          <w:noProof/>
          <w:szCs w:val="24"/>
        </w:rPr>
        <w:tab/>
        <w:t xml:space="preserve">Huijbregts, M. A. J. </w:t>
      </w:r>
      <w:r w:rsidRPr="00A1364F">
        <w:rPr>
          <w:rFonts w:cs="Times"/>
          <w:i/>
          <w:iCs/>
          <w:noProof/>
          <w:szCs w:val="24"/>
        </w:rPr>
        <w:t>et al.</w:t>
      </w:r>
      <w:r w:rsidRPr="00A1364F">
        <w:rPr>
          <w:rFonts w:cs="Times"/>
          <w:noProof/>
          <w:szCs w:val="24"/>
        </w:rPr>
        <w:t xml:space="preserve"> ReCiPe2016: a harmonized life cycle impact assessment method at midpoint and endpoint level. </w:t>
      </w:r>
      <w:r w:rsidRPr="00A1364F">
        <w:rPr>
          <w:rFonts w:cs="Times"/>
          <w:i/>
          <w:iCs/>
          <w:noProof/>
          <w:szCs w:val="24"/>
        </w:rPr>
        <w:t>Int. J. Life Cycle Assess.</w:t>
      </w:r>
      <w:r w:rsidRPr="00A1364F">
        <w:rPr>
          <w:rFonts w:cs="Times"/>
          <w:noProof/>
          <w:szCs w:val="24"/>
        </w:rPr>
        <w:t xml:space="preserve"> 138–147 (2017). doi:10.1007/s11367-016-1246-y</w:t>
      </w:r>
    </w:p>
    <w:p w14:paraId="296981E8"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49.</w:t>
      </w:r>
      <w:r w:rsidRPr="00A1364F">
        <w:rPr>
          <w:rFonts w:cs="Times"/>
          <w:noProof/>
          <w:szCs w:val="24"/>
        </w:rPr>
        <w:tab/>
        <w:t xml:space="preserve">Wood, R. </w:t>
      </w:r>
      <w:r w:rsidRPr="00A1364F">
        <w:rPr>
          <w:rFonts w:cs="Times"/>
          <w:i/>
          <w:iCs/>
          <w:noProof/>
          <w:szCs w:val="24"/>
        </w:rPr>
        <w:t>et al.</w:t>
      </w:r>
      <w:r w:rsidRPr="00A1364F">
        <w:rPr>
          <w:rFonts w:cs="Times"/>
          <w:noProof/>
          <w:szCs w:val="24"/>
        </w:rPr>
        <w:t xml:space="preserve"> Global sustainability accounting-developing EXIOBASE for multi-regional footprint analysis. </w:t>
      </w:r>
      <w:r w:rsidRPr="00A1364F">
        <w:rPr>
          <w:rFonts w:cs="Times"/>
          <w:i/>
          <w:iCs/>
          <w:noProof/>
          <w:szCs w:val="24"/>
        </w:rPr>
        <w:t>Sustain.</w:t>
      </w:r>
      <w:r w:rsidRPr="00A1364F">
        <w:rPr>
          <w:rFonts w:cs="Times"/>
          <w:noProof/>
          <w:szCs w:val="24"/>
        </w:rPr>
        <w:t xml:space="preserve"> </w:t>
      </w:r>
      <w:r w:rsidRPr="00A1364F">
        <w:rPr>
          <w:rFonts w:cs="Times"/>
          <w:b/>
          <w:bCs/>
          <w:noProof/>
          <w:szCs w:val="24"/>
        </w:rPr>
        <w:t>7,</w:t>
      </w:r>
      <w:r w:rsidRPr="00A1364F">
        <w:rPr>
          <w:rFonts w:cs="Times"/>
          <w:noProof/>
          <w:szCs w:val="24"/>
        </w:rPr>
        <w:t xml:space="preserve"> 138–163 (2015).</w:t>
      </w:r>
    </w:p>
    <w:p w14:paraId="4FA969BC"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50.</w:t>
      </w:r>
      <w:r w:rsidRPr="00A1364F">
        <w:rPr>
          <w:rFonts w:cs="Times"/>
          <w:noProof/>
          <w:szCs w:val="24"/>
        </w:rPr>
        <w:tab/>
        <w:t xml:space="preserve">Zhang, C. &amp; Anadon, L. D. A multi-regional input-output analysis of domestic virtual water trade and provincial water footprint in China. </w:t>
      </w:r>
      <w:r w:rsidRPr="00A1364F">
        <w:rPr>
          <w:rFonts w:cs="Times"/>
          <w:i/>
          <w:iCs/>
          <w:noProof/>
          <w:szCs w:val="24"/>
        </w:rPr>
        <w:t>Ecol. Econ.</w:t>
      </w:r>
      <w:r w:rsidRPr="00A1364F">
        <w:rPr>
          <w:rFonts w:cs="Times"/>
          <w:noProof/>
          <w:szCs w:val="24"/>
        </w:rPr>
        <w:t xml:space="preserve"> </w:t>
      </w:r>
      <w:r w:rsidRPr="00A1364F">
        <w:rPr>
          <w:rFonts w:cs="Times"/>
          <w:b/>
          <w:bCs/>
          <w:noProof/>
          <w:szCs w:val="24"/>
        </w:rPr>
        <w:t>100,</w:t>
      </w:r>
      <w:r w:rsidRPr="00A1364F">
        <w:rPr>
          <w:rFonts w:cs="Times"/>
          <w:noProof/>
          <w:szCs w:val="24"/>
        </w:rPr>
        <w:t xml:space="preserve"> 159–172 (2014).</w:t>
      </w:r>
    </w:p>
    <w:p w14:paraId="314A43F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51.</w:t>
      </w:r>
      <w:r w:rsidRPr="00A1364F">
        <w:rPr>
          <w:rFonts w:cs="Times"/>
          <w:noProof/>
          <w:szCs w:val="24"/>
        </w:rPr>
        <w:tab/>
        <w:t xml:space="preserve">Simas, M., Wood, R. &amp; Hertwich, E. Labor Embodied in Trade. </w:t>
      </w:r>
      <w:r w:rsidRPr="00A1364F">
        <w:rPr>
          <w:rFonts w:cs="Times"/>
          <w:i/>
          <w:iCs/>
          <w:noProof/>
          <w:szCs w:val="24"/>
        </w:rPr>
        <w:t>J. Ind. Ecol.</w:t>
      </w:r>
      <w:r w:rsidRPr="00A1364F">
        <w:rPr>
          <w:rFonts w:cs="Times"/>
          <w:noProof/>
          <w:szCs w:val="24"/>
        </w:rPr>
        <w:t xml:space="preserve"> </w:t>
      </w:r>
      <w:r w:rsidRPr="00A1364F">
        <w:rPr>
          <w:rFonts w:cs="Times"/>
          <w:b/>
          <w:bCs/>
          <w:noProof/>
          <w:szCs w:val="24"/>
        </w:rPr>
        <w:t>19,</w:t>
      </w:r>
      <w:r w:rsidRPr="00A1364F">
        <w:rPr>
          <w:rFonts w:cs="Times"/>
          <w:noProof/>
          <w:szCs w:val="24"/>
        </w:rPr>
        <w:t xml:space="preserve"> 343–356 (2015).</w:t>
      </w:r>
    </w:p>
    <w:p w14:paraId="091D2495"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52.</w:t>
      </w:r>
      <w:r w:rsidRPr="00A1364F">
        <w:rPr>
          <w:rFonts w:cs="Times"/>
          <w:noProof/>
          <w:szCs w:val="24"/>
        </w:rPr>
        <w:tab/>
        <w:t xml:space="preserve">Turner, K., Lenzen, M., Wiedmann, T. &amp; Barrett, J. Examining the global environmental impact of regional consumption activities - Part 1: A technical note on combining input-output and ecological footprint analysis. </w:t>
      </w:r>
      <w:r w:rsidRPr="00A1364F">
        <w:rPr>
          <w:rFonts w:cs="Times"/>
          <w:i/>
          <w:iCs/>
          <w:noProof/>
          <w:szCs w:val="24"/>
        </w:rPr>
        <w:t>Ecol. Econ.</w:t>
      </w:r>
      <w:r w:rsidRPr="00A1364F">
        <w:rPr>
          <w:rFonts w:cs="Times"/>
          <w:noProof/>
          <w:szCs w:val="24"/>
        </w:rPr>
        <w:t xml:space="preserve"> </w:t>
      </w:r>
      <w:r w:rsidRPr="00A1364F">
        <w:rPr>
          <w:rFonts w:cs="Times"/>
          <w:b/>
          <w:bCs/>
          <w:noProof/>
          <w:szCs w:val="24"/>
        </w:rPr>
        <w:t>62,</w:t>
      </w:r>
      <w:r w:rsidRPr="00A1364F">
        <w:rPr>
          <w:rFonts w:cs="Times"/>
          <w:noProof/>
          <w:szCs w:val="24"/>
        </w:rPr>
        <w:t xml:space="preserve"> 37–44 (2007).</w:t>
      </w:r>
    </w:p>
    <w:p w14:paraId="3E112C2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53.</w:t>
      </w:r>
      <w:r w:rsidRPr="00A1364F">
        <w:rPr>
          <w:rFonts w:cs="Times"/>
          <w:noProof/>
          <w:szCs w:val="24"/>
        </w:rPr>
        <w:tab/>
        <w:t xml:space="preserve">Miller, R. A. &amp; Blair, P. D. </w:t>
      </w:r>
      <w:r w:rsidRPr="00A1364F">
        <w:rPr>
          <w:rFonts w:cs="Times"/>
          <w:i/>
          <w:iCs/>
          <w:noProof/>
          <w:szCs w:val="24"/>
        </w:rPr>
        <w:t>Input-Output Analysis Foundations and Extensions</w:t>
      </w:r>
      <w:r w:rsidRPr="00A1364F">
        <w:rPr>
          <w:rFonts w:cs="Times"/>
          <w:noProof/>
          <w:szCs w:val="24"/>
        </w:rPr>
        <w:t>. (Cambridge University Press, 2009).</w:t>
      </w:r>
    </w:p>
    <w:p w14:paraId="33D81E67"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54.</w:t>
      </w:r>
      <w:r w:rsidRPr="00A1364F">
        <w:rPr>
          <w:rFonts w:cs="Times"/>
          <w:noProof/>
          <w:szCs w:val="24"/>
        </w:rPr>
        <w:tab/>
        <w:t xml:space="preserve">Murray, J. &amp; Wood, R. </w:t>
      </w:r>
      <w:r w:rsidRPr="00A1364F">
        <w:rPr>
          <w:rFonts w:cs="Times"/>
          <w:i/>
          <w:iCs/>
          <w:noProof/>
          <w:szCs w:val="24"/>
        </w:rPr>
        <w:t>The Sustainability Practitioner’s Guide to Input-Output Analysis</w:t>
      </w:r>
      <w:r w:rsidRPr="00A1364F">
        <w:rPr>
          <w:rFonts w:cs="Times"/>
          <w:noProof/>
          <w:szCs w:val="24"/>
        </w:rPr>
        <w:t>. (Common Ground Publishing, 2010).</w:t>
      </w:r>
    </w:p>
    <w:p w14:paraId="0513126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55.</w:t>
      </w:r>
      <w:r w:rsidRPr="00A1364F">
        <w:rPr>
          <w:rFonts w:cs="Times"/>
          <w:noProof/>
          <w:szCs w:val="24"/>
        </w:rPr>
        <w:tab/>
        <w:t xml:space="preserve">Tukker, A. </w:t>
      </w:r>
      <w:r w:rsidRPr="00A1364F">
        <w:rPr>
          <w:rFonts w:cs="Times"/>
          <w:i/>
          <w:iCs/>
          <w:noProof/>
          <w:szCs w:val="24"/>
        </w:rPr>
        <w:t>et al.</w:t>
      </w:r>
      <w:r w:rsidRPr="00A1364F">
        <w:rPr>
          <w:rFonts w:cs="Times"/>
          <w:noProof/>
          <w:szCs w:val="24"/>
        </w:rPr>
        <w:t xml:space="preserve"> Exiopol – Development and Illustrative Analyses of a Detailed Global MR EE SUT/IOT. </w:t>
      </w:r>
      <w:r w:rsidRPr="00A1364F">
        <w:rPr>
          <w:rFonts w:cs="Times"/>
          <w:i/>
          <w:iCs/>
          <w:noProof/>
          <w:szCs w:val="24"/>
        </w:rPr>
        <w:t>Econ. Syst. Res.</w:t>
      </w:r>
      <w:r w:rsidRPr="00A1364F">
        <w:rPr>
          <w:rFonts w:cs="Times"/>
          <w:noProof/>
          <w:szCs w:val="24"/>
        </w:rPr>
        <w:t xml:space="preserve"> </w:t>
      </w:r>
      <w:r w:rsidRPr="00A1364F">
        <w:rPr>
          <w:rFonts w:cs="Times"/>
          <w:b/>
          <w:bCs/>
          <w:noProof/>
          <w:szCs w:val="24"/>
        </w:rPr>
        <w:t>25,</w:t>
      </w:r>
      <w:r w:rsidRPr="00A1364F">
        <w:rPr>
          <w:rFonts w:cs="Times"/>
          <w:noProof/>
          <w:szCs w:val="24"/>
        </w:rPr>
        <w:t xml:space="preserve"> 50–70 (2013).</w:t>
      </w:r>
    </w:p>
    <w:p w14:paraId="47B61A7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56.</w:t>
      </w:r>
      <w:r w:rsidRPr="00A1364F">
        <w:rPr>
          <w:rFonts w:cs="Times"/>
          <w:noProof/>
          <w:szCs w:val="24"/>
        </w:rPr>
        <w:tab/>
        <w:t xml:space="preserve">Stadler, K. </w:t>
      </w:r>
      <w:r w:rsidRPr="00A1364F">
        <w:rPr>
          <w:rFonts w:cs="Times"/>
          <w:i/>
          <w:iCs/>
          <w:noProof/>
          <w:szCs w:val="24"/>
        </w:rPr>
        <w:t>et al.</w:t>
      </w:r>
      <w:r w:rsidRPr="00A1364F">
        <w:rPr>
          <w:rFonts w:cs="Times"/>
          <w:noProof/>
          <w:szCs w:val="24"/>
        </w:rPr>
        <w:t xml:space="preserve"> EXIOBASE 3 Developing a time series of detailed Environmentally Extended Multi-Regional Input-Output tables. </w:t>
      </w:r>
      <w:r w:rsidRPr="00A1364F">
        <w:rPr>
          <w:rFonts w:cs="Times"/>
          <w:i/>
          <w:iCs/>
          <w:noProof/>
          <w:szCs w:val="24"/>
        </w:rPr>
        <w:t>J. Ind. Ecol.</w:t>
      </w:r>
      <w:r w:rsidRPr="00A1364F">
        <w:rPr>
          <w:rFonts w:cs="Times"/>
          <w:noProof/>
          <w:szCs w:val="24"/>
        </w:rPr>
        <w:t xml:space="preserve"> (2018). doi:10.1111/jiec.12715</w:t>
      </w:r>
    </w:p>
    <w:p w14:paraId="302121C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57.</w:t>
      </w:r>
      <w:r w:rsidRPr="00A1364F">
        <w:rPr>
          <w:rFonts w:cs="Times"/>
          <w:noProof/>
          <w:szCs w:val="24"/>
        </w:rPr>
        <w:tab/>
        <w:t xml:space="preserve">Aguiar, A., Narayanan, B. &amp; McDougall, R. An overview of the GTAP 9 data base. </w:t>
      </w:r>
      <w:r w:rsidRPr="00A1364F">
        <w:rPr>
          <w:rFonts w:cs="Times"/>
          <w:i/>
          <w:iCs/>
          <w:noProof/>
          <w:szCs w:val="24"/>
        </w:rPr>
        <w:t>J. Glob. Econ.</w:t>
      </w:r>
      <w:r w:rsidRPr="00A1364F">
        <w:rPr>
          <w:rFonts w:cs="Times"/>
          <w:noProof/>
          <w:szCs w:val="24"/>
        </w:rPr>
        <w:t xml:space="preserve"> (2016).</w:t>
      </w:r>
    </w:p>
    <w:p w14:paraId="021A19D4"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58.</w:t>
      </w:r>
      <w:r w:rsidRPr="00A1364F">
        <w:rPr>
          <w:rFonts w:cs="Times"/>
          <w:noProof/>
          <w:szCs w:val="24"/>
        </w:rPr>
        <w:tab/>
        <w:t xml:space="preserve">Owen, A., Steen-Olsen, K., Barrett, J., Wiedmann, T. &amp; Lenzen, M. A structural decomposition approach to comparing MRIO databases. </w:t>
      </w:r>
      <w:r w:rsidRPr="00A1364F">
        <w:rPr>
          <w:rFonts w:cs="Times"/>
          <w:i/>
          <w:iCs/>
          <w:noProof/>
          <w:szCs w:val="24"/>
        </w:rPr>
        <w:t>Econ. Syst. Res.</w:t>
      </w:r>
      <w:r w:rsidRPr="00A1364F">
        <w:rPr>
          <w:rFonts w:cs="Times"/>
          <w:noProof/>
          <w:szCs w:val="24"/>
        </w:rPr>
        <w:t xml:space="preserve"> </w:t>
      </w:r>
      <w:r w:rsidRPr="00A1364F">
        <w:rPr>
          <w:rFonts w:cs="Times"/>
          <w:b/>
          <w:bCs/>
          <w:noProof/>
          <w:szCs w:val="24"/>
        </w:rPr>
        <w:t>26,</w:t>
      </w:r>
      <w:r w:rsidRPr="00A1364F">
        <w:rPr>
          <w:rFonts w:cs="Times"/>
          <w:noProof/>
          <w:szCs w:val="24"/>
        </w:rPr>
        <w:t xml:space="preserve"> 262–283 </w:t>
      </w:r>
      <w:r w:rsidRPr="00A1364F">
        <w:rPr>
          <w:rFonts w:cs="Times"/>
          <w:noProof/>
          <w:szCs w:val="24"/>
        </w:rPr>
        <w:lastRenderedPageBreak/>
        <w:t>(2014).</w:t>
      </w:r>
    </w:p>
    <w:p w14:paraId="3E5D8C85"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59.</w:t>
      </w:r>
      <w:r w:rsidRPr="00A1364F">
        <w:rPr>
          <w:rFonts w:cs="Times"/>
          <w:noProof/>
          <w:szCs w:val="24"/>
        </w:rPr>
        <w:tab/>
        <w:t xml:space="preserve">Stadler, K., Steen-olsen, K. &amp; Wood, R. The ‘ Rest of the World ’ – Estimating the economic structure of missing regions in global multi- regional input-output tables. </w:t>
      </w:r>
      <w:r w:rsidRPr="00A1364F">
        <w:rPr>
          <w:rFonts w:cs="Times"/>
          <w:i/>
          <w:iCs/>
          <w:noProof/>
          <w:szCs w:val="24"/>
        </w:rPr>
        <w:t>Econ. Syst. Res.</w:t>
      </w:r>
      <w:r w:rsidRPr="00A1364F">
        <w:rPr>
          <w:rFonts w:cs="Times"/>
          <w:noProof/>
          <w:szCs w:val="24"/>
        </w:rPr>
        <w:t xml:space="preserve"> </w:t>
      </w:r>
      <w:r w:rsidRPr="00A1364F">
        <w:rPr>
          <w:rFonts w:cs="Times"/>
          <w:b/>
          <w:bCs/>
          <w:noProof/>
          <w:szCs w:val="24"/>
        </w:rPr>
        <w:t>26,</w:t>
      </w:r>
      <w:r w:rsidRPr="00A1364F">
        <w:rPr>
          <w:rFonts w:cs="Times"/>
          <w:noProof/>
          <w:szCs w:val="24"/>
        </w:rPr>
        <w:t xml:space="preserve"> 303–326 (2014).</w:t>
      </w:r>
    </w:p>
    <w:p w14:paraId="25E48E21"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60.</w:t>
      </w:r>
      <w:r w:rsidRPr="00A1364F">
        <w:rPr>
          <w:rFonts w:cs="Times"/>
          <w:noProof/>
          <w:szCs w:val="24"/>
        </w:rPr>
        <w:tab/>
        <w:t xml:space="preserve">Steen-Olsen, K., Owen, A., Hertwich, E. G. &amp; Lenzen, M. Effects of sector aggregation on CO2 multipliers in multiregional input-output analysis. </w:t>
      </w:r>
      <w:r w:rsidRPr="00A1364F">
        <w:rPr>
          <w:rFonts w:cs="Times"/>
          <w:i/>
          <w:iCs/>
          <w:noProof/>
          <w:szCs w:val="24"/>
        </w:rPr>
        <w:t>Econ. Syst. Res.</w:t>
      </w:r>
      <w:r w:rsidRPr="00A1364F">
        <w:rPr>
          <w:rFonts w:cs="Times"/>
          <w:noProof/>
          <w:szCs w:val="24"/>
        </w:rPr>
        <w:t xml:space="preserve"> 284–302 (2014). doi:10.1080/09535314.2014.934325</w:t>
      </w:r>
    </w:p>
    <w:p w14:paraId="4C2D613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61.</w:t>
      </w:r>
      <w:r w:rsidRPr="00A1364F">
        <w:rPr>
          <w:rFonts w:cs="Times"/>
          <w:noProof/>
          <w:szCs w:val="24"/>
        </w:rPr>
        <w:tab/>
        <w:t xml:space="preserve">Bouwmeester, M. &amp; Oosterhaven, J. Specification and Aggregation Errors in Environmentally Extended Input–Output Models. </w:t>
      </w:r>
      <w:r w:rsidRPr="00A1364F">
        <w:rPr>
          <w:rFonts w:cs="Times"/>
          <w:i/>
          <w:iCs/>
          <w:noProof/>
          <w:szCs w:val="24"/>
        </w:rPr>
        <w:t>Environ. Resour. Econ.</w:t>
      </w:r>
      <w:r w:rsidRPr="00A1364F">
        <w:rPr>
          <w:rFonts w:cs="Times"/>
          <w:noProof/>
          <w:szCs w:val="24"/>
        </w:rPr>
        <w:t xml:space="preserve"> </w:t>
      </w:r>
      <w:r w:rsidRPr="00A1364F">
        <w:rPr>
          <w:rFonts w:cs="Times"/>
          <w:b/>
          <w:bCs/>
          <w:noProof/>
          <w:szCs w:val="24"/>
        </w:rPr>
        <w:t>56,</w:t>
      </w:r>
      <w:r w:rsidRPr="00A1364F">
        <w:rPr>
          <w:rFonts w:cs="Times"/>
          <w:noProof/>
          <w:szCs w:val="24"/>
        </w:rPr>
        <w:t xml:space="preserve"> 307–335 (2013).</w:t>
      </w:r>
    </w:p>
    <w:p w14:paraId="03F7D4B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62.</w:t>
      </w:r>
      <w:r w:rsidRPr="00A1364F">
        <w:rPr>
          <w:rFonts w:cs="Times"/>
          <w:noProof/>
          <w:szCs w:val="24"/>
        </w:rPr>
        <w:tab/>
        <w:t xml:space="preserve">Dietzenbacher, E. &amp; Lahr, M. L. Expanding Extractions. </w:t>
      </w:r>
      <w:r w:rsidRPr="00A1364F">
        <w:rPr>
          <w:rFonts w:cs="Times"/>
          <w:i/>
          <w:iCs/>
          <w:noProof/>
          <w:szCs w:val="24"/>
        </w:rPr>
        <w:t>Econ. Syst. Res.</w:t>
      </w:r>
      <w:r w:rsidRPr="00A1364F">
        <w:rPr>
          <w:rFonts w:cs="Times"/>
          <w:noProof/>
          <w:szCs w:val="24"/>
        </w:rPr>
        <w:t xml:space="preserve"> </w:t>
      </w:r>
      <w:r w:rsidRPr="00A1364F">
        <w:rPr>
          <w:rFonts w:cs="Times"/>
          <w:b/>
          <w:bCs/>
          <w:noProof/>
          <w:szCs w:val="24"/>
        </w:rPr>
        <w:t>25,</w:t>
      </w:r>
      <w:r w:rsidRPr="00A1364F">
        <w:rPr>
          <w:rFonts w:cs="Times"/>
          <w:noProof/>
          <w:szCs w:val="24"/>
        </w:rPr>
        <w:t xml:space="preserve"> 341–360 (2013).</w:t>
      </w:r>
    </w:p>
    <w:p w14:paraId="55A89133"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63.</w:t>
      </w:r>
      <w:r w:rsidRPr="00A1364F">
        <w:rPr>
          <w:rFonts w:cs="Times"/>
          <w:noProof/>
          <w:szCs w:val="24"/>
        </w:rPr>
        <w:tab/>
        <w:t>Merciai, S. &amp; Schmidt, J. H. Physical/Hybrid supply and use tables. Methodological report. EU FP7 DESIRE project. 1–91 (2016).</w:t>
      </w:r>
    </w:p>
    <w:p w14:paraId="3ED7431E"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64.</w:t>
      </w:r>
      <w:r w:rsidRPr="00A1364F">
        <w:rPr>
          <w:rFonts w:cs="Times"/>
          <w:noProof/>
          <w:szCs w:val="24"/>
        </w:rPr>
        <w:tab/>
        <w:t xml:space="preserve">Food and Agricultural organization of the United Nations (FAO). Statistics at FAO. </w:t>
      </w:r>
      <w:r w:rsidRPr="00A1364F">
        <w:rPr>
          <w:rFonts w:cs="Times"/>
          <w:b/>
          <w:bCs/>
          <w:noProof/>
          <w:szCs w:val="24"/>
        </w:rPr>
        <w:t>2015,</w:t>
      </w:r>
      <w:r w:rsidRPr="00A1364F">
        <w:rPr>
          <w:rFonts w:cs="Times"/>
          <w:noProof/>
          <w:szCs w:val="24"/>
        </w:rPr>
        <w:t xml:space="preserve"> (2016).</w:t>
      </w:r>
    </w:p>
    <w:p w14:paraId="6336BDD2"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65.</w:t>
      </w:r>
      <w:r w:rsidRPr="00A1364F">
        <w:rPr>
          <w:rFonts w:cs="Times"/>
          <w:noProof/>
          <w:szCs w:val="24"/>
        </w:rPr>
        <w:tab/>
        <w:t>IFA. Statistical Database of International Fertilizer Industry Association. (2015). Available at: http://www.fertilizer.org/Statistics. (Accessed: 15th March 2015)</w:t>
      </w:r>
    </w:p>
    <w:p w14:paraId="461D1F05"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66.</w:t>
      </w:r>
      <w:r w:rsidRPr="00A1364F">
        <w:rPr>
          <w:rFonts w:cs="Times"/>
          <w:noProof/>
          <w:szCs w:val="24"/>
        </w:rPr>
        <w:tab/>
        <w:t>FAO. Fertilizer use by crop - Food and Agriculture Organization of the United Nations. Fertilizer and Plant Nutrition Bulletin 17. (2006).</w:t>
      </w:r>
    </w:p>
    <w:p w14:paraId="663BD4B6"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67.</w:t>
      </w:r>
      <w:r w:rsidRPr="00A1364F">
        <w:rPr>
          <w:rFonts w:cs="Times"/>
          <w:noProof/>
          <w:szCs w:val="24"/>
        </w:rPr>
        <w:tab/>
        <w:t>Heffer, P. Assessment of Fertilizer Use by Crop at the Global Level 2010 - 2010/2011. 0–9 (2013). Available at: www.fertilizer.org/ifa/Home-Page/LIBRARY/Publication-database. (Accessed: 14th April 2015)</w:t>
      </w:r>
    </w:p>
    <w:p w14:paraId="205C386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68.</w:t>
      </w:r>
      <w:r w:rsidRPr="00A1364F">
        <w:rPr>
          <w:rFonts w:cs="Times"/>
          <w:noProof/>
          <w:szCs w:val="24"/>
        </w:rPr>
        <w:tab/>
        <w:t xml:space="preserve">Kuenen, J., Fernández, J. A., Usubiaga, A. &amp; Wittmer, D. </w:t>
      </w:r>
      <w:r w:rsidRPr="00A1364F">
        <w:rPr>
          <w:rFonts w:cs="Times"/>
          <w:i/>
          <w:iCs/>
          <w:noProof/>
          <w:szCs w:val="24"/>
        </w:rPr>
        <w:t>Report on Update EXIOPOL Emissions Database</w:t>
      </w:r>
      <w:r w:rsidRPr="00A1364F">
        <w:rPr>
          <w:rFonts w:cs="Times"/>
          <w:noProof/>
          <w:szCs w:val="24"/>
        </w:rPr>
        <w:t xml:space="preserve">. </w:t>
      </w:r>
      <w:r w:rsidRPr="00A1364F">
        <w:rPr>
          <w:rFonts w:cs="Times"/>
          <w:i/>
          <w:iCs/>
          <w:noProof/>
          <w:szCs w:val="24"/>
        </w:rPr>
        <w:t>Compiling and Refining Environmental and Economic Accounts (CREEA)</w:t>
      </w:r>
      <w:r w:rsidRPr="00A1364F">
        <w:rPr>
          <w:rFonts w:cs="Times"/>
          <w:noProof/>
          <w:szCs w:val="24"/>
        </w:rPr>
        <w:t xml:space="preserve"> (European Union , 2013).</w:t>
      </w:r>
    </w:p>
    <w:p w14:paraId="0CECFC6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69.</w:t>
      </w:r>
      <w:r w:rsidRPr="00A1364F">
        <w:rPr>
          <w:rFonts w:cs="Times"/>
          <w:noProof/>
          <w:szCs w:val="24"/>
        </w:rPr>
        <w:tab/>
        <w:t xml:space="preserve">Moeller, J. </w:t>
      </w:r>
      <w:r w:rsidRPr="00A1364F">
        <w:rPr>
          <w:rFonts w:cs="Times"/>
          <w:i/>
          <w:iCs/>
          <w:noProof/>
          <w:szCs w:val="24"/>
        </w:rPr>
        <w:t>et al.</w:t>
      </w:r>
      <w:r w:rsidRPr="00A1364F">
        <w:rPr>
          <w:rFonts w:cs="Times"/>
          <w:noProof/>
          <w:szCs w:val="24"/>
        </w:rPr>
        <w:t xml:space="preserve"> </w:t>
      </w:r>
      <w:r w:rsidRPr="00A1364F">
        <w:rPr>
          <w:rFonts w:cs="Times"/>
          <w:i/>
          <w:iCs/>
          <w:noProof/>
          <w:szCs w:val="24"/>
        </w:rPr>
        <w:t>Fodermiddeltabel 2005: sammensætning og foderværdi af fodermidler til kvæg [English: Feed property table 2005: Composition and value of feed materials for cattle]</w:t>
      </w:r>
      <w:r w:rsidRPr="00A1364F">
        <w:rPr>
          <w:rFonts w:cs="Times"/>
          <w:noProof/>
          <w:szCs w:val="24"/>
        </w:rPr>
        <w:t>. (2005).</w:t>
      </w:r>
    </w:p>
    <w:p w14:paraId="7A9A9563"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70.</w:t>
      </w:r>
      <w:r w:rsidRPr="00A1364F">
        <w:rPr>
          <w:rFonts w:cs="Times"/>
          <w:noProof/>
          <w:szCs w:val="24"/>
        </w:rPr>
        <w:tab/>
        <w:t xml:space="preserve">IPCC. </w:t>
      </w:r>
      <w:r w:rsidRPr="00A1364F">
        <w:rPr>
          <w:rFonts w:cs="Times"/>
          <w:i/>
          <w:iCs/>
          <w:noProof/>
          <w:szCs w:val="24"/>
        </w:rPr>
        <w:t>Chapter 11: N2O Emissions From Managed Soils, and CO2 Emissions From Lime and Urea application</w:t>
      </w:r>
      <w:r w:rsidRPr="00A1364F">
        <w:rPr>
          <w:rFonts w:cs="Times"/>
          <w:noProof/>
          <w:szCs w:val="24"/>
        </w:rPr>
        <w:t xml:space="preserve">. </w:t>
      </w:r>
      <w:r w:rsidRPr="00A1364F">
        <w:rPr>
          <w:rFonts w:cs="Times"/>
          <w:i/>
          <w:iCs/>
          <w:noProof/>
          <w:szCs w:val="24"/>
        </w:rPr>
        <w:t>IPCC Guidelines for National Greenhouse Gas Inventories</w:t>
      </w:r>
      <w:r w:rsidRPr="00A1364F">
        <w:rPr>
          <w:rFonts w:cs="Times"/>
          <w:noProof/>
          <w:szCs w:val="24"/>
        </w:rPr>
        <w:t xml:space="preserve"> (2006).</w:t>
      </w:r>
    </w:p>
    <w:p w14:paraId="1761DEBE"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71.</w:t>
      </w:r>
      <w:r w:rsidRPr="00A1364F">
        <w:rPr>
          <w:rFonts w:cs="Times"/>
          <w:noProof/>
          <w:szCs w:val="24"/>
        </w:rPr>
        <w:tab/>
        <w:t xml:space="preserve">DTU. </w:t>
      </w:r>
      <w:r w:rsidRPr="00A1364F">
        <w:rPr>
          <w:rFonts w:cs="Times"/>
          <w:i/>
          <w:iCs/>
          <w:noProof/>
          <w:szCs w:val="24"/>
        </w:rPr>
        <w:t>Fridata Fooddata Version 2</w:t>
      </w:r>
      <w:r w:rsidRPr="00A1364F">
        <w:rPr>
          <w:rFonts w:cs="Times"/>
          <w:noProof/>
          <w:szCs w:val="24"/>
        </w:rPr>
        <w:t>. (http://frida.fooddata.dk/, Accessed May 2017, 2016).</w:t>
      </w:r>
    </w:p>
    <w:p w14:paraId="20AAE888"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72.</w:t>
      </w:r>
      <w:r w:rsidRPr="00A1364F">
        <w:rPr>
          <w:rFonts w:cs="Times"/>
          <w:noProof/>
          <w:szCs w:val="24"/>
        </w:rPr>
        <w:tab/>
        <w:t xml:space="preserve">Ketterings, Q. &amp; Czymmek, K. </w:t>
      </w:r>
      <w:r w:rsidRPr="00A1364F">
        <w:rPr>
          <w:rFonts w:cs="Times"/>
          <w:i/>
          <w:iCs/>
          <w:noProof/>
          <w:szCs w:val="24"/>
        </w:rPr>
        <w:t>Agronomy Fact Sheet 28: Removal of Phosphorus by Field Crops</w:t>
      </w:r>
      <w:r w:rsidRPr="00A1364F">
        <w:rPr>
          <w:rFonts w:cs="Times"/>
          <w:noProof/>
          <w:szCs w:val="24"/>
        </w:rPr>
        <w:t>. (2007).</w:t>
      </w:r>
    </w:p>
    <w:p w14:paraId="57A76426"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73.</w:t>
      </w:r>
      <w:r w:rsidRPr="00A1364F">
        <w:rPr>
          <w:rFonts w:cs="Times"/>
          <w:noProof/>
          <w:szCs w:val="24"/>
        </w:rPr>
        <w:tab/>
        <w:t xml:space="preserve">Bouwman, A. F., Beusen, A. H. W. &amp; Billen, G. Human alteration of the global nitrogen and phosphorus soil balances for the period 1970-2050. </w:t>
      </w:r>
      <w:r w:rsidRPr="00A1364F">
        <w:rPr>
          <w:rFonts w:cs="Times"/>
          <w:i/>
          <w:iCs/>
          <w:noProof/>
          <w:szCs w:val="24"/>
        </w:rPr>
        <w:t>Global Biogeochem. Cycles</w:t>
      </w:r>
      <w:r w:rsidRPr="00A1364F">
        <w:rPr>
          <w:rFonts w:cs="Times"/>
          <w:noProof/>
          <w:szCs w:val="24"/>
        </w:rPr>
        <w:t xml:space="preserve"> </w:t>
      </w:r>
      <w:r w:rsidRPr="00A1364F">
        <w:rPr>
          <w:rFonts w:cs="Times"/>
          <w:b/>
          <w:bCs/>
          <w:noProof/>
          <w:szCs w:val="24"/>
        </w:rPr>
        <w:t>23,</w:t>
      </w:r>
      <w:r w:rsidRPr="00A1364F">
        <w:rPr>
          <w:rFonts w:cs="Times"/>
          <w:noProof/>
          <w:szCs w:val="24"/>
        </w:rPr>
        <w:t xml:space="preserve"> (2009).</w:t>
      </w:r>
    </w:p>
    <w:p w14:paraId="4BB9EF3A"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lastRenderedPageBreak/>
        <w:t>74.</w:t>
      </w:r>
      <w:r w:rsidRPr="00A1364F">
        <w:rPr>
          <w:rFonts w:cs="Times"/>
          <w:noProof/>
          <w:szCs w:val="24"/>
        </w:rPr>
        <w:tab/>
        <w:t xml:space="preserve">Bennett, E. M., Carpenter, S. R. &amp; Caraco, N. F. Human Impact on Erodable Phosphorus and Eutrophication: A Global Perspective. </w:t>
      </w:r>
      <w:r w:rsidRPr="00A1364F">
        <w:rPr>
          <w:rFonts w:cs="Times"/>
          <w:i/>
          <w:iCs/>
          <w:noProof/>
          <w:szCs w:val="24"/>
        </w:rPr>
        <w:t>Bioscience</w:t>
      </w:r>
      <w:r w:rsidRPr="00A1364F">
        <w:rPr>
          <w:rFonts w:cs="Times"/>
          <w:noProof/>
          <w:szCs w:val="24"/>
        </w:rPr>
        <w:t xml:space="preserve"> </w:t>
      </w:r>
      <w:r w:rsidRPr="00A1364F">
        <w:rPr>
          <w:rFonts w:cs="Times"/>
          <w:b/>
          <w:bCs/>
          <w:noProof/>
          <w:szCs w:val="24"/>
        </w:rPr>
        <w:t>51,</w:t>
      </w:r>
      <w:r w:rsidRPr="00A1364F">
        <w:rPr>
          <w:rFonts w:cs="Times"/>
          <w:noProof/>
          <w:szCs w:val="24"/>
        </w:rPr>
        <w:t xml:space="preserve"> 227 (2001).</w:t>
      </w:r>
    </w:p>
    <w:p w14:paraId="371B73B7"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75.</w:t>
      </w:r>
      <w:r w:rsidRPr="00A1364F">
        <w:rPr>
          <w:rFonts w:cs="Times"/>
          <w:noProof/>
          <w:szCs w:val="24"/>
        </w:rPr>
        <w:tab/>
        <w:t xml:space="preserve">Cosme, N., Koski, M. &amp; Hauschild, M. Z. Exposure factors for marine eutrophication impacts assessment based on a mechanistic biological model. </w:t>
      </w:r>
      <w:r w:rsidRPr="00A1364F">
        <w:rPr>
          <w:rFonts w:cs="Times"/>
          <w:i/>
          <w:iCs/>
          <w:noProof/>
          <w:szCs w:val="24"/>
        </w:rPr>
        <w:t>Ecol. Modell.</w:t>
      </w:r>
      <w:r w:rsidRPr="00A1364F">
        <w:rPr>
          <w:rFonts w:cs="Times"/>
          <w:noProof/>
          <w:szCs w:val="24"/>
        </w:rPr>
        <w:t xml:space="preserve"> </w:t>
      </w:r>
      <w:r w:rsidRPr="00A1364F">
        <w:rPr>
          <w:rFonts w:cs="Times"/>
          <w:b/>
          <w:bCs/>
          <w:noProof/>
          <w:szCs w:val="24"/>
        </w:rPr>
        <w:t>317,</w:t>
      </w:r>
      <w:r w:rsidRPr="00A1364F">
        <w:rPr>
          <w:rFonts w:cs="Times"/>
          <w:noProof/>
          <w:szCs w:val="24"/>
        </w:rPr>
        <w:t xml:space="preserve"> 50–63 (2015).</w:t>
      </w:r>
    </w:p>
    <w:p w14:paraId="3332FFAF"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76.</w:t>
      </w:r>
      <w:r w:rsidRPr="00A1364F">
        <w:rPr>
          <w:rFonts w:cs="Times"/>
          <w:noProof/>
          <w:szCs w:val="24"/>
        </w:rPr>
        <w:tab/>
        <w:t xml:space="preserve">Cosme, N., Mayorga, E. &amp; Hauschild, M. Z. Spatially explicit fate factors of waterborne nitrogen emissions at the global scale. </w:t>
      </w:r>
      <w:r w:rsidRPr="00A1364F">
        <w:rPr>
          <w:rFonts w:cs="Times"/>
          <w:i/>
          <w:iCs/>
          <w:noProof/>
          <w:szCs w:val="24"/>
        </w:rPr>
        <w:t>Int. J. Life Cycle Assess.</w:t>
      </w:r>
      <w:r w:rsidRPr="00A1364F">
        <w:rPr>
          <w:rFonts w:cs="Times"/>
          <w:noProof/>
          <w:szCs w:val="24"/>
        </w:rPr>
        <w:t xml:space="preserve"> 1–11 (2017). doi:10.1007/s11367-017-1349-0</w:t>
      </w:r>
    </w:p>
    <w:p w14:paraId="4687AC00"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77.</w:t>
      </w:r>
      <w:r w:rsidRPr="00A1364F">
        <w:rPr>
          <w:rFonts w:cs="Times"/>
          <w:noProof/>
          <w:szCs w:val="24"/>
        </w:rPr>
        <w:tab/>
        <w:t xml:space="preserve">Roy, P. O., Huijbregts, M., Deschênes, L. &amp; Margni, M. Spatially-differentiated atmospheric source-receptor relationships for nitrogen oxides, sulfur oxides and ammonia emissions at the global scale for life cycle impact assessment. </w:t>
      </w:r>
      <w:r w:rsidRPr="00A1364F">
        <w:rPr>
          <w:rFonts w:cs="Times"/>
          <w:i/>
          <w:iCs/>
          <w:noProof/>
          <w:szCs w:val="24"/>
        </w:rPr>
        <w:t>Atmos. Environ.</w:t>
      </w:r>
      <w:r w:rsidRPr="00A1364F">
        <w:rPr>
          <w:rFonts w:cs="Times"/>
          <w:noProof/>
          <w:szCs w:val="24"/>
        </w:rPr>
        <w:t xml:space="preserve"> </w:t>
      </w:r>
      <w:r w:rsidRPr="00A1364F">
        <w:rPr>
          <w:rFonts w:cs="Times"/>
          <w:b/>
          <w:bCs/>
          <w:noProof/>
          <w:szCs w:val="24"/>
        </w:rPr>
        <w:t>62,</w:t>
      </w:r>
      <w:r w:rsidRPr="00A1364F">
        <w:rPr>
          <w:rFonts w:cs="Times"/>
          <w:noProof/>
          <w:szCs w:val="24"/>
        </w:rPr>
        <w:t xml:space="preserve"> 74–81 (2012).</w:t>
      </w:r>
    </w:p>
    <w:p w14:paraId="5DDE4428"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78.</w:t>
      </w:r>
      <w:r w:rsidRPr="00A1364F">
        <w:rPr>
          <w:rFonts w:cs="Times"/>
          <w:noProof/>
          <w:szCs w:val="24"/>
        </w:rPr>
        <w:tab/>
        <w:t xml:space="preserve">Steinberger, J. K., Krausmann, F., Getzner, M., Schandl, H. &amp; West, J. Development and Dematerialization: An International Study. </w:t>
      </w:r>
      <w:r w:rsidRPr="00A1364F">
        <w:rPr>
          <w:rFonts w:cs="Times"/>
          <w:i/>
          <w:iCs/>
          <w:noProof/>
          <w:szCs w:val="24"/>
        </w:rPr>
        <w:t>PLoS One</w:t>
      </w:r>
      <w:r w:rsidRPr="00A1364F">
        <w:rPr>
          <w:rFonts w:cs="Times"/>
          <w:noProof/>
          <w:szCs w:val="24"/>
        </w:rPr>
        <w:t xml:space="preserve"> </w:t>
      </w:r>
      <w:r w:rsidRPr="00A1364F">
        <w:rPr>
          <w:rFonts w:cs="Times"/>
          <w:b/>
          <w:bCs/>
          <w:noProof/>
          <w:szCs w:val="24"/>
        </w:rPr>
        <w:t>8,</w:t>
      </w:r>
      <w:r w:rsidRPr="00A1364F">
        <w:rPr>
          <w:rFonts w:cs="Times"/>
          <w:noProof/>
          <w:szCs w:val="24"/>
        </w:rPr>
        <w:t xml:space="preserve"> (2013).</w:t>
      </w:r>
    </w:p>
    <w:p w14:paraId="32E9894D"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79.</w:t>
      </w:r>
      <w:r w:rsidRPr="00A1364F">
        <w:rPr>
          <w:rFonts w:cs="Times"/>
          <w:noProof/>
          <w:szCs w:val="24"/>
        </w:rPr>
        <w:tab/>
        <w:t xml:space="preserve">Liao, H. &amp; Cao, H. S. How does carbon dioxide emission change with the economic development? Statistical experiences from 132 countries. </w:t>
      </w:r>
      <w:r w:rsidRPr="00A1364F">
        <w:rPr>
          <w:rFonts w:cs="Times"/>
          <w:i/>
          <w:iCs/>
          <w:noProof/>
          <w:szCs w:val="24"/>
        </w:rPr>
        <w:t>Glob. Environ. Chang.</w:t>
      </w:r>
      <w:r w:rsidRPr="00A1364F">
        <w:rPr>
          <w:rFonts w:cs="Times"/>
          <w:noProof/>
          <w:szCs w:val="24"/>
        </w:rPr>
        <w:t xml:space="preserve"> </w:t>
      </w:r>
      <w:r w:rsidRPr="00A1364F">
        <w:rPr>
          <w:rFonts w:cs="Times"/>
          <w:b/>
          <w:bCs/>
          <w:noProof/>
          <w:szCs w:val="24"/>
        </w:rPr>
        <w:t>23,</w:t>
      </w:r>
      <w:r w:rsidRPr="00A1364F">
        <w:rPr>
          <w:rFonts w:cs="Times"/>
          <w:noProof/>
          <w:szCs w:val="24"/>
        </w:rPr>
        <w:t xml:space="preserve"> 1073–1082 (2013).</w:t>
      </w:r>
    </w:p>
    <w:p w14:paraId="44450F7C"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80.</w:t>
      </w:r>
      <w:r w:rsidRPr="00A1364F">
        <w:rPr>
          <w:rFonts w:cs="Times"/>
          <w:noProof/>
          <w:szCs w:val="24"/>
        </w:rPr>
        <w:tab/>
        <w:t xml:space="preserve">Wiedenhofer, D. </w:t>
      </w:r>
      <w:r w:rsidRPr="00A1364F">
        <w:rPr>
          <w:rFonts w:cs="Times"/>
          <w:i/>
          <w:iCs/>
          <w:noProof/>
          <w:szCs w:val="24"/>
        </w:rPr>
        <w:t>et al.</w:t>
      </w:r>
      <w:r w:rsidRPr="00A1364F">
        <w:rPr>
          <w:rFonts w:cs="Times"/>
          <w:noProof/>
          <w:szCs w:val="24"/>
        </w:rPr>
        <w:t xml:space="preserve"> Unequal household carbon footprints in China. </w:t>
      </w:r>
      <w:r w:rsidRPr="00A1364F">
        <w:rPr>
          <w:rFonts w:cs="Times"/>
          <w:i/>
          <w:iCs/>
          <w:noProof/>
          <w:szCs w:val="24"/>
        </w:rPr>
        <w:t>Nat. Clim. Chang.</w:t>
      </w:r>
      <w:r w:rsidRPr="00A1364F">
        <w:rPr>
          <w:rFonts w:cs="Times"/>
          <w:noProof/>
          <w:szCs w:val="24"/>
        </w:rPr>
        <w:t xml:space="preserve"> </w:t>
      </w:r>
      <w:r w:rsidRPr="00A1364F">
        <w:rPr>
          <w:rFonts w:cs="Times"/>
          <w:b/>
          <w:bCs/>
          <w:noProof/>
          <w:szCs w:val="24"/>
        </w:rPr>
        <w:t>7,</w:t>
      </w:r>
      <w:r w:rsidRPr="00A1364F">
        <w:rPr>
          <w:rFonts w:cs="Times"/>
          <w:noProof/>
          <w:szCs w:val="24"/>
        </w:rPr>
        <w:t xml:space="preserve"> (2016).</w:t>
      </w:r>
    </w:p>
    <w:p w14:paraId="286FF0F3"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81.</w:t>
      </w:r>
      <w:r w:rsidRPr="00A1364F">
        <w:rPr>
          <w:rFonts w:cs="Times"/>
          <w:noProof/>
          <w:szCs w:val="24"/>
        </w:rPr>
        <w:tab/>
        <w:t xml:space="preserve">Weinzettel, J., Hertwich, E. G., Peters, G. P., Steen-Olsen, K. &amp; Galli, A. Affluence drives the global displacement of land use. </w:t>
      </w:r>
      <w:r w:rsidRPr="00A1364F">
        <w:rPr>
          <w:rFonts w:cs="Times"/>
          <w:i/>
          <w:iCs/>
          <w:noProof/>
          <w:szCs w:val="24"/>
        </w:rPr>
        <w:t>Glob. Environ. Chang.</w:t>
      </w:r>
      <w:r w:rsidRPr="00A1364F">
        <w:rPr>
          <w:rFonts w:cs="Times"/>
          <w:noProof/>
          <w:szCs w:val="24"/>
        </w:rPr>
        <w:t xml:space="preserve"> </w:t>
      </w:r>
      <w:r w:rsidRPr="00A1364F">
        <w:rPr>
          <w:rFonts w:cs="Times"/>
          <w:b/>
          <w:bCs/>
          <w:noProof/>
          <w:szCs w:val="24"/>
        </w:rPr>
        <w:t>23,</w:t>
      </w:r>
      <w:r w:rsidRPr="00A1364F">
        <w:rPr>
          <w:rFonts w:cs="Times"/>
          <w:noProof/>
          <w:szCs w:val="24"/>
        </w:rPr>
        <w:t xml:space="preserve"> 433–438 (2013).</w:t>
      </w:r>
    </w:p>
    <w:p w14:paraId="697B5924" w14:textId="77777777" w:rsidR="00A1364F" w:rsidRPr="00A1364F" w:rsidRDefault="00A1364F" w:rsidP="00A1364F">
      <w:pPr>
        <w:widowControl w:val="0"/>
        <w:autoSpaceDE w:val="0"/>
        <w:autoSpaceDN w:val="0"/>
        <w:adjustRightInd w:val="0"/>
        <w:ind w:left="640" w:hanging="640"/>
        <w:rPr>
          <w:rFonts w:cs="Times"/>
          <w:noProof/>
          <w:szCs w:val="24"/>
        </w:rPr>
      </w:pPr>
      <w:r w:rsidRPr="00A1364F">
        <w:rPr>
          <w:rFonts w:cs="Times"/>
          <w:noProof/>
          <w:szCs w:val="24"/>
        </w:rPr>
        <w:t>82.</w:t>
      </w:r>
      <w:r w:rsidRPr="00A1364F">
        <w:rPr>
          <w:rFonts w:cs="Times"/>
          <w:noProof/>
          <w:szCs w:val="24"/>
        </w:rPr>
        <w:tab/>
        <w:t xml:space="preserve">Wiedmann, T. O. </w:t>
      </w:r>
      <w:r w:rsidRPr="00A1364F">
        <w:rPr>
          <w:rFonts w:cs="Times"/>
          <w:i/>
          <w:iCs/>
          <w:noProof/>
          <w:szCs w:val="24"/>
        </w:rPr>
        <w:t>et al.</w:t>
      </w:r>
      <w:r w:rsidRPr="00A1364F">
        <w:rPr>
          <w:rFonts w:cs="Times"/>
          <w:noProof/>
          <w:szCs w:val="24"/>
        </w:rPr>
        <w:t xml:space="preserve"> The material footprint of nations. </w:t>
      </w:r>
      <w:r w:rsidRPr="00A1364F">
        <w:rPr>
          <w:rFonts w:cs="Times"/>
          <w:i/>
          <w:iCs/>
          <w:noProof/>
          <w:szCs w:val="24"/>
        </w:rPr>
        <w:t>Proc. Natl. Acad. Sci. U. S. A.</w:t>
      </w:r>
      <w:r w:rsidRPr="00A1364F">
        <w:rPr>
          <w:rFonts w:cs="Times"/>
          <w:noProof/>
          <w:szCs w:val="24"/>
        </w:rPr>
        <w:t xml:space="preserve"> 1–6 (2013). doi:10.1073/pnas.1220362110</w:t>
      </w:r>
    </w:p>
    <w:p w14:paraId="3C17A321" w14:textId="77777777" w:rsidR="00A1364F" w:rsidRPr="00A1364F" w:rsidRDefault="00A1364F" w:rsidP="00A1364F">
      <w:pPr>
        <w:widowControl w:val="0"/>
        <w:autoSpaceDE w:val="0"/>
        <w:autoSpaceDN w:val="0"/>
        <w:adjustRightInd w:val="0"/>
        <w:ind w:left="640" w:hanging="640"/>
        <w:rPr>
          <w:rFonts w:cs="Times"/>
          <w:noProof/>
        </w:rPr>
      </w:pPr>
      <w:r w:rsidRPr="00A1364F">
        <w:rPr>
          <w:rFonts w:cs="Times"/>
          <w:noProof/>
          <w:szCs w:val="24"/>
        </w:rPr>
        <w:t>83.</w:t>
      </w:r>
      <w:r w:rsidRPr="00A1364F">
        <w:rPr>
          <w:rFonts w:cs="Times"/>
          <w:noProof/>
          <w:szCs w:val="24"/>
        </w:rPr>
        <w:tab/>
        <w:t xml:space="preserve">Wiedenhofer, D., Lenzen, M. &amp; Steinberger, J. K. Energy requirements of consumption: Urban form, climatic and socio-economic factors, rebounds and their policy implications. </w:t>
      </w:r>
      <w:r w:rsidRPr="00A1364F">
        <w:rPr>
          <w:rFonts w:cs="Times"/>
          <w:i/>
          <w:iCs/>
          <w:noProof/>
          <w:szCs w:val="24"/>
        </w:rPr>
        <w:t>Energy Policy</w:t>
      </w:r>
      <w:r w:rsidRPr="00A1364F">
        <w:rPr>
          <w:rFonts w:cs="Times"/>
          <w:noProof/>
          <w:szCs w:val="24"/>
        </w:rPr>
        <w:t xml:space="preserve"> </w:t>
      </w:r>
      <w:r w:rsidRPr="00A1364F">
        <w:rPr>
          <w:rFonts w:cs="Times"/>
          <w:b/>
          <w:bCs/>
          <w:noProof/>
          <w:szCs w:val="24"/>
        </w:rPr>
        <w:t>63,</w:t>
      </w:r>
      <w:r w:rsidRPr="00A1364F">
        <w:rPr>
          <w:rFonts w:cs="Times"/>
          <w:noProof/>
          <w:szCs w:val="24"/>
        </w:rPr>
        <w:t xml:space="preserve"> 696–707 (2013).</w:t>
      </w:r>
    </w:p>
    <w:p w14:paraId="5459C688" w14:textId="20C8B86D" w:rsidR="0044545D" w:rsidRPr="001273D4" w:rsidRDefault="001273D4" w:rsidP="001273D4">
      <w:r>
        <w:fldChar w:fldCharType="end"/>
      </w:r>
    </w:p>
    <w:sectPr w:rsidR="0044545D" w:rsidRPr="001273D4" w:rsidSect="00B018A6">
      <w:headerReference w:type="even" r:id="rId27"/>
      <w:headerReference w:type="default" r:id="rId28"/>
      <w:footerReference w:type="even" r:id="rId29"/>
      <w:footerReference w:type="default" r:id="rId30"/>
      <w:headerReference w:type="first" r:id="rId31"/>
      <w:footerReference w:type="first" r:id="rId3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B146" w14:textId="77777777" w:rsidR="00ED4164" w:rsidRDefault="00ED4164" w:rsidP="007C4522">
      <w:pPr>
        <w:spacing w:after="0"/>
      </w:pPr>
      <w:r>
        <w:separator/>
      </w:r>
    </w:p>
  </w:endnote>
  <w:endnote w:type="continuationSeparator" w:id="0">
    <w:p w14:paraId="17024CD6" w14:textId="77777777" w:rsidR="00ED4164" w:rsidRDefault="00ED4164" w:rsidP="007C45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no Pro">
    <w:altName w:val="Constant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ff7">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4DBA" w14:textId="77777777" w:rsidR="00067C27" w:rsidRDefault="00067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E1ACF0" w14:textId="77777777" w:rsidR="00067C27" w:rsidRDefault="00067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3889"/>
      <w:docPartObj>
        <w:docPartGallery w:val="Page Numbers (Bottom of Page)"/>
        <w:docPartUnique/>
      </w:docPartObj>
    </w:sdtPr>
    <w:sdtEndPr>
      <w:rPr>
        <w:noProof/>
      </w:rPr>
    </w:sdtEndPr>
    <w:sdtContent>
      <w:p w14:paraId="3857C608" w14:textId="56349A60" w:rsidR="00067C27" w:rsidRDefault="00067C27">
        <w:pPr>
          <w:pStyle w:val="Footer"/>
          <w:jc w:val="right"/>
        </w:pPr>
        <w:r>
          <w:fldChar w:fldCharType="begin"/>
        </w:r>
        <w:r>
          <w:instrText xml:space="preserve"> PAGE   \* MERGEFORMAT </w:instrText>
        </w:r>
        <w:r>
          <w:fldChar w:fldCharType="separate"/>
        </w:r>
        <w:r w:rsidR="005812C3">
          <w:rPr>
            <w:noProof/>
          </w:rPr>
          <w:t>1</w:t>
        </w:r>
        <w:r>
          <w:rPr>
            <w:noProof/>
          </w:rPr>
          <w:fldChar w:fldCharType="end"/>
        </w:r>
      </w:p>
    </w:sdtContent>
  </w:sdt>
  <w:p w14:paraId="22BFE0DA" w14:textId="77777777" w:rsidR="00067C27" w:rsidRDefault="00067C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7B3D" w14:textId="77777777" w:rsidR="00067C27" w:rsidRDefault="00067C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66355"/>
      <w:docPartObj>
        <w:docPartGallery w:val="Page Numbers (Bottom of Page)"/>
        <w:docPartUnique/>
      </w:docPartObj>
    </w:sdtPr>
    <w:sdtEndPr>
      <w:rPr>
        <w:noProof/>
      </w:rPr>
    </w:sdtEndPr>
    <w:sdtContent>
      <w:p w14:paraId="6F0917A5" w14:textId="4D817C7C" w:rsidR="00067C27" w:rsidRDefault="00067C27">
        <w:pPr>
          <w:pStyle w:val="Footer"/>
          <w:jc w:val="right"/>
        </w:pPr>
        <w:r>
          <w:fldChar w:fldCharType="begin"/>
        </w:r>
        <w:r w:rsidRPr="003A5598">
          <w:instrText xml:space="preserve"> PAGE   \* MERGEFORMAT </w:instrText>
        </w:r>
        <w:r>
          <w:fldChar w:fldCharType="separate"/>
        </w:r>
        <w:r w:rsidR="005812C3">
          <w:rPr>
            <w:noProof/>
          </w:rPr>
          <w:t>8</w:t>
        </w:r>
        <w:r>
          <w:rPr>
            <w:noProof/>
          </w:rPr>
          <w:fldChar w:fldCharType="end"/>
        </w:r>
      </w:p>
    </w:sdtContent>
  </w:sdt>
  <w:p w14:paraId="3A04675E" w14:textId="77777777" w:rsidR="00067C27" w:rsidRDefault="00067C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7776" w14:textId="77777777" w:rsidR="00067C27" w:rsidRDefault="00067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5FFA" w14:textId="77777777" w:rsidR="00ED4164" w:rsidRDefault="00ED4164" w:rsidP="007C4522">
      <w:pPr>
        <w:spacing w:after="0"/>
      </w:pPr>
      <w:r>
        <w:separator/>
      </w:r>
    </w:p>
  </w:footnote>
  <w:footnote w:type="continuationSeparator" w:id="0">
    <w:p w14:paraId="0C3FDA9C" w14:textId="77777777" w:rsidR="00ED4164" w:rsidRDefault="00ED4164" w:rsidP="007C45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280B" w14:textId="77777777" w:rsidR="00067C27" w:rsidRDefault="00067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E7A2" w14:textId="77777777" w:rsidR="00067C27" w:rsidRDefault="00067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423F5" w14:textId="77777777" w:rsidR="00067C27" w:rsidRDefault="0006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C98"/>
    <w:multiLevelType w:val="hybridMultilevel"/>
    <w:tmpl w:val="FF4A68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8A3025"/>
    <w:multiLevelType w:val="hybridMultilevel"/>
    <w:tmpl w:val="F684B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43B33"/>
    <w:multiLevelType w:val="hybridMultilevel"/>
    <w:tmpl w:val="0786FA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922EBA"/>
    <w:multiLevelType w:val="hybridMultilevel"/>
    <w:tmpl w:val="E132FB40"/>
    <w:lvl w:ilvl="0" w:tplc="7D4C5F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A62E0"/>
    <w:multiLevelType w:val="hybridMultilevel"/>
    <w:tmpl w:val="804AF378"/>
    <w:lvl w:ilvl="0" w:tplc="B41AE91C">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CA3A49"/>
    <w:multiLevelType w:val="hybridMultilevel"/>
    <w:tmpl w:val="B22A618C"/>
    <w:lvl w:ilvl="0" w:tplc="00B8048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0ED078B"/>
    <w:multiLevelType w:val="multilevel"/>
    <w:tmpl w:val="74DE03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83723CA"/>
    <w:multiLevelType w:val="hybridMultilevel"/>
    <w:tmpl w:val="5758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A4F06"/>
    <w:multiLevelType w:val="hybridMultilevel"/>
    <w:tmpl w:val="F7BA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F7891"/>
    <w:multiLevelType w:val="hybridMultilevel"/>
    <w:tmpl w:val="72FC9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94E98"/>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3A615DC"/>
    <w:multiLevelType w:val="hybridMultilevel"/>
    <w:tmpl w:val="B866B024"/>
    <w:lvl w:ilvl="0" w:tplc="6720ADC4">
      <w:start w:val="4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41A0ED5"/>
    <w:multiLevelType w:val="hybridMultilevel"/>
    <w:tmpl w:val="BACA62CA"/>
    <w:lvl w:ilvl="0" w:tplc="0D561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722C1"/>
    <w:multiLevelType w:val="hybridMultilevel"/>
    <w:tmpl w:val="20D6F330"/>
    <w:lvl w:ilvl="0" w:tplc="9C807300">
      <w:numFmt w:val="bullet"/>
      <w:lvlText w:val="-"/>
      <w:lvlJc w:val="left"/>
      <w:pPr>
        <w:ind w:left="562" w:hanging="360"/>
      </w:pPr>
      <w:rPr>
        <w:rFonts w:ascii="Times" w:eastAsia="Times New Roman" w:hAnsi="Times" w:cs="Times" w:hint="default"/>
      </w:rPr>
    </w:lvl>
    <w:lvl w:ilvl="1" w:tplc="04140003" w:tentative="1">
      <w:start w:val="1"/>
      <w:numFmt w:val="bullet"/>
      <w:lvlText w:val="o"/>
      <w:lvlJc w:val="left"/>
      <w:pPr>
        <w:ind w:left="1282" w:hanging="360"/>
      </w:pPr>
      <w:rPr>
        <w:rFonts w:ascii="Courier New" w:hAnsi="Courier New" w:cs="Courier New" w:hint="default"/>
      </w:rPr>
    </w:lvl>
    <w:lvl w:ilvl="2" w:tplc="04140005" w:tentative="1">
      <w:start w:val="1"/>
      <w:numFmt w:val="bullet"/>
      <w:lvlText w:val=""/>
      <w:lvlJc w:val="left"/>
      <w:pPr>
        <w:ind w:left="2002" w:hanging="360"/>
      </w:pPr>
      <w:rPr>
        <w:rFonts w:ascii="Wingdings" w:hAnsi="Wingdings" w:hint="default"/>
      </w:rPr>
    </w:lvl>
    <w:lvl w:ilvl="3" w:tplc="04140001" w:tentative="1">
      <w:start w:val="1"/>
      <w:numFmt w:val="bullet"/>
      <w:lvlText w:val=""/>
      <w:lvlJc w:val="left"/>
      <w:pPr>
        <w:ind w:left="2722" w:hanging="360"/>
      </w:pPr>
      <w:rPr>
        <w:rFonts w:ascii="Symbol" w:hAnsi="Symbol" w:hint="default"/>
      </w:rPr>
    </w:lvl>
    <w:lvl w:ilvl="4" w:tplc="04140003" w:tentative="1">
      <w:start w:val="1"/>
      <w:numFmt w:val="bullet"/>
      <w:lvlText w:val="o"/>
      <w:lvlJc w:val="left"/>
      <w:pPr>
        <w:ind w:left="3442" w:hanging="360"/>
      </w:pPr>
      <w:rPr>
        <w:rFonts w:ascii="Courier New" w:hAnsi="Courier New" w:cs="Courier New" w:hint="default"/>
      </w:rPr>
    </w:lvl>
    <w:lvl w:ilvl="5" w:tplc="04140005" w:tentative="1">
      <w:start w:val="1"/>
      <w:numFmt w:val="bullet"/>
      <w:lvlText w:val=""/>
      <w:lvlJc w:val="left"/>
      <w:pPr>
        <w:ind w:left="4162" w:hanging="360"/>
      </w:pPr>
      <w:rPr>
        <w:rFonts w:ascii="Wingdings" w:hAnsi="Wingdings" w:hint="default"/>
      </w:rPr>
    </w:lvl>
    <w:lvl w:ilvl="6" w:tplc="04140001" w:tentative="1">
      <w:start w:val="1"/>
      <w:numFmt w:val="bullet"/>
      <w:lvlText w:val=""/>
      <w:lvlJc w:val="left"/>
      <w:pPr>
        <w:ind w:left="4882" w:hanging="360"/>
      </w:pPr>
      <w:rPr>
        <w:rFonts w:ascii="Symbol" w:hAnsi="Symbol" w:hint="default"/>
      </w:rPr>
    </w:lvl>
    <w:lvl w:ilvl="7" w:tplc="04140003" w:tentative="1">
      <w:start w:val="1"/>
      <w:numFmt w:val="bullet"/>
      <w:lvlText w:val="o"/>
      <w:lvlJc w:val="left"/>
      <w:pPr>
        <w:ind w:left="5602" w:hanging="360"/>
      </w:pPr>
      <w:rPr>
        <w:rFonts w:ascii="Courier New" w:hAnsi="Courier New" w:cs="Courier New" w:hint="default"/>
      </w:rPr>
    </w:lvl>
    <w:lvl w:ilvl="8" w:tplc="04140005" w:tentative="1">
      <w:start w:val="1"/>
      <w:numFmt w:val="bullet"/>
      <w:lvlText w:val=""/>
      <w:lvlJc w:val="left"/>
      <w:pPr>
        <w:ind w:left="6322" w:hanging="360"/>
      </w:pPr>
      <w:rPr>
        <w:rFonts w:ascii="Wingdings" w:hAnsi="Wingdings" w:hint="default"/>
      </w:rPr>
    </w:lvl>
  </w:abstractNum>
  <w:abstractNum w:abstractNumId="14" w15:restartNumberingAfterBreak="0">
    <w:nsid w:val="67F90FE5"/>
    <w:multiLevelType w:val="hybridMultilevel"/>
    <w:tmpl w:val="0584EB02"/>
    <w:lvl w:ilvl="0" w:tplc="3118B5D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516D9"/>
    <w:multiLevelType w:val="hybridMultilevel"/>
    <w:tmpl w:val="19D8DDF6"/>
    <w:lvl w:ilvl="0" w:tplc="7C78911A">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2A5C5E"/>
    <w:multiLevelType w:val="hybridMultilevel"/>
    <w:tmpl w:val="EA7644C8"/>
    <w:lvl w:ilvl="0" w:tplc="D3E0B0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6"/>
  </w:num>
  <w:num w:numId="5">
    <w:abstractNumId w:val="9"/>
  </w:num>
  <w:num w:numId="6">
    <w:abstractNumId w:val="1"/>
  </w:num>
  <w:num w:numId="7">
    <w:abstractNumId w:val="13"/>
  </w:num>
  <w:num w:numId="8">
    <w:abstractNumId w:val="5"/>
  </w:num>
  <w:num w:numId="9">
    <w:abstractNumId w:val="0"/>
  </w:num>
  <w:num w:numId="10">
    <w:abstractNumId w:val="4"/>
  </w:num>
  <w:num w:numId="11">
    <w:abstractNumId w:val="12"/>
  </w:num>
  <w:num w:numId="12">
    <w:abstractNumId w:val="8"/>
  </w:num>
  <w:num w:numId="13">
    <w:abstractNumId w:val="11"/>
  </w:num>
  <w:num w:numId="14">
    <w:abstractNumId w:val="3"/>
  </w:num>
  <w:num w:numId="15">
    <w:abstractNumId w:val="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22"/>
    <w:rsid w:val="00001185"/>
    <w:rsid w:val="00010EFD"/>
    <w:rsid w:val="000176E3"/>
    <w:rsid w:val="00017E9B"/>
    <w:rsid w:val="00021878"/>
    <w:rsid w:val="000255C6"/>
    <w:rsid w:val="00027376"/>
    <w:rsid w:val="00027BA9"/>
    <w:rsid w:val="000300ED"/>
    <w:rsid w:val="000316A3"/>
    <w:rsid w:val="000363D7"/>
    <w:rsid w:val="00046E3C"/>
    <w:rsid w:val="000476A6"/>
    <w:rsid w:val="00047815"/>
    <w:rsid w:val="000526DB"/>
    <w:rsid w:val="0006044B"/>
    <w:rsid w:val="000663BE"/>
    <w:rsid w:val="00067C27"/>
    <w:rsid w:val="00071B6F"/>
    <w:rsid w:val="00074BB0"/>
    <w:rsid w:val="000800E8"/>
    <w:rsid w:val="00092D66"/>
    <w:rsid w:val="000940B6"/>
    <w:rsid w:val="00094BA1"/>
    <w:rsid w:val="000A3A6D"/>
    <w:rsid w:val="000A4C6C"/>
    <w:rsid w:val="000A4F87"/>
    <w:rsid w:val="000A5969"/>
    <w:rsid w:val="000A79C1"/>
    <w:rsid w:val="000B07E1"/>
    <w:rsid w:val="000B5FEF"/>
    <w:rsid w:val="000B6295"/>
    <w:rsid w:val="000B77FA"/>
    <w:rsid w:val="000C12C8"/>
    <w:rsid w:val="000C238B"/>
    <w:rsid w:val="000C605D"/>
    <w:rsid w:val="000C7521"/>
    <w:rsid w:val="000D0567"/>
    <w:rsid w:val="000D0CD6"/>
    <w:rsid w:val="000D43E1"/>
    <w:rsid w:val="000D4AE6"/>
    <w:rsid w:val="000E0020"/>
    <w:rsid w:val="000E130F"/>
    <w:rsid w:val="000E380B"/>
    <w:rsid w:val="000E53E5"/>
    <w:rsid w:val="000E5645"/>
    <w:rsid w:val="000F1C71"/>
    <w:rsid w:val="000F24C2"/>
    <w:rsid w:val="000F4114"/>
    <w:rsid w:val="000F4C41"/>
    <w:rsid w:val="000F4EA1"/>
    <w:rsid w:val="00106018"/>
    <w:rsid w:val="00115E14"/>
    <w:rsid w:val="00122222"/>
    <w:rsid w:val="00123766"/>
    <w:rsid w:val="001253BA"/>
    <w:rsid w:val="00126B2F"/>
    <w:rsid w:val="0012731C"/>
    <w:rsid w:val="001273D4"/>
    <w:rsid w:val="00131C13"/>
    <w:rsid w:val="001340E4"/>
    <w:rsid w:val="0013753E"/>
    <w:rsid w:val="0014146B"/>
    <w:rsid w:val="001419C3"/>
    <w:rsid w:val="00141E5D"/>
    <w:rsid w:val="00147AAF"/>
    <w:rsid w:val="00150DD5"/>
    <w:rsid w:val="00151C2A"/>
    <w:rsid w:val="0015518B"/>
    <w:rsid w:val="001559A2"/>
    <w:rsid w:val="00155C4C"/>
    <w:rsid w:val="0016118A"/>
    <w:rsid w:val="00162337"/>
    <w:rsid w:val="0016284F"/>
    <w:rsid w:val="001644A3"/>
    <w:rsid w:val="00165722"/>
    <w:rsid w:val="001676DE"/>
    <w:rsid w:val="001712D8"/>
    <w:rsid w:val="00173061"/>
    <w:rsid w:val="0017311D"/>
    <w:rsid w:val="001771B2"/>
    <w:rsid w:val="00180699"/>
    <w:rsid w:val="00184027"/>
    <w:rsid w:val="0018577F"/>
    <w:rsid w:val="0019034A"/>
    <w:rsid w:val="00197429"/>
    <w:rsid w:val="001A0EF9"/>
    <w:rsid w:val="001A3B19"/>
    <w:rsid w:val="001A5578"/>
    <w:rsid w:val="001A68F4"/>
    <w:rsid w:val="001A6916"/>
    <w:rsid w:val="001B3B86"/>
    <w:rsid w:val="001C1BF1"/>
    <w:rsid w:val="001C5C74"/>
    <w:rsid w:val="001C7D0F"/>
    <w:rsid w:val="001D095D"/>
    <w:rsid w:val="001D0CDB"/>
    <w:rsid w:val="001E2322"/>
    <w:rsid w:val="001E287C"/>
    <w:rsid w:val="001E28F6"/>
    <w:rsid w:val="001E45F0"/>
    <w:rsid w:val="001E4EEB"/>
    <w:rsid w:val="001F173F"/>
    <w:rsid w:val="001F2F35"/>
    <w:rsid w:val="001F3E43"/>
    <w:rsid w:val="001F651E"/>
    <w:rsid w:val="001F65EF"/>
    <w:rsid w:val="00200615"/>
    <w:rsid w:val="00204844"/>
    <w:rsid w:val="0020612C"/>
    <w:rsid w:val="00210812"/>
    <w:rsid w:val="00225246"/>
    <w:rsid w:val="00226475"/>
    <w:rsid w:val="0022772B"/>
    <w:rsid w:val="00227F3E"/>
    <w:rsid w:val="00232A75"/>
    <w:rsid w:val="002348C7"/>
    <w:rsid w:val="002363F2"/>
    <w:rsid w:val="002401F4"/>
    <w:rsid w:val="002457DE"/>
    <w:rsid w:val="00250FD2"/>
    <w:rsid w:val="002607BB"/>
    <w:rsid w:val="0026216D"/>
    <w:rsid w:val="00262FE7"/>
    <w:rsid w:val="002637D1"/>
    <w:rsid w:val="0026386D"/>
    <w:rsid w:val="002654C9"/>
    <w:rsid w:val="00280B01"/>
    <w:rsid w:val="00280B5E"/>
    <w:rsid w:val="0028687E"/>
    <w:rsid w:val="002871BD"/>
    <w:rsid w:val="00291592"/>
    <w:rsid w:val="00291C62"/>
    <w:rsid w:val="002933D2"/>
    <w:rsid w:val="00295E25"/>
    <w:rsid w:val="00296BEE"/>
    <w:rsid w:val="00297A4A"/>
    <w:rsid w:val="002A0800"/>
    <w:rsid w:val="002A3821"/>
    <w:rsid w:val="002A3F5A"/>
    <w:rsid w:val="002A713F"/>
    <w:rsid w:val="002B0145"/>
    <w:rsid w:val="002B1210"/>
    <w:rsid w:val="002B2F58"/>
    <w:rsid w:val="002B380B"/>
    <w:rsid w:val="002B64C7"/>
    <w:rsid w:val="002B66A7"/>
    <w:rsid w:val="002B69AA"/>
    <w:rsid w:val="002C2C8E"/>
    <w:rsid w:val="002C362D"/>
    <w:rsid w:val="002C75A5"/>
    <w:rsid w:val="002C7FD9"/>
    <w:rsid w:val="002D2B5A"/>
    <w:rsid w:val="002D40B8"/>
    <w:rsid w:val="002E0AAA"/>
    <w:rsid w:val="002E3D93"/>
    <w:rsid w:val="002F2BB8"/>
    <w:rsid w:val="002F32CE"/>
    <w:rsid w:val="002F486D"/>
    <w:rsid w:val="002F5709"/>
    <w:rsid w:val="00300504"/>
    <w:rsid w:val="00306AAC"/>
    <w:rsid w:val="003070A4"/>
    <w:rsid w:val="003079FB"/>
    <w:rsid w:val="00310185"/>
    <w:rsid w:val="00313702"/>
    <w:rsid w:val="00313A6E"/>
    <w:rsid w:val="00313DC3"/>
    <w:rsid w:val="003143C5"/>
    <w:rsid w:val="00314428"/>
    <w:rsid w:val="003151F6"/>
    <w:rsid w:val="00317419"/>
    <w:rsid w:val="0032178E"/>
    <w:rsid w:val="00327D8D"/>
    <w:rsid w:val="0033041F"/>
    <w:rsid w:val="0033423E"/>
    <w:rsid w:val="003351CA"/>
    <w:rsid w:val="003361F3"/>
    <w:rsid w:val="00343C88"/>
    <w:rsid w:val="00346A10"/>
    <w:rsid w:val="00351B4E"/>
    <w:rsid w:val="00352286"/>
    <w:rsid w:val="003562D4"/>
    <w:rsid w:val="00362D77"/>
    <w:rsid w:val="00362E4D"/>
    <w:rsid w:val="003747AA"/>
    <w:rsid w:val="00374F92"/>
    <w:rsid w:val="0038020B"/>
    <w:rsid w:val="0038276E"/>
    <w:rsid w:val="00383305"/>
    <w:rsid w:val="00384087"/>
    <w:rsid w:val="0038470C"/>
    <w:rsid w:val="00386AD0"/>
    <w:rsid w:val="003903C3"/>
    <w:rsid w:val="00391E07"/>
    <w:rsid w:val="003A14BB"/>
    <w:rsid w:val="003A25C5"/>
    <w:rsid w:val="003A5598"/>
    <w:rsid w:val="003B6CA6"/>
    <w:rsid w:val="003B6F21"/>
    <w:rsid w:val="003C2DB8"/>
    <w:rsid w:val="003C4DD7"/>
    <w:rsid w:val="003C55D8"/>
    <w:rsid w:val="003C5D70"/>
    <w:rsid w:val="003C61B8"/>
    <w:rsid w:val="003C6364"/>
    <w:rsid w:val="003D4D87"/>
    <w:rsid w:val="003D5424"/>
    <w:rsid w:val="003D6276"/>
    <w:rsid w:val="003E1D57"/>
    <w:rsid w:val="003E4DAA"/>
    <w:rsid w:val="003E4FD4"/>
    <w:rsid w:val="003E5A20"/>
    <w:rsid w:val="003F45E1"/>
    <w:rsid w:val="0040189D"/>
    <w:rsid w:val="00403122"/>
    <w:rsid w:val="00412837"/>
    <w:rsid w:val="00415176"/>
    <w:rsid w:val="00417C70"/>
    <w:rsid w:val="00417F87"/>
    <w:rsid w:val="00426222"/>
    <w:rsid w:val="004268F0"/>
    <w:rsid w:val="00426BD8"/>
    <w:rsid w:val="00432249"/>
    <w:rsid w:val="00434B57"/>
    <w:rsid w:val="004352E8"/>
    <w:rsid w:val="00436839"/>
    <w:rsid w:val="0044545D"/>
    <w:rsid w:val="00446311"/>
    <w:rsid w:val="00450B62"/>
    <w:rsid w:val="00450D81"/>
    <w:rsid w:val="00451BC2"/>
    <w:rsid w:val="00455A3B"/>
    <w:rsid w:val="004578F9"/>
    <w:rsid w:val="00464E09"/>
    <w:rsid w:val="00465130"/>
    <w:rsid w:val="00465DE4"/>
    <w:rsid w:val="00466E7D"/>
    <w:rsid w:val="00472DE8"/>
    <w:rsid w:val="004747DE"/>
    <w:rsid w:val="0047790D"/>
    <w:rsid w:val="00477BBA"/>
    <w:rsid w:val="004805E8"/>
    <w:rsid w:val="00480C42"/>
    <w:rsid w:val="004816F6"/>
    <w:rsid w:val="0048552C"/>
    <w:rsid w:val="00492117"/>
    <w:rsid w:val="00492644"/>
    <w:rsid w:val="00494E85"/>
    <w:rsid w:val="004A0F4B"/>
    <w:rsid w:val="004A17BE"/>
    <w:rsid w:val="004A2089"/>
    <w:rsid w:val="004A3C36"/>
    <w:rsid w:val="004A3E46"/>
    <w:rsid w:val="004A5838"/>
    <w:rsid w:val="004B2581"/>
    <w:rsid w:val="004B46F8"/>
    <w:rsid w:val="004B4BE2"/>
    <w:rsid w:val="004C0A64"/>
    <w:rsid w:val="004C1581"/>
    <w:rsid w:val="004C1A1E"/>
    <w:rsid w:val="004C5049"/>
    <w:rsid w:val="004C5860"/>
    <w:rsid w:val="004C6C6C"/>
    <w:rsid w:val="004C7A90"/>
    <w:rsid w:val="004D11FB"/>
    <w:rsid w:val="004D7FAB"/>
    <w:rsid w:val="004E2C6A"/>
    <w:rsid w:val="004E64F9"/>
    <w:rsid w:val="004F374A"/>
    <w:rsid w:val="004F66E4"/>
    <w:rsid w:val="00500035"/>
    <w:rsid w:val="00500A0D"/>
    <w:rsid w:val="005030EA"/>
    <w:rsid w:val="00510111"/>
    <w:rsid w:val="00511222"/>
    <w:rsid w:val="005115BC"/>
    <w:rsid w:val="00513DBA"/>
    <w:rsid w:val="005158D5"/>
    <w:rsid w:val="0051664B"/>
    <w:rsid w:val="00517C47"/>
    <w:rsid w:val="00523329"/>
    <w:rsid w:val="0052515C"/>
    <w:rsid w:val="005327AD"/>
    <w:rsid w:val="0053321E"/>
    <w:rsid w:val="00534514"/>
    <w:rsid w:val="005360A5"/>
    <w:rsid w:val="0053790C"/>
    <w:rsid w:val="0054747C"/>
    <w:rsid w:val="005516AB"/>
    <w:rsid w:val="00551B52"/>
    <w:rsid w:val="00553FBD"/>
    <w:rsid w:val="00556F67"/>
    <w:rsid w:val="00557467"/>
    <w:rsid w:val="00562B02"/>
    <w:rsid w:val="00564299"/>
    <w:rsid w:val="005677B4"/>
    <w:rsid w:val="00567B64"/>
    <w:rsid w:val="0057048C"/>
    <w:rsid w:val="0057076B"/>
    <w:rsid w:val="00570BB4"/>
    <w:rsid w:val="00573215"/>
    <w:rsid w:val="005742D0"/>
    <w:rsid w:val="0057571A"/>
    <w:rsid w:val="00580CEE"/>
    <w:rsid w:val="005812C3"/>
    <w:rsid w:val="005828DF"/>
    <w:rsid w:val="00584E6F"/>
    <w:rsid w:val="005A033D"/>
    <w:rsid w:val="005A1878"/>
    <w:rsid w:val="005A2274"/>
    <w:rsid w:val="005A7937"/>
    <w:rsid w:val="005B06A2"/>
    <w:rsid w:val="005B0839"/>
    <w:rsid w:val="005B176D"/>
    <w:rsid w:val="005B3F6A"/>
    <w:rsid w:val="005B5972"/>
    <w:rsid w:val="005C02F9"/>
    <w:rsid w:val="005C04BA"/>
    <w:rsid w:val="005C169E"/>
    <w:rsid w:val="005C3CB8"/>
    <w:rsid w:val="005C443C"/>
    <w:rsid w:val="005C51A5"/>
    <w:rsid w:val="005C673B"/>
    <w:rsid w:val="005C7037"/>
    <w:rsid w:val="005C79E6"/>
    <w:rsid w:val="005C7D93"/>
    <w:rsid w:val="005D17AD"/>
    <w:rsid w:val="005D4998"/>
    <w:rsid w:val="005D5CDF"/>
    <w:rsid w:val="005E0E9C"/>
    <w:rsid w:val="005E6B89"/>
    <w:rsid w:val="005F3DBF"/>
    <w:rsid w:val="005F41F3"/>
    <w:rsid w:val="005F4EB9"/>
    <w:rsid w:val="005F5238"/>
    <w:rsid w:val="005F6DBA"/>
    <w:rsid w:val="00605002"/>
    <w:rsid w:val="0060518B"/>
    <w:rsid w:val="0060635C"/>
    <w:rsid w:val="006112DF"/>
    <w:rsid w:val="00611632"/>
    <w:rsid w:val="006125CB"/>
    <w:rsid w:val="00613B80"/>
    <w:rsid w:val="00614B57"/>
    <w:rsid w:val="00615214"/>
    <w:rsid w:val="00616E6D"/>
    <w:rsid w:val="00620B45"/>
    <w:rsid w:val="006224BA"/>
    <w:rsid w:val="00626E91"/>
    <w:rsid w:val="006279C5"/>
    <w:rsid w:val="00630C84"/>
    <w:rsid w:val="0063130F"/>
    <w:rsid w:val="00631950"/>
    <w:rsid w:val="0063471D"/>
    <w:rsid w:val="006457BC"/>
    <w:rsid w:val="00647CF2"/>
    <w:rsid w:val="00653BFC"/>
    <w:rsid w:val="00655C44"/>
    <w:rsid w:val="0065613D"/>
    <w:rsid w:val="00667AD1"/>
    <w:rsid w:val="0067397B"/>
    <w:rsid w:val="006767B7"/>
    <w:rsid w:val="006778D2"/>
    <w:rsid w:val="006801C3"/>
    <w:rsid w:val="00686029"/>
    <w:rsid w:val="0069026C"/>
    <w:rsid w:val="006942A6"/>
    <w:rsid w:val="006962C0"/>
    <w:rsid w:val="006963AC"/>
    <w:rsid w:val="006976FB"/>
    <w:rsid w:val="006978CF"/>
    <w:rsid w:val="006A07EF"/>
    <w:rsid w:val="006A6E9B"/>
    <w:rsid w:val="006B0288"/>
    <w:rsid w:val="006B1664"/>
    <w:rsid w:val="006B2B97"/>
    <w:rsid w:val="006D21E7"/>
    <w:rsid w:val="006D3580"/>
    <w:rsid w:val="006D47A3"/>
    <w:rsid w:val="006D5FD3"/>
    <w:rsid w:val="006E0C33"/>
    <w:rsid w:val="006E48EC"/>
    <w:rsid w:val="006E5F84"/>
    <w:rsid w:val="006E69FE"/>
    <w:rsid w:val="006F107A"/>
    <w:rsid w:val="006F154E"/>
    <w:rsid w:val="006F15AF"/>
    <w:rsid w:val="006F4F15"/>
    <w:rsid w:val="006F5BA8"/>
    <w:rsid w:val="007011C3"/>
    <w:rsid w:val="00701499"/>
    <w:rsid w:val="00702716"/>
    <w:rsid w:val="00707DD5"/>
    <w:rsid w:val="00720086"/>
    <w:rsid w:val="0072322D"/>
    <w:rsid w:val="00723732"/>
    <w:rsid w:val="00725B58"/>
    <w:rsid w:val="007310F4"/>
    <w:rsid w:val="00732E18"/>
    <w:rsid w:val="00733AA6"/>
    <w:rsid w:val="007374D4"/>
    <w:rsid w:val="00742966"/>
    <w:rsid w:val="0074601D"/>
    <w:rsid w:val="00747405"/>
    <w:rsid w:val="00753726"/>
    <w:rsid w:val="00755E20"/>
    <w:rsid w:val="00757650"/>
    <w:rsid w:val="00761387"/>
    <w:rsid w:val="00761E37"/>
    <w:rsid w:val="0076298D"/>
    <w:rsid w:val="0076508E"/>
    <w:rsid w:val="007707A8"/>
    <w:rsid w:val="00770F0B"/>
    <w:rsid w:val="00772370"/>
    <w:rsid w:val="00773FA7"/>
    <w:rsid w:val="007809ED"/>
    <w:rsid w:val="00783702"/>
    <w:rsid w:val="0078496B"/>
    <w:rsid w:val="007861DC"/>
    <w:rsid w:val="00786CE6"/>
    <w:rsid w:val="007975FC"/>
    <w:rsid w:val="007A0340"/>
    <w:rsid w:val="007A0CA5"/>
    <w:rsid w:val="007A2340"/>
    <w:rsid w:val="007A4CA1"/>
    <w:rsid w:val="007B3FFB"/>
    <w:rsid w:val="007B4524"/>
    <w:rsid w:val="007B508C"/>
    <w:rsid w:val="007B5321"/>
    <w:rsid w:val="007B5710"/>
    <w:rsid w:val="007C0F24"/>
    <w:rsid w:val="007C438D"/>
    <w:rsid w:val="007C4522"/>
    <w:rsid w:val="007C637D"/>
    <w:rsid w:val="007D6223"/>
    <w:rsid w:val="007D74DD"/>
    <w:rsid w:val="007E0345"/>
    <w:rsid w:val="007E118D"/>
    <w:rsid w:val="007E564F"/>
    <w:rsid w:val="007E57D8"/>
    <w:rsid w:val="007E6A8A"/>
    <w:rsid w:val="007F0358"/>
    <w:rsid w:val="007F1126"/>
    <w:rsid w:val="007F196A"/>
    <w:rsid w:val="00800893"/>
    <w:rsid w:val="00802538"/>
    <w:rsid w:val="008034B6"/>
    <w:rsid w:val="00806CA6"/>
    <w:rsid w:val="00807EAC"/>
    <w:rsid w:val="00813EB9"/>
    <w:rsid w:val="00816DB6"/>
    <w:rsid w:val="008217AD"/>
    <w:rsid w:val="00824B78"/>
    <w:rsid w:val="008328CC"/>
    <w:rsid w:val="00835613"/>
    <w:rsid w:val="00835BF5"/>
    <w:rsid w:val="008361A9"/>
    <w:rsid w:val="00843C31"/>
    <w:rsid w:val="00843F7D"/>
    <w:rsid w:val="0084650C"/>
    <w:rsid w:val="00851628"/>
    <w:rsid w:val="00864229"/>
    <w:rsid w:val="00864DB1"/>
    <w:rsid w:val="008656C2"/>
    <w:rsid w:val="008657C2"/>
    <w:rsid w:val="00867ACE"/>
    <w:rsid w:val="00870216"/>
    <w:rsid w:val="00870690"/>
    <w:rsid w:val="008707AF"/>
    <w:rsid w:val="00875606"/>
    <w:rsid w:val="008759F0"/>
    <w:rsid w:val="00890575"/>
    <w:rsid w:val="00893D10"/>
    <w:rsid w:val="00897770"/>
    <w:rsid w:val="008A1654"/>
    <w:rsid w:val="008A1A2E"/>
    <w:rsid w:val="008A6C37"/>
    <w:rsid w:val="008B4E50"/>
    <w:rsid w:val="008B6E66"/>
    <w:rsid w:val="008B774F"/>
    <w:rsid w:val="008B7F45"/>
    <w:rsid w:val="008C1C94"/>
    <w:rsid w:val="008C25B0"/>
    <w:rsid w:val="008C39BA"/>
    <w:rsid w:val="008C5904"/>
    <w:rsid w:val="008C5BEF"/>
    <w:rsid w:val="008C5CAE"/>
    <w:rsid w:val="008D05B6"/>
    <w:rsid w:val="008D5396"/>
    <w:rsid w:val="008D6FE9"/>
    <w:rsid w:val="008E3827"/>
    <w:rsid w:val="008E552E"/>
    <w:rsid w:val="008F0ED3"/>
    <w:rsid w:val="008F1D4A"/>
    <w:rsid w:val="008F26CF"/>
    <w:rsid w:val="008F608D"/>
    <w:rsid w:val="008F68E5"/>
    <w:rsid w:val="008F7C98"/>
    <w:rsid w:val="00900B56"/>
    <w:rsid w:val="00901A6E"/>
    <w:rsid w:val="00904948"/>
    <w:rsid w:val="00904D2B"/>
    <w:rsid w:val="00912B39"/>
    <w:rsid w:val="009144CC"/>
    <w:rsid w:val="0091455C"/>
    <w:rsid w:val="0091756F"/>
    <w:rsid w:val="00917F0D"/>
    <w:rsid w:val="00921010"/>
    <w:rsid w:val="00921320"/>
    <w:rsid w:val="009262D7"/>
    <w:rsid w:val="00927B44"/>
    <w:rsid w:val="00932C81"/>
    <w:rsid w:val="009445B3"/>
    <w:rsid w:val="009446D9"/>
    <w:rsid w:val="00944DC1"/>
    <w:rsid w:val="0094788B"/>
    <w:rsid w:val="009514B7"/>
    <w:rsid w:val="00951A37"/>
    <w:rsid w:val="00957393"/>
    <w:rsid w:val="00957FEA"/>
    <w:rsid w:val="009628AA"/>
    <w:rsid w:val="009645D8"/>
    <w:rsid w:val="009650FE"/>
    <w:rsid w:val="00965BC1"/>
    <w:rsid w:val="00966CA3"/>
    <w:rsid w:val="00966F53"/>
    <w:rsid w:val="0096744C"/>
    <w:rsid w:val="009738F3"/>
    <w:rsid w:val="009773FB"/>
    <w:rsid w:val="00982A24"/>
    <w:rsid w:val="00985410"/>
    <w:rsid w:val="00985D26"/>
    <w:rsid w:val="009876E5"/>
    <w:rsid w:val="00995FFB"/>
    <w:rsid w:val="009A250B"/>
    <w:rsid w:val="009A4ECE"/>
    <w:rsid w:val="009A5AC6"/>
    <w:rsid w:val="009A6AB4"/>
    <w:rsid w:val="009B04EB"/>
    <w:rsid w:val="009B1F23"/>
    <w:rsid w:val="009B417D"/>
    <w:rsid w:val="009C58D4"/>
    <w:rsid w:val="009D2BF5"/>
    <w:rsid w:val="009D6D01"/>
    <w:rsid w:val="009E2347"/>
    <w:rsid w:val="009E31B3"/>
    <w:rsid w:val="009F0B4F"/>
    <w:rsid w:val="009F583B"/>
    <w:rsid w:val="00A121BD"/>
    <w:rsid w:val="00A13048"/>
    <w:rsid w:val="00A1364F"/>
    <w:rsid w:val="00A25242"/>
    <w:rsid w:val="00A27E64"/>
    <w:rsid w:val="00A30399"/>
    <w:rsid w:val="00A346EC"/>
    <w:rsid w:val="00A34D17"/>
    <w:rsid w:val="00A35A23"/>
    <w:rsid w:val="00A367D0"/>
    <w:rsid w:val="00A37E65"/>
    <w:rsid w:val="00A44EF1"/>
    <w:rsid w:val="00A532C2"/>
    <w:rsid w:val="00A54EF1"/>
    <w:rsid w:val="00A60AC8"/>
    <w:rsid w:val="00A623DE"/>
    <w:rsid w:val="00A62B7A"/>
    <w:rsid w:val="00A6402F"/>
    <w:rsid w:val="00A645E8"/>
    <w:rsid w:val="00A67B0C"/>
    <w:rsid w:val="00A72FE8"/>
    <w:rsid w:val="00A77A2D"/>
    <w:rsid w:val="00A80F3E"/>
    <w:rsid w:val="00A83F53"/>
    <w:rsid w:val="00A8574C"/>
    <w:rsid w:val="00A87968"/>
    <w:rsid w:val="00AA1DD6"/>
    <w:rsid w:val="00AA2630"/>
    <w:rsid w:val="00AA382D"/>
    <w:rsid w:val="00AA3CD4"/>
    <w:rsid w:val="00AA6615"/>
    <w:rsid w:val="00AC0746"/>
    <w:rsid w:val="00AC0AF0"/>
    <w:rsid w:val="00AD6A95"/>
    <w:rsid w:val="00AD7196"/>
    <w:rsid w:val="00AD7BD0"/>
    <w:rsid w:val="00AE0940"/>
    <w:rsid w:val="00AE134C"/>
    <w:rsid w:val="00AE1F4C"/>
    <w:rsid w:val="00AE2906"/>
    <w:rsid w:val="00AE3EB8"/>
    <w:rsid w:val="00AE5B3A"/>
    <w:rsid w:val="00B0049C"/>
    <w:rsid w:val="00B014FA"/>
    <w:rsid w:val="00B018A6"/>
    <w:rsid w:val="00B02317"/>
    <w:rsid w:val="00B0286F"/>
    <w:rsid w:val="00B02B2F"/>
    <w:rsid w:val="00B03D84"/>
    <w:rsid w:val="00B071B8"/>
    <w:rsid w:val="00B1041C"/>
    <w:rsid w:val="00B13427"/>
    <w:rsid w:val="00B15A05"/>
    <w:rsid w:val="00B15A22"/>
    <w:rsid w:val="00B15B11"/>
    <w:rsid w:val="00B230C6"/>
    <w:rsid w:val="00B2376A"/>
    <w:rsid w:val="00B26300"/>
    <w:rsid w:val="00B410A2"/>
    <w:rsid w:val="00B42694"/>
    <w:rsid w:val="00B46D15"/>
    <w:rsid w:val="00B503FF"/>
    <w:rsid w:val="00B50679"/>
    <w:rsid w:val="00B5446B"/>
    <w:rsid w:val="00B54960"/>
    <w:rsid w:val="00B551E8"/>
    <w:rsid w:val="00B55381"/>
    <w:rsid w:val="00B63910"/>
    <w:rsid w:val="00B679F3"/>
    <w:rsid w:val="00B70635"/>
    <w:rsid w:val="00B72127"/>
    <w:rsid w:val="00B7533A"/>
    <w:rsid w:val="00B7702E"/>
    <w:rsid w:val="00B8129D"/>
    <w:rsid w:val="00B81879"/>
    <w:rsid w:val="00B81DD8"/>
    <w:rsid w:val="00B84276"/>
    <w:rsid w:val="00BB1CBB"/>
    <w:rsid w:val="00BB291B"/>
    <w:rsid w:val="00BB56EB"/>
    <w:rsid w:val="00BC46E6"/>
    <w:rsid w:val="00BC4F92"/>
    <w:rsid w:val="00BD1130"/>
    <w:rsid w:val="00BD5113"/>
    <w:rsid w:val="00BD7953"/>
    <w:rsid w:val="00BE7C96"/>
    <w:rsid w:val="00BF5707"/>
    <w:rsid w:val="00BF5DDD"/>
    <w:rsid w:val="00C06AAE"/>
    <w:rsid w:val="00C074FB"/>
    <w:rsid w:val="00C0757B"/>
    <w:rsid w:val="00C07839"/>
    <w:rsid w:val="00C11B24"/>
    <w:rsid w:val="00C12128"/>
    <w:rsid w:val="00C12B30"/>
    <w:rsid w:val="00C12F56"/>
    <w:rsid w:val="00C13733"/>
    <w:rsid w:val="00C16DE4"/>
    <w:rsid w:val="00C17B34"/>
    <w:rsid w:val="00C20FFD"/>
    <w:rsid w:val="00C210CC"/>
    <w:rsid w:val="00C21B6E"/>
    <w:rsid w:val="00C22582"/>
    <w:rsid w:val="00C23A1E"/>
    <w:rsid w:val="00C2536F"/>
    <w:rsid w:val="00C3135D"/>
    <w:rsid w:val="00C316D7"/>
    <w:rsid w:val="00C321BF"/>
    <w:rsid w:val="00C32E76"/>
    <w:rsid w:val="00C35210"/>
    <w:rsid w:val="00C3725F"/>
    <w:rsid w:val="00C3788D"/>
    <w:rsid w:val="00C40181"/>
    <w:rsid w:val="00C4086A"/>
    <w:rsid w:val="00C40E12"/>
    <w:rsid w:val="00C41503"/>
    <w:rsid w:val="00C45EBE"/>
    <w:rsid w:val="00C47938"/>
    <w:rsid w:val="00C5197E"/>
    <w:rsid w:val="00C53097"/>
    <w:rsid w:val="00C57C9C"/>
    <w:rsid w:val="00C7167F"/>
    <w:rsid w:val="00C73AC3"/>
    <w:rsid w:val="00C73AC6"/>
    <w:rsid w:val="00C74921"/>
    <w:rsid w:val="00C75C92"/>
    <w:rsid w:val="00C80B14"/>
    <w:rsid w:val="00C827A0"/>
    <w:rsid w:val="00C827F3"/>
    <w:rsid w:val="00C82B85"/>
    <w:rsid w:val="00C82DC2"/>
    <w:rsid w:val="00C83BA4"/>
    <w:rsid w:val="00C9368E"/>
    <w:rsid w:val="00C949E4"/>
    <w:rsid w:val="00C9717C"/>
    <w:rsid w:val="00C9753F"/>
    <w:rsid w:val="00CA0C4E"/>
    <w:rsid w:val="00CA680D"/>
    <w:rsid w:val="00CB2B3E"/>
    <w:rsid w:val="00CC7C1E"/>
    <w:rsid w:val="00CC7C68"/>
    <w:rsid w:val="00CD11E1"/>
    <w:rsid w:val="00CD150A"/>
    <w:rsid w:val="00CD1C40"/>
    <w:rsid w:val="00CD1FF9"/>
    <w:rsid w:val="00CD2E3A"/>
    <w:rsid w:val="00CD4511"/>
    <w:rsid w:val="00CE1D2F"/>
    <w:rsid w:val="00CE39C7"/>
    <w:rsid w:val="00CE6058"/>
    <w:rsid w:val="00CF0BCC"/>
    <w:rsid w:val="00CF1C10"/>
    <w:rsid w:val="00CF2225"/>
    <w:rsid w:val="00CF43D1"/>
    <w:rsid w:val="00CF4DFE"/>
    <w:rsid w:val="00CF60C2"/>
    <w:rsid w:val="00CF7421"/>
    <w:rsid w:val="00D05911"/>
    <w:rsid w:val="00D05F02"/>
    <w:rsid w:val="00D07AD7"/>
    <w:rsid w:val="00D16952"/>
    <w:rsid w:val="00D21122"/>
    <w:rsid w:val="00D244F3"/>
    <w:rsid w:val="00D3034E"/>
    <w:rsid w:val="00D31E84"/>
    <w:rsid w:val="00D36AB5"/>
    <w:rsid w:val="00D42AB3"/>
    <w:rsid w:val="00D43194"/>
    <w:rsid w:val="00D43196"/>
    <w:rsid w:val="00D4610B"/>
    <w:rsid w:val="00D47537"/>
    <w:rsid w:val="00D47D8C"/>
    <w:rsid w:val="00D47F86"/>
    <w:rsid w:val="00D5161F"/>
    <w:rsid w:val="00D52E7B"/>
    <w:rsid w:val="00D540B8"/>
    <w:rsid w:val="00D57A31"/>
    <w:rsid w:val="00D61513"/>
    <w:rsid w:val="00D61B63"/>
    <w:rsid w:val="00D62899"/>
    <w:rsid w:val="00D63707"/>
    <w:rsid w:val="00D63AB0"/>
    <w:rsid w:val="00D63FBB"/>
    <w:rsid w:val="00D65EB9"/>
    <w:rsid w:val="00D70608"/>
    <w:rsid w:val="00D735A9"/>
    <w:rsid w:val="00D74EEA"/>
    <w:rsid w:val="00D756BE"/>
    <w:rsid w:val="00D763C4"/>
    <w:rsid w:val="00D76B22"/>
    <w:rsid w:val="00D77729"/>
    <w:rsid w:val="00D8357A"/>
    <w:rsid w:val="00D85573"/>
    <w:rsid w:val="00D871CB"/>
    <w:rsid w:val="00D90CD7"/>
    <w:rsid w:val="00D920CE"/>
    <w:rsid w:val="00D92EC8"/>
    <w:rsid w:val="00D94EFC"/>
    <w:rsid w:val="00D96328"/>
    <w:rsid w:val="00DA4A17"/>
    <w:rsid w:val="00DA4FCF"/>
    <w:rsid w:val="00DA781A"/>
    <w:rsid w:val="00DB13E6"/>
    <w:rsid w:val="00DB232D"/>
    <w:rsid w:val="00DB3517"/>
    <w:rsid w:val="00DB3A2F"/>
    <w:rsid w:val="00DB3B07"/>
    <w:rsid w:val="00DB5D64"/>
    <w:rsid w:val="00DB6000"/>
    <w:rsid w:val="00DB6277"/>
    <w:rsid w:val="00DC0135"/>
    <w:rsid w:val="00DC1A56"/>
    <w:rsid w:val="00DC721B"/>
    <w:rsid w:val="00DD1F5F"/>
    <w:rsid w:val="00DE19C9"/>
    <w:rsid w:val="00DE5BB8"/>
    <w:rsid w:val="00DE64D0"/>
    <w:rsid w:val="00DF2B8E"/>
    <w:rsid w:val="00DF3645"/>
    <w:rsid w:val="00DF4584"/>
    <w:rsid w:val="00E001B1"/>
    <w:rsid w:val="00E01917"/>
    <w:rsid w:val="00E02C83"/>
    <w:rsid w:val="00E04379"/>
    <w:rsid w:val="00E070EF"/>
    <w:rsid w:val="00E076EE"/>
    <w:rsid w:val="00E1240F"/>
    <w:rsid w:val="00E128EF"/>
    <w:rsid w:val="00E1636D"/>
    <w:rsid w:val="00E17F53"/>
    <w:rsid w:val="00E2061A"/>
    <w:rsid w:val="00E22703"/>
    <w:rsid w:val="00E24BA0"/>
    <w:rsid w:val="00E26500"/>
    <w:rsid w:val="00E3106F"/>
    <w:rsid w:val="00E35774"/>
    <w:rsid w:val="00E40370"/>
    <w:rsid w:val="00E42191"/>
    <w:rsid w:val="00E4304D"/>
    <w:rsid w:val="00E46935"/>
    <w:rsid w:val="00E50E2D"/>
    <w:rsid w:val="00E569DA"/>
    <w:rsid w:val="00E57229"/>
    <w:rsid w:val="00E57443"/>
    <w:rsid w:val="00E601EF"/>
    <w:rsid w:val="00E602B9"/>
    <w:rsid w:val="00E62944"/>
    <w:rsid w:val="00E64498"/>
    <w:rsid w:val="00E652F0"/>
    <w:rsid w:val="00E70621"/>
    <w:rsid w:val="00E741B8"/>
    <w:rsid w:val="00E755A5"/>
    <w:rsid w:val="00E83FF5"/>
    <w:rsid w:val="00E85187"/>
    <w:rsid w:val="00E87123"/>
    <w:rsid w:val="00E90186"/>
    <w:rsid w:val="00E90F40"/>
    <w:rsid w:val="00E94211"/>
    <w:rsid w:val="00E95242"/>
    <w:rsid w:val="00E96375"/>
    <w:rsid w:val="00E965A0"/>
    <w:rsid w:val="00E9758E"/>
    <w:rsid w:val="00EA1528"/>
    <w:rsid w:val="00EA1765"/>
    <w:rsid w:val="00EA25F3"/>
    <w:rsid w:val="00EA3166"/>
    <w:rsid w:val="00EA55E3"/>
    <w:rsid w:val="00EB1CA7"/>
    <w:rsid w:val="00EB4821"/>
    <w:rsid w:val="00EB7551"/>
    <w:rsid w:val="00EB7ABE"/>
    <w:rsid w:val="00EC1FC5"/>
    <w:rsid w:val="00EC25C1"/>
    <w:rsid w:val="00EC55BF"/>
    <w:rsid w:val="00EC574B"/>
    <w:rsid w:val="00EC5BB5"/>
    <w:rsid w:val="00EC74FD"/>
    <w:rsid w:val="00ED0F46"/>
    <w:rsid w:val="00ED14FB"/>
    <w:rsid w:val="00ED255C"/>
    <w:rsid w:val="00ED4164"/>
    <w:rsid w:val="00EE4016"/>
    <w:rsid w:val="00EE7844"/>
    <w:rsid w:val="00EF088C"/>
    <w:rsid w:val="00EF242F"/>
    <w:rsid w:val="00EF2FFB"/>
    <w:rsid w:val="00EF5A11"/>
    <w:rsid w:val="00F00DE9"/>
    <w:rsid w:val="00F0138D"/>
    <w:rsid w:val="00F015BA"/>
    <w:rsid w:val="00F03E5B"/>
    <w:rsid w:val="00F03FF7"/>
    <w:rsid w:val="00F06BB1"/>
    <w:rsid w:val="00F06FD0"/>
    <w:rsid w:val="00F10215"/>
    <w:rsid w:val="00F14B15"/>
    <w:rsid w:val="00F2476D"/>
    <w:rsid w:val="00F25673"/>
    <w:rsid w:val="00F25DFF"/>
    <w:rsid w:val="00F273B9"/>
    <w:rsid w:val="00F27F2A"/>
    <w:rsid w:val="00F3187A"/>
    <w:rsid w:val="00F31D31"/>
    <w:rsid w:val="00F31EDD"/>
    <w:rsid w:val="00F32FE2"/>
    <w:rsid w:val="00F35308"/>
    <w:rsid w:val="00F3584C"/>
    <w:rsid w:val="00F367EF"/>
    <w:rsid w:val="00F40C95"/>
    <w:rsid w:val="00F40E60"/>
    <w:rsid w:val="00F41675"/>
    <w:rsid w:val="00F44C0D"/>
    <w:rsid w:val="00F53273"/>
    <w:rsid w:val="00F557E3"/>
    <w:rsid w:val="00F6099F"/>
    <w:rsid w:val="00F61DCF"/>
    <w:rsid w:val="00F66C98"/>
    <w:rsid w:val="00F71580"/>
    <w:rsid w:val="00F71F02"/>
    <w:rsid w:val="00F73418"/>
    <w:rsid w:val="00F7722C"/>
    <w:rsid w:val="00F77640"/>
    <w:rsid w:val="00F81EA4"/>
    <w:rsid w:val="00F83813"/>
    <w:rsid w:val="00F8402A"/>
    <w:rsid w:val="00F85FA0"/>
    <w:rsid w:val="00F87A76"/>
    <w:rsid w:val="00F911E2"/>
    <w:rsid w:val="00F92F73"/>
    <w:rsid w:val="00FA6B06"/>
    <w:rsid w:val="00FA6B1D"/>
    <w:rsid w:val="00FB2C3A"/>
    <w:rsid w:val="00FB3347"/>
    <w:rsid w:val="00FB6E6D"/>
    <w:rsid w:val="00FD0566"/>
    <w:rsid w:val="00FE391B"/>
    <w:rsid w:val="00FE395B"/>
    <w:rsid w:val="00FE59D2"/>
    <w:rsid w:val="00FF238B"/>
    <w:rsid w:val="00FF46EB"/>
    <w:rsid w:val="00FF7110"/>
    <w:rsid w:val="00FF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F37E"/>
  <w15:docId w15:val="{70173DF4-B1B4-46B6-968A-E4431799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522"/>
    <w:pPr>
      <w:spacing w:after="200" w:line="240" w:lineRule="auto"/>
      <w:jc w:val="both"/>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7C4522"/>
    <w:pPr>
      <w:keepNext/>
      <w:keepLines/>
      <w:numPr>
        <w:numId w:val="3"/>
      </w:numPr>
      <w:spacing w:after="0" w:line="276" w:lineRule="auto"/>
      <w:jc w:val="left"/>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7C4522"/>
    <w:pPr>
      <w:keepNext/>
      <w:keepLines/>
      <w:numPr>
        <w:ilvl w:val="1"/>
        <w:numId w:val="3"/>
      </w:numPr>
      <w:spacing w:after="0" w:line="276" w:lineRule="auto"/>
      <w:jc w:val="left"/>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autoRedefine/>
    <w:uiPriority w:val="9"/>
    <w:unhideWhenUsed/>
    <w:qFormat/>
    <w:rsid w:val="007C4522"/>
    <w:pPr>
      <w:keepNext/>
      <w:keepLines/>
      <w:numPr>
        <w:ilvl w:val="2"/>
        <w:numId w:val="3"/>
      </w:numPr>
      <w:spacing w:after="0" w:line="276" w:lineRule="auto"/>
      <w:jc w:val="left"/>
      <w:outlineLvl w:val="2"/>
    </w:pPr>
    <w:rPr>
      <w:rFonts w:asciiTheme="majorHAnsi" w:eastAsiaTheme="majorEastAsia" w:hAnsiTheme="majorHAnsi" w:cstheme="majorBidi"/>
      <w:b/>
      <w:bCs/>
      <w:color w:val="C00000"/>
      <w:sz w:val="22"/>
      <w:szCs w:val="22"/>
      <w:lang w:val="en-GB"/>
    </w:rPr>
  </w:style>
  <w:style w:type="paragraph" w:styleId="Heading4">
    <w:name w:val="heading 4"/>
    <w:basedOn w:val="Normal"/>
    <w:next w:val="Normal"/>
    <w:link w:val="Heading4Char"/>
    <w:uiPriority w:val="9"/>
    <w:unhideWhenUsed/>
    <w:qFormat/>
    <w:rsid w:val="007C4522"/>
    <w:pPr>
      <w:keepNext/>
      <w:keepLines/>
      <w:numPr>
        <w:ilvl w:val="3"/>
        <w:numId w:val="3"/>
      </w:numPr>
      <w:spacing w:before="200" w:after="0" w:line="276" w:lineRule="auto"/>
      <w:jc w:val="left"/>
      <w:outlineLvl w:val="3"/>
    </w:pPr>
    <w:rPr>
      <w:rFonts w:asciiTheme="majorHAnsi" w:eastAsiaTheme="majorEastAsia" w:hAnsiTheme="majorHAnsi" w:cstheme="majorBidi"/>
      <w:b/>
      <w:bCs/>
      <w:i/>
      <w:iCs/>
      <w:color w:val="5B9BD5" w:themeColor="accent1"/>
      <w:sz w:val="22"/>
      <w:szCs w:val="22"/>
      <w:lang w:val="en-GB"/>
    </w:rPr>
  </w:style>
  <w:style w:type="paragraph" w:styleId="Heading5">
    <w:name w:val="heading 5"/>
    <w:basedOn w:val="Normal"/>
    <w:next w:val="Normal"/>
    <w:link w:val="Heading5Char"/>
    <w:uiPriority w:val="9"/>
    <w:semiHidden/>
    <w:unhideWhenUsed/>
    <w:qFormat/>
    <w:rsid w:val="007C4522"/>
    <w:pPr>
      <w:keepNext/>
      <w:keepLines/>
      <w:numPr>
        <w:ilvl w:val="4"/>
        <w:numId w:val="3"/>
      </w:numPr>
      <w:spacing w:before="200" w:after="0" w:line="276" w:lineRule="auto"/>
      <w:jc w:val="left"/>
      <w:outlineLvl w:val="4"/>
    </w:pPr>
    <w:rPr>
      <w:rFonts w:asciiTheme="majorHAnsi" w:eastAsiaTheme="majorEastAsia" w:hAnsiTheme="majorHAnsi" w:cstheme="majorBidi"/>
      <w:color w:val="1F4D78" w:themeColor="accent1" w:themeShade="7F"/>
      <w:sz w:val="22"/>
      <w:szCs w:val="22"/>
      <w:lang w:val="en-GB"/>
    </w:rPr>
  </w:style>
  <w:style w:type="paragraph" w:styleId="Heading6">
    <w:name w:val="heading 6"/>
    <w:basedOn w:val="Normal"/>
    <w:next w:val="Normal"/>
    <w:link w:val="Heading6Char"/>
    <w:uiPriority w:val="9"/>
    <w:semiHidden/>
    <w:unhideWhenUsed/>
    <w:qFormat/>
    <w:rsid w:val="007C4522"/>
    <w:pPr>
      <w:keepNext/>
      <w:keepLines/>
      <w:numPr>
        <w:ilvl w:val="5"/>
        <w:numId w:val="3"/>
      </w:numPr>
      <w:spacing w:before="200" w:after="0" w:line="276" w:lineRule="auto"/>
      <w:jc w:val="left"/>
      <w:outlineLvl w:val="5"/>
    </w:pPr>
    <w:rPr>
      <w:rFonts w:asciiTheme="majorHAnsi" w:eastAsiaTheme="majorEastAsia" w:hAnsiTheme="majorHAnsi" w:cstheme="majorBidi"/>
      <w:i/>
      <w:iCs/>
      <w:color w:val="1F4D78" w:themeColor="accent1" w:themeShade="7F"/>
      <w:sz w:val="22"/>
      <w:szCs w:val="22"/>
      <w:lang w:val="en-GB"/>
    </w:rPr>
  </w:style>
  <w:style w:type="paragraph" w:styleId="Heading7">
    <w:name w:val="heading 7"/>
    <w:basedOn w:val="Normal"/>
    <w:next w:val="Normal"/>
    <w:link w:val="Heading7Char"/>
    <w:uiPriority w:val="9"/>
    <w:semiHidden/>
    <w:unhideWhenUsed/>
    <w:qFormat/>
    <w:rsid w:val="007C4522"/>
    <w:pPr>
      <w:keepNext/>
      <w:keepLines/>
      <w:numPr>
        <w:ilvl w:val="6"/>
        <w:numId w:val="3"/>
      </w:numPr>
      <w:spacing w:before="200" w:after="0" w:line="276" w:lineRule="auto"/>
      <w:jc w:val="left"/>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7C4522"/>
    <w:pPr>
      <w:keepNext/>
      <w:keepLines/>
      <w:numPr>
        <w:ilvl w:val="7"/>
        <w:numId w:val="3"/>
      </w:numPr>
      <w:spacing w:before="200" w:after="0" w:line="276" w:lineRule="auto"/>
      <w:jc w:val="left"/>
      <w:outlineLvl w:val="7"/>
    </w:pPr>
    <w:rPr>
      <w:rFonts w:asciiTheme="majorHAnsi" w:eastAsiaTheme="majorEastAsia" w:hAnsiTheme="majorHAnsi" w:cstheme="majorBidi"/>
      <w:color w:val="404040" w:themeColor="text1" w:themeTint="BF"/>
      <w:sz w:val="20"/>
      <w:lang w:val="en-GB"/>
    </w:rPr>
  </w:style>
  <w:style w:type="paragraph" w:styleId="Heading9">
    <w:name w:val="heading 9"/>
    <w:basedOn w:val="Normal"/>
    <w:next w:val="Normal"/>
    <w:link w:val="Heading9Char"/>
    <w:uiPriority w:val="9"/>
    <w:semiHidden/>
    <w:unhideWhenUsed/>
    <w:qFormat/>
    <w:rsid w:val="007C4522"/>
    <w:pPr>
      <w:keepNext/>
      <w:keepLines/>
      <w:numPr>
        <w:ilvl w:val="8"/>
        <w:numId w:val="3"/>
      </w:numPr>
      <w:spacing w:before="200" w:after="0" w:line="276" w:lineRule="auto"/>
      <w:jc w:val="left"/>
      <w:outlineLvl w:val="8"/>
    </w:pPr>
    <w:rPr>
      <w:rFonts w:asciiTheme="majorHAnsi" w:eastAsiaTheme="majorEastAsia" w:hAnsiTheme="majorHAnsi" w:cstheme="majorBidi"/>
      <w:i/>
      <w:iCs/>
      <w:color w:val="404040" w:themeColor="text1" w:themeTint="B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22"/>
    <w:pPr>
      <w:tabs>
        <w:tab w:val="center" w:pos="4680"/>
        <w:tab w:val="right" w:pos="9360"/>
      </w:tabs>
      <w:spacing w:after="0"/>
    </w:pPr>
  </w:style>
  <w:style w:type="character" w:customStyle="1" w:styleId="HeaderChar">
    <w:name w:val="Header Char"/>
    <w:basedOn w:val="DefaultParagraphFont"/>
    <w:link w:val="Header"/>
    <w:uiPriority w:val="99"/>
    <w:rsid w:val="007C4522"/>
  </w:style>
  <w:style w:type="paragraph" w:styleId="Footer">
    <w:name w:val="footer"/>
    <w:basedOn w:val="Normal"/>
    <w:link w:val="FooterChar"/>
    <w:uiPriority w:val="99"/>
    <w:unhideWhenUsed/>
    <w:rsid w:val="007C4522"/>
    <w:pPr>
      <w:tabs>
        <w:tab w:val="center" w:pos="4680"/>
        <w:tab w:val="right" w:pos="9360"/>
      </w:tabs>
      <w:spacing w:after="0"/>
    </w:pPr>
  </w:style>
  <w:style w:type="character" w:customStyle="1" w:styleId="FooterChar">
    <w:name w:val="Footer Char"/>
    <w:basedOn w:val="DefaultParagraphFont"/>
    <w:link w:val="Footer"/>
    <w:uiPriority w:val="99"/>
    <w:rsid w:val="007C4522"/>
  </w:style>
  <w:style w:type="character" w:customStyle="1" w:styleId="Heading1Char">
    <w:name w:val="Heading 1 Char"/>
    <w:basedOn w:val="DefaultParagraphFont"/>
    <w:link w:val="Heading1"/>
    <w:uiPriority w:val="9"/>
    <w:rsid w:val="007C4522"/>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7C4522"/>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7C4522"/>
    <w:rPr>
      <w:rFonts w:asciiTheme="majorHAnsi" w:eastAsiaTheme="majorEastAsia" w:hAnsiTheme="majorHAnsi" w:cstheme="majorBidi"/>
      <w:b/>
      <w:bCs/>
      <w:color w:val="C00000"/>
      <w:lang w:val="en-GB"/>
    </w:rPr>
  </w:style>
  <w:style w:type="character" w:customStyle="1" w:styleId="Heading4Char">
    <w:name w:val="Heading 4 Char"/>
    <w:basedOn w:val="DefaultParagraphFont"/>
    <w:link w:val="Heading4"/>
    <w:uiPriority w:val="9"/>
    <w:rsid w:val="007C4522"/>
    <w:rPr>
      <w:rFonts w:asciiTheme="majorHAnsi" w:eastAsiaTheme="majorEastAsia" w:hAnsiTheme="majorHAnsi" w:cstheme="majorBidi"/>
      <w:b/>
      <w:bCs/>
      <w:i/>
      <w:iCs/>
      <w:color w:val="5B9BD5" w:themeColor="accent1"/>
      <w:lang w:val="en-GB"/>
    </w:rPr>
  </w:style>
  <w:style w:type="character" w:customStyle="1" w:styleId="Heading5Char">
    <w:name w:val="Heading 5 Char"/>
    <w:basedOn w:val="DefaultParagraphFont"/>
    <w:link w:val="Heading5"/>
    <w:uiPriority w:val="9"/>
    <w:semiHidden/>
    <w:rsid w:val="007C4522"/>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7C4522"/>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7C4522"/>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C452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C4522"/>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next w:val="TFReferencesSection"/>
    <w:link w:val="FootnoteTextChar"/>
    <w:uiPriority w:val="99"/>
    <w:semiHidden/>
    <w:rsid w:val="007C4522"/>
  </w:style>
  <w:style w:type="character" w:customStyle="1" w:styleId="FootnoteTextChar">
    <w:name w:val="Footnote Text Char"/>
    <w:basedOn w:val="DefaultParagraphFont"/>
    <w:link w:val="FootnoteText"/>
    <w:uiPriority w:val="99"/>
    <w:semiHidden/>
    <w:rsid w:val="007C4522"/>
    <w:rPr>
      <w:rFonts w:ascii="Times" w:eastAsia="Times New Roman" w:hAnsi="Times" w:cs="Times New Roman"/>
      <w:sz w:val="24"/>
      <w:szCs w:val="20"/>
    </w:rPr>
  </w:style>
  <w:style w:type="paragraph" w:customStyle="1" w:styleId="TFReferencesSection">
    <w:name w:val="TF_References_Section"/>
    <w:basedOn w:val="Normal"/>
    <w:rsid w:val="007C4522"/>
    <w:pPr>
      <w:spacing w:line="480" w:lineRule="auto"/>
      <w:ind w:firstLine="187"/>
    </w:pPr>
  </w:style>
  <w:style w:type="paragraph" w:customStyle="1" w:styleId="TAMainText">
    <w:name w:val="TA_Main_Text"/>
    <w:basedOn w:val="Normal"/>
    <w:link w:val="TAMainTextChar"/>
    <w:rsid w:val="007C4522"/>
    <w:pPr>
      <w:spacing w:after="0" w:line="480" w:lineRule="auto"/>
      <w:ind w:firstLine="202"/>
    </w:pPr>
  </w:style>
  <w:style w:type="paragraph" w:customStyle="1" w:styleId="BATitle">
    <w:name w:val="BA_Title"/>
    <w:basedOn w:val="Normal"/>
    <w:next w:val="BBAuthorName"/>
    <w:rsid w:val="007C4522"/>
    <w:pPr>
      <w:spacing w:before="720" w:after="360" w:line="480" w:lineRule="auto"/>
      <w:jc w:val="center"/>
    </w:pPr>
    <w:rPr>
      <w:rFonts w:ascii="Times New Roman" w:hAnsi="Times New Roman"/>
      <w:sz w:val="44"/>
    </w:rPr>
  </w:style>
  <w:style w:type="paragraph" w:customStyle="1" w:styleId="BBAuthorName">
    <w:name w:val="BB_Author_Name"/>
    <w:basedOn w:val="Normal"/>
    <w:next w:val="Normal"/>
    <w:rsid w:val="007C4522"/>
    <w:pPr>
      <w:spacing w:after="240" w:line="480" w:lineRule="auto"/>
      <w:jc w:val="center"/>
    </w:pPr>
    <w:rPr>
      <w:i/>
    </w:rPr>
  </w:style>
  <w:style w:type="paragraph" w:customStyle="1" w:styleId="BDAbstract">
    <w:name w:val="BD_Abstract"/>
    <w:basedOn w:val="Normal"/>
    <w:next w:val="TAMainText"/>
    <w:rsid w:val="007C4522"/>
    <w:pPr>
      <w:spacing w:before="360" w:after="360" w:line="480" w:lineRule="auto"/>
    </w:pPr>
  </w:style>
  <w:style w:type="paragraph" w:customStyle="1" w:styleId="TDAcknowledgments">
    <w:name w:val="TD_Acknowledgments"/>
    <w:basedOn w:val="Normal"/>
    <w:next w:val="Normal"/>
    <w:rsid w:val="007C4522"/>
    <w:pPr>
      <w:spacing w:before="200" w:line="480" w:lineRule="auto"/>
      <w:ind w:firstLine="202"/>
    </w:pPr>
  </w:style>
  <w:style w:type="paragraph" w:customStyle="1" w:styleId="TESupportingInformation">
    <w:name w:val="TE_Supporting_Information"/>
    <w:basedOn w:val="Normal"/>
    <w:next w:val="Normal"/>
    <w:rsid w:val="007C4522"/>
    <w:pPr>
      <w:spacing w:line="480" w:lineRule="auto"/>
      <w:ind w:firstLine="187"/>
    </w:pPr>
  </w:style>
  <w:style w:type="paragraph" w:customStyle="1" w:styleId="FACorrespondingAuthorFootnote">
    <w:name w:val="FA_Corresponding_Author_Footnote"/>
    <w:basedOn w:val="Normal"/>
    <w:next w:val="TAMainText"/>
    <w:rsid w:val="007C4522"/>
    <w:pPr>
      <w:spacing w:line="480" w:lineRule="auto"/>
    </w:pPr>
  </w:style>
  <w:style w:type="paragraph" w:customStyle="1" w:styleId="SNSynopsisTOC">
    <w:name w:val="SN_Synopsis_TOC"/>
    <w:basedOn w:val="Normal"/>
    <w:rsid w:val="007C4522"/>
    <w:pPr>
      <w:spacing w:line="480" w:lineRule="auto"/>
    </w:pPr>
  </w:style>
  <w:style w:type="paragraph" w:customStyle="1" w:styleId="BGKeywords">
    <w:name w:val="BG_Keywords"/>
    <w:basedOn w:val="Normal"/>
    <w:rsid w:val="007C4522"/>
    <w:pPr>
      <w:spacing w:line="480" w:lineRule="auto"/>
    </w:pPr>
  </w:style>
  <w:style w:type="paragraph" w:customStyle="1" w:styleId="BHBriefs">
    <w:name w:val="BH_Briefs"/>
    <w:basedOn w:val="Normal"/>
    <w:rsid w:val="007C4522"/>
    <w:pPr>
      <w:spacing w:line="480" w:lineRule="auto"/>
    </w:pPr>
  </w:style>
  <w:style w:type="character" w:styleId="PageNumber">
    <w:name w:val="page number"/>
    <w:basedOn w:val="DefaultParagraphFont"/>
    <w:rsid w:val="007C4522"/>
  </w:style>
  <w:style w:type="paragraph" w:customStyle="1" w:styleId="StyleFACorrespondingAuthorFootnote7pt">
    <w:name w:val="Style FA_Corresponding_Author_Footnote + 7 pt"/>
    <w:basedOn w:val="Normal"/>
    <w:next w:val="BGKeywords"/>
    <w:link w:val="StyleFACorrespondingAuthorFootnote7ptChar"/>
    <w:autoRedefine/>
    <w:rsid w:val="007C4522"/>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7C4522"/>
    <w:rPr>
      <w:rFonts w:ascii="Arno Pro" w:eastAsia="Times New Roman" w:hAnsi="Arno Pro" w:cs="Times New Roman"/>
      <w:kern w:val="20"/>
      <w:sz w:val="18"/>
      <w:szCs w:val="20"/>
    </w:rPr>
  </w:style>
  <w:style w:type="paragraph" w:customStyle="1" w:styleId="FAAuthorInfoSubtitle">
    <w:name w:val="FA_Author_Info_Subtitle"/>
    <w:basedOn w:val="Normal"/>
    <w:link w:val="FAAuthorInfoSubtitleChar"/>
    <w:autoRedefine/>
    <w:rsid w:val="007C4522"/>
    <w:pPr>
      <w:spacing w:before="120" w:after="60" w:line="480" w:lineRule="auto"/>
      <w:jc w:val="left"/>
    </w:pPr>
    <w:rPr>
      <w:b/>
    </w:rPr>
  </w:style>
  <w:style w:type="character" w:customStyle="1" w:styleId="FAAuthorInfoSubtitleChar">
    <w:name w:val="FA_Author_Info_Subtitle Char"/>
    <w:link w:val="FAAuthorInfoSubtitle"/>
    <w:rsid w:val="007C4522"/>
    <w:rPr>
      <w:rFonts w:ascii="Times" w:eastAsia="Times New Roman" w:hAnsi="Times" w:cs="Times New Roman"/>
      <w:b/>
      <w:sz w:val="24"/>
      <w:szCs w:val="20"/>
    </w:rPr>
  </w:style>
  <w:style w:type="paragraph" w:styleId="ListParagraph">
    <w:name w:val="List Paragraph"/>
    <w:basedOn w:val="Normal"/>
    <w:uiPriority w:val="34"/>
    <w:qFormat/>
    <w:rsid w:val="007C4522"/>
    <w:pPr>
      <w:spacing w:after="160" w:line="259" w:lineRule="auto"/>
      <w:ind w:left="720"/>
      <w:contextualSpacing/>
      <w:jc w:val="left"/>
    </w:pPr>
    <w:rPr>
      <w:rFonts w:asciiTheme="minorHAnsi" w:eastAsiaTheme="minorHAnsi" w:hAnsiTheme="minorHAnsi" w:cstheme="minorBidi"/>
      <w:sz w:val="22"/>
      <w:szCs w:val="22"/>
      <w:lang w:val="nb-NO"/>
    </w:rPr>
  </w:style>
  <w:style w:type="character" w:styleId="FootnoteReference">
    <w:name w:val="footnote reference"/>
    <w:basedOn w:val="DefaultParagraphFont"/>
    <w:uiPriority w:val="99"/>
    <w:semiHidden/>
    <w:unhideWhenUsed/>
    <w:rsid w:val="007C4522"/>
    <w:rPr>
      <w:vertAlign w:val="superscript"/>
    </w:rPr>
  </w:style>
  <w:style w:type="table" w:styleId="TableGrid">
    <w:name w:val="Table Grid"/>
    <w:basedOn w:val="TableNormal"/>
    <w:uiPriority w:val="39"/>
    <w:rsid w:val="007C452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4522"/>
    <w:pPr>
      <w:jc w:val="left"/>
    </w:pPr>
    <w:rPr>
      <w:rFonts w:asciiTheme="minorHAnsi" w:eastAsiaTheme="minorHAnsi" w:hAnsiTheme="minorHAnsi" w:cstheme="minorBidi"/>
      <w:i/>
      <w:iCs/>
      <w:color w:val="44546A" w:themeColor="text2"/>
      <w:sz w:val="18"/>
      <w:szCs w:val="18"/>
      <w:lang w:val="en-GB"/>
    </w:rPr>
  </w:style>
  <w:style w:type="paragraph" w:styleId="BalloonText">
    <w:name w:val="Balloon Text"/>
    <w:basedOn w:val="Normal"/>
    <w:link w:val="BalloonTextChar"/>
    <w:uiPriority w:val="99"/>
    <w:semiHidden/>
    <w:unhideWhenUsed/>
    <w:rsid w:val="007C45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5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C4522"/>
    <w:rPr>
      <w:sz w:val="16"/>
      <w:szCs w:val="16"/>
    </w:rPr>
  </w:style>
  <w:style w:type="paragraph" w:styleId="CommentText">
    <w:name w:val="annotation text"/>
    <w:basedOn w:val="Normal"/>
    <w:link w:val="CommentTextChar"/>
    <w:uiPriority w:val="99"/>
    <w:unhideWhenUsed/>
    <w:rsid w:val="007C4522"/>
    <w:rPr>
      <w:sz w:val="20"/>
    </w:rPr>
  </w:style>
  <w:style w:type="character" w:customStyle="1" w:styleId="CommentTextChar">
    <w:name w:val="Comment Text Char"/>
    <w:basedOn w:val="DefaultParagraphFont"/>
    <w:link w:val="CommentText"/>
    <w:uiPriority w:val="99"/>
    <w:rsid w:val="007C4522"/>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7C4522"/>
    <w:rPr>
      <w:b/>
      <w:bCs/>
    </w:rPr>
  </w:style>
  <w:style w:type="character" w:customStyle="1" w:styleId="CommentSubjectChar">
    <w:name w:val="Comment Subject Char"/>
    <w:basedOn w:val="CommentTextChar"/>
    <w:link w:val="CommentSubject"/>
    <w:uiPriority w:val="99"/>
    <w:semiHidden/>
    <w:rsid w:val="007C4522"/>
    <w:rPr>
      <w:rFonts w:ascii="Times" w:eastAsia="Times New Roman" w:hAnsi="Times" w:cs="Times New Roman"/>
      <w:b/>
      <w:bCs/>
      <w:sz w:val="20"/>
      <w:szCs w:val="20"/>
    </w:rPr>
  </w:style>
  <w:style w:type="character" w:styleId="Hyperlink">
    <w:name w:val="Hyperlink"/>
    <w:basedOn w:val="DefaultParagraphFont"/>
    <w:uiPriority w:val="99"/>
    <w:unhideWhenUsed/>
    <w:rsid w:val="007C4522"/>
    <w:rPr>
      <w:color w:val="0563C1" w:themeColor="hyperlink"/>
      <w:u w:val="single"/>
    </w:rPr>
  </w:style>
  <w:style w:type="paragraph" w:customStyle="1" w:styleId="EndNoteBibliographyTitle">
    <w:name w:val="EndNote Bibliography Title"/>
    <w:basedOn w:val="Normal"/>
    <w:link w:val="EndNoteBibliographyTitleChar"/>
    <w:rsid w:val="007C4522"/>
    <w:pPr>
      <w:spacing w:after="0"/>
      <w:jc w:val="center"/>
    </w:pPr>
    <w:rPr>
      <w:rFonts w:cs="Times"/>
      <w:noProof/>
    </w:rPr>
  </w:style>
  <w:style w:type="character" w:customStyle="1" w:styleId="TAMainTextChar">
    <w:name w:val="TA_Main_Text Char"/>
    <w:basedOn w:val="DefaultParagraphFont"/>
    <w:link w:val="TAMainText"/>
    <w:rsid w:val="007C4522"/>
    <w:rPr>
      <w:rFonts w:ascii="Times" w:eastAsia="Times New Roman" w:hAnsi="Times" w:cs="Times New Roman"/>
      <w:sz w:val="24"/>
      <w:szCs w:val="20"/>
    </w:rPr>
  </w:style>
  <w:style w:type="character" w:customStyle="1" w:styleId="EndNoteBibliographyTitleChar">
    <w:name w:val="EndNote Bibliography Title Char"/>
    <w:basedOn w:val="TAMainTextChar"/>
    <w:link w:val="EndNoteBibliographyTitle"/>
    <w:rsid w:val="007C4522"/>
    <w:rPr>
      <w:rFonts w:ascii="Times" w:eastAsia="Times New Roman" w:hAnsi="Times" w:cs="Times"/>
      <w:noProof/>
      <w:sz w:val="24"/>
      <w:szCs w:val="20"/>
    </w:rPr>
  </w:style>
  <w:style w:type="paragraph" w:customStyle="1" w:styleId="EndNoteBibliography">
    <w:name w:val="EndNote Bibliography"/>
    <w:basedOn w:val="Normal"/>
    <w:link w:val="EndNoteBibliographyChar"/>
    <w:rsid w:val="007C4522"/>
    <w:rPr>
      <w:rFonts w:cs="Times"/>
      <w:noProof/>
    </w:rPr>
  </w:style>
  <w:style w:type="character" w:customStyle="1" w:styleId="EndNoteBibliographyChar">
    <w:name w:val="EndNote Bibliography Char"/>
    <w:basedOn w:val="TAMainTextChar"/>
    <w:link w:val="EndNoteBibliography"/>
    <w:rsid w:val="007C4522"/>
    <w:rPr>
      <w:rFonts w:ascii="Times" w:eastAsia="Times New Roman" w:hAnsi="Times" w:cs="Times"/>
      <w:noProof/>
      <w:sz w:val="24"/>
      <w:szCs w:val="20"/>
    </w:rPr>
  </w:style>
  <w:style w:type="character" w:styleId="FollowedHyperlink">
    <w:name w:val="FollowedHyperlink"/>
    <w:basedOn w:val="DefaultParagraphFont"/>
    <w:uiPriority w:val="99"/>
    <w:semiHidden/>
    <w:unhideWhenUsed/>
    <w:rsid w:val="007C4522"/>
    <w:rPr>
      <w:color w:val="954F72" w:themeColor="followedHyperlink"/>
      <w:u w:val="single"/>
    </w:rPr>
  </w:style>
  <w:style w:type="character" w:customStyle="1" w:styleId="current-selection">
    <w:name w:val="current-selection"/>
    <w:basedOn w:val="DefaultParagraphFont"/>
    <w:rsid w:val="007C4522"/>
  </w:style>
  <w:style w:type="character" w:customStyle="1" w:styleId="ws1">
    <w:name w:val="ws1"/>
    <w:basedOn w:val="DefaultParagraphFont"/>
    <w:rsid w:val="007C4522"/>
  </w:style>
  <w:style w:type="character" w:customStyle="1" w:styleId="enhanced-reference">
    <w:name w:val="enhanced-reference"/>
    <w:basedOn w:val="DefaultParagraphFont"/>
    <w:rsid w:val="007C4522"/>
  </w:style>
  <w:style w:type="paragraph" w:customStyle="1" w:styleId="Default">
    <w:name w:val="Default"/>
    <w:rsid w:val="007C4522"/>
    <w:pPr>
      <w:autoSpaceDE w:val="0"/>
      <w:autoSpaceDN w:val="0"/>
      <w:adjustRightInd w:val="0"/>
      <w:spacing w:after="0" w:line="240" w:lineRule="auto"/>
    </w:pPr>
    <w:rPr>
      <w:rFonts w:ascii="Minion Pro" w:hAnsi="Minion Pro" w:cs="Minion Pro"/>
      <w:color w:val="000000"/>
      <w:sz w:val="24"/>
      <w:szCs w:val="24"/>
      <w:lang w:val="nb-NO"/>
    </w:rPr>
  </w:style>
  <w:style w:type="paragraph" w:customStyle="1" w:styleId="Pa2">
    <w:name w:val="Pa2"/>
    <w:basedOn w:val="Default"/>
    <w:next w:val="Default"/>
    <w:uiPriority w:val="99"/>
    <w:rsid w:val="007C4522"/>
    <w:pPr>
      <w:spacing w:line="167" w:lineRule="atLeast"/>
    </w:pPr>
    <w:rPr>
      <w:rFonts w:cstheme="minorBidi"/>
      <w:color w:val="auto"/>
    </w:rPr>
  </w:style>
  <w:style w:type="character" w:customStyle="1" w:styleId="A4">
    <w:name w:val="A4"/>
    <w:uiPriority w:val="99"/>
    <w:rsid w:val="007C4522"/>
    <w:rPr>
      <w:rFonts w:cs="Minion Pro"/>
      <w:color w:val="000000"/>
      <w:sz w:val="10"/>
      <w:szCs w:val="10"/>
    </w:rPr>
  </w:style>
  <w:style w:type="character" w:styleId="EndnoteReference">
    <w:name w:val="endnote reference"/>
    <w:basedOn w:val="DefaultParagraphFont"/>
    <w:uiPriority w:val="99"/>
    <w:semiHidden/>
    <w:unhideWhenUsed/>
    <w:rsid w:val="00BB56EB"/>
    <w:rPr>
      <w:vertAlign w:val="superscript"/>
    </w:rPr>
  </w:style>
  <w:style w:type="character" w:styleId="LineNumber">
    <w:name w:val="line number"/>
    <w:basedOn w:val="DefaultParagraphFont"/>
    <w:uiPriority w:val="99"/>
    <w:semiHidden/>
    <w:unhideWhenUsed/>
    <w:rsid w:val="00B018A6"/>
  </w:style>
  <w:style w:type="character" w:styleId="HTMLCite">
    <w:name w:val="HTML Cite"/>
    <w:basedOn w:val="DefaultParagraphFont"/>
    <w:uiPriority w:val="99"/>
    <w:semiHidden/>
    <w:unhideWhenUsed/>
    <w:rsid w:val="004C5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893-018-0079-z" TargetMode="External"/><Relationship Id="rId13" Type="http://schemas.openxmlformats.org/officeDocument/2006/relationships/image" Target="media/image2.jpeg"/><Relationship Id="rId18" Type="http://schemas.openxmlformats.org/officeDocument/2006/relationships/chart" Target="charts/chart3.xml"/><Relationship Id="rId26" Type="http://schemas.openxmlformats.org/officeDocument/2006/relationships/hyperlink" Target="http://www.exiobase.eu"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jpeg"/><Relationship Id="rId25" Type="http://schemas.openxmlformats.org/officeDocument/2006/relationships/hyperlink" Target="http://www.exiobase.e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4.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6.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header" Target="header1.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winfil.it.ntnu.no\EPT_eksperimentell\indecol\Projects\MRIOs\Analysis\Eutrophication%20Footprint\Modeling\GlobalFEPMEPfigu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nfil.it.ntnu.no\EPT_eksperimentell\indecol\Projects\MRIOs\Analysis\Eutrophication%20Footprint\Modeling\GlobalFEPMEPfigu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nfil.it.ntnu.no\EPT_eksperimentell\indecol\Projects\MRIOs\Analysis\Eutrophication%20Footprint\Modeling\TimeSeriesMEP_Figure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infil.it.ntnu.no\EPT_eksperimentell\indecol\Projects\MRIOs\Analysis\Eutrophication%20Footprint\Modeling\TimeSeriesMEP_Figure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elles.ansatt.ntnu.no\ivt\indecol\USERS\Helen%20Ann\Eutrophication%20Footprint\Modeling\TimeSeriesFE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infil.it.ntnu.no\EPT_eksperimentell\indecol\Projects\MRIOs\Analysis\Eutrophication%20Footprint\Modeling\TimeSeriesFEP_Figure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a:t>Global Marine Eutrophication</a:t>
            </a:r>
          </a:p>
        </c:rich>
      </c:tx>
      <c:layout>
        <c:manualLayout>
          <c:xMode val="edge"/>
          <c:yMode val="edge"/>
          <c:x val="0.2368016370228925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autoTitleDeleted val="0"/>
    <c:plotArea>
      <c:layout>
        <c:manualLayout>
          <c:layoutTarget val="inner"/>
          <c:xMode val="edge"/>
          <c:yMode val="edge"/>
          <c:x val="0.13801780066923811"/>
          <c:y val="0.12101839478416379"/>
          <c:w val="0.8399766996885677"/>
          <c:h val="0.77024715075344097"/>
        </c:manualLayout>
      </c:layout>
      <c:barChart>
        <c:barDir val="col"/>
        <c:grouping val="stacked"/>
        <c:varyColors val="0"/>
        <c:ser>
          <c:idx val="0"/>
          <c:order val="0"/>
          <c:tx>
            <c:strRef>
              <c:f>'MEP figure 1'!$B$18</c:f>
              <c:strCache>
                <c:ptCount val="1"/>
                <c:pt idx="0">
                  <c:v>Domestic</c:v>
                </c:pt>
              </c:strCache>
            </c:strRef>
          </c:tx>
          <c:spPr>
            <a:solidFill>
              <a:srgbClr val="7F7F7F"/>
            </a:solidFill>
            <a:ln>
              <a:noFill/>
            </a:ln>
            <a:effectLst/>
          </c:spPr>
          <c:invertIfNegative val="0"/>
          <c:cat>
            <c:numRef>
              <c:f>'MEP figure 1'!$A$19:$A$29</c:f>
              <c:numCache>
                <c:formatCode>General</c:formatCode>
                <c:ptCount val="11"/>
                <c:pt idx="1">
                  <c:v>2000</c:v>
                </c:pt>
                <c:pt idx="5">
                  <c:v>2005</c:v>
                </c:pt>
                <c:pt idx="9">
                  <c:v>2011</c:v>
                </c:pt>
              </c:numCache>
            </c:numRef>
          </c:cat>
          <c:val>
            <c:numRef>
              <c:f>'MEP figure 1'!$B$19:$B$29</c:f>
              <c:numCache>
                <c:formatCode>General</c:formatCode>
                <c:ptCount val="11"/>
                <c:pt idx="0">
                  <c:v>20.869654350137068</c:v>
                </c:pt>
                <c:pt idx="4">
                  <c:v>22.231445222757529</c:v>
                </c:pt>
                <c:pt idx="8">
                  <c:v>24.596207319732812</c:v>
                </c:pt>
              </c:numCache>
            </c:numRef>
          </c:val>
          <c:extLst>
            <c:ext xmlns:c16="http://schemas.microsoft.com/office/drawing/2014/chart" uri="{C3380CC4-5D6E-409C-BE32-E72D297353CC}">
              <c16:uniqueId val="{00000000-CE78-48E0-81B1-298AC58FDE20}"/>
            </c:ext>
          </c:extLst>
        </c:ser>
        <c:ser>
          <c:idx val="3"/>
          <c:order val="1"/>
          <c:tx>
            <c:strRef>
              <c:f>'MEP figure 1'!$E$18</c:f>
              <c:strCache>
                <c:ptCount val="1"/>
                <c:pt idx="0">
                  <c:v>Animal Husbandry</c:v>
                </c:pt>
              </c:strCache>
            </c:strRef>
          </c:tx>
          <c:spPr>
            <a:solidFill>
              <a:srgbClr val="E3D599"/>
            </a:solidFill>
            <a:ln>
              <a:noFill/>
            </a:ln>
            <a:effectLst/>
          </c:spPr>
          <c:invertIfNegative val="0"/>
          <c:cat>
            <c:numRef>
              <c:f>'MEP figure 1'!$A$19:$A$29</c:f>
              <c:numCache>
                <c:formatCode>General</c:formatCode>
                <c:ptCount val="11"/>
                <c:pt idx="1">
                  <c:v>2000</c:v>
                </c:pt>
                <c:pt idx="5">
                  <c:v>2005</c:v>
                </c:pt>
                <c:pt idx="9">
                  <c:v>2011</c:v>
                </c:pt>
              </c:numCache>
            </c:numRef>
          </c:cat>
          <c:val>
            <c:numRef>
              <c:f>'MEP figure 1'!$E$19:$E$29</c:f>
              <c:numCache>
                <c:formatCode>General</c:formatCode>
                <c:ptCount val="11"/>
                <c:pt idx="1">
                  <c:v>10.584540702430305</c:v>
                </c:pt>
                <c:pt idx="5">
                  <c:v>10.724926007452819</c:v>
                </c:pt>
                <c:pt idx="9">
                  <c:v>11.292670746593194</c:v>
                </c:pt>
              </c:numCache>
            </c:numRef>
          </c:val>
          <c:extLst>
            <c:ext xmlns:c16="http://schemas.microsoft.com/office/drawing/2014/chart" uri="{C3380CC4-5D6E-409C-BE32-E72D297353CC}">
              <c16:uniqueId val="{00000001-CE78-48E0-81B1-298AC58FDE20}"/>
            </c:ext>
          </c:extLst>
        </c:ser>
        <c:ser>
          <c:idx val="6"/>
          <c:order val="2"/>
          <c:tx>
            <c:strRef>
              <c:f>'MEP figure 1'!$H$18</c:f>
              <c:strCache>
                <c:ptCount val="1"/>
                <c:pt idx="0">
                  <c:v>Food</c:v>
                </c:pt>
              </c:strCache>
            </c:strRef>
          </c:tx>
          <c:spPr>
            <a:solidFill>
              <a:srgbClr val="B49B32"/>
            </a:solidFill>
            <a:ln>
              <a:noFill/>
            </a:ln>
            <a:effectLst/>
          </c:spPr>
          <c:invertIfNegative val="0"/>
          <c:cat>
            <c:numRef>
              <c:f>'MEP figure 1'!$A$19:$A$29</c:f>
              <c:numCache>
                <c:formatCode>General</c:formatCode>
                <c:ptCount val="11"/>
                <c:pt idx="1">
                  <c:v>2000</c:v>
                </c:pt>
                <c:pt idx="5">
                  <c:v>2005</c:v>
                </c:pt>
                <c:pt idx="9">
                  <c:v>2011</c:v>
                </c:pt>
              </c:numCache>
            </c:numRef>
          </c:cat>
          <c:val>
            <c:numRef>
              <c:f>'MEP figure 1'!$H$19:$H$29</c:f>
              <c:numCache>
                <c:formatCode>General</c:formatCode>
                <c:ptCount val="11"/>
                <c:pt idx="2">
                  <c:v>19.006851206657128</c:v>
                </c:pt>
                <c:pt idx="6">
                  <c:v>19.927414754839699</c:v>
                </c:pt>
                <c:pt idx="10">
                  <c:v>21.54326596186888</c:v>
                </c:pt>
              </c:numCache>
            </c:numRef>
          </c:val>
          <c:extLst>
            <c:ext xmlns:c16="http://schemas.microsoft.com/office/drawing/2014/chart" uri="{C3380CC4-5D6E-409C-BE32-E72D297353CC}">
              <c16:uniqueId val="{00000002-CE78-48E0-81B1-298AC58FDE20}"/>
            </c:ext>
          </c:extLst>
        </c:ser>
        <c:ser>
          <c:idx val="1"/>
          <c:order val="3"/>
          <c:tx>
            <c:strRef>
              <c:f>'MEP figure 1'!$C$18</c:f>
              <c:strCache>
                <c:ptCount val="1"/>
                <c:pt idx="0">
                  <c:v>Import</c:v>
                </c:pt>
              </c:strCache>
            </c:strRef>
          </c:tx>
          <c:spPr>
            <a:solidFill>
              <a:srgbClr val="9DC3E6"/>
            </a:solidFill>
            <a:ln>
              <a:noFill/>
            </a:ln>
            <a:effectLst/>
          </c:spPr>
          <c:invertIfNegative val="0"/>
          <c:cat>
            <c:numRef>
              <c:f>'MEP figure 1'!$A$19:$A$29</c:f>
              <c:numCache>
                <c:formatCode>General</c:formatCode>
                <c:ptCount val="11"/>
                <c:pt idx="1">
                  <c:v>2000</c:v>
                </c:pt>
                <c:pt idx="5">
                  <c:v>2005</c:v>
                </c:pt>
                <c:pt idx="9">
                  <c:v>2011</c:v>
                </c:pt>
              </c:numCache>
            </c:numRef>
          </c:cat>
          <c:val>
            <c:numRef>
              <c:f>'MEP figure 1'!$C$19:$C$29</c:f>
              <c:numCache>
                <c:formatCode>General</c:formatCode>
                <c:ptCount val="11"/>
                <c:pt idx="0">
                  <c:v>6.8510914626955692</c:v>
                </c:pt>
                <c:pt idx="4">
                  <c:v>7.4750965861602872</c:v>
                </c:pt>
                <c:pt idx="8">
                  <c:v>8.6858341787602509</c:v>
                </c:pt>
              </c:numCache>
            </c:numRef>
          </c:val>
          <c:extLst>
            <c:ext xmlns:c16="http://schemas.microsoft.com/office/drawing/2014/chart" uri="{C3380CC4-5D6E-409C-BE32-E72D297353CC}">
              <c16:uniqueId val="{00000003-CE78-48E0-81B1-298AC58FDE20}"/>
            </c:ext>
          </c:extLst>
        </c:ser>
        <c:ser>
          <c:idx val="4"/>
          <c:order val="4"/>
          <c:tx>
            <c:strRef>
              <c:f>'MEP figure 1'!$F$18</c:f>
              <c:strCache>
                <c:ptCount val="1"/>
                <c:pt idx="0">
                  <c:v>Crop Production</c:v>
                </c:pt>
              </c:strCache>
            </c:strRef>
          </c:tx>
          <c:spPr>
            <a:solidFill>
              <a:srgbClr val="5A8C7A"/>
            </a:solidFill>
            <a:ln>
              <a:noFill/>
            </a:ln>
            <a:effectLst/>
          </c:spPr>
          <c:invertIfNegative val="0"/>
          <c:cat>
            <c:numRef>
              <c:f>'MEP figure 1'!$A$19:$A$29</c:f>
              <c:numCache>
                <c:formatCode>General</c:formatCode>
                <c:ptCount val="11"/>
                <c:pt idx="1">
                  <c:v>2000</c:v>
                </c:pt>
                <c:pt idx="5">
                  <c:v>2005</c:v>
                </c:pt>
                <c:pt idx="9">
                  <c:v>2011</c:v>
                </c:pt>
              </c:numCache>
            </c:numRef>
          </c:cat>
          <c:val>
            <c:numRef>
              <c:f>'MEP figure 1'!$F$19:$F$29</c:f>
              <c:numCache>
                <c:formatCode>General</c:formatCode>
                <c:ptCount val="11"/>
                <c:pt idx="1">
                  <c:v>12.857773115711083</c:v>
                </c:pt>
                <c:pt idx="5">
                  <c:v>14.528451790914165</c:v>
                </c:pt>
                <c:pt idx="9">
                  <c:v>16.739689385910793</c:v>
                </c:pt>
              </c:numCache>
            </c:numRef>
          </c:val>
          <c:extLst>
            <c:ext xmlns:c16="http://schemas.microsoft.com/office/drawing/2014/chart" uri="{C3380CC4-5D6E-409C-BE32-E72D297353CC}">
              <c16:uniqueId val="{00000004-CE78-48E0-81B1-298AC58FDE20}"/>
            </c:ext>
          </c:extLst>
        </c:ser>
        <c:ser>
          <c:idx val="7"/>
          <c:order val="5"/>
          <c:tx>
            <c:strRef>
              <c:f>'MEP figure 1'!$I$18</c:f>
              <c:strCache>
                <c:ptCount val="1"/>
                <c:pt idx="0">
                  <c:v>Nonfood</c:v>
                </c:pt>
              </c:strCache>
            </c:strRef>
          </c:tx>
          <c:spPr>
            <a:solidFill>
              <a:srgbClr val="604A7A"/>
            </a:solidFill>
            <a:ln>
              <a:noFill/>
            </a:ln>
            <a:effectLst/>
          </c:spPr>
          <c:invertIfNegative val="0"/>
          <c:cat>
            <c:numRef>
              <c:f>'MEP figure 1'!$A$19:$A$29</c:f>
              <c:numCache>
                <c:formatCode>General</c:formatCode>
                <c:ptCount val="11"/>
                <c:pt idx="1">
                  <c:v>2000</c:v>
                </c:pt>
                <c:pt idx="5">
                  <c:v>2005</c:v>
                </c:pt>
                <c:pt idx="9">
                  <c:v>2011</c:v>
                </c:pt>
              </c:numCache>
            </c:numRef>
          </c:cat>
          <c:val>
            <c:numRef>
              <c:f>'MEP figure 1'!$I$19:$I$29</c:f>
              <c:numCache>
                <c:formatCode>General</c:formatCode>
                <c:ptCount val="11"/>
                <c:pt idx="2">
                  <c:v>8.7138946061755025</c:v>
                </c:pt>
                <c:pt idx="6">
                  <c:v>9.7791270540781152</c:v>
                </c:pt>
                <c:pt idx="10">
                  <c:v>11.738775536624175</c:v>
                </c:pt>
              </c:numCache>
            </c:numRef>
          </c:val>
          <c:extLst>
            <c:ext xmlns:c16="http://schemas.microsoft.com/office/drawing/2014/chart" uri="{C3380CC4-5D6E-409C-BE32-E72D297353CC}">
              <c16:uniqueId val="{00000005-CE78-48E0-81B1-298AC58FDE20}"/>
            </c:ext>
          </c:extLst>
        </c:ser>
        <c:ser>
          <c:idx val="2"/>
          <c:order val="6"/>
          <c:tx>
            <c:strRef>
              <c:f>'MEP figure 1'!$D$18</c:f>
              <c:strCache>
                <c:ptCount val="1"/>
              </c:strCache>
            </c:strRef>
          </c:tx>
          <c:spPr>
            <a:noFill/>
            <a:ln>
              <a:noFill/>
            </a:ln>
            <a:effectLst/>
          </c:spPr>
          <c:invertIfNegative val="0"/>
          <c:cat>
            <c:numRef>
              <c:f>'MEP figure 1'!$A$19:$A$29</c:f>
              <c:numCache>
                <c:formatCode>General</c:formatCode>
                <c:ptCount val="11"/>
                <c:pt idx="1">
                  <c:v>2000</c:v>
                </c:pt>
                <c:pt idx="5">
                  <c:v>2005</c:v>
                </c:pt>
                <c:pt idx="9">
                  <c:v>2011</c:v>
                </c:pt>
              </c:numCache>
            </c:numRef>
          </c:cat>
          <c:val>
            <c:numRef>
              <c:f>'MEP figure 1'!$D$19:$D$29</c:f>
              <c:numCache>
                <c:formatCode>General</c:formatCode>
                <c:ptCount val="11"/>
              </c:numCache>
            </c:numRef>
          </c:val>
          <c:extLst>
            <c:ext xmlns:c16="http://schemas.microsoft.com/office/drawing/2014/chart" uri="{C3380CC4-5D6E-409C-BE32-E72D297353CC}">
              <c16:uniqueId val="{00000006-CE78-48E0-81B1-298AC58FDE20}"/>
            </c:ext>
          </c:extLst>
        </c:ser>
        <c:ser>
          <c:idx val="5"/>
          <c:order val="7"/>
          <c:tx>
            <c:strRef>
              <c:f>'MEP figure 1'!$G$18</c:f>
              <c:strCache>
                <c:ptCount val="1"/>
                <c:pt idx="0">
                  <c:v>Other Sectors</c:v>
                </c:pt>
              </c:strCache>
            </c:strRef>
          </c:tx>
          <c:spPr>
            <a:solidFill>
              <a:srgbClr val="9B85B5"/>
            </a:solidFill>
            <a:ln>
              <a:noFill/>
            </a:ln>
            <a:effectLst/>
          </c:spPr>
          <c:invertIfNegative val="0"/>
          <c:cat>
            <c:numRef>
              <c:f>'MEP figure 1'!$A$19:$A$29</c:f>
              <c:numCache>
                <c:formatCode>General</c:formatCode>
                <c:ptCount val="11"/>
                <c:pt idx="1">
                  <c:v>2000</c:v>
                </c:pt>
                <c:pt idx="5">
                  <c:v>2005</c:v>
                </c:pt>
                <c:pt idx="9">
                  <c:v>2011</c:v>
                </c:pt>
              </c:numCache>
            </c:numRef>
          </c:cat>
          <c:val>
            <c:numRef>
              <c:f>'MEP figure 1'!$G$19:$G$29</c:f>
              <c:numCache>
                <c:formatCode>General</c:formatCode>
                <c:ptCount val="11"/>
                <c:pt idx="1">
                  <c:v>4.2784319946912417</c:v>
                </c:pt>
                <c:pt idx="5">
                  <c:v>4.4531640105508226</c:v>
                </c:pt>
                <c:pt idx="9">
                  <c:v>5.2496813659890567</c:v>
                </c:pt>
              </c:numCache>
            </c:numRef>
          </c:val>
          <c:extLst>
            <c:ext xmlns:c16="http://schemas.microsoft.com/office/drawing/2014/chart" uri="{C3380CC4-5D6E-409C-BE32-E72D297353CC}">
              <c16:uniqueId val="{00000007-CE78-48E0-81B1-298AC58FDE20}"/>
            </c:ext>
          </c:extLst>
        </c:ser>
        <c:dLbls>
          <c:showLegendKey val="0"/>
          <c:showVal val="0"/>
          <c:showCatName val="0"/>
          <c:showSerName val="0"/>
          <c:showPercent val="0"/>
          <c:showBubbleSize val="0"/>
        </c:dLbls>
        <c:gapWidth val="150"/>
        <c:overlap val="100"/>
        <c:axId val="767565160"/>
        <c:axId val="767565944"/>
      </c:barChart>
      <c:catAx>
        <c:axId val="767565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767565944"/>
        <c:crosses val="autoZero"/>
        <c:auto val="1"/>
        <c:lblAlgn val="ctr"/>
        <c:lblOffset val="100"/>
        <c:noMultiLvlLbl val="0"/>
      </c:catAx>
      <c:valAx>
        <c:axId val="767565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a:t>Mt N</a:t>
                </a:r>
                <a:r>
                  <a:rPr lang="en-US" baseline="0"/>
                  <a:t> eq.</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767565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a:t>Global Freshwater Eutrophication</a:t>
            </a:r>
          </a:p>
        </c:rich>
      </c:tx>
      <c:layout>
        <c:manualLayout>
          <c:xMode val="edge"/>
          <c:yMode val="edge"/>
          <c:x val="0.20685923053588151"/>
          <c:y val="3.404255319148936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autoTitleDeleted val="0"/>
    <c:plotArea>
      <c:layout>
        <c:manualLayout>
          <c:layoutTarget val="inner"/>
          <c:xMode val="edge"/>
          <c:yMode val="edge"/>
          <c:x val="0.16863888291879148"/>
          <c:y val="0.15103546099290777"/>
          <c:w val="0.79451020235373804"/>
          <c:h val="0.70744267604847255"/>
        </c:manualLayout>
      </c:layout>
      <c:barChart>
        <c:barDir val="col"/>
        <c:grouping val="stacked"/>
        <c:varyColors val="0"/>
        <c:ser>
          <c:idx val="0"/>
          <c:order val="0"/>
          <c:tx>
            <c:strRef>
              <c:f>'FEP figure 1'!$B$2</c:f>
              <c:strCache>
                <c:ptCount val="1"/>
                <c:pt idx="0">
                  <c:v>Domestic</c:v>
                </c:pt>
              </c:strCache>
            </c:strRef>
          </c:tx>
          <c:spPr>
            <a:solidFill>
              <a:srgbClr val="7F7F7F"/>
            </a:solidFill>
            <a:ln>
              <a:noFill/>
            </a:ln>
            <a:effectLst/>
          </c:spPr>
          <c:invertIfNegative val="0"/>
          <c:cat>
            <c:numRef>
              <c:f>'FEP figure 1'!$A$4:$A$13</c:f>
              <c:numCache>
                <c:formatCode>General</c:formatCode>
                <c:ptCount val="10"/>
                <c:pt idx="1">
                  <c:v>2000</c:v>
                </c:pt>
                <c:pt idx="5">
                  <c:v>2005</c:v>
                </c:pt>
                <c:pt idx="9">
                  <c:v>2011</c:v>
                </c:pt>
              </c:numCache>
            </c:numRef>
          </c:cat>
          <c:val>
            <c:numRef>
              <c:f>'FEP figure 1'!$B$3:$B$13</c:f>
              <c:numCache>
                <c:formatCode>General</c:formatCode>
                <c:ptCount val="11"/>
                <c:pt idx="0">
                  <c:v>996.28281046109976</c:v>
                </c:pt>
                <c:pt idx="4">
                  <c:v>1093.3036283929287</c:v>
                </c:pt>
                <c:pt idx="8">
                  <c:v>1208.7822636984326</c:v>
                </c:pt>
              </c:numCache>
            </c:numRef>
          </c:val>
          <c:extLst>
            <c:ext xmlns:c16="http://schemas.microsoft.com/office/drawing/2014/chart" uri="{C3380CC4-5D6E-409C-BE32-E72D297353CC}">
              <c16:uniqueId val="{00000000-7BAD-419B-8C7B-9BD0D7FD9CB6}"/>
            </c:ext>
          </c:extLst>
        </c:ser>
        <c:ser>
          <c:idx val="1"/>
          <c:order val="1"/>
          <c:tx>
            <c:strRef>
              <c:f>'FEP figure 1'!$C$2</c:f>
              <c:strCache>
                <c:ptCount val="1"/>
                <c:pt idx="0">
                  <c:v>Import</c:v>
                </c:pt>
              </c:strCache>
            </c:strRef>
          </c:tx>
          <c:spPr>
            <a:solidFill>
              <a:srgbClr val="9DC3E6"/>
            </a:solidFill>
            <a:ln>
              <a:noFill/>
            </a:ln>
            <a:effectLst/>
          </c:spPr>
          <c:invertIfNegative val="0"/>
          <c:cat>
            <c:numRef>
              <c:f>'FEP figure 1'!$A$4:$A$13</c:f>
              <c:numCache>
                <c:formatCode>General</c:formatCode>
                <c:ptCount val="10"/>
                <c:pt idx="1">
                  <c:v>2000</c:v>
                </c:pt>
                <c:pt idx="5">
                  <c:v>2005</c:v>
                </c:pt>
                <c:pt idx="9">
                  <c:v>2011</c:v>
                </c:pt>
              </c:numCache>
            </c:numRef>
          </c:cat>
          <c:val>
            <c:numRef>
              <c:f>'FEP figure 1'!$C$3:$C$13</c:f>
              <c:numCache>
                <c:formatCode>General</c:formatCode>
                <c:ptCount val="11"/>
                <c:pt idx="0">
                  <c:v>273.98427081565933</c:v>
                </c:pt>
                <c:pt idx="4">
                  <c:v>296.12920401962975</c:v>
                </c:pt>
                <c:pt idx="8">
                  <c:v>312.96009730333139</c:v>
                </c:pt>
              </c:numCache>
            </c:numRef>
          </c:val>
          <c:extLst>
            <c:ext xmlns:c16="http://schemas.microsoft.com/office/drawing/2014/chart" uri="{C3380CC4-5D6E-409C-BE32-E72D297353CC}">
              <c16:uniqueId val="{00000001-7BAD-419B-8C7B-9BD0D7FD9CB6}"/>
            </c:ext>
          </c:extLst>
        </c:ser>
        <c:ser>
          <c:idx val="2"/>
          <c:order val="2"/>
          <c:tx>
            <c:strRef>
              <c:f>'FEP figure 1'!$E$2</c:f>
              <c:strCache>
                <c:ptCount val="1"/>
                <c:pt idx="0">
                  <c:v>Animal Husbandry</c:v>
                </c:pt>
              </c:strCache>
            </c:strRef>
          </c:tx>
          <c:spPr>
            <a:solidFill>
              <a:srgbClr val="E3D599"/>
            </a:solidFill>
            <a:ln>
              <a:noFill/>
            </a:ln>
            <a:effectLst/>
          </c:spPr>
          <c:invertIfNegative val="0"/>
          <c:cat>
            <c:numRef>
              <c:f>'FEP figure 1'!$A$4:$A$13</c:f>
              <c:numCache>
                <c:formatCode>General</c:formatCode>
                <c:ptCount val="10"/>
                <c:pt idx="1">
                  <c:v>2000</c:v>
                </c:pt>
                <c:pt idx="5">
                  <c:v>2005</c:v>
                </c:pt>
                <c:pt idx="9">
                  <c:v>2011</c:v>
                </c:pt>
              </c:numCache>
            </c:numRef>
          </c:cat>
          <c:val>
            <c:numRef>
              <c:f>'FEP figure 1'!$E$3:$E$13</c:f>
              <c:numCache>
                <c:formatCode>General</c:formatCode>
                <c:ptCount val="11"/>
                <c:pt idx="1">
                  <c:v>950.95622022040732</c:v>
                </c:pt>
                <c:pt idx="5">
                  <c:v>1022.528175845409</c:v>
                </c:pt>
                <c:pt idx="9">
                  <c:v>1094.928741899706</c:v>
                </c:pt>
              </c:numCache>
            </c:numRef>
          </c:val>
          <c:extLst>
            <c:ext xmlns:c16="http://schemas.microsoft.com/office/drawing/2014/chart" uri="{C3380CC4-5D6E-409C-BE32-E72D297353CC}">
              <c16:uniqueId val="{00000002-7BAD-419B-8C7B-9BD0D7FD9CB6}"/>
            </c:ext>
          </c:extLst>
        </c:ser>
        <c:ser>
          <c:idx val="3"/>
          <c:order val="3"/>
          <c:tx>
            <c:strRef>
              <c:f>'FEP figure 1'!$F$2</c:f>
              <c:strCache>
                <c:ptCount val="1"/>
                <c:pt idx="0">
                  <c:v>Crop Production</c:v>
                </c:pt>
              </c:strCache>
            </c:strRef>
          </c:tx>
          <c:spPr>
            <a:solidFill>
              <a:srgbClr val="5A8C7A"/>
            </a:solidFill>
            <a:ln>
              <a:noFill/>
            </a:ln>
            <a:effectLst/>
          </c:spPr>
          <c:invertIfNegative val="0"/>
          <c:cat>
            <c:numRef>
              <c:f>'FEP figure 1'!$A$4:$A$13</c:f>
              <c:numCache>
                <c:formatCode>General</c:formatCode>
                <c:ptCount val="10"/>
                <c:pt idx="1">
                  <c:v>2000</c:v>
                </c:pt>
                <c:pt idx="5">
                  <c:v>2005</c:v>
                </c:pt>
                <c:pt idx="9">
                  <c:v>2011</c:v>
                </c:pt>
              </c:numCache>
            </c:numRef>
          </c:cat>
          <c:val>
            <c:numRef>
              <c:f>'FEP figure 1'!$F$3:$F$13</c:f>
              <c:numCache>
                <c:formatCode>General</c:formatCode>
                <c:ptCount val="11"/>
                <c:pt idx="1">
                  <c:v>146.19632210036241</c:v>
                </c:pt>
                <c:pt idx="5">
                  <c:v>164.31917423385653</c:v>
                </c:pt>
                <c:pt idx="9">
                  <c:v>178.95294956897837</c:v>
                </c:pt>
              </c:numCache>
            </c:numRef>
          </c:val>
          <c:extLst>
            <c:ext xmlns:c16="http://schemas.microsoft.com/office/drawing/2014/chart" uri="{C3380CC4-5D6E-409C-BE32-E72D297353CC}">
              <c16:uniqueId val="{00000003-7BAD-419B-8C7B-9BD0D7FD9CB6}"/>
            </c:ext>
          </c:extLst>
        </c:ser>
        <c:ser>
          <c:idx val="4"/>
          <c:order val="4"/>
          <c:tx>
            <c:strRef>
              <c:f>'FEP figure 1'!$G$2</c:f>
              <c:strCache>
                <c:ptCount val="1"/>
                <c:pt idx="0">
                  <c:v>Other Sectors</c:v>
                </c:pt>
              </c:strCache>
            </c:strRef>
          </c:tx>
          <c:spPr>
            <a:solidFill>
              <a:srgbClr val="9B85B5"/>
            </a:solidFill>
            <a:ln>
              <a:noFill/>
            </a:ln>
            <a:effectLst/>
          </c:spPr>
          <c:invertIfNegative val="0"/>
          <c:cat>
            <c:numRef>
              <c:f>'FEP figure 1'!$A$4:$A$13</c:f>
              <c:numCache>
                <c:formatCode>General</c:formatCode>
                <c:ptCount val="10"/>
                <c:pt idx="1">
                  <c:v>2000</c:v>
                </c:pt>
                <c:pt idx="5">
                  <c:v>2005</c:v>
                </c:pt>
                <c:pt idx="9">
                  <c:v>2011</c:v>
                </c:pt>
              </c:numCache>
            </c:numRef>
          </c:cat>
          <c:val>
            <c:numRef>
              <c:f>'FEP figure 1'!$G$3:$G$13</c:f>
              <c:numCache>
                <c:formatCode>General</c:formatCode>
                <c:ptCount val="11"/>
                <c:pt idx="1">
                  <c:v>173.11453895598959</c:v>
                </c:pt>
                <c:pt idx="5">
                  <c:v>202.5854823332927</c:v>
                </c:pt>
                <c:pt idx="9">
                  <c:v>247.86066953307943</c:v>
                </c:pt>
              </c:numCache>
            </c:numRef>
          </c:val>
          <c:extLst>
            <c:ext xmlns:c16="http://schemas.microsoft.com/office/drawing/2014/chart" uri="{C3380CC4-5D6E-409C-BE32-E72D297353CC}">
              <c16:uniqueId val="{00000004-7BAD-419B-8C7B-9BD0D7FD9CB6}"/>
            </c:ext>
          </c:extLst>
        </c:ser>
        <c:ser>
          <c:idx val="5"/>
          <c:order val="5"/>
          <c:tx>
            <c:strRef>
              <c:f>'FEP figure 1'!$H$2</c:f>
              <c:strCache>
                <c:ptCount val="1"/>
                <c:pt idx="0">
                  <c:v>Food</c:v>
                </c:pt>
              </c:strCache>
            </c:strRef>
          </c:tx>
          <c:spPr>
            <a:solidFill>
              <a:srgbClr val="B49B32"/>
            </a:solidFill>
            <a:ln>
              <a:noFill/>
            </a:ln>
            <a:effectLst/>
          </c:spPr>
          <c:invertIfNegative val="0"/>
          <c:cat>
            <c:numRef>
              <c:f>'FEP figure 1'!$A$4:$A$13</c:f>
              <c:numCache>
                <c:formatCode>General</c:formatCode>
                <c:ptCount val="10"/>
                <c:pt idx="1">
                  <c:v>2000</c:v>
                </c:pt>
                <c:pt idx="5">
                  <c:v>2005</c:v>
                </c:pt>
                <c:pt idx="9">
                  <c:v>2011</c:v>
                </c:pt>
              </c:numCache>
            </c:numRef>
          </c:cat>
          <c:val>
            <c:numRef>
              <c:f>'FEP figure 1'!$H$3:$H$13</c:f>
              <c:numCache>
                <c:formatCode>General</c:formatCode>
                <c:ptCount val="11"/>
                <c:pt idx="2">
                  <c:v>854.18016991690274</c:v>
                </c:pt>
                <c:pt idx="6">
                  <c:v>901.79589904478007</c:v>
                </c:pt>
                <c:pt idx="10">
                  <c:v>945.90878855643666</c:v>
                </c:pt>
              </c:numCache>
            </c:numRef>
          </c:val>
          <c:extLst>
            <c:ext xmlns:c16="http://schemas.microsoft.com/office/drawing/2014/chart" uri="{C3380CC4-5D6E-409C-BE32-E72D297353CC}">
              <c16:uniqueId val="{00000005-7BAD-419B-8C7B-9BD0D7FD9CB6}"/>
            </c:ext>
          </c:extLst>
        </c:ser>
        <c:ser>
          <c:idx val="6"/>
          <c:order val="6"/>
          <c:tx>
            <c:strRef>
              <c:f>'FEP figure 1'!$I$2</c:f>
              <c:strCache>
                <c:ptCount val="1"/>
                <c:pt idx="0">
                  <c:v>Nonfood</c:v>
                </c:pt>
              </c:strCache>
            </c:strRef>
          </c:tx>
          <c:spPr>
            <a:solidFill>
              <a:srgbClr val="604A7A"/>
            </a:solidFill>
            <a:ln>
              <a:noFill/>
            </a:ln>
            <a:effectLst/>
          </c:spPr>
          <c:invertIfNegative val="0"/>
          <c:cat>
            <c:numRef>
              <c:f>'FEP figure 1'!$A$4:$A$13</c:f>
              <c:numCache>
                <c:formatCode>General</c:formatCode>
                <c:ptCount val="10"/>
                <c:pt idx="1">
                  <c:v>2000</c:v>
                </c:pt>
                <c:pt idx="5">
                  <c:v>2005</c:v>
                </c:pt>
                <c:pt idx="9">
                  <c:v>2011</c:v>
                </c:pt>
              </c:numCache>
            </c:numRef>
          </c:cat>
          <c:val>
            <c:numRef>
              <c:f>'FEP figure 1'!$I$3:$I$13</c:f>
              <c:numCache>
                <c:formatCode>General</c:formatCode>
                <c:ptCount val="11"/>
                <c:pt idx="2">
                  <c:v>416.08691135985651</c:v>
                </c:pt>
                <c:pt idx="6">
                  <c:v>487.63693336777862</c:v>
                </c:pt>
                <c:pt idx="10">
                  <c:v>575.83357244532749</c:v>
                </c:pt>
              </c:numCache>
            </c:numRef>
          </c:val>
          <c:extLst>
            <c:ext xmlns:c16="http://schemas.microsoft.com/office/drawing/2014/chart" uri="{C3380CC4-5D6E-409C-BE32-E72D297353CC}">
              <c16:uniqueId val="{00000006-7BAD-419B-8C7B-9BD0D7FD9CB6}"/>
            </c:ext>
          </c:extLst>
        </c:ser>
        <c:dLbls>
          <c:showLegendKey val="0"/>
          <c:showVal val="0"/>
          <c:showCatName val="0"/>
          <c:showSerName val="0"/>
          <c:showPercent val="0"/>
          <c:showBubbleSize val="0"/>
        </c:dLbls>
        <c:gapWidth val="150"/>
        <c:overlap val="100"/>
        <c:axId val="767566336"/>
        <c:axId val="767562808"/>
        <c:extLst>
          <c:ext xmlns:c15="http://schemas.microsoft.com/office/drawing/2012/chart" uri="{02D57815-91ED-43cb-92C2-25804820EDAC}">
            <c15:filteredBarSeries>
              <c15:ser>
                <c:idx val="7"/>
                <c:order val="7"/>
                <c:tx>
                  <c:strRef>
                    <c:extLst>
                      <c:ext uri="{02D57815-91ED-43cb-92C2-25804820EDAC}">
                        <c15:formulaRef>
                          <c15:sqref>'FEP figure 1'!$J$2</c15:sqref>
                        </c15:formulaRef>
                      </c:ext>
                    </c:extLst>
                    <c:strCache>
                      <c:ptCount val="1"/>
                    </c:strCache>
                  </c:strRef>
                </c:tx>
                <c:spPr>
                  <a:solidFill>
                    <a:schemeClr val="accent2">
                      <a:lumMod val="60000"/>
                    </a:schemeClr>
                  </a:solidFill>
                  <a:ln>
                    <a:noFill/>
                  </a:ln>
                  <a:effectLst/>
                </c:spPr>
                <c:invertIfNegative val="0"/>
                <c:cat>
                  <c:numRef>
                    <c:extLst>
                      <c:ext uri="{02D57815-91ED-43cb-92C2-25804820EDAC}">
                        <c15:formulaRef>
                          <c15:sqref>'FEP figure 1'!$A$4:$A$13</c15:sqref>
                        </c15:formulaRef>
                      </c:ext>
                    </c:extLst>
                    <c:numCache>
                      <c:formatCode>General</c:formatCode>
                      <c:ptCount val="10"/>
                      <c:pt idx="1">
                        <c:v>2000</c:v>
                      </c:pt>
                      <c:pt idx="5">
                        <c:v>2005</c:v>
                      </c:pt>
                      <c:pt idx="9">
                        <c:v>2011</c:v>
                      </c:pt>
                    </c:numCache>
                  </c:numRef>
                </c:cat>
                <c:val>
                  <c:numRef>
                    <c:extLst>
                      <c:ext uri="{02D57815-91ED-43cb-92C2-25804820EDAC}">
                        <c15:formulaRef>
                          <c15:sqref>'FEP figure 1'!$J$3:$J$14</c15:sqref>
                        </c15:formulaRef>
                      </c:ext>
                    </c:extLst>
                    <c:numCache>
                      <c:formatCode>General</c:formatCode>
                      <c:ptCount val="12"/>
                    </c:numCache>
                  </c:numRef>
                </c:val>
                <c:extLst>
                  <c:ext xmlns:c16="http://schemas.microsoft.com/office/drawing/2014/chart" uri="{C3380CC4-5D6E-409C-BE32-E72D297353CC}">
                    <c16:uniqueId val="{00000007-7BAD-419B-8C7B-9BD0D7FD9CB6}"/>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'FEP figure 1'!$K$2</c15:sqref>
                        </c15:formulaRef>
                      </c:ext>
                    </c:extLst>
                    <c:strCache>
                      <c:ptCount val="1"/>
                    </c:strCache>
                  </c:strRef>
                </c:tx>
                <c:spPr>
                  <a:solidFill>
                    <a:schemeClr val="accent3">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'FEP figure 1'!$A$4:$A$13</c15:sqref>
                        </c15:formulaRef>
                      </c:ext>
                    </c:extLst>
                    <c:numCache>
                      <c:formatCode>General</c:formatCode>
                      <c:ptCount val="10"/>
                      <c:pt idx="1">
                        <c:v>2000</c:v>
                      </c:pt>
                      <c:pt idx="5">
                        <c:v>2005</c:v>
                      </c:pt>
                      <c:pt idx="9">
                        <c:v>2011</c:v>
                      </c:pt>
                    </c:numCache>
                  </c:numRef>
                </c:cat>
                <c:val>
                  <c:numRef>
                    <c:extLst xmlns:c15="http://schemas.microsoft.com/office/drawing/2012/chart">
                      <c:ext xmlns:c15="http://schemas.microsoft.com/office/drawing/2012/chart" uri="{02D57815-91ED-43cb-92C2-25804820EDAC}">
                        <c15:formulaRef>
                          <c15:sqref>'FEP figure 1'!$K$3:$K$14</c15:sqref>
                        </c15:formulaRef>
                      </c:ext>
                    </c:extLst>
                    <c:numCache>
                      <c:formatCode>General</c:formatCode>
                      <c:ptCount val="12"/>
                    </c:numCache>
                  </c:numRef>
                </c:val>
                <c:extLst xmlns:c15="http://schemas.microsoft.com/office/drawing/2012/chart">
                  <c:ext xmlns:c16="http://schemas.microsoft.com/office/drawing/2014/chart" uri="{C3380CC4-5D6E-409C-BE32-E72D297353CC}">
                    <c16:uniqueId val="{00000008-7BAD-419B-8C7B-9BD0D7FD9CB6}"/>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'FEP figure 1'!$L$2</c15:sqref>
                        </c15:formulaRef>
                      </c:ext>
                    </c:extLst>
                    <c:strCache>
                      <c:ptCount val="1"/>
                    </c:strCache>
                  </c:strRef>
                </c:tx>
                <c:spPr>
                  <a:solidFill>
                    <a:schemeClr val="accent4">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'FEP figure 1'!$A$4:$A$13</c15:sqref>
                        </c15:formulaRef>
                      </c:ext>
                    </c:extLst>
                    <c:numCache>
                      <c:formatCode>General</c:formatCode>
                      <c:ptCount val="10"/>
                      <c:pt idx="1">
                        <c:v>2000</c:v>
                      </c:pt>
                      <c:pt idx="5">
                        <c:v>2005</c:v>
                      </c:pt>
                      <c:pt idx="9">
                        <c:v>2011</c:v>
                      </c:pt>
                    </c:numCache>
                  </c:numRef>
                </c:cat>
                <c:val>
                  <c:numRef>
                    <c:extLst xmlns:c15="http://schemas.microsoft.com/office/drawing/2012/chart">
                      <c:ext xmlns:c15="http://schemas.microsoft.com/office/drawing/2012/chart" uri="{02D57815-91ED-43cb-92C2-25804820EDAC}">
                        <c15:formulaRef>
                          <c15:sqref>'FEP figure 1'!$L$3:$L$14</c15:sqref>
                        </c15:formulaRef>
                      </c:ext>
                    </c:extLst>
                    <c:numCache>
                      <c:formatCode>General</c:formatCode>
                      <c:ptCount val="12"/>
                    </c:numCache>
                  </c:numRef>
                </c:val>
                <c:extLst xmlns:c15="http://schemas.microsoft.com/office/drawing/2012/chart">
                  <c:ext xmlns:c16="http://schemas.microsoft.com/office/drawing/2014/chart" uri="{C3380CC4-5D6E-409C-BE32-E72D297353CC}">
                    <c16:uniqueId val="{00000009-7BAD-419B-8C7B-9BD0D7FD9CB6}"/>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'FEP figure 1'!$M$2</c15:sqref>
                        </c15:formulaRef>
                      </c:ext>
                    </c:extLst>
                    <c:strCache>
                      <c:ptCount val="1"/>
                    </c:strCache>
                  </c:strRef>
                </c:tx>
                <c:spPr>
                  <a:solidFill>
                    <a:schemeClr val="accent5">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'FEP figure 1'!$A$4:$A$13</c15:sqref>
                        </c15:formulaRef>
                      </c:ext>
                    </c:extLst>
                    <c:numCache>
                      <c:formatCode>General</c:formatCode>
                      <c:ptCount val="10"/>
                      <c:pt idx="1">
                        <c:v>2000</c:v>
                      </c:pt>
                      <c:pt idx="5">
                        <c:v>2005</c:v>
                      </c:pt>
                      <c:pt idx="9">
                        <c:v>2011</c:v>
                      </c:pt>
                    </c:numCache>
                  </c:numRef>
                </c:cat>
                <c:val>
                  <c:numRef>
                    <c:extLst xmlns:c15="http://schemas.microsoft.com/office/drawing/2012/chart">
                      <c:ext xmlns:c15="http://schemas.microsoft.com/office/drawing/2012/chart" uri="{02D57815-91ED-43cb-92C2-25804820EDAC}">
                        <c15:formulaRef>
                          <c15:sqref>'FEP figure 1'!$M$3:$M$14</c15:sqref>
                        </c15:formulaRef>
                      </c:ext>
                    </c:extLst>
                    <c:numCache>
                      <c:formatCode>General</c:formatCode>
                      <c:ptCount val="12"/>
                    </c:numCache>
                  </c:numRef>
                </c:val>
                <c:extLst xmlns:c15="http://schemas.microsoft.com/office/drawing/2012/chart">
                  <c:ext xmlns:c16="http://schemas.microsoft.com/office/drawing/2014/chart" uri="{C3380CC4-5D6E-409C-BE32-E72D297353CC}">
                    <c16:uniqueId val="{0000000A-7BAD-419B-8C7B-9BD0D7FD9CB6}"/>
                  </c:ext>
                </c:extLst>
              </c15:ser>
            </c15:filteredBarSeries>
          </c:ext>
        </c:extLst>
      </c:barChart>
      <c:catAx>
        <c:axId val="76756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767562808"/>
        <c:crosses val="autoZero"/>
        <c:auto val="1"/>
        <c:lblAlgn val="ctr"/>
        <c:lblOffset val="100"/>
        <c:noMultiLvlLbl val="0"/>
      </c:catAx>
      <c:valAx>
        <c:axId val="767562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a:t>kt P eq.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767566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sz="900">
                <a:latin typeface="Segoe UI Light" panose="020B0502040204020203" pitchFamily="34" charset="0"/>
                <a:cs typeface="Segoe UI Light" panose="020B0502040204020203" pitchFamily="34" charset="0"/>
              </a:rPr>
              <a:t>Global Trade ME FP by Production</a:t>
            </a:r>
            <a:r>
              <a:rPr lang="en-US" sz="900" baseline="0">
                <a:latin typeface="Segoe UI Light" panose="020B0502040204020203" pitchFamily="34" charset="0"/>
                <a:cs typeface="Segoe UI Light" panose="020B0502040204020203" pitchFamily="34" charset="0"/>
              </a:rPr>
              <a:t> Sector</a:t>
            </a:r>
            <a:endParaRPr lang="en-US" sz="900">
              <a:latin typeface="Segoe UI Light" panose="020B0502040204020203" pitchFamily="34" charset="0"/>
              <a:cs typeface="Segoe UI Light" panose="020B0502040204020203" pitchFamily="34" charset="0"/>
            </a:endParaRPr>
          </a:p>
        </c:rich>
      </c:tx>
      <c:layout>
        <c:manualLayout>
          <c:xMode val="edge"/>
          <c:yMode val="edge"/>
          <c:x val="0.16120007827840285"/>
          <c:y val="5.01667531079573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autoTitleDeleted val="0"/>
    <c:plotArea>
      <c:layout>
        <c:manualLayout>
          <c:layoutTarget val="inner"/>
          <c:xMode val="edge"/>
          <c:yMode val="edge"/>
          <c:x val="9.0488514403446019E-2"/>
          <c:y val="0.14800925925925926"/>
          <c:w val="0.60782520168782306"/>
          <c:h val="0.49835070017445426"/>
        </c:manualLayout>
      </c:layout>
      <c:scatterChart>
        <c:scatterStyle val="lineMarker"/>
        <c:varyColors val="0"/>
        <c:ser>
          <c:idx val="0"/>
          <c:order val="0"/>
          <c:tx>
            <c:strRef>
              <c:f>Figure2!$B$14</c:f>
              <c:strCache>
                <c:ptCount val="1"/>
                <c:pt idx="0">
                  <c:v>Animal Husbandry</c:v>
                </c:pt>
              </c:strCache>
            </c:strRef>
          </c:tx>
          <c:spPr>
            <a:ln w="19050" cap="rnd">
              <a:solidFill>
                <a:srgbClr val="E3D599"/>
              </a:solidFill>
              <a:round/>
            </a:ln>
            <a:effectLst/>
          </c:spPr>
          <c:marker>
            <c:symbol val="none"/>
          </c:marker>
          <c:xVal>
            <c:numRef>
              <c:f>Figure2!$C$13:$N$13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xVal>
          <c:yVal>
            <c:numRef>
              <c:f>Figure2!$C$14:$N$14</c:f>
              <c:numCache>
                <c:formatCode>General</c:formatCode>
                <c:ptCount val="12"/>
                <c:pt idx="0">
                  <c:v>2.5271466656857271</c:v>
                </c:pt>
                <c:pt idx="1">
                  <c:v>2.4077413617185646</c:v>
                </c:pt>
                <c:pt idx="2">
                  <c:v>2.3330630084673056</c:v>
                </c:pt>
                <c:pt idx="3">
                  <c:v>2.3652744230111122</c:v>
                </c:pt>
                <c:pt idx="4">
                  <c:v>2.4698495840481463</c:v>
                </c:pt>
                <c:pt idx="5">
                  <c:v>2.5494010007665393</c:v>
                </c:pt>
                <c:pt idx="6">
                  <c:v>2.5137623108792018</c:v>
                </c:pt>
                <c:pt idx="7">
                  <c:v>2.420105890319852</c:v>
                </c:pt>
                <c:pt idx="8">
                  <c:v>2.3972367675378559</c:v>
                </c:pt>
                <c:pt idx="9">
                  <c:v>2.3577006318724885</c:v>
                </c:pt>
                <c:pt idx="10">
                  <c:v>2.5969186355459177</c:v>
                </c:pt>
                <c:pt idx="11">
                  <c:v>2.5885809206892709</c:v>
                </c:pt>
              </c:numCache>
            </c:numRef>
          </c:yVal>
          <c:smooth val="0"/>
          <c:extLst>
            <c:ext xmlns:c16="http://schemas.microsoft.com/office/drawing/2014/chart" uri="{C3380CC4-5D6E-409C-BE32-E72D297353CC}">
              <c16:uniqueId val="{00000000-16FE-43D1-89B1-6CA979B8F49F}"/>
            </c:ext>
          </c:extLst>
        </c:ser>
        <c:ser>
          <c:idx val="1"/>
          <c:order val="1"/>
          <c:tx>
            <c:strRef>
              <c:f>Figure2!$B$17</c:f>
              <c:strCache>
                <c:ptCount val="1"/>
                <c:pt idx="0">
                  <c:v>Crop Production</c:v>
                </c:pt>
              </c:strCache>
            </c:strRef>
          </c:tx>
          <c:spPr>
            <a:ln w="19050" cap="rnd">
              <a:solidFill>
                <a:srgbClr val="5A8C7A"/>
              </a:solidFill>
              <a:round/>
            </a:ln>
            <a:effectLst/>
          </c:spPr>
          <c:marker>
            <c:symbol val="none"/>
          </c:marker>
          <c:xVal>
            <c:numRef>
              <c:f>Figure2!$C$13:$N$13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xVal>
          <c:yVal>
            <c:numRef>
              <c:f>Figure2!$C$17:$N$17</c:f>
              <c:numCache>
                <c:formatCode>General</c:formatCode>
                <c:ptCount val="12"/>
                <c:pt idx="0">
                  <c:v>3.2372722540778951</c:v>
                </c:pt>
                <c:pt idx="1">
                  <c:v>3.2181824443050546</c:v>
                </c:pt>
                <c:pt idx="2">
                  <c:v>3.4511573231888759</c:v>
                </c:pt>
                <c:pt idx="3">
                  <c:v>3.3355558872095235</c:v>
                </c:pt>
                <c:pt idx="4">
                  <c:v>3.5239325980353406</c:v>
                </c:pt>
                <c:pt idx="5">
                  <c:v>3.8102634402783067</c:v>
                </c:pt>
                <c:pt idx="6">
                  <c:v>3.9329095871748252</c:v>
                </c:pt>
                <c:pt idx="7">
                  <c:v>3.9475287386692224</c:v>
                </c:pt>
                <c:pt idx="8">
                  <c:v>4.2965602783204613</c:v>
                </c:pt>
                <c:pt idx="9">
                  <c:v>4.3503830834391248</c:v>
                </c:pt>
                <c:pt idx="10">
                  <c:v>4.6193514734111316</c:v>
                </c:pt>
                <c:pt idx="11">
                  <c:v>4.8261156456378114</c:v>
                </c:pt>
              </c:numCache>
            </c:numRef>
          </c:yVal>
          <c:smooth val="0"/>
          <c:extLst>
            <c:ext xmlns:c16="http://schemas.microsoft.com/office/drawing/2014/chart" uri="{C3380CC4-5D6E-409C-BE32-E72D297353CC}">
              <c16:uniqueId val="{00000001-16FE-43D1-89B1-6CA979B8F49F}"/>
            </c:ext>
          </c:extLst>
        </c:ser>
        <c:ser>
          <c:idx val="2"/>
          <c:order val="2"/>
          <c:tx>
            <c:strRef>
              <c:f>Figure2!$B$20</c:f>
              <c:strCache>
                <c:ptCount val="1"/>
                <c:pt idx="0">
                  <c:v>Other Sectors</c:v>
                </c:pt>
              </c:strCache>
            </c:strRef>
          </c:tx>
          <c:spPr>
            <a:ln w="19050" cap="rnd">
              <a:solidFill>
                <a:srgbClr val="9B85B5"/>
              </a:solidFill>
              <a:round/>
            </a:ln>
            <a:effectLst/>
          </c:spPr>
          <c:marker>
            <c:symbol val="none"/>
          </c:marker>
          <c:xVal>
            <c:numRef>
              <c:f>Figure2!$C$13:$N$13</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xVal>
          <c:yVal>
            <c:numRef>
              <c:f>Figure2!$C$20:$N$20</c:f>
              <c:numCache>
                <c:formatCode>General</c:formatCode>
                <c:ptCount val="12"/>
                <c:pt idx="0">
                  <c:v>1.0866725429319448</c:v>
                </c:pt>
                <c:pt idx="1">
                  <c:v>0.95697236495337468</c:v>
                </c:pt>
                <c:pt idx="2">
                  <c:v>0.93313385483462485</c:v>
                </c:pt>
                <c:pt idx="3">
                  <c:v>1.0025521090487763</c:v>
                </c:pt>
                <c:pt idx="4">
                  <c:v>1.1115587057250436</c:v>
                </c:pt>
                <c:pt idx="5">
                  <c:v>1.1154321451154401</c:v>
                </c:pt>
                <c:pt idx="6">
                  <c:v>1.2158381633785851</c:v>
                </c:pt>
                <c:pt idx="7">
                  <c:v>1.4828970340617815</c:v>
                </c:pt>
                <c:pt idx="8">
                  <c:v>1.3450919863939426</c:v>
                </c:pt>
                <c:pt idx="9">
                  <c:v>0.95485619656794574</c:v>
                </c:pt>
                <c:pt idx="10">
                  <c:v>1.3600847438788766</c:v>
                </c:pt>
                <c:pt idx="11">
                  <c:v>1.2711376124331686</c:v>
                </c:pt>
              </c:numCache>
            </c:numRef>
          </c:yVal>
          <c:smooth val="0"/>
          <c:extLst>
            <c:ext xmlns:c16="http://schemas.microsoft.com/office/drawing/2014/chart" uri="{C3380CC4-5D6E-409C-BE32-E72D297353CC}">
              <c16:uniqueId val="{00000002-16FE-43D1-89B1-6CA979B8F49F}"/>
            </c:ext>
          </c:extLst>
        </c:ser>
        <c:dLbls>
          <c:showLegendKey val="0"/>
          <c:showVal val="0"/>
          <c:showCatName val="0"/>
          <c:showSerName val="0"/>
          <c:showPercent val="0"/>
          <c:showBubbleSize val="0"/>
        </c:dLbls>
        <c:axId val="616892008"/>
        <c:axId val="616890440"/>
      </c:scatterChart>
      <c:valAx>
        <c:axId val="616892008"/>
        <c:scaling>
          <c:orientation val="minMax"/>
          <c:max val="2011"/>
          <c:min val="2000"/>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2460000" spcFirstLastPara="1" vertOverflow="ellipsis"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616890440"/>
        <c:crosses val="autoZero"/>
        <c:crossBetween val="midCat"/>
        <c:majorUnit val="1"/>
      </c:valAx>
      <c:valAx>
        <c:axId val="616890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Segoe UI Light" panose="020B0502040204020203" pitchFamily="34" charset="0"/>
                    <a:cs typeface="Segoe UI Light" panose="020B0502040204020203" pitchFamily="34" charset="0"/>
                  </a:rPr>
                  <a:t>Mt N eq.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616892008"/>
        <c:crosses val="autoZero"/>
        <c:crossBetween val="midCat"/>
      </c:valAx>
      <c:spPr>
        <a:noFill/>
        <a:ln>
          <a:noFill/>
        </a:ln>
        <a:effectLst/>
      </c:spPr>
    </c:plotArea>
    <c:legend>
      <c:legendPos val="r"/>
      <c:layout>
        <c:manualLayout>
          <c:xMode val="edge"/>
          <c:yMode val="edge"/>
          <c:x val="0.72281375676965276"/>
          <c:y val="0.33001713109214642"/>
          <c:w val="0.27718624323034741"/>
          <c:h val="0.379646376538262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sz="1000"/>
              <a:t>Global Trade ME FP by Consumed Product Type</a:t>
            </a:r>
          </a:p>
        </c:rich>
      </c:tx>
      <c:layout>
        <c:manualLayout>
          <c:xMode val="edge"/>
          <c:yMode val="edge"/>
          <c:x val="0.19408459188503077"/>
          <c:y val="9.039548022598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autoTitleDeleted val="0"/>
    <c:plotArea>
      <c:layout>
        <c:manualLayout>
          <c:layoutTarget val="inner"/>
          <c:xMode val="edge"/>
          <c:yMode val="edge"/>
          <c:x val="0.13808433721186514"/>
          <c:y val="0.23238044396992749"/>
          <c:w val="0.63408416161094627"/>
          <c:h val="0.54718744902649885"/>
        </c:manualLayout>
      </c:layout>
      <c:lineChart>
        <c:grouping val="standard"/>
        <c:varyColors val="0"/>
        <c:ser>
          <c:idx val="0"/>
          <c:order val="0"/>
          <c:tx>
            <c:strRef>
              <c:f>Figure2!$B$10</c:f>
              <c:strCache>
                <c:ptCount val="1"/>
                <c:pt idx="0">
                  <c:v>Food</c:v>
                </c:pt>
              </c:strCache>
            </c:strRef>
          </c:tx>
          <c:spPr>
            <a:ln w="19050" cap="rnd">
              <a:solidFill>
                <a:srgbClr val="B49B32"/>
              </a:solidFill>
              <a:round/>
            </a:ln>
            <a:effectLst/>
          </c:spPr>
          <c:marker>
            <c:symbol val="none"/>
          </c:marker>
          <c:cat>
            <c:numRef>
              <c:f>Figure2!$C$9:$N$9</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Figure2!$C$26:$N$26</c:f>
              <c:numCache>
                <c:formatCode>General</c:formatCode>
                <c:ptCount val="12"/>
                <c:pt idx="0">
                  <c:v>3.7398108806903214</c:v>
                </c:pt>
                <c:pt idx="1">
                  <c:v>3.7163398109579755</c:v>
                </c:pt>
                <c:pt idx="2">
                  <c:v>3.7925598343684239</c:v>
                </c:pt>
                <c:pt idx="3">
                  <c:v>3.6852097719191406</c:v>
                </c:pt>
                <c:pt idx="4">
                  <c:v>3.7799905432287142</c:v>
                </c:pt>
                <c:pt idx="5">
                  <c:v>3.8913229989787959</c:v>
                </c:pt>
                <c:pt idx="6">
                  <c:v>3.8683716187756718</c:v>
                </c:pt>
                <c:pt idx="7">
                  <c:v>3.8847322716436561</c:v>
                </c:pt>
                <c:pt idx="8">
                  <c:v>3.9269923577381629</c:v>
                </c:pt>
                <c:pt idx="9">
                  <c:v>4.0052328086905886</c:v>
                </c:pt>
                <c:pt idx="10">
                  <c:v>4.2859010487170863</c:v>
                </c:pt>
                <c:pt idx="11">
                  <c:v>4.4265367360674386</c:v>
                </c:pt>
              </c:numCache>
            </c:numRef>
          </c:val>
          <c:smooth val="0"/>
          <c:extLst>
            <c:ext xmlns:c16="http://schemas.microsoft.com/office/drawing/2014/chart" uri="{C3380CC4-5D6E-409C-BE32-E72D297353CC}">
              <c16:uniqueId val="{00000000-F728-4E3C-A8E7-641961EF99C6}"/>
            </c:ext>
          </c:extLst>
        </c:ser>
        <c:ser>
          <c:idx val="1"/>
          <c:order val="1"/>
          <c:tx>
            <c:strRef>
              <c:f>Figure2!$B$11</c:f>
              <c:strCache>
                <c:ptCount val="1"/>
                <c:pt idx="0">
                  <c:v>Nonfood</c:v>
                </c:pt>
              </c:strCache>
            </c:strRef>
          </c:tx>
          <c:spPr>
            <a:ln w="19050" cap="rnd">
              <a:solidFill>
                <a:srgbClr val="604A7A"/>
              </a:solidFill>
              <a:round/>
            </a:ln>
            <a:effectLst/>
          </c:spPr>
          <c:marker>
            <c:symbol val="none"/>
          </c:marker>
          <c:cat>
            <c:numRef>
              <c:f>Figure2!$C$9:$N$9</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Figure2!$C$27:$N$27</c:f>
              <c:numCache>
                <c:formatCode>General</c:formatCode>
                <c:ptCount val="12"/>
                <c:pt idx="0">
                  <c:v>3.1112805820052438</c:v>
                </c:pt>
                <c:pt idx="1">
                  <c:v>2.8665563600190187</c:v>
                </c:pt>
                <c:pt idx="2">
                  <c:v>2.9247943521223809</c:v>
                </c:pt>
                <c:pt idx="3">
                  <c:v>3.0181726473502701</c:v>
                </c:pt>
                <c:pt idx="4">
                  <c:v>3.3253503445798165</c:v>
                </c:pt>
                <c:pt idx="5">
                  <c:v>3.58377358718149</c:v>
                </c:pt>
                <c:pt idx="6">
                  <c:v>3.7941384426569398</c:v>
                </c:pt>
                <c:pt idx="7">
                  <c:v>3.9657993914071992</c:v>
                </c:pt>
                <c:pt idx="8">
                  <c:v>4.1118966745140995</c:v>
                </c:pt>
                <c:pt idx="9">
                  <c:v>3.6577071031889696</c:v>
                </c:pt>
                <c:pt idx="10">
                  <c:v>4.290453804118842</c:v>
                </c:pt>
                <c:pt idx="11">
                  <c:v>4.2592974426928132</c:v>
                </c:pt>
              </c:numCache>
            </c:numRef>
          </c:val>
          <c:smooth val="0"/>
          <c:extLst>
            <c:ext xmlns:c16="http://schemas.microsoft.com/office/drawing/2014/chart" uri="{C3380CC4-5D6E-409C-BE32-E72D297353CC}">
              <c16:uniqueId val="{00000001-F728-4E3C-A8E7-641961EF99C6}"/>
            </c:ext>
          </c:extLst>
        </c:ser>
        <c:dLbls>
          <c:showLegendKey val="0"/>
          <c:showVal val="0"/>
          <c:showCatName val="0"/>
          <c:showSerName val="0"/>
          <c:showPercent val="0"/>
          <c:showBubbleSize val="0"/>
        </c:dLbls>
        <c:smooth val="0"/>
        <c:axId val="616892792"/>
        <c:axId val="616889656"/>
      </c:lineChart>
      <c:catAx>
        <c:axId val="61689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460000" spcFirstLastPara="1" vertOverflow="ellipsis"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616889656"/>
        <c:crosses val="autoZero"/>
        <c:auto val="1"/>
        <c:lblAlgn val="ctr"/>
        <c:lblOffset val="100"/>
        <c:noMultiLvlLbl val="0"/>
      </c:catAx>
      <c:valAx>
        <c:axId val="616889656"/>
        <c:scaling>
          <c:orientation val="minMax"/>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a:t>Mt N eq.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616892792"/>
        <c:crosses val="autoZero"/>
        <c:crossBetween val="between"/>
      </c:valAx>
      <c:spPr>
        <a:noFill/>
        <a:ln>
          <a:noFill/>
        </a:ln>
        <a:effectLst/>
      </c:spPr>
    </c:plotArea>
    <c:legend>
      <c:legendPos val="r"/>
      <c:layout>
        <c:manualLayout>
          <c:xMode val="edge"/>
          <c:yMode val="edge"/>
          <c:x val="0.8009014242072201"/>
          <c:y val="0.44952711419547131"/>
          <c:w val="0.17450841185835378"/>
          <c:h val="0.208666459065498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sz="900"/>
              <a:t>Global</a:t>
            </a:r>
            <a:r>
              <a:rPr lang="en-US" sz="900" baseline="0"/>
              <a:t> Trade </a:t>
            </a:r>
            <a:r>
              <a:rPr lang="en-US" sz="900" b="0" i="0" u="none" strike="noStrike" kern="1200" spc="0" baseline="0">
                <a:solidFill>
                  <a:sysClr val="windowText" lastClr="000000">
                    <a:lumMod val="65000"/>
                    <a:lumOff val="35000"/>
                  </a:sysClr>
                </a:solidFill>
                <a:latin typeface="Segoe UI Light" panose="020B0502040204020203" pitchFamily="34" charset="0"/>
                <a:ea typeface="+mn-ea"/>
                <a:cs typeface="Segoe UI Light" panose="020B0502040204020203" pitchFamily="34" charset="0"/>
              </a:rPr>
              <a:t>FE</a:t>
            </a:r>
            <a:r>
              <a:rPr lang="en-US" sz="900" baseline="0"/>
              <a:t> FP by Production Sector</a:t>
            </a:r>
            <a:endParaRPr lang="en-US" sz="900"/>
          </a:p>
        </c:rich>
      </c:tx>
      <c:layout>
        <c:manualLayout>
          <c:xMode val="edge"/>
          <c:yMode val="edge"/>
          <c:x val="0.18580798882316071"/>
          <c:y val="0"/>
        </c:manualLayout>
      </c:layout>
      <c:overlay val="1"/>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autoTitleDeleted val="0"/>
    <c:plotArea>
      <c:layout>
        <c:manualLayout>
          <c:layoutTarget val="inner"/>
          <c:xMode val="edge"/>
          <c:yMode val="edge"/>
          <c:x val="0.13382787751906247"/>
          <c:y val="0.13672413195046654"/>
          <c:w val="0.56261414790318187"/>
          <c:h val="0.52713725762253283"/>
        </c:manualLayout>
      </c:layout>
      <c:lineChart>
        <c:grouping val="standard"/>
        <c:varyColors val="0"/>
        <c:ser>
          <c:idx val="0"/>
          <c:order val="0"/>
          <c:tx>
            <c:strRef>
              <c:f>Sheet1!$A$18</c:f>
              <c:strCache>
                <c:ptCount val="1"/>
                <c:pt idx="0">
                  <c:v>Animal Husbandry</c:v>
                </c:pt>
              </c:strCache>
            </c:strRef>
          </c:tx>
          <c:spPr>
            <a:ln w="19050" cap="rnd">
              <a:solidFill>
                <a:srgbClr val="E3D599"/>
              </a:solidFill>
              <a:round/>
            </a:ln>
            <a:effectLst/>
          </c:spPr>
          <c:marker>
            <c:symbol val="none"/>
          </c:marker>
          <c:cat>
            <c:numRef>
              <c:f>Sheet1!$B$17:$M$17</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Sheet1!$B$18:$M$18</c:f>
              <c:numCache>
                <c:formatCode>General</c:formatCode>
                <c:ptCount val="12"/>
                <c:pt idx="0">
                  <c:v>235.70568295351151</c:v>
                </c:pt>
                <c:pt idx="1">
                  <c:v>245.53324962104767</c:v>
                </c:pt>
                <c:pt idx="2">
                  <c:v>252.72682494416784</c:v>
                </c:pt>
                <c:pt idx="3">
                  <c:v>227.59675307021254</c:v>
                </c:pt>
                <c:pt idx="4">
                  <c:v>219.02212977897605</c:v>
                </c:pt>
                <c:pt idx="5">
                  <c:v>239.08390072234394</c:v>
                </c:pt>
                <c:pt idx="6">
                  <c:v>258.30682958535186</c:v>
                </c:pt>
                <c:pt idx="7">
                  <c:v>257.66279636021193</c:v>
                </c:pt>
                <c:pt idx="8">
                  <c:v>271.94523585128576</c:v>
                </c:pt>
                <c:pt idx="9">
                  <c:v>244.72640605627151</c:v>
                </c:pt>
                <c:pt idx="10">
                  <c:v>257.83105158056844</c:v>
                </c:pt>
                <c:pt idx="11">
                  <c:v>259.89708675906689</c:v>
                </c:pt>
              </c:numCache>
            </c:numRef>
          </c:val>
          <c:smooth val="0"/>
          <c:extLst>
            <c:ext xmlns:c16="http://schemas.microsoft.com/office/drawing/2014/chart" uri="{C3380CC4-5D6E-409C-BE32-E72D297353CC}">
              <c16:uniqueId val="{00000000-CE24-44A4-ADAC-10809C70C2F6}"/>
            </c:ext>
          </c:extLst>
        </c:ser>
        <c:ser>
          <c:idx val="1"/>
          <c:order val="1"/>
          <c:tx>
            <c:strRef>
              <c:f>Sheet1!$A$19</c:f>
              <c:strCache>
                <c:ptCount val="1"/>
                <c:pt idx="0">
                  <c:v>Crop Production</c:v>
                </c:pt>
              </c:strCache>
            </c:strRef>
          </c:tx>
          <c:spPr>
            <a:ln w="19050" cap="rnd">
              <a:solidFill>
                <a:srgbClr val="5A8C7A"/>
              </a:solidFill>
              <a:round/>
            </a:ln>
            <a:effectLst/>
          </c:spPr>
          <c:marker>
            <c:symbol val="none"/>
          </c:marker>
          <c:cat>
            <c:numRef>
              <c:f>Sheet1!$B$17:$M$17</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Sheet1!$B$19:$M$19</c:f>
              <c:numCache>
                <c:formatCode>General</c:formatCode>
                <c:ptCount val="12"/>
                <c:pt idx="0">
                  <c:v>40.420780201523598</c:v>
                </c:pt>
                <c:pt idx="1">
                  <c:v>49.002208710756094</c:v>
                </c:pt>
                <c:pt idx="2">
                  <c:v>51.606429549961312</c:v>
                </c:pt>
                <c:pt idx="3">
                  <c:v>58.564996373526171</c:v>
                </c:pt>
                <c:pt idx="4">
                  <c:v>52.96471678488308</c:v>
                </c:pt>
                <c:pt idx="5">
                  <c:v>44.088741759434548</c:v>
                </c:pt>
                <c:pt idx="6">
                  <c:v>57.050328468486484</c:v>
                </c:pt>
                <c:pt idx="7">
                  <c:v>63.491703320744868</c:v>
                </c:pt>
                <c:pt idx="8">
                  <c:v>35.943939227453455</c:v>
                </c:pt>
                <c:pt idx="9">
                  <c:v>43.819997015737627</c:v>
                </c:pt>
                <c:pt idx="10">
                  <c:v>49.026556401296951</c:v>
                </c:pt>
                <c:pt idx="11">
                  <c:v>59.784813020269986</c:v>
                </c:pt>
              </c:numCache>
            </c:numRef>
          </c:val>
          <c:smooth val="0"/>
          <c:extLst>
            <c:ext xmlns:c16="http://schemas.microsoft.com/office/drawing/2014/chart" uri="{C3380CC4-5D6E-409C-BE32-E72D297353CC}">
              <c16:uniqueId val="{00000001-CE24-44A4-ADAC-10809C70C2F6}"/>
            </c:ext>
          </c:extLst>
        </c:ser>
        <c:ser>
          <c:idx val="2"/>
          <c:order val="2"/>
          <c:tx>
            <c:strRef>
              <c:f>Sheet1!$A$20</c:f>
              <c:strCache>
                <c:ptCount val="1"/>
                <c:pt idx="0">
                  <c:v>Other Sectors</c:v>
                </c:pt>
              </c:strCache>
            </c:strRef>
          </c:tx>
          <c:spPr>
            <a:ln w="19050" cap="rnd">
              <a:solidFill>
                <a:srgbClr val="9B85B5"/>
              </a:solidFill>
              <a:round/>
            </a:ln>
            <a:effectLst/>
          </c:spPr>
          <c:marker>
            <c:symbol val="none"/>
          </c:marker>
          <c:cat>
            <c:numRef>
              <c:f>Sheet1!$B$17:$M$17</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Sheet1!$B$20:$M$20</c:f>
              <c:numCache>
                <c:formatCode>General</c:formatCode>
                <c:ptCount val="12"/>
                <c:pt idx="0">
                  <c:v>22.029067523781951</c:v>
                </c:pt>
                <c:pt idx="1">
                  <c:v>22.070556186944202</c:v>
                </c:pt>
                <c:pt idx="2">
                  <c:v>21.093303922322566</c:v>
                </c:pt>
                <c:pt idx="3">
                  <c:v>22.273477981308542</c:v>
                </c:pt>
                <c:pt idx="4">
                  <c:v>20.277194335223601</c:v>
                </c:pt>
                <c:pt idx="5">
                  <c:v>20.769234008221574</c:v>
                </c:pt>
                <c:pt idx="6">
                  <c:v>21.263503457426673</c:v>
                </c:pt>
                <c:pt idx="7">
                  <c:v>21.283650038555848</c:v>
                </c:pt>
                <c:pt idx="8">
                  <c:v>22.388966066547706</c:v>
                </c:pt>
                <c:pt idx="9">
                  <c:v>18.063524308076552</c:v>
                </c:pt>
                <c:pt idx="10">
                  <c:v>18.638335925507949</c:v>
                </c:pt>
                <c:pt idx="11">
                  <c:v>20.626624823005724</c:v>
                </c:pt>
              </c:numCache>
            </c:numRef>
          </c:val>
          <c:smooth val="0"/>
          <c:extLst>
            <c:ext xmlns:c16="http://schemas.microsoft.com/office/drawing/2014/chart" uri="{C3380CC4-5D6E-409C-BE32-E72D297353CC}">
              <c16:uniqueId val="{00000002-CE24-44A4-ADAC-10809C70C2F6}"/>
            </c:ext>
          </c:extLst>
        </c:ser>
        <c:dLbls>
          <c:showLegendKey val="0"/>
          <c:showVal val="0"/>
          <c:showCatName val="0"/>
          <c:showSerName val="0"/>
          <c:showPercent val="0"/>
          <c:showBubbleSize val="0"/>
        </c:dLbls>
        <c:smooth val="0"/>
        <c:axId val="616891224"/>
        <c:axId val="907293592"/>
      </c:lineChart>
      <c:catAx>
        <c:axId val="616891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907293592"/>
        <c:crosses val="autoZero"/>
        <c:auto val="1"/>
        <c:lblAlgn val="ctr"/>
        <c:lblOffset val="100"/>
        <c:noMultiLvlLbl val="0"/>
      </c:catAx>
      <c:valAx>
        <c:axId val="907293592"/>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r>
                  <a:rPr lang="en-US"/>
                  <a:t>kt</a:t>
                </a:r>
                <a:r>
                  <a:rPr lang="en-US" baseline="0"/>
                  <a:t> P. eq.</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616891224"/>
        <c:crosses val="autoZero"/>
        <c:crossBetween val="between"/>
      </c:valAx>
      <c:spPr>
        <a:noFill/>
        <a:ln>
          <a:noFill/>
        </a:ln>
        <a:effectLst/>
      </c:spPr>
    </c:plotArea>
    <c:legend>
      <c:legendPos val="r"/>
      <c:layout>
        <c:manualLayout>
          <c:xMode val="edge"/>
          <c:yMode val="edge"/>
          <c:x val="0.71277549030573806"/>
          <c:y val="0.17021912090291699"/>
          <c:w val="0.27408307076062022"/>
          <c:h val="0.4718124111138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legend>
    <c:plotVisOnly val="1"/>
    <c:dispBlanksAs val="gap"/>
    <c:showDLblsOverMax val="0"/>
  </c:chart>
  <c:spPr>
    <a:noFill/>
    <a:ln w="9525" cap="flat" cmpd="sng" algn="ctr">
      <a:noFill/>
      <a:round/>
    </a:ln>
    <a:effectLst/>
  </c:spPr>
  <c:txPr>
    <a:bodyPr/>
    <a:lstStyle/>
    <a:p>
      <a:pPr>
        <a:defRPr>
          <a:latin typeface="Segoe UI Light" panose="020B0502040204020203" pitchFamily="34" charset="0"/>
          <a:cs typeface="Segoe UI Light" panose="020B0502040204020203"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latin typeface="Segoe UI Light" panose="020B0502040204020203" pitchFamily="34" charset="0"/>
                <a:cs typeface="Segoe UI Light" panose="020B0502040204020203" pitchFamily="34" charset="0"/>
              </a:rPr>
              <a:t>Global Trade FE</a:t>
            </a:r>
            <a:r>
              <a:rPr lang="en-US" sz="900" baseline="0">
                <a:latin typeface="Segoe UI Light" panose="020B0502040204020203" pitchFamily="34" charset="0"/>
                <a:cs typeface="Segoe UI Light" panose="020B0502040204020203" pitchFamily="34" charset="0"/>
              </a:rPr>
              <a:t> FP </a:t>
            </a:r>
            <a:r>
              <a:rPr lang="en-US" sz="900">
                <a:latin typeface="Segoe UI Light" panose="020B0502040204020203" pitchFamily="34" charset="0"/>
                <a:cs typeface="Segoe UI Light" panose="020B0502040204020203" pitchFamily="34" charset="0"/>
              </a:rPr>
              <a:t>by</a:t>
            </a:r>
            <a:r>
              <a:rPr lang="en-US" sz="900" baseline="0">
                <a:latin typeface="Segoe UI Light" panose="020B0502040204020203" pitchFamily="34" charset="0"/>
                <a:cs typeface="Segoe UI Light" panose="020B0502040204020203" pitchFamily="34" charset="0"/>
              </a:rPr>
              <a:t> C</a:t>
            </a:r>
            <a:r>
              <a:rPr lang="en-US" sz="900">
                <a:latin typeface="Segoe UI Light" panose="020B0502040204020203" pitchFamily="34" charset="0"/>
                <a:cs typeface="Segoe UI Light" panose="020B0502040204020203" pitchFamily="34" charset="0"/>
              </a:rPr>
              <a:t>onsumed</a:t>
            </a:r>
            <a:r>
              <a:rPr lang="en-US" sz="900" baseline="0">
                <a:latin typeface="Segoe UI Light" panose="020B0502040204020203" pitchFamily="34" charset="0"/>
                <a:cs typeface="Segoe UI Light" panose="020B0502040204020203" pitchFamily="34" charset="0"/>
              </a:rPr>
              <a:t> Product Type</a:t>
            </a:r>
            <a:endParaRPr lang="en-US" sz="900">
              <a:latin typeface="Segoe UI Light" panose="020B0502040204020203" pitchFamily="34" charset="0"/>
              <a:cs typeface="Segoe UI Light" panose="020B0502040204020203" pitchFamily="34" charset="0"/>
            </a:endParaRPr>
          </a:p>
        </c:rich>
      </c:tx>
      <c:layout>
        <c:manualLayout>
          <c:xMode val="edge"/>
          <c:yMode val="edge"/>
          <c:x val="0.16747559274755927"/>
          <c:y val="1.2588021872988473E-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76595408870107"/>
          <c:y val="0.13908723837266007"/>
          <c:w val="0.5900455748470772"/>
          <c:h val="0.50908145152376183"/>
        </c:manualLayout>
      </c:layout>
      <c:lineChart>
        <c:grouping val="standard"/>
        <c:varyColors val="0"/>
        <c:ser>
          <c:idx val="0"/>
          <c:order val="0"/>
          <c:tx>
            <c:strRef>
              <c:f>'Figure 2'!$A$27</c:f>
              <c:strCache>
                <c:ptCount val="1"/>
                <c:pt idx="0">
                  <c:v>Food</c:v>
                </c:pt>
              </c:strCache>
            </c:strRef>
          </c:tx>
          <c:spPr>
            <a:ln w="19050" cap="rnd">
              <a:solidFill>
                <a:srgbClr val="B49B32"/>
              </a:solidFill>
              <a:round/>
            </a:ln>
            <a:effectLst/>
          </c:spPr>
          <c:marker>
            <c:symbol val="none"/>
          </c:marker>
          <c:cat>
            <c:numRef>
              <c:f>'Figure 2'!$B$26:$M$26</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'Figure 2'!$B$27:$M$27</c:f>
              <c:numCache>
                <c:formatCode>General</c:formatCode>
                <c:ptCount val="12"/>
                <c:pt idx="0">
                  <c:v>152.21110893717838</c:v>
                </c:pt>
                <c:pt idx="1">
                  <c:v>155.51285327597191</c:v>
                </c:pt>
                <c:pt idx="2">
                  <c:v>161.61868162485845</c:v>
                </c:pt>
                <c:pt idx="3">
                  <c:v>148.75884303931167</c:v>
                </c:pt>
                <c:pt idx="4">
                  <c:v>149.10043082390064</c:v>
                </c:pt>
                <c:pt idx="5">
                  <c:v>153.99524774771757</c:v>
                </c:pt>
                <c:pt idx="6">
                  <c:v>166.56525242138895</c:v>
                </c:pt>
                <c:pt idx="7">
                  <c:v>166.26735825111646</c:v>
                </c:pt>
                <c:pt idx="8">
                  <c:v>159.38949799473247</c:v>
                </c:pt>
                <c:pt idx="9">
                  <c:v>150.66742882533731</c:v>
                </c:pt>
                <c:pt idx="10">
                  <c:v>156.74895002364477</c:v>
                </c:pt>
                <c:pt idx="11">
                  <c:v>160.19482384994006</c:v>
                </c:pt>
              </c:numCache>
            </c:numRef>
          </c:val>
          <c:smooth val="0"/>
          <c:extLst>
            <c:ext xmlns:c16="http://schemas.microsoft.com/office/drawing/2014/chart" uri="{C3380CC4-5D6E-409C-BE32-E72D297353CC}">
              <c16:uniqueId val="{00000000-2366-42C9-85E4-42AE695879C5}"/>
            </c:ext>
          </c:extLst>
        </c:ser>
        <c:ser>
          <c:idx val="1"/>
          <c:order val="1"/>
          <c:tx>
            <c:strRef>
              <c:f>'Figure 2'!$A$28</c:f>
              <c:strCache>
                <c:ptCount val="1"/>
                <c:pt idx="0">
                  <c:v>Nonfood</c:v>
                </c:pt>
              </c:strCache>
            </c:strRef>
          </c:tx>
          <c:spPr>
            <a:ln w="19050" cap="rnd">
              <a:solidFill>
                <a:srgbClr val="604A7A"/>
              </a:solidFill>
              <a:round/>
            </a:ln>
            <a:effectLst/>
          </c:spPr>
          <c:marker>
            <c:symbol val="none"/>
          </c:marker>
          <c:cat>
            <c:numRef>
              <c:f>'Figure 2'!$B$26:$M$26</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'Figure 2'!$B$28:$M$28</c:f>
              <c:numCache>
                <c:formatCode>General</c:formatCode>
                <c:ptCount val="12"/>
                <c:pt idx="0">
                  <c:v>121.77316187848096</c:v>
                </c:pt>
                <c:pt idx="1">
                  <c:v>122.83514398608027</c:v>
                </c:pt>
                <c:pt idx="2">
                  <c:v>124.36362061671532</c:v>
                </c:pt>
                <c:pt idx="3">
                  <c:v>124.44977123283758</c:v>
                </c:pt>
                <c:pt idx="4">
                  <c:v>133.90392857594233</c:v>
                </c:pt>
                <c:pt idx="5">
                  <c:v>142.1339562719121</c:v>
                </c:pt>
                <c:pt idx="6">
                  <c:v>149.67600785854435</c:v>
                </c:pt>
                <c:pt idx="7">
                  <c:v>142.47031663762647</c:v>
                </c:pt>
                <c:pt idx="8">
                  <c:v>146.86820046144192</c:v>
                </c:pt>
                <c:pt idx="9">
                  <c:v>133.47617863161318</c:v>
                </c:pt>
                <c:pt idx="10">
                  <c:v>146.82254793536572</c:v>
                </c:pt>
                <c:pt idx="11">
                  <c:v>152.76527345339142</c:v>
                </c:pt>
              </c:numCache>
            </c:numRef>
          </c:val>
          <c:smooth val="0"/>
          <c:extLst>
            <c:ext xmlns:c16="http://schemas.microsoft.com/office/drawing/2014/chart" uri="{C3380CC4-5D6E-409C-BE32-E72D297353CC}">
              <c16:uniqueId val="{00000001-2366-42C9-85E4-42AE695879C5}"/>
            </c:ext>
          </c:extLst>
        </c:ser>
        <c:dLbls>
          <c:showLegendKey val="0"/>
          <c:showVal val="0"/>
          <c:showCatName val="0"/>
          <c:showSerName val="0"/>
          <c:showPercent val="0"/>
          <c:showBubbleSize val="0"/>
        </c:dLbls>
        <c:smooth val="0"/>
        <c:axId val="907292024"/>
        <c:axId val="907292416"/>
      </c:lineChart>
      <c:catAx>
        <c:axId val="90729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907292416"/>
        <c:crosses val="autoZero"/>
        <c:auto val="1"/>
        <c:lblAlgn val="ctr"/>
        <c:lblOffset val="100"/>
        <c:noMultiLvlLbl val="0"/>
      </c:catAx>
      <c:valAx>
        <c:axId val="907292416"/>
        <c:scaling>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Segoe UI Light" panose="020B0502040204020203" pitchFamily="34" charset="0"/>
                    <a:cs typeface="Segoe UI Light" panose="020B0502040204020203" pitchFamily="34" charset="0"/>
                  </a:rPr>
                  <a:t>kt P eq.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crossAx val="907292024"/>
        <c:crosses val="autoZero"/>
        <c:crossBetween val="between"/>
      </c:valAx>
      <c:spPr>
        <a:noFill/>
        <a:ln>
          <a:noFill/>
        </a:ln>
        <a:effectLst/>
      </c:spPr>
    </c:plotArea>
    <c:legend>
      <c:legendPos val="b"/>
      <c:layout>
        <c:manualLayout>
          <c:xMode val="edge"/>
          <c:yMode val="edge"/>
          <c:x val="0.74194269649348221"/>
          <c:y val="0.3349168059194913"/>
          <c:w val="0.20068329324943171"/>
          <c:h val="0.19952035136207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Segoe UI Light"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D49D-1872-4DEC-868A-6D8258E4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53602</Words>
  <Characters>305532</Characters>
  <Application>Microsoft Office Word</Application>
  <DocSecurity>0</DocSecurity>
  <Lines>2546</Lines>
  <Paragraphs>716</Paragraphs>
  <ScaleCrop>false</ScaleCrop>
  <HeadingPairs>
    <vt:vector size="2" baseType="variant">
      <vt:variant>
        <vt:lpstr>Title</vt:lpstr>
      </vt:variant>
      <vt:variant>
        <vt:i4>1</vt:i4>
      </vt:variant>
    </vt:vector>
  </HeadingPairs>
  <TitlesOfParts>
    <vt:vector size="1" baseType="lpstr">
      <vt:lpstr/>
    </vt:vector>
  </TitlesOfParts>
  <Company>IVT, NTNU</Company>
  <LinksUpToDate>false</LinksUpToDate>
  <CharactersWithSpaces>358418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Ann Hamilton</dc:creator>
  <cp:keywords/>
  <dc:description/>
  <cp:lastModifiedBy>Daniel Moran</cp:lastModifiedBy>
  <cp:revision>83</cp:revision>
  <cp:lastPrinted>2018-03-12T13:05:00Z</cp:lastPrinted>
  <dcterms:created xsi:type="dcterms:W3CDTF">2018-03-06T10:56:00Z</dcterms:created>
  <dcterms:modified xsi:type="dcterms:W3CDTF">2018-11-27T14:51:00Z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http://www.zotero.org/styles/environmental-science-and-technology</vt:lpwstr>
  </property>
  <property fmtid="{D5CDD505-2E9C-101B-9397-08002B2CF9AE}" pid="9" name="Mendeley Recent Style Name 3_1">
    <vt:lpwstr>Environmental Science &amp; Technology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http://www.zotero.org/styles/nature-neuroscience-brief-communications</vt:lpwstr>
  </property>
  <property fmtid="{D5CDD505-2E9C-101B-9397-08002B2CF9AE}" pid="21" name="Mendeley Recent Style Name 9_1">
    <vt:lpwstr>Nature Neuroscience (brief communications)</vt:lpwstr>
  </property>
  <property fmtid="{D5CDD505-2E9C-101B-9397-08002B2CF9AE}" pid="22" name="Mendeley Document_1">
    <vt:lpwstr>True</vt:lpwstr>
  </property>
  <property fmtid="{D5CDD505-2E9C-101B-9397-08002B2CF9AE}" pid="23" name="Mendeley Unique User Id_1">
    <vt:lpwstr>c1101c7f-c79a-33b1-80ca-40d078c72da7</vt:lpwstr>
  </property>
  <property fmtid="{D5CDD505-2E9C-101B-9397-08002B2CF9AE}" pid="24" name="Mendeley Citation Style_1">
    <vt:lpwstr>http://www.zotero.org/styles/nature</vt:lpwstr>
  </property>
  <property fmtid="{D5CDD505-2E9C-101B-9397-08002B2CF9AE}" pid="25" name="_DocHome">
    <vt:i4>-1706537656</vt:i4>
  </property>
</Properties>
</file>