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63B4D" w14:textId="77777777" w:rsidR="00BD05AF" w:rsidRPr="007D15A9" w:rsidRDefault="00B54611" w:rsidP="00CF60BB">
      <w:pPr>
        <w:spacing w:line="480" w:lineRule="auto"/>
        <w:jc w:val="center"/>
        <w:rPr>
          <w:sz w:val="24"/>
          <w:lang w:val="en-US"/>
        </w:rPr>
      </w:pPr>
      <w:bookmarkStart w:id="0" w:name="_GoBack"/>
      <w:bookmarkEnd w:id="0"/>
      <w:r w:rsidRPr="007D15A9">
        <w:rPr>
          <w:lang w:val="en-US"/>
        </w:rPr>
        <w:br w:type="page"/>
      </w:r>
      <w:r w:rsidRPr="007D15A9">
        <w:rPr>
          <w:sz w:val="24"/>
          <w:lang w:val="en-US"/>
        </w:rPr>
        <w:lastRenderedPageBreak/>
        <w:t>Abstract</w:t>
      </w:r>
    </w:p>
    <w:p w14:paraId="371DAEB2" w14:textId="2CF6B127" w:rsidR="00AB7302" w:rsidRPr="007D15A9" w:rsidRDefault="00B54611" w:rsidP="00CF60BB">
      <w:pPr>
        <w:spacing w:line="480" w:lineRule="auto"/>
        <w:jc w:val="left"/>
        <w:rPr>
          <w:sz w:val="24"/>
          <w:lang w:val="en-US"/>
        </w:rPr>
      </w:pPr>
      <w:r w:rsidRPr="007D15A9">
        <w:rPr>
          <w:sz w:val="24"/>
          <w:lang w:val="en-US"/>
        </w:rPr>
        <w:t xml:space="preserve">Both genetic and environmental factors contribute to individual </w:t>
      </w:r>
      <w:r w:rsidR="005F5892" w:rsidRPr="007D15A9">
        <w:rPr>
          <w:sz w:val="24"/>
          <w:lang w:val="en-US"/>
        </w:rPr>
        <w:t>differences</w:t>
      </w:r>
      <w:r w:rsidRPr="007D15A9">
        <w:rPr>
          <w:sz w:val="24"/>
          <w:lang w:val="en-US"/>
        </w:rPr>
        <w:t xml:space="preserve"> in aggression. Catechol-</w:t>
      </w:r>
      <w:r w:rsidRPr="007D15A9">
        <w:rPr>
          <w:i/>
          <w:sz w:val="24"/>
          <w:lang w:val="en-US"/>
        </w:rPr>
        <w:t>O</w:t>
      </w:r>
      <w:r w:rsidRPr="007D15A9">
        <w:rPr>
          <w:sz w:val="24"/>
          <w:lang w:val="en-US"/>
        </w:rPr>
        <w:t>-methyltransferase Val158Met (COMT), a common, functional polymorphism, has been implicated in aggression and aggression traits, as have childhood experiences of adversity. It is unknown whether these effects are additive or interactional and, in the case of interaction, whether they conform to a diathesis-stress or differential susceptibility model. We examined gene × environment interactions between COMT and serious life events on measures of childhood aggression and contrasted these two models. The sample was composed of community children (</w:t>
      </w:r>
      <w:r w:rsidRPr="007D15A9">
        <w:rPr>
          <w:i/>
          <w:sz w:val="24"/>
          <w:lang w:val="en-US"/>
        </w:rPr>
        <w:t>N</w:t>
      </w:r>
      <w:r w:rsidRPr="007D15A9">
        <w:rPr>
          <w:sz w:val="24"/>
          <w:lang w:val="en-US"/>
        </w:rPr>
        <w:t xml:space="preserve"> = 704); 355 were boys, and the mean age was 54.8 months (SD = 3.0). The children were genotyped for COMT rs4680 and assessed for serious life events and by teacher-rated aggression. Regression analysis showed no main effects of COMT and serious life events on aggression. However, a significant interactive effect of childhood serious life events and COMT genotype was observed: children who had faced many serious life events and were Val homozygotes </w:t>
      </w:r>
      <w:r w:rsidR="00026406">
        <w:rPr>
          <w:sz w:val="24"/>
          <w:lang w:val="en-US"/>
        </w:rPr>
        <w:t>exhibited</w:t>
      </w:r>
      <w:r w:rsidR="00026406" w:rsidRPr="007D15A9">
        <w:rPr>
          <w:sz w:val="24"/>
          <w:lang w:val="en-US"/>
        </w:rPr>
        <w:t xml:space="preserve"> </w:t>
      </w:r>
      <w:r w:rsidRPr="007D15A9">
        <w:rPr>
          <w:sz w:val="24"/>
          <w:lang w:val="en-US"/>
        </w:rPr>
        <w:t>more aggression (</w:t>
      </w:r>
      <w:r w:rsidRPr="007D15A9">
        <w:rPr>
          <w:i/>
          <w:sz w:val="24"/>
          <w:lang w:val="en-US"/>
        </w:rPr>
        <w:t>p</w:t>
      </w:r>
      <w:r w:rsidRPr="007D15A9">
        <w:rPr>
          <w:sz w:val="24"/>
          <w:lang w:val="en-US"/>
        </w:rPr>
        <w:t> = .02) than did their Met-carrying counterparts. Notably, in the absence of serious life events, Val homozygotes displayed significantly lower aggression scores than did Met carriers (</w:t>
      </w:r>
      <w:r w:rsidRPr="007D15A9">
        <w:rPr>
          <w:i/>
          <w:sz w:val="24"/>
          <w:lang w:val="en-US"/>
        </w:rPr>
        <w:t>p</w:t>
      </w:r>
      <w:r w:rsidRPr="007D15A9">
        <w:rPr>
          <w:sz w:val="24"/>
          <w:lang w:val="en-US"/>
        </w:rPr>
        <w:t> = .03). When tested, this constellation of findings conformed to the differential susceptibility hypothesis: in this case, Val homozygotes are more malleable to the effect of serious life events on aggression and not simply more vulnerable to the negative effect of having experienced many serious life events.</w:t>
      </w:r>
    </w:p>
    <w:p w14:paraId="0235D7EF" w14:textId="6397B949" w:rsidR="00C9327E" w:rsidRPr="007D15A9" w:rsidRDefault="00B54611" w:rsidP="00C32F5C">
      <w:pPr>
        <w:pStyle w:val="Keywords"/>
        <w:spacing w:line="480" w:lineRule="auto"/>
        <w:rPr>
          <w:lang w:val="en-US"/>
        </w:rPr>
      </w:pPr>
      <w:r w:rsidRPr="007D15A9">
        <w:rPr>
          <w:b/>
          <w:sz w:val="24"/>
          <w:lang w:val="en-US"/>
        </w:rPr>
        <w:t xml:space="preserve">Keywords: </w:t>
      </w:r>
      <w:r w:rsidR="00BD05AF" w:rsidRPr="007D15A9">
        <w:rPr>
          <w:sz w:val="24"/>
          <w:lang w:val="en-US"/>
        </w:rPr>
        <w:t>aggression, serious life e</w:t>
      </w:r>
      <w:r w:rsidRPr="007D15A9">
        <w:rPr>
          <w:sz w:val="24"/>
          <w:lang w:val="en-US"/>
        </w:rPr>
        <w:t>vents, COMT, gene-environment interaction, differential susceptibility</w:t>
      </w:r>
    </w:p>
    <w:p w14:paraId="66A99AA7" w14:textId="77777777" w:rsidR="00C9327E" w:rsidRPr="007D15A9" w:rsidRDefault="00C9327E" w:rsidP="00C9327E">
      <w:pPr>
        <w:spacing w:line="480" w:lineRule="auto"/>
        <w:jc w:val="right"/>
        <w:rPr>
          <w:sz w:val="24"/>
          <w:lang w:val="en-US"/>
        </w:rPr>
      </w:pPr>
    </w:p>
    <w:p w14:paraId="139EE6AB" w14:textId="77777777" w:rsidR="00AB7302" w:rsidRPr="007D15A9" w:rsidRDefault="00B54611" w:rsidP="00BD05AF">
      <w:pPr>
        <w:spacing w:line="480" w:lineRule="auto"/>
        <w:rPr>
          <w:sz w:val="24"/>
          <w:lang w:val="en-US"/>
        </w:rPr>
      </w:pPr>
      <w:r w:rsidRPr="007D15A9">
        <w:rPr>
          <w:sz w:val="24"/>
          <w:lang w:val="en-US"/>
        </w:rPr>
        <w:br w:type="page"/>
      </w:r>
    </w:p>
    <w:p w14:paraId="5203EB1D" w14:textId="4EAC03EE" w:rsidR="00C9327E" w:rsidRPr="007D15A9" w:rsidRDefault="00C9327E" w:rsidP="00CF60BB">
      <w:pPr>
        <w:pStyle w:val="Tittel"/>
        <w:pBdr>
          <w:bottom w:val="none" w:sz="0" w:space="0" w:color="auto"/>
        </w:pBdr>
        <w:spacing w:line="480" w:lineRule="auto"/>
        <w:jc w:val="center"/>
        <w:rPr>
          <w:color w:val="auto"/>
          <w:sz w:val="24"/>
          <w:lang w:val="en-US"/>
        </w:rPr>
      </w:pPr>
      <w:r w:rsidRPr="007D15A9">
        <w:rPr>
          <w:color w:val="auto"/>
          <w:sz w:val="24"/>
          <w:lang w:val="en-US"/>
        </w:rPr>
        <w:t xml:space="preserve">Child Exposure to Serious Life Events, COMT and Aggression: </w:t>
      </w:r>
      <w:r w:rsidR="00AE4C6A" w:rsidRPr="007D15A9">
        <w:rPr>
          <w:color w:val="auto"/>
          <w:sz w:val="24"/>
          <w:lang w:val="en-US"/>
        </w:rPr>
        <w:t xml:space="preserve">Testing </w:t>
      </w:r>
      <w:r w:rsidRPr="007D15A9">
        <w:rPr>
          <w:color w:val="auto"/>
          <w:sz w:val="24"/>
          <w:lang w:val="en-US"/>
        </w:rPr>
        <w:t xml:space="preserve">Differential Susceptibility Theory </w:t>
      </w:r>
    </w:p>
    <w:p w14:paraId="29712AD6" w14:textId="0F7D3134" w:rsidR="00062025" w:rsidRPr="007D15A9" w:rsidRDefault="00A13B2D" w:rsidP="003B5094">
      <w:pPr>
        <w:spacing w:line="480" w:lineRule="auto"/>
        <w:ind w:firstLine="720"/>
        <w:rPr>
          <w:sz w:val="24"/>
          <w:lang w:val="en-US"/>
        </w:rPr>
      </w:pPr>
      <w:r w:rsidRPr="007D15A9">
        <w:rPr>
          <w:sz w:val="24"/>
          <w:lang w:val="en-US"/>
        </w:rPr>
        <w:t>C</w:t>
      </w:r>
      <w:r w:rsidR="00062025" w:rsidRPr="007D15A9">
        <w:rPr>
          <w:sz w:val="24"/>
          <w:lang w:val="en-US"/>
        </w:rPr>
        <w:t xml:space="preserve">hildren </w:t>
      </w:r>
      <w:r w:rsidRPr="007D15A9">
        <w:rPr>
          <w:sz w:val="24"/>
          <w:lang w:val="en-US"/>
        </w:rPr>
        <w:t xml:space="preserve">generally </w:t>
      </w:r>
      <w:r w:rsidR="00062025" w:rsidRPr="007D15A9">
        <w:rPr>
          <w:sz w:val="24"/>
          <w:lang w:val="en-US"/>
        </w:rPr>
        <w:t xml:space="preserve">follow a developmental path whereby </w:t>
      </w:r>
      <w:r w:rsidR="00062025" w:rsidRPr="007D15A9">
        <w:rPr>
          <w:sz w:val="24"/>
          <w:lang w:val="en-US" w:eastAsia="nb-NO"/>
        </w:rPr>
        <w:t>aggressive behavior modestly increases during the initial 30 to 42 months of life and peaks at approximately 4 years of age b</w:t>
      </w:r>
      <w:r w:rsidR="00724F23" w:rsidRPr="007D15A9">
        <w:rPr>
          <w:sz w:val="24"/>
          <w:lang w:val="en-US" w:eastAsia="nb-NO"/>
        </w:rPr>
        <w:t xml:space="preserve">efore steadily declining (Cote, </w:t>
      </w:r>
      <w:r w:rsidR="00062025" w:rsidRPr="007D15A9">
        <w:rPr>
          <w:sz w:val="24"/>
          <w:lang w:val="en-US" w:eastAsia="nb-NO"/>
        </w:rPr>
        <w:t>Vaillancourt, LeBlanc, Nagin, &amp; Tremblay, 2006; Tremblay et al., 2004).</w:t>
      </w:r>
      <w:r w:rsidR="003B5094" w:rsidRPr="007D15A9">
        <w:rPr>
          <w:sz w:val="24"/>
          <w:lang w:val="en-US" w:eastAsia="nb-NO"/>
        </w:rPr>
        <w:t xml:space="preserve"> </w:t>
      </w:r>
      <w:r w:rsidR="006758A9" w:rsidRPr="007D15A9">
        <w:rPr>
          <w:sz w:val="24"/>
          <w:lang w:val="en-US"/>
        </w:rPr>
        <w:t>Evidence suggests</w:t>
      </w:r>
      <w:r w:rsidR="003B5094" w:rsidRPr="007D15A9">
        <w:rPr>
          <w:sz w:val="24"/>
          <w:lang w:val="en-US"/>
        </w:rPr>
        <w:t xml:space="preserve"> that a large proportion of aggressive toddlers and </w:t>
      </w:r>
      <w:r w:rsidR="006758A9" w:rsidRPr="007D15A9">
        <w:rPr>
          <w:sz w:val="24"/>
          <w:lang w:val="en-US"/>
        </w:rPr>
        <w:t>preschoolers</w:t>
      </w:r>
      <w:r w:rsidR="003B5094" w:rsidRPr="007D15A9">
        <w:rPr>
          <w:sz w:val="24"/>
          <w:lang w:val="en-US"/>
        </w:rPr>
        <w:t xml:space="preserve"> continue to have problems at school</w:t>
      </w:r>
      <w:r w:rsidR="006A5C5E" w:rsidRPr="007D15A9">
        <w:rPr>
          <w:sz w:val="24"/>
          <w:lang w:val="en-US"/>
        </w:rPr>
        <w:t>-</w:t>
      </w:r>
      <w:r w:rsidR="003B5094" w:rsidRPr="007D15A9">
        <w:rPr>
          <w:sz w:val="24"/>
          <w:lang w:val="en-US"/>
        </w:rPr>
        <w:t>entry age (Campbell, Pierce, Moore, Marakowitz &amp; Newby, 1996; Shaw, Winsl</w:t>
      </w:r>
      <w:r w:rsidR="00440C0A" w:rsidRPr="007D15A9">
        <w:rPr>
          <w:sz w:val="24"/>
          <w:lang w:val="en-US"/>
        </w:rPr>
        <w:t>ow &amp; Flanagan, 1999). Moreover,</w:t>
      </w:r>
      <w:r w:rsidR="006758A9" w:rsidRPr="007D15A9">
        <w:rPr>
          <w:sz w:val="24"/>
          <w:lang w:val="en-US"/>
        </w:rPr>
        <w:t xml:space="preserve"> </w:t>
      </w:r>
      <w:r w:rsidR="00B145DD" w:rsidRPr="007D15A9">
        <w:rPr>
          <w:sz w:val="24"/>
          <w:lang w:val="en-US"/>
        </w:rPr>
        <w:t xml:space="preserve">50% of </w:t>
      </w:r>
      <w:r w:rsidR="00DB2136" w:rsidRPr="007D15A9">
        <w:rPr>
          <w:sz w:val="24"/>
          <w:lang w:val="en-US"/>
        </w:rPr>
        <w:t xml:space="preserve">children displaying </w:t>
      </w:r>
      <w:r w:rsidR="003B5094" w:rsidRPr="007D15A9">
        <w:rPr>
          <w:sz w:val="24"/>
          <w:lang w:val="en-US"/>
        </w:rPr>
        <w:t xml:space="preserve">aggressive behaviors </w:t>
      </w:r>
      <w:r w:rsidR="00DB2136" w:rsidRPr="007D15A9">
        <w:rPr>
          <w:sz w:val="24"/>
          <w:lang w:val="en-US"/>
        </w:rPr>
        <w:t>in preschool</w:t>
      </w:r>
      <w:r w:rsidR="003B5094" w:rsidRPr="007D15A9">
        <w:rPr>
          <w:sz w:val="24"/>
          <w:lang w:val="en-US"/>
        </w:rPr>
        <w:t xml:space="preserve"> maintain these behavio</w:t>
      </w:r>
      <w:r w:rsidR="00DB2136" w:rsidRPr="007D15A9">
        <w:rPr>
          <w:sz w:val="24"/>
          <w:lang w:val="en-US"/>
        </w:rPr>
        <w:t xml:space="preserve">rs into adolescence </w:t>
      </w:r>
      <w:r w:rsidR="000404FB" w:rsidRPr="007D15A9">
        <w:rPr>
          <w:sz w:val="24"/>
          <w:lang w:val="en-US"/>
        </w:rPr>
        <w:t>(Campbell 1995).</w:t>
      </w:r>
    </w:p>
    <w:p w14:paraId="7B5F8BD4" w14:textId="3B79BDEE" w:rsidR="00AB7302" w:rsidRPr="007D15A9" w:rsidRDefault="00B54611" w:rsidP="00CF60BB">
      <w:pPr>
        <w:spacing w:line="480" w:lineRule="auto"/>
        <w:ind w:firstLine="720"/>
        <w:jc w:val="left"/>
        <w:rPr>
          <w:sz w:val="24"/>
          <w:lang w:val="en-US"/>
        </w:rPr>
      </w:pPr>
      <w:r w:rsidRPr="007D15A9">
        <w:rPr>
          <w:sz w:val="24"/>
          <w:lang w:val="en-US"/>
        </w:rPr>
        <w:t xml:space="preserve">Aggression is </w:t>
      </w:r>
      <w:r w:rsidR="005F5892" w:rsidRPr="007D15A9">
        <w:rPr>
          <w:sz w:val="24"/>
          <w:lang w:val="en-US"/>
        </w:rPr>
        <w:t>influenced</w:t>
      </w:r>
      <w:r w:rsidRPr="007D15A9">
        <w:rPr>
          <w:sz w:val="24"/>
          <w:lang w:val="en-US"/>
        </w:rPr>
        <w:t xml:space="preserve"> by both genetic and environmental factors (Rhee &amp; Waldman, 2002; </w:t>
      </w:r>
      <w:r w:rsidR="00E6015B" w:rsidRPr="007D15A9">
        <w:rPr>
          <w:sz w:val="24"/>
          <w:lang w:val="en-US"/>
        </w:rPr>
        <w:t>Sarcbiapone, Carli, Cuomo, Marchetti, &amp; Roy, 2009</w:t>
      </w:r>
      <w:r w:rsidRPr="007D15A9">
        <w:rPr>
          <w:sz w:val="24"/>
          <w:lang w:val="en-US"/>
        </w:rPr>
        <w:t xml:space="preserve">). The heritability of aggression is high, accounting for at least 40% of the variance (Burt, 2009; Rhee &amp; Waldman, 2002). However, these estimates leave substantial room for environmental effects, and intervention studies demonstrate that aggression </w:t>
      </w:r>
      <w:r w:rsidR="005F5892" w:rsidRPr="007D15A9">
        <w:rPr>
          <w:sz w:val="24"/>
          <w:lang w:val="en-US"/>
        </w:rPr>
        <w:t>is subject to</w:t>
      </w:r>
      <w:r w:rsidRPr="007D15A9">
        <w:rPr>
          <w:sz w:val="24"/>
          <w:lang w:val="en-US"/>
        </w:rPr>
        <w:t xml:space="preserve"> environmental </w:t>
      </w:r>
      <w:r w:rsidR="005F5892" w:rsidRPr="007D15A9">
        <w:rPr>
          <w:sz w:val="24"/>
          <w:lang w:val="en-US"/>
        </w:rPr>
        <w:t>influence</w:t>
      </w:r>
      <w:r w:rsidR="00A13B2D" w:rsidRPr="007D15A9">
        <w:rPr>
          <w:sz w:val="24"/>
          <w:lang w:val="en-US"/>
        </w:rPr>
        <w:t>s</w:t>
      </w:r>
      <w:r w:rsidRPr="007D15A9">
        <w:rPr>
          <w:sz w:val="24"/>
          <w:lang w:val="en-US"/>
        </w:rPr>
        <w:t xml:space="preserve"> (Luntz &amp; Widom, 1994; Tabone et al., 2011). In this study of gene x environment (GXE) interaction effects on </w:t>
      </w:r>
      <w:r w:rsidR="005F5892" w:rsidRPr="007D15A9">
        <w:rPr>
          <w:sz w:val="24"/>
          <w:lang w:val="en-US"/>
        </w:rPr>
        <w:t xml:space="preserve">Norwegian </w:t>
      </w:r>
      <w:r w:rsidRPr="007D15A9">
        <w:rPr>
          <w:sz w:val="24"/>
          <w:lang w:val="en-US"/>
        </w:rPr>
        <w:t xml:space="preserve">children aged 4 years old, we restrict our focus to a single candidate gene, </w:t>
      </w:r>
      <w:r w:rsidRPr="007D15A9">
        <w:rPr>
          <w:i/>
          <w:sz w:val="24"/>
          <w:lang w:val="en-US"/>
        </w:rPr>
        <w:t>COMT</w:t>
      </w:r>
      <w:r w:rsidRPr="007D15A9">
        <w:rPr>
          <w:sz w:val="24"/>
          <w:lang w:val="en-US"/>
        </w:rPr>
        <w:t xml:space="preserve">, based on evidence that the dopaminergic system is an important pathway to pathological aggression in childhood (Chen et al., 2005) and that </w:t>
      </w:r>
      <w:r w:rsidRPr="007D15A9">
        <w:rPr>
          <w:i/>
          <w:sz w:val="24"/>
          <w:lang w:val="en-US"/>
        </w:rPr>
        <w:t>COMT</w:t>
      </w:r>
      <w:r w:rsidRPr="007D15A9">
        <w:rPr>
          <w:sz w:val="24"/>
          <w:lang w:val="en-US"/>
        </w:rPr>
        <w:t xml:space="preserve"> may interact with adversity in predicting aggression (Perroud et al., 2010).</w:t>
      </w:r>
    </w:p>
    <w:p w14:paraId="09609406" w14:textId="77777777" w:rsidR="00062025" w:rsidRPr="007D15A9" w:rsidRDefault="00062025" w:rsidP="004801AF">
      <w:pPr>
        <w:spacing w:line="480" w:lineRule="auto"/>
        <w:ind w:firstLine="720"/>
        <w:jc w:val="left"/>
        <w:rPr>
          <w:sz w:val="24"/>
          <w:lang w:val="en-US"/>
        </w:rPr>
      </w:pPr>
    </w:p>
    <w:p w14:paraId="1B842B1F" w14:textId="77777777" w:rsidR="00AB7302" w:rsidRPr="007D15A9" w:rsidRDefault="00B54611" w:rsidP="00CF60BB">
      <w:pPr>
        <w:pStyle w:val="Overskrift3"/>
        <w:spacing w:line="480" w:lineRule="auto"/>
        <w:jc w:val="center"/>
        <w:rPr>
          <w:rFonts w:ascii="Times New Roman" w:hAnsi="Times New Roman"/>
          <w:color w:val="auto"/>
          <w:lang w:val="en-US"/>
        </w:rPr>
      </w:pPr>
      <w:r w:rsidRPr="007D15A9">
        <w:rPr>
          <w:rFonts w:ascii="Times New Roman" w:hAnsi="Times New Roman"/>
          <w:color w:val="auto"/>
          <w:lang w:val="en-US"/>
        </w:rPr>
        <w:lastRenderedPageBreak/>
        <w:t>COMT</w:t>
      </w:r>
    </w:p>
    <w:p w14:paraId="3876F557" w14:textId="28912313" w:rsidR="00AB7302" w:rsidRPr="007D15A9" w:rsidRDefault="00B54611" w:rsidP="00CF60BB">
      <w:pPr>
        <w:spacing w:line="480" w:lineRule="auto"/>
        <w:ind w:firstLine="720"/>
        <w:jc w:val="left"/>
        <w:rPr>
          <w:sz w:val="24"/>
          <w:lang w:val="en-US"/>
        </w:rPr>
      </w:pPr>
      <w:r w:rsidRPr="007D15A9">
        <w:rPr>
          <w:sz w:val="24"/>
          <w:lang w:val="en-US"/>
        </w:rPr>
        <w:t xml:space="preserve">The </w:t>
      </w:r>
      <w:r w:rsidRPr="007D15A9">
        <w:rPr>
          <w:i/>
          <w:sz w:val="24"/>
          <w:lang w:val="en-US"/>
        </w:rPr>
        <w:t>COMT</w:t>
      </w:r>
      <w:r w:rsidRPr="007D15A9">
        <w:rPr>
          <w:sz w:val="24"/>
          <w:lang w:val="en-US"/>
        </w:rPr>
        <w:t xml:space="preserve"> gene carries a single nucleotide polymorphism (Val158Met) that alters a single amino acid in the enzyme and replaces the amino acid valine with methionine (Lachman et al., 1996). </w:t>
      </w:r>
      <w:r w:rsidRPr="007D15A9">
        <w:rPr>
          <w:i/>
          <w:sz w:val="24"/>
          <w:lang w:val="en-US"/>
        </w:rPr>
        <w:t>COMT</w:t>
      </w:r>
      <w:r w:rsidRPr="007D15A9">
        <w:rPr>
          <w:sz w:val="24"/>
          <w:lang w:val="en-US"/>
        </w:rPr>
        <w:t xml:space="preserve"> instructs the production of the enzyme catechol-</w:t>
      </w:r>
      <w:r w:rsidRPr="007D15A9">
        <w:rPr>
          <w:i/>
          <w:sz w:val="24"/>
          <w:lang w:val="en-US"/>
        </w:rPr>
        <w:t>O</w:t>
      </w:r>
      <w:r w:rsidRPr="007D15A9">
        <w:rPr>
          <w:sz w:val="24"/>
          <w:lang w:val="en-US"/>
        </w:rPr>
        <w:t>-methyltransferase, which breaks down dopamine, epinephrine, and norepinephrine. Its activity is located mainly in the frontal areas of the brain, which includes regions important for regulating aggressive behavior. A person who is homozygous for the Val/Val genotype will have 4-fold higher COMT activity in the prefrontal cortex (PFC) than homozygous Met allele carriers; heterozygotes would demonstrate intermediate activity (</w:t>
      </w:r>
      <w:r w:rsidR="00E6015B" w:rsidRPr="007D15A9">
        <w:rPr>
          <w:sz w:val="24"/>
          <w:lang w:val="en-US"/>
        </w:rPr>
        <w:t>Weinshilboum, Otterness, &amp; Szumlanski, 1999</w:t>
      </w:r>
      <w:r w:rsidRPr="007D15A9">
        <w:rPr>
          <w:sz w:val="24"/>
          <w:lang w:val="en-US"/>
        </w:rPr>
        <w:t>). The low-activity Met allele is associated with better PFC function and associated cognitive processes (Egan et al., 2001; Wirgenes et al., 2010</w:t>
      </w:r>
      <w:r w:rsidR="00440C0A" w:rsidRPr="007D15A9">
        <w:rPr>
          <w:sz w:val="24"/>
          <w:lang w:val="en-US"/>
        </w:rPr>
        <w:t>)</w:t>
      </w:r>
      <w:r w:rsidRPr="007D15A9">
        <w:rPr>
          <w:sz w:val="24"/>
          <w:lang w:val="en-US"/>
        </w:rPr>
        <w:t xml:space="preserve">, which is consistent with the view that Val </w:t>
      </w:r>
      <w:r w:rsidR="00130C49" w:rsidRPr="007D15A9">
        <w:rPr>
          <w:sz w:val="24"/>
          <w:lang w:val="en-US"/>
        </w:rPr>
        <w:t>homozygosity</w:t>
      </w:r>
      <w:r w:rsidRPr="007D15A9">
        <w:rPr>
          <w:sz w:val="24"/>
          <w:lang w:val="en-US"/>
        </w:rPr>
        <w:t xml:space="preserve"> </w:t>
      </w:r>
      <w:r w:rsidR="00A60507" w:rsidRPr="007D15A9">
        <w:rPr>
          <w:sz w:val="24"/>
          <w:lang w:val="en-US"/>
        </w:rPr>
        <w:t>is</w:t>
      </w:r>
      <w:r w:rsidR="005F5892" w:rsidRPr="007D15A9">
        <w:rPr>
          <w:sz w:val="24"/>
          <w:lang w:val="en-US"/>
        </w:rPr>
        <w:t xml:space="preserve"> associated with</w:t>
      </w:r>
      <w:r w:rsidRPr="007D15A9">
        <w:rPr>
          <w:sz w:val="24"/>
          <w:lang w:val="en-US"/>
        </w:rPr>
        <w:t xml:space="preserve"> higher levels of aggression in either genotype-phenotype or GXE interaction terms.</w:t>
      </w:r>
    </w:p>
    <w:p w14:paraId="46AEE378" w14:textId="60242801" w:rsidR="00AB7302" w:rsidRPr="007D15A9" w:rsidRDefault="00B54611" w:rsidP="00CF60BB">
      <w:pPr>
        <w:pStyle w:val="Vanliginnrykk"/>
        <w:spacing w:line="480" w:lineRule="auto"/>
        <w:ind w:firstLine="720"/>
        <w:jc w:val="left"/>
        <w:rPr>
          <w:sz w:val="24"/>
          <w:lang w:val="en-US"/>
        </w:rPr>
      </w:pPr>
      <w:r w:rsidRPr="007D15A9">
        <w:rPr>
          <w:sz w:val="24"/>
          <w:lang w:val="en-US"/>
        </w:rPr>
        <w:t xml:space="preserve">There is evidence that </w:t>
      </w:r>
      <w:r w:rsidRPr="007D15A9">
        <w:rPr>
          <w:i/>
          <w:sz w:val="24"/>
          <w:lang w:val="en-US"/>
        </w:rPr>
        <w:t>COMT</w:t>
      </w:r>
      <w:r w:rsidRPr="007D15A9">
        <w:rPr>
          <w:sz w:val="24"/>
          <w:lang w:val="en-US"/>
        </w:rPr>
        <w:t xml:space="preserve"> interacts with child abuse in predicting aggression (Perroud et al., 2010). Furthermore, child</w:t>
      </w:r>
      <w:r w:rsidR="00D94F7E" w:rsidRPr="007D15A9">
        <w:rPr>
          <w:sz w:val="24"/>
          <w:lang w:val="en-US"/>
        </w:rPr>
        <w:t xml:space="preserve"> characteristics</w:t>
      </w:r>
      <w:r w:rsidRPr="007D15A9">
        <w:rPr>
          <w:sz w:val="24"/>
          <w:lang w:val="en-US"/>
        </w:rPr>
        <w:t xml:space="preserve"> interact with COMT to predict aggression, most notably ADHD (Caspi et al., 2008) and disorganized attachment (</w:t>
      </w:r>
      <w:r w:rsidR="00E6015B" w:rsidRPr="007D15A9">
        <w:rPr>
          <w:sz w:val="24"/>
          <w:lang w:val="en-US"/>
        </w:rPr>
        <w:t>Hygen, Guzey, Belsky, Berg-Nielsen, &amp; Wichstrøm, 2014</w:t>
      </w:r>
      <w:r w:rsidRPr="007D15A9">
        <w:rPr>
          <w:sz w:val="24"/>
          <w:lang w:val="en-US"/>
        </w:rPr>
        <w:t>).</w:t>
      </w:r>
      <w:r w:rsidR="00BB3379" w:rsidRPr="007D15A9">
        <w:rPr>
          <w:sz w:val="24"/>
          <w:lang w:val="en-US"/>
        </w:rPr>
        <w:t xml:space="preserve"> Caspi et al.</w:t>
      </w:r>
      <w:r w:rsidRPr="007D15A9">
        <w:rPr>
          <w:sz w:val="24"/>
          <w:lang w:val="en-US"/>
        </w:rPr>
        <w:t xml:space="preserve"> </w:t>
      </w:r>
      <w:r w:rsidR="00026406">
        <w:rPr>
          <w:sz w:val="24"/>
          <w:lang w:val="en-US"/>
        </w:rPr>
        <w:t xml:space="preserve">and Hygen et al. </w:t>
      </w:r>
      <w:r w:rsidR="00BB3379" w:rsidRPr="007D15A9">
        <w:rPr>
          <w:sz w:val="24"/>
          <w:lang w:val="en-US"/>
        </w:rPr>
        <w:t>found that</w:t>
      </w:r>
      <w:r w:rsidRPr="007D15A9">
        <w:rPr>
          <w:sz w:val="24"/>
          <w:lang w:val="en-US"/>
        </w:rPr>
        <w:t xml:space="preserve"> Val </w:t>
      </w:r>
      <w:r w:rsidR="006D74C7" w:rsidRPr="007D15A9">
        <w:rPr>
          <w:sz w:val="24"/>
          <w:lang w:val="en-US"/>
        </w:rPr>
        <w:t>homozygotes</w:t>
      </w:r>
      <w:r w:rsidRPr="007D15A9">
        <w:rPr>
          <w:sz w:val="24"/>
          <w:lang w:val="en-US"/>
        </w:rPr>
        <w:t xml:space="preserve"> manifest the most aggression in response to such contextual adversity.</w:t>
      </w:r>
      <w:r w:rsidR="00D94F7E" w:rsidRPr="007D15A9">
        <w:rPr>
          <w:sz w:val="24"/>
          <w:lang w:val="en-US"/>
        </w:rPr>
        <w:t xml:space="preserve"> </w:t>
      </w:r>
      <w:r w:rsidR="00CC477C" w:rsidRPr="007D15A9">
        <w:rPr>
          <w:sz w:val="24"/>
          <w:lang w:val="en-US"/>
        </w:rPr>
        <w:t>F</w:t>
      </w:r>
      <w:r w:rsidR="00D94F7E" w:rsidRPr="007D15A9">
        <w:rPr>
          <w:sz w:val="24"/>
          <w:lang w:val="en-US"/>
        </w:rPr>
        <w:t>or this reason</w:t>
      </w:r>
      <w:r w:rsidR="00CC477C" w:rsidRPr="007D15A9">
        <w:rPr>
          <w:sz w:val="24"/>
          <w:lang w:val="en-US"/>
        </w:rPr>
        <w:t>,</w:t>
      </w:r>
      <w:r w:rsidR="00D94F7E" w:rsidRPr="007D15A9">
        <w:rPr>
          <w:sz w:val="24"/>
          <w:lang w:val="en-US"/>
        </w:rPr>
        <w:t xml:space="preserve"> we focus</w:t>
      </w:r>
      <w:r w:rsidR="00CC477C" w:rsidRPr="007D15A9">
        <w:rPr>
          <w:sz w:val="24"/>
          <w:lang w:val="en-US"/>
        </w:rPr>
        <w:t>ed</w:t>
      </w:r>
      <w:r w:rsidR="00D94F7E" w:rsidRPr="007D15A9">
        <w:rPr>
          <w:sz w:val="24"/>
          <w:lang w:val="en-US"/>
        </w:rPr>
        <w:t xml:space="preserve"> on the heightened susceptibility </w:t>
      </w:r>
      <w:r w:rsidR="00CC477C" w:rsidRPr="007D15A9">
        <w:rPr>
          <w:sz w:val="24"/>
          <w:lang w:val="en-US"/>
        </w:rPr>
        <w:t xml:space="preserve">of Val homozygotes </w:t>
      </w:r>
      <w:r w:rsidR="00D94F7E" w:rsidRPr="007D15A9">
        <w:rPr>
          <w:sz w:val="24"/>
          <w:lang w:val="en-US"/>
        </w:rPr>
        <w:t xml:space="preserve">to environmental effects. </w:t>
      </w:r>
    </w:p>
    <w:p w14:paraId="5126AF31" w14:textId="20EC89CD" w:rsidR="00AB7302" w:rsidRPr="007D15A9" w:rsidRDefault="00B54611">
      <w:pPr>
        <w:spacing w:line="480" w:lineRule="auto"/>
        <w:ind w:firstLine="720"/>
        <w:jc w:val="left"/>
        <w:rPr>
          <w:sz w:val="24"/>
          <w:lang w:val="en-US"/>
        </w:rPr>
      </w:pPr>
      <w:r w:rsidRPr="007D15A9">
        <w:rPr>
          <w:sz w:val="24"/>
          <w:lang w:val="en-US"/>
        </w:rPr>
        <w:t>Th</w:t>
      </w:r>
      <w:r w:rsidR="00D94F7E" w:rsidRPr="007D15A9">
        <w:rPr>
          <w:sz w:val="24"/>
          <w:lang w:val="en-US"/>
        </w:rPr>
        <w:t xml:space="preserve">e </w:t>
      </w:r>
      <w:r w:rsidR="00B87E54" w:rsidRPr="007D15A9">
        <w:rPr>
          <w:sz w:val="24"/>
          <w:lang w:val="en-US"/>
        </w:rPr>
        <w:t xml:space="preserve">aforementioned </w:t>
      </w:r>
      <w:r w:rsidR="00D94F7E" w:rsidRPr="007D15A9">
        <w:rPr>
          <w:sz w:val="24"/>
          <w:lang w:val="en-US"/>
        </w:rPr>
        <w:t xml:space="preserve">GXE results </w:t>
      </w:r>
      <w:r w:rsidRPr="007D15A9">
        <w:rPr>
          <w:sz w:val="24"/>
          <w:lang w:val="en-US"/>
        </w:rPr>
        <w:t xml:space="preserve">indicate that Val can be conceptualized as a “vulnerability” </w:t>
      </w:r>
      <w:r w:rsidR="00BF2849" w:rsidRPr="007D15A9">
        <w:rPr>
          <w:sz w:val="24"/>
          <w:lang w:val="en-US"/>
        </w:rPr>
        <w:t xml:space="preserve">or “risk” </w:t>
      </w:r>
      <w:r w:rsidRPr="007D15A9">
        <w:rPr>
          <w:sz w:val="24"/>
          <w:lang w:val="en-US"/>
        </w:rPr>
        <w:t>allele (Caspi et al., 2003)</w:t>
      </w:r>
      <w:r w:rsidR="00BF2849" w:rsidRPr="007D15A9">
        <w:rPr>
          <w:sz w:val="24"/>
          <w:lang w:val="en-US"/>
        </w:rPr>
        <w:t>, consistent with the traditional diathesi</w:t>
      </w:r>
      <w:r w:rsidR="00385F9C" w:rsidRPr="007D15A9">
        <w:rPr>
          <w:sz w:val="24"/>
          <w:lang w:val="en-US"/>
        </w:rPr>
        <w:t>s-stress framework (Zuckerman, 1999)</w:t>
      </w:r>
      <w:r w:rsidR="00BF2849" w:rsidRPr="007D15A9">
        <w:rPr>
          <w:sz w:val="24"/>
          <w:lang w:val="en-US"/>
        </w:rPr>
        <w:t xml:space="preserve">. In recent years, however, GXE evidence </w:t>
      </w:r>
      <w:r w:rsidR="00752094" w:rsidRPr="007D15A9">
        <w:rPr>
          <w:sz w:val="24"/>
          <w:lang w:val="en-US"/>
        </w:rPr>
        <w:t xml:space="preserve">consistent with an alternative perspective on person-X-environment interactions </w:t>
      </w:r>
      <w:r w:rsidR="00BF2849" w:rsidRPr="007D15A9">
        <w:rPr>
          <w:sz w:val="24"/>
          <w:lang w:val="en-US"/>
        </w:rPr>
        <w:t xml:space="preserve">has emerged, </w:t>
      </w:r>
      <w:r w:rsidR="0052748E" w:rsidRPr="007D15A9">
        <w:rPr>
          <w:sz w:val="24"/>
          <w:lang w:val="en-US"/>
        </w:rPr>
        <w:t>referred to as</w:t>
      </w:r>
      <w:r w:rsidR="00BF2849" w:rsidRPr="007D15A9">
        <w:rPr>
          <w:sz w:val="24"/>
          <w:lang w:val="en-US"/>
        </w:rPr>
        <w:t xml:space="preserve"> the </w:t>
      </w:r>
      <w:r w:rsidRPr="007D15A9">
        <w:rPr>
          <w:sz w:val="24"/>
          <w:lang w:val="en-US"/>
        </w:rPr>
        <w:t>differential</w:t>
      </w:r>
      <w:r w:rsidR="00A54B9A" w:rsidRPr="007D15A9">
        <w:rPr>
          <w:sz w:val="24"/>
          <w:lang w:val="en-US"/>
        </w:rPr>
        <w:t xml:space="preserve"> </w:t>
      </w:r>
      <w:r w:rsidRPr="007D15A9">
        <w:rPr>
          <w:sz w:val="24"/>
          <w:lang w:val="en-US"/>
        </w:rPr>
        <w:t xml:space="preserve">susceptibility </w:t>
      </w:r>
      <w:r w:rsidR="00AD13AC" w:rsidRPr="007D15A9">
        <w:rPr>
          <w:sz w:val="24"/>
          <w:lang w:val="en-US"/>
        </w:rPr>
        <w:t>framework</w:t>
      </w:r>
      <w:r w:rsidRPr="007D15A9">
        <w:rPr>
          <w:sz w:val="24"/>
          <w:lang w:val="en-US"/>
        </w:rPr>
        <w:t xml:space="preserve"> (Belsky et al., 2009</w:t>
      </w:r>
      <w:r w:rsidR="00902708" w:rsidRPr="007D15A9">
        <w:rPr>
          <w:sz w:val="24"/>
          <w:lang w:val="en-US"/>
        </w:rPr>
        <w:t xml:space="preserve">, </w:t>
      </w:r>
      <w:r w:rsidR="00BF2849" w:rsidRPr="007D15A9">
        <w:rPr>
          <w:sz w:val="24"/>
          <w:lang w:val="en-US"/>
        </w:rPr>
        <w:t>2013</w:t>
      </w:r>
      <w:r w:rsidRPr="007D15A9">
        <w:rPr>
          <w:sz w:val="24"/>
          <w:lang w:val="en-US"/>
        </w:rPr>
        <w:t xml:space="preserve">; </w:t>
      </w:r>
      <w:r w:rsidR="00E6015B" w:rsidRPr="007D15A9">
        <w:rPr>
          <w:sz w:val="24"/>
          <w:lang w:val="en-US"/>
        </w:rPr>
        <w:t xml:space="preserve">Ellis, Boyce, </w:t>
      </w:r>
      <w:r w:rsidR="00E6015B" w:rsidRPr="007D15A9">
        <w:rPr>
          <w:sz w:val="24"/>
          <w:lang w:val="en-US"/>
        </w:rPr>
        <w:lastRenderedPageBreak/>
        <w:t xml:space="preserve">Belsky, Bakermans-Kranenburg, &amp; Van </w:t>
      </w:r>
      <w:r w:rsidR="00902708" w:rsidRPr="007D15A9">
        <w:rPr>
          <w:sz w:val="24"/>
          <w:lang w:val="en-US"/>
        </w:rPr>
        <w:t>IJ</w:t>
      </w:r>
      <w:r w:rsidR="00BF2849" w:rsidRPr="007D15A9">
        <w:rPr>
          <w:sz w:val="24"/>
          <w:lang w:val="en-US"/>
        </w:rPr>
        <w:t>zendoorn</w:t>
      </w:r>
      <w:r w:rsidR="00E6015B" w:rsidRPr="007D15A9">
        <w:rPr>
          <w:sz w:val="24"/>
          <w:lang w:val="en-US"/>
        </w:rPr>
        <w:t>, 2011</w:t>
      </w:r>
      <w:r w:rsidRPr="007D15A9">
        <w:rPr>
          <w:sz w:val="24"/>
          <w:lang w:val="en-US"/>
        </w:rPr>
        <w:t xml:space="preserve">). </w:t>
      </w:r>
      <w:r w:rsidR="00BF2849" w:rsidRPr="007D15A9">
        <w:rPr>
          <w:sz w:val="24"/>
          <w:lang w:val="en-US"/>
        </w:rPr>
        <w:t>In contrast</w:t>
      </w:r>
      <w:r w:rsidRPr="007D15A9">
        <w:rPr>
          <w:sz w:val="24"/>
          <w:lang w:val="en-US"/>
        </w:rPr>
        <w:t xml:space="preserve"> to </w:t>
      </w:r>
      <w:r w:rsidR="00BF2849" w:rsidRPr="007D15A9">
        <w:rPr>
          <w:sz w:val="24"/>
          <w:lang w:val="en-US"/>
        </w:rPr>
        <w:t>diathesis-stress thinking</w:t>
      </w:r>
      <w:r w:rsidR="00237946" w:rsidRPr="007D15A9">
        <w:rPr>
          <w:sz w:val="24"/>
          <w:lang w:val="en-US"/>
        </w:rPr>
        <w:t>,</w:t>
      </w:r>
      <w:r w:rsidR="00BF2849" w:rsidRPr="007D15A9">
        <w:rPr>
          <w:sz w:val="24"/>
          <w:lang w:val="en-US"/>
        </w:rPr>
        <w:t xml:space="preserve"> which calls attention to personal characteristics</w:t>
      </w:r>
      <w:r w:rsidR="00AD13AC" w:rsidRPr="007D15A9">
        <w:rPr>
          <w:sz w:val="24"/>
          <w:lang w:val="en-US"/>
        </w:rPr>
        <w:t>, including genotype</w:t>
      </w:r>
      <w:r w:rsidR="004D235D" w:rsidRPr="007D15A9">
        <w:rPr>
          <w:sz w:val="24"/>
          <w:lang w:val="en-US"/>
        </w:rPr>
        <w:t>,</w:t>
      </w:r>
      <w:r w:rsidR="00BF2849" w:rsidRPr="007D15A9">
        <w:rPr>
          <w:sz w:val="24"/>
          <w:lang w:val="en-US"/>
        </w:rPr>
        <w:t xml:space="preserve"> </w:t>
      </w:r>
      <w:r w:rsidR="00026406">
        <w:rPr>
          <w:sz w:val="24"/>
          <w:lang w:val="en-US"/>
        </w:rPr>
        <w:t>that</w:t>
      </w:r>
      <w:r w:rsidR="00BF2849" w:rsidRPr="007D15A9">
        <w:rPr>
          <w:sz w:val="24"/>
          <w:lang w:val="en-US"/>
        </w:rPr>
        <w:t xml:space="preserve"> increases the likelihood that an individual will function poorly when exposed to adverse conditions (e.g., poverty, harsh parenting, negative life events), the differential</w:t>
      </w:r>
      <w:r w:rsidR="00A54B9A" w:rsidRPr="007D15A9">
        <w:rPr>
          <w:sz w:val="24"/>
          <w:lang w:val="en-US"/>
        </w:rPr>
        <w:t xml:space="preserve"> </w:t>
      </w:r>
      <w:r w:rsidR="00BF2849" w:rsidRPr="007D15A9">
        <w:rPr>
          <w:sz w:val="24"/>
          <w:lang w:val="en-US"/>
        </w:rPr>
        <w:t xml:space="preserve">susceptibility perspective, </w:t>
      </w:r>
      <w:r w:rsidR="00987B52" w:rsidRPr="007D15A9">
        <w:rPr>
          <w:sz w:val="24"/>
          <w:lang w:val="en-US"/>
        </w:rPr>
        <w:t xml:space="preserve">which is </w:t>
      </w:r>
      <w:r w:rsidR="00BF2849" w:rsidRPr="007D15A9">
        <w:rPr>
          <w:sz w:val="24"/>
          <w:lang w:val="en-US"/>
        </w:rPr>
        <w:t xml:space="preserve">based on evolutionary biological reasoning, regards some individuals as more susceptible to environmental influences </w:t>
      </w:r>
      <w:r w:rsidRPr="007D15A9">
        <w:rPr>
          <w:sz w:val="24"/>
          <w:lang w:val="en-US"/>
        </w:rPr>
        <w:t>“for better and for worse” (</w:t>
      </w:r>
      <w:r w:rsidR="00E6015B" w:rsidRPr="007D15A9">
        <w:rPr>
          <w:sz w:val="24"/>
          <w:lang w:val="en-US"/>
        </w:rPr>
        <w:t>Belsky, Bakermans-Kranenburg</w:t>
      </w:r>
      <w:r w:rsidR="00BF2849" w:rsidRPr="007D15A9">
        <w:rPr>
          <w:sz w:val="24"/>
          <w:lang w:val="en-US"/>
        </w:rPr>
        <w:t xml:space="preserve"> &amp; van IJzendoorn</w:t>
      </w:r>
      <w:r w:rsidR="00E6015B" w:rsidRPr="007D15A9">
        <w:rPr>
          <w:sz w:val="24"/>
          <w:lang w:val="en-US"/>
        </w:rPr>
        <w:t>, 2007</w:t>
      </w:r>
      <w:r w:rsidR="00BF2849" w:rsidRPr="007D15A9">
        <w:rPr>
          <w:sz w:val="24"/>
          <w:lang w:val="en-US"/>
        </w:rPr>
        <w:t>). That is, more susceptible or sensitive individuals are more likely to be negatively affected by conditions of adversity</w:t>
      </w:r>
      <w:r w:rsidR="00AD13AC" w:rsidRPr="007D15A9">
        <w:rPr>
          <w:sz w:val="24"/>
          <w:lang w:val="en-US"/>
        </w:rPr>
        <w:t xml:space="preserve"> than others</w:t>
      </w:r>
      <w:r w:rsidR="00A176B4" w:rsidRPr="007D15A9">
        <w:rPr>
          <w:sz w:val="24"/>
          <w:lang w:val="en-US"/>
        </w:rPr>
        <w:t xml:space="preserve"> and</w:t>
      </w:r>
      <w:r w:rsidR="00BF2849" w:rsidRPr="007D15A9">
        <w:rPr>
          <w:sz w:val="24"/>
          <w:lang w:val="en-US"/>
        </w:rPr>
        <w:t xml:space="preserve"> to disproportionately benefit from supportive—or even benign—conditions. From the perspective of child development, the</w:t>
      </w:r>
      <w:r w:rsidR="00AD13AC" w:rsidRPr="007D15A9">
        <w:rPr>
          <w:sz w:val="24"/>
          <w:lang w:val="en-US"/>
        </w:rPr>
        <w:t>se highly susceptible children a</w:t>
      </w:r>
      <w:r w:rsidR="00BF2849" w:rsidRPr="007D15A9">
        <w:rPr>
          <w:sz w:val="24"/>
          <w:lang w:val="en-US"/>
        </w:rPr>
        <w:t xml:space="preserve">re more developmentally plastic. </w:t>
      </w:r>
      <w:r w:rsidRPr="007D15A9">
        <w:rPr>
          <w:sz w:val="24"/>
          <w:lang w:val="en-US"/>
        </w:rPr>
        <w:t>According</w:t>
      </w:r>
      <w:r w:rsidR="00BF2849" w:rsidRPr="007D15A9">
        <w:rPr>
          <w:sz w:val="24"/>
          <w:lang w:val="en-US"/>
        </w:rPr>
        <w:t xml:space="preserve">ly, </w:t>
      </w:r>
      <w:r w:rsidRPr="007D15A9">
        <w:rPr>
          <w:sz w:val="24"/>
          <w:lang w:val="en-US"/>
        </w:rPr>
        <w:t>carriers of the Val allele</w:t>
      </w:r>
      <w:r w:rsidR="00BF2849" w:rsidRPr="007D15A9">
        <w:rPr>
          <w:sz w:val="24"/>
          <w:lang w:val="en-US"/>
        </w:rPr>
        <w:t>, especially those carrying two such alleles,</w:t>
      </w:r>
      <w:r w:rsidRPr="007D15A9">
        <w:rPr>
          <w:sz w:val="24"/>
          <w:lang w:val="en-US"/>
        </w:rPr>
        <w:t xml:space="preserve"> are </w:t>
      </w:r>
      <w:r w:rsidR="00BF2849" w:rsidRPr="007D15A9">
        <w:rPr>
          <w:sz w:val="24"/>
          <w:lang w:val="en-US"/>
        </w:rPr>
        <w:t>predicted to be especially</w:t>
      </w:r>
      <w:r w:rsidRPr="007D15A9">
        <w:rPr>
          <w:sz w:val="24"/>
          <w:lang w:val="en-US"/>
        </w:rPr>
        <w:t xml:space="preserve"> sensitive to the </w:t>
      </w:r>
      <w:r w:rsidR="00BF2849" w:rsidRPr="007D15A9">
        <w:rPr>
          <w:sz w:val="24"/>
          <w:lang w:val="en-US"/>
        </w:rPr>
        <w:t xml:space="preserve">rearing </w:t>
      </w:r>
      <w:r w:rsidRPr="007D15A9">
        <w:rPr>
          <w:sz w:val="24"/>
          <w:lang w:val="en-US"/>
        </w:rPr>
        <w:t>environment</w:t>
      </w:r>
      <w:r w:rsidR="00BF2849" w:rsidRPr="007D15A9">
        <w:rPr>
          <w:sz w:val="24"/>
          <w:lang w:val="en-US"/>
        </w:rPr>
        <w:t>,</w:t>
      </w:r>
      <w:r w:rsidRPr="007D15A9">
        <w:rPr>
          <w:sz w:val="24"/>
          <w:lang w:val="en-US"/>
        </w:rPr>
        <w:t xml:space="preserve"> making them </w:t>
      </w:r>
      <w:r w:rsidR="00BF2849" w:rsidRPr="007D15A9">
        <w:rPr>
          <w:sz w:val="24"/>
          <w:lang w:val="en-US"/>
        </w:rPr>
        <w:t>particularly</w:t>
      </w:r>
      <w:r w:rsidRPr="007D15A9">
        <w:rPr>
          <w:sz w:val="24"/>
          <w:lang w:val="en-US"/>
        </w:rPr>
        <w:t xml:space="preserve"> susceptible to </w:t>
      </w:r>
      <w:r w:rsidRPr="007D15A9">
        <w:rPr>
          <w:i/>
          <w:sz w:val="24"/>
          <w:lang w:val="en-US"/>
        </w:rPr>
        <w:t>both</w:t>
      </w:r>
      <w:r w:rsidRPr="007D15A9">
        <w:rPr>
          <w:sz w:val="24"/>
          <w:lang w:val="en-US"/>
        </w:rPr>
        <w:t xml:space="preserve"> the negative effects of adversity </w:t>
      </w:r>
      <w:r w:rsidRPr="007D15A9">
        <w:rPr>
          <w:i/>
          <w:sz w:val="24"/>
          <w:lang w:val="en-US"/>
        </w:rPr>
        <w:t>and</w:t>
      </w:r>
      <w:r w:rsidRPr="007D15A9">
        <w:rPr>
          <w:sz w:val="24"/>
          <w:lang w:val="en-US"/>
        </w:rPr>
        <w:t xml:space="preserve"> the (often unmeasured) </w:t>
      </w:r>
      <w:r w:rsidRPr="007D15A9">
        <w:rPr>
          <w:i/>
          <w:sz w:val="24"/>
          <w:lang w:val="en-US"/>
        </w:rPr>
        <w:t>beneficial</w:t>
      </w:r>
      <w:r w:rsidRPr="007D15A9">
        <w:rPr>
          <w:sz w:val="24"/>
          <w:lang w:val="en-US"/>
        </w:rPr>
        <w:t xml:space="preserve"> effects of </w:t>
      </w:r>
      <w:r w:rsidR="00BA64CD" w:rsidRPr="004801AF">
        <w:rPr>
          <w:sz w:val="24"/>
        </w:rPr>
        <w:t>supportive</w:t>
      </w:r>
      <w:r w:rsidR="00BA64CD" w:rsidRPr="00BD05AF">
        <w:rPr>
          <w:sz w:val="24"/>
        </w:rPr>
        <w:t>-</w:t>
      </w:r>
      <w:r w:rsidR="00BA64CD" w:rsidRPr="004801AF">
        <w:rPr>
          <w:sz w:val="24"/>
        </w:rPr>
        <w:t>or merely benign</w:t>
      </w:r>
      <w:r w:rsidR="00BA64CD" w:rsidRPr="00BD05AF">
        <w:rPr>
          <w:sz w:val="24"/>
        </w:rPr>
        <w:t>-</w:t>
      </w:r>
      <w:r w:rsidR="005249F5" w:rsidRPr="007D15A9">
        <w:rPr>
          <w:sz w:val="24"/>
          <w:lang w:val="en-US"/>
        </w:rPr>
        <w:t xml:space="preserve"> </w:t>
      </w:r>
      <w:r w:rsidR="00BF2849" w:rsidRPr="007D15A9">
        <w:rPr>
          <w:sz w:val="24"/>
          <w:lang w:val="en-US"/>
        </w:rPr>
        <w:t xml:space="preserve">contextual </w:t>
      </w:r>
      <w:r w:rsidRPr="007D15A9">
        <w:rPr>
          <w:sz w:val="24"/>
          <w:lang w:val="en-US"/>
        </w:rPr>
        <w:t>conditions.</w:t>
      </w:r>
      <w:r w:rsidR="00F31299" w:rsidRPr="007D15A9">
        <w:rPr>
          <w:sz w:val="24"/>
          <w:lang w:val="en-US"/>
        </w:rPr>
        <w:t xml:space="preserve"> </w:t>
      </w:r>
      <w:r w:rsidR="005249F5" w:rsidRPr="007D15A9">
        <w:rPr>
          <w:sz w:val="24"/>
          <w:lang w:val="en-US"/>
        </w:rPr>
        <w:t xml:space="preserve">Therefore, </w:t>
      </w:r>
      <w:r w:rsidRPr="007D15A9">
        <w:rPr>
          <w:sz w:val="24"/>
          <w:lang w:val="en-US"/>
        </w:rPr>
        <w:t xml:space="preserve">the </w:t>
      </w:r>
      <w:r w:rsidR="00F31299" w:rsidRPr="007D15A9">
        <w:rPr>
          <w:sz w:val="24"/>
          <w:lang w:val="en-US"/>
        </w:rPr>
        <w:t>core prediction tested</w:t>
      </w:r>
      <w:r w:rsidRPr="007D15A9">
        <w:rPr>
          <w:sz w:val="24"/>
          <w:lang w:val="en-US"/>
        </w:rPr>
        <w:t xml:space="preserve"> in </w:t>
      </w:r>
      <w:r w:rsidR="00F31299" w:rsidRPr="007D15A9">
        <w:rPr>
          <w:sz w:val="24"/>
          <w:lang w:val="en-US"/>
        </w:rPr>
        <w:t>the</w:t>
      </w:r>
      <w:r w:rsidRPr="007D15A9">
        <w:rPr>
          <w:sz w:val="24"/>
          <w:lang w:val="en-US"/>
        </w:rPr>
        <w:t xml:space="preserve"> </w:t>
      </w:r>
      <w:r w:rsidR="005249F5" w:rsidRPr="007D15A9">
        <w:rPr>
          <w:sz w:val="24"/>
          <w:lang w:val="en-US"/>
        </w:rPr>
        <w:t>present study</w:t>
      </w:r>
      <w:r w:rsidR="00F31299" w:rsidRPr="007D15A9">
        <w:rPr>
          <w:sz w:val="24"/>
          <w:lang w:val="en-US"/>
        </w:rPr>
        <w:t xml:space="preserve"> is</w:t>
      </w:r>
      <w:r w:rsidR="005249F5" w:rsidRPr="007D15A9">
        <w:rPr>
          <w:sz w:val="24"/>
          <w:lang w:val="en-US"/>
        </w:rPr>
        <w:t xml:space="preserve"> </w:t>
      </w:r>
      <w:r w:rsidRPr="007D15A9">
        <w:rPr>
          <w:sz w:val="24"/>
          <w:lang w:val="en-US"/>
        </w:rPr>
        <w:t>that children homozygous for the Val allele will exhibit higher levels of aggression than their Met-carrying counterparts when exposed to traumatic events</w:t>
      </w:r>
      <w:r w:rsidR="005249F5" w:rsidRPr="007D15A9">
        <w:rPr>
          <w:sz w:val="24"/>
          <w:lang w:val="en-US"/>
        </w:rPr>
        <w:t>,</w:t>
      </w:r>
      <w:r w:rsidRPr="007D15A9">
        <w:rPr>
          <w:sz w:val="24"/>
          <w:lang w:val="en-US"/>
        </w:rPr>
        <w:t xml:space="preserve"> </w:t>
      </w:r>
      <w:r w:rsidR="005249F5" w:rsidRPr="007D15A9">
        <w:rPr>
          <w:sz w:val="24"/>
          <w:lang w:val="en-US"/>
        </w:rPr>
        <w:t>and</w:t>
      </w:r>
      <w:r w:rsidRPr="007D15A9">
        <w:rPr>
          <w:sz w:val="24"/>
          <w:lang w:val="en-US"/>
        </w:rPr>
        <w:t xml:space="preserve"> the reverse will be true in the absence of such trauma.</w:t>
      </w:r>
      <w:r w:rsidR="00AD13AC" w:rsidRPr="007D15A9">
        <w:rPr>
          <w:sz w:val="24"/>
          <w:lang w:val="en-US"/>
        </w:rPr>
        <w:t xml:space="preserve"> To</w:t>
      </w:r>
      <w:r w:rsidR="001D73F9" w:rsidRPr="007D15A9">
        <w:rPr>
          <w:sz w:val="24"/>
          <w:lang w:val="en-US"/>
        </w:rPr>
        <w:t xml:space="preserve"> test these predictions, we employ</w:t>
      </w:r>
      <w:r w:rsidR="00481BEC" w:rsidRPr="007D15A9">
        <w:rPr>
          <w:sz w:val="24"/>
          <w:lang w:val="en-US"/>
        </w:rPr>
        <w:t>ed</w:t>
      </w:r>
      <w:r w:rsidR="00AD13AC" w:rsidRPr="007D15A9">
        <w:rPr>
          <w:sz w:val="24"/>
          <w:lang w:val="en-US"/>
        </w:rPr>
        <w:t xml:space="preserve"> a newly developed model-testing approach</w:t>
      </w:r>
      <w:r w:rsidR="00481BEC" w:rsidRPr="007D15A9">
        <w:rPr>
          <w:sz w:val="24"/>
          <w:lang w:val="en-US"/>
        </w:rPr>
        <w:t xml:space="preserve"> that</w:t>
      </w:r>
      <w:r w:rsidR="00AD13AC" w:rsidRPr="007D15A9">
        <w:rPr>
          <w:sz w:val="24"/>
          <w:lang w:val="en-US"/>
        </w:rPr>
        <w:t xml:space="preserve"> compares the fit of the data to diathesis-stress </w:t>
      </w:r>
      <w:r w:rsidR="00130C49" w:rsidRPr="007D15A9">
        <w:rPr>
          <w:sz w:val="24"/>
          <w:lang w:val="en-US"/>
        </w:rPr>
        <w:t>and differential</w:t>
      </w:r>
      <w:r w:rsidR="00A54B9A" w:rsidRPr="007D15A9">
        <w:rPr>
          <w:sz w:val="24"/>
          <w:lang w:val="en-US"/>
        </w:rPr>
        <w:t xml:space="preserve"> </w:t>
      </w:r>
      <w:r w:rsidR="00AD13AC" w:rsidRPr="007D15A9">
        <w:rPr>
          <w:sz w:val="24"/>
          <w:lang w:val="en-US"/>
        </w:rPr>
        <w:t>susceptibility model</w:t>
      </w:r>
      <w:r w:rsidR="001D73F9" w:rsidRPr="007D15A9">
        <w:rPr>
          <w:sz w:val="24"/>
          <w:lang w:val="en-US"/>
        </w:rPr>
        <w:t>s (Widaman et al., 2012; Belsky et al., 2013</w:t>
      </w:r>
      <w:r w:rsidR="00AD13AC" w:rsidRPr="007D15A9">
        <w:rPr>
          <w:sz w:val="24"/>
          <w:lang w:val="en-US"/>
        </w:rPr>
        <w:t>).</w:t>
      </w:r>
    </w:p>
    <w:p w14:paraId="541BBDF8" w14:textId="77777777" w:rsidR="00AB7302" w:rsidRPr="007D15A9" w:rsidRDefault="00B54611" w:rsidP="00C9327E">
      <w:pPr>
        <w:pStyle w:val="Overskrift1"/>
        <w:spacing w:line="480" w:lineRule="auto"/>
        <w:jc w:val="center"/>
        <w:rPr>
          <w:color w:val="auto"/>
          <w:sz w:val="24"/>
          <w:lang w:val="en-US"/>
        </w:rPr>
      </w:pPr>
      <w:r w:rsidRPr="007D15A9">
        <w:rPr>
          <w:color w:val="auto"/>
          <w:sz w:val="24"/>
          <w:lang w:val="en-US"/>
        </w:rPr>
        <w:lastRenderedPageBreak/>
        <w:t>Method</w:t>
      </w:r>
    </w:p>
    <w:p w14:paraId="4753C4C3" w14:textId="3E76A420" w:rsidR="00AB7302" w:rsidRPr="007D15A9" w:rsidRDefault="00B54611" w:rsidP="00CF60BB">
      <w:pPr>
        <w:pStyle w:val="Overskrift2"/>
        <w:spacing w:line="480" w:lineRule="auto"/>
        <w:rPr>
          <w:i w:val="0"/>
          <w:color w:val="auto"/>
          <w:sz w:val="24"/>
          <w:lang w:val="en-US"/>
        </w:rPr>
      </w:pPr>
      <w:r w:rsidRPr="007D15A9">
        <w:rPr>
          <w:i w:val="0"/>
          <w:color w:val="auto"/>
          <w:sz w:val="24"/>
          <w:lang w:val="en-US"/>
        </w:rPr>
        <w:t>Participants and Recruitment</w:t>
      </w:r>
    </w:p>
    <w:p w14:paraId="73B0355E" w14:textId="5FDE08B1" w:rsidR="00AB7302" w:rsidRPr="007D15A9" w:rsidRDefault="00B54611" w:rsidP="00CF60BB">
      <w:pPr>
        <w:spacing w:line="480" w:lineRule="auto"/>
        <w:ind w:firstLine="720"/>
        <w:jc w:val="left"/>
        <w:rPr>
          <w:sz w:val="24"/>
          <w:lang w:val="en-US"/>
        </w:rPr>
      </w:pPr>
      <w:r w:rsidRPr="007D15A9">
        <w:rPr>
          <w:sz w:val="24"/>
          <w:lang w:val="en-US"/>
        </w:rPr>
        <w:t>Two birth cohorts of children (born in 2,003 or 2,004) and their parents living in the city of Trondheim, Norway were invited to participate in the Trondheim Early Secure Study (TESS). Details of the procedure and recruitment have been presented elsewhere (Wichstrøm et al., 2012); only a brief outline is provided here. The strengths and difficulties questionnaire (SDQ) 4–16 version (Goodman, 1997), together with an invitation letter, was mailed to the parents (</w:t>
      </w:r>
      <w:r w:rsidRPr="007D15A9">
        <w:rPr>
          <w:i/>
          <w:sz w:val="24"/>
          <w:lang w:val="en-US"/>
        </w:rPr>
        <w:t>N</w:t>
      </w:r>
      <w:r w:rsidRPr="007D15A9">
        <w:rPr>
          <w:sz w:val="24"/>
          <w:lang w:val="en-US"/>
        </w:rPr>
        <w:t xml:space="preserve"> = 3,456). Completed SDQs were returned at the routine community health </w:t>
      </w:r>
      <w:r w:rsidR="00AE4C6A" w:rsidRPr="007D15A9">
        <w:rPr>
          <w:sz w:val="24"/>
          <w:lang w:val="en-US"/>
        </w:rPr>
        <w:t>check-up</w:t>
      </w:r>
      <w:r w:rsidRPr="007D15A9">
        <w:rPr>
          <w:sz w:val="24"/>
          <w:lang w:val="en-US"/>
        </w:rPr>
        <w:t xml:space="preserve"> for 4-year-olds at Well Child Clinics, which all Norwegian children (are expected to) attend (3,358 families attended). Parents with inadequate proficiency in Norwegian were excluded (</w:t>
      </w:r>
      <w:r w:rsidRPr="007D15A9">
        <w:rPr>
          <w:i/>
          <w:sz w:val="24"/>
          <w:lang w:val="en-US"/>
        </w:rPr>
        <w:t>N</w:t>
      </w:r>
      <w:r w:rsidRPr="007D15A9">
        <w:rPr>
          <w:sz w:val="24"/>
          <w:lang w:val="en-US"/>
        </w:rPr>
        <w:t> = 176), and the health nurses failed to ask 166 parents. At the Well Child Clinic, eligible parents (</w:t>
      </w:r>
      <w:r w:rsidRPr="007D15A9">
        <w:rPr>
          <w:i/>
          <w:sz w:val="24"/>
          <w:lang w:val="en-US"/>
        </w:rPr>
        <w:t>N</w:t>
      </w:r>
      <w:r w:rsidRPr="007D15A9">
        <w:rPr>
          <w:sz w:val="24"/>
          <w:lang w:val="en-US"/>
        </w:rPr>
        <w:t> = 3,016) were informed of the study through procedures approved by the Regional Committee for Medical and Health Research Ethics. Written consent was obtained from the parents of 2,475 children (82.1% of those eligible).</w:t>
      </w:r>
    </w:p>
    <w:p w14:paraId="49FC50C2" w14:textId="2562CB00" w:rsidR="00AB7302" w:rsidRPr="007D15A9" w:rsidRDefault="00B54611" w:rsidP="00614589">
      <w:pPr>
        <w:pStyle w:val="Vanliginnrykk"/>
        <w:spacing w:line="480" w:lineRule="auto"/>
        <w:ind w:firstLine="720"/>
        <w:contextualSpacing/>
        <w:jc w:val="left"/>
        <w:rPr>
          <w:sz w:val="24"/>
          <w:lang w:val="en-US"/>
        </w:rPr>
      </w:pPr>
      <w:r w:rsidRPr="007D15A9">
        <w:rPr>
          <w:sz w:val="24"/>
          <w:lang w:val="en-US"/>
        </w:rPr>
        <w:t>The SDQ total scores were divided into four strata. Using a random number generator, the defined proportions of parents in each stratum were selected to participate in a further study. The selection probabilities increased with increasing SDQ scores. Of the 1,250 parents invited to participate, we tested 936 (74.9%). The subsequent dropout rate did not vary according to the SDQ strata (χ</w:t>
      </w:r>
      <w:r w:rsidRPr="007D15A9">
        <w:rPr>
          <w:sz w:val="24"/>
          <w:vertAlign w:val="superscript"/>
          <w:lang w:val="en-US"/>
        </w:rPr>
        <w:t>2</w:t>
      </w:r>
      <w:r w:rsidRPr="007D15A9">
        <w:rPr>
          <w:sz w:val="24"/>
          <w:lang w:val="en-US"/>
        </w:rPr>
        <w:t xml:space="preserve"> = 5.70, df =3, </w:t>
      </w:r>
      <w:r w:rsidRPr="007D15A9">
        <w:rPr>
          <w:i/>
          <w:sz w:val="24"/>
          <w:lang w:val="en-US"/>
        </w:rPr>
        <w:t>p</w:t>
      </w:r>
      <w:r w:rsidRPr="007D15A9">
        <w:rPr>
          <w:sz w:val="24"/>
          <w:lang w:val="en-US"/>
        </w:rPr>
        <w:t> = .13) or gender (χ</w:t>
      </w:r>
      <w:r w:rsidRPr="007D15A9">
        <w:rPr>
          <w:sz w:val="24"/>
          <w:vertAlign w:val="superscript"/>
          <w:lang w:val="en-US"/>
        </w:rPr>
        <w:t>2</w:t>
      </w:r>
      <w:r w:rsidRPr="007D15A9">
        <w:rPr>
          <w:sz w:val="24"/>
          <w:lang w:val="en-US"/>
        </w:rPr>
        <w:t xml:space="preserve"> = .23, df =1, </w:t>
      </w:r>
      <w:r w:rsidRPr="007D15A9">
        <w:rPr>
          <w:i/>
          <w:sz w:val="24"/>
          <w:lang w:val="en-US"/>
        </w:rPr>
        <w:t>p</w:t>
      </w:r>
      <w:r w:rsidRPr="007D15A9">
        <w:rPr>
          <w:sz w:val="24"/>
          <w:lang w:val="en-US"/>
        </w:rPr>
        <w:t xml:space="preserve"> = .63). Of all children, 704 were successfully genotyped for the </w:t>
      </w:r>
      <w:r w:rsidRPr="007D15A9">
        <w:rPr>
          <w:i/>
          <w:sz w:val="24"/>
          <w:lang w:val="en-US"/>
        </w:rPr>
        <w:t>COMT</w:t>
      </w:r>
      <w:r w:rsidRPr="007D15A9">
        <w:rPr>
          <w:sz w:val="24"/>
          <w:lang w:val="en-US"/>
        </w:rPr>
        <w:t xml:space="preserve"> Val158Met polymorphism; these children formed this report’s analysis sample. There were 355 (50.4%) males among the participating children; most lived with their biological parents, who were of Norwegian ethnicity (see Table 1). Teacher data were collected by means of questionnaires </w:t>
      </w:r>
      <w:r w:rsidRPr="007D15A9">
        <w:rPr>
          <w:sz w:val="24"/>
          <w:lang w:val="en-US"/>
        </w:rPr>
        <w:lastRenderedPageBreak/>
        <w:t>sent to day care centers. The teacher response rate was 90.6%. The teachers had known the children for an average of 13 months.</w:t>
      </w:r>
    </w:p>
    <w:p w14:paraId="6FB2F4D2" w14:textId="0E1AE6B7" w:rsidR="00AB7302" w:rsidRPr="007D15A9" w:rsidRDefault="00B54611" w:rsidP="00614589">
      <w:pPr>
        <w:pStyle w:val="Overskrift3"/>
        <w:spacing w:line="480" w:lineRule="auto"/>
        <w:contextualSpacing/>
        <w:rPr>
          <w:rFonts w:ascii="Times New Roman" w:hAnsi="Times New Roman"/>
          <w:color w:val="auto"/>
          <w:lang w:val="en-US"/>
        </w:rPr>
      </w:pPr>
      <w:r w:rsidRPr="007D15A9">
        <w:rPr>
          <w:rFonts w:ascii="Times New Roman" w:hAnsi="Times New Roman"/>
          <w:color w:val="auto"/>
          <w:lang w:val="en-US"/>
        </w:rPr>
        <w:t>Measures</w:t>
      </w:r>
    </w:p>
    <w:p w14:paraId="3F670E08" w14:textId="64004D4F" w:rsidR="00AB7302" w:rsidRPr="007D15A9" w:rsidRDefault="00B54611" w:rsidP="00C32F5C">
      <w:pPr>
        <w:spacing w:line="480" w:lineRule="auto"/>
        <w:ind w:firstLine="720"/>
        <w:contextualSpacing/>
        <w:rPr>
          <w:sz w:val="24"/>
          <w:lang w:val="en-US"/>
        </w:rPr>
      </w:pPr>
      <w:r w:rsidRPr="007D15A9">
        <w:rPr>
          <w:b/>
          <w:sz w:val="24"/>
          <w:lang w:val="en-US"/>
        </w:rPr>
        <w:t>Aggressive behavior</w:t>
      </w:r>
      <w:r w:rsidRPr="007D15A9">
        <w:rPr>
          <w:sz w:val="24"/>
          <w:lang w:val="en-US"/>
        </w:rPr>
        <w:t xml:space="preserve"> was measured by the 25-item Aggression subscale of the Teacher’s Report Form (TRF/5–18 (Achenbach, 1991</w:t>
      </w:r>
      <w:r w:rsidR="000E6AC0" w:rsidRPr="007D15A9">
        <w:rPr>
          <w:sz w:val="24"/>
          <w:lang w:val="en-US"/>
        </w:rPr>
        <w:t>)</w:t>
      </w:r>
      <w:r w:rsidR="00172E99">
        <w:rPr>
          <w:sz w:val="24"/>
          <w:lang w:val="en-US"/>
        </w:rPr>
        <w:t>)</w:t>
      </w:r>
      <w:r w:rsidRPr="007D15A9">
        <w:rPr>
          <w:sz w:val="24"/>
          <w:lang w:val="en-US"/>
        </w:rPr>
        <w:t>, which assesses tendencies to physically or verbally attack other people, destroy property, and defy authority (α = 0.93). Teachers rate how well an item describes the target child currently or within the last two months: 1 = not true (as far as I know), 2 = somewhat or sometimes true, and 3 = very true or often true.</w:t>
      </w:r>
    </w:p>
    <w:p w14:paraId="6F92188D" w14:textId="3822BE41" w:rsidR="00AB7302" w:rsidRPr="007D15A9" w:rsidRDefault="00B54611" w:rsidP="00C32F5C">
      <w:pPr>
        <w:pStyle w:val="Vanliginnrykk"/>
        <w:spacing w:line="480" w:lineRule="auto"/>
        <w:ind w:firstLine="720"/>
        <w:contextualSpacing/>
        <w:rPr>
          <w:sz w:val="24"/>
          <w:lang w:val="en-US"/>
        </w:rPr>
      </w:pPr>
      <w:r w:rsidRPr="007D15A9">
        <w:rPr>
          <w:b/>
          <w:sz w:val="24"/>
          <w:lang w:val="en-US"/>
        </w:rPr>
        <w:t>Serious life events (SLEs)</w:t>
      </w:r>
      <w:r w:rsidRPr="007D15A9">
        <w:rPr>
          <w:sz w:val="24"/>
          <w:lang w:val="en-US"/>
        </w:rPr>
        <w:t xml:space="preserve"> were measured by parent interviews using the Preschool Age Psychiatric Assessment (PAPA—Egger &amp; Angold, 2004) to determine whether their child had ever experienced any of 26 stressors that could potentially cause post-traumatic stress disorder, such as being in a vehicular accident, getting burned, nearly drowning, having a serious fall, witnessing violence or death, or enduring physical and/or sexual abuse</w:t>
      </w:r>
      <w:r w:rsidRPr="007D15A9">
        <w:rPr>
          <w:i/>
          <w:sz w:val="24"/>
          <w:lang w:val="en-US"/>
        </w:rPr>
        <w:t>.</w:t>
      </w:r>
      <w:r w:rsidRPr="007D15A9">
        <w:rPr>
          <w:sz w:val="24"/>
          <w:lang w:val="en-US"/>
        </w:rPr>
        <w:t xml:space="preserve"> All experienced events were summed to create a total number of SLEs. Table 1 presents the distribution of scores.</w:t>
      </w:r>
    </w:p>
    <w:p w14:paraId="52C4DCA5" w14:textId="42B47ECB" w:rsidR="00AB7302" w:rsidRPr="007D15A9" w:rsidRDefault="00B54611" w:rsidP="00C32F5C">
      <w:pPr>
        <w:pStyle w:val="Vanliginnrykk"/>
        <w:spacing w:line="480" w:lineRule="auto"/>
        <w:ind w:firstLine="720"/>
        <w:contextualSpacing/>
        <w:rPr>
          <w:sz w:val="24"/>
          <w:lang w:val="en-US"/>
        </w:rPr>
      </w:pPr>
      <w:r w:rsidRPr="007D15A9">
        <w:rPr>
          <w:b/>
          <w:sz w:val="24"/>
          <w:lang w:val="en-US"/>
        </w:rPr>
        <w:t>COMT genotyping</w:t>
      </w:r>
      <w:r w:rsidRPr="007D15A9">
        <w:rPr>
          <w:sz w:val="24"/>
          <w:lang w:val="en-US"/>
        </w:rPr>
        <w:t xml:space="preserve"> was conducted using two </w:t>
      </w:r>
      <w:r w:rsidR="00AE4C6A" w:rsidRPr="007D15A9">
        <w:rPr>
          <w:sz w:val="24"/>
          <w:lang w:val="en-US"/>
        </w:rPr>
        <w:t>millilite</w:t>
      </w:r>
      <w:r w:rsidR="0083034A" w:rsidRPr="007D15A9">
        <w:rPr>
          <w:sz w:val="24"/>
          <w:lang w:val="en-US"/>
        </w:rPr>
        <w:t>r</w:t>
      </w:r>
      <w:r w:rsidR="00AE4C6A" w:rsidRPr="007D15A9">
        <w:rPr>
          <w:sz w:val="24"/>
          <w:lang w:val="en-US"/>
        </w:rPr>
        <w:t>s</w:t>
      </w:r>
      <w:r w:rsidRPr="007D15A9">
        <w:rPr>
          <w:sz w:val="24"/>
          <w:lang w:val="en-US"/>
        </w:rPr>
        <w:t xml:space="preserve"> of saliva collected from the children using the Oragene DNA saliva kit (DNA Genotek, Ottawa, Ontario, United States of America). DNA was later extracted and stored according to the manufacturer’s protocol. The genotypes of the </w:t>
      </w:r>
      <w:r w:rsidRPr="007D15A9">
        <w:rPr>
          <w:i/>
          <w:sz w:val="24"/>
          <w:lang w:val="en-US"/>
        </w:rPr>
        <w:t>COMT</w:t>
      </w:r>
      <w:r w:rsidRPr="007D15A9">
        <w:rPr>
          <w:sz w:val="24"/>
          <w:lang w:val="en-US"/>
        </w:rPr>
        <w:t xml:space="preserve"> Val158Met polymorphism were determined using a LightCycler Real-Time PCR machine (Roche Diagnostics, Scandinavia AB, Bromma, Sweden (Wittwer et al., 1997)). The PCR was performed in 20 μL of reagent in a LightCycler System using 2 μL of genomic DNA and a LightCycler-FastStart DNA Master Hybridization Probes kit (Roche Diagnostics, Bromma, Sweden) with previously published PCR primers and hybridization probes (Holmen et al., 1990). Based on the melting curve profiles, the </w:t>
      </w:r>
      <w:r w:rsidRPr="007D15A9">
        <w:rPr>
          <w:sz w:val="24"/>
          <w:lang w:val="en-US"/>
        </w:rPr>
        <w:lastRenderedPageBreak/>
        <w:t>genotypes of the participants were classified as Val/Val, Val/Met or Met/Met. The children’s genotypes proved to be in the Hardy–Weinberg equilibrium (χ</w:t>
      </w:r>
      <w:r w:rsidRPr="007D15A9">
        <w:rPr>
          <w:sz w:val="24"/>
          <w:vertAlign w:val="superscript"/>
          <w:lang w:val="en-US"/>
        </w:rPr>
        <w:t>2</w:t>
      </w:r>
      <w:r w:rsidRPr="007D15A9">
        <w:rPr>
          <w:sz w:val="24"/>
          <w:lang w:val="en-US"/>
        </w:rPr>
        <w:t> = </w:t>
      </w:r>
      <w:r w:rsidR="00C7472B" w:rsidRPr="007D15A9">
        <w:rPr>
          <w:sz w:val="24"/>
          <w:lang w:val="en-US"/>
        </w:rPr>
        <w:t>0</w:t>
      </w:r>
      <w:r w:rsidRPr="007D15A9">
        <w:rPr>
          <w:sz w:val="24"/>
          <w:lang w:val="en-US"/>
        </w:rPr>
        <w:t xml:space="preserve">.12, df =1, </w:t>
      </w:r>
      <w:r w:rsidRPr="007D15A9">
        <w:rPr>
          <w:i/>
          <w:sz w:val="24"/>
          <w:lang w:val="en-US"/>
        </w:rPr>
        <w:t>p</w:t>
      </w:r>
      <w:r w:rsidRPr="007D15A9">
        <w:rPr>
          <w:sz w:val="24"/>
          <w:lang w:val="en-US"/>
        </w:rPr>
        <w:t> = </w:t>
      </w:r>
      <w:r w:rsidR="00C7472B" w:rsidRPr="007D15A9">
        <w:rPr>
          <w:sz w:val="24"/>
          <w:lang w:val="en-US"/>
        </w:rPr>
        <w:t>0</w:t>
      </w:r>
      <w:r w:rsidRPr="007D15A9">
        <w:rPr>
          <w:sz w:val="24"/>
          <w:lang w:val="en-US"/>
        </w:rPr>
        <w:t>.73): Val/Val (</w:t>
      </w:r>
      <w:r w:rsidRPr="007D15A9">
        <w:rPr>
          <w:i/>
          <w:sz w:val="24"/>
          <w:lang w:val="en-US"/>
        </w:rPr>
        <w:t>N</w:t>
      </w:r>
      <w:r w:rsidRPr="007D15A9">
        <w:rPr>
          <w:sz w:val="24"/>
          <w:lang w:val="en-US"/>
        </w:rPr>
        <w:t> = 151, 21.</w:t>
      </w:r>
      <w:r w:rsidR="003F45F9" w:rsidRPr="007D15A9">
        <w:rPr>
          <w:sz w:val="24"/>
          <w:lang w:val="en-US"/>
        </w:rPr>
        <w:t>4</w:t>
      </w:r>
      <w:r w:rsidRPr="007D15A9">
        <w:rPr>
          <w:sz w:val="24"/>
          <w:lang w:val="en-US"/>
        </w:rPr>
        <w:t>%), Val/Met (</w:t>
      </w:r>
      <w:r w:rsidRPr="007D15A9">
        <w:rPr>
          <w:i/>
          <w:sz w:val="24"/>
          <w:lang w:val="en-US"/>
        </w:rPr>
        <w:t>N</w:t>
      </w:r>
      <w:r w:rsidRPr="007D15A9">
        <w:rPr>
          <w:sz w:val="24"/>
          <w:lang w:val="en-US"/>
        </w:rPr>
        <w:t> = 355, 50.</w:t>
      </w:r>
      <w:r w:rsidR="003F45F9" w:rsidRPr="007D15A9">
        <w:rPr>
          <w:sz w:val="24"/>
          <w:lang w:val="en-US"/>
        </w:rPr>
        <w:t>4</w:t>
      </w:r>
      <w:r w:rsidRPr="007D15A9">
        <w:rPr>
          <w:sz w:val="24"/>
          <w:lang w:val="en-US"/>
        </w:rPr>
        <w:t>%), and Met/Met (</w:t>
      </w:r>
      <w:r w:rsidRPr="007D15A9">
        <w:rPr>
          <w:i/>
          <w:sz w:val="24"/>
          <w:lang w:val="en-US"/>
        </w:rPr>
        <w:t>N</w:t>
      </w:r>
      <w:r w:rsidRPr="007D15A9">
        <w:rPr>
          <w:sz w:val="24"/>
          <w:lang w:val="en-US"/>
        </w:rPr>
        <w:t> = 198, 28.</w:t>
      </w:r>
      <w:r w:rsidR="003F45F9" w:rsidRPr="007D15A9">
        <w:rPr>
          <w:sz w:val="24"/>
          <w:lang w:val="en-US"/>
        </w:rPr>
        <w:t>1</w:t>
      </w:r>
      <w:r w:rsidRPr="007D15A9">
        <w:rPr>
          <w:sz w:val="24"/>
          <w:lang w:val="en-US"/>
        </w:rPr>
        <w:t>%).</w:t>
      </w:r>
    </w:p>
    <w:p w14:paraId="655196DB" w14:textId="77777777" w:rsidR="00AB7302" w:rsidRPr="007D15A9" w:rsidRDefault="00B54611" w:rsidP="00C32F5C">
      <w:pPr>
        <w:pStyle w:val="Overskrift2"/>
        <w:spacing w:after="0" w:line="480" w:lineRule="auto"/>
        <w:contextualSpacing/>
        <w:rPr>
          <w:i w:val="0"/>
          <w:color w:val="auto"/>
          <w:sz w:val="24"/>
          <w:lang w:val="en-US"/>
        </w:rPr>
      </w:pPr>
      <w:r w:rsidRPr="007D15A9">
        <w:rPr>
          <w:i w:val="0"/>
          <w:color w:val="auto"/>
          <w:sz w:val="24"/>
          <w:lang w:val="en-US"/>
        </w:rPr>
        <w:t>Statistical Analysis</w:t>
      </w:r>
    </w:p>
    <w:p w14:paraId="06154580" w14:textId="252C2C35" w:rsidR="00AB7302" w:rsidRPr="007D15A9" w:rsidRDefault="00B54611" w:rsidP="00CF60BB">
      <w:pPr>
        <w:spacing w:line="480" w:lineRule="auto"/>
        <w:ind w:firstLine="720"/>
        <w:rPr>
          <w:sz w:val="24"/>
          <w:lang w:val="en-US"/>
        </w:rPr>
      </w:pPr>
      <w:r w:rsidRPr="007D15A9">
        <w:rPr>
          <w:sz w:val="24"/>
          <w:lang w:val="en-US"/>
        </w:rPr>
        <w:t xml:space="preserve">We used linear regression analysis with the aggression score as the dependent variable and the </w:t>
      </w:r>
      <w:r w:rsidRPr="007D15A9">
        <w:rPr>
          <w:i/>
          <w:sz w:val="24"/>
          <w:lang w:val="en-US"/>
        </w:rPr>
        <w:t>COMT</w:t>
      </w:r>
      <w:r w:rsidRPr="007D15A9">
        <w:rPr>
          <w:sz w:val="24"/>
          <w:lang w:val="en-US"/>
        </w:rPr>
        <w:t xml:space="preserve"> Val158Met polymorphism (coded as Val/Val vs. Met carriers) and serious life events and their interaction as the primary predictors. Child </w:t>
      </w:r>
      <w:r w:rsidRPr="007D15A9">
        <w:rPr>
          <w:i/>
          <w:sz w:val="24"/>
          <w:lang w:val="en-US"/>
        </w:rPr>
        <w:t>gender</w:t>
      </w:r>
      <w:r w:rsidRPr="007D15A9">
        <w:rPr>
          <w:sz w:val="24"/>
          <w:lang w:val="en-US"/>
        </w:rPr>
        <w:t xml:space="preserve"> served as a covariate because boys generally behave more aggressively than girls, at least in early childhood (</w:t>
      </w:r>
      <w:r w:rsidR="00E6015B" w:rsidRPr="007D15A9">
        <w:rPr>
          <w:sz w:val="24"/>
          <w:lang w:val="en-US"/>
        </w:rPr>
        <w:t>Bjørkqvist, Lagerspetz, &amp; Kaukiainen, 1992</w:t>
      </w:r>
      <w:r w:rsidRPr="007D15A9">
        <w:rPr>
          <w:sz w:val="24"/>
          <w:lang w:val="en-US"/>
        </w:rPr>
        <w:t>), which proved to be the case in this study (see first paragraph of Results below).</w:t>
      </w:r>
    </w:p>
    <w:p w14:paraId="7917EF3A" w14:textId="4496A347" w:rsidR="00AB7302" w:rsidRPr="007D15A9" w:rsidRDefault="00B54611" w:rsidP="00CF60BB">
      <w:pPr>
        <w:pStyle w:val="Vanliginnrykk"/>
        <w:spacing w:line="480" w:lineRule="auto"/>
        <w:ind w:firstLine="720"/>
        <w:rPr>
          <w:sz w:val="24"/>
          <w:lang w:val="en-US"/>
        </w:rPr>
      </w:pPr>
      <w:r w:rsidRPr="007D15A9">
        <w:rPr>
          <w:sz w:val="24"/>
          <w:lang w:val="en-US"/>
        </w:rPr>
        <w:t xml:space="preserve">With a screen-stratified sample, all parameters were weighted with the inverse of the drawing probability for each participant (i.e., low-screen scorers were “weighted up,” and high scorers were weighted down). This method provides unbiased general population estimates (Horvitz &amp; Thompson, 1952). Two-sided </w:t>
      </w:r>
      <w:r w:rsidRPr="007D15A9">
        <w:rPr>
          <w:i/>
          <w:sz w:val="24"/>
          <w:lang w:val="en-US"/>
        </w:rPr>
        <w:t>p</w:t>
      </w:r>
      <w:r w:rsidRPr="007D15A9">
        <w:rPr>
          <w:sz w:val="24"/>
          <w:lang w:val="en-US"/>
        </w:rPr>
        <w:t>-values &lt;0.05 are regarded as statistically significant, and 95% confidence intervals (CI) are reported where relevant. Analyses were performed in SPSS 21. To determine whether an interaction effect reflects diathesis-stress or differential susceptibility, we evaluated whether the regression slopes for the Met carriers and the Val homozygotes crossed within the range of available data of SLEs using the competitive model-testing procedures of Widaman et al. (2012</w:t>
      </w:r>
      <w:r w:rsidR="00E6015B" w:rsidRPr="007D15A9">
        <w:rPr>
          <w:sz w:val="24"/>
          <w:lang w:val="en-US"/>
        </w:rPr>
        <w:t>) and</w:t>
      </w:r>
      <w:r w:rsidRPr="007D15A9">
        <w:rPr>
          <w:sz w:val="24"/>
          <w:lang w:val="en-US"/>
        </w:rPr>
        <w:t xml:space="preserve"> </w:t>
      </w:r>
      <w:r w:rsidR="00E6015B" w:rsidRPr="007D15A9">
        <w:rPr>
          <w:sz w:val="24"/>
          <w:lang w:val="en-US"/>
        </w:rPr>
        <w:t xml:space="preserve">Belsky </w:t>
      </w:r>
      <w:r w:rsidR="001D73F9" w:rsidRPr="007D15A9">
        <w:rPr>
          <w:sz w:val="24"/>
          <w:lang w:val="en-US"/>
        </w:rPr>
        <w:t xml:space="preserve">et al. </w:t>
      </w:r>
      <w:r w:rsidR="00E6015B" w:rsidRPr="007D15A9">
        <w:rPr>
          <w:sz w:val="24"/>
          <w:lang w:val="en-US"/>
        </w:rPr>
        <w:t>(2013)</w:t>
      </w:r>
      <w:r w:rsidRPr="007D15A9">
        <w:rPr>
          <w:sz w:val="24"/>
          <w:lang w:val="en-US"/>
        </w:rPr>
        <w:t xml:space="preserve">. To do this, nonlinear regression must be employed; it is not possible to conduct this analysis in SPSS in conjunction with weighted data. We therefore </w:t>
      </w:r>
      <w:r w:rsidR="003F45F9" w:rsidRPr="00C32F5C">
        <w:rPr>
          <w:sz w:val="24"/>
          <w:lang w:val="en-US"/>
        </w:rPr>
        <w:t>modeled</w:t>
      </w:r>
      <w:r w:rsidRPr="007D15A9">
        <w:rPr>
          <w:sz w:val="24"/>
          <w:lang w:val="en-US"/>
        </w:rPr>
        <w:t xml:space="preserve"> this crossing point using model constraints and a robust maximum likelihood estimator in Mplus 7.2 (Muthén &amp; Muthén, 2009).</w:t>
      </w:r>
    </w:p>
    <w:p w14:paraId="264178F6" w14:textId="77777777" w:rsidR="00AB7302" w:rsidRPr="007D15A9" w:rsidRDefault="00B54611" w:rsidP="00CF60BB">
      <w:pPr>
        <w:pStyle w:val="Overskrift1"/>
        <w:spacing w:line="480" w:lineRule="auto"/>
        <w:jc w:val="center"/>
        <w:rPr>
          <w:color w:val="auto"/>
          <w:sz w:val="24"/>
          <w:lang w:val="en-US"/>
        </w:rPr>
      </w:pPr>
      <w:r w:rsidRPr="007D15A9">
        <w:rPr>
          <w:color w:val="auto"/>
          <w:sz w:val="24"/>
          <w:lang w:val="en-US"/>
        </w:rPr>
        <w:lastRenderedPageBreak/>
        <w:t>Results</w:t>
      </w:r>
    </w:p>
    <w:p w14:paraId="38CA36A1" w14:textId="2B32F870" w:rsidR="00AB7302" w:rsidRPr="007D15A9" w:rsidRDefault="00B54611" w:rsidP="00CF60BB">
      <w:pPr>
        <w:spacing w:line="480" w:lineRule="auto"/>
        <w:ind w:firstLine="720"/>
        <w:rPr>
          <w:sz w:val="24"/>
          <w:lang w:val="en-US"/>
        </w:rPr>
      </w:pPr>
      <w:r w:rsidRPr="007D15A9">
        <w:rPr>
          <w:sz w:val="24"/>
          <w:lang w:val="en-US"/>
        </w:rPr>
        <w:t xml:space="preserve">Table 1 presents the descriptive statistics for all variables included in the primary linear regression analysis. The average score for aggression was 4.21, whereas the average score for traumatic life-events was low at 0.74 in this population-based Norwegian sample. Boys had higher aggression scores than girls did (Mean </w:t>
      </w:r>
      <w:r w:rsidR="000E3CC6" w:rsidRPr="007D15A9">
        <w:rPr>
          <w:sz w:val="24"/>
          <w:lang w:val="en-US"/>
        </w:rPr>
        <w:t>difference</w:t>
      </w:r>
      <w:r w:rsidRPr="007D15A9">
        <w:rPr>
          <w:sz w:val="24"/>
          <w:lang w:val="en-US"/>
        </w:rPr>
        <w:t xml:space="preserve"> 1.96, CI 1.11</w:t>
      </w:r>
      <w:r w:rsidR="000E3CC6" w:rsidRPr="007D15A9">
        <w:rPr>
          <w:sz w:val="24"/>
          <w:lang w:val="en-US"/>
        </w:rPr>
        <w:t xml:space="preserve"> to </w:t>
      </w:r>
      <w:r w:rsidRPr="007D15A9">
        <w:rPr>
          <w:sz w:val="24"/>
          <w:lang w:val="en-US"/>
        </w:rPr>
        <w:t xml:space="preserve">2.81, </w:t>
      </w:r>
      <w:r w:rsidRPr="007D15A9">
        <w:rPr>
          <w:i/>
          <w:sz w:val="24"/>
          <w:lang w:val="en-US"/>
        </w:rPr>
        <w:t>p</w:t>
      </w:r>
      <w:r w:rsidRPr="007D15A9">
        <w:rPr>
          <w:sz w:val="24"/>
          <w:lang w:val="en-US"/>
        </w:rPr>
        <w:t> &lt; </w:t>
      </w:r>
      <w:r w:rsidR="006D4123" w:rsidRPr="007D15A9">
        <w:rPr>
          <w:sz w:val="24"/>
          <w:lang w:val="en-US"/>
        </w:rPr>
        <w:t>0</w:t>
      </w:r>
      <w:r w:rsidRPr="007D15A9">
        <w:rPr>
          <w:sz w:val="24"/>
          <w:lang w:val="en-US"/>
        </w:rPr>
        <w:t>.001). Neither experiences of serious life events (</w:t>
      </w:r>
      <w:r w:rsidR="00DE208B" w:rsidRPr="007D15A9">
        <w:rPr>
          <w:sz w:val="24"/>
          <w:lang w:val="en-US"/>
        </w:rPr>
        <w:t>b</w:t>
      </w:r>
      <w:r w:rsidRPr="007D15A9">
        <w:rPr>
          <w:sz w:val="24"/>
          <w:lang w:val="en-US"/>
        </w:rPr>
        <w:t> = 1.85, CI 0.88</w:t>
      </w:r>
      <w:r w:rsidR="00902708" w:rsidRPr="007D15A9">
        <w:rPr>
          <w:sz w:val="24"/>
          <w:lang w:val="en-US"/>
        </w:rPr>
        <w:t xml:space="preserve"> to </w:t>
      </w:r>
      <w:r w:rsidRPr="007D15A9">
        <w:rPr>
          <w:sz w:val="24"/>
          <w:lang w:val="en-US"/>
        </w:rPr>
        <w:t xml:space="preserve">2.82, </w:t>
      </w:r>
      <w:r w:rsidRPr="007D15A9">
        <w:rPr>
          <w:i/>
          <w:sz w:val="24"/>
          <w:lang w:val="en-US"/>
        </w:rPr>
        <w:t>p</w:t>
      </w:r>
      <w:r w:rsidRPr="007D15A9">
        <w:rPr>
          <w:sz w:val="24"/>
          <w:lang w:val="en-US"/>
        </w:rPr>
        <w:t> = </w:t>
      </w:r>
      <w:r w:rsidR="006D4123" w:rsidRPr="007D15A9">
        <w:rPr>
          <w:sz w:val="24"/>
          <w:lang w:val="en-US"/>
        </w:rPr>
        <w:t>0</w:t>
      </w:r>
      <w:r w:rsidRPr="007D15A9">
        <w:rPr>
          <w:sz w:val="24"/>
          <w:lang w:val="en-US"/>
        </w:rPr>
        <w:t xml:space="preserve">.55) nor being </w:t>
      </w:r>
      <w:r w:rsidR="009230EE" w:rsidRPr="007D15A9">
        <w:rPr>
          <w:sz w:val="24"/>
          <w:lang w:val="en-US"/>
        </w:rPr>
        <w:t>homozygous for the Val allele</w:t>
      </w:r>
      <w:r w:rsidR="00DE208B" w:rsidRPr="007D15A9">
        <w:rPr>
          <w:sz w:val="24"/>
          <w:lang w:val="en-US"/>
        </w:rPr>
        <w:t xml:space="preserve"> (b</w:t>
      </w:r>
      <w:r w:rsidR="000E3CC6" w:rsidRPr="007D15A9">
        <w:rPr>
          <w:sz w:val="24"/>
          <w:lang w:val="en-US"/>
        </w:rPr>
        <w:t> = </w:t>
      </w:r>
      <w:r w:rsidRPr="007D15A9">
        <w:rPr>
          <w:sz w:val="24"/>
          <w:lang w:val="en-US"/>
        </w:rPr>
        <w:t>0.15, CI -0.</w:t>
      </w:r>
      <w:r w:rsidR="000E3CC6" w:rsidRPr="007D15A9">
        <w:rPr>
          <w:sz w:val="24"/>
          <w:lang w:val="en-US"/>
        </w:rPr>
        <w:t>32</w:t>
      </w:r>
      <w:r w:rsidRPr="007D15A9">
        <w:rPr>
          <w:sz w:val="24"/>
          <w:lang w:val="en-US"/>
        </w:rPr>
        <w:t xml:space="preserve"> to 0.</w:t>
      </w:r>
      <w:r w:rsidR="000E3CC6" w:rsidRPr="007D15A9">
        <w:rPr>
          <w:sz w:val="24"/>
          <w:lang w:val="en-US"/>
        </w:rPr>
        <w:t>60</w:t>
      </w:r>
      <w:r w:rsidRPr="007D15A9">
        <w:rPr>
          <w:sz w:val="24"/>
          <w:lang w:val="en-US"/>
        </w:rPr>
        <w:t xml:space="preserve">, </w:t>
      </w:r>
      <w:r w:rsidRPr="007D15A9">
        <w:rPr>
          <w:i/>
          <w:sz w:val="24"/>
          <w:lang w:val="en-US"/>
        </w:rPr>
        <w:t>p</w:t>
      </w:r>
      <w:r w:rsidRPr="007D15A9">
        <w:rPr>
          <w:sz w:val="24"/>
          <w:lang w:val="en-US"/>
        </w:rPr>
        <w:t> = </w:t>
      </w:r>
      <w:r w:rsidR="006D4123" w:rsidRPr="007D15A9">
        <w:rPr>
          <w:sz w:val="24"/>
          <w:lang w:val="en-US"/>
        </w:rPr>
        <w:t>0</w:t>
      </w:r>
      <w:r w:rsidRPr="007D15A9">
        <w:rPr>
          <w:sz w:val="24"/>
          <w:lang w:val="en-US"/>
        </w:rPr>
        <w:t xml:space="preserve">.78) predicted aggression when controlling for gender. </w:t>
      </w:r>
      <w:r w:rsidR="00500DB8" w:rsidRPr="007D15A9">
        <w:rPr>
          <w:sz w:val="24"/>
          <w:lang w:val="en-US"/>
        </w:rPr>
        <w:t>However, t</w:t>
      </w:r>
      <w:r w:rsidRPr="007D15A9">
        <w:rPr>
          <w:sz w:val="24"/>
          <w:lang w:val="en-US"/>
        </w:rPr>
        <w:t>he GXE interaction proved significant</w:t>
      </w:r>
      <w:r w:rsidR="00DE208B" w:rsidRPr="007D15A9">
        <w:rPr>
          <w:sz w:val="24"/>
          <w:lang w:val="en-US"/>
        </w:rPr>
        <w:t xml:space="preserve"> (b</w:t>
      </w:r>
      <w:r w:rsidRPr="007D15A9">
        <w:rPr>
          <w:sz w:val="24"/>
          <w:lang w:val="en-US"/>
        </w:rPr>
        <w:t xml:space="preserve"> = -1.33, CI -2.23 to -0.43, </w:t>
      </w:r>
      <w:r w:rsidRPr="007D15A9">
        <w:rPr>
          <w:i/>
          <w:sz w:val="24"/>
          <w:lang w:val="en-US"/>
        </w:rPr>
        <w:t>p</w:t>
      </w:r>
      <w:r w:rsidRPr="007D15A9">
        <w:rPr>
          <w:sz w:val="24"/>
          <w:lang w:val="en-US"/>
        </w:rPr>
        <w:t> = </w:t>
      </w:r>
      <w:r w:rsidR="006D4123" w:rsidRPr="007D15A9">
        <w:rPr>
          <w:sz w:val="24"/>
          <w:lang w:val="en-US"/>
        </w:rPr>
        <w:t>0</w:t>
      </w:r>
      <w:r w:rsidRPr="007D15A9">
        <w:rPr>
          <w:sz w:val="24"/>
          <w:lang w:val="en-US"/>
        </w:rPr>
        <w:t>.004)</w:t>
      </w:r>
      <w:r w:rsidR="00AD13AC" w:rsidRPr="007D15A9">
        <w:rPr>
          <w:sz w:val="24"/>
          <w:lang w:val="en-US"/>
        </w:rPr>
        <w:t xml:space="preserve"> </w:t>
      </w:r>
      <w:r w:rsidRPr="007D15A9">
        <w:rPr>
          <w:sz w:val="24"/>
          <w:lang w:val="en-US"/>
        </w:rPr>
        <w:t xml:space="preserve">and is </w:t>
      </w:r>
      <w:r w:rsidR="00AD13AC" w:rsidRPr="007D15A9">
        <w:rPr>
          <w:sz w:val="24"/>
          <w:lang w:val="en-US"/>
        </w:rPr>
        <w:t>graphically depicted</w:t>
      </w:r>
      <w:r w:rsidRPr="007D15A9">
        <w:rPr>
          <w:sz w:val="24"/>
          <w:lang w:val="en-US"/>
        </w:rPr>
        <w:t xml:space="preserve"> in Figure 1. For children with no SLEs, the Met carriers had a mean aggression score of 1.11 (CI 0.09</w:t>
      </w:r>
      <w:r w:rsidR="00902708" w:rsidRPr="007D15A9">
        <w:rPr>
          <w:sz w:val="24"/>
          <w:lang w:val="en-US"/>
        </w:rPr>
        <w:t xml:space="preserve"> to </w:t>
      </w:r>
      <w:r w:rsidRPr="007D15A9">
        <w:rPr>
          <w:sz w:val="24"/>
          <w:lang w:val="en-US"/>
        </w:rPr>
        <w:t xml:space="preserve">2.14, </w:t>
      </w:r>
      <w:r w:rsidRPr="007D15A9">
        <w:rPr>
          <w:i/>
          <w:sz w:val="24"/>
          <w:lang w:val="en-US"/>
        </w:rPr>
        <w:t>p</w:t>
      </w:r>
      <w:r w:rsidRPr="007D15A9">
        <w:rPr>
          <w:sz w:val="24"/>
          <w:lang w:val="en-US"/>
        </w:rPr>
        <w:t> = </w:t>
      </w:r>
      <w:r w:rsidR="006D4123" w:rsidRPr="007D15A9">
        <w:rPr>
          <w:sz w:val="24"/>
          <w:lang w:val="en-US"/>
        </w:rPr>
        <w:t>0</w:t>
      </w:r>
      <w:r w:rsidRPr="007D15A9">
        <w:rPr>
          <w:sz w:val="24"/>
          <w:lang w:val="en-US"/>
        </w:rPr>
        <w:t xml:space="preserve">.03), which is higher than Val/Val. For children with 3 SLEs, the mean difference was -2.86 (CI -5.28 to -0.44, </w:t>
      </w:r>
      <w:r w:rsidRPr="007D15A9">
        <w:rPr>
          <w:i/>
          <w:sz w:val="24"/>
          <w:lang w:val="en-US"/>
        </w:rPr>
        <w:t>p</w:t>
      </w:r>
      <w:r w:rsidRPr="007D15A9">
        <w:rPr>
          <w:sz w:val="24"/>
          <w:lang w:val="en-US"/>
        </w:rPr>
        <w:t> = </w:t>
      </w:r>
      <w:r w:rsidR="006D4123" w:rsidRPr="007D15A9">
        <w:rPr>
          <w:sz w:val="24"/>
          <w:lang w:val="en-US"/>
        </w:rPr>
        <w:t>0</w:t>
      </w:r>
      <w:r w:rsidRPr="007D15A9">
        <w:rPr>
          <w:sz w:val="24"/>
          <w:lang w:val="en-US"/>
        </w:rPr>
        <w:t>.02). The negative sign for SLE =</w:t>
      </w:r>
      <w:r w:rsidR="00AD13AC" w:rsidRPr="007D15A9">
        <w:rPr>
          <w:sz w:val="24"/>
          <w:lang w:val="en-US"/>
        </w:rPr>
        <w:t xml:space="preserve"> </w:t>
      </w:r>
      <w:r w:rsidRPr="007D15A9">
        <w:rPr>
          <w:sz w:val="24"/>
          <w:lang w:val="en-US"/>
        </w:rPr>
        <w:t>3 indicates that for these children, Val/Val homozygotes had the higher</w:t>
      </w:r>
      <w:r w:rsidR="00C14892" w:rsidRPr="007D15A9">
        <w:rPr>
          <w:sz w:val="24"/>
          <w:lang w:val="en-US"/>
        </w:rPr>
        <w:t xml:space="preserve"> </w:t>
      </w:r>
      <w:r w:rsidRPr="007D15A9">
        <w:rPr>
          <w:sz w:val="24"/>
          <w:lang w:val="en-US"/>
        </w:rPr>
        <w:t>and highest</w:t>
      </w:r>
      <w:r w:rsidR="00C14892" w:rsidRPr="007D15A9">
        <w:rPr>
          <w:sz w:val="24"/>
          <w:lang w:val="en-US"/>
        </w:rPr>
        <w:t xml:space="preserve"> </w:t>
      </w:r>
      <w:r w:rsidRPr="007D15A9">
        <w:rPr>
          <w:sz w:val="24"/>
          <w:lang w:val="en-US"/>
        </w:rPr>
        <w:t>aggression scores. As can be seen, the two regression lines cross each other. This crossing point (C) was different from zero (M</w:t>
      </w:r>
      <w:r w:rsidRPr="007D15A9">
        <w:rPr>
          <w:sz w:val="24"/>
          <w:vertAlign w:val="subscript"/>
          <w:lang w:val="en-US"/>
        </w:rPr>
        <w:t>c</w:t>
      </w:r>
      <w:r w:rsidRPr="007D15A9">
        <w:rPr>
          <w:sz w:val="24"/>
          <w:lang w:val="en-US"/>
        </w:rPr>
        <w:t> = 0.82, CI 0.06</w:t>
      </w:r>
      <w:r w:rsidR="00902708" w:rsidRPr="007D15A9">
        <w:rPr>
          <w:sz w:val="24"/>
          <w:lang w:val="en-US"/>
        </w:rPr>
        <w:t xml:space="preserve"> to </w:t>
      </w:r>
      <w:r w:rsidRPr="007D15A9">
        <w:rPr>
          <w:sz w:val="24"/>
          <w:lang w:val="en-US"/>
        </w:rPr>
        <w:t xml:space="preserve">1.58, </w:t>
      </w:r>
      <w:r w:rsidRPr="007D15A9">
        <w:rPr>
          <w:i/>
          <w:sz w:val="24"/>
          <w:lang w:val="en-US"/>
        </w:rPr>
        <w:t>p</w:t>
      </w:r>
      <w:r w:rsidRPr="007D15A9">
        <w:rPr>
          <w:sz w:val="24"/>
          <w:lang w:val="en-US"/>
        </w:rPr>
        <w:t> = </w:t>
      </w:r>
      <w:r w:rsidR="006D4123" w:rsidRPr="007D15A9">
        <w:rPr>
          <w:sz w:val="24"/>
          <w:lang w:val="en-US"/>
        </w:rPr>
        <w:t>0</w:t>
      </w:r>
      <w:r w:rsidRPr="007D15A9">
        <w:rPr>
          <w:sz w:val="24"/>
          <w:lang w:val="en-US"/>
        </w:rPr>
        <w:t>.03), which supports the differential susceptibility theory (Widaman et al., 2012). For the Val/Val carriers, the mean aggression score increased by 0.94 (CI 0.17</w:t>
      </w:r>
      <w:r w:rsidR="00902708" w:rsidRPr="007D15A9">
        <w:rPr>
          <w:sz w:val="24"/>
          <w:lang w:val="en-US"/>
        </w:rPr>
        <w:t xml:space="preserve"> to </w:t>
      </w:r>
      <w:r w:rsidRPr="007D15A9">
        <w:rPr>
          <w:sz w:val="24"/>
          <w:lang w:val="en-US"/>
        </w:rPr>
        <w:t xml:space="preserve">1.70, </w:t>
      </w:r>
      <w:r w:rsidRPr="007D15A9">
        <w:rPr>
          <w:i/>
          <w:sz w:val="24"/>
          <w:lang w:val="en-US"/>
        </w:rPr>
        <w:t>p</w:t>
      </w:r>
      <w:r w:rsidRPr="007D15A9">
        <w:rPr>
          <w:sz w:val="24"/>
          <w:lang w:val="en-US"/>
        </w:rPr>
        <w:t> = </w:t>
      </w:r>
      <w:r w:rsidR="006D4123" w:rsidRPr="007D15A9">
        <w:rPr>
          <w:sz w:val="24"/>
          <w:lang w:val="en-US"/>
        </w:rPr>
        <w:t>0</w:t>
      </w:r>
      <w:r w:rsidRPr="007D15A9">
        <w:rPr>
          <w:sz w:val="24"/>
          <w:lang w:val="en-US"/>
        </w:rPr>
        <w:t>.02) per increase in one SLE. For the Met carriers, the mean aggression score changed much less and in the opposite direction, 0.39 per increase in one SLE.</w:t>
      </w:r>
      <w:r w:rsidR="00DE208B" w:rsidRPr="007D15A9">
        <w:rPr>
          <w:sz w:val="24"/>
          <w:lang w:val="en-US"/>
        </w:rPr>
        <w:t xml:space="preserve"> </w:t>
      </w:r>
    </w:p>
    <w:p w14:paraId="7030E413" w14:textId="126EF81E" w:rsidR="00DE208B" w:rsidRPr="007D15A9" w:rsidRDefault="00173CC7" w:rsidP="008D37B3">
      <w:pPr>
        <w:spacing w:line="480" w:lineRule="auto"/>
        <w:ind w:firstLine="706"/>
        <w:outlineLvl w:val="0"/>
        <w:rPr>
          <w:sz w:val="24"/>
          <w:lang w:val="en-US" w:eastAsia="nb-NO"/>
        </w:rPr>
      </w:pPr>
      <w:r w:rsidRPr="007D15A9">
        <w:rPr>
          <w:sz w:val="24"/>
          <w:lang w:val="en-US"/>
        </w:rPr>
        <w:t>T</w:t>
      </w:r>
      <w:r w:rsidR="009206FB" w:rsidRPr="007D15A9">
        <w:rPr>
          <w:sz w:val="24"/>
          <w:lang w:val="en-US"/>
        </w:rPr>
        <w:t>he decision to t</w:t>
      </w:r>
      <w:r w:rsidRPr="007D15A9">
        <w:rPr>
          <w:sz w:val="24"/>
          <w:lang w:val="en-US"/>
        </w:rPr>
        <w:t>reat all Met-carriers as members of a single group</w:t>
      </w:r>
      <w:r w:rsidR="00AD13AC" w:rsidRPr="007D15A9">
        <w:rPr>
          <w:sz w:val="24"/>
          <w:lang w:val="en-US"/>
        </w:rPr>
        <w:t xml:space="preserve"> was based on </w:t>
      </w:r>
      <w:r w:rsidR="00AD13AC" w:rsidRPr="007D15A9">
        <w:rPr>
          <w:sz w:val="24"/>
          <w:lang w:val="en-US" w:eastAsia="nb-NO"/>
        </w:rPr>
        <w:t xml:space="preserve">previous GXE studies </w:t>
      </w:r>
      <w:r w:rsidR="000C2CD4" w:rsidRPr="007D15A9">
        <w:rPr>
          <w:sz w:val="24"/>
          <w:lang w:val="en-US" w:eastAsia="nb-NO"/>
        </w:rPr>
        <w:t>and</w:t>
      </w:r>
      <w:r w:rsidR="00F47E9B" w:rsidRPr="007D15A9">
        <w:rPr>
          <w:sz w:val="24"/>
          <w:lang w:val="en-US" w:eastAsia="nb-NO"/>
        </w:rPr>
        <w:t xml:space="preserve"> on</w:t>
      </w:r>
      <w:r w:rsidR="00AD13AC" w:rsidRPr="007D15A9">
        <w:rPr>
          <w:sz w:val="24"/>
          <w:lang w:val="en-US" w:eastAsia="nb-NO"/>
        </w:rPr>
        <w:t xml:space="preserve"> association studies in which aggression was the measured outcome (Frigerio</w:t>
      </w:r>
      <w:r w:rsidR="00003B7F" w:rsidRPr="007D15A9">
        <w:rPr>
          <w:sz w:val="24"/>
          <w:lang w:val="en-US" w:eastAsia="nb-NO"/>
        </w:rPr>
        <w:t xml:space="preserve"> et al.</w:t>
      </w:r>
      <w:r w:rsidR="00AD13AC" w:rsidRPr="007D15A9">
        <w:rPr>
          <w:sz w:val="24"/>
          <w:lang w:val="en-US" w:eastAsia="nb-NO"/>
        </w:rPr>
        <w:t>, 2009; Albaugh</w:t>
      </w:r>
      <w:r w:rsidR="00003B7F" w:rsidRPr="007D15A9">
        <w:rPr>
          <w:sz w:val="24"/>
          <w:lang w:val="en-US" w:eastAsia="nb-NO"/>
        </w:rPr>
        <w:t xml:space="preserve"> et al.</w:t>
      </w:r>
      <w:r w:rsidR="00FB2474" w:rsidRPr="007D15A9">
        <w:rPr>
          <w:sz w:val="24"/>
          <w:lang w:val="en-US" w:eastAsia="nb-NO"/>
        </w:rPr>
        <w:t xml:space="preserve">, 2010; </w:t>
      </w:r>
      <w:r w:rsidR="00FB2474" w:rsidRPr="007D15A9">
        <w:rPr>
          <w:sz w:val="24"/>
          <w:lang w:val="en-US"/>
        </w:rPr>
        <w:t>Langley, Heron, O’Donovan, Owen, &amp; Thapar, 2010;</w:t>
      </w:r>
      <w:r w:rsidR="00FB2474" w:rsidRPr="007D15A9">
        <w:rPr>
          <w:sz w:val="24"/>
          <w:lang w:val="en-US" w:eastAsia="nb-NO"/>
        </w:rPr>
        <w:t xml:space="preserve"> </w:t>
      </w:r>
      <w:r w:rsidR="00AD13AC" w:rsidRPr="007D15A9">
        <w:rPr>
          <w:sz w:val="24"/>
          <w:lang w:val="en-US" w:eastAsia="nb-NO"/>
        </w:rPr>
        <w:t>Hygen</w:t>
      </w:r>
      <w:r w:rsidR="00003B7F" w:rsidRPr="007D15A9">
        <w:rPr>
          <w:sz w:val="24"/>
          <w:lang w:val="en-US" w:eastAsia="nb-NO"/>
        </w:rPr>
        <w:t xml:space="preserve"> et al.</w:t>
      </w:r>
      <w:r w:rsidR="00AD13AC" w:rsidRPr="007D15A9">
        <w:rPr>
          <w:sz w:val="24"/>
          <w:lang w:val="en-US" w:eastAsia="nb-NO"/>
        </w:rPr>
        <w:t xml:space="preserve">, 2014). Moreover, this approach is based </w:t>
      </w:r>
      <w:r w:rsidRPr="007D15A9">
        <w:rPr>
          <w:sz w:val="24"/>
          <w:lang w:val="en-US"/>
        </w:rPr>
        <w:t>on the premise that the effects of SLEs on aggressive behavior would not vary across hetero</w:t>
      </w:r>
      <w:r w:rsidR="001A52B0" w:rsidRPr="007D15A9">
        <w:rPr>
          <w:sz w:val="24"/>
          <w:lang w:val="en-US"/>
        </w:rPr>
        <w:t>zygote</w:t>
      </w:r>
      <w:r w:rsidRPr="007D15A9">
        <w:rPr>
          <w:sz w:val="24"/>
          <w:lang w:val="en-US"/>
        </w:rPr>
        <w:t xml:space="preserve"> and homozygote Met-carriers. To test this premise, we re-ran </w:t>
      </w:r>
      <w:r w:rsidRPr="007D15A9">
        <w:rPr>
          <w:sz w:val="24"/>
          <w:lang w:val="en-US" w:eastAsia="nb-NO"/>
        </w:rPr>
        <w:t xml:space="preserve">the analyses investigating the possible </w:t>
      </w:r>
      <w:r w:rsidRPr="007D15A9">
        <w:rPr>
          <w:sz w:val="24"/>
          <w:lang w:val="en-US" w:eastAsia="nb-NO"/>
        </w:rPr>
        <w:lastRenderedPageBreak/>
        <w:t>differences between the two Met-carrying groups</w:t>
      </w:r>
      <w:r w:rsidR="00BD33C2" w:rsidRPr="007D15A9">
        <w:rPr>
          <w:sz w:val="24"/>
          <w:lang w:val="en-US" w:eastAsia="nb-NO"/>
        </w:rPr>
        <w:t>, and</w:t>
      </w:r>
      <w:r w:rsidRPr="007D15A9">
        <w:rPr>
          <w:sz w:val="24"/>
          <w:lang w:val="en-US" w:eastAsia="nb-NO"/>
        </w:rPr>
        <w:t xml:space="preserve"> </w:t>
      </w:r>
      <w:r w:rsidR="00BD33C2" w:rsidRPr="007D15A9">
        <w:rPr>
          <w:sz w:val="24"/>
          <w:lang w:val="en-US" w:eastAsia="nb-NO"/>
        </w:rPr>
        <w:t>n</w:t>
      </w:r>
      <w:r w:rsidRPr="007D15A9">
        <w:rPr>
          <w:sz w:val="24"/>
          <w:lang w:val="en-US" w:eastAsia="nb-NO"/>
        </w:rPr>
        <w:t xml:space="preserve">o differences were observed </w:t>
      </w:r>
      <w:r w:rsidR="00AD13AC" w:rsidRPr="007D15A9">
        <w:rPr>
          <w:sz w:val="24"/>
          <w:lang w:val="en-US" w:eastAsia="nb-NO"/>
        </w:rPr>
        <w:t>(</w:t>
      </w:r>
      <w:r w:rsidRPr="007D15A9">
        <w:rPr>
          <w:sz w:val="24"/>
          <w:lang w:val="en-US" w:eastAsia="nb-NO"/>
        </w:rPr>
        <w:t>p</w:t>
      </w:r>
      <w:r w:rsidR="00441F75" w:rsidRPr="007D15A9">
        <w:rPr>
          <w:sz w:val="24"/>
          <w:lang w:val="en-US" w:eastAsia="nb-NO"/>
        </w:rPr>
        <w:t xml:space="preserve"> </w:t>
      </w:r>
      <w:r w:rsidRPr="007D15A9">
        <w:rPr>
          <w:sz w:val="24"/>
          <w:lang w:val="en-US" w:eastAsia="nb-NO"/>
        </w:rPr>
        <w:t xml:space="preserve">= </w:t>
      </w:r>
      <w:r w:rsidR="006D4123" w:rsidRPr="007D15A9">
        <w:rPr>
          <w:sz w:val="24"/>
          <w:lang w:val="en-US" w:eastAsia="nb-NO"/>
        </w:rPr>
        <w:t>0</w:t>
      </w:r>
      <w:r w:rsidRPr="007D15A9">
        <w:rPr>
          <w:sz w:val="24"/>
          <w:lang w:val="en-US" w:eastAsia="nb-NO"/>
        </w:rPr>
        <w:t>.20</w:t>
      </w:r>
      <w:r w:rsidR="00AD13AC" w:rsidRPr="007D15A9">
        <w:rPr>
          <w:sz w:val="24"/>
          <w:lang w:val="en-US" w:eastAsia="nb-NO"/>
        </w:rPr>
        <w:t>)</w:t>
      </w:r>
      <w:r w:rsidRPr="007D15A9">
        <w:rPr>
          <w:sz w:val="24"/>
          <w:lang w:val="en-US" w:eastAsia="nb-NO"/>
        </w:rPr>
        <w:t>.</w:t>
      </w:r>
      <w:r w:rsidR="007F0EBA" w:rsidRPr="007D15A9">
        <w:rPr>
          <w:sz w:val="24"/>
          <w:lang w:val="en-US" w:eastAsia="nb-NO"/>
        </w:rPr>
        <w:t xml:space="preserve"> </w:t>
      </w:r>
    </w:p>
    <w:p w14:paraId="409EA058" w14:textId="77777777" w:rsidR="00AB7302" w:rsidRPr="007D15A9" w:rsidRDefault="00B54611" w:rsidP="00CF60BB">
      <w:pPr>
        <w:pStyle w:val="Overskrift1"/>
        <w:spacing w:line="480" w:lineRule="auto"/>
        <w:jc w:val="center"/>
        <w:rPr>
          <w:color w:val="auto"/>
          <w:sz w:val="24"/>
          <w:lang w:val="en-US"/>
        </w:rPr>
      </w:pPr>
      <w:r w:rsidRPr="007D15A9">
        <w:rPr>
          <w:color w:val="auto"/>
          <w:sz w:val="24"/>
          <w:lang w:val="en-US"/>
        </w:rPr>
        <w:t>Discussion</w:t>
      </w:r>
    </w:p>
    <w:p w14:paraId="207A325A" w14:textId="260B6C12" w:rsidR="00AB7302" w:rsidRPr="007D15A9" w:rsidRDefault="00B54611" w:rsidP="00CF60BB">
      <w:pPr>
        <w:spacing w:line="480" w:lineRule="auto"/>
        <w:ind w:firstLine="720"/>
        <w:rPr>
          <w:sz w:val="24"/>
          <w:lang w:val="en-US"/>
        </w:rPr>
      </w:pPr>
      <w:r w:rsidRPr="007D15A9">
        <w:rPr>
          <w:sz w:val="24"/>
          <w:lang w:val="en-US"/>
        </w:rPr>
        <w:t xml:space="preserve">To our knowledge, this is the first study to evaluate whether a GXE that involves </w:t>
      </w:r>
      <w:r w:rsidRPr="007D15A9">
        <w:rPr>
          <w:i/>
          <w:sz w:val="24"/>
          <w:lang w:val="en-US"/>
        </w:rPr>
        <w:t>COMT</w:t>
      </w:r>
      <w:r w:rsidRPr="007D15A9">
        <w:rPr>
          <w:sz w:val="24"/>
          <w:lang w:val="en-US"/>
        </w:rPr>
        <w:t xml:space="preserve"> predicts aggression w</w:t>
      </w:r>
      <w:r w:rsidR="00AD13AC" w:rsidRPr="007D15A9">
        <w:rPr>
          <w:sz w:val="24"/>
          <w:lang w:val="en-US"/>
        </w:rPr>
        <w:t xml:space="preserve">hile comparing </w:t>
      </w:r>
      <w:r w:rsidR="00F27232" w:rsidRPr="007D15A9">
        <w:rPr>
          <w:sz w:val="24"/>
          <w:lang w:val="en-US"/>
        </w:rPr>
        <w:t>diathesis-stress and differential</w:t>
      </w:r>
      <w:r w:rsidR="00A54B9A" w:rsidRPr="007D15A9">
        <w:rPr>
          <w:sz w:val="24"/>
          <w:lang w:val="en-US"/>
        </w:rPr>
        <w:t xml:space="preserve"> </w:t>
      </w:r>
      <w:r w:rsidR="00F27232" w:rsidRPr="007D15A9">
        <w:rPr>
          <w:sz w:val="24"/>
          <w:lang w:val="en-US"/>
        </w:rPr>
        <w:t xml:space="preserve">susceptibility models, </w:t>
      </w:r>
      <w:r w:rsidR="00AD13AC" w:rsidRPr="007D15A9">
        <w:rPr>
          <w:sz w:val="24"/>
          <w:lang w:val="en-US"/>
        </w:rPr>
        <w:t>two alternative models of person-X-environment interaction.</w:t>
      </w:r>
      <w:r w:rsidRPr="007D15A9">
        <w:rPr>
          <w:sz w:val="24"/>
          <w:lang w:val="en-US"/>
        </w:rPr>
        <w:t xml:space="preserve"> Notably, </w:t>
      </w:r>
      <w:r w:rsidRPr="007D15A9">
        <w:rPr>
          <w:i/>
          <w:sz w:val="24"/>
          <w:lang w:val="en-US"/>
        </w:rPr>
        <w:t>COMT</w:t>
      </w:r>
      <w:r w:rsidRPr="007D15A9">
        <w:rPr>
          <w:sz w:val="24"/>
          <w:lang w:val="en-US"/>
        </w:rPr>
        <w:t xml:space="preserve"> was found to moderate the effect of exposure to serious life events on teacher-rated aggression at age four (in the absence of main effects of either </w:t>
      </w:r>
      <w:r w:rsidRPr="007D15A9">
        <w:rPr>
          <w:i/>
          <w:sz w:val="24"/>
          <w:lang w:val="en-US"/>
        </w:rPr>
        <w:t>COMT</w:t>
      </w:r>
      <w:r w:rsidRPr="007D15A9">
        <w:rPr>
          <w:sz w:val="24"/>
          <w:lang w:val="en-US"/>
        </w:rPr>
        <w:t xml:space="preserve"> or SLEs). Moreover, the use of new statistical techniques that focus on the crossover point of the interaction revealed the data to be more consistent with differential susceptibility than with diathesis stress, as has proven with several other polymorphisms that were long conceptualized by psychiatric geneticists as “vulnerability genes” (Belsky et al., 2009; Belsky &amp; Pluess, 2009, 2013; Ellis et al., 2011). Thus, it was not only that Val homozygotes were more vulnerable to adversity, evincing greater aggression than Met carriers under conditions of three or more SLEs, but that they were also generally more developmentally plastic or malleable. Recall that Val homozygotes also manifested less aggression than Met carriers when both groups experienced no SLEs.</w:t>
      </w:r>
    </w:p>
    <w:p w14:paraId="0AEA6D22" w14:textId="780F47E5" w:rsidR="00AB7302" w:rsidRPr="007D15A9" w:rsidRDefault="00B54611" w:rsidP="00CF60BB">
      <w:pPr>
        <w:pStyle w:val="Vanliginnrykk"/>
        <w:spacing w:line="480" w:lineRule="auto"/>
        <w:ind w:firstLine="720"/>
        <w:rPr>
          <w:sz w:val="24"/>
          <w:lang w:val="en-US"/>
        </w:rPr>
      </w:pPr>
      <w:r w:rsidRPr="007D15A9">
        <w:rPr>
          <w:sz w:val="24"/>
          <w:lang w:val="en-US"/>
        </w:rPr>
        <w:t xml:space="preserve">Our GXE finding regarding Val homozygotes’ vulnerability to adversity is consistent with the results of other GXE studies focused on </w:t>
      </w:r>
      <w:r w:rsidRPr="007D15A9">
        <w:rPr>
          <w:i/>
          <w:sz w:val="24"/>
          <w:lang w:val="en-US"/>
        </w:rPr>
        <w:t>COMT</w:t>
      </w:r>
      <w:r w:rsidRPr="007D15A9">
        <w:rPr>
          <w:sz w:val="24"/>
          <w:lang w:val="en-US"/>
        </w:rPr>
        <w:t xml:space="preserve"> Val158Met, including Nobile et al.’s (2010) study, which show</w:t>
      </w:r>
      <w:r w:rsidR="00200E50" w:rsidRPr="007D15A9">
        <w:rPr>
          <w:sz w:val="24"/>
          <w:lang w:val="en-US"/>
        </w:rPr>
        <w:t>ed</w:t>
      </w:r>
      <w:r w:rsidRPr="007D15A9">
        <w:rPr>
          <w:sz w:val="24"/>
          <w:lang w:val="en-US"/>
        </w:rPr>
        <w:t xml:space="preserve"> that problematic behavior increases among Val homozygotes raised under conditions of socioeconomic disadvantage</w:t>
      </w:r>
      <w:r w:rsidR="00200E50" w:rsidRPr="007D15A9">
        <w:rPr>
          <w:sz w:val="24"/>
          <w:lang w:val="en-US"/>
        </w:rPr>
        <w:t>.</w:t>
      </w:r>
      <w:r w:rsidRPr="007D15A9">
        <w:rPr>
          <w:sz w:val="24"/>
          <w:lang w:val="en-US"/>
        </w:rPr>
        <w:t xml:space="preserve"> </w:t>
      </w:r>
      <w:r w:rsidR="00200E50" w:rsidRPr="007D15A9">
        <w:rPr>
          <w:sz w:val="24"/>
          <w:lang w:val="en-US"/>
        </w:rPr>
        <w:t>Further studies</w:t>
      </w:r>
      <w:r w:rsidRPr="007D15A9">
        <w:rPr>
          <w:sz w:val="24"/>
          <w:lang w:val="en-US"/>
        </w:rPr>
        <w:t xml:space="preserve"> indicate that low birth weight (Thapar et al., 2005) and ADHD (Caspi et al., 2008; </w:t>
      </w:r>
      <w:r w:rsidR="00E6015B" w:rsidRPr="007D15A9">
        <w:rPr>
          <w:sz w:val="24"/>
          <w:lang w:val="en-US"/>
        </w:rPr>
        <w:t>Langley</w:t>
      </w:r>
      <w:r w:rsidR="00FB2474" w:rsidRPr="007D15A9">
        <w:rPr>
          <w:sz w:val="24"/>
          <w:lang w:val="en-US"/>
        </w:rPr>
        <w:t xml:space="preserve"> et al.</w:t>
      </w:r>
      <w:r w:rsidR="00E6015B" w:rsidRPr="007D15A9">
        <w:rPr>
          <w:sz w:val="24"/>
          <w:lang w:val="en-US"/>
        </w:rPr>
        <w:t>, 2010</w:t>
      </w:r>
      <w:r w:rsidRPr="007D15A9">
        <w:rPr>
          <w:sz w:val="24"/>
          <w:lang w:val="en-US"/>
        </w:rPr>
        <w:t>) increase the risk of antisocial behavior</w:t>
      </w:r>
      <w:r w:rsidR="001D73F9" w:rsidRPr="007D15A9">
        <w:rPr>
          <w:sz w:val="24"/>
          <w:lang w:val="en-US"/>
        </w:rPr>
        <w:t xml:space="preserve"> among Val homozygotes</w:t>
      </w:r>
      <w:r w:rsidRPr="007D15A9">
        <w:rPr>
          <w:sz w:val="24"/>
          <w:lang w:val="en-US"/>
        </w:rPr>
        <w:t xml:space="preserve">. Likewise, Perroud et al. (2010) reported that Val allele carriers displayed a greater inclination toward anger when exposed to sexual abuse than did Met homozygotes, and Hygen et al. (2014) found the </w:t>
      </w:r>
      <w:r w:rsidRPr="007D15A9">
        <w:rPr>
          <w:sz w:val="24"/>
          <w:lang w:val="en-US"/>
        </w:rPr>
        <w:lastRenderedPageBreak/>
        <w:t>Val/Val genotype to be associated with increasing levels of aggression in individuals with higher levels of disorganized attachment. None of these studies, however, tested whether the detected GXE effects were more or less consistent with diathesis</w:t>
      </w:r>
      <w:r w:rsidR="009F1F1C" w:rsidRPr="007D15A9">
        <w:rPr>
          <w:sz w:val="24"/>
          <w:lang w:val="en-US"/>
        </w:rPr>
        <w:t>-</w:t>
      </w:r>
      <w:r w:rsidRPr="007D15A9">
        <w:rPr>
          <w:sz w:val="24"/>
          <w:lang w:val="en-US"/>
        </w:rPr>
        <w:t>stress or differential</w:t>
      </w:r>
      <w:r w:rsidR="00A54B9A" w:rsidRPr="007D15A9">
        <w:rPr>
          <w:sz w:val="24"/>
          <w:lang w:val="en-US"/>
        </w:rPr>
        <w:t xml:space="preserve"> </w:t>
      </w:r>
      <w:r w:rsidRPr="007D15A9">
        <w:rPr>
          <w:sz w:val="24"/>
          <w:lang w:val="en-US"/>
        </w:rPr>
        <w:t xml:space="preserve">susceptibility models of person × environment interaction, as </w:t>
      </w:r>
      <w:r w:rsidR="009F1F1C" w:rsidRPr="007D15A9">
        <w:rPr>
          <w:sz w:val="24"/>
          <w:lang w:val="en-US"/>
        </w:rPr>
        <w:t xml:space="preserve">was done in </w:t>
      </w:r>
      <w:r w:rsidRPr="007D15A9">
        <w:rPr>
          <w:sz w:val="24"/>
          <w:lang w:val="en-US"/>
        </w:rPr>
        <w:t>the present study</w:t>
      </w:r>
      <w:r w:rsidR="001D73F9" w:rsidRPr="007D15A9">
        <w:rPr>
          <w:sz w:val="24"/>
          <w:lang w:val="en-US"/>
        </w:rPr>
        <w:t xml:space="preserve">. </w:t>
      </w:r>
    </w:p>
    <w:p w14:paraId="5E695AEF" w14:textId="0EAE4E7A" w:rsidR="00AB7302" w:rsidRPr="007D15A9" w:rsidRDefault="00B54611" w:rsidP="00CF60BB">
      <w:pPr>
        <w:pStyle w:val="Vanliginnrykk"/>
        <w:spacing w:line="480" w:lineRule="auto"/>
        <w:ind w:firstLine="720"/>
        <w:rPr>
          <w:sz w:val="24"/>
          <w:lang w:val="en-US"/>
        </w:rPr>
      </w:pPr>
      <w:r w:rsidRPr="007D15A9">
        <w:rPr>
          <w:sz w:val="24"/>
          <w:lang w:val="en-US"/>
        </w:rPr>
        <w:t>This is not the first study to document differential</w:t>
      </w:r>
      <w:r w:rsidR="00A54B9A" w:rsidRPr="007D15A9">
        <w:rPr>
          <w:sz w:val="24"/>
          <w:lang w:val="en-US"/>
        </w:rPr>
        <w:t xml:space="preserve"> </w:t>
      </w:r>
      <w:r w:rsidRPr="007D15A9">
        <w:rPr>
          <w:sz w:val="24"/>
          <w:lang w:val="en-US"/>
        </w:rPr>
        <w:t>susceptibility</w:t>
      </w:r>
      <w:r w:rsidR="001D73F9" w:rsidRPr="007D15A9">
        <w:rPr>
          <w:sz w:val="24"/>
          <w:lang w:val="en-US"/>
        </w:rPr>
        <w:t>-</w:t>
      </w:r>
      <w:r w:rsidRPr="007D15A9">
        <w:rPr>
          <w:sz w:val="24"/>
          <w:lang w:val="en-US"/>
        </w:rPr>
        <w:t>like findings</w:t>
      </w:r>
      <w:r w:rsidR="001D73F9" w:rsidRPr="007D15A9">
        <w:rPr>
          <w:sz w:val="24"/>
          <w:lang w:val="en-US"/>
        </w:rPr>
        <w:t xml:space="preserve"> when</w:t>
      </w:r>
      <w:r w:rsidRPr="007D15A9">
        <w:rPr>
          <w:sz w:val="24"/>
          <w:lang w:val="en-US"/>
        </w:rPr>
        <w:t xml:space="preserve"> predicting aggressi</w:t>
      </w:r>
      <w:r w:rsidR="00F238B8" w:rsidRPr="007D15A9">
        <w:rPr>
          <w:sz w:val="24"/>
          <w:lang w:val="en-US"/>
        </w:rPr>
        <w:t xml:space="preserve">ve </w:t>
      </w:r>
      <w:r w:rsidRPr="007D15A9">
        <w:rPr>
          <w:sz w:val="24"/>
          <w:lang w:val="en-US"/>
        </w:rPr>
        <w:t xml:space="preserve">behavior (e.g., externalized behavior, conduct problems). In fact, this finding has now emerged in </w:t>
      </w:r>
      <w:r w:rsidR="001D73F9" w:rsidRPr="007D15A9">
        <w:rPr>
          <w:sz w:val="24"/>
          <w:lang w:val="en-US"/>
        </w:rPr>
        <w:t xml:space="preserve">research </w:t>
      </w:r>
      <w:r w:rsidR="008F5A03" w:rsidRPr="007D15A9">
        <w:rPr>
          <w:sz w:val="24"/>
          <w:lang w:val="en-US"/>
        </w:rPr>
        <w:t>that</w:t>
      </w:r>
      <w:r w:rsidR="001D73F9" w:rsidRPr="007D15A9">
        <w:rPr>
          <w:sz w:val="24"/>
          <w:lang w:val="en-US"/>
        </w:rPr>
        <w:t xml:space="preserve"> treats</w:t>
      </w:r>
      <w:r w:rsidRPr="007D15A9">
        <w:rPr>
          <w:sz w:val="24"/>
          <w:lang w:val="en-US"/>
        </w:rPr>
        <w:t xml:space="preserve"> the temperament factor of negative emotionality as a moderator of contextual effects (Pluess &amp; Belsky, 2009; Poehlmann et al., 2011, 2012) </w:t>
      </w:r>
      <w:r w:rsidR="007805DA" w:rsidRPr="007D15A9">
        <w:rPr>
          <w:sz w:val="24"/>
          <w:lang w:val="en-US"/>
        </w:rPr>
        <w:t>and</w:t>
      </w:r>
      <w:r w:rsidRPr="007D15A9">
        <w:rPr>
          <w:sz w:val="24"/>
          <w:lang w:val="en-US"/>
        </w:rPr>
        <w:t xml:space="preserve"> physiological reactivity (</w:t>
      </w:r>
      <w:r w:rsidR="00E6015B" w:rsidRPr="007D15A9">
        <w:rPr>
          <w:sz w:val="24"/>
          <w:lang w:val="en-US"/>
        </w:rPr>
        <w:t>Conradt, Measelle, &amp; Ablow, 2013</w:t>
      </w:r>
      <w:r w:rsidRPr="007D15A9">
        <w:rPr>
          <w:sz w:val="24"/>
          <w:lang w:val="en-US"/>
        </w:rPr>
        <w:t xml:space="preserve">; </w:t>
      </w:r>
      <w:r w:rsidR="00E6015B" w:rsidRPr="007D15A9">
        <w:rPr>
          <w:sz w:val="24"/>
          <w:lang w:val="en-US"/>
        </w:rPr>
        <w:t>Obradović, Bush, &amp; Boyce, 2011</w:t>
      </w:r>
      <w:r w:rsidRPr="007D15A9">
        <w:rPr>
          <w:sz w:val="24"/>
          <w:lang w:val="en-US"/>
        </w:rPr>
        <w:t>), 5-HTTLPR (Brody et al., 2011), DRD4 (Zohsel et al., 2014), and OXTR (Johansson et al., 2012)</w:t>
      </w:r>
      <w:r w:rsidR="001D73F9" w:rsidRPr="007D15A9">
        <w:rPr>
          <w:sz w:val="24"/>
          <w:lang w:val="en-US"/>
        </w:rPr>
        <w:t xml:space="preserve"> as genetic predictors</w:t>
      </w:r>
      <w:r w:rsidRPr="007D15A9">
        <w:rPr>
          <w:sz w:val="24"/>
          <w:lang w:val="en-US"/>
        </w:rPr>
        <w:t xml:space="preserve">. For example, Brody and colleagues </w:t>
      </w:r>
      <w:r w:rsidR="001D73F9" w:rsidRPr="007D15A9">
        <w:rPr>
          <w:sz w:val="24"/>
          <w:lang w:val="en-US"/>
        </w:rPr>
        <w:t>(2011) observed</w:t>
      </w:r>
      <w:r w:rsidRPr="007D15A9">
        <w:rPr>
          <w:sz w:val="24"/>
          <w:lang w:val="en-US"/>
        </w:rPr>
        <w:t xml:space="preserve"> that higher and lower levels of perceived racial discrimination predicted more and less conduct problems among rural African-American youth</w:t>
      </w:r>
      <w:r w:rsidR="007A015A" w:rsidRPr="007D15A9">
        <w:rPr>
          <w:sz w:val="24"/>
          <w:lang w:val="en-US"/>
        </w:rPr>
        <w:t>, respectively</w:t>
      </w:r>
      <w:r w:rsidRPr="007D15A9">
        <w:rPr>
          <w:sz w:val="24"/>
          <w:lang w:val="en-US"/>
        </w:rPr>
        <w:t xml:space="preserve">, but only if they carried one or more short alleles of 5-HTTLPR. </w:t>
      </w:r>
      <w:r w:rsidR="001D73F9" w:rsidRPr="007D15A9">
        <w:rPr>
          <w:sz w:val="24"/>
          <w:lang w:val="en-US"/>
        </w:rPr>
        <w:t>Such results clearly indicate</w:t>
      </w:r>
      <w:r w:rsidRPr="007D15A9">
        <w:rPr>
          <w:sz w:val="24"/>
          <w:lang w:val="en-US"/>
        </w:rPr>
        <w:t xml:space="preserve"> that </w:t>
      </w:r>
      <w:r w:rsidRPr="007D15A9">
        <w:rPr>
          <w:i/>
          <w:sz w:val="24"/>
          <w:lang w:val="en-US"/>
        </w:rPr>
        <w:t>COMT</w:t>
      </w:r>
      <w:r w:rsidRPr="007D15A9">
        <w:rPr>
          <w:sz w:val="24"/>
          <w:lang w:val="en-US"/>
        </w:rPr>
        <w:t xml:space="preserve"> is not the only candidate gene to moderate environmental influences in a differential</w:t>
      </w:r>
      <w:r w:rsidR="00A54B9A" w:rsidRPr="007D15A9">
        <w:rPr>
          <w:sz w:val="24"/>
          <w:lang w:val="en-US"/>
        </w:rPr>
        <w:t xml:space="preserve"> </w:t>
      </w:r>
      <w:r w:rsidRPr="007D15A9">
        <w:rPr>
          <w:sz w:val="24"/>
          <w:lang w:val="en-US"/>
        </w:rPr>
        <w:t>susceptibility-related manner.</w:t>
      </w:r>
    </w:p>
    <w:p w14:paraId="5364E5A3" w14:textId="424632B4" w:rsidR="00873E75" w:rsidRPr="007D15A9" w:rsidRDefault="00B54611" w:rsidP="004801AF">
      <w:pPr>
        <w:pStyle w:val="Vanliginnrykk"/>
        <w:spacing w:line="480" w:lineRule="auto"/>
        <w:ind w:firstLine="720"/>
        <w:rPr>
          <w:sz w:val="24"/>
          <w:lang w:val="en-US"/>
        </w:rPr>
      </w:pPr>
      <w:r w:rsidRPr="007D15A9">
        <w:rPr>
          <w:sz w:val="24"/>
          <w:lang w:val="en-US"/>
        </w:rPr>
        <w:t>How might the reported results be explained? COMT is a critical determinant of prefrontal dopamine flux (</w:t>
      </w:r>
      <w:r w:rsidR="00E6015B" w:rsidRPr="007D15A9">
        <w:rPr>
          <w:sz w:val="24"/>
          <w:lang w:val="en-US"/>
        </w:rPr>
        <w:t>Tunbridge, Bannerman, Sharp, &amp; Harrison, 2004</w:t>
      </w:r>
      <w:r w:rsidRPr="007D15A9">
        <w:rPr>
          <w:sz w:val="24"/>
          <w:lang w:val="en-US"/>
        </w:rPr>
        <w:t xml:space="preserve">), and </w:t>
      </w:r>
      <w:r w:rsidRPr="007D15A9">
        <w:rPr>
          <w:i/>
          <w:sz w:val="24"/>
          <w:lang w:val="en-US"/>
        </w:rPr>
        <w:t>COMT</w:t>
      </w:r>
      <w:r w:rsidRPr="007D15A9">
        <w:rPr>
          <w:sz w:val="24"/>
          <w:lang w:val="en-US"/>
        </w:rPr>
        <w:t xml:space="preserve"> Val158Met accounts for much of the dopamine degradation in the PFC (</w:t>
      </w:r>
      <w:r w:rsidR="00E6015B" w:rsidRPr="007D15A9">
        <w:rPr>
          <w:sz w:val="24"/>
          <w:lang w:val="en-US"/>
        </w:rPr>
        <w:t>Karoum, Chrapusta, &amp; Egan, 1994</w:t>
      </w:r>
      <w:r w:rsidRPr="007D15A9">
        <w:rPr>
          <w:sz w:val="24"/>
          <w:lang w:val="en-US"/>
        </w:rPr>
        <w:t>)</w:t>
      </w:r>
      <w:r w:rsidR="00873E75" w:rsidRPr="007D15A9">
        <w:rPr>
          <w:sz w:val="24"/>
          <w:lang w:val="en-US"/>
        </w:rPr>
        <w:t xml:space="preserve">, </w:t>
      </w:r>
      <w:r w:rsidRPr="007D15A9">
        <w:rPr>
          <w:sz w:val="24"/>
          <w:lang w:val="en-US"/>
        </w:rPr>
        <w:t>play</w:t>
      </w:r>
      <w:r w:rsidR="00873E75" w:rsidRPr="007D15A9">
        <w:rPr>
          <w:sz w:val="24"/>
          <w:lang w:val="en-US"/>
        </w:rPr>
        <w:t>ing</w:t>
      </w:r>
      <w:r w:rsidRPr="007D15A9">
        <w:rPr>
          <w:sz w:val="24"/>
          <w:lang w:val="en-US"/>
        </w:rPr>
        <w:t xml:space="preserve"> an important role in regulating dopamine concentration in this </w:t>
      </w:r>
      <w:r w:rsidR="00873E75" w:rsidRPr="007D15A9">
        <w:rPr>
          <w:sz w:val="24"/>
          <w:lang w:val="en-US"/>
        </w:rPr>
        <w:t xml:space="preserve">brain </w:t>
      </w:r>
      <w:r w:rsidRPr="007D15A9">
        <w:rPr>
          <w:sz w:val="24"/>
          <w:lang w:val="en-US"/>
        </w:rPr>
        <w:t xml:space="preserve">region. The PFC is involved in complex mental processes (Benton, 1991; Fuster, 2011), including the assessment and control of appropriate social behavior (Allen, 2009; Yang &amp; Raine, 2009). </w:t>
      </w:r>
      <w:r w:rsidR="00873E75" w:rsidRPr="007D15A9">
        <w:rPr>
          <w:sz w:val="24"/>
          <w:lang w:val="en-US"/>
        </w:rPr>
        <w:t xml:space="preserve">The </w:t>
      </w:r>
      <w:r w:rsidRPr="007D15A9">
        <w:rPr>
          <w:i/>
          <w:sz w:val="24"/>
          <w:lang w:val="en-US"/>
        </w:rPr>
        <w:t>COMT</w:t>
      </w:r>
      <w:r w:rsidRPr="007D15A9">
        <w:rPr>
          <w:sz w:val="24"/>
          <w:lang w:val="en-US"/>
        </w:rPr>
        <w:t xml:space="preserve"> polymorphism has been related to self-regulation and attention (</w:t>
      </w:r>
      <w:r w:rsidR="00E6015B" w:rsidRPr="007D15A9">
        <w:rPr>
          <w:sz w:val="24"/>
          <w:lang w:val="en-US"/>
        </w:rPr>
        <w:t>Diamond, Briand, Fossella, &amp; Gehlbach, 2004</w:t>
      </w:r>
      <w:r w:rsidRPr="007D15A9">
        <w:rPr>
          <w:sz w:val="24"/>
          <w:lang w:val="en-US"/>
        </w:rPr>
        <w:t xml:space="preserve">; Egan et al., 2001). Different levels of COMT activity conferred by the Val158Met genotypes may therefore </w:t>
      </w:r>
      <w:r w:rsidR="00873E75" w:rsidRPr="007D15A9">
        <w:rPr>
          <w:sz w:val="24"/>
          <w:lang w:val="en-US"/>
        </w:rPr>
        <w:t>influence the</w:t>
      </w:r>
      <w:r w:rsidRPr="007D15A9">
        <w:rPr>
          <w:sz w:val="24"/>
          <w:lang w:val="en-US"/>
        </w:rPr>
        <w:t xml:space="preserve"> stress response </w:t>
      </w:r>
      <w:r w:rsidRPr="007D15A9">
        <w:rPr>
          <w:sz w:val="24"/>
          <w:lang w:val="en-US"/>
        </w:rPr>
        <w:lastRenderedPageBreak/>
        <w:t xml:space="preserve">and self-regulating mechanisms, which in turn </w:t>
      </w:r>
      <w:r w:rsidR="00873E75" w:rsidRPr="007D15A9">
        <w:rPr>
          <w:sz w:val="24"/>
          <w:lang w:val="en-US"/>
        </w:rPr>
        <w:t>affect</w:t>
      </w:r>
      <w:r w:rsidRPr="007D15A9">
        <w:rPr>
          <w:sz w:val="24"/>
          <w:lang w:val="en-US"/>
        </w:rPr>
        <w:t xml:space="preserve"> the development of aggressive behavior, particularly in the case of children who have experienced severe life events, as the findings of this study indicate. </w:t>
      </w:r>
    </w:p>
    <w:p w14:paraId="0AD27BC3" w14:textId="02FF3372" w:rsidR="00AB7302" w:rsidRPr="007D15A9" w:rsidRDefault="00873E75" w:rsidP="00172E99">
      <w:pPr>
        <w:pStyle w:val="Vanliginnrykk"/>
        <w:spacing w:line="480" w:lineRule="auto"/>
        <w:ind w:firstLine="720"/>
        <w:rPr>
          <w:sz w:val="24"/>
          <w:lang w:val="en-US"/>
        </w:rPr>
      </w:pPr>
      <w:r w:rsidRPr="007D15A9">
        <w:rPr>
          <w:sz w:val="24"/>
          <w:lang w:val="en-US"/>
        </w:rPr>
        <w:t>More s</w:t>
      </w:r>
      <w:r w:rsidR="00B54611" w:rsidRPr="007D15A9">
        <w:rPr>
          <w:sz w:val="24"/>
          <w:lang w:val="en-US"/>
        </w:rPr>
        <w:t>pecifically, the Val allele is associated with lower tonic dopamine,</w:t>
      </w:r>
      <w:r w:rsidR="005A433A" w:rsidRPr="007D15A9">
        <w:rPr>
          <w:sz w:val="24"/>
          <w:lang w:val="en-US"/>
        </w:rPr>
        <w:t xml:space="preserve"> especially in the case of Val homozygotes</w:t>
      </w:r>
      <w:r w:rsidR="00B54611" w:rsidRPr="007D15A9">
        <w:rPr>
          <w:sz w:val="24"/>
          <w:lang w:val="en-US"/>
        </w:rPr>
        <w:t>, which is hypothesized to reduce executive function (</w:t>
      </w:r>
      <w:r w:rsidR="00E6015B" w:rsidRPr="007D15A9">
        <w:rPr>
          <w:sz w:val="24"/>
          <w:lang w:val="en-US"/>
        </w:rPr>
        <w:t>Bilder, Volavka, Lachman, &amp; Grace, 2004</w:t>
      </w:r>
      <w:r w:rsidR="00B54611" w:rsidRPr="007D15A9">
        <w:rPr>
          <w:sz w:val="24"/>
          <w:lang w:val="en-US"/>
        </w:rPr>
        <w:t xml:space="preserve">; Goldberg et al., 2003) and thus may facilitate the propensity for reactive aggression when facing adversity. Carriers of the Met allele have higher D1 and D2 transmission and thus more stable networks for short-term memory (Bilder et al., 2004). Better short-term memory among Met carriers </w:t>
      </w:r>
      <w:r w:rsidR="005A433A" w:rsidRPr="007D15A9">
        <w:rPr>
          <w:sz w:val="24"/>
          <w:lang w:val="en-US"/>
        </w:rPr>
        <w:t>may facilitate</w:t>
      </w:r>
      <w:r w:rsidR="00B54611" w:rsidRPr="007D15A9">
        <w:rPr>
          <w:sz w:val="24"/>
          <w:lang w:val="en-US"/>
        </w:rPr>
        <w:t xml:space="preserve"> problem-focused coping </w:t>
      </w:r>
      <w:r w:rsidR="005A433A" w:rsidRPr="007D15A9">
        <w:rPr>
          <w:sz w:val="24"/>
          <w:lang w:val="en-US"/>
        </w:rPr>
        <w:t>in</w:t>
      </w:r>
      <w:r w:rsidR="00B54611" w:rsidRPr="007D15A9">
        <w:rPr>
          <w:sz w:val="24"/>
          <w:lang w:val="en-US"/>
        </w:rPr>
        <w:t xml:space="preserve"> stressful situations</w:t>
      </w:r>
      <w:r w:rsidR="005A433A" w:rsidRPr="007D15A9">
        <w:rPr>
          <w:sz w:val="24"/>
          <w:lang w:val="en-US"/>
        </w:rPr>
        <w:t>, thereby enabling</w:t>
      </w:r>
      <w:r w:rsidR="00B54611" w:rsidRPr="007D15A9">
        <w:rPr>
          <w:sz w:val="24"/>
          <w:lang w:val="en-US"/>
        </w:rPr>
        <w:t xml:space="preserve"> children to act in a deliberate and planned manner rather than </w:t>
      </w:r>
      <w:r w:rsidR="00C95DB1" w:rsidRPr="007D15A9">
        <w:rPr>
          <w:sz w:val="24"/>
          <w:lang w:val="en-US"/>
        </w:rPr>
        <w:t>one of impulse and emotion</w:t>
      </w:r>
      <w:r w:rsidR="00B54611" w:rsidRPr="007D15A9">
        <w:rPr>
          <w:sz w:val="24"/>
          <w:lang w:val="en-US"/>
        </w:rPr>
        <w:t xml:space="preserve">, </w:t>
      </w:r>
      <w:r w:rsidR="00410926" w:rsidRPr="007D15A9">
        <w:rPr>
          <w:sz w:val="24"/>
          <w:lang w:val="en-US"/>
        </w:rPr>
        <w:t>including</w:t>
      </w:r>
      <w:r w:rsidR="00B54611" w:rsidRPr="007D15A9">
        <w:rPr>
          <w:sz w:val="24"/>
          <w:lang w:val="en-US"/>
        </w:rPr>
        <w:t xml:space="preserve"> aggressive reactions. Children who were homozygous for the Val allele displayed the lowest aggression scores in the absence of SLEs</w:t>
      </w:r>
      <w:r w:rsidR="00B34918" w:rsidRPr="007D15A9">
        <w:rPr>
          <w:sz w:val="24"/>
          <w:lang w:val="en-US"/>
        </w:rPr>
        <w:t>.</w:t>
      </w:r>
      <w:r w:rsidR="00B54611" w:rsidRPr="007D15A9">
        <w:rPr>
          <w:sz w:val="24"/>
          <w:lang w:val="en-US"/>
        </w:rPr>
        <w:t xml:space="preserve"> </w:t>
      </w:r>
      <w:r w:rsidR="00FB6182" w:rsidRPr="007D15A9">
        <w:rPr>
          <w:sz w:val="24"/>
          <w:lang w:val="en-US"/>
        </w:rPr>
        <w:t>Consistent with the differen</w:t>
      </w:r>
      <w:r w:rsidR="00A54B9A" w:rsidRPr="007D15A9">
        <w:rPr>
          <w:sz w:val="24"/>
          <w:lang w:val="en-US"/>
        </w:rPr>
        <w:t xml:space="preserve">tial </w:t>
      </w:r>
      <w:r w:rsidR="00FB6182" w:rsidRPr="007D15A9">
        <w:rPr>
          <w:sz w:val="24"/>
          <w:lang w:val="en-US"/>
        </w:rPr>
        <w:t>susceptibility theory,</w:t>
      </w:r>
      <w:r w:rsidR="00FB6182" w:rsidRPr="007D15A9" w:rsidDel="00B34918">
        <w:rPr>
          <w:sz w:val="24"/>
          <w:lang w:val="en-US"/>
        </w:rPr>
        <w:t xml:space="preserve"> </w:t>
      </w:r>
      <w:r w:rsidR="00FB6182" w:rsidRPr="007D15A9">
        <w:rPr>
          <w:sz w:val="24"/>
          <w:lang w:val="en-US"/>
        </w:rPr>
        <w:t>t</w:t>
      </w:r>
      <w:r w:rsidR="00B34918" w:rsidRPr="007D15A9">
        <w:rPr>
          <w:sz w:val="24"/>
          <w:lang w:val="en-US"/>
        </w:rPr>
        <w:t xml:space="preserve">his </w:t>
      </w:r>
      <w:r w:rsidR="005A433A" w:rsidRPr="007D15A9">
        <w:rPr>
          <w:sz w:val="24"/>
          <w:lang w:val="en-US"/>
        </w:rPr>
        <w:t>suggests</w:t>
      </w:r>
      <w:r w:rsidR="00B54611" w:rsidRPr="007D15A9">
        <w:rPr>
          <w:sz w:val="24"/>
          <w:lang w:val="en-US"/>
        </w:rPr>
        <w:t xml:space="preserve"> that this particular genotype and the dopamine turnover it reflects confer plasticity for better and for worse, not just </w:t>
      </w:r>
      <w:r w:rsidR="00B34918" w:rsidRPr="007D15A9">
        <w:rPr>
          <w:sz w:val="24"/>
          <w:lang w:val="en-US"/>
        </w:rPr>
        <w:t xml:space="preserve">during </w:t>
      </w:r>
      <w:r w:rsidR="00B54611" w:rsidRPr="007D15A9">
        <w:rPr>
          <w:sz w:val="24"/>
          <w:lang w:val="en-US"/>
        </w:rPr>
        <w:t xml:space="preserve">adversity. Thus, when the environment is </w:t>
      </w:r>
      <w:r w:rsidR="005A433A" w:rsidRPr="007D15A9">
        <w:rPr>
          <w:sz w:val="24"/>
          <w:lang w:val="en-US"/>
        </w:rPr>
        <w:t>benign or supportive</w:t>
      </w:r>
      <w:r w:rsidR="00B54611" w:rsidRPr="007D15A9">
        <w:rPr>
          <w:sz w:val="24"/>
          <w:lang w:val="en-US"/>
        </w:rPr>
        <w:t xml:space="preserve">, </w:t>
      </w:r>
      <w:r w:rsidR="005A433A" w:rsidRPr="007D15A9">
        <w:rPr>
          <w:sz w:val="24"/>
          <w:lang w:val="en-US"/>
        </w:rPr>
        <w:t>Val</w:t>
      </w:r>
      <w:r w:rsidR="0020429D" w:rsidRPr="007D15A9">
        <w:rPr>
          <w:sz w:val="24"/>
          <w:lang w:val="en-US"/>
        </w:rPr>
        <w:t>/</w:t>
      </w:r>
      <w:r w:rsidR="005A433A" w:rsidRPr="007D15A9">
        <w:rPr>
          <w:sz w:val="24"/>
          <w:lang w:val="en-US"/>
        </w:rPr>
        <w:t>Val homozygotes prove especially</w:t>
      </w:r>
      <w:r w:rsidR="00B54611" w:rsidRPr="007D15A9">
        <w:rPr>
          <w:sz w:val="24"/>
          <w:lang w:val="en-US"/>
        </w:rPr>
        <w:t xml:space="preserve"> susceptible </w:t>
      </w:r>
      <w:r w:rsidR="005A433A" w:rsidRPr="007D15A9">
        <w:rPr>
          <w:sz w:val="24"/>
          <w:lang w:val="en-US"/>
        </w:rPr>
        <w:t xml:space="preserve">to such environmental input </w:t>
      </w:r>
      <w:r w:rsidR="00B54611" w:rsidRPr="007D15A9">
        <w:rPr>
          <w:sz w:val="24"/>
          <w:lang w:val="en-US"/>
        </w:rPr>
        <w:t>and</w:t>
      </w:r>
      <w:r w:rsidR="00CC6D10" w:rsidRPr="007D15A9">
        <w:rPr>
          <w:sz w:val="24"/>
          <w:lang w:val="en-US"/>
        </w:rPr>
        <w:t xml:space="preserve"> </w:t>
      </w:r>
      <w:r w:rsidR="005A433A" w:rsidRPr="007D15A9">
        <w:rPr>
          <w:sz w:val="24"/>
          <w:lang w:val="en-US"/>
        </w:rPr>
        <w:t>behav</w:t>
      </w:r>
      <w:r w:rsidR="00CC6D10" w:rsidRPr="007D15A9">
        <w:rPr>
          <w:sz w:val="24"/>
          <w:lang w:val="en-US"/>
        </w:rPr>
        <w:t>e</w:t>
      </w:r>
      <w:r w:rsidR="005A433A" w:rsidRPr="007D15A9">
        <w:rPr>
          <w:sz w:val="24"/>
          <w:lang w:val="en-US"/>
        </w:rPr>
        <w:t xml:space="preserve"> </w:t>
      </w:r>
      <w:r w:rsidR="00CC6D10" w:rsidRPr="007D15A9">
        <w:rPr>
          <w:sz w:val="24"/>
          <w:lang w:val="en-US"/>
        </w:rPr>
        <w:t>less</w:t>
      </w:r>
      <w:r w:rsidR="005A433A" w:rsidRPr="007D15A9">
        <w:rPr>
          <w:sz w:val="24"/>
          <w:lang w:val="en-US"/>
        </w:rPr>
        <w:t xml:space="preserve"> aggressively,</w:t>
      </w:r>
      <w:r w:rsidR="00B54611" w:rsidRPr="007D15A9">
        <w:rPr>
          <w:sz w:val="24"/>
          <w:lang w:val="en-US"/>
        </w:rPr>
        <w:t xml:space="preserve"> whereas the opposite is the case in the presence of adversity. Moreover, carriers of the Met allele seem to be less affected by environmental factors, at least with respect to the aggression reported herein.</w:t>
      </w:r>
    </w:p>
    <w:p w14:paraId="47E2A1C2" w14:textId="351E5B2F" w:rsidR="00AB7302" w:rsidRPr="007D15A9" w:rsidRDefault="00B54611" w:rsidP="007D15A9">
      <w:pPr>
        <w:pStyle w:val="Vanliginnrykk"/>
        <w:spacing w:line="480" w:lineRule="auto"/>
        <w:ind w:firstLine="720"/>
        <w:rPr>
          <w:sz w:val="24"/>
          <w:lang w:val="en-US"/>
        </w:rPr>
      </w:pPr>
      <w:r w:rsidRPr="007D15A9">
        <w:rPr>
          <w:sz w:val="24"/>
          <w:lang w:val="en-US"/>
        </w:rPr>
        <w:t xml:space="preserve">Although the primary results are consistent with differential susceptibility theory (Belsky et al., 2007), more research is necessary before strong conclusions and interpretations can be drawn from our results. </w:t>
      </w:r>
      <w:r w:rsidR="003E26E6" w:rsidRPr="007D15A9">
        <w:rPr>
          <w:sz w:val="24"/>
          <w:lang w:val="en-US"/>
        </w:rPr>
        <w:t xml:space="preserve">One of the limitations </w:t>
      </w:r>
      <w:r w:rsidR="00C16B46" w:rsidRPr="007D15A9">
        <w:rPr>
          <w:sz w:val="24"/>
          <w:lang w:val="en-US"/>
        </w:rPr>
        <w:t>of</w:t>
      </w:r>
      <w:r w:rsidR="003E26E6" w:rsidRPr="007D15A9">
        <w:rPr>
          <w:sz w:val="24"/>
          <w:lang w:val="en-US"/>
        </w:rPr>
        <w:t xml:space="preserve"> th</w:t>
      </w:r>
      <w:r w:rsidR="00C16B46" w:rsidRPr="007D15A9">
        <w:rPr>
          <w:sz w:val="24"/>
          <w:lang w:val="en-US"/>
        </w:rPr>
        <w:t>is</w:t>
      </w:r>
      <w:r w:rsidR="003E26E6" w:rsidRPr="007D15A9">
        <w:rPr>
          <w:sz w:val="24"/>
          <w:lang w:val="en-US"/>
        </w:rPr>
        <w:t xml:space="preserve"> study is that our measures do not encompass both negative and positive aspects of the environment</w:t>
      </w:r>
      <w:r w:rsidR="00E62954" w:rsidRPr="007D15A9">
        <w:rPr>
          <w:sz w:val="24"/>
          <w:lang w:val="en-US"/>
        </w:rPr>
        <w:t xml:space="preserve"> </w:t>
      </w:r>
      <w:r w:rsidR="005A433A" w:rsidRPr="007D15A9">
        <w:rPr>
          <w:sz w:val="24"/>
          <w:lang w:val="en-US"/>
        </w:rPr>
        <w:t xml:space="preserve">or the measured </w:t>
      </w:r>
      <w:r w:rsidR="00E62954" w:rsidRPr="007D15A9">
        <w:rPr>
          <w:sz w:val="24"/>
          <w:lang w:val="en-US"/>
        </w:rPr>
        <w:t>outcome</w:t>
      </w:r>
      <w:r w:rsidR="00C16B46" w:rsidRPr="007D15A9">
        <w:rPr>
          <w:sz w:val="24"/>
          <w:lang w:val="en-US"/>
        </w:rPr>
        <w:t>,</w:t>
      </w:r>
      <w:r w:rsidR="005F6111" w:rsidRPr="007D15A9">
        <w:rPr>
          <w:sz w:val="24"/>
          <w:lang w:val="en-US"/>
        </w:rPr>
        <w:t xml:space="preserve"> which </w:t>
      </w:r>
      <w:r w:rsidR="005A433A" w:rsidRPr="007D15A9">
        <w:rPr>
          <w:sz w:val="24"/>
          <w:lang w:val="en-US"/>
        </w:rPr>
        <w:t xml:space="preserve">affords the best test </w:t>
      </w:r>
      <w:r w:rsidR="005F6111" w:rsidRPr="007D15A9">
        <w:rPr>
          <w:sz w:val="24"/>
          <w:lang w:val="en-US"/>
        </w:rPr>
        <w:t>of differential</w:t>
      </w:r>
      <w:r w:rsidR="00A54B9A" w:rsidRPr="007D15A9">
        <w:rPr>
          <w:sz w:val="24"/>
          <w:lang w:val="en-US"/>
        </w:rPr>
        <w:t xml:space="preserve"> </w:t>
      </w:r>
      <w:r w:rsidR="005F6111" w:rsidRPr="007D15A9">
        <w:rPr>
          <w:sz w:val="24"/>
          <w:lang w:val="en-US"/>
        </w:rPr>
        <w:t>susceptibility theor</w:t>
      </w:r>
      <w:r w:rsidR="005A433A" w:rsidRPr="007D15A9">
        <w:rPr>
          <w:sz w:val="24"/>
          <w:lang w:val="en-US"/>
        </w:rPr>
        <w:t xml:space="preserve">izing. After all, </w:t>
      </w:r>
      <w:r w:rsidR="00E62954" w:rsidRPr="007D15A9">
        <w:rPr>
          <w:sz w:val="24"/>
          <w:lang w:val="en-US"/>
        </w:rPr>
        <w:t xml:space="preserve">the </w:t>
      </w:r>
      <w:r w:rsidR="00D741C9" w:rsidRPr="007D15A9">
        <w:rPr>
          <w:sz w:val="24"/>
          <w:lang w:val="en-US"/>
        </w:rPr>
        <w:t xml:space="preserve">absence of SLEs does not reflect </w:t>
      </w:r>
      <w:r w:rsidR="00C16B46" w:rsidRPr="007D15A9">
        <w:rPr>
          <w:sz w:val="24"/>
          <w:lang w:val="en-US"/>
        </w:rPr>
        <w:t xml:space="preserve">the </w:t>
      </w:r>
      <w:r w:rsidR="00D741C9" w:rsidRPr="007D15A9">
        <w:rPr>
          <w:sz w:val="24"/>
          <w:lang w:val="en-US"/>
        </w:rPr>
        <w:t>presence of positive ones</w:t>
      </w:r>
      <w:r w:rsidR="00C16B46" w:rsidRPr="007D15A9">
        <w:rPr>
          <w:sz w:val="24"/>
          <w:lang w:val="en-US"/>
        </w:rPr>
        <w:t>,</w:t>
      </w:r>
      <w:r w:rsidR="00D741C9" w:rsidRPr="007D15A9">
        <w:rPr>
          <w:sz w:val="24"/>
          <w:lang w:val="en-US"/>
        </w:rPr>
        <w:t xml:space="preserve"> and lack of aggression is not the same as </w:t>
      </w:r>
      <w:r w:rsidR="005A433A" w:rsidRPr="007D15A9">
        <w:rPr>
          <w:sz w:val="24"/>
          <w:lang w:val="en-US"/>
        </w:rPr>
        <w:lastRenderedPageBreak/>
        <w:t xml:space="preserve">positive social </w:t>
      </w:r>
      <w:r w:rsidR="00D741C9" w:rsidRPr="007D15A9">
        <w:rPr>
          <w:sz w:val="24"/>
          <w:lang w:val="en-US"/>
        </w:rPr>
        <w:t>functioning. Moreover, o</w:t>
      </w:r>
      <w:r w:rsidRPr="007D15A9">
        <w:rPr>
          <w:sz w:val="24"/>
          <w:lang w:val="en-US"/>
        </w:rPr>
        <w:t xml:space="preserve">ur focus was exclusively on the COMT Val158Met polymorphism. Future research should consider other </w:t>
      </w:r>
      <w:r w:rsidR="005A433A" w:rsidRPr="007D15A9">
        <w:rPr>
          <w:sz w:val="24"/>
          <w:lang w:val="en-US"/>
        </w:rPr>
        <w:t xml:space="preserve">candidate </w:t>
      </w:r>
      <w:r w:rsidRPr="007D15A9">
        <w:rPr>
          <w:sz w:val="24"/>
          <w:lang w:val="en-US"/>
        </w:rPr>
        <w:t>genes implicated in the development of aggression</w:t>
      </w:r>
      <w:r w:rsidR="005A433A" w:rsidRPr="007D15A9">
        <w:rPr>
          <w:sz w:val="24"/>
          <w:lang w:val="en-US"/>
        </w:rPr>
        <w:t xml:space="preserve"> and</w:t>
      </w:r>
      <w:r w:rsidR="00E5551F" w:rsidRPr="007D15A9">
        <w:rPr>
          <w:sz w:val="24"/>
          <w:lang w:val="en-US"/>
        </w:rPr>
        <w:t xml:space="preserve"> environmental</w:t>
      </w:r>
      <w:r w:rsidR="005A433A" w:rsidRPr="007D15A9">
        <w:rPr>
          <w:sz w:val="24"/>
          <w:lang w:val="en-US"/>
        </w:rPr>
        <w:t xml:space="preserve"> sensitivity</w:t>
      </w:r>
      <w:r w:rsidRPr="007D15A9">
        <w:rPr>
          <w:sz w:val="24"/>
          <w:lang w:val="en-US"/>
        </w:rPr>
        <w:t xml:space="preserve">. Another limitation of our study is the low prevalence of SLEs, which may be balanced by the large, community-based sample. Nevertheless, future research could benefit from a focus on higher-risk populations. </w:t>
      </w:r>
      <w:r w:rsidR="00FB6990" w:rsidRPr="007D15A9">
        <w:rPr>
          <w:sz w:val="24"/>
          <w:lang w:val="en-US"/>
        </w:rPr>
        <w:t xml:space="preserve">It is </w:t>
      </w:r>
      <w:r w:rsidR="00B605EE" w:rsidRPr="007D15A9">
        <w:rPr>
          <w:sz w:val="24"/>
          <w:lang w:val="en-US"/>
        </w:rPr>
        <w:t xml:space="preserve">also </w:t>
      </w:r>
      <w:r w:rsidR="00FB6990" w:rsidRPr="007D15A9">
        <w:rPr>
          <w:sz w:val="24"/>
          <w:lang w:val="en-US"/>
        </w:rPr>
        <w:t>important to note</w:t>
      </w:r>
      <w:r w:rsidR="00B605EE" w:rsidRPr="007D15A9">
        <w:rPr>
          <w:sz w:val="24"/>
          <w:lang w:val="en-US"/>
        </w:rPr>
        <w:t xml:space="preserve"> </w:t>
      </w:r>
      <w:r w:rsidR="00FB6990" w:rsidRPr="007D15A9">
        <w:rPr>
          <w:sz w:val="24"/>
          <w:lang w:val="en-US"/>
        </w:rPr>
        <w:t>that this is an observational study</w:t>
      </w:r>
      <w:r w:rsidR="00B605EE" w:rsidRPr="007D15A9">
        <w:rPr>
          <w:sz w:val="24"/>
          <w:lang w:val="en-US"/>
        </w:rPr>
        <w:t>;</w:t>
      </w:r>
      <w:r w:rsidR="00FB6990" w:rsidRPr="007D15A9">
        <w:rPr>
          <w:sz w:val="24"/>
          <w:lang w:val="en-US"/>
        </w:rPr>
        <w:t xml:space="preserve"> thus, causal effects of </w:t>
      </w:r>
      <w:r w:rsidR="003E1236" w:rsidRPr="007D15A9">
        <w:rPr>
          <w:sz w:val="24"/>
          <w:lang w:val="en-US"/>
        </w:rPr>
        <w:t xml:space="preserve">the </w:t>
      </w:r>
      <w:r w:rsidR="00FB6990" w:rsidRPr="007D15A9">
        <w:rPr>
          <w:sz w:val="24"/>
          <w:lang w:val="en-US"/>
        </w:rPr>
        <w:t>environment cannot be inferred with confidence</w:t>
      </w:r>
      <w:r w:rsidR="005A433A" w:rsidRPr="007D15A9">
        <w:rPr>
          <w:sz w:val="24"/>
          <w:lang w:val="en-US"/>
        </w:rPr>
        <w:t xml:space="preserve">. </w:t>
      </w:r>
      <w:r w:rsidR="006D6B01" w:rsidRPr="007D15A9">
        <w:rPr>
          <w:sz w:val="24"/>
          <w:lang w:val="en-US"/>
        </w:rPr>
        <w:t>Therefore</w:t>
      </w:r>
      <w:r w:rsidR="00FB6990" w:rsidRPr="007D15A9">
        <w:rPr>
          <w:sz w:val="24"/>
          <w:lang w:val="en-US"/>
        </w:rPr>
        <w:t>, experiment</w:t>
      </w:r>
      <w:r w:rsidR="005F6111" w:rsidRPr="007D15A9">
        <w:rPr>
          <w:sz w:val="24"/>
          <w:lang w:val="en-US"/>
        </w:rPr>
        <w:t xml:space="preserve">al intervention </w:t>
      </w:r>
      <w:r w:rsidR="005A433A" w:rsidRPr="007D15A9">
        <w:rPr>
          <w:sz w:val="24"/>
          <w:lang w:val="en-US"/>
        </w:rPr>
        <w:t>research provides an excellent means of testing GXE hypotheses</w:t>
      </w:r>
      <w:r w:rsidR="006D6B01" w:rsidRPr="007D15A9">
        <w:rPr>
          <w:sz w:val="24"/>
          <w:lang w:val="en-US"/>
        </w:rPr>
        <w:t>.</w:t>
      </w:r>
      <w:r w:rsidR="005A433A" w:rsidRPr="007D15A9">
        <w:rPr>
          <w:sz w:val="24"/>
          <w:lang w:val="en-US"/>
        </w:rPr>
        <w:t xml:space="preserve"> </w:t>
      </w:r>
      <w:r w:rsidR="006D6B01" w:rsidRPr="007D15A9">
        <w:rPr>
          <w:sz w:val="24"/>
          <w:lang w:val="en-US"/>
        </w:rPr>
        <w:t>S</w:t>
      </w:r>
      <w:r w:rsidR="005A433A" w:rsidRPr="007D15A9">
        <w:rPr>
          <w:sz w:val="24"/>
          <w:lang w:val="en-US"/>
        </w:rPr>
        <w:t>uch research is being</w:t>
      </w:r>
      <w:r w:rsidR="007D15A9">
        <w:rPr>
          <w:sz w:val="24"/>
          <w:lang w:val="en-US"/>
        </w:rPr>
        <w:t xml:space="preserve"> conducted</w:t>
      </w:r>
      <w:r w:rsidR="005A433A" w:rsidRPr="007D15A9">
        <w:rPr>
          <w:sz w:val="24"/>
          <w:lang w:val="en-US"/>
        </w:rPr>
        <w:t xml:space="preserve"> and </w:t>
      </w:r>
      <w:r w:rsidR="006D6B01" w:rsidRPr="007D15A9">
        <w:rPr>
          <w:sz w:val="24"/>
          <w:lang w:val="en-US"/>
        </w:rPr>
        <w:t xml:space="preserve">is </w:t>
      </w:r>
      <w:r w:rsidR="005A433A" w:rsidRPr="007D15A9">
        <w:rPr>
          <w:sz w:val="24"/>
          <w:lang w:val="en-US"/>
        </w:rPr>
        <w:t>providing additional support for the differential</w:t>
      </w:r>
      <w:r w:rsidR="00A54B9A" w:rsidRPr="007D15A9">
        <w:rPr>
          <w:sz w:val="24"/>
          <w:lang w:val="en-US"/>
        </w:rPr>
        <w:t xml:space="preserve"> </w:t>
      </w:r>
      <w:r w:rsidR="005A433A" w:rsidRPr="007D15A9">
        <w:rPr>
          <w:sz w:val="24"/>
          <w:lang w:val="en-US"/>
        </w:rPr>
        <w:t>susceptibility framework</w:t>
      </w:r>
      <w:r w:rsidR="006D6B01" w:rsidRPr="007D15A9">
        <w:rPr>
          <w:sz w:val="24"/>
          <w:lang w:val="en-US"/>
        </w:rPr>
        <w:t>,</w:t>
      </w:r>
      <w:r w:rsidR="005A433A" w:rsidRPr="007D15A9">
        <w:rPr>
          <w:sz w:val="24"/>
          <w:lang w:val="en-US"/>
        </w:rPr>
        <w:t xml:space="preserve"> which predicts that some individuals will be more susceptible to positive environmental effects than others (Belsky &amp; van IJzendoorn, in press; Van Ijzendoorn &amp; Bakermans-Kranenburg, in press).</w:t>
      </w:r>
      <w:r w:rsidR="005A433A" w:rsidRPr="007D15A9">
        <w:rPr>
          <w:b/>
          <w:sz w:val="24"/>
          <w:lang w:val="en-US"/>
        </w:rPr>
        <w:t xml:space="preserve"> </w:t>
      </w:r>
      <w:r w:rsidRPr="007D15A9">
        <w:rPr>
          <w:sz w:val="24"/>
          <w:lang w:val="en-US"/>
        </w:rPr>
        <w:t>Despite these limitations, our findings strengthen previous reports on the moderating role of COMT Val158Met and add to the growing body of evidence that supports the differential susceptibility hypothesis.</w:t>
      </w:r>
    </w:p>
    <w:p w14:paraId="32577D9F" w14:textId="232490C2" w:rsidR="00AB7302" w:rsidRPr="007D15A9" w:rsidRDefault="00B54611" w:rsidP="00CF60BB">
      <w:pPr>
        <w:spacing w:line="480" w:lineRule="auto"/>
        <w:jc w:val="center"/>
        <w:rPr>
          <w:sz w:val="24"/>
          <w:lang w:val="en-US"/>
        </w:rPr>
      </w:pPr>
      <w:r w:rsidRPr="007D15A9">
        <w:rPr>
          <w:sz w:val="24"/>
          <w:lang w:val="en-US"/>
        </w:rPr>
        <w:br w:type="page"/>
      </w:r>
      <w:r w:rsidRPr="007D15A9">
        <w:rPr>
          <w:sz w:val="24"/>
          <w:lang w:val="en-US"/>
        </w:rPr>
        <w:lastRenderedPageBreak/>
        <w:t>References</w:t>
      </w:r>
    </w:p>
    <w:p w14:paraId="617B0C8F" w14:textId="453CC0B1" w:rsidR="00AB7302" w:rsidRPr="007D15A9" w:rsidRDefault="00B54611" w:rsidP="00CF60BB">
      <w:pPr>
        <w:pStyle w:val="BibEntry"/>
        <w:spacing w:line="480" w:lineRule="auto"/>
        <w:rPr>
          <w:sz w:val="24"/>
          <w:lang w:val="en-US"/>
        </w:rPr>
      </w:pPr>
      <w:r w:rsidRPr="007D15A9">
        <w:rPr>
          <w:sz w:val="24"/>
          <w:lang w:val="en-US"/>
        </w:rPr>
        <w:t xml:space="preserve">Achenbach, T. M. (1991). </w:t>
      </w:r>
      <w:r w:rsidRPr="007D15A9">
        <w:rPr>
          <w:i/>
          <w:sz w:val="24"/>
          <w:lang w:val="en-US"/>
        </w:rPr>
        <w:t>Manual for the child behavior check list/4–18 and 1991 profile</w:t>
      </w:r>
      <w:r w:rsidRPr="007D15A9">
        <w:rPr>
          <w:sz w:val="24"/>
          <w:lang w:val="en-US"/>
        </w:rPr>
        <w:t xml:space="preserve">. </w:t>
      </w:r>
      <w:r w:rsidRPr="007D15A9">
        <w:rPr>
          <w:i/>
          <w:sz w:val="24"/>
          <w:lang w:val="en-US"/>
        </w:rPr>
        <w:t>University of Vermont, Department of Psychiatry, University of Vermont</w:t>
      </w:r>
      <w:r w:rsidRPr="007D15A9">
        <w:rPr>
          <w:sz w:val="24"/>
          <w:lang w:val="en-US"/>
        </w:rPr>
        <w:t>. (Research: Burlington, VT).</w:t>
      </w:r>
    </w:p>
    <w:p w14:paraId="3256E41B" w14:textId="3BB63D04" w:rsidR="00690252" w:rsidRPr="007D15A9" w:rsidRDefault="00690252" w:rsidP="00CF5B19">
      <w:pPr>
        <w:pStyle w:val="EndNoteBibliography"/>
        <w:spacing w:after="0" w:line="480" w:lineRule="auto"/>
        <w:ind w:left="270" w:hanging="270"/>
        <w:rPr>
          <w:rFonts w:ascii="Times New Roman" w:hAnsi="Times New Roman"/>
          <w:noProof w:val="0"/>
          <w:sz w:val="24"/>
          <w:szCs w:val="24"/>
        </w:rPr>
      </w:pPr>
      <w:r w:rsidRPr="007D15A9">
        <w:rPr>
          <w:rFonts w:ascii="Times New Roman" w:hAnsi="Times New Roman"/>
          <w:noProof w:val="0"/>
          <w:sz w:val="24"/>
          <w:szCs w:val="24"/>
        </w:rPr>
        <w:t>Albaugh, M. D., Harder, V. S., Althoff, R. R., Rettew, D. C., Ehli, E. A., Lengyel-Nelson, T., Hudziak, J. J.</w:t>
      </w:r>
      <w:r w:rsidRPr="00D272AE">
        <w:rPr>
          <w:rFonts w:ascii="Times New Roman" w:hAnsi="Times New Roman"/>
          <w:noProof w:val="0"/>
          <w:sz w:val="24"/>
          <w:szCs w:val="24"/>
        </w:rPr>
        <w:t xml:space="preserve"> (2010). COMT Val158Met </w:t>
      </w:r>
      <w:r w:rsidR="007F4B29" w:rsidRPr="00F1677A">
        <w:rPr>
          <w:rFonts w:ascii="Times New Roman" w:hAnsi="Times New Roman"/>
          <w:noProof w:val="0"/>
          <w:sz w:val="24"/>
          <w:szCs w:val="24"/>
        </w:rPr>
        <w:t>g</w:t>
      </w:r>
      <w:r w:rsidRPr="001A01C9">
        <w:rPr>
          <w:rFonts w:ascii="Times New Roman" w:hAnsi="Times New Roman"/>
          <w:noProof w:val="0"/>
          <w:sz w:val="24"/>
          <w:szCs w:val="24"/>
        </w:rPr>
        <w:t xml:space="preserve">enotype as a </w:t>
      </w:r>
      <w:r w:rsidR="007F4B29" w:rsidRPr="001A01C9">
        <w:rPr>
          <w:rFonts w:ascii="Times New Roman" w:hAnsi="Times New Roman"/>
          <w:noProof w:val="0"/>
          <w:sz w:val="24"/>
          <w:szCs w:val="24"/>
        </w:rPr>
        <w:t>r</w:t>
      </w:r>
      <w:r w:rsidRPr="001A01C9">
        <w:rPr>
          <w:rFonts w:ascii="Times New Roman" w:hAnsi="Times New Roman"/>
          <w:noProof w:val="0"/>
          <w:sz w:val="24"/>
          <w:szCs w:val="24"/>
        </w:rPr>
        <w:t xml:space="preserve">isk </w:t>
      </w:r>
      <w:r w:rsidR="007F4B29" w:rsidRPr="00614589">
        <w:rPr>
          <w:rFonts w:ascii="Times New Roman" w:hAnsi="Times New Roman"/>
          <w:noProof w:val="0"/>
          <w:sz w:val="24"/>
          <w:szCs w:val="24"/>
        </w:rPr>
        <w:t>f</w:t>
      </w:r>
      <w:r w:rsidRPr="00614589">
        <w:rPr>
          <w:rFonts w:ascii="Times New Roman" w:hAnsi="Times New Roman"/>
          <w:noProof w:val="0"/>
          <w:sz w:val="24"/>
          <w:szCs w:val="24"/>
        </w:rPr>
        <w:t xml:space="preserve">actor for </w:t>
      </w:r>
      <w:r w:rsidR="007F4B29" w:rsidRPr="00614589">
        <w:rPr>
          <w:rFonts w:ascii="Times New Roman" w:hAnsi="Times New Roman"/>
          <w:noProof w:val="0"/>
          <w:sz w:val="24"/>
          <w:szCs w:val="24"/>
        </w:rPr>
        <w:t>p</w:t>
      </w:r>
      <w:r w:rsidRPr="00614589">
        <w:rPr>
          <w:rFonts w:ascii="Times New Roman" w:hAnsi="Times New Roman"/>
          <w:noProof w:val="0"/>
          <w:sz w:val="24"/>
          <w:szCs w:val="24"/>
        </w:rPr>
        <w:t xml:space="preserve">roblem </w:t>
      </w:r>
      <w:r w:rsidR="007F4B29" w:rsidRPr="00614589">
        <w:rPr>
          <w:rFonts w:ascii="Times New Roman" w:hAnsi="Times New Roman"/>
          <w:noProof w:val="0"/>
          <w:sz w:val="24"/>
          <w:szCs w:val="24"/>
        </w:rPr>
        <w:t>b</w:t>
      </w:r>
      <w:r w:rsidRPr="00614589">
        <w:rPr>
          <w:rFonts w:ascii="Times New Roman" w:hAnsi="Times New Roman"/>
          <w:noProof w:val="0"/>
          <w:sz w:val="24"/>
          <w:szCs w:val="24"/>
        </w:rPr>
        <w:t xml:space="preserve">ehaviors in </w:t>
      </w:r>
      <w:r w:rsidR="007F4B29" w:rsidRPr="00614589">
        <w:rPr>
          <w:rFonts w:ascii="Times New Roman" w:hAnsi="Times New Roman"/>
          <w:noProof w:val="0"/>
          <w:sz w:val="24"/>
          <w:szCs w:val="24"/>
        </w:rPr>
        <w:t>y</w:t>
      </w:r>
      <w:r w:rsidRPr="00614589">
        <w:rPr>
          <w:rFonts w:ascii="Times New Roman" w:hAnsi="Times New Roman"/>
          <w:noProof w:val="0"/>
          <w:sz w:val="24"/>
          <w:szCs w:val="24"/>
        </w:rPr>
        <w:t xml:space="preserve">outh. </w:t>
      </w:r>
      <w:r w:rsidRPr="00614589">
        <w:rPr>
          <w:rFonts w:ascii="Times New Roman" w:hAnsi="Times New Roman"/>
          <w:i/>
          <w:noProof w:val="0"/>
          <w:sz w:val="24"/>
          <w:szCs w:val="24"/>
        </w:rPr>
        <w:t>Journal of the American Academy of Child and Adolescent Psychiatry, 49</w:t>
      </w:r>
      <w:r w:rsidRPr="00614589">
        <w:rPr>
          <w:rFonts w:ascii="Times New Roman" w:hAnsi="Times New Roman"/>
          <w:noProof w:val="0"/>
          <w:sz w:val="24"/>
          <w:szCs w:val="24"/>
        </w:rPr>
        <w:t xml:space="preserve">(8), 841-849. </w:t>
      </w:r>
      <w:r w:rsidR="00D272AE" w:rsidRPr="00C32F5C">
        <w:rPr>
          <w:rFonts w:ascii="Times New Roman" w:eastAsia="Arial Unicode MS" w:hAnsi="Times New Roman"/>
          <w:sz w:val="24"/>
          <w:szCs w:val="24"/>
          <w:bdr w:val="none" w:sz="0" w:space="0" w:color="auto" w:frame="1"/>
          <w:shd w:val="clear" w:color="auto" w:fill="FFFFFF"/>
        </w:rPr>
        <w:t>doi: 10.1016/j.jaac.2010.05.015</w:t>
      </w:r>
      <w:r w:rsidR="00D272AE" w:rsidRPr="00C32F5C">
        <w:rPr>
          <w:rFonts w:ascii="Times New Roman" w:hAnsi="Times New Roman"/>
          <w:sz w:val="24"/>
          <w:szCs w:val="24"/>
        </w:rPr>
        <w:t>.</w:t>
      </w:r>
    </w:p>
    <w:p w14:paraId="489DB4F2" w14:textId="3444DF8B" w:rsidR="00AB7302" w:rsidRPr="007D15A9" w:rsidRDefault="00B54611" w:rsidP="00CF60BB">
      <w:pPr>
        <w:pStyle w:val="BibEntry"/>
        <w:spacing w:line="480" w:lineRule="auto"/>
        <w:rPr>
          <w:sz w:val="24"/>
          <w:lang w:val="en-US"/>
        </w:rPr>
      </w:pPr>
      <w:r w:rsidRPr="007D15A9">
        <w:rPr>
          <w:sz w:val="24"/>
          <w:lang w:val="en-US"/>
        </w:rPr>
        <w:t xml:space="preserve">Allen, J. S. (2009). </w:t>
      </w:r>
      <w:r w:rsidRPr="007D15A9">
        <w:rPr>
          <w:i/>
          <w:sz w:val="24"/>
          <w:lang w:val="en-US"/>
        </w:rPr>
        <w:t>The lives of the brain. Human evolution and the organ of mind</w:t>
      </w:r>
      <w:r w:rsidRPr="007D15A9">
        <w:rPr>
          <w:sz w:val="24"/>
          <w:lang w:val="en-US"/>
        </w:rPr>
        <w:t>. (The Belknap Press of Harvard University Press: Cambridge, MA, and London, England).</w:t>
      </w:r>
      <w:bookmarkStart w:id="1" w:name="_ENREF_1"/>
    </w:p>
    <w:p w14:paraId="65339070" w14:textId="1E7576D5" w:rsidR="00AB7302" w:rsidRPr="007D15A9" w:rsidRDefault="00B54611" w:rsidP="00CF60BB">
      <w:pPr>
        <w:pStyle w:val="BibEntry"/>
        <w:spacing w:line="480" w:lineRule="auto"/>
        <w:rPr>
          <w:sz w:val="24"/>
          <w:lang w:val="en-US"/>
        </w:rPr>
      </w:pPr>
      <w:bookmarkStart w:id="2" w:name="_ENREF_3"/>
      <w:bookmarkEnd w:id="1"/>
      <w:r w:rsidRPr="00FF38A8">
        <w:rPr>
          <w:sz w:val="24"/>
          <w:lang w:val="nb-NO"/>
        </w:rPr>
        <w:t xml:space="preserve">Belsky, J., Bakermans-Kranenburg, M. J., &amp; Van Ijzendoorn, M. H. (2007). </w:t>
      </w:r>
      <w:r w:rsidRPr="007D15A9">
        <w:rPr>
          <w:sz w:val="24"/>
          <w:lang w:val="en-US"/>
        </w:rPr>
        <w:t xml:space="preserve">For better and for worse: Differential susceptibility to environmental influences. </w:t>
      </w:r>
      <w:r w:rsidRPr="007D15A9">
        <w:rPr>
          <w:i/>
          <w:sz w:val="24"/>
          <w:lang w:val="en-US"/>
        </w:rPr>
        <w:t>Current Directions in Psychological Science</w:t>
      </w:r>
      <w:r w:rsidRPr="007D15A9">
        <w:rPr>
          <w:sz w:val="24"/>
          <w:lang w:val="en-US"/>
        </w:rPr>
        <w:t xml:space="preserve">, </w:t>
      </w:r>
      <w:r w:rsidRPr="007D15A9">
        <w:rPr>
          <w:i/>
          <w:sz w:val="24"/>
          <w:lang w:val="en-US"/>
        </w:rPr>
        <w:t>16</w:t>
      </w:r>
      <w:r w:rsidRPr="007D15A9">
        <w:rPr>
          <w:sz w:val="24"/>
          <w:lang w:val="en-US"/>
        </w:rPr>
        <w:t>(6), 300–304.</w:t>
      </w:r>
      <w:bookmarkEnd w:id="2"/>
      <w:r w:rsidRPr="007D15A9">
        <w:rPr>
          <w:sz w:val="24"/>
          <w:lang w:val="en-US"/>
        </w:rPr>
        <w:t xml:space="preserve"> doi: 10.1111/j.1467-8721.2007.00525.x.</w:t>
      </w:r>
    </w:p>
    <w:p w14:paraId="06390171" w14:textId="2C1FD860" w:rsidR="00AB7302" w:rsidRPr="007D15A9" w:rsidRDefault="00B54611" w:rsidP="00CF60BB">
      <w:pPr>
        <w:pStyle w:val="BibEntry"/>
        <w:spacing w:line="480" w:lineRule="auto"/>
        <w:rPr>
          <w:sz w:val="24"/>
          <w:lang w:val="en-US"/>
        </w:rPr>
      </w:pPr>
      <w:r w:rsidRPr="007D15A9">
        <w:rPr>
          <w:sz w:val="24"/>
          <w:lang w:val="en-US"/>
        </w:rPr>
        <w:t xml:space="preserve">Belsky, J., Jonassaint, C., Pluess, M., Stanton, M., Brummett, B., &amp; Williams, R. (2009). Vulnerability genes or plasticity genes? </w:t>
      </w:r>
      <w:r w:rsidRPr="007D15A9">
        <w:rPr>
          <w:i/>
          <w:sz w:val="24"/>
          <w:lang w:val="en-US"/>
        </w:rPr>
        <w:t>Molecular Psychiatry</w:t>
      </w:r>
      <w:r w:rsidRPr="007D15A9">
        <w:rPr>
          <w:sz w:val="24"/>
          <w:lang w:val="en-US"/>
        </w:rPr>
        <w:t xml:space="preserve">, </w:t>
      </w:r>
      <w:r w:rsidRPr="007D15A9">
        <w:rPr>
          <w:i/>
          <w:sz w:val="24"/>
          <w:lang w:val="en-US"/>
        </w:rPr>
        <w:t>14</w:t>
      </w:r>
      <w:r w:rsidRPr="007D15A9">
        <w:rPr>
          <w:sz w:val="24"/>
          <w:lang w:val="en-US"/>
        </w:rPr>
        <w:t>(8), 746–754. doi: 10.1038/mp.2009.44.</w:t>
      </w:r>
    </w:p>
    <w:p w14:paraId="53F8FCFA" w14:textId="30B4BB87" w:rsidR="00AB7302" w:rsidRPr="007D15A9" w:rsidRDefault="00B54611" w:rsidP="00CF60BB">
      <w:pPr>
        <w:pStyle w:val="BibEntry"/>
        <w:spacing w:line="480" w:lineRule="auto"/>
        <w:rPr>
          <w:sz w:val="24"/>
          <w:lang w:val="en-US"/>
        </w:rPr>
      </w:pPr>
      <w:r w:rsidRPr="007D15A9">
        <w:rPr>
          <w:sz w:val="24"/>
          <w:lang w:val="en-US"/>
        </w:rPr>
        <w:t xml:space="preserve">Belsky, J., &amp; Pluess, M. (2009). Beyond diathesis stress: Differential susceptibility to environmental influences. </w:t>
      </w:r>
      <w:r w:rsidRPr="007D15A9">
        <w:rPr>
          <w:i/>
          <w:sz w:val="24"/>
          <w:lang w:val="en-US"/>
        </w:rPr>
        <w:t>Psychological Bulletin</w:t>
      </w:r>
      <w:r w:rsidRPr="007D15A9">
        <w:rPr>
          <w:sz w:val="24"/>
          <w:lang w:val="en-US"/>
        </w:rPr>
        <w:t xml:space="preserve">, </w:t>
      </w:r>
      <w:r w:rsidRPr="007D15A9">
        <w:rPr>
          <w:i/>
          <w:sz w:val="24"/>
          <w:lang w:val="en-US"/>
        </w:rPr>
        <w:t>135</w:t>
      </w:r>
      <w:r w:rsidRPr="007D15A9">
        <w:rPr>
          <w:sz w:val="24"/>
          <w:lang w:val="en-US"/>
        </w:rPr>
        <w:t>(6), 885–908. doi: 10.1037/a0017376.</w:t>
      </w:r>
    </w:p>
    <w:p w14:paraId="120DF41D" w14:textId="5D276476" w:rsidR="00AB7302" w:rsidRPr="007D15A9" w:rsidRDefault="00B54611" w:rsidP="00CF60BB">
      <w:pPr>
        <w:pStyle w:val="BibEntry"/>
        <w:spacing w:line="480" w:lineRule="auto"/>
        <w:rPr>
          <w:sz w:val="24"/>
          <w:lang w:val="en-US"/>
        </w:rPr>
      </w:pPr>
      <w:r w:rsidRPr="007D15A9">
        <w:rPr>
          <w:sz w:val="24"/>
          <w:lang w:val="en-US"/>
        </w:rPr>
        <w:t xml:space="preserve">Belsky, J., &amp; Pluess, M. (2013). </w:t>
      </w:r>
      <w:r w:rsidR="00E6015B" w:rsidRPr="007D15A9">
        <w:rPr>
          <w:sz w:val="24"/>
          <w:lang w:val="en-US"/>
        </w:rPr>
        <w:t>Beyond risk, resilience, and dysregulation: Phenotypic plasticity and human development</w:t>
      </w:r>
      <w:r w:rsidRPr="007D15A9">
        <w:rPr>
          <w:sz w:val="24"/>
          <w:lang w:val="en-US"/>
        </w:rPr>
        <w:t xml:space="preserve">. </w:t>
      </w:r>
      <w:r w:rsidRPr="007D15A9">
        <w:rPr>
          <w:i/>
          <w:sz w:val="24"/>
          <w:lang w:val="en-US"/>
        </w:rPr>
        <w:t>Development and Psychopathology</w:t>
      </w:r>
      <w:r w:rsidRPr="007D15A9">
        <w:rPr>
          <w:sz w:val="24"/>
          <w:lang w:val="en-US"/>
        </w:rPr>
        <w:t xml:space="preserve">, </w:t>
      </w:r>
      <w:r w:rsidRPr="007D15A9">
        <w:rPr>
          <w:i/>
          <w:sz w:val="24"/>
          <w:lang w:val="en-US"/>
        </w:rPr>
        <w:t>25</w:t>
      </w:r>
      <w:r w:rsidRPr="007D15A9">
        <w:rPr>
          <w:sz w:val="24"/>
          <w:lang w:val="en-US"/>
        </w:rPr>
        <w:t>(4 Pt 2), 1243–1261. doi: 10.1017/S095457941300059X.</w:t>
      </w:r>
    </w:p>
    <w:p w14:paraId="39ABD44C" w14:textId="02C83F6C" w:rsidR="00392A9F" w:rsidRPr="007D15A9" w:rsidRDefault="00392A9F" w:rsidP="00C32F5C">
      <w:pPr>
        <w:pStyle w:val="EndNoteBibliography"/>
        <w:spacing w:after="0" w:line="480" w:lineRule="auto"/>
        <w:ind w:left="274" w:hanging="274"/>
      </w:pPr>
      <w:r w:rsidRPr="007D15A9">
        <w:rPr>
          <w:rFonts w:ascii="Times New Roman" w:hAnsi="Times New Roman"/>
          <w:noProof w:val="0"/>
          <w:sz w:val="24"/>
          <w:szCs w:val="24"/>
        </w:rPr>
        <w:t xml:space="preserve">Belsky, J., &amp; van IJzendoorn, M. H. (in press). What works for whom? Genetic </w:t>
      </w:r>
      <w:r w:rsidR="007F4B29">
        <w:rPr>
          <w:rFonts w:ascii="Times New Roman" w:hAnsi="Times New Roman"/>
          <w:noProof w:val="0"/>
          <w:sz w:val="24"/>
          <w:szCs w:val="24"/>
        </w:rPr>
        <w:t>m</w:t>
      </w:r>
      <w:r w:rsidRPr="007D15A9">
        <w:rPr>
          <w:rFonts w:ascii="Times New Roman" w:hAnsi="Times New Roman"/>
          <w:noProof w:val="0"/>
          <w:sz w:val="24"/>
          <w:szCs w:val="24"/>
        </w:rPr>
        <w:t>oderation</w:t>
      </w:r>
      <w:r w:rsidR="00B6658F" w:rsidRPr="007D15A9">
        <w:rPr>
          <w:rFonts w:ascii="Times New Roman" w:hAnsi="Times New Roman"/>
          <w:noProof w:val="0"/>
          <w:sz w:val="24"/>
          <w:szCs w:val="24"/>
        </w:rPr>
        <w:t xml:space="preserve"> </w:t>
      </w:r>
      <w:r w:rsidRPr="007D15A9">
        <w:rPr>
          <w:rFonts w:ascii="Times New Roman" w:hAnsi="Times New Roman"/>
          <w:noProof w:val="0"/>
          <w:sz w:val="24"/>
          <w:szCs w:val="24"/>
        </w:rPr>
        <w:t xml:space="preserve">of intervention efficacy. </w:t>
      </w:r>
      <w:r w:rsidRPr="007D15A9">
        <w:rPr>
          <w:rFonts w:ascii="Times New Roman" w:hAnsi="Times New Roman"/>
          <w:i/>
          <w:noProof w:val="0"/>
          <w:sz w:val="24"/>
          <w:szCs w:val="24"/>
        </w:rPr>
        <w:t>Development and Psychopathology</w:t>
      </w:r>
      <w:r w:rsidRPr="007D15A9">
        <w:rPr>
          <w:rFonts w:ascii="Times New Roman" w:hAnsi="Times New Roman"/>
          <w:noProof w:val="0"/>
          <w:sz w:val="24"/>
          <w:szCs w:val="24"/>
        </w:rPr>
        <w:t xml:space="preserve">. </w:t>
      </w:r>
    </w:p>
    <w:p w14:paraId="0FFC437A" w14:textId="313F1C02" w:rsidR="00690252" w:rsidRPr="007D15A9" w:rsidRDefault="00690252" w:rsidP="00793B9F">
      <w:pPr>
        <w:pStyle w:val="EndNoteBibliography"/>
        <w:spacing w:after="0" w:line="480" w:lineRule="auto"/>
        <w:ind w:left="270" w:hanging="270"/>
        <w:rPr>
          <w:rFonts w:ascii="Times New Roman" w:hAnsi="Times New Roman"/>
          <w:noProof w:val="0"/>
          <w:sz w:val="24"/>
          <w:szCs w:val="24"/>
        </w:rPr>
      </w:pPr>
      <w:r w:rsidRPr="007D15A9">
        <w:rPr>
          <w:rFonts w:ascii="Times New Roman" w:hAnsi="Times New Roman"/>
          <w:noProof w:val="0"/>
          <w:sz w:val="24"/>
          <w:szCs w:val="24"/>
        </w:rPr>
        <w:lastRenderedPageBreak/>
        <w:t xml:space="preserve">Belsky, J., Pluess, M., &amp; Widaman, K. F. (2013). Confirmatory and competitive evaluation of alternative gene-environment interaction hypotheses. </w:t>
      </w:r>
      <w:r w:rsidRPr="007D15A9">
        <w:rPr>
          <w:rFonts w:ascii="Times New Roman" w:hAnsi="Times New Roman"/>
          <w:i/>
          <w:noProof w:val="0"/>
          <w:sz w:val="24"/>
          <w:szCs w:val="24"/>
        </w:rPr>
        <w:t>Journal of Child Psychology and Psychiatry, 54</w:t>
      </w:r>
      <w:r w:rsidRPr="007D15A9">
        <w:rPr>
          <w:rFonts w:ascii="Times New Roman" w:hAnsi="Times New Roman"/>
          <w:noProof w:val="0"/>
          <w:sz w:val="24"/>
          <w:szCs w:val="24"/>
        </w:rPr>
        <w:t>(10), 1135-1143. doi: 10.1111/jcpp.12075</w:t>
      </w:r>
      <w:r w:rsidR="006220F9" w:rsidRPr="007D15A9">
        <w:rPr>
          <w:rFonts w:ascii="Times New Roman" w:hAnsi="Times New Roman"/>
          <w:noProof w:val="0"/>
          <w:sz w:val="24"/>
          <w:szCs w:val="24"/>
        </w:rPr>
        <w:t>.</w:t>
      </w:r>
    </w:p>
    <w:p w14:paraId="3C5AC897" w14:textId="6CAAF21D" w:rsidR="00AB7302" w:rsidRPr="007D15A9" w:rsidRDefault="00B54611" w:rsidP="00CF60BB">
      <w:pPr>
        <w:pStyle w:val="BibEntry"/>
        <w:spacing w:line="480" w:lineRule="auto"/>
        <w:rPr>
          <w:sz w:val="24"/>
          <w:lang w:val="en-US"/>
        </w:rPr>
      </w:pPr>
      <w:r w:rsidRPr="007D15A9">
        <w:rPr>
          <w:sz w:val="24"/>
          <w:lang w:val="en-US"/>
        </w:rPr>
        <w:t xml:space="preserve">Benton, A. L. (1991). The prefrontal region: Its early history. In H. Levin, H. Eisenberg &amp; A. Benton (Eds.). </w:t>
      </w:r>
      <w:r w:rsidRPr="007D15A9">
        <w:rPr>
          <w:i/>
          <w:sz w:val="24"/>
          <w:lang w:val="en-US"/>
        </w:rPr>
        <w:t>Frontal lobe function and dysfunction</w:t>
      </w:r>
      <w:r w:rsidRPr="007D15A9">
        <w:rPr>
          <w:sz w:val="24"/>
          <w:lang w:val="en-US"/>
        </w:rPr>
        <w:t>. (Oxford University Press: New York).</w:t>
      </w:r>
    </w:p>
    <w:p w14:paraId="01CE0A59" w14:textId="52197CD4" w:rsidR="00AB7302" w:rsidRPr="007D15A9" w:rsidRDefault="00B54611" w:rsidP="00CF60BB">
      <w:pPr>
        <w:pStyle w:val="BibEntry"/>
        <w:spacing w:line="480" w:lineRule="auto"/>
        <w:rPr>
          <w:sz w:val="24"/>
          <w:lang w:val="en-US"/>
        </w:rPr>
      </w:pPr>
      <w:r w:rsidRPr="007D15A9">
        <w:rPr>
          <w:sz w:val="24"/>
          <w:lang w:val="en-US"/>
        </w:rPr>
        <w:t xml:space="preserve">Bilder, R. M., Volavka, J., Lachman, H. M., &amp; Grace, A. A. (2004). </w:t>
      </w:r>
      <w:r w:rsidRPr="007D15A9">
        <w:rPr>
          <w:rStyle w:val="BibDocTitle"/>
          <w:color w:val="auto"/>
          <w:sz w:val="24"/>
          <w:lang w:val="en-US"/>
        </w:rPr>
        <w:t>The catechol-</w:t>
      </w:r>
      <w:r w:rsidRPr="007D15A9">
        <w:rPr>
          <w:rStyle w:val="BibDocTitle"/>
          <w:i/>
          <w:color w:val="auto"/>
          <w:sz w:val="24"/>
          <w:lang w:val="en-US"/>
        </w:rPr>
        <w:t>O</w:t>
      </w:r>
      <w:r w:rsidRPr="007D15A9">
        <w:rPr>
          <w:rStyle w:val="BibDocTitle"/>
          <w:color w:val="auto"/>
          <w:sz w:val="24"/>
          <w:lang w:val="en-US"/>
        </w:rPr>
        <w:t>-methyltransferase polymorphism: Relations to the tonic-phasic dopamine hypothesis and neuropsychiatric phenotypes</w:t>
      </w:r>
      <w:r w:rsidRPr="007D15A9">
        <w:rPr>
          <w:sz w:val="24"/>
          <w:lang w:val="en-US"/>
        </w:rPr>
        <w:t xml:space="preserve">. </w:t>
      </w:r>
      <w:r w:rsidRPr="007D15A9">
        <w:rPr>
          <w:i/>
          <w:sz w:val="24"/>
          <w:lang w:val="en-US"/>
        </w:rPr>
        <w:t>Neuropsychopharmacology</w:t>
      </w:r>
      <w:r w:rsidRPr="007D15A9">
        <w:rPr>
          <w:sz w:val="24"/>
          <w:lang w:val="en-US"/>
        </w:rPr>
        <w:t xml:space="preserve">, </w:t>
      </w:r>
      <w:r w:rsidRPr="007D15A9">
        <w:rPr>
          <w:i/>
          <w:sz w:val="24"/>
          <w:lang w:val="en-US"/>
        </w:rPr>
        <w:t>29</w:t>
      </w:r>
      <w:r w:rsidRPr="007D15A9">
        <w:rPr>
          <w:sz w:val="24"/>
          <w:lang w:val="en-US"/>
        </w:rPr>
        <w:t>(11), 1943–1961. doi: 10.1038/sj.npp.1300542.</w:t>
      </w:r>
    </w:p>
    <w:p w14:paraId="586FA25E" w14:textId="3083CC16" w:rsidR="00AB7302" w:rsidRPr="007D15A9" w:rsidRDefault="00E6015B" w:rsidP="00CF60BB">
      <w:pPr>
        <w:pStyle w:val="BibEntry"/>
        <w:spacing w:line="480" w:lineRule="auto"/>
        <w:rPr>
          <w:sz w:val="24"/>
          <w:lang w:val="en-US"/>
        </w:rPr>
      </w:pPr>
      <w:bookmarkStart w:id="3" w:name="_ENREF_4"/>
      <w:r w:rsidRPr="007D15A9">
        <w:rPr>
          <w:sz w:val="24"/>
          <w:lang w:val="en-US"/>
        </w:rPr>
        <w:t>Björkqvist</w:t>
      </w:r>
      <w:r w:rsidR="00B54611" w:rsidRPr="007D15A9">
        <w:rPr>
          <w:sz w:val="24"/>
          <w:lang w:val="en-US"/>
        </w:rPr>
        <w:t xml:space="preserve">, K., Lagerspetz, K. M. J., &amp; Kaukiainen, A. (1992). </w:t>
      </w:r>
      <w:r w:rsidR="00B54611" w:rsidRPr="007D15A9">
        <w:rPr>
          <w:rStyle w:val="BibDocTitle"/>
          <w:color w:val="auto"/>
          <w:sz w:val="24"/>
          <w:lang w:val="en-US"/>
        </w:rPr>
        <w:t>Do girls manipulate and boys fight? Developmental trends in regard to direct and indirect aggression</w:t>
      </w:r>
      <w:r w:rsidR="00B54611" w:rsidRPr="007D15A9">
        <w:rPr>
          <w:sz w:val="24"/>
          <w:lang w:val="en-US"/>
        </w:rPr>
        <w:t xml:space="preserve">. </w:t>
      </w:r>
      <w:r w:rsidR="00B54611" w:rsidRPr="007D15A9">
        <w:rPr>
          <w:i/>
          <w:sz w:val="24"/>
          <w:lang w:val="en-US"/>
        </w:rPr>
        <w:t>Aggressive Behavior</w:t>
      </w:r>
      <w:r w:rsidR="00B54611" w:rsidRPr="007D15A9">
        <w:rPr>
          <w:sz w:val="24"/>
          <w:lang w:val="en-US"/>
        </w:rPr>
        <w:t xml:space="preserve">, </w:t>
      </w:r>
      <w:r w:rsidR="00B54611" w:rsidRPr="007D15A9">
        <w:rPr>
          <w:i/>
          <w:sz w:val="24"/>
          <w:lang w:val="en-US"/>
        </w:rPr>
        <w:t>18</w:t>
      </w:r>
      <w:r w:rsidR="00B54611" w:rsidRPr="007D15A9">
        <w:rPr>
          <w:sz w:val="24"/>
          <w:lang w:val="en-US"/>
        </w:rPr>
        <w:t>(2), 117–127. doi: 10.1002/1098-2337(1992)18:2&lt;117::AID-AB2480180205&gt;3.0.CO;2-3.</w:t>
      </w:r>
      <w:bookmarkEnd w:id="3"/>
    </w:p>
    <w:p w14:paraId="4DB4C62B" w14:textId="1B0A0CE2" w:rsidR="00AB7302" w:rsidRPr="007D15A9" w:rsidRDefault="00B54611" w:rsidP="00CF60BB">
      <w:pPr>
        <w:pStyle w:val="BibEntry"/>
        <w:spacing w:line="480" w:lineRule="auto"/>
        <w:rPr>
          <w:sz w:val="24"/>
          <w:lang w:val="en-US"/>
        </w:rPr>
      </w:pPr>
      <w:r w:rsidRPr="007D15A9">
        <w:rPr>
          <w:sz w:val="24"/>
          <w:lang w:val="en-US"/>
        </w:rPr>
        <w:t xml:space="preserve">Brody, G. H., Beach, S. R. H., Chen, Y. F., Obasi, E., Philibert, R. A., Kogan, S. M., &amp; Simons, R. L. (2011). </w:t>
      </w:r>
      <w:r w:rsidRPr="007D15A9">
        <w:rPr>
          <w:rStyle w:val="BibDocTitle"/>
          <w:color w:val="auto"/>
          <w:sz w:val="24"/>
          <w:lang w:val="en-US"/>
        </w:rPr>
        <w:t>Perceived discrimination, serotonin transporter linked polymorphic region status, and the development of conduct problems</w:t>
      </w:r>
      <w:r w:rsidRPr="007D15A9">
        <w:rPr>
          <w:sz w:val="24"/>
          <w:lang w:val="en-US"/>
        </w:rPr>
        <w:t xml:space="preserve">. </w:t>
      </w:r>
      <w:r w:rsidRPr="007D15A9">
        <w:rPr>
          <w:i/>
          <w:sz w:val="24"/>
          <w:lang w:val="en-US"/>
        </w:rPr>
        <w:t>Development and Psychopathology</w:t>
      </w:r>
      <w:r w:rsidRPr="007D15A9">
        <w:rPr>
          <w:sz w:val="24"/>
          <w:lang w:val="en-US"/>
        </w:rPr>
        <w:t xml:space="preserve">, </w:t>
      </w:r>
      <w:r w:rsidRPr="007D15A9">
        <w:rPr>
          <w:i/>
          <w:sz w:val="24"/>
          <w:lang w:val="en-US"/>
        </w:rPr>
        <w:t>23</w:t>
      </w:r>
      <w:r w:rsidRPr="007D15A9">
        <w:rPr>
          <w:sz w:val="24"/>
          <w:lang w:val="en-US"/>
        </w:rPr>
        <w:t>(2), 617–627. doi: 10.1017/S0954579411000046.</w:t>
      </w:r>
    </w:p>
    <w:p w14:paraId="2B233E2F" w14:textId="5D5EF0F7" w:rsidR="00AB7302" w:rsidRPr="007D15A9" w:rsidRDefault="00B54611" w:rsidP="00CF60BB">
      <w:pPr>
        <w:pStyle w:val="BibEntry"/>
        <w:spacing w:line="480" w:lineRule="auto"/>
        <w:rPr>
          <w:sz w:val="24"/>
          <w:lang w:val="en-US"/>
        </w:rPr>
      </w:pPr>
      <w:bookmarkStart w:id="4" w:name="_ENREF_5"/>
      <w:r w:rsidRPr="007D15A9">
        <w:rPr>
          <w:sz w:val="24"/>
          <w:lang w:val="en-US"/>
        </w:rPr>
        <w:t xml:space="preserve">Burt, S. A. (2009). </w:t>
      </w:r>
      <w:r w:rsidRPr="007D15A9">
        <w:rPr>
          <w:rStyle w:val="BibDocTitle"/>
          <w:color w:val="auto"/>
          <w:sz w:val="24"/>
          <w:lang w:val="en-US"/>
        </w:rPr>
        <w:t>Are there meaningful etiological differences within antisocial behavior? Results of a meta-analysis</w:t>
      </w:r>
      <w:r w:rsidRPr="007D15A9">
        <w:rPr>
          <w:sz w:val="24"/>
          <w:lang w:val="en-US"/>
        </w:rPr>
        <w:t xml:space="preserve">. </w:t>
      </w:r>
      <w:r w:rsidRPr="007D15A9">
        <w:rPr>
          <w:i/>
          <w:sz w:val="24"/>
          <w:lang w:val="en-US"/>
        </w:rPr>
        <w:t>Clinical Psychology Review</w:t>
      </w:r>
      <w:r w:rsidRPr="007D15A9">
        <w:rPr>
          <w:sz w:val="24"/>
          <w:lang w:val="en-US"/>
        </w:rPr>
        <w:t xml:space="preserve">, </w:t>
      </w:r>
      <w:r w:rsidRPr="007D15A9">
        <w:rPr>
          <w:i/>
          <w:sz w:val="24"/>
          <w:lang w:val="en-US"/>
        </w:rPr>
        <w:t>29</w:t>
      </w:r>
      <w:r w:rsidRPr="007D15A9">
        <w:rPr>
          <w:sz w:val="24"/>
          <w:lang w:val="en-US"/>
        </w:rPr>
        <w:t>(2), 163–178. doi: 10.1016/j.cpr.2008.12.004.</w:t>
      </w:r>
      <w:bookmarkEnd w:id="4"/>
    </w:p>
    <w:p w14:paraId="5BB546F5" w14:textId="705B25F3" w:rsidR="00690252" w:rsidRPr="007D15A9" w:rsidRDefault="00690252" w:rsidP="00C32F5C">
      <w:pPr>
        <w:pStyle w:val="EndNoteBibliography"/>
        <w:spacing w:after="0" w:line="480" w:lineRule="auto"/>
        <w:ind w:left="274" w:hanging="274"/>
        <w:rPr>
          <w:rFonts w:ascii="Times New Roman" w:hAnsi="Times New Roman"/>
          <w:noProof w:val="0"/>
          <w:sz w:val="24"/>
          <w:szCs w:val="24"/>
        </w:rPr>
      </w:pPr>
      <w:bookmarkStart w:id="5" w:name="_ENREF_6"/>
      <w:r w:rsidRPr="007D15A9">
        <w:rPr>
          <w:rFonts w:ascii="Times New Roman" w:hAnsi="Times New Roman"/>
          <w:noProof w:val="0"/>
          <w:sz w:val="24"/>
          <w:szCs w:val="24"/>
        </w:rPr>
        <w:t xml:space="preserve">Campbell, S. B. (1995). Behavior problems in preschool-children - a review of recent research. </w:t>
      </w:r>
      <w:r w:rsidRPr="007D15A9">
        <w:rPr>
          <w:rFonts w:ascii="Times New Roman" w:hAnsi="Times New Roman"/>
          <w:i/>
          <w:noProof w:val="0"/>
          <w:sz w:val="24"/>
          <w:szCs w:val="24"/>
        </w:rPr>
        <w:t>Journal of Child Psychology and Psychiatry and Allied Disciplines, 36</w:t>
      </w:r>
      <w:r w:rsidRPr="007D15A9">
        <w:rPr>
          <w:rFonts w:ascii="Times New Roman" w:hAnsi="Times New Roman"/>
          <w:noProof w:val="0"/>
          <w:sz w:val="24"/>
          <w:szCs w:val="24"/>
        </w:rPr>
        <w:t>(1), 113</w:t>
      </w:r>
      <w:r w:rsidR="007F4B29" w:rsidRPr="007D15A9">
        <w:rPr>
          <w:sz w:val="24"/>
        </w:rPr>
        <w:t>–</w:t>
      </w:r>
      <w:r w:rsidRPr="007D15A9">
        <w:rPr>
          <w:rFonts w:ascii="Times New Roman" w:hAnsi="Times New Roman"/>
          <w:noProof w:val="0"/>
          <w:sz w:val="24"/>
          <w:szCs w:val="24"/>
        </w:rPr>
        <w:t>149. doi: 10.1111/j.1469-7610.1995.tb01657.x</w:t>
      </w:r>
      <w:r w:rsidR="00F66B89" w:rsidRPr="007D15A9">
        <w:rPr>
          <w:rFonts w:ascii="Times New Roman" w:hAnsi="Times New Roman"/>
          <w:noProof w:val="0"/>
          <w:sz w:val="24"/>
          <w:szCs w:val="24"/>
        </w:rPr>
        <w:t>.</w:t>
      </w:r>
    </w:p>
    <w:p w14:paraId="54700237" w14:textId="73CBBBEF" w:rsidR="00690252" w:rsidRPr="007D15A9" w:rsidRDefault="00690252" w:rsidP="00425BEA">
      <w:pPr>
        <w:pStyle w:val="EndNoteBibliography"/>
        <w:spacing w:after="0" w:line="480" w:lineRule="auto"/>
        <w:ind w:left="270" w:hanging="270"/>
        <w:rPr>
          <w:rFonts w:ascii="Times New Roman" w:hAnsi="Times New Roman"/>
          <w:noProof w:val="0"/>
          <w:sz w:val="24"/>
          <w:szCs w:val="24"/>
        </w:rPr>
      </w:pPr>
      <w:r w:rsidRPr="007D15A9">
        <w:rPr>
          <w:rFonts w:ascii="Times New Roman" w:hAnsi="Times New Roman"/>
          <w:noProof w:val="0"/>
          <w:sz w:val="24"/>
          <w:szCs w:val="24"/>
        </w:rPr>
        <w:lastRenderedPageBreak/>
        <w:t xml:space="preserve">Campbell, S. B., Pierce, E. W., Moore, G., Marakovitz, S., &amp; Newby, K. (1996). Boys' externalizing problems at elementary school age: Pathways from early behavior problems, maternal control, and family stress. </w:t>
      </w:r>
      <w:r w:rsidRPr="007D15A9">
        <w:rPr>
          <w:rFonts w:ascii="Times New Roman" w:hAnsi="Times New Roman"/>
          <w:i/>
          <w:noProof w:val="0"/>
          <w:sz w:val="24"/>
          <w:szCs w:val="24"/>
        </w:rPr>
        <w:t>Development and Psychopathology, 8</w:t>
      </w:r>
      <w:r w:rsidRPr="007D15A9">
        <w:rPr>
          <w:rFonts w:ascii="Times New Roman" w:hAnsi="Times New Roman"/>
          <w:noProof w:val="0"/>
          <w:sz w:val="24"/>
          <w:szCs w:val="24"/>
        </w:rPr>
        <w:t>(4), 701</w:t>
      </w:r>
      <w:r w:rsidR="007F4B29" w:rsidRPr="007D15A9">
        <w:rPr>
          <w:sz w:val="24"/>
        </w:rPr>
        <w:t>–</w:t>
      </w:r>
      <w:r w:rsidRPr="007D15A9">
        <w:rPr>
          <w:rFonts w:ascii="Times New Roman" w:hAnsi="Times New Roman"/>
          <w:noProof w:val="0"/>
          <w:sz w:val="24"/>
          <w:szCs w:val="24"/>
        </w:rPr>
        <w:t xml:space="preserve">719. </w:t>
      </w:r>
      <w:r w:rsidR="00D272AE">
        <w:rPr>
          <w:rFonts w:ascii="Times New Roman" w:hAnsi="Times New Roman"/>
          <w:noProof w:val="0"/>
          <w:sz w:val="24"/>
          <w:szCs w:val="24"/>
          <w:lang w:val="en-GB"/>
        </w:rPr>
        <w:t>doi</w:t>
      </w:r>
      <w:r w:rsidR="00D272AE" w:rsidRPr="00D272AE">
        <w:rPr>
          <w:rFonts w:ascii="Times New Roman" w:hAnsi="Times New Roman" w:hint="eastAsia"/>
          <w:noProof w:val="0"/>
          <w:sz w:val="24"/>
          <w:szCs w:val="24"/>
          <w:lang w:val="en-GB"/>
        </w:rPr>
        <w:t>:</w:t>
      </w:r>
      <w:r w:rsidR="00D272AE" w:rsidRPr="00C32F5C">
        <w:rPr>
          <w:rFonts w:ascii="Times New Roman" w:hAnsi="Times New Roman" w:hint="eastAsia"/>
          <w:noProof w:val="0"/>
          <w:sz w:val="24"/>
          <w:szCs w:val="24"/>
          <w:lang w:val="en-GB"/>
        </w:rPr>
        <w:t> http://dx.doi.org/10.1017/S0954579400007379</w:t>
      </w:r>
      <w:r w:rsidR="00D272AE">
        <w:rPr>
          <w:rFonts w:ascii="Times New Roman" w:hAnsi="Times New Roman"/>
          <w:noProof w:val="0"/>
          <w:sz w:val="24"/>
          <w:szCs w:val="24"/>
          <w:lang w:val="en-GB"/>
        </w:rPr>
        <w:t>.</w:t>
      </w:r>
    </w:p>
    <w:p w14:paraId="02154D65" w14:textId="69F5A5F3" w:rsidR="00AB7302" w:rsidRPr="007D15A9" w:rsidRDefault="00B54611" w:rsidP="00CF60BB">
      <w:pPr>
        <w:pStyle w:val="BibEntry"/>
        <w:spacing w:line="480" w:lineRule="auto"/>
        <w:rPr>
          <w:sz w:val="24"/>
          <w:lang w:val="en-US"/>
        </w:rPr>
      </w:pPr>
      <w:r w:rsidRPr="007D15A9">
        <w:rPr>
          <w:sz w:val="24"/>
          <w:lang w:val="en-US"/>
        </w:rPr>
        <w:t xml:space="preserve">Caspi, A., Langley, K., Milne, B., Moffitt, T. E., O’Donovan, M., Owen, M. J., </w:t>
      </w:r>
      <w:r w:rsidR="00E6015B" w:rsidRPr="007D15A9">
        <w:rPr>
          <w:sz w:val="24"/>
          <w:lang w:val="en-US"/>
        </w:rPr>
        <w:t>Polo Tomas</w:t>
      </w:r>
      <w:r w:rsidRPr="007D15A9">
        <w:rPr>
          <w:sz w:val="24"/>
          <w:lang w:val="en-US"/>
        </w:rPr>
        <w:t>, M</w:t>
      </w:r>
      <w:r w:rsidR="00A53F4D" w:rsidRPr="007D15A9">
        <w:rPr>
          <w:sz w:val="24"/>
          <w:lang w:val="en-US"/>
        </w:rPr>
        <w:t>.</w:t>
      </w:r>
      <w:r w:rsidRPr="007D15A9">
        <w:rPr>
          <w:sz w:val="24"/>
          <w:lang w:val="en-US"/>
        </w:rPr>
        <w:t xml:space="preserve">, Poulton, R., Rutter, M., Taylor, A., Williams, B., &amp; Thapar, A. (2008). </w:t>
      </w:r>
      <w:r w:rsidRPr="007D15A9">
        <w:rPr>
          <w:rStyle w:val="BibDocTitle"/>
          <w:color w:val="auto"/>
          <w:sz w:val="24"/>
          <w:lang w:val="en-US"/>
        </w:rPr>
        <w:t>A replicated molecular genetic basis for subtyping antisocial behavior in children with attention-deficit/hyperactivity disorder</w:t>
      </w:r>
      <w:r w:rsidRPr="007D15A9">
        <w:rPr>
          <w:sz w:val="24"/>
          <w:lang w:val="en-US"/>
        </w:rPr>
        <w:t xml:space="preserve">. </w:t>
      </w:r>
      <w:r w:rsidRPr="007D15A9">
        <w:rPr>
          <w:i/>
          <w:sz w:val="24"/>
          <w:lang w:val="en-US"/>
        </w:rPr>
        <w:t>Archives of General Psychiatry</w:t>
      </w:r>
      <w:r w:rsidRPr="007D15A9">
        <w:rPr>
          <w:sz w:val="24"/>
          <w:lang w:val="en-US"/>
        </w:rPr>
        <w:t xml:space="preserve">, </w:t>
      </w:r>
      <w:r w:rsidRPr="007D15A9">
        <w:rPr>
          <w:i/>
          <w:sz w:val="24"/>
          <w:lang w:val="en-US"/>
        </w:rPr>
        <w:t>65</w:t>
      </w:r>
      <w:r w:rsidRPr="007D15A9">
        <w:rPr>
          <w:sz w:val="24"/>
          <w:lang w:val="en-US"/>
        </w:rPr>
        <w:t>(2), 203–210. doi: 10.1001/archgenpsychiatry.2007.24.</w:t>
      </w:r>
      <w:bookmarkEnd w:id="5"/>
    </w:p>
    <w:p w14:paraId="0646D7A3" w14:textId="46B615CC" w:rsidR="00AB7302" w:rsidRPr="007D15A9" w:rsidRDefault="00B54611" w:rsidP="00CF60BB">
      <w:pPr>
        <w:pStyle w:val="BibEntry"/>
        <w:spacing w:line="480" w:lineRule="auto"/>
        <w:rPr>
          <w:sz w:val="24"/>
          <w:lang w:val="en-US"/>
        </w:rPr>
      </w:pPr>
      <w:bookmarkStart w:id="6" w:name="_ENREF_7"/>
      <w:r w:rsidRPr="007D15A9">
        <w:rPr>
          <w:sz w:val="24"/>
          <w:lang w:val="en-US"/>
        </w:rPr>
        <w:t xml:space="preserve">Caspi, A., Sugden, K., Moffitt, T. E., Taylor, A., Craig, I. W., Harrington, H., Mcclay, J., Mill, J., Martin, J., Braithwaite, A., &amp; Poulton, R. (2003). </w:t>
      </w:r>
      <w:r w:rsidRPr="007D15A9">
        <w:rPr>
          <w:rStyle w:val="BibDocTitle"/>
          <w:color w:val="auto"/>
          <w:sz w:val="24"/>
          <w:lang w:val="en-US"/>
        </w:rPr>
        <w:t>Influence of life stress on depression: Moderation by a polymorphism in the 5-HTT gene</w:t>
      </w:r>
      <w:r w:rsidRPr="007D15A9">
        <w:rPr>
          <w:sz w:val="24"/>
          <w:lang w:val="en-US"/>
        </w:rPr>
        <w:t xml:space="preserve">. </w:t>
      </w:r>
      <w:r w:rsidRPr="007D15A9">
        <w:rPr>
          <w:i/>
          <w:sz w:val="24"/>
          <w:lang w:val="en-US"/>
        </w:rPr>
        <w:t>Science</w:t>
      </w:r>
      <w:r w:rsidRPr="007D15A9">
        <w:rPr>
          <w:sz w:val="24"/>
          <w:lang w:val="en-US"/>
        </w:rPr>
        <w:t xml:space="preserve">, </w:t>
      </w:r>
      <w:r w:rsidRPr="007D15A9">
        <w:rPr>
          <w:i/>
          <w:sz w:val="24"/>
          <w:lang w:val="en-US"/>
        </w:rPr>
        <w:t>301</w:t>
      </w:r>
      <w:r w:rsidRPr="007D15A9">
        <w:rPr>
          <w:sz w:val="24"/>
          <w:lang w:val="en-US"/>
        </w:rPr>
        <w:t>(5631), 386–389. doi: 10.1126/science.1083968.</w:t>
      </w:r>
      <w:bookmarkEnd w:id="6"/>
    </w:p>
    <w:p w14:paraId="66CB47AE" w14:textId="164D39D1" w:rsidR="00AB7302" w:rsidRPr="007D15A9" w:rsidRDefault="00B54611" w:rsidP="00CF60BB">
      <w:pPr>
        <w:pStyle w:val="BibEntry"/>
        <w:spacing w:line="480" w:lineRule="auto"/>
        <w:rPr>
          <w:sz w:val="24"/>
          <w:lang w:val="en-US"/>
        </w:rPr>
      </w:pPr>
      <w:bookmarkStart w:id="7" w:name="_ENREF_8"/>
      <w:r w:rsidRPr="007D15A9">
        <w:rPr>
          <w:sz w:val="24"/>
          <w:lang w:val="en-US"/>
        </w:rPr>
        <w:t xml:space="preserve">Chen, T. J. H., Blum, K., Mathews, D., Fisher, L., Schnautz, N., Braverman, E. R., Schoolfield, J., Downs, B. W., &amp; Comings, D. E. (2005). </w:t>
      </w:r>
      <w:r w:rsidRPr="007D15A9">
        <w:rPr>
          <w:rStyle w:val="BibDocTitle"/>
          <w:color w:val="auto"/>
          <w:sz w:val="24"/>
          <w:lang w:val="en-US"/>
        </w:rPr>
        <w:t>Are dopaminergic genes involved in a predisposition to pathological aggression? Hypothesizing the importance of “super normal controls” in psychiatricgenetic research of complex behavioral disorders</w:t>
      </w:r>
      <w:r w:rsidRPr="007D15A9">
        <w:rPr>
          <w:sz w:val="24"/>
          <w:lang w:val="en-US"/>
        </w:rPr>
        <w:t xml:space="preserve">. </w:t>
      </w:r>
      <w:r w:rsidRPr="007D15A9">
        <w:rPr>
          <w:i/>
          <w:sz w:val="24"/>
          <w:lang w:val="en-US"/>
        </w:rPr>
        <w:t>Medical Hypotheses</w:t>
      </w:r>
      <w:r w:rsidRPr="007D15A9">
        <w:rPr>
          <w:sz w:val="24"/>
          <w:lang w:val="en-US"/>
        </w:rPr>
        <w:t xml:space="preserve">, </w:t>
      </w:r>
      <w:r w:rsidRPr="007D15A9">
        <w:rPr>
          <w:i/>
          <w:sz w:val="24"/>
          <w:lang w:val="en-US"/>
        </w:rPr>
        <w:t>65</w:t>
      </w:r>
      <w:r w:rsidRPr="007D15A9">
        <w:rPr>
          <w:sz w:val="24"/>
          <w:lang w:val="en-US"/>
        </w:rPr>
        <w:t>(4), 703–707. doi: 10.1016/j.mehy.2005.04.037.</w:t>
      </w:r>
      <w:bookmarkEnd w:id="7"/>
    </w:p>
    <w:p w14:paraId="1F89C947" w14:textId="47A9959B" w:rsidR="00AB7302" w:rsidRPr="007D15A9" w:rsidRDefault="00B54611" w:rsidP="00CF60BB">
      <w:pPr>
        <w:pStyle w:val="BibEntry"/>
        <w:spacing w:line="480" w:lineRule="auto"/>
        <w:rPr>
          <w:sz w:val="24"/>
          <w:lang w:val="en-US"/>
        </w:rPr>
      </w:pPr>
      <w:r w:rsidRPr="007D15A9">
        <w:rPr>
          <w:sz w:val="24"/>
          <w:lang w:val="en-US"/>
        </w:rPr>
        <w:t xml:space="preserve">Conradt, E., Measelle, J., &amp; Ablow, J. C. (2013). </w:t>
      </w:r>
      <w:r w:rsidRPr="007D15A9">
        <w:rPr>
          <w:rStyle w:val="BibDocTitle"/>
          <w:color w:val="auto"/>
          <w:sz w:val="24"/>
          <w:lang w:val="en-US"/>
        </w:rPr>
        <w:t>Poverty, problem behavior, and promise: Differential susceptibility among infants reared in poverty</w:t>
      </w:r>
      <w:r w:rsidRPr="007D15A9">
        <w:rPr>
          <w:sz w:val="24"/>
          <w:lang w:val="en-US"/>
        </w:rPr>
        <w:t xml:space="preserve">. </w:t>
      </w:r>
      <w:r w:rsidRPr="007D15A9">
        <w:rPr>
          <w:i/>
          <w:sz w:val="24"/>
          <w:lang w:val="en-US"/>
        </w:rPr>
        <w:t>Psychological Science</w:t>
      </w:r>
      <w:r w:rsidRPr="007D15A9">
        <w:rPr>
          <w:sz w:val="24"/>
          <w:lang w:val="en-US"/>
        </w:rPr>
        <w:t xml:space="preserve">, </w:t>
      </w:r>
      <w:r w:rsidRPr="007D15A9">
        <w:rPr>
          <w:i/>
          <w:sz w:val="24"/>
          <w:lang w:val="en-US"/>
        </w:rPr>
        <w:t>24</w:t>
      </w:r>
      <w:r w:rsidRPr="007D15A9">
        <w:rPr>
          <w:sz w:val="24"/>
          <w:lang w:val="en-US"/>
        </w:rPr>
        <w:t>(3), 235–242. doi: 10.1177/0956797612457381.</w:t>
      </w:r>
    </w:p>
    <w:p w14:paraId="3BE80EF2" w14:textId="724DD710" w:rsidR="00690252" w:rsidRPr="007D15A9" w:rsidRDefault="00690252" w:rsidP="00C32F5C">
      <w:pPr>
        <w:pStyle w:val="EndNoteBibliography"/>
        <w:spacing w:after="0" w:line="480" w:lineRule="auto"/>
        <w:ind w:left="274" w:hanging="274"/>
      </w:pPr>
      <w:r w:rsidRPr="007D15A9">
        <w:rPr>
          <w:rFonts w:ascii="Times New Roman" w:hAnsi="Times New Roman"/>
          <w:noProof w:val="0"/>
          <w:sz w:val="24"/>
          <w:szCs w:val="24"/>
        </w:rPr>
        <w:t xml:space="preserve">Cote, S. M., Vaillancourt, T., LeBlanc, J. C., Nagin, D. S., &amp; Tremblay, R. E. (2006). The development of physical aggression from toddlerhood to pre-adolescence: A nation wide longitudinal study of </w:t>
      </w:r>
      <w:r w:rsidR="007F4B29">
        <w:rPr>
          <w:rFonts w:ascii="Times New Roman" w:hAnsi="Times New Roman"/>
          <w:noProof w:val="0"/>
          <w:sz w:val="24"/>
          <w:szCs w:val="24"/>
        </w:rPr>
        <w:t>C</w:t>
      </w:r>
      <w:r w:rsidRPr="007D15A9">
        <w:rPr>
          <w:rFonts w:ascii="Times New Roman" w:hAnsi="Times New Roman"/>
          <w:noProof w:val="0"/>
          <w:sz w:val="24"/>
          <w:szCs w:val="24"/>
        </w:rPr>
        <w:t xml:space="preserve">anadian children. </w:t>
      </w:r>
      <w:r w:rsidRPr="007D15A9">
        <w:rPr>
          <w:rFonts w:ascii="Times New Roman" w:hAnsi="Times New Roman"/>
          <w:i/>
          <w:noProof w:val="0"/>
          <w:sz w:val="24"/>
          <w:szCs w:val="24"/>
        </w:rPr>
        <w:t>Journal of Abnormal Child Psychology, 34</w:t>
      </w:r>
      <w:r w:rsidRPr="007D15A9">
        <w:rPr>
          <w:rFonts w:ascii="Times New Roman" w:hAnsi="Times New Roman"/>
          <w:noProof w:val="0"/>
          <w:sz w:val="24"/>
          <w:szCs w:val="24"/>
        </w:rPr>
        <w:t>(1), 71</w:t>
      </w:r>
      <w:r w:rsidR="007F4B29" w:rsidRPr="007D15A9">
        <w:rPr>
          <w:sz w:val="24"/>
        </w:rPr>
        <w:t>–</w:t>
      </w:r>
      <w:r w:rsidRPr="007D15A9">
        <w:rPr>
          <w:rFonts w:ascii="Times New Roman" w:hAnsi="Times New Roman"/>
          <w:noProof w:val="0"/>
          <w:sz w:val="24"/>
          <w:szCs w:val="24"/>
        </w:rPr>
        <w:t>85. doi: 10.1007/s10802-005-9001-z</w:t>
      </w:r>
      <w:r w:rsidR="003024D2" w:rsidRPr="007D15A9">
        <w:rPr>
          <w:rFonts w:ascii="Times New Roman" w:hAnsi="Times New Roman"/>
          <w:noProof w:val="0"/>
          <w:sz w:val="24"/>
          <w:szCs w:val="24"/>
        </w:rPr>
        <w:t>.</w:t>
      </w:r>
    </w:p>
    <w:p w14:paraId="03FB62A4" w14:textId="6CEE5739" w:rsidR="00AB7302" w:rsidRPr="007D15A9" w:rsidRDefault="00B54611" w:rsidP="00CF60BB">
      <w:pPr>
        <w:pStyle w:val="BibEntry"/>
        <w:spacing w:line="480" w:lineRule="auto"/>
        <w:rPr>
          <w:sz w:val="24"/>
          <w:lang w:val="en-US"/>
        </w:rPr>
      </w:pPr>
      <w:r w:rsidRPr="007D15A9">
        <w:rPr>
          <w:sz w:val="24"/>
          <w:lang w:val="en-US"/>
        </w:rPr>
        <w:lastRenderedPageBreak/>
        <w:t xml:space="preserve">Diamond, A., Briand, L., Fossella, J., &amp; Gehlbach, L. (2004). </w:t>
      </w:r>
      <w:r w:rsidRPr="007D15A9">
        <w:rPr>
          <w:rStyle w:val="BibDocTitle"/>
          <w:color w:val="auto"/>
          <w:sz w:val="24"/>
          <w:lang w:val="en-US"/>
        </w:rPr>
        <w:t>Genetic and neurochemical modulation of prefrontal cognitive functions in children</w:t>
      </w:r>
      <w:r w:rsidRPr="007D15A9">
        <w:rPr>
          <w:sz w:val="24"/>
          <w:lang w:val="en-US"/>
        </w:rPr>
        <w:t xml:space="preserve">. </w:t>
      </w:r>
      <w:r w:rsidRPr="007D15A9">
        <w:rPr>
          <w:i/>
          <w:sz w:val="24"/>
          <w:lang w:val="en-US"/>
        </w:rPr>
        <w:t>American Journal of Psychiatry</w:t>
      </w:r>
      <w:r w:rsidRPr="007D15A9">
        <w:rPr>
          <w:sz w:val="24"/>
          <w:lang w:val="en-US"/>
        </w:rPr>
        <w:t xml:space="preserve">, </w:t>
      </w:r>
      <w:r w:rsidRPr="007D15A9">
        <w:rPr>
          <w:i/>
          <w:sz w:val="24"/>
          <w:lang w:val="en-US"/>
        </w:rPr>
        <w:t>161</w:t>
      </w:r>
      <w:r w:rsidRPr="007D15A9">
        <w:rPr>
          <w:sz w:val="24"/>
          <w:lang w:val="en-US"/>
        </w:rPr>
        <w:t>(1), 125–132. doi: 10.1176/appi.ajp.161.1.125.</w:t>
      </w:r>
    </w:p>
    <w:p w14:paraId="5E03E9BE" w14:textId="143DB190" w:rsidR="00AB7302" w:rsidRPr="007D15A9" w:rsidRDefault="00B54611" w:rsidP="00CF60BB">
      <w:pPr>
        <w:pStyle w:val="BibEntry"/>
        <w:spacing w:line="480" w:lineRule="auto"/>
        <w:rPr>
          <w:sz w:val="24"/>
          <w:lang w:val="en-US"/>
        </w:rPr>
      </w:pPr>
      <w:bookmarkStart w:id="8" w:name="_ENREF_9"/>
      <w:r w:rsidRPr="007D15A9">
        <w:rPr>
          <w:sz w:val="24"/>
          <w:lang w:val="en-US"/>
        </w:rPr>
        <w:t xml:space="preserve">Egan, M. F., Goldberg, T. E., Kolachana, B. S., Callicott, J. H., Mazzanti, C. M., Straub, R. E., Goldman, D., &amp; Weinberger, D. R. (2001). </w:t>
      </w:r>
      <w:r w:rsidR="00E6015B" w:rsidRPr="007D15A9">
        <w:rPr>
          <w:rStyle w:val="BibDocTitle"/>
          <w:color w:val="auto"/>
          <w:sz w:val="24"/>
          <w:lang w:val="en-US"/>
        </w:rPr>
        <w:t>Effect of COMT Val108/158 Met genotype on frontal lobe function and risk for schizophrenia</w:t>
      </w:r>
      <w:r w:rsidRPr="007D15A9">
        <w:rPr>
          <w:sz w:val="24"/>
          <w:lang w:val="en-US"/>
        </w:rPr>
        <w:t xml:space="preserve">. </w:t>
      </w:r>
      <w:r w:rsidR="00E6015B" w:rsidRPr="007D15A9">
        <w:rPr>
          <w:i/>
          <w:sz w:val="24"/>
          <w:lang w:val="en-US"/>
        </w:rPr>
        <w:t>Proceedings of the National Academy of Sciences of the United States of America</w:t>
      </w:r>
      <w:r w:rsidRPr="007D15A9">
        <w:rPr>
          <w:sz w:val="24"/>
          <w:lang w:val="en-US"/>
        </w:rPr>
        <w:t xml:space="preserve">, </w:t>
      </w:r>
      <w:r w:rsidRPr="007D15A9">
        <w:rPr>
          <w:i/>
          <w:sz w:val="24"/>
          <w:lang w:val="en-US"/>
        </w:rPr>
        <w:t>98</w:t>
      </w:r>
      <w:r w:rsidRPr="007D15A9">
        <w:rPr>
          <w:sz w:val="24"/>
          <w:lang w:val="en-US"/>
        </w:rPr>
        <w:t>(12), 6917–6922.</w:t>
      </w:r>
      <w:bookmarkEnd w:id="8"/>
      <w:r w:rsidRPr="007D15A9">
        <w:rPr>
          <w:sz w:val="24"/>
          <w:lang w:val="en-US"/>
        </w:rPr>
        <w:t xml:space="preserve"> doi: 10.1073/pnas.111134598.</w:t>
      </w:r>
    </w:p>
    <w:p w14:paraId="572B18C1" w14:textId="3FEA05B3" w:rsidR="00AB7302" w:rsidRPr="007D15A9" w:rsidRDefault="00B54611" w:rsidP="00CF60BB">
      <w:pPr>
        <w:pStyle w:val="BibEntry"/>
        <w:spacing w:line="480" w:lineRule="auto"/>
        <w:rPr>
          <w:sz w:val="24"/>
          <w:lang w:val="en-US"/>
        </w:rPr>
      </w:pPr>
      <w:r w:rsidRPr="00FF38A8">
        <w:rPr>
          <w:sz w:val="24"/>
          <w:lang w:val="nb-NO"/>
        </w:rPr>
        <w:t xml:space="preserve">Egger, H. L., &amp; Angold, A. (2004). </w:t>
      </w:r>
      <w:r w:rsidRPr="007D15A9">
        <w:rPr>
          <w:rStyle w:val="BibDocTitle"/>
          <w:color w:val="auto"/>
          <w:sz w:val="24"/>
          <w:lang w:val="en-US"/>
        </w:rPr>
        <w:t>The preschool age psychiatric assessment (PAPA): A structured parent interview for diagnosing psychiatric disorders in preschool children</w:t>
      </w:r>
      <w:r w:rsidRPr="007D15A9">
        <w:rPr>
          <w:sz w:val="24"/>
          <w:lang w:val="en-US"/>
        </w:rPr>
        <w:t xml:space="preserve">. In R. DelCarmen-Wiggins &amp; A. Carter (Eds.). </w:t>
      </w:r>
      <w:r w:rsidRPr="007D15A9">
        <w:rPr>
          <w:rStyle w:val="BibTitle"/>
          <w:i/>
          <w:sz w:val="24"/>
          <w:lang w:val="en-US"/>
        </w:rPr>
        <w:t xml:space="preserve">Handbook </w:t>
      </w:r>
      <w:r w:rsidR="00E6015B" w:rsidRPr="007D15A9">
        <w:rPr>
          <w:rStyle w:val="BibTitle"/>
          <w:i/>
          <w:sz w:val="24"/>
          <w:lang w:val="en-US"/>
        </w:rPr>
        <w:t>of Infant, Toddler, and Preschool Mental Assessment</w:t>
      </w:r>
      <w:r w:rsidR="00A153E7" w:rsidRPr="007D15A9">
        <w:rPr>
          <w:rStyle w:val="BibTitle"/>
          <w:i/>
          <w:sz w:val="24"/>
          <w:lang w:val="en-US"/>
        </w:rPr>
        <w:t xml:space="preserve"> </w:t>
      </w:r>
      <w:r w:rsidR="00A153E7" w:rsidRPr="007D15A9">
        <w:rPr>
          <w:rStyle w:val="BibTitle"/>
          <w:sz w:val="24"/>
          <w:lang w:val="en-US"/>
        </w:rPr>
        <w:t xml:space="preserve">(pp. </w:t>
      </w:r>
      <w:r w:rsidR="00A153E7" w:rsidRPr="007D15A9">
        <w:rPr>
          <w:sz w:val="24"/>
          <w:lang w:val="en-US"/>
        </w:rPr>
        <w:t>223–243)</w:t>
      </w:r>
      <w:r w:rsidRPr="007D15A9">
        <w:rPr>
          <w:sz w:val="24"/>
          <w:lang w:val="en-US"/>
        </w:rPr>
        <w:t>. Oxford University Press: New York.</w:t>
      </w:r>
    </w:p>
    <w:p w14:paraId="2B61922F" w14:textId="03E0D538" w:rsidR="00AB7302" w:rsidRPr="007D15A9" w:rsidRDefault="00B54611" w:rsidP="00CF60BB">
      <w:pPr>
        <w:pStyle w:val="BibEntry"/>
        <w:spacing w:line="480" w:lineRule="auto"/>
        <w:rPr>
          <w:sz w:val="24"/>
          <w:lang w:val="en-US"/>
        </w:rPr>
      </w:pPr>
      <w:r w:rsidRPr="00CB0DDB">
        <w:rPr>
          <w:sz w:val="24"/>
          <w:lang w:val="nb-NO"/>
        </w:rPr>
        <w:t xml:space="preserve">Ellis, B. J., Boyce, W. T., Belsky, J., Bakermans-Kranenburg, M. J., &amp; Van Ijzendoorn, M. H. (2011). </w:t>
      </w:r>
      <w:r w:rsidR="00A153E7" w:rsidRPr="007D15A9">
        <w:rPr>
          <w:rStyle w:val="BibDocTitle"/>
          <w:color w:val="auto"/>
          <w:sz w:val="24"/>
          <w:lang w:val="en-US"/>
        </w:rPr>
        <w:t>Differential susceptibility to the environment: An evolutionary--neurodevelopmental theory</w:t>
      </w:r>
      <w:r w:rsidRPr="007D15A9">
        <w:rPr>
          <w:sz w:val="24"/>
          <w:lang w:val="en-US"/>
        </w:rPr>
        <w:t xml:space="preserve">. </w:t>
      </w:r>
      <w:r w:rsidRPr="007D15A9">
        <w:rPr>
          <w:rStyle w:val="BibTitle"/>
          <w:i/>
          <w:sz w:val="24"/>
          <w:lang w:val="en-US"/>
        </w:rPr>
        <w:t>Development and Psychopathology</w:t>
      </w:r>
      <w:r w:rsidRPr="007D15A9">
        <w:rPr>
          <w:sz w:val="24"/>
          <w:lang w:val="en-US"/>
        </w:rPr>
        <w:t xml:space="preserve">, </w:t>
      </w:r>
      <w:r w:rsidRPr="007D15A9">
        <w:rPr>
          <w:i/>
          <w:sz w:val="24"/>
          <w:lang w:val="en-US"/>
        </w:rPr>
        <w:t>23</w:t>
      </w:r>
      <w:r w:rsidRPr="007D15A9">
        <w:rPr>
          <w:sz w:val="24"/>
          <w:lang w:val="en-US"/>
        </w:rPr>
        <w:t>(1), 7–28. doi: 10.1017/S0954579410000611.</w:t>
      </w:r>
    </w:p>
    <w:p w14:paraId="509220A5" w14:textId="2F407148" w:rsidR="0091486D" w:rsidRPr="007D15A9" w:rsidRDefault="0091486D" w:rsidP="003024D2">
      <w:pPr>
        <w:pStyle w:val="EndNoteBibliography"/>
        <w:spacing w:after="0" w:line="480" w:lineRule="auto"/>
        <w:ind w:left="270" w:hanging="270"/>
        <w:rPr>
          <w:rFonts w:ascii="Times New Roman" w:hAnsi="Times New Roman"/>
          <w:noProof w:val="0"/>
          <w:sz w:val="24"/>
          <w:szCs w:val="24"/>
        </w:rPr>
      </w:pPr>
      <w:r w:rsidRPr="007D15A9">
        <w:rPr>
          <w:rFonts w:ascii="Times New Roman" w:hAnsi="Times New Roman"/>
          <w:noProof w:val="0"/>
          <w:sz w:val="24"/>
          <w:szCs w:val="24"/>
        </w:rPr>
        <w:t xml:space="preserve">Frigerio, A., Ceppi, E., Rusconi, M., Giorda, R., Raggi, M. E., &amp; Fearon, P. (2009). The role played by the interaction between genetic factors and attachment in the stress response in infancy. </w:t>
      </w:r>
      <w:r w:rsidRPr="007D15A9">
        <w:rPr>
          <w:rFonts w:ascii="Times New Roman" w:hAnsi="Times New Roman"/>
          <w:i/>
          <w:noProof w:val="0"/>
          <w:sz w:val="24"/>
          <w:szCs w:val="24"/>
        </w:rPr>
        <w:t>Journal of Child Psychology and Psychiatry, 50</w:t>
      </w:r>
      <w:r w:rsidRPr="007D15A9">
        <w:rPr>
          <w:rFonts w:ascii="Times New Roman" w:hAnsi="Times New Roman"/>
          <w:noProof w:val="0"/>
          <w:sz w:val="24"/>
          <w:szCs w:val="24"/>
        </w:rPr>
        <w:t>(12), 1513</w:t>
      </w:r>
      <w:r w:rsidR="007F4B29" w:rsidRPr="007D15A9">
        <w:rPr>
          <w:sz w:val="24"/>
        </w:rPr>
        <w:t>–</w:t>
      </w:r>
      <w:r w:rsidRPr="007D15A9">
        <w:rPr>
          <w:rFonts w:ascii="Times New Roman" w:hAnsi="Times New Roman"/>
          <w:noProof w:val="0"/>
          <w:sz w:val="24"/>
          <w:szCs w:val="24"/>
        </w:rPr>
        <w:t>1522. doi: 10.1111/j.1469-7610.2009.02126.x</w:t>
      </w:r>
      <w:r w:rsidR="007C43AF" w:rsidRPr="007D15A9">
        <w:rPr>
          <w:rFonts w:ascii="Times New Roman" w:hAnsi="Times New Roman"/>
          <w:noProof w:val="0"/>
          <w:sz w:val="24"/>
          <w:szCs w:val="24"/>
        </w:rPr>
        <w:t>.</w:t>
      </w:r>
    </w:p>
    <w:p w14:paraId="5931E865" w14:textId="12AFE2CD" w:rsidR="00AB7302" w:rsidRPr="007D15A9" w:rsidRDefault="00B54611" w:rsidP="00CF60BB">
      <w:pPr>
        <w:pStyle w:val="BibEntry"/>
        <w:spacing w:line="480" w:lineRule="auto"/>
        <w:rPr>
          <w:sz w:val="24"/>
          <w:lang w:val="en-US"/>
        </w:rPr>
      </w:pPr>
      <w:r w:rsidRPr="007D15A9">
        <w:rPr>
          <w:sz w:val="24"/>
          <w:lang w:val="en-US"/>
        </w:rPr>
        <w:t xml:space="preserve">Fuster, J. M. (2011). </w:t>
      </w:r>
      <w:r w:rsidRPr="007D15A9">
        <w:rPr>
          <w:rStyle w:val="BibTitle"/>
          <w:i/>
          <w:sz w:val="24"/>
          <w:lang w:val="en-US"/>
        </w:rPr>
        <w:t>The prefrontal cortex</w:t>
      </w:r>
      <w:r w:rsidRPr="007D15A9">
        <w:rPr>
          <w:sz w:val="24"/>
          <w:lang w:val="en-US"/>
        </w:rPr>
        <w:t>. Academic Press: Amsterdam</w:t>
      </w:r>
      <w:r w:rsidR="00A153E7" w:rsidRPr="007D15A9">
        <w:rPr>
          <w:sz w:val="24"/>
          <w:lang w:val="en-US"/>
        </w:rPr>
        <w:t>.</w:t>
      </w:r>
    </w:p>
    <w:p w14:paraId="6AAD43EE" w14:textId="34D61102" w:rsidR="00AB7302" w:rsidRPr="007D15A9" w:rsidRDefault="00B54611" w:rsidP="00CF60BB">
      <w:pPr>
        <w:pStyle w:val="BibEntry"/>
        <w:spacing w:line="480" w:lineRule="auto"/>
        <w:rPr>
          <w:sz w:val="24"/>
          <w:lang w:val="en-US"/>
        </w:rPr>
      </w:pPr>
      <w:r w:rsidRPr="007D15A9">
        <w:rPr>
          <w:sz w:val="24"/>
          <w:lang w:val="en-US"/>
        </w:rPr>
        <w:t xml:space="preserve">Goldberg, T. E., Egan, M. F., Gscheidle, T., Coppola, R., Weickert, T., Kolachana, B. S., Goldman, D., &amp; Weinberger, D. R. (2003). </w:t>
      </w:r>
      <w:r w:rsidR="00A153E7" w:rsidRPr="007D15A9">
        <w:rPr>
          <w:rStyle w:val="BibDocTitle"/>
          <w:color w:val="auto"/>
          <w:sz w:val="24"/>
          <w:lang w:val="en-US"/>
        </w:rPr>
        <w:t>Executive subprocesses in working memory: Relationship to catechol-O-methyltransferase Val158Met genotype and schizophrenia</w:t>
      </w:r>
      <w:r w:rsidRPr="007D15A9">
        <w:rPr>
          <w:sz w:val="24"/>
          <w:lang w:val="en-US"/>
        </w:rPr>
        <w:t xml:space="preserve">. </w:t>
      </w:r>
      <w:r w:rsidRPr="007D15A9">
        <w:rPr>
          <w:rStyle w:val="BibTitle"/>
          <w:i/>
          <w:sz w:val="24"/>
          <w:lang w:val="en-US"/>
        </w:rPr>
        <w:t>Archives of General Psychiatry</w:t>
      </w:r>
      <w:r w:rsidRPr="007D15A9">
        <w:rPr>
          <w:sz w:val="24"/>
          <w:lang w:val="en-US"/>
        </w:rPr>
        <w:t xml:space="preserve">, </w:t>
      </w:r>
      <w:r w:rsidRPr="007D15A9">
        <w:rPr>
          <w:i/>
          <w:sz w:val="24"/>
          <w:lang w:val="en-US"/>
        </w:rPr>
        <w:t>60</w:t>
      </w:r>
      <w:r w:rsidRPr="007D15A9">
        <w:rPr>
          <w:sz w:val="24"/>
          <w:lang w:val="en-US"/>
        </w:rPr>
        <w:t>(9), 889–896. doi: 10.1001/archpsyc.60.9.889.</w:t>
      </w:r>
    </w:p>
    <w:p w14:paraId="1413E81E" w14:textId="36278D5C" w:rsidR="00AB7302" w:rsidRPr="007D15A9" w:rsidRDefault="00B54611" w:rsidP="00CF60BB">
      <w:pPr>
        <w:pStyle w:val="BibEntry"/>
        <w:spacing w:line="480" w:lineRule="auto"/>
        <w:rPr>
          <w:sz w:val="24"/>
          <w:lang w:val="en-US"/>
        </w:rPr>
      </w:pPr>
      <w:r w:rsidRPr="007D15A9">
        <w:rPr>
          <w:sz w:val="24"/>
          <w:lang w:val="en-US"/>
        </w:rPr>
        <w:lastRenderedPageBreak/>
        <w:t xml:space="preserve">Goodman, R. (1997). </w:t>
      </w:r>
      <w:r w:rsidRPr="007D15A9">
        <w:rPr>
          <w:rStyle w:val="BibDocTitle"/>
          <w:color w:val="auto"/>
          <w:sz w:val="24"/>
          <w:lang w:val="en-US"/>
        </w:rPr>
        <w:t>The strengths and difficulties questionnaire: A research note</w:t>
      </w:r>
      <w:r w:rsidRPr="007D15A9">
        <w:rPr>
          <w:sz w:val="24"/>
          <w:lang w:val="en-US"/>
        </w:rPr>
        <w:t xml:space="preserve">. </w:t>
      </w:r>
      <w:r w:rsidR="00A153E7" w:rsidRPr="007D15A9">
        <w:rPr>
          <w:rStyle w:val="BibTitle"/>
          <w:i/>
          <w:sz w:val="24"/>
          <w:lang w:val="en-US"/>
        </w:rPr>
        <w:t>Journal of Child Psychology and Psychiatry, and Allied Disciplines</w:t>
      </w:r>
      <w:r w:rsidRPr="007D15A9">
        <w:rPr>
          <w:sz w:val="24"/>
          <w:lang w:val="en-US"/>
        </w:rPr>
        <w:t xml:space="preserve">, </w:t>
      </w:r>
      <w:r w:rsidRPr="007D15A9">
        <w:rPr>
          <w:i/>
          <w:sz w:val="24"/>
          <w:lang w:val="en-US"/>
        </w:rPr>
        <w:t>38</w:t>
      </w:r>
      <w:r w:rsidRPr="007D15A9">
        <w:rPr>
          <w:sz w:val="24"/>
          <w:lang w:val="en-US"/>
        </w:rPr>
        <w:t>(5), 581–586. doi: 10.1111/j.1469-7610.1997.tb01545.x.</w:t>
      </w:r>
    </w:p>
    <w:p w14:paraId="5ABC7487" w14:textId="35B460D4" w:rsidR="00AB7302" w:rsidRPr="007D15A9" w:rsidRDefault="00B54611" w:rsidP="00CF60BB">
      <w:pPr>
        <w:pStyle w:val="BibEntry"/>
        <w:spacing w:line="480" w:lineRule="auto"/>
        <w:rPr>
          <w:sz w:val="24"/>
          <w:lang w:val="en-US"/>
        </w:rPr>
      </w:pPr>
      <w:r w:rsidRPr="00FF38A8">
        <w:rPr>
          <w:sz w:val="24"/>
          <w:lang w:val="nb-NO"/>
        </w:rPr>
        <w:t xml:space="preserve">Holmen, J., Midthjell, K., </w:t>
      </w:r>
      <w:r w:rsidR="00A153E7" w:rsidRPr="00FF38A8">
        <w:rPr>
          <w:sz w:val="24"/>
          <w:lang w:val="nb-NO"/>
        </w:rPr>
        <w:t>Forsén</w:t>
      </w:r>
      <w:r w:rsidRPr="00FF38A8">
        <w:rPr>
          <w:sz w:val="24"/>
          <w:lang w:val="nb-NO"/>
        </w:rPr>
        <w:t xml:space="preserve">, L., Skjerve, K., Gorseth, M., &amp; Oseland, A. (1990). </w:t>
      </w:r>
      <w:r w:rsidR="00A153E7" w:rsidRPr="007D15A9">
        <w:rPr>
          <w:rStyle w:val="BibDocTitle"/>
          <w:color w:val="auto"/>
          <w:sz w:val="24"/>
          <w:lang w:val="en-US"/>
        </w:rPr>
        <w:t>[A health survey in Nord-Trøndelag 1984-86. Participation and comparison of attendants and non-attendants]</w:t>
      </w:r>
      <w:r w:rsidRPr="007D15A9">
        <w:rPr>
          <w:sz w:val="24"/>
          <w:lang w:val="en-US"/>
        </w:rPr>
        <w:t xml:space="preserve">. </w:t>
      </w:r>
      <w:r w:rsidRPr="007D15A9">
        <w:rPr>
          <w:rStyle w:val="BibTitle"/>
          <w:i/>
          <w:sz w:val="24"/>
          <w:lang w:val="en-US"/>
        </w:rPr>
        <w:t>Tidsskr nor Laegeforen</w:t>
      </w:r>
      <w:r w:rsidRPr="007D15A9">
        <w:rPr>
          <w:sz w:val="24"/>
          <w:lang w:val="en-US"/>
        </w:rPr>
        <w:t xml:space="preserve">, </w:t>
      </w:r>
      <w:r w:rsidRPr="007D15A9">
        <w:rPr>
          <w:i/>
          <w:sz w:val="24"/>
          <w:lang w:val="en-US"/>
        </w:rPr>
        <w:t>110</w:t>
      </w:r>
      <w:r w:rsidRPr="007D15A9">
        <w:rPr>
          <w:sz w:val="24"/>
          <w:lang w:val="en-US"/>
        </w:rPr>
        <w:t>(15), 1973–1977.</w:t>
      </w:r>
    </w:p>
    <w:p w14:paraId="0ACF50A3" w14:textId="2DA1647A" w:rsidR="00AB7302" w:rsidRPr="007D15A9" w:rsidRDefault="00B54611" w:rsidP="00CF60BB">
      <w:pPr>
        <w:pStyle w:val="BibEntry"/>
        <w:spacing w:line="480" w:lineRule="auto"/>
        <w:rPr>
          <w:sz w:val="24"/>
          <w:lang w:val="en-US"/>
        </w:rPr>
      </w:pPr>
      <w:r w:rsidRPr="007D15A9">
        <w:rPr>
          <w:sz w:val="24"/>
          <w:lang w:val="en-US"/>
        </w:rPr>
        <w:t xml:space="preserve">Horvitz, D. G., &amp; Thompson, D. J. (1952). </w:t>
      </w:r>
      <w:r w:rsidRPr="007D15A9">
        <w:rPr>
          <w:rStyle w:val="BibDocTitle"/>
          <w:color w:val="auto"/>
          <w:sz w:val="24"/>
          <w:lang w:val="en-US"/>
        </w:rPr>
        <w:t>A generalization of sampling without replacement from a finite universe</w:t>
      </w:r>
      <w:r w:rsidRPr="007D15A9">
        <w:rPr>
          <w:sz w:val="24"/>
          <w:lang w:val="en-US"/>
        </w:rPr>
        <w:t xml:space="preserve">. </w:t>
      </w:r>
      <w:r w:rsidR="00A153E7" w:rsidRPr="007D15A9">
        <w:rPr>
          <w:i/>
          <w:sz w:val="24"/>
          <w:lang w:val="en-US"/>
        </w:rPr>
        <w:t>Journal of the American Statistical Association</w:t>
      </w:r>
      <w:r w:rsidRPr="007D15A9">
        <w:rPr>
          <w:sz w:val="24"/>
          <w:lang w:val="en-US"/>
        </w:rPr>
        <w:t xml:space="preserve">, </w:t>
      </w:r>
      <w:r w:rsidRPr="007D15A9">
        <w:rPr>
          <w:i/>
          <w:sz w:val="24"/>
          <w:lang w:val="en-US"/>
        </w:rPr>
        <w:t>47</w:t>
      </w:r>
      <w:r w:rsidRPr="007D15A9">
        <w:rPr>
          <w:sz w:val="24"/>
          <w:lang w:val="en-US"/>
        </w:rPr>
        <w:t>, 663–685.</w:t>
      </w:r>
    </w:p>
    <w:p w14:paraId="4E553EC7" w14:textId="5791A684" w:rsidR="00AB7302" w:rsidRPr="007D15A9" w:rsidRDefault="00B54611" w:rsidP="00CF60BB">
      <w:pPr>
        <w:pStyle w:val="BibEntry"/>
        <w:spacing w:line="480" w:lineRule="auto"/>
        <w:rPr>
          <w:sz w:val="24"/>
          <w:lang w:val="en-US"/>
        </w:rPr>
      </w:pPr>
      <w:bookmarkStart w:id="9" w:name="_ENREF_13"/>
      <w:r w:rsidRPr="00CB0DDB">
        <w:rPr>
          <w:sz w:val="24"/>
          <w:lang w:val="nb-NO"/>
        </w:rPr>
        <w:t xml:space="preserve">Hygen, B. W., Guzey, I. C., Belsky, J., Berg-Nielsen, T. S., &amp; Wichstrøm, L. (2014). </w:t>
      </w:r>
      <w:r w:rsidRPr="007D15A9">
        <w:rPr>
          <w:rStyle w:val="BibDocTitle"/>
          <w:color w:val="auto"/>
          <w:sz w:val="24"/>
          <w:lang w:val="en-US"/>
        </w:rPr>
        <w:t>Catechol-</w:t>
      </w:r>
      <w:r w:rsidRPr="007D15A9">
        <w:rPr>
          <w:rStyle w:val="BibDocTitle"/>
          <w:i/>
          <w:color w:val="auto"/>
          <w:sz w:val="24"/>
          <w:lang w:val="en-US"/>
        </w:rPr>
        <w:t>O</w:t>
      </w:r>
      <w:r w:rsidRPr="007D15A9">
        <w:rPr>
          <w:rStyle w:val="BibDocTitle"/>
          <w:color w:val="auto"/>
          <w:sz w:val="24"/>
          <w:lang w:val="en-US"/>
        </w:rPr>
        <w:t>-methyltransferase Val158Met genotype moderates the effect of disorganized attachment on social development in young children</w:t>
      </w:r>
      <w:r w:rsidRPr="007D15A9">
        <w:rPr>
          <w:sz w:val="24"/>
          <w:lang w:val="en-US"/>
        </w:rPr>
        <w:t xml:space="preserve">. </w:t>
      </w:r>
      <w:r w:rsidRPr="007D15A9">
        <w:rPr>
          <w:rStyle w:val="BibTitle"/>
          <w:i/>
          <w:sz w:val="24"/>
          <w:lang w:val="en-US"/>
        </w:rPr>
        <w:t>Development and Psychopathology</w:t>
      </w:r>
      <w:r w:rsidRPr="007D15A9">
        <w:rPr>
          <w:sz w:val="24"/>
          <w:lang w:val="en-US"/>
        </w:rPr>
        <w:t>, 1–15. doi: 10.1017/S0954579414000492.</w:t>
      </w:r>
      <w:bookmarkEnd w:id="9"/>
    </w:p>
    <w:p w14:paraId="37562FA9" w14:textId="76190FF5" w:rsidR="00AB7302" w:rsidRPr="007D15A9" w:rsidRDefault="00B54611" w:rsidP="00CF60BB">
      <w:pPr>
        <w:pStyle w:val="BibEntry"/>
        <w:spacing w:line="480" w:lineRule="auto"/>
        <w:rPr>
          <w:sz w:val="24"/>
          <w:lang w:val="en-US"/>
        </w:rPr>
      </w:pPr>
      <w:r w:rsidRPr="007D15A9">
        <w:rPr>
          <w:sz w:val="24"/>
          <w:lang w:val="en-US"/>
        </w:rPr>
        <w:t xml:space="preserve">Johansson, A., Bergman, H., Corander, J., Waldman, I. D., Karrani, N., Salo, B., Jern, P., Algars, M., Sandnabba, K., Santtila, P., &amp; Westberg, L. (2012). </w:t>
      </w:r>
      <w:r w:rsidR="00A153E7" w:rsidRPr="007D15A9">
        <w:rPr>
          <w:rStyle w:val="BibDocTitle"/>
          <w:color w:val="auto"/>
          <w:sz w:val="24"/>
          <w:lang w:val="en-US"/>
        </w:rPr>
        <w:t>Alcohol and aggressive behavior in men--moderating effects of oxytocin receptor gene (OXTR) polymorphisms</w:t>
      </w:r>
      <w:r w:rsidRPr="007D15A9">
        <w:rPr>
          <w:sz w:val="24"/>
          <w:lang w:val="en-US"/>
        </w:rPr>
        <w:t xml:space="preserve">. </w:t>
      </w:r>
      <w:r w:rsidR="00A153E7" w:rsidRPr="007D15A9">
        <w:rPr>
          <w:rStyle w:val="BibTitle"/>
          <w:i/>
          <w:sz w:val="24"/>
          <w:lang w:val="en-US"/>
        </w:rPr>
        <w:t>Genes, Brain, and Behavior</w:t>
      </w:r>
      <w:r w:rsidRPr="007D15A9">
        <w:rPr>
          <w:sz w:val="24"/>
          <w:lang w:val="en-US"/>
        </w:rPr>
        <w:t xml:space="preserve">, </w:t>
      </w:r>
      <w:r w:rsidRPr="007D15A9">
        <w:rPr>
          <w:i/>
          <w:sz w:val="24"/>
          <w:lang w:val="en-US"/>
        </w:rPr>
        <w:t>11</w:t>
      </w:r>
      <w:r w:rsidRPr="007D15A9">
        <w:rPr>
          <w:sz w:val="24"/>
          <w:lang w:val="en-US"/>
        </w:rPr>
        <w:t>(2), 214–221. doi: 10.1111/j.1601-183X.2011.00744.x.</w:t>
      </w:r>
    </w:p>
    <w:p w14:paraId="006F384C" w14:textId="05D291F2" w:rsidR="00AB7302" w:rsidRPr="007D15A9" w:rsidRDefault="00B54611" w:rsidP="00CF60BB">
      <w:pPr>
        <w:pStyle w:val="BibEntry"/>
        <w:spacing w:line="480" w:lineRule="auto"/>
        <w:rPr>
          <w:sz w:val="24"/>
          <w:lang w:val="en-US"/>
        </w:rPr>
      </w:pPr>
      <w:r w:rsidRPr="007D15A9">
        <w:rPr>
          <w:sz w:val="24"/>
          <w:lang w:val="en-US"/>
        </w:rPr>
        <w:t xml:space="preserve">Karoum, F., Chrapusta, S. J., &amp; Egan, M. F. (1994). </w:t>
      </w:r>
      <w:r w:rsidR="00A153E7" w:rsidRPr="007D15A9">
        <w:rPr>
          <w:rStyle w:val="BibDocTitle"/>
          <w:color w:val="auto"/>
          <w:sz w:val="24"/>
          <w:lang w:val="en-US"/>
        </w:rPr>
        <w:t>3-Methoxytyramine is the major metabolite of released dopamine in the rat frontal cortex: Reassessment of the effects of antipsychotics on the dynamics of dopamine release and metabolism in the frontal cortex, nucleus accumbens, and striatum by a simple two pool model</w:t>
      </w:r>
      <w:r w:rsidRPr="007D15A9">
        <w:rPr>
          <w:sz w:val="24"/>
          <w:lang w:val="en-US"/>
        </w:rPr>
        <w:t xml:space="preserve">. </w:t>
      </w:r>
      <w:r w:rsidRPr="007D15A9">
        <w:rPr>
          <w:rStyle w:val="BibTitle"/>
          <w:i/>
          <w:sz w:val="24"/>
          <w:lang w:val="en-US"/>
        </w:rPr>
        <w:t>Journal of Neurochemistry</w:t>
      </w:r>
      <w:r w:rsidRPr="007D15A9">
        <w:rPr>
          <w:sz w:val="24"/>
          <w:lang w:val="en-US"/>
        </w:rPr>
        <w:t xml:space="preserve">, </w:t>
      </w:r>
      <w:r w:rsidRPr="007D15A9">
        <w:rPr>
          <w:i/>
          <w:sz w:val="24"/>
          <w:lang w:val="en-US"/>
        </w:rPr>
        <w:t>63</w:t>
      </w:r>
      <w:r w:rsidRPr="007D15A9">
        <w:rPr>
          <w:sz w:val="24"/>
          <w:lang w:val="en-US"/>
        </w:rPr>
        <w:t>(3), 972–979.</w:t>
      </w:r>
    </w:p>
    <w:p w14:paraId="45CF5D2D" w14:textId="38D5076B" w:rsidR="00AB7302" w:rsidRPr="007D15A9" w:rsidRDefault="00B54611" w:rsidP="00CF60BB">
      <w:pPr>
        <w:pStyle w:val="BibEntry"/>
        <w:spacing w:line="480" w:lineRule="auto"/>
        <w:rPr>
          <w:sz w:val="24"/>
          <w:lang w:val="en-US"/>
        </w:rPr>
      </w:pPr>
      <w:r w:rsidRPr="007D15A9">
        <w:rPr>
          <w:sz w:val="24"/>
          <w:lang w:val="en-US"/>
        </w:rPr>
        <w:t xml:space="preserve">Lachman, H. M., Papolos, D. F., Saito, T., Yu, Y. M., Szumlanski, C. L., &amp; Weinshilboum, R. M. (1996). </w:t>
      </w:r>
      <w:r w:rsidRPr="007D15A9">
        <w:rPr>
          <w:rStyle w:val="BibDocTitle"/>
          <w:color w:val="auto"/>
          <w:sz w:val="24"/>
          <w:lang w:val="en-US"/>
        </w:rPr>
        <w:t>Human catechol-</w:t>
      </w:r>
      <w:r w:rsidRPr="007D15A9">
        <w:rPr>
          <w:rStyle w:val="BibDocTitle"/>
          <w:i/>
          <w:color w:val="auto"/>
          <w:sz w:val="24"/>
          <w:lang w:val="en-US"/>
        </w:rPr>
        <w:t>O</w:t>
      </w:r>
      <w:r w:rsidRPr="007D15A9">
        <w:rPr>
          <w:rStyle w:val="BibDocTitle"/>
          <w:color w:val="auto"/>
          <w:sz w:val="24"/>
          <w:lang w:val="en-US"/>
        </w:rPr>
        <w:t>-methyltransferase pharmacogenetics: Description of a functional polymorphism and its potential application to neuropsychiatric disorders</w:t>
      </w:r>
      <w:r w:rsidRPr="007D15A9">
        <w:rPr>
          <w:sz w:val="24"/>
          <w:lang w:val="en-US"/>
        </w:rPr>
        <w:t xml:space="preserve">. </w:t>
      </w:r>
      <w:r w:rsidRPr="007D15A9">
        <w:rPr>
          <w:rStyle w:val="BibTitle"/>
          <w:i/>
          <w:sz w:val="24"/>
          <w:lang w:val="en-US"/>
        </w:rPr>
        <w:t>Pharmacogenetics</w:t>
      </w:r>
      <w:r w:rsidRPr="007D15A9">
        <w:rPr>
          <w:sz w:val="24"/>
          <w:lang w:val="en-US"/>
        </w:rPr>
        <w:t xml:space="preserve">, </w:t>
      </w:r>
      <w:r w:rsidRPr="007D15A9">
        <w:rPr>
          <w:i/>
          <w:sz w:val="24"/>
          <w:lang w:val="en-US"/>
        </w:rPr>
        <w:t>6</w:t>
      </w:r>
      <w:r w:rsidRPr="007D15A9">
        <w:rPr>
          <w:sz w:val="24"/>
          <w:lang w:val="en-US"/>
        </w:rPr>
        <w:t>(3), 243–250. doi: 10.1097/00008571-199606000-00007.</w:t>
      </w:r>
    </w:p>
    <w:p w14:paraId="3F366F93" w14:textId="21AA6166" w:rsidR="00AB7302" w:rsidRPr="007D15A9" w:rsidRDefault="00B54611" w:rsidP="00CF60BB">
      <w:pPr>
        <w:pStyle w:val="BibEntry"/>
        <w:spacing w:line="480" w:lineRule="auto"/>
        <w:rPr>
          <w:sz w:val="24"/>
          <w:lang w:val="en-US"/>
        </w:rPr>
      </w:pPr>
      <w:r w:rsidRPr="007D15A9">
        <w:rPr>
          <w:sz w:val="24"/>
          <w:lang w:val="en-US"/>
        </w:rPr>
        <w:lastRenderedPageBreak/>
        <w:t xml:space="preserve">Langley, K., Heron, J., O’Donovan, M. C., Owen, M. J., &amp; Thapar, A. (2010). </w:t>
      </w:r>
      <w:r w:rsidR="00A153E7" w:rsidRPr="007D15A9">
        <w:rPr>
          <w:rStyle w:val="BibDocTitle"/>
          <w:color w:val="auto"/>
          <w:sz w:val="24"/>
          <w:lang w:val="en-US"/>
        </w:rPr>
        <w:t>Genotype link with extreme antisocial behavior: The contribution of cognitive pathways</w:t>
      </w:r>
      <w:r w:rsidRPr="007D15A9">
        <w:rPr>
          <w:sz w:val="24"/>
          <w:lang w:val="en-US"/>
        </w:rPr>
        <w:t xml:space="preserve">. </w:t>
      </w:r>
      <w:r w:rsidRPr="007D15A9">
        <w:rPr>
          <w:rStyle w:val="BibTitle"/>
          <w:i/>
          <w:sz w:val="24"/>
          <w:lang w:val="en-US"/>
        </w:rPr>
        <w:t>Archives of General Psychiatry</w:t>
      </w:r>
      <w:r w:rsidRPr="007D15A9">
        <w:rPr>
          <w:sz w:val="24"/>
          <w:lang w:val="en-US"/>
        </w:rPr>
        <w:t xml:space="preserve">, </w:t>
      </w:r>
      <w:r w:rsidRPr="007D15A9">
        <w:rPr>
          <w:i/>
          <w:sz w:val="24"/>
          <w:lang w:val="en-US"/>
        </w:rPr>
        <w:t>67</w:t>
      </w:r>
      <w:r w:rsidRPr="007D15A9">
        <w:rPr>
          <w:sz w:val="24"/>
          <w:lang w:val="en-US"/>
        </w:rPr>
        <w:t>(12), 1317–1323. doi: 10.1001/archgenpsychiatry.2010.163.</w:t>
      </w:r>
    </w:p>
    <w:p w14:paraId="266332BF" w14:textId="5209A676" w:rsidR="00AB7302" w:rsidRPr="007D15A9" w:rsidRDefault="00B54611" w:rsidP="00CF60BB">
      <w:pPr>
        <w:pStyle w:val="BibEntry"/>
        <w:spacing w:line="480" w:lineRule="auto"/>
        <w:rPr>
          <w:sz w:val="24"/>
          <w:lang w:val="en-US"/>
        </w:rPr>
      </w:pPr>
      <w:bookmarkStart w:id="10" w:name="_ENREF_16"/>
      <w:r w:rsidRPr="007D15A9">
        <w:rPr>
          <w:sz w:val="24"/>
          <w:lang w:val="en-US"/>
        </w:rPr>
        <w:t xml:space="preserve">Luntz, B. K., &amp; Widom, C. S. (1994). </w:t>
      </w:r>
      <w:r w:rsidR="00A153E7" w:rsidRPr="007D15A9">
        <w:rPr>
          <w:rStyle w:val="BibDocTitle"/>
          <w:color w:val="auto"/>
          <w:sz w:val="24"/>
          <w:lang w:val="en-US"/>
        </w:rPr>
        <w:t>Antisocial personality disorder in abused and neglected children grown up</w:t>
      </w:r>
      <w:r w:rsidRPr="007D15A9">
        <w:rPr>
          <w:sz w:val="24"/>
          <w:lang w:val="en-US"/>
        </w:rPr>
        <w:t xml:space="preserve">. </w:t>
      </w:r>
      <w:r w:rsidRPr="007D15A9">
        <w:rPr>
          <w:rStyle w:val="BibTitle"/>
          <w:i/>
          <w:sz w:val="24"/>
          <w:lang w:val="en-US"/>
        </w:rPr>
        <w:t>American Journal of Psychiatry</w:t>
      </w:r>
      <w:r w:rsidRPr="007D15A9">
        <w:rPr>
          <w:sz w:val="24"/>
          <w:lang w:val="en-US"/>
        </w:rPr>
        <w:t xml:space="preserve">, </w:t>
      </w:r>
      <w:r w:rsidRPr="007D15A9">
        <w:rPr>
          <w:i/>
          <w:sz w:val="24"/>
          <w:lang w:val="en-US"/>
        </w:rPr>
        <w:t>151</w:t>
      </w:r>
      <w:r w:rsidRPr="007D15A9">
        <w:rPr>
          <w:sz w:val="24"/>
          <w:lang w:val="en-US"/>
        </w:rPr>
        <w:t>(5), 670–674.</w:t>
      </w:r>
      <w:bookmarkEnd w:id="10"/>
    </w:p>
    <w:p w14:paraId="469E82C8" w14:textId="0FCB0DE0" w:rsidR="00AB7302" w:rsidRPr="007D15A9" w:rsidRDefault="00B54611" w:rsidP="00CF60BB">
      <w:pPr>
        <w:pStyle w:val="BibEntry"/>
        <w:spacing w:line="480" w:lineRule="auto"/>
        <w:rPr>
          <w:sz w:val="24"/>
          <w:lang w:val="en-US"/>
        </w:rPr>
      </w:pPr>
      <w:r w:rsidRPr="007D15A9">
        <w:rPr>
          <w:sz w:val="24"/>
          <w:lang w:val="en-US"/>
        </w:rPr>
        <w:t xml:space="preserve">Muthén, L. K., &amp; Muthén, B. O. (2009). </w:t>
      </w:r>
      <w:r w:rsidRPr="007D15A9">
        <w:rPr>
          <w:rStyle w:val="BibDocTitle"/>
          <w:color w:val="auto"/>
          <w:sz w:val="24"/>
          <w:lang w:val="en-US"/>
        </w:rPr>
        <w:t>Mplus user’s Guide</w:t>
      </w:r>
      <w:r w:rsidRPr="007D15A9">
        <w:rPr>
          <w:sz w:val="24"/>
          <w:lang w:val="en-US"/>
        </w:rPr>
        <w:t>. Muthén &amp; Muthén</w:t>
      </w:r>
      <w:r w:rsidR="00A153E7" w:rsidRPr="007D15A9">
        <w:rPr>
          <w:sz w:val="24"/>
          <w:lang w:val="en-US"/>
        </w:rPr>
        <w:t>:</w:t>
      </w:r>
      <w:r w:rsidRPr="007D15A9">
        <w:rPr>
          <w:sz w:val="24"/>
          <w:lang w:val="en-US"/>
        </w:rPr>
        <w:t xml:space="preserve"> Los Angeles.</w:t>
      </w:r>
    </w:p>
    <w:p w14:paraId="4A0C11BD" w14:textId="440C7C62" w:rsidR="00AB7302" w:rsidRPr="007D15A9" w:rsidRDefault="00B54611" w:rsidP="00CF60BB">
      <w:pPr>
        <w:pStyle w:val="BibEntry"/>
        <w:spacing w:line="480" w:lineRule="auto"/>
        <w:rPr>
          <w:sz w:val="24"/>
          <w:lang w:val="en-US"/>
        </w:rPr>
      </w:pPr>
      <w:r w:rsidRPr="007D15A9">
        <w:rPr>
          <w:sz w:val="24"/>
          <w:lang w:val="en-US"/>
        </w:rPr>
        <w:t xml:space="preserve">Nobile, M., Rusconi, M., Bellina, M., Marino, C., Giorda, R., Carlet, O., Vanzin, L., Molteni, M., &amp; Battaglia, M. (2010). </w:t>
      </w:r>
      <w:r w:rsidRPr="007D15A9">
        <w:rPr>
          <w:rStyle w:val="BibDocTitle"/>
          <w:color w:val="auto"/>
          <w:sz w:val="24"/>
          <w:lang w:val="en-US"/>
        </w:rPr>
        <w:t>COMT Val158Met polymorphism and socioeconomic status interact to predict attention deficit/hyperactivity problems in children aged 10–14</w:t>
      </w:r>
      <w:r w:rsidRPr="007D15A9">
        <w:rPr>
          <w:sz w:val="24"/>
          <w:lang w:val="en-US"/>
        </w:rPr>
        <w:t xml:space="preserve">. </w:t>
      </w:r>
      <w:r w:rsidRPr="007D15A9">
        <w:rPr>
          <w:rStyle w:val="BibTitle"/>
          <w:i/>
          <w:sz w:val="24"/>
          <w:lang w:val="en-US"/>
        </w:rPr>
        <w:t>European Child and Adolescent Psychiatry</w:t>
      </w:r>
      <w:r w:rsidRPr="007D15A9">
        <w:rPr>
          <w:sz w:val="24"/>
          <w:lang w:val="en-US"/>
        </w:rPr>
        <w:t xml:space="preserve">, </w:t>
      </w:r>
      <w:r w:rsidRPr="007D15A9">
        <w:rPr>
          <w:i/>
          <w:sz w:val="24"/>
          <w:lang w:val="en-US"/>
        </w:rPr>
        <w:t>19</w:t>
      </w:r>
      <w:r w:rsidRPr="007D15A9">
        <w:rPr>
          <w:sz w:val="24"/>
          <w:lang w:val="en-US"/>
        </w:rPr>
        <w:t>(7), 549–557. doi: 10.1007/s00787-009-0080-1.</w:t>
      </w:r>
    </w:p>
    <w:p w14:paraId="4C116CC1" w14:textId="55400C3E" w:rsidR="00AB7302" w:rsidRPr="007D15A9" w:rsidRDefault="00B54611" w:rsidP="00CF60BB">
      <w:pPr>
        <w:pStyle w:val="BibEntry"/>
        <w:spacing w:line="480" w:lineRule="auto"/>
        <w:rPr>
          <w:sz w:val="24"/>
          <w:lang w:val="en-US"/>
        </w:rPr>
      </w:pPr>
      <w:r w:rsidRPr="007D15A9">
        <w:rPr>
          <w:sz w:val="24"/>
          <w:lang w:val="en-US"/>
        </w:rPr>
        <w:t xml:space="preserve">Obradović, J., Bush, N. R., &amp; Boyce, W. T. (2011). </w:t>
      </w:r>
      <w:r w:rsidRPr="007D15A9">
        <w:rPr>
          <w:rStyle w:val="BibDocTitle"/>
          <w:color w:val="auto"/>
          <w:sz w:val="24"/>
          <w:lang w:val="en-US"/>
        </w:rPr>
        <w:t>The interactive effect of marital conflict and stress reactivity on externalizing and internalizing symptoms: The role of laboratory stressors</w:t>
      </w:r>
      <w:r w:rsidRPr="007D15A9">
        <w:rPr>
          <w:sz w:val="24"/>
          <w:lang w:val="en-US"/>
        </w:rPr>
        <w:t xml:space="preserve">. </w:t>
      </w:r>
      <w:r w:rsidRPr="007D15A9">
        <w:rPr>
          <w:rStyle w:val="BibTitle"/>
          <w:i/>
          <w:sz w:val="24"/>
          <w:lang w:val="en-US"/>
        </w:rPr>
        <w:t>Development and Psychopathology</w:t>
      </w:r>
      <w:r w:rsidRPr="007D15A9">
        <w:rPr>
          <w:sz w:val="24"/>
          <w:lang w:val="en-US"/>
        </w:rPr>
        <w:t xml:space="preserve">, </w:t>
      </w:r>
      <w:r w:rsidRPr="007D15A9">
        <w:rPr>
          <w:i/>
          <w:sz w:val="24"/>
          <w:lang w:val="en-US"/>
        </w:rPr>
        <w:t>23</w:t>
      </w:r>
      <w:r w:rsidRPr="007D15A9">
        <w:rPr>
          <w:sz w:val="24"/>
          <w:lang w:val="en-US"/>
        </w:rPr>
        <w:t>(1), 101–114. doi: 10.1017/S0954579410000672.</w:t>
      </w:r>
    </w:p>
    <w:p w14:paraId="538613EF" w14:textId="118EBD71" w:rsidR="00AB7302" w:rsidRPr="007D15A9" w:rsidRDefault="00B54611" w:rsidP="00CF60BB">
      <w:pPr>
        <w:pStyle w:val="BibEntry"/>
        <w:spacing w:line="480" w:lineRule="auto"/>
        <w:rPr>
          <w:sz w:val="24"/>
          <w:lang w:val="en-US"/>
        </w:rPr>
      </w:pPr>
      <w:bookmarkStart w:id="11" w:name="_ENREF_18"/>
      <w:r w:rsidRPr="007D15A9">
        <w:rPr>
          <w:sz w:val="24"/>
          <w:lang w:val="en-US"/>
        </w:rPr>
        <w:t xml:space="preserve">Perroud, N., Jaussent, I., Guillaume, S., Bellivier, F., Baud, P., Jollant, F., Leboyer, M., Lewis, C. M., Malafosse, A., &amp; Courtet, P. (2010). </w:t>
      </w:r>
      <w:r w:rsidRPr="007D15A9">
        <w:rPr>
          <w:rStyle w:val="BibDocTitle"/>
          <w:color w:val="auto"/>
          <w:sz w:val="24"/>
          <w:lang w:val="en-US"/>
        </w:rPr>
        <w:t>COMT but not serotonin-related genes modulates the influence of childhood abuse on anger traits</w:t>
      </w:r>
      <w:r w:rsidRPr="007D15A9">
        <w:rPr>
          <w:sz w:val="24"/>
          <w:lang w:val="en-US"/>
        </w:rPr>
        <w:t xml:space="preserve">. </w:t>
      </w:r>
      <w:r w:rsidR="00A153E7" w:rsidRPr="007D15A9">
        <w:rPr>
          <w:rStyle w:val="BibTitle"/>
          <w:i/>
          <w:sz w:val="24"/>
          <w:lang w:val="en-US"/>
        </w:rPr>
        <w:t>Genes, Brain, and Behavior</w:t>
      </w:r>
      <w:r w:rsidRPr="007D15A9">
        <w:rPr>
          <w:sz w:val="24"/>
          <w:lang w:val="en-US"/>
        </w:rPr>
        <w:t xml:space="preserve">, </w:t>
      </w:r>
      <w:r w:rsidRPr="007D15A9">
        <w:rPr>
          <w:i/>
          <w:sz w:val="24"/>
          <w:lang w:val="en-US"/>
        </w:rPr>
        <w:t>9</w:t>
      </w:r>
      <w:r w:rsidRPr="007D15A9">
        <w:rPr>
          <w:sz w:val="24"/>
          <w:lang w:val="en-US"/>
        </w:rPr>
        <w:t>(2), 193–202. doi: 10.1111/j.1601-183X.2009.00547.x.</w:t>
      </w:r>
      <w:bookmarkEnd w:id="11"/>
    </w:p>
    <w:p w14:paraId="59B7A046" w14:textId="1FC0DC1E" w:rsidR="00AB7302" w:rsidRPr="007D15A9" w:rsidRDefault="00B54611" w:rsidP="00CF60BB">
      <w:pPr>
        <w:pStyle w:val="BibEntry"/>
        <w:spacing w:line="480" w:lineRule="auto"/>
        <w:rPr>
          <w:sz w:val="24"/>
          <w:lang w:val="en-US"/>
        </w:rPr>
      </w:pPr>
      <w:r w:rsidRPr="007D15A9">
        <w:rPr>
          <w:sz w:val="24"/>
          <w:lang w:val="en-US"/>
        </w:rPr>
        <w:t xml:space="preserve">Pluess, M., &amp; Belsky, J. (2009). </w:t>
      </w:r>
      <w:r w:rsidRPr="007D15A9">
        <w:rPr>
          <w:rStyle w:val="BibDocTitle"/>
          <w:color w:val="auto"/>
          <w:sz w:val="24"/>
          <w:lang w:val="en-US"/>
        </w:rPr>
        <w:t>Differential susceptibility to rearing experience: The case of childcare</w:t>
      </w:r>
      <w:r w:rsidRPr="007D15A9">
        <w:rPr>
          <w:sz w:val="24"/>
          <w:lang w:val="en-US"/>
        </w:rPr>
        <w:t xml:space="preserve">. </w:t>
      </w:r>
      <w:r w:rsidR="00A153E7" w:rsidRPr="007D15A9">
        <w:rPr>
          <w:rStyle w:val="BibTitle"/>
          <w:i/>
          <w:sz w:val="24"/>
          <w:lang w:val="en-US"/>
        </w:rPr>
        <w:t>Journal of Child Psychology and Psychiatry, and Allied Disciplines</w:t>
      </w:r>
      <w:r w:rsidRPr="007D15A9">
        <w:rPr>
          <w:sz w:val="24"/>
          <w:lang w:val="en-US"/>
        </w:rPr>
        <w:t xml:space="preserve">, </w:t>
      </w:r>
      <w:r w:rsidRPr="007D15A9">
        <w:rPr>
          <w:i/>
          <w:sz w:val="24"/>
          <w:lang w:val="en-US"/>
        </w:rPr>
        <w:t>50</w:t>
      </w:r>
      <w:r w:rsidRPr="007D15A9">
        <w:rPr>
          <w:sz w:val="24"/>
          <w:lang w:val="en-US"/>
        </w:rPr>
        <w:t>(4), 396–404. doi: 10.1111/j.1469-7610.2008.01992.x.</w:t>
      </w:r>
    </w:p>
    <w:p w14:paraId="748C7F35" w14:textId="682DD112" w:rsidR="00AB7302" w:rsidRPr="007D15A9" w:rsidRDefault="00B54611" w:rsidP="00CF60BB">
      <w:pPr>
        <w:pStyle w:val="BibEntry"/>
        <w:spacing w:line="480" w:lineRule="auto"/>
        <w:rPr>
          <w:sz w:val="24"/>
          <w:lang w:val="en-US"/>
        </w:rPr>
      </w:pPr>
      <w:r w:rsidRPr="007D15A9">
        <w:rPr>
          <w:sz w:val="24"/>
          <w:lang w:val="en-US"/>
        </w:rPr>
        <w:t xml:space="preserve">Poehlmann, J., Hane, A., Burnson, C., Maleck, S., Hamburger, E., &amp; Shah, P. E. (2012). </w:t>
      </w:r>
      <w:r w:rsidRPr="007D15A9">
        <w:rPr>
          <w:rStyle w:val="BibDocTitle"/>
          <w:color w:val="auto"/>
          <w:sz w:val="24"/>
          <w:lang w:val="en-US"/>
        </w:rPr>
        <w:t xml:space="preserve">Preterm infants who are prone to distress: Differential effects of parenting on 36-month </w:t>
      </w:r>
      <w:r w:rsidRPr="007D15A9">
        <w:rPr>
          <w:rStyle w:val="BibDocTitle"/>
          <w:color w:val="auto"/>
          <w:sz w:val="24"/>
          <w:lang w:val="en-US"/>
        </w:rPr>
        <w:lastRenderedPageBreak/>
        <w:t>behavioral and cognitive outcomes</w:t>
      </w:r>
      <w:r w:rsidRPr="007D15A9">
        <w:rPr>
          <w:sz w:val="24"/>
          <w:lang w:val="en-US"/>
        </w:rPr>
        <w:t xml:space="preserve">. </w:t>
      </w:r>
      <w:r w:rsidR="00A153E7" w:rsidRPr="007D15A9">
        <w:rPr>
          <w:rStyle w:val="BibTitle"/>
          <w:i/>
          <w:sz w:val="24"/>
          <w:lang w:val="en-US"/>
        </w:rPr>
        <w:t>Journal of Child Psychology and Psychiatry, and Allied Disciplines</w:t>
      </w:r>
      <w:r w:rsidRPr="007D15A9">
        <w:rPr>
          <w:sz w:val="24"/>
          <w:lang w:val="en-US"/>
        </w:rPr>
        <w:t xml:space="preserve">, </w:t>
      </w:r>
      <w:r w:rsidRPr="007D15A9">
        <w:rPr>
          <w:i/>
          <w:sz w:val="24"/>
          <w:lang w:val="en-US"/>
        </w:rPr>
        <w:t>53</w:t>
      </w:r>
      <w:r w:rsidRPr="007D15A9">
        <w:rPr>
          <w:sz w:val="24"/>
          <w:lang w:val="en-US"/>
        </w:rPr>
        <w:t>(10), 1018–1025. doi: 10.1111/j.1469-7610.2012.02564.x.</w:t>
      </w:r>
    </w:p>
    <w:p w14:paraId="4CF91607" w14:textId="28747C14" w:rsidR="00AB7302" w:rsidRPr="007D15A9" w:rsidRDefault="00B54611" w:rsidP="00CF60BB">
      <w:pPr>
        <w:pStyle w:val="BibEntry"/>
        <w:spacing w:line="480" w:lineRule="auto"/>
        <w:rPr>
          <w:sz w:val="24"/>
          <w:lang w:val="en-US"/>
        </w:rPr>
      </w:pPr>
      <w:r w:rsidRPr="007D15A9">
        <w:rPr>
          <w:sz w:val="24"/>
          <w:lang w:val="en-US"/>
        </w:rPr>
        <w:t xml:space="preserve">Poehlmann, J., Schwichtenberg, A. J. M., Shlafer, R. J., Hahn, E., Bianchi, J. P., &amp; Warner, R. (2011). </w:t>
      </w:r>
      <w:r w:rsidRPr="007D15A9">
        <w:rPr>
          <w:rStyle w:val="BibDocTitle"/>
          <w:color w:val="auto"/>
          <w:sz w:val="24"/>
          <w:lang w:val="en-US"/>
        </w:rPr>
        <w:t>Emerging self-regulation in toddlers born preterm or low birth weight: Differential susceptibility to parenting?</w:t>
      </w:r>
      <w:r w:rsidRPr="007D15A9">
        <w:rPr>
          <w:sz w:val="24"/>
          <w:lang w:val="en-US"/>
        </w:rPr>
        <w:t xml:space="preserve"> </w:t>
      </w:r>
      <w:r w:rsidRPr="007D15A9">
        <w:rPr>
          <w:rStyle w:val="BibTitle"/>
          <w:i/>
          <w:sz w:val="24"/>
          <w:lang w:val="en-US"/>
        </w:rPr>
        <w:t>Development and Psychopathology</w:t>
      </w:r>
      <w:r w:rsidRPr="007D15A9">
        <w:rPr>
          <w:sz w:val="24"/>
          <w:lang w:val="en-US"/>
        </w:rPr>
        <w:t xml:space="preserve">, </w:t>
      </w:r>
      <w:r w:rsidRPr="007D15A9">
        <w:rPr>
          <w:i/>
          <w:sz w:val="24"/>
          <w:lang w:val="en-US"/>
        </w:rPr>
        <w:t>23</w:t>
      </w:r>
      <w:r w:rsidRPr="007D15A9">
        <w:rPr>
          <w:sz w:val="24"/>
          <w:lang w:val="en-US"/>
        </w:rPr>
        <w:t>(1), 177–193. doi: 10.1017/S0954579410000726.</w:t>
      </w:r>
    </w:p>
    <w:p w14:paraId="0ACEFB77" w14:textId="50AA62DE" w:rsidR="00AB7302" w:rsidRPr="007D15A9" w:rsidRDefault="00B54611" w:rsidP="00CF60BB">
      <w:pPr>
        <w:pStyle w:val="BibEntry"/>
        <w:spacing w:line="480" w:lineRule="auto"/>
        <w:rPr>
          <w:sz w:val="24"/>
          <w:lang w:val="en-US"/>
        </w:rPr>
      </w:pPr>
      <w:bookmarkStart w:id="12" w:name="_ENREF_19"/>
      <w:r w:rsidRPr="007D15A9">
        <w:rPr>
          <w:sz w:val="24"/>
          <w:lang w:val="en-US"/>
        </w:rPr>
        <w:t xml:space="preserve">Rhee, S. H., &amp; Waldman, I. D. (2002). </w:t>
      </w:r>
      <w:r w:rsidRPr="007D15A9">
        <w:rPr>
          <w:rStyle w:val="BibDocTitle"/>
          <w:color w:val="auto"/>
          <w:sz w:val="24"/>
          <w:lang w:val="en-US"/>
        </w:rPr>
        <w:t>Genetic and environmental influences on antisocial behavior: A meta-analysis of twin and adoption studies</w:t>
      </w:r>
      <w:r w:rsidRPr="007D15A9">
        <w:rPr>
          <w:sz w:val="24"/>
          <w:lang w:val="en-US"/>
        </w:rPr>
        <w:t xml:space="preserve">. </w:t>
      </w:r>
      <w:r w:rsidRPr="007D15A9">
        <w:rPr>
          <w:rStyle w:val="BibTitle"/>
          <w:i/>
          <w:sz w:val="24"/>
          <w:lang w:val="en-US"/>
        </w:rPr>
        <w:t>Psychological Bulletin</w:t>
      </w:r>
      <w:r w:rsidRPr="007D15A9">
        <w:rPr>
          <w:sz w:val="24"/>
          <w:lang w:val="en-US"/>
        </w:rPr>
        <w:t xml:space="preserve">, </w:t>
      </w:r>
      <w:r w:rsidRPr="007D15A9">
        <w:rPr>
          <w:i/>
          <w:sz w:val="24"/>
          <w:lang w:val="en-US"/>
        </w:rPr>
        <w:t>128</w:t>
      </w:r>
      <w:r w:rsidRPr="007D15A9">
        <w:rPr>
          <w:sz w:val="24"/>
          <w:lang w:val="en-US"/>
        </w:rPr>
        <w:t>(3), 490–529. doi: 10.1037/0033-2909.128.3.490.</w:t>
      </w:r>
      <w:bookmarkEnd w:id="12"/>
    </w:p>
    <w:p w14:paraId="4191AD71" w14:textId="55ED74D1" w:rsidR="00AB7302" w:rsidRPr="007D15A9" w:rsidRDefault="00A153E7" w:rsidP="00CF60BB">
      <w:pPr>
        <w:pStyle w:val="BibEntry"/>
        <w:spacing w:line="480" w:lineRule="auto"/>
        <w:rPr>
          <w:sz w:val="24"/>
          <w:lang w:val="en-US"/>
        </w:rPr>
      </w:pPr>
      <w:bookmarkStart w:id="13" w:name="_ENREF_20"/>
      <w:r w:rsidRPr="007D15A9">
        <w:rPr>
          <w:sz w:val="24"/>
          <w:lang w:val="en-US"/>
        </w:rPr>
        <w:t>Sarchiapone</w:t>
      </w:r>
      <w:r w:rsidR="00B54611" w:rsidRPr="007D15A9">
        <w:rPr>
          <w:sz w:val="24"/>
          <w:lang w:val="en-US"/>
        </w:rPr>
        <w:t xml:space="preserve">, M., Carli, V., Cuomo, C., Marchetti, M., &amp; Roy, A. (2009). </w:t>
      </w:r>
      <w:r w:rsidR="00B54611" w:rsidRPr="007D15A9">
        <w:rPr>
          <w:rStyle w:val="BibDocTitle"/>
          <w:color w:val="auto"/>
          <w:sz w:val="24"/>
          <w:lang w:val="en-US"/>
        </w:rPr>
        <w:t>Association between childhood trauma and aggression in male prisoners</w:t>
      </w:r>
      <w:r w:rsidR="00B54611" w:rsidRPr="007D15A9">
        <w:rPr>
          <w:sz w:val="24"/>
          <w:lang w:val="en-US"/>
        </w:rPr>
        <w:t xml:space="preserve">. </w:t>
      </w:r>
      <w:r w:rsidR="00B54611" w:rsidRPr="007D15A9">
        <w:rPr>
          <w:rStyle w:val="BibTitle"/>
          <w:i/>
          <w:sz w:val="24"/>
          <w:lang w:val="en-US"/>
        </w:rPr>
        <w:t>Psychiatry Research</w:t>
      </w:r>
      <w:r w:rsidR="00B54611" w:rsidRPr="007D15A9">
        <w:rPr>
          <w:sz w:val="24"/>
          <w:lang w:val="en-US"/>
        </w:rPr>
        <w:t xml:space="preserve">, </w:t>
      </w:r>
      <w:r w:rsidR="00B54611" w:rsidRPr="007D15A9">
        <w:rPr>
          <w:i/>
          <w:sz w:val="24"/>
          <w:lang w:val="en-US"/>
        </w:rPr>
        <w:t>165</w:t>
      </w:r>
      <w:r w:rsidR="00B54611" w:rsidRPr="007D15A9">
        <w:rPr>
          <w:sz w:val="24"/>
          <w:lang w:val="en-US"/>
        </w:rPr>
        <w:t>(1-2), 187–192.</w:t>
      </w:r>
      <w:bookmarkEnd w:id="13"/>
      <w:r w:rsidR="00B54611" w:rsidRPr="007D15A9">
        <w:rPr>
          <w:sz w:val="24"/>
          <w:lang w:val="en-US"/>
        </w:rPr>
        <w:t xml:space="preserve"> doi: 10.1016/j.psychres.2008.04.026.</w:t>
      </w:r>
    </w:p>
    <w:p w14:paraId="10FB45C4" w14:textId="5646A35B" w:rsidR="0091486D" w:rsidRPr="007D15A9" w:rsidRDefault="0091486D" w:rsidP="00C32F5C">
      <w:pPr>
        <w:pStyle w:val="EndNoteBibliography"/>
        <w:spacing w:after="0" w:line="480" w:lineRule="auto"/>
        <w:ind w:left="274" w:hanging="274"/>
        <w:rPr>
          <w:rFonts w:ascii="Times New Roman" w:hAnsi="Times New Roman"/>
          <w:noProof w:val="0"/>
          <w:sz w:val="24"/>
          <w:szCs w:val="24"/>
        </w:rPr>
      </w:pPr>
      <w:bookmarkStart w:id="14" w:name="_ENREF_22"/>
      <w:r w:rsidRPr="007D15A9">
        <w:rPr>
          <w:rFonts w:ascii="Times New Roman" w:hAnsi="Times New Roman"/>
          <w:noProof w:val="0"/>
          <w:sz w:val="24"/>
          <w:szCs w:val="24"/>
        </w:rPr>
        <w:t xml:space="preserve">Shaw, D. S., Winslow, E. B., &amp; Flanagan, C. (1999). A prospective study of the effects of marital status and family relations on young children's adjustment among African American and European American families. </w:t>
      </w:r>
      <w:r w:rsidRPr="007D15A9">
        <w:rPr>
          <w:rFonts w:ascii="Times New Roman" w:hAnsi="Times New Roman"/>
          <w:i/>
          <w:noProof w:val="0"/>
          <w:sz w:val="24"/>
          <w:szCs w:val="24"/>
        </w:rPr>
        <w:t>Child Development, 70</w:t>
      </w:r>
      <w:r w:rsidRPr="007D15A9">
        <w:rPr>
          <w:rFonts w:ascii="Times New Roman" w:hAnsi="Times New Roman"/>
          <w:noProof w:val="0"/>
          <w:sz w:val="24"/>
          <w:szCs w:val="24"/>
        </w:rPr>
        <w:t>(3), 742</w:t>
      </w:r>
      <w:r w:rsidR="007F4B29" w:rsidRPr="007D15A9">
        <w:rPr>
          <w:sz w:val="24"/>
        </w:rPr>
        <w:t>–</w:t>
      </w:r>
      <w:r w:rsidRPr="007D15A9">
        <w:rPr>
          <w:rFonts w:ascii="Times New Roman" w:hAnsi="Times New Roman"/>
          <w:noProof w:val="0"/>
          <w:sz w:val="24"/>
          <w:szCs w:val="24"/>
        </w:rPr>
        <w:t>755. doi: 10.1111/1467-8624.00053</w:t>
      </w:r>
      <w:r w:rsidR="007C43AF" w:rsidRPr="007D15A9">
        <w:rPr>
          <w:rFonts w:ascii="Times New Roman" w:hAnsi="Times New Roman"/>
          <w:noProof w:val="0"/>
          <w:sz w:val="24"/>
          <w:szCs w:val="24"/>
        </w:rPr>
        <w:t>.</w:t>
      </w:r>
    </w:p>
    <w:p w14:paraId="0CB79E26" w14:textId="6AE74E32" w:rsidR="00AB7302" w:rsidRPr="007D15A9" w:rsidRDefault="00B54611" w:rsidP="00CF60BB">
      <w:pPr>
        <w:pStyle w:val="BibEntry"/>
        <w:spacing w:line="480" w:lineRule="auto"/>
        <w:rPr>
          <w:sz w:val="24"/>
          <w:lang w:val="en-US"/>
        </w:rPr>
      </w:pPr>
      <w:r w:rsidRPr="007D15A9">
        <w:rPr>
          <w:sz w:val="24"/>
          <w:lang w:val="en-US"/>
        </w:rPr>
        <w:t xml:space="preserve">Tabone, J. K., Guterman, N. B., Litrownik, A. J., Dubowitz, H., Isbell, P., English, D. J., Runyan, D. K., &amp; Thompson, R. (2011). </w:t>
      </w:r>
      <w:r w:rsidRPr="007D15A9">
        <w:rPr>
          <w:rStyle w:val="BibDocTitle"/>
          <w:color w:val="auto"/>
          <w:sz w:val="24"/>
          <w:lang w:val="en-US"/>
        </w:rPr>
        <w:t>Developmental trajectories of behavior problems among children who have experienced maltreatment: Heterogeneity during early childhood and ecological predictors</w:t>
      </w:r>
      <w:r w:rsidRPr="007D15A9">
        <w:rPr>
          <w:sz w:val="24"/>
          <w:lang w:val="en-US"/>
        </w:rPr>
        <w:t xml:space="preserve">. </w:t>
      </w:r>
      <w:r w:rsidRPr="007D15A9">
        <w:rPr>
          <w:rStyle w:val="BibTitle"/>
          <w:i/>
          <w:sz w:val="24"/>
          <w:lang w:val="en-US"/>
        </w:rPr>
        <w:t>Journal of Emotional and Behavioral Disorders</w:t>
      </w:r>
      <w:r w:rsidRPr="007D15A9">
        <w:rPr>
          <w:sz w:val="24"/>
          <w:lang w:val="en-US"/>
        </w:rPr>
        <w:t xml:space="preserve">, </w:t>
      </w:r>
      <w:r w:rsidRPr="007D15A9">
        <w:rPr>
          <w:i/>
          <w:sz w:val="24"/>
          <w:lang w:val="en-US"/>
        </w:rPr>
        <w:t>19</w:t>
      </w:r>
      <w:r w:rsidRPr="007D15A9">
        <w:rPr>
          <w:sz w:val="24"/>
          <w:lang w:val="en-US"/>
        </w:rPr>
        <w:t>(4), 204–216.</w:t>
      </w:r>
      <w:bookmarkEnd w:id="14"/>
      <w:r w:rsidRPr="007D15A9">
        <w:rPr>
          <w:sz w:val="24"/>
          <w:lang w:val="en-US"/>
        </w:rPr>
        <w:t xml:space="preserve"> doi: 10.1177/1063426610383861.</w:t>
      </w:r>
    </w:p>
    <w:p w14:paraId="7B3ABFF7" w14:textId="3ECE3E17" w:rsidR="00AB7302" w:rsidRPr="007D15A9" w:rsidRDefault="00B54611" w:rsidP="00CF60BB">
      <w:pPr>
        <w:pStyle w:val="BibEntry"/>
        <w:spacing w:line="480" w:lineRule="auto"/>
        <w:rPr>
          <w:sz w:val="24"/>
          <w:lang w:val="en-US"/>
        </w:rPr>
      </w:pPr>
      <w:r w:rsidRPr="007D15A9">
        <w:rPr>
          <w:sz w:val="24"/>
          <w:lang w:val="en-US"/>
        </w:rPr>
        <w:t xml:space="preserve">Thapar, A., Langley, K., Fowler, T., Rice, F., Turic, D., Whittinger, N., Aggleton, J., Van Den Bree, M., Owen, M., &amp; O’Donovan, M. (2005). </w:t>
      </w:r>
      <w:r w:rsidRPr="007D15A9">
        <w:rPr>
          <w:rStyle w:val="BibDocTitle"/>
          <w:color w:val="auto"/>
          <w:sz w:val="24"/>
          <w:lang w:val="en-US"/>
        </w:rPr>
        <w:t xml:space="preserve">Catechol </w:t>
      </w:r>
      <w:r w:rsidRPr="007D15A9">
        <w:rPr>
          <w:rStyle w:val="BibDocTitle"/>
          <w:i/>
          <w:color w:val="auto"/>
          <w:sz w:val="24"/>
          <w:lang w:val="en-US"/>
        </w:rPr>
        <w:t>O</w:t>
      </w:r>
      <w:r w:rsidRPr="007D15A9">
        <w:rPr>
          <w:rStyle w:val="BibDocTitle"/>
          <w:color w:val="auto"/>
          <w:sz w:val="24"/>
          <w:lang w:val="en-US"/>
        </w:rPr>
        <w:t>-methyltransferase gene variant and birth weight predict early-onset antisocial behavior in children with attention-</w:t>
      </w:r>
      <w:r w:rsidRPr="007D15A9">
        <w:rPr>
          <w:rStyle w:val="BibDocTitle"/>
          <w:color w:val="auto"/>
          <w:sz w:val="24"/>
          <w:lang w:val="en-US"/>
        </w:rPr>
        <w:lastRenderedPageBreak/>
        <w:t>deficit/hyperactivity disorder</w:t>
      </w:r>
      <w:r w:rsidRPr="007D15A9">
        <w:rPr>
          <w:sz w:val="24"/>
          <w:lang w:val="en-US"/>
        </w:rPr>
        <w:t xml:space="preserve">. </w:t>
      </w:r>
      <w:r w:rsidRPr="007D15A9">
        <w:rPr>
          <w:rStyle w:val="BibTitle"/>
          <w:i/>
          <w:sz w:val="24"/>
          <w:lang w:val="en-US"/>
        </w:rPr>
        <w:t>Archives of General Psychiatry</w:t>
      </w:r>
      <w:r w:rsidRPr="007D15A9">
        <w:rPr>
          <w:sz w:val="24"/>
          <w:lang w:val="en-US"/>
        </w:rPr>
        <w:t xml:space="preserve">, </w:t>
      </w:r>
      <w:r w:rsidRPr="007D15A9">
        <w:rPr>
          <w:i/>
          <w:sz w:val="24"/>
          <w:lang w:val="en-US"/>
        </w:rPr>
        <w:t>62</w:t>
      </w:r>
      <w:r w:rsidRPr="007D15A9">
        <w:rPr>
          <w:sz w:val="24"/>
          <w:lang w:val="en-US"/>
        </w:rPr>
        <w:t>(11), 1275–1278. doi: 10.1001/archpsyc.62.11.1275.</w:t>
      </w:r>
    </w:p>
    <w:p w14:paraId="12B0324B" w14:textId="6EF5CFD8" w:rsidR="0091486D" w:rsidRPr="007D15A9" w:rsidRDefault="0091486D" w:rsidP="00C32F5C">
      <w:pPr>
        <w:pStyle w:val="EndNoteBibliography"/>
        <w:spacing w:after="0" w:line="480" w:lineRule="auto"/>
        <w:ind w:left="274" w:hanging="274"/>
        <w:rPr>
          <w:rFonts w:ascii="Times New Roman" w:hAnsi="Times New Roman"/>
          <w:noProof w:val="0"/>
          <w:sz w:val="24"/>
          <w:szCs w:val="24"/>
        </w:rPr>
      </w:pPr>
      <w:bookmarkStart w:id="15" w:name="_ENREF_23"/>
      <w:r w:rsidRPr="007D15A9">
        <w:rPr>
          <w:rFonts w:ascii="Times New Roman" w:hAnsi="Times New Roman"/>
          <w:noProof w:val="0"/>
          <w:sz w:val="24"/>
          <w:szCs w:val="24"/>
        </w:rPr>
        <w:t xml:space="preserve">Tremblay, R. E., Nagin, D. S., Seguin, J. R., Zoccolillo, M., Zelazo, P. D., Boivin, M., . . . Japel, C. (2004). Physical aggression during early childhood: Trajectories and predictors. </w:t>
      </w:r>
      <w:r w:rsidRPr="007D15A9">
        <w:rPr>
          <w:rFonts w:ascii="Times New Roman" w:hAnsi="Times New Roman"/>
          <w:i/>
          <w:noProof w:val="0"/>
          <w:sz w:val="24"/>
          <w:szCs w:val="24"/>
        </w:rPr>
        <w:t>Pediatrics, 114</w:t>
      </w:r>
      <w:r w:rsidRPr="007D15A9">
        <w:rPr>
          <w:rFonts w:ascii="Times New Roman" w:hAnsi="Times New Roman"/>
          <w:noProof w:val="0"/>
          <w:sz w:val="24"/>
          <w:szCs w:val="24"/>
        </w:rPr>
        <w:t>(1), E43</w:t>
      </w:r>
      <w:r w:rsidR="007F4B29" w:rsidRPr="007D15A9">
        <w:rPr>
          <w:sz w:val="24"/>
        </w:rPr>
        <w:t>–</w:t>
      </w:r>
      <w:r w:rsidRPr="007D15A9">
        <w:rPr>
          <w:rFonts w:ascii="Times New Roman" w:hAnsi="Times New Roman"/>
          <w:noProof w:val="0"/>
          <w:sz w:val="24"/>
          <w:szCs w:val="24"/>
        </w:rPr>
        <w:t>E50. doi: 10.1542/peds.114.1.e43</w:t>
      </w:r>
      <w:r w:rsidR="003D4D3B" w:rsidRPr="007D15A9">
        <w:rPr>
          <w:rFonts w:ascii="Times New Roman" w:hAnsi="Times New Roman"/>
          <w:noProof w:val="0"/>
          <w:sz w:val="24"/>
          <w:szCs w:val="24"/>
        </w:rPr>
        <w:t>.</w:t>
      </w:r>
    </w:p>
    <w:p w14:paraId="17E34E5C" w14:textId="67337FFC" w:rsidR="00AB7302" w:rsidRPr="007D15A9" w:rsidRDefault="00B54611" w:rsidP="00CF60BB">
      <w:pPr>
        <w:pStyle w:val="BibEntry"/>
        <w:spacing w:line="480" w:lineRule="auto"/>
        <w:rPr>
          <w:sz w:val="24"/>
          <w:lang w:val="en-US"/>
        </w:rPr>
      </w:pPr>
      <w:r w:rsidRPr="007D15A9">
        <w:rPr>
          <w:sz w:val="24"/>
          <w:lang w:val="en-US"/>
        </w:rPr>
        <w:t xml:space="preserve">Tunbridge, E. M., Bannerman, D. M., Sharp, T., &amp; Harrison, P. J. (2004). </w:t>
      </w:r>
      <w:r w:rsidRPr="007D15A9">
        <w:rPr>
          <w:rStyle w:val="BibDocTitle"/>
          <w:color w:val="auto"/>
          <w:sz w:val="24"/>
          <w:lang w:val="en-US"/>
        </w:rPr>
        <w:t>Catechol-</w:t>
      </w:r>
      <w:r w:rsidRPr="007D15A9">
        <w:rPr>
          <w:rStyle w:val="BibDocTitle"/>
          <w:i/>
          <w:color w:val="auto"/>
          <w:sz w:val="24"/>
          <w:lang w:val="en-US"/>
        </w:rPr>
        <w:t>O</w:t>
      </w:r>
      <w:r w:rsidRPr="007D15A9">
        <w:rPr>
          <w:rStyle w:val="BibDocTitle"/>
          <w:color w:val="auto"/>
          <w:sz w:val="24"/>
          <w:lang w:val="en-US"/>
        </w:rPr>
        <w:t>-methyltransferase inhibition improves set-shifting performance and elevates stimulated dopamine release in the rat prefrontal cortex</w:t>
      </w:r>
      <w:r w:rsidRPr="007D15A9">
        <w:rPr>
          <w:sz w:val="24"/>
          <w:lang w:val="en-US"/>
        </w:rPr>
        <w:t xml:space="preserve">. </w:t>
      </w:r>
      <w:r w:rsidR="00A153E7" w:rsidRPr="007D15A9">
        <w:rPr>
          <w:rStyle w:val="BibTitle"/>
          <w:i/>
          <w:sz w:val="24"/>
          <w:lang w:val="en-US"/>
        </w:rPr>
        <w:t>Journal of Neuroscience: the Official Journal of the Society for Neuroscience</w:t>
      </w:r>
      <w:r w:rsidRPr="007D15A9">
        <w:rPr>
          <w:sz w:val="24"/>
          <w:lang w:val="en-US"/>
        </w:rPr>
        <w:t xml:space="preserve">, </w:t>
      </w:r>
      <w:r w:rsidRPr="007D15A9">
        <w:rPr>
          <w:i/>
          <w:sz w:val="24"/>
          <w:lang w:val="en-US"/>
        </w:rPr>
        <w:t>24</w:t>
      </w:r>
      <w:r w:rsidRPr="007D15A9">
        <w:rPr>
          <w:sz w:val="24"/>
          <w:lang w:val="en-US"/>
        </w:rPr>
        <w:t>(23), 5331–5335. doi:</w:t>
      </w:r>
      <w:r w:rsidR="007F4B29">
        <w:rPr>
          <w:sz w:val="24"/>
          <w:lang w:val="en-US"/>
        </w:rPr>
        <w:t xml:space="preserve"> </w:t>
      </w:r>
      <w:r w:rsidRPr="007D15A9">
        <w:rPr>
          <w:sz w:val="24"/>
          <w:lang w:val="en-US"/>
        </w:rPr>
        <w:t>10.1523/JNEUROSCI.1124-04.2004.</w:t>
      </w:r>
      <w:bookmarkEnd w:id="15"/>
    </w:p>
    <w:p w14:paraId="0641DAFE" w14:textId="71252AC5" w:rsidR="00AB7302" w:rsidRPr="007D15A9" w:rsidRDefault="00B54611" w:rsidP="00CF60BB">
      <w:pPr>
        <w:pStyle w:val="BibEntry"/>
        <w:spacing w:line="480" w:lineRule="auto"/>
        <w:rPr>
          <w:sz w:val="24"/>
          <w:lang w:val="en-US"/>
        </w:rPr>
      </w:pPr>
      <w:r w:rsidRPr="007D15A9">
        <w:rPr>
          <w:sz w:val="24"/>
          <w:lang w:val="en-US"/>
        </w:rPr>
        <w:t xml:space="preserve">Weinshilboum, R. M., Otterness, D. M., &amp; Szumlanski, C. L. (1999). </w:t>
      </w:r>
      <w:r w:rsidRPr="007D15A9">
        <w:rPr>
          <w:rStyle w:val="BibDocTitle"/>
          <w:color w:val="auto"/>
          <w:sz w:val="24"/>
          <w:lang w:val="en-US"/>
        </w:rPr>
        <w:t xml:space="preserve">Methylation pharmacogenetics: Catechol </w:t>
      </w:r>
      <w:r w:rsidRPr="007D15A9">
        <w:rPr>
          <w:rStyle w:val="BibDocTitle"/>
          <w:i/>
          <w:color w:val="auto"/>
          <w:sz w:val="24"/>
          <w:lang w:val="en-US"/>
        </w:rPr>
        <w:t>O</w:t>
      </w:r>
      <w:r w:rsidRPr="007D15A9">
        <w:rPr>
          <w:rStyle w:val="BibDocTitle"/>
          <w:color w:val="auto"/>
          <w:sz w:val="24"/>
          <w:lang w:val="en-US"/>
        </w:rPr>
        <w:t xml:space="preserve">-methyltransferase, thiopurine methyltransferase, and histamine </w:t>
      </w:r>
      <w:r w:rsidRPr="007D15A9">
        <w:rPr>
          <w:rStyle w:val="BibDocTitle"/>
          <w:i/>
          <w:color w:val="auto"/>
          <w:sz w:val="24"/>
          <w:lang w:val="en-US"/>
        </w:rPr>
        <w:t>N</w:t>
      </w:r>
      <w:r w:rsidRPr="007D15A9">
        <w:rPr>
          <w:rStyle w:val="BibDocTitle"/>
          <w:color w:val="auto"/>
          <w:sz w:val="24"/>
          <w:lang w:val="en-US"/>
        </w:rPr>
        <w:t>-methyltransferase</w:t>
      </w:r>
      <w:r w:rsidRPr="007D15A9">
        <w:rPr>
          <w:sz w:val="24"/>
          <w:lang w:val="en-US"/>
        </w:rPr>
        <w:t xml:space="preserve">. </w:t>
      </w:r>
      <w:r w:rsidRPr="007D15A9">
        <w:rPr>
          <w:rStyle w:val="BibTitle"/>
          <w:i/>
          <w:sz w:val="24"/>
          <w:lang w:val="en-US"/>
        </w:rPr>
        <w:t>Annu</w:t>
      </w:r>
      <w:r w:rsidR="00A153E7" w:rsidRPr="007D15A9">
        <w:rPr>
          <w:rStyle w:val="BibTitle"/>
          <w:i/>
          <w:sz w:val="24"/>
          <w:lang w:val="en-US"/>
        </w:rPr>
        <w:t>al</w:t>
      </w:r>
      <w:r w:rsidRPr="007D15A9">
        <w:rPr>
          <w:rStyle w:val="BibTitle"/>
          <w:i/>
          <w:sz w:val="24"/>
          <w:lang w:val="en-US"/>
        </w:rPr>
        <w:t xml:space="preserve"> Rev</w:t>
      </w:r>
      <w:r w:rsidR="00A153E7" w:rsidRPr="007D15A9">
        <w:rPr>
          <w:rStyle w:val="BibTitle"/>
          <w:i/>
          <w:sz w:val="24"/>
          <w:lang w:val="en-US"/>
        </w:rPr>
        <w:t>iew of</w:t>
      </w:r>
      <w:r w:rsidRPr="007D15A9">
        <w:rPr>
          <w:rStyle w:val="BibTitle"/>
          <w:i/>
          <w:sz w:val="24"/>
          <w:lang w:val="en-US"/>
        </w:rPr>
        <w:t xml:space="preserve"> Pharmacol</w:t>
      </w:r>
      <w:r w:rsidR="00A153E7" w:rsidRPr="007D15A9">
        <w:rPr>
          <w:rStyle w:val="BibTitle"/>
          <w:i/>
          <w:sz w:val="24"/>
          <w:lang w:val="en-US"/>
        </w:rPr>
        <w:t>ogy and</w:t>
      </w:r>
      <w:r w:rsidRPr="007D15A9">
        <w:rPr>
          <w:rStyle w:val="BibTitle"/>
          <w:i/>
          <w:sz w:val="24"/>
          <w:lang w:val="en-US"/>
        </w:rPr>
        <w:t xml:space="preserve"> Toxicol</w:t>
      </w:r>
      <w:r w:rsidR="00A153E7" w:rsidRPr="007D15A9">
        <w:rPr>
          <w:rStyle w:val="BibTitle"/>
          <w:i/>
          <w:sz w:val="24"/>
          <w:lang w:val="en-US"/>
        </w:rPr>
        <w:t>ogy</w:t>
      </w:r>
      <w:r w:rsidRPr="007D15A9">
        <w:rPr>
          <w:sz w:val="24"/>
          <w:lang w:val="en-US"/>
        </w:rPr>
        <w:t xml:space="preserve">, </w:t>
      </w:r>
      <w:r w:rsidRPr="007D15A9">
        <w:rPr>
          <w:i/>
          <w:sz w:val="24"/>
          <w:lang w:val="en-US"/>
        </w:rPr>
        <w:t>39</w:t>
      </w:r>
      <w:r w:rsidRPr="007D15A9">
        <w:rPr>
          <w:sz w:val="24"/>
          <w:lang w:val="en-US"/>
        </w:rPr>
        <w:t>, 19–52. doi: 10.1146/annurev.pharmtox.39.1.19.</w:t>
      </w:r>
    </w:p>
    <w:p w14:paraId="0C8622AB" w14:textId="730C6139" w:rsidR="00392A9F" w:rsidRPr="007D15A9" w:rsidRDefault="00392A9F" w:rsidP="00C32F5C">
      <w:pPr>
        <w:pStyle w:val="EndNoteBibliography"/>
        <w:spacing w:after="0" w:line="480" w:lineRule="auto"/>
        <w:ind w:left="274" w:hanging="274"/>
        <w:rPr>
          <w:rFonts w:ascii="Times New Roman" w:hAnsi="Times New Roman"/>
          <w:noProof w:val="0"/>
          <w:sz w:val="24"/>
          <w:szCs w:val="24"/>
        </w:rPr>
      </w:pPr>
      <w:bookmarkStart w:id="16" w:name="_ENREF_10"/>
      <w:bookmarkStart w:id="17" w:name="_ENREF_2"/>
      <w:r w:rsidRPr="007D15A9">
        <w:rPr>
          <w:rFonts w:ascii="Times New Roman" w:hAnsi="Times New Roman"/>
          <w:noProof w:val="0"/>
          <w:sz w:val="24"/>
          <w:szCs w:val="24"/>
        </w:rPr>
        <w:t xml:space="preserve">van IJzendoorn, M. H., &amp; Bakermans-Kranenburg, M. J. (in Press). Genetic </w:t>
      </w:r>
      <w:r w:rsidR="007F4B29">
        <w:rPr>
          <w:rFonts w:ascii="Times New Roman" w:hAnsi="Times New Roman"/>
          <w:noProof w:val="0"/>
          <w:sz w:val="24"/>
          <w:szCs w:val="24"/>
        </w:rPr>
        <w:t>d</w:t>
      </w:r>
      <w:r w:rsidRPr="007D15A9">
        <w:rPr>
          <w:rFonts w:ascii="Times New Roman" w:hAnsi="Times New Roman"/>
          <w:noProof w:val="0"/>
          <w:sz w:val="24"/>
          <w:szCs w:val="24"/>
        </w:rPr>
        <w:t xml:space="preserve">ifferential </w:t>
      </w:r>
      <w:r w:rsidR="007F4B29">
        <w:rPr>
          <w:rFonts w:ascii="Times New Roman" w:hAnsi="Times New Roman"/>
          <w:noProof w:val="0"/>
          <w:sz w:val="24"/>
          <w:szCs w:val="24"/>
        </w:rPr>
        <w:t>s</w:t>
      </w:r>
      <w:r w:rsidRPr="007D15A9">
        <w:rPr>
          <w:rFonts w:ascii="Times New Roman" w:hAnsi="Times New Roman"/>
          <w:noProof w:val="0"/>
          <w:sz w:val="24"/>
          <w:szCs w:val="24"/>
        </w:rPr>
        <w:t xml:space="preserve">usceptibility on </w:t>
      </w:r>
      <w:r w:rsidR="007F4B29">
        <w:rPr>
          <w:rFonts w:ascii="Times New Roman" w:hAnsi="Times New Roman"/>
          <w:noProof w:val="0"/>
          <w:sz w:val="24"/>
          <w:szCs w:val="24"/>
        </w:rPr>
        <w:t>t</w:t>
      </w:r>
      <w:r w:rsidRPr="007D15A9">
        <w:rPr>
          <w:rFonts w:ascii="Times New Roman" w:hAnsi="Times New Roman"/>
          <w:noProof w:val="0"/>
          <w:sz w:val="24"/>
          <w:szCs w:val="24"/>
        </w:rPr>
        <w:t xml:space="preserve">rial: </w:t>
      </w:r>
      <w:r w:rsidR="007F4B29">
        <w:rPr>
          <w:rFonts w:ascii="Times New Roman" w:hAnsi="Times New Roman"/>
          <w:noProof w:val="0"/>
          <w:sz w:val="24"/>
          <w:szCs w:val="24"/>
        </w:rPr>
        <w:t>M</w:t>
      </w:r>
      <w:r w:rsidRPr="007D15A9">
        <w:rPr>
          <w:rFonts w:ascii="Times New Roman" w:hAnsi="Times New Roman"/>
          <w:noProof w:val="0"/>
          <w:sz w:val="24"/>
          <w:szCs w:val="24"/>
        </w:rPr>
        <w:t>eta-</w:t>
      </w:r>
      <w:r w:rsidR="007F4B29">
        <w:rPr>
          <w:rFonts w:ascii="Times New Roman" w:hAnsi="Times New Roman"/>
          <w:noProof w:val="0"/>
          <w:sz w:val="24"/>
          <w:szCs w:val="24"/>
        </w:rPr>
        <w:t>a</w:t>
      </w:r>
      <w:r w:rsidRPr="007D15A9">
        <w:rPr>
          <w:rFonts w:ascii="Times New Roman" w:hAnsi="Times New Roman"/>
          <w:noProof w:val="0"/>
          <w:sz w:val="24"/>
          <w:szCs w:val="24"/>
        </w:rPr>
        <w:t xml:space="preserve">nalytic </w:t>
      </w:r>
      <w:r w:rsidR="007F4B29">
        <w:rPr>
          <w:rFonts w:ascii="Times New Roman" w:hAnsi="Times New Roman"/>
          <w:noProof w:val="0"/>
          <w:sz w:val="24"/>
          <w:szCs w:val="24"/>
        </w:rPr>
        <w:t>s</w:t>
      </w:r>
      <w:r w:rsidRPr="007D15A9">
        <w:rPr>
          <w:rFonts w:ascii="Times New Roman" w:hAnsi="Times New Roman"/>
          <w:noProof w:val="0"/>
          <w:sz w:val="24"/>
          <w:szCs w:val="24"/>
        </w:rPr>
        <w:t xml:space="preserve">upport from </w:t>
      </w:r>
      <w:r w:rsidR="007F4B29">
        <w:rPr>
          <w:rFonts w:ascii="Times New Roman" w:hAnsi="Times New Roman"/>
          <w:noProof w:val="0"/>
          <w:sz w:val="24"/>
          <w:szCs w:val="24"/>
        </w:rPr>
        <w:t>r</w:t>
      </w:r>
      <w:r w:rsidRPr="007D15A9">
        <w:rPr>
          <w:rFonts w:ascii="Times New Roman" w:hAnsi="Times New Roman"/>
          <w:noProof w:val="0"/>
          <w:sz w:val="24"/>
          <w:szCs w:val="24"/>
        </w:rPr>
        <w:t xml:space="preserve">andomized </w:t>
      </w:r>
      <w:r w:rsidR="007F4B29">
        <w:rPr>
          <w:rFonts w:ascii="Times New Roman" w:hAnsi="Times New Roman"/>
          <w:noProof w:val="0"/>
          <w:sz w:val="24"/>
          <w:szCs w:val="24"/>
        </w:rPr>
        <w:t>c</w:t>
      </w:r>
      <w:r w:rsidRPr="007D15A9">
        <w:rPr>
          <w:rFonts w:ascii="Times New Roman" w:hAnsi="Times New Roman"/>
          <w:noProof w:val="0"/>
          <w:sz w:val="24"/>
          <w:szCs w:val="24"/>
        </w:rPr>
        <w:t xml:space="preserve">ontrolled </w:t>
      </w:r>
      <w:r w:rsidR="007F4B29">
        <w:rPr>
          <w:rFonts w:ascii="Times New Roman" w:hAnsi="Times New Roman"/>
          <w:noProof w:val="0"/>
          <w:sz w:val="24"/>
          <w:szCs w:val="24"/>
        </w:rPr>
        <w:t>e</w:t>
      </w:r>
      <w:r w:rsidRPr="007D15A9">
        <w:rPr>
          <w:rFonts w:ascii="Times New Roman" w:hAnsi="Times New Roman"/>
          <w:noProof w:val="0"/>
          <w:sz w:val="24"/>
          <w:szCs w:val="24"/>
        </w:rPr>
        <w:t xml:space="preserve">xperiments. </w:t>
      </w:r>
      <w:r w:rsidRPr="007D15A9">
        <w:rPr>
          <w:rFonts w:ascii="Times New Roman" w:hAnsi="Times New Roman"/>
          <w:i/>
          <w:noProof w:val="0"/>
          <w:sz w:val="24"/>
          <w:szCs w:val="24"/>
        </w:rPr>
        <w:t>Development and Psychopathology</w:t>
      </w:r>
      <w:r w:rsidRPr="007D15A9">
        <w:rPr>
          <w:rFonts w:ascii="Times New Roman" w:hAnsi="Times New Roman"/>
          <w:noProof w:val="0"/>
          <w:sz w:val="24"/>
          <w:szCs w:val="24"/>
        </w:rPr>
        <w:t xml:space="preserve">. </w:t>
      </w:r>
      <w:bookmarkEnd w:id="16"/>
    </w:p>
    <w:p w14:paraId="277B0543" w14:textId="6A341A23" w:rsidR="00AB7302" w:rsidRPr="007D15A9" w:rsidRDefault="00B54611" w:rsidP="00CF60BB">
      <w:pPr>
        <w:pStyle w:val="BibEntry"/>
        <w:spacing w:line="480" w:lineRule="auto"/>
        <w:rPr>
          <w:sz w:val="24"/>
          <w:lang w:val="en-US"/>
        </w:rPr>
      </w:pPr>
      <w:r w:rsidRPr="00CB0DDB">
        <w:rPr>
          <w:sz w:val="24"/>
          <w:lang w:val="en-US"/>
        </w:rPr>
        <w:t xml:space="preserve">Wichstrøm, L., Berg-Nielsen, T. S., Angold, A., Egger, H. L., Solheim, E., &amp; Sveen, T. H. (2012). </w:t>
      </w:r>
      <w:r w:rsidRPr="007D15A9">
        <w:rPr>
          <w:rStyle w:val="BibDocTitle"/>
          <w:color w:val="auto"/>
          <w:sz w:val="24"/>
          <w:lang w:val="en-US"/>
        </w:rPr>
        <w:t>Prevalence of psychiatric disorders in preschoolers</w:t>
      </w:r>
      <w:r w:rsidRPr="007D15A9">
        <w:rPr>
          <w:sz w:val="24"/>
          <w:lang w:val="en-US"/>
        </w:rPr>
        <w:t xml:space="preserve">. </w:t>
      </w:r>
      <w:r w:rsidR="00A153E7" w:rsidRPr="007D15A9">
        <w:rPr>
          <w:rStyle w:val="BibTitle"/>
          <w:i/>
          <w:sz w:val="24"/>
          <w:lang w:val="en-US"/>
        </w:rPr>
        <w:t>Journal of Child Psychology and Psychiatry, and Allied Disciplines</w:t>
      </w:r>
      <w:r w:rsidRPr="007D15A9">
        <w:rPr>
          <w:sz w:val="24"/>
          <w:lang w:val="en-US"/>
        </w:rPr>
        <w:t xml:space="preserve">, </w:t>
      </w:r>
      <w:r w:rsidRPr="007D15A9">
        <w:rPr>
          <w:i/>
          <w:sz w:val="24"/>
          <w:lang w:val="en-US"/>
        </w:rPr>
        <w:t>53</w:t>
      </w:r>
      <w:r w:rsidRPr="007D15A9">
        <w:rPr>
          <w:sz w:val="24"/>
          <w:lang w:val="en-US"/>
        </w:rPr>
        <w:t xml:space="preserve">(6), 695–705. </w:t>
      </w:r>
      <w:bookmarkEnd w:id="17"/>
      <w:r w:rsidRPr="007D15A9">
        <w:rPr>
          <w:sz w:val="24"/>
          <w:lang w:val="en-US"/>
        </w:rPr>
        <w:t>doi: 10.1111/j.1469-7610.2011.02514.x.</w:t>
      </w:r>
    </w:p>
    <w:p w14:paraId="35859DA7" w14:textId="34ABF94E" w:rsidR="00AB7302" w:rsidRPr="007D15A9" w:rsidRDefault="00B54611" w:rsidP="00CF60BB">
      <w:pPr>
        <w:pStyle w:val="BibEntry"/>
        <w:spacing w:line="480" w:lineRule="auto"/>
        <w:rPr>
          <w:sz w:val="24"/>
          <w:lang w:val="en-US"/>
        </w:rPr>
      </w:pPr>
      <w:bookmarkStart w:id="18" w:name="_ENREF_24"/>
      <w:r w:rsidRPr="007D15A9">
        <w:rPr>
          <w:sz w:val="24"/>
          <w:lang w:val="en-US"/>
        </w:rPr>
        <w:t xml:space="preserve">Widaman, K. F., Helm, J. L., Castro-Schilo, L., Pluess, M., Stallings, M. C., &amp; Belsky, J. (2012). </w:t>
      </w:r>
      <w:r w:rsidRPr="007D15A9">
        <w:rPr>
          <w:rStyle w:val="BibDocTitle"/>
          <w:color w:val="auto"/>
          <w:sz w:val="24"/>
          <w:lang w:val="en-US"/>
        </w:rPr>
        <w:t>Distinguishing ordinal and disordinal interactions</w:t>
      </w:r>
      <w:r w:rsidRPr="007D15A9">
        <w:rPr>
          <w:sz w:val="24"/>
          <w:lang w:val="en-US"/>
        </w:rPr>
        <w:t xml:space="preserve">. </w:t>
      </w:r>
      <w:r w:rsidRPr="007D15A9">
        <w:rPr>
          <w:rStyle w:val="BibTitle"/>
          <w:i/>
          <w:sz w:val="24"/>
          <w:lang w:val="en-US"/>
        </w:rPr>
        <w:t>Psychological Methods</w:t>
      </w:r>
      <w:r w:rsidRPr="007D15A9">
        <w:rPr>
          <w:sz w:val="24"/>
          <w:lang w:val="en-US"/>
        </w:rPr>
        <w:t xml:space="preserve">, </w:t>
      </w:r>
      <w:r w:rsidRPr="007D15A9">
        <w:rPr>
          <w:i/>
          <w:sz w:val="24"/>
          <w:lang w:val="en-US"/>
        </w:rPr>
        <w:t>17</w:t>
      </w:r>
      <w:r w:rsidRPr="007D15A9">
        <w:rPr>
          <w:sz w:val="24"/>
          <w:lang w:val="en-US"/>
        </w:rPr>
        <w:t>(4), 615–622.</w:t>
      </w:r>
      <w:bookmarkEnd w:id="18"/>
      <w:r w:rsidRPr="007D15A9">
        <w:rPr>
          <w:sz w:val="24"/>
          <w:lang w:val="en-US"/>
        </w:rPr>
        <w:t xml:space="preserve"> doi: 10.1037/a0030003.</w:t>
      </w:r>
    </w:p>
    <w:p w14:paraId="61FDDFFD" w14:textId="62229091" w:rsidR="00AB7302" w:rsidRPr="007D15A9" w:rsidRDefault="00B54611" w:rsidP="00CF60BB">
      <w:pPr>
        <w:pStyle w:val="BibEntry"/>
        <w:spacing w:line="480" w:lineRule="auto"/>
        <w:rPr>
          <w:sz w:val="24"/>
          <w:lang w:val="en-US"/>
        </w:rPr>
      </w:pPr>
      <w:bookmarkStart w:id="19" w:name="_ENREF_25"/>
      <w:r w:rsidRPr="007D15A9">
        <w:rPr>
          <w:sz w:val="24"/>
          <w:lang w:val="en-US"/>
        </w:rPr>
        <w:lastRenderedPageBreak/>
        <w:t xml:space="preserve">Wirgenes, K. V., Djurovic, S., Sundet, K., Agartz, I., Mattingsdal, M., Athanasiu, L., Melle, I., &amp; Andreassen, O. A. (2010). </w:t>
      </w:r>
      <w:r w:rsidRPr="007D15A9">
        <w:rPr>
          <w:rStyle w:val="BibDocTitle"/>
          <w:color w:val="auto"/>
          <w:sz w:val="24"/>
          <w:lang w:val="en-US"/>
        </w:rPr>
        <w:t xml:space="preserve">Catechol </w:t>
      </w:r>
      <w:r w:rsidRPr="007D15A9">
        <w:rPr>
          <w:rStyle w:val="BibDocTitle"/>
          <w:i/>
          <w:color w:val="auto"/>
          <w:sz w:val="24"/>
          <w:lang w:val="en-US"/>
        </w:rPr>
        <w:t>O</w:t>
      </w:r>
      <w:r w:rsidRPr="007D15A9">
        <w:rPr>
          <w:rStyle w:val="BibDocTitle"/>
          <w:color w:val="auto"/>
          <w:sz w:val="24"/>
          <w:lang w:val="en-US"/>
        </w:rPr>
        <w:t>-methyltransferase variants and cognitive performance in schizophrenia and bipolar disorder versus controls</w:t>
      </w:r>
      <w:r w:rsidRPr="007D15A9">
        <w:rPr>
          <w:sz w:val="24"/>
          <w:lang w:val="en-US"/>
        </w:rPr>
        <w:t xml:space="preserve">. </w:t>
      </w:r>
      <w:r w:rsidRPr="007D15A9">
        <w:rPr>
          <w:rStyle w:val="BibTitle"/>
          <w:i/>
          <w:sz w:val="24"/>
          <w:lang w:val="en-US"/>
        </w:rPr>
        <w:t>Schizophrenia Research</w:t>
      </w:r>
      <w:r w:rsidRPr="007D15A9">
        <w:rPr>
          <w:sz w:val="24"/>
          <w:lang w:val="en-US"/>
        </w:rPr>
        <w:t xml:space="preserve">, </w:t>
      </w:r>
      <w:r w:rsidRPr="007D15A9">
        <w:rPr>
          <w:i/>
          <w:sz w:val="24"/>
          <w:lang w:val="en-US"/>
        </w:rPr>
        <w:t>122</w:t>
      </w:r>
      <w:r w:rsidRPr="007D15A9">
        <w:rPr>
          <w:sz w:val="24"/>
          <w:lang w:val="en-US"/>
        </w:rPr>
        <w:t>(1-3), 31–37.</w:t>
      </w:r>
      <w:bookmarkEnd w:id="19"/>
      <w:r w:rsidRPr="007D15A9">
        <w:rPr>
          <w:sz w:val="24"/>
          <w:lang w:val="en-US"/>
        </w:rPr>
        <w:t xml:space="preserve"> doi: 10.1016/j.schres.2010.05.007.</w:t>
      </w:r>
    </w:p>
    <w:p w14:paraId="6386E252" w14:textId="27BAB808" w:rsidR="00AB7302" w:rsidRPr="007D15A9" w:rsidRDefault="00B54611" w:rsidP="00CF60BB">
      <w:pPr>
        <w:pStyle w:val="BibEntry"/>
        <w:spacing w:line="480" w:lineRule="auto"/>
        <w:rPr>
          <w:sz w:val="24"/>
          <w:lang w:val="en-US"/>
        </w:rPr>
      </w:pPr>
      <w:r w:rsidRPr="007D15A9">
        <w:rPr>
          <w:sz w:val="24"/>
          <w:lang w:val="en-US"/>
        </w:rPr>
        <w:t xml:space="preserve">Wittwer, C. T., Ririe, K. M., Andrew, R. V., David, D. A., Gundry, R. A., &amp; Balis, U. J. (1997). </w:t>
      </w:r>
      <w:r w:rsidR="00A153E7" w:rsidRPr="007D15A9">
        <w:rPr>
          <w:rStyle w:val="BibDocTitle"/>
          <w:color w:val="auto"/>
          <w:sz w:val="24"/>
          <w:lang w:val="en-US"/>
        </w:rPr>
        <w:t>The LightCycler: A microvolume multisample fluorimeter with rapid temperature control</w:t>
      </w:r>
      <w:r w:rsidRPr="007D15A9">
        <w:rPr>
          <w:sz w:val="24"/>
          <w:lang w:val="en-US"/>
        </w:rPr>
        <w:t xml:space="preserve">. </w:t>
      </w:r>
      <w:r w:rsidRPr="007D15A9">
        <w:rPr>
          <w:rStyle w:val="BibTitle"/>
          <w:i/>
          <w:sz w:val="24"/>
          <w:lang w:val="en-US"/>
        </w:rPr>
        <w:t>BioTechniques</w:t>
      </w:r>
      <w:r w:rsidRPr="007D15A9">
        <w:rPr>
          <w:sz w:val="24"/>
          <w:lang w:val="en-US"/>
        </w:rPr>
        <w:t xml:space="preserve">, </w:t>
      </w:r>
      <w:r w:rsidRPr="007D15A9">
        <w:rPr>
          <w:i/>
          <w:sz w:val="24"/>
          <w:lang w:val="en-US"/>
        </w:rPr>
        <w:t>22</w:t>
      </w:r>
      <w:r w:rsidRPr="007D15A9">
        <w:rPr>
          <w:sz w:val="24"/>
          <w:lang w:val="en-US"/>
        </w:rPr>
        <w:t>(1), 176–181.</w:t>
      </w:r>
    </w:p>
    <w:p w14:paraId="48A555D4" w14:textId="588C9BE2" w:rsidR="00AB7302" w:rsidRPr="007D15A9" w:rsidRDefault="00B54611" w:rsidP="00CF60BB">
      <w:pPr>
        <w:pStyle w:val="BibEntry"/>
        <w:spacing w:line="480" w:lineRule="auto"/>
        <w:rPr>
          <w:sz w:val="24"/>
          <w:lang w:val="en-US"/>
        </w:rPr>
      </w:pPr>
      <w:r w:rsidRPr="007D15A9">
        <w:rPr>
          <w:sz w:val="24"/>
          <w:lang w:val="en-US"/>
        </w:rPr>
        <w:t xml:space="preserve">Yang, Y. L., &amp; Raine, A. (2009). </w:t>
      </w:r>
      <w:r w:rsidRPr="007D15A9">
        <w:rPr>
          <w:rStyle w:val="BibDocTitle"/>
          <w:color w:val="auto"/>
          <w:sz w:val="24"/>
          <w:lang w:val="en-US"/>
        </w:rPr>
        <w:t>Prefrontal structural and functional brain imaging findings in antisocial, violent, and psychopathic individuals: A meta-analysis</w:t>
      </w:r>
      <w:r w:rsidRPr="007D15A9">
        <w:rPr>
          <w:sz w:val="24"/>
          <w:lang w:val="en-US"/>
        </w:rPr>
        <w:t xml:space="preserve">. </w:t>
      </w:r>
      <w:r w:rsidRPr="007D15A9">
        <w:rPr>
          <w:rStyle w:val="BibTitle"/>
          <w:i/>
          <w:sz w:val="24"/>
          <w:lang w:val="en-US"/>
        </w:rPr>
        <w:t>Psychiatry Research</w:t>
      </w:r>
      <w:r w:rsidRPr="007D15A9">
        <w:rPr>
          <w:sz w:val="24"/>
          <w:lang w:val="en-US"/>
        </w:rPr>
        <w:t xml:space="preserve">, </w:t>
      </w:r>
      <w:r w:rsidRPr="007D15A9">
        <w:rPr>
          <w:i/>
          <w:sz w:val="24"/>
          <w:lang w:val="en-US"/>
        </w:rPr>
        <w:t>174</w:t>
      </w:r>
      <w:r w:rsidRPr="007D15A9">
        <w:rPr>
          <w:sz w:val="24"/>
          <w:lang w:val="en-US"/>
        </w:rPr>
        <w:t>(2), 81–88. doi: 10.1016/j.pscychresns.2009.03.012.</w:t>
      </w:r>
    </w:p>
    <w:p w14:paraId="09DA9164" w14:textId="26D923ED" w:rsidR="00AB7302" w:rsidRPr="007D15A9" w:rsidRDefault="00B54611" w:rsidP="00CF60BB">
      <w:pPr>
        <w:pStyle w:val="BibEntry"/>
        <w:spacing w:line="480" w:lineRule="auto"/>
        <w:rPr>
          <w:sz w:val="24"/>
          <w:lang w:val="en-US"/>
        </w:rPr>
      </w:pPr>
      <w:r w:rsidRPr="007D15A9">
        <w:rPr>
          <w:sz w:val="24"/>
          <w:lang w:val="en-US"/>
        </w:rPr>
        <w:t xml:space="preserve">Zohsel, K., Buchmann, A. F., Blomeyer, D., Hohm, E., Schmidt, M. H., Esser, G., Brandeis, D., Banaschewski, T., &amp; Laucht, M. (2014). </w:t>
      </w:r>
      <w:r w:rsidRPr="007D15A9">
        <w:rPr>
          <w:rStyle w:val="BibDocTitle"/>
          <w:color w:val="auto"/>
          <w:sz w:val="24"/>
          <w:lang w:val="en-US"/>
        </w:rPr>
        <w:t>Mothers’ prenatal stress and their children’s antisocial outcomes—A moderating role for the dopamine receptor D4 (DRD4) gene</w:t>
      </w:r>
      <w:r w:rsidRPr="007D15A9">
        <w:rPr>
          <w:sz w:val="24"/>
          <w:lang w:val="en-US"/>
        </w:rPr>
        <w:t xml:space="preserve">. </w:t>
      </w:r>
      <w:r w:rsidR="009232AD" w:rsidRPr="007D15A9">
        <w:rPr>
          <w:rStyle w:val="BibTitle"/>
          <w:i/>
          <w:sz w:val="24"/>
          <w:lang w:val="en-US"/>
        </w:rPr>
        <w:t>Journal of Child Psychology and Psychiatry, and Allied Disciplines</w:t>
      </w:r>
      <w:r w:rsidRPr="007D15A9">
        <w:rPr>
          <w:sz w:val="24"/>
          <w:lang w:val="en-US"/>
        </w:rPr>
        <w:t xml:space="preserve">, </w:t>
      </w:r>
      <w:r w:rsidRPr="007D15A9">
        <w:rPr>
          <w:i/>
          <w:sz w:val="24"/>
          <w:lang w:val="en-US"/>
        </w:rPr>
        <w:t>55</w:t>
      </w:r>
      <w:r w:rsidRPr="007D15A9">
        <w:rPr>
          <w:sz w:val="24"/>
          <w:lang w:val="en-US"/>
        </w:rPr>
        <w:t>(1), 69–76. doi: 10.1111/jcpp.12138.</w:t>
      </w:r>
    </w:p>
    <w:p w14:paraId="6308F589" w14:textId="612D4757" w:rsidR="00F3400C" w:rsidRPr="007D15A9" w:rsidRDefault="00F3400C" w:rsidP="007F4B29">
      <w:pPr>
        <w:pStyle w:val="BibEntry"/>
        <w:spacing w:line="480" w:lineRule="auto"/>
        <w:rPr>
          <w:sz w:val="24"/>
          <w:lang w:val="en-US"/>
        </w:rPr>
      </w:pPr>
      <w:r w:rsidRPr="007D15A9">
        <w:rPr>
          <w:sz w:val="24"/>
          <w:lang w:val="en-US"/>
        </w:rPr>
        <w:t xml:space="preserve">Zuckerman, M. (1999). </w:t>
      </w:r>
      <w:r w:rsidRPr="007D15A9">
        <w:rPr>
          <w:rStyle w:val="BibDocTitle"/>
          <w:i/>
          <w:color w:val="auto"/>
          <w:sz w:val="24"/>
          <w:lang w:val="en-US"/>
        </w:rPr>
        <w:t>Vulnerability to psychopathology: A biosocial model</w:t>
      </w:r>
      <w:r w:rsidRPr="007D15A9">
        <w:rPr>
          <w:sz w:val="24"/>
          <w:lang w:val="en-US"/>
        </w:rPr>
        <w:t xml:space="preserve">. </w:t>
      </w:r>
      <w:r w:rsidRPr="007D15A9">
        <w:rPr>
          <w:rStyle w:val="BibTitle"/>
          <w:sz w:val="24"/>
          <w:lang w:val="en-US"/>
        </w:rPr>
        <w:t>Washington, DC: American Psychological Association.</w:t>
      </w:r>
    </w:p>
    <w:p w14:paraId="210867F8" w14:textId="1E23D93C" w:rsidR="00C9327E" w:rsidRPr="007D15A9" w:rsidRDefault="00B54611" w:rsidP="00C9327E">
      <w:pPr>
        <w:spacing w:line="480" w:lineRule="auto"/>
        <w:rPr>
          <w:i/>
          <w:sz w:val="24"/>
          <w:lang w:val="en-US"/>
        </w:rPr>
      </w:pPr>
      <w:r w:rsidRPr="007D15A9">
        <w:rPr>
          <w:sz w:val="24"/>
          <w:lang w:val="en-US"/>
        </w:rPr>
        <w:br w:type="page"/>
      </w:r>
      <w:r w:rsidR="00C9327E" w:rsidRPr="007D15A9">
        <w:rPr>
          <w:b/>
          <w:sz w:val="24"/>
          <w:lang w:val="en-US"/>
        </w:rPr>
        <w:lastRenderedPageBreak/>
        <w:t>Table 1.</w:t>
      </w:r>
      <w:r w:rsidR="00C9327E" w:rsidRPr="007D15A9">
        <w:rPr>
          <w:sz w:val="24"/>
          <w:lang w:val="en-US"/>
        </w:rPr>
        <w:t xml:space="preserve"> </w:t>
      </w:r>
      <w:r w:rsidR="00C9327E" w:rsidRPr="007D15A9">
        <w:rPr>
          <w:i/>
          <w:sz w:val="24"/>
          <w:lang w:val="en-US"/>
        </w:rPr>
        <w:t>Sample characteristics (N = 704)</w:t>
      </w:r>
    </w:p>
    <w:tbl>
      <w:tblPr>
        <w:tblW w:w="8872" w:type="dxa"/>
        <w:tblCellMar>
          <w:left w:w="70" w:type="dxa"/>
          <w:right w:w="70" w:type="dxa"/>
        </w:tblCellMar>
        <w:tblLook w:val="04A0" w:firstRow="1" w:lastRow="0" w:firstColumn="1" w:lastColumn="0" w:noHBand="0" w:noVBand="1"/>
      </w:tblPr>
      <w:tblGrid>
        <w:gridCol w:w="4118"/>
        <w:gridCol w:w="880"/>
        <w:gridCol w:w="780"/>
        <w:gridCol w:w="1167"/>
        <w:gridCol w:w="1207"/>
        <w:gridCol w:w="720"/>
      </w:tblGrid>
      <w:tr w:rsidR="00C9327E" w:rsidRPr="007D15A9" w14:paraId="396301D9" w14:textId="77777777" w:rsidTr="00CF60BB">
        <w:trPr>
          <w:trHeight w:val="315"/>
        </w:trPr>
        <w:tc>
          <w:tcPr>
            <w:tcW w:w="4118" w:type="dxa"/>
            <w:tcBorders>
              <w:left w:val="nil"/>
              <w:bottom w:val="single" w:sz="4" w:space="0" w:color="auto"/>
              <w:right w:val="nil"/>
            </w:tcBorders>
            <w:shd w:val="clear" w:color="auto" w:fill="auto"/>
            <w:noWrap/>
            <w:vAlign w:val="center"/>
            <w:hideMark/>
          </w:tcPr>
          <w:p w14:paraId="5A89693D" w14:textId="77777777" w:rsidR="00C9327E" w:rsidRPr="007D15A9" w:rsidRDefault="00C9327E">
            <w:pPr>
              <w:spacing w:line="480" w:lineRule="auto"/>
              <w:jc w:val="center"/>
              <w:rPr>
                <w:b/>
                <w:color w:val="000000"/>
                <w:sz w:val="24"/>
                <w:lang w:val="en-US"/>
              </w:rPr>
            </w:pPr>
            <w:r w:rsidRPr="007D15A9">
              <w:rPr>
                <w:b/>
                <w:color w:val="000000"/>
                <w:sz w:val="24"/>
                <w:lang w:val="en-US"/>
              </w:rPr>
              <w:t>Variable</w:t>
            </w:r>
          </w:p>
        </w:tc>
        <w:tc>
          <w:tcPr>
            <w:tcW w:w="880" w:type="dxa"/>
            <w:tcBorders>
              <w:left w:val="nil"/>
              <w:bottom w:val="single" w:sz="4" w:space="0" w:color="auto"/>
              <w:right w:val="nil"/>
            </w:tcBorders>
            <w:shd w:val="clear" w:color="auto" w:fill="auto"/>
            <w:noWrap/>
            <w:vAlign w:val="center"/>
            <w:hideMark/>
          </w:tcPr>
          <w:p w14:paraId="64972253" w14:textId="77777777" w:rsidR="00C9327E" w:rsidRPr="007D15A9" w:rsidRDefault="00C9327E">
            <w:pPr>
              <w:spacing w:line="480" w:lineRule="auto"/>
              <w:jc w:val="center"/>
              <w:rPr>
                <w:b/>
                <w:color w:val="000000"/>
                <w:sz w:val="24"/>
                <w:lang w:val="en-US"/>
              </w:rPr>
            </w:pPr>
            <w:r w:rsidRPr="007D15A9">
              <w:rPr>
                <w:b/>
                <w:color w:val="000000"/>
                <w:sz w:val="24"/>
                <w:lang w:val="en-US"/>
              </w:rPr>
              <w:t>M</w:t>
            </w:r>
          </w:p>
        </w:tc>
        <w:tc>
          <w:tcPr>
            <w:tcW w:w="780" w:type="dxa"/>
            <w:tcBorders>
              <w:left w:val="nil"/>
              <w:bottom w:val="single" w:sz="4" w:space="0" w:color="auto"/>
              <w:right w:val="nil"/>
            </w:tcBorders>
            <w:shd w:val="clear" w:color="auto" w:fill="auto"/>
            <w:noWrap/>
            <w:vAlign w:val="center"/>
            <w:hideMark/>
          </w:tcPr>
          <w:p w14:paraId="150CA9D7" w14:textId="77777777" w:rsidR="00C9327E" w:rsidRPr="007D15A9" w:rsidRDefault="00C9327E">
            <w:pPr>
              <w:spacing w:line="480" w:lineRule="auto"/>
              <w:jc w:val="center"/>
              <w:rPr>
                <w:b/>
                <w:color w:val="000000"/>
                <w:sz w:val="24"/>
                <w:lang w:val="en-US"/>
              </w:rPr>
            </w:pPr>
            <w:r w:rsidRPr="007D15A9">
              <w:rPr>
                <w:b/>
                <w:color w:val="000000"/>
                <w:sz w:val="24"/>
                <w:lang w:val="en-US"/>
              </w:rPr>
              <w:t>SD</w:t>
            </w:r>
          </w:p>
        </w:tc>
        <w:tc>
          <w:tcPr>
            <w:tcW w:w="1167" w:type="dxa"/>
            <w:tcBorders>
              <w:left w:val="nil"/>
              <w:bottom w:val="single" w:sz="4" w:space="0" w:color="auto"/>
              <w:right w:val="nil"/>
            </w:tcBorders>
            <w:shd w:val="clear" w:color="auto" w:fill="auto"/>
            <w:noWrap/>
            <w:vAlign w:val="center"/>
            <w:hideMark/>
          </w:tcPr>
          <w:p w14:paraId="21DC4EDC" w14:textId="77777777" w:rsidR="00C9327E" w:rsidRPr="007D15A9" w:rsidRDefault="00C9327E">
            <w:pPr>
              <w:spacing w:line="480" w:lineRule="auto"/>
              <w:jc w:val="center"/>
              <w:rPr>
                <w:b/>
                <w:color w:val="000000"/>
                <w:sz w:val="24"/>
                <w:lang w:val="en-US"/>
              </w:rPr>
            </w:pPr>
            <w:r w:rsidRPr="007D15A9">
              <w:rPr>
                <w:b/>
                <w:color w:val="000000"/>
                <w:sz w:val="24"/>
                <w:lang w:val="en-US"/>
              </w:rPr>
              <w:t>Minimum</w:t>
            </w:r>
          </w:p>
        </w:tc>
        <w:tc>
          <w:tcPr>
            <w:tcW w:w="1207" w:type="dxa"/>
            <w:tcBorders>
              <w:left w:val="nil"/>
              <w:bottom w:val="single" w:sz="4" w:space="0" w:color="auto"/>
              <w:right w:val="nil"/>
            </w:tcBorders>
            <w:shd w:val="clear" w:color="auto" w:fill="auto"/>
            <w:noWrap/>
            <w:vAlign w:val="center"/>
            <w:hideMark/>
          </w:tcPr>
          <w:p w14:paraId="1BCA18C7" w14:textId="77777777" w:rsidR="00C9327E" w:rsidRPr="007D15A9" w:rsidRDefault="00C9327E">
            <w:pPr>
              <w:spacing w:line="480" w:lineRule="auto"/>
              <w:jc w:val="center"/>
              <w:rPr>
                <w:b/>
                <w:color w:val="000000"/>
                <w:sz w:val="24"/>
                <w:lang w:val="en-US"/>
              </w:rPr>
            </w:pPr>
            <w:r w:rsidRPr="007D15A9">
              <w:rPr>
                <w:b/>
                <w:color w:val="000000"/>
                <w:sz w:val="24"/>
                <w:lang w:val="en-US"/>
              </w:rPr>
              <w:t>Maximum</w:t>
            </w:r>
          </w:p>
        </w:tc>
        <w:tc>
          <w:tcPr>
            <w:tcW w:w="720" w:type="dxa"/>
            <w:tcBorders>
              <w:left w:val="nil"/>
              <w:bottom w:val="single" w:sz="4" w:space="0" w:color="auto"/>
              <w:right w:val="nil"/>
            </w:tcBorders>
            <w:shd w:val="clear" w:color="auto" w:fill="auto"/>
            <w:noWrap/>
            <w:vAlign w:val="center"/>
            <w:hideMark/>
          </w:tcPr>
          <w:p w14:paraId="33254F61" w14:textId="77777777" w:rsidR="00C9327E" w:rsidRPr="007D15A9" w:rsidRDefault="00C9327E">
            <w:pPr>
              <w:spacing w:line="480" w:lineRule="auto"/>
              <w:jc w:val="center"/>
              <w:rPr>
                <w:b/>
                <w:color w:val="000000"/>
                <w:sz w:val="24"/>
                <w:lang w:val="en-US"/>
              </w:rPr>
            </w:pPr>
            <w:r w:rsidRPr="007D15A9">
              <w:rPr>
                <w:b/>
                <w:color w:val="000000"/>
                <w:sz w:val="24"/>
                <w:lang w:val="en-US"/>
              </w:rPr>
              <w:t>N</w:t>
            </w:r>
          </w:p>
        </w:tc>
      </w:tr>
      <w:tr w:rsidR="00C9327E" w:rsidRPr="007D15A9" w14:paraId="3658C7E2" w14:textId="77777777" w:rsidTr="00CF60BB">
        <w:trPr>
          <w:trHeight w:val="315"/>
        </w:trPr>
        <w:tc>
          <w:tcPr>
            <w:tcW w:w="4118" w:type="dxa"/>
            <w:tcBorders>
              <w:top w:val="nil"/>
              <w:left w:val="nil"/>
              <w:bottom w:val="nil"/>
              <w:right w:val="nil"/>
            </w:tcBorders>
            <w:shd w:val="clear" w:color="auto" w:fill="auto"/>
            <w:noWrap/>
            <w:hideMark/>
          </w:tcPr>
          <w:p w14:paraId="264AB1DB" w14:textId="77777777" w:rsidR="00C9327E" w:rsidRPr="007D15A9" w:rsidRDefault="00C9327E">
            <w:pPr>
              <w:spacing w:line="480" w:lineRule="auto"/>
              <w:rPr>
                <w:b/>
                <w:color w:val="000000"/>
                <w:sz w:val="24"/>
                <w:lang w:val="en-US"/>
              </w:rPr>
            </w:pPr>
            <w:r w:rsidRPr="007D15A9">
              <w:rPr>
                <w:b/>
                <w:color w:val="000000"/>
                <w:sz w:val="24"/>
                <w:lang w:val="en-US"/>
              </w:rPr>
              <w:t>Demographics</w:t>
            </w:r>
          </w:p>
        </w:tc>
        <w:tc>
          <w:tcPr>
            <w:tcW w:w="880" w:type="dxa"/>
            <w:tcBorders>
              <w:top w:val="nil"/>
              <w:left w:val="nil"/>
              <w:bottom w:val="nil"/>
              <w:right w:val="nil"/>
            </w:tcBorders>
            <w:shd w:val="clear" w:color="auto" w:fill="auto"/>
            <w:noWrap/>
            <w:vAlign w:val="center"/>
            <w:hideMark/>
          </w:tcPr>
          <w:p w14:paraId="1A95F81A" w14:textId="77777777" w:rsidR="00C9327E" w:rsidRPr="007D15A9" w:rsidRDefault="00C9327E">
            <w:pPr>
              <w:spacing w:line="480" w:lineRule="auto"/>
              <w:jc w:val="center"/>
              <w:rPr>
                <w:color w:val="000000"/>
                <w:sz w:val="24"/>
                <w:lang w:val="en-US"/>
              </w:rPr>
            </w:pPr>
          </w:p>
        </w:tc>
        <w:tc>
          <w:tcPr>
            <w:tcW w:w="780" w:type="dxa"/>
            <w:tcBorders>
              <w:top w:val="nil"/>
              <w:left w:val="nil"/>
              <w:bottom w:val="nil"/>
              <w:right w:val="nil"/>
            </w:tcBorders>
            <w:shd w:val="clear" w:color="auto" w:fill="auto"/>
            <w:noWrap/>
            <w:vAlign w:val="center"/>
            <w:hideMark/>
          </w:tcPr>
          <w:p w14:paraId="065BB33F" w14:textId="77777777" w:rsidR="00C9327E" w:rsidRPr="007D15A9" w:rsidRDefault="00C9327E">
            <w:pPr>
              <w:spacing w:line="480" w:lineRule="auto"/>
              <w:jc w:val="center"/>
              <w:rPr>
                <w:color w:val="000000"/>
                <w:sz w:val="24"/>
                <w:lang w:val="en-US"/>
              </w:rPr>
            </w:pPr>
          </w:p>
        </w:tc>
        <w:tc>
          <w:tcPr>
            <w:tcW w:w="1167" w:type="dxa"/>
            <w:tcBorders>
              <w:top w:val="nil"/>
              <w:left w:val="nil"/>
              <w:bottom w:val="nil"/>
              <w:right w:val="nil"/>
            </w:tcBorders>
            <w:shd w:val="clear" w:color="auto" w:fill="auto"/>
            <w:noWrap/>
            <w:vAlign w:val="center"/>
            <w:hideMark/>
          </w:tcPr>
          <w:p w14:paraId="06F83B67" w14:textId="77777777" w:rsidR="00C9327E" w:rsidRPr="007D15A9" w:rsidRDefault="00C9327E">
            <w:pPr>
              <w:spacing w:line="480" w:lineRule="auto"/>
              <w:jc w:val="center"/>
              <w:rPr>
                <w:color w:val="000000"/>
                <w:sz w:val="24"/>
                <w:lang w:val="en-US"/>
              </w:rPr>
            </w:pPr>
          </w:p>
        </w:tc>
        <w:tc>
          <w:tcPr>
            <w:tcW w:w="1207" w:type="dxa"/>
            <w:tcBorders>
              <w:top w:val="nil"/>
              <w:left w:val="nil"/>
              <w:bottom w:val="nil"/>
              <w:right w:val="nil"/>
            </w:tcBorders>
            <w:shd w:val="clear" w:color="auto" w:fill="auto"/>
            <w:noWrap/>
            <w:vAlign w:val="center"/>
            <w:hideMark/>
          </w:tcPr>
          <w:p w14:paraId="7C0B84C7" w14:textId="77777777" w:rsidR="00C9327E" w:rsidRPr="007D15A9" w:rsidRDefault="00C9327E">
            <w:pPr>
              <w:spacing w:line="480" w:lineRule="auto"/>
              <w:jc w:val="center"/>
              <w:rPr>
                <w:color w:val="000000"/>
                <w:sz w:val="24"/>
                <w:lang w:val="en-US"/>
              </w:rPr>
            </w:pPr>
          </w:p>
        </w:tc>
        <w:tc>
          <w:tcPr>
            <w:tcW w:w="720" w:type="dxa"/>
            <w:tcBorders>
              <w:top w:val="nil"/>
              <w:left w:val="nil"/>
              <w:bottom w:val="nil"/>
              <w:right w:val="nil"/>
            </w:tcBorders>
            <w:shd w:val="clear" w:color="auto" w:fill="auto"/>
            <w:noWrap/>
            <w:vAlign w:val="center"/>
            <w:hideMark/>
          </w:tcPr>
          <w:p w14:paraId="60F1C67E" w14:textId="77777777" w:rsidR="00C9327E" w:rsidRPr="007D15A9" w:rsidRDefault="00C9327E">
            <w:pPr>
              <w:spacing w:line="480" w:lineRule="auto"/>
              <w:jc w:val="center"/>
              <w:rPr>
                <w:color w:val="000000"/>
                <w:sz w:val="24"/>
                <w:lang w:val="en-US"/>
              </w:rPr>
            </w:pPr>
          </w:p>
        </w:tc>
      </w:tr>
      <w:tr w:rsidR="00C9327E" w:rsidRPr="007D15A9" w14:paraId="13CA6F39" w14:textId="77777777" w:rsidTr="00CF60BB">
        <w:trPr>
          <w:trHeight w:val="315"/>
        </w:trPr>
        <w:tc>
          <w:tcPr>
            <w:tcW w:w="4118" w:type="dxa"/>
            <w:tcBorders>
              <w:top w:val="nil"/>
              <w:left w:val="nil"/>
              <w:bottom w:val="nil"/>
              <w:right w:val="nil"/>
            </w:tcBorders>
            <w:shd w:val="clear" w:color="auto" w:fill="auto"/>
            <w:noWrap/>
            <w:hideMark/>
          </w:tcPr>
          <w:p w14:paraId="06F90977" w14:textId="77777777" w:rsidR="00C9327E" w:rsidRPr="007D15A9" w:rsidRDefault="00C9327E">
            <w:pPr>
              <w:spacing w:line="480" w:lineRule="auto"/>
              <w:rPr>
                <w:color w:val="000000"/>
                <w:sz w:val="24"/>
                <w:lang w:val="en-US"/>
              </w:rPr>
            </w:pPr>
            <w:r w:rsidRPr="007D15A9">
              <w:rPr>
                <w:color w:val="000000"/>
                <w:sz w:val="24"/>
                <w:lang w:val="en-US"/>
              </w:rPr>
              <w:t>Child age (months)</w:t>
            </w:r>
          </w:p>
        </w:tc>
        <w:tc>
          <w:tcPr>
            <w:tcW w:w="880" w:type="dxa"/>
            <w:tcBorders>
              <w:top w:val="nil"/>
              <w:left w:val="nil"/>
              <w:bottom w:val="nil"/>
              <w:right w:val="nil"/>
            </w:tcBorders>
            <w:shd w:val="clear" w:color="auto" w:fill="auto"/>
            <w:noWrap/>
            <w:vAlign w:val="bottom"/>
          </w:tcPr>
          <w:p w14:paraId="1AECBDF9" w14:textId="77777777" w:rsidR="00C9327E" w:rsidRPr="007D15A9" w:rsidRDefault="00C9327E">
            <w:pPr>
              <w:spacing w:line="480" w:lineRule="auto"/>
              <w:jc w:val="right"/>
              <w:rPr>
                <w:color w:val="000000"/>
                <w:sz w:val="24"/>
                <w:lang w:val="en-US"/>
              </w:rPr>
            </w:pPr>
            <w:r w:rsidRPr="007D15A9">
              <w:rPr>
                <w:color w:val="000000"/>
                <w:sz w:val="24"/>
                <w:lang w:val="en-US"/>
              </w:rPr>
              <w:t>54.79</w:t>
            </w:r>
          </w:p>
        </w:tc>
        <w:tc>
          <w:tcPr>
            <w:tcW w:w="780" w:type="dxa"/>
            <w:tcBorders>
              <w:top w:val="nil"/>
              <w:left w:val="nil"/>
              <w:bottom w:val="nil"/>
              <w:right w:val="nil"/>
            </w:tcBorders>
            <w:shd w:val="clear" w:color="auto" w:fill="auto"/>
            <w:noWrap/>
            <w:vAlign w:val="bottom"/>
          </w:tcPr>
          <w:p w14:paraId="0740C597" w14:textId="77777777" w:rsidR="00C9327E" w:rsidRPr="007D15A9" w:rsidRDefault="00C9327E">
            <w:pPr>
              <w:spacing w:line="480" w:lineRule="auto"/>
              <w:jc w:val="right"/>
              <w:rPr>
                <w:color w:val="000000"/>
                <w:sz w:val="24"/>
                <w:lang w:val="en-US"/>
              </w:rPr>
            </w:pPr>
            <w:r w:rsidRPr="007D15A9">
              <w:rPr>
                <w:color w:val="000000"/>
                <w:sz w:val="24"/>
                <w:lang w:val="en-US"/>
              </w:rPr>
              <w:t>2.97</w:t>
            </w:r>
          </w:p>
        </w:tc>
        <w:tc>
          <w:tcPr>
            <w:tcW w:w="1167" w:type="dxa"/>
            <w:tcBorders>
              <w:top w:val="nil"/>
              <w:left w:val="nil"/>
              <w:bottom w:val="nil"/>
              <w:right w:val="nil"/>
            </w:tcBorders>
            <w:shd w:val="clear" w:color="auto" w:fill="auto"/>
            <w:noWrap/>
            <w:vAlign w:val="bottom"/>
          </w:tcPr>
          <w:p w14:paraId="5AE8D3F2" w14:textId="77777777" w:rsidR="00C9327E" w:rsidRPr="007D15A9" w:rsidRDefault="00C9327E">
            <w:pPr>
              <w:spacing w:line="480" w:lineRule="auto"/>
              <w:jc w:val="right"/>
              <w:rPr>
                <w:color w:val="000000"/>
                <w:sz w:val="24"/>
                <w:lang w:val="en-US"/>
              </w:rPr>
            </w:pPr>
            <w:r w:rsidRPr="007D15A9">
              <w:rPr>
                <w:color w:val="000000"/>
                <w:sz w:val="24"/>
                <w:lang w:val="en-US"/>
              </w:rPr>
              <w:t>48.17</w:t>
            </w:r>
          </w:p>
        </w:tc>
        <w:tc>
          <w:tcPr>
            <w:tcW w:w="1207" w:type="dxa"/>
            <w:tcBorders>
              <w:top w:val="nil"/>
              <w:left w:val="nil"/>
              <w:bottom w:val="nil"/>
              <w:right w:val="nil"/>
            </w:tcBorders>
            <w:shd w:val="clear" w:color="auto" w:fill="auto"/>
            <w:noWrap/>
            <w:vAlign w:val="bottom"/>
          </w:tcPr>
          <w:p w14:paraId="3117DD8E" w14:textId="77777777" w:rsidR="00C9327E" w:rsidRPr="007D15A9" w:rsidRDefault="00C9327E">
            <w:pPr>
              <w:spacing w:line="480" w:lineRule="auto"/>
              <w:jc w:val="right"/>
              <w:rPr>
                <w:color w:val="000000"/>
                <w:sz w:val="24"/>
                <w:lang w:val="en-US"/>
              </w:rPr>
            </w:pPr>
            <w:r w:rsidRPr="007D15A9">
              <w:rPr>
                <w:color w:val="000000"/>
                <w:sz w:val="24"/>
                <w:lang w:val="en-US"/>
              </w:rPr>
              <w:t>67.81</w:t>
            </w:r>
          </w:p>
        </w:tc>
        <w:tc>
          <w:tcPr>
            <w:tcW w:w="720" w:type="dxa"/>
            <w:tcBorders>
              <w:top w:val="nil"/>
              <w:left w:val="nil"/>
              <w:bottom w:val="nil"/>
              <w:right w:val="nil"/>
            </w:tcBorders>
            <w:shd w:val="clear" w:color="auto" w:fill="auto"/>
            <w:noWrap/>
            <w:vAlign w:val="bottom"/>
          </w:tcPr>
          <w:p w14:paraId="7B9B66FA" w14:textId="77777777" w:rsidR="00C9327E" w:rsidRPr="007D15A9" w:rsidRDefault="00C9327E">
            <w:pPr>
              <w:spacing w:line="480" w:lineRule="auto"/>
              <w:jc w:val="right"/>
              <w:rPr>
                <w:color w:val="000000"/>
                <w:sz w:val="24"/>
                <w:lang w:val="en-US"/>
              </w:rPr>
            </w:pPr>
            <w:r w:rsidRPr="007D15A9">
              <w:rPr>
                <w:color w:val="000000"/>
                <w:sz w:val="24"/>
                <w:lang w:val="en-US"/>
              </w:rPr>
              <w:t>656</w:t>
            </w:r>
          </w:p>
        </w:tc>
      </w:tr>
      <w:tr w:rsidR="00C9327E" w:rsidRPr="007D15A9" w14:paraId="1ECB4026" w14:textId="77777777" w:rsidTr="00CF60BB">
        <w:trPr>
          <w:trHeight w:val="315"/>
        </w:trPr>
        <w:tc>
          <w:tcPr>
            <w:tcW w:w="4118" w:type="dxa"/>
            <w:tcBorders>
              <w:top w:val="nil"/>
              <w:left w:val="nil"/>
              <w:bottom w:val="nil"/>
              <w:right w:val="nil"/>
            </w:tcBorders>
            <w:shd w:val="clear" w:color="auto" w:fill="auto"/>
            <w:noWrap/>
            <w:hideMark/>
          </w:tcPr>
          <w:p w14:paraId="58198E7C" w14:textId="77777777" w:rsidR="00C9327E" w:rsidRPr="007D15A9" w:rsidRDefault="00C9327E">
            <w:pPr>
              <w:spacing w:line="480" w:lineRule="auto"/>
              <w:rPr>
                <w:color w:val="000000"/>
                <w:sz w:val="24"/>
                <w:lang w:val="en-US"/>
              </w:rPr>
            </w:pPr>
            <w:r w:rsidRPr="007D15A9">
              <w:rPr>
                <w:color w:val="000000"/>
                <w:sz w:val="24"/>
                <w:lang w:val="en-US"/>
              </w:rPr>
              <w:t>Male children (%)</w:t>
            </w:r>
          </w:p>
        </w:tc>
        <w:tc>
          <w:tcPr>
            <w:tcW w:w="880" w:type="dxa"/>
            <w:tcBorders>
              <w:top w:val="nil"/>
              <w:left w:val="nil"/>
              <w:bottom w:val="nil"/>
              <w:right w:val="nil"/>
            </w:tcBorders>
            <w:shd w:val="clear" w:color="auto" w:fill="auto"/>
            <w:noWrap/>
            <w:vAlign w:val="bottom"/>
          </w:tcPr>
          <w:p w14:paraId="677C0E66" w14:textId="77777777" w:rsidR="00C9327E" w:rsidRPr="007D15A9" w:rsidRDefault="00C9327E">
            <w:pPr>
              <w:spacing w:line="480" w:lineRule="auto"/>
              <w:jc w:val="right"/>
              <w:rPr>
                <w:color w:val="000000"/>
                <w:sz w:val="24"/>
                <w:lang w:val="en-US"/>
              </w:rPr>
            </w:pPr>
            <w:r w:rsidRPr="007D15A9">
              <w:rPr>
                <w:color w:val="000000"/>
                <w:sz w:val="24"/>
                <w:lang w:val="en-US"/>
              </w:rPr>
              <w:t>50.4%</w:t>
            </w:r>
          </w:p>
        </w:tc>
        <w:tc>
          <w:tcPr>
            <w:tcW w:w="780" w:type="dxa"/>
            <w:tcBorders>
              <w:top w:val="nil"/>
              <w:left w:val="nil"/>
              <w:bottom w:val="nil"/>
              <w:right w:val="nil"/>
            </w:tcBorders>
            <w:shd w:val="clear" w:color="auto" w:fill="auto"/>
            <w:noWrap/>
            <w:vAlign w:val="bottom"/>
          </w:tcPr>
          <w:p w14:paraId="1D4159B7"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6F1B8237" w14:textId="77777777" w:rsidR="00C9327E" w:rsidRPr="007D15A9" w:rsidRDefault="00C9327E">
            <w:pPr>
              <w:spacing w:line="480" w:lineRule="auto"/>
              <w:jc w:val="right"/>
              <w:rPr>
                <w:color w:val="000000"/>
                <w:sz w:val="24"/>
                <w:lang w:val="en-US"/>
              </w:rPr>
            </w:pPr>
          </w:p>
        </w:tc>
        <w:tc>
          <w:tcPr>
            <w:tcW w:w="1207" w:type="dxa"/>
            <w:tcBorders>
              <w:top w:val="nil"/>
              <w:left w:val="nil"/>
              <w:bottom w:val="nil"/>
              <w:right w:val="nil"/>
            </w:tcBorders>
            <w:shd w:val="clear" w:color="auto" w:fill="auto"/>
            <w:noWrap/>
            <w:vAlign w:val="bottom"/>
          </w:tcPr>
          <w:p w14:paraId="0D5F75CA"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223678F6" w14:textId="77777777" w:rsidR="00C9327E" w:rsidRPr="007D15A9" w:rsidRDefault="00C9327E">
            <w:pPr>
              <w:spacing w:line="480" w:lineRule="auto"/>
              <w:jc w:val="right"/>
              <w:rPr>
                <w:color w:val="000000"/>
                <w:sz w:val="24"/>
                <w:lang w:val="en-US"/>
              </w:rPr>
            </w:pPr>
            <w:r w:rsidRPr="007D15A9">
              <w:rPr>
                <w:color w:val="000000"/>
                <w:sz w:val="24"/>
                <w:lang w:val="en-US"/>
              </w:rPr>
              <w:t>355</w:t>
            </w:r>
          </w:p>
        </w:tc>
      </w:tr>
      <w:tr w:rsidR="00C9327E" w:rsidRPr="007D15A9" w14:paraId="22CD15FE" w14:textId="77777777" w:rsidTr="00CF60BB">
        <w:trPr>
          <w:trHeight w:val="315"/>
        </w:trPr>
        <w:tc>
          <w:tcPr>
            <w:tcW w:w="4118" w:type="dxa"/>
            <w:tcBorders>
              <w:top w:val="nil"/>
              <w:left w:val="nil"/>
              <w:bottom w:val="nil"/>
              <w:right w:val="nil"/>
            </w:tcBorders>
            <w:shd w:val="clear" w:color="auto" w:fill="auto"/>
            <w:noWrap/>
            <w:hideMark/>
          </w:tcPr>
          <w:p w14:paraId="7668AFEB" w14:textId="77777777" w:rsidR="00C9327E" w:rsidRPr="007D15A9" w:rsidRDefault="00C9327E">
            <w:pPr>
              <w:spacing w:line="480" w:lineRule="auto"/>
              <w:rPr>
                <w:color w:val="000000"/>
                <w:sz w:val="24"/>
                <w:lang w:val="en-US"/>
              </w:rPr>
            </w:pPr>
            <w:r w:rsidRPr="007D15A9">
              <w:rPr>
                <w:color w:val="000000"/>
                <w:sz w:val="24"/>
                <w:lang w:val="en-US"/>
              </w:rPr>
              <w:t>Age of parent at clinic (in years)</w:t>
            </w:r>
          </w:p>
        </w:tc>
        <w:tc>
          <w:tcPr>
            <w:tcW w:w="880" w:type="dxa"/>
            <w:tcBorders>
              <w:top w:val="nil"/>
              <w:left w:val="nil"/>
              <w:bottom w:val="nil"/>
              <w:right w:val="nil"/>
            </w:tcBorders>
            <w:shd w:val="clear" w:color="auto" w:fill="auto"/>
            <w:noWrap/>
            <w:vAlign w:val="bottom"/>
          </w:tcPr>
          <w:p w14:paraId="2931BA77" w14:textId="77777777" w:rsidR="00C9327E" w:rsidRPr="007D15A9" w:rsidRDefault="00C9327E">
            <w:pPr>
              <w:spacing w:line="480" w:lineRule="auto"/>
              <w:jc w:val="right"/>
              <w:rPr>
                <w:color w:val="000000"/>
                <w:sz w:val="24"/>
                <w:lang w:val="en-US"/>
              </w:rPr>
            </w:pPr>
            <w:r w:rsidRPr="007D15A9">
              <w:rPr>
                <w:color w:val="000000"/>
                <w:sz w:val="24"/>
                <w:lang w:val="en-US"/>
              </w:rPr>
              <w:t>35.03</w:t>
            </w:r>
          </w:p>
        </w:tc>
        <w:tc>
          <w:tcPr>
            <w:tcW w:w="780" w:type="dxa"/>
            <w:tcBorders>
              <w:top w:val="nil"/>
              <w:left w:val="nil"/>
              <w:bottom w:val="nil"/>
              <w:right w:val="nil"/>
            </w:tcBorders>
            <w:shd w:val="clear" w:color="auto" w:fill="auto"/>
            <w:noWrap/>
            <w:vAlign w:val="bottom"/>
          </w:tcPr>
          <w:p w14:paraId="73CB36E0" w14:textId="77777777" w:rsidR="00C9327E" w:rsidRPr="007D15A9" w:rsidRDefault="00C9327E">
            <w:pPr>
              <w:spacing w:line="480" w:lineRule="auto"/>
              <w:jc w:val="right"/>
              <w:rPr>
                <w:color w:val="000000"/>
                <w:sz w:val="24"/>
                <w:lang w:val="en-US"/>
              </w:rPr>
            </w:pPr>
            <w:r w:rsidRPr="007D15A9">
              <w:rPr>
                <w:color w:val="000000"/>
                <w:sz w:val="24"/>
                <w:lang w:val="en-US"/>
              </w:rPr>
              <w:t>4.72</w:t>
            </w:r>
          </w:p>
        </w:tc>
        <w:tc>
          <w:tcPr>
            <w:tcW w:w="1167" w:type="dxa"/>
            <w:tcBorders>
              <w:top w:val="nil"/>
              <w:left w:val="nil"/>
              <w:bottom w:val="nil"/>
              <w:right w:val="nil"/>
            </w:tcBorders>
            <w:shd w:val="clear" w:color="auto" w:fill="auto"/>
            <w:noWrap/>
            <w:vAlign w:val="bottom"/>
          </w:tcPr>
          <w:p w14:paraId="560532CC" w14:textId="77777777" w:rsidR="00C9327E" w:rsidRPr="007D15A9" w:rsidRDefault="00C9327E">
            <w:pPr>
              <w:spacing w:line="480" w:lineRule="auto"/>
              <w:jc w:val="right"/>
              <w:rPr>
                <w:color w:val="000000"/>
                <w:sz w:val="24"/>
                <w:lang w:val="en-US"/>
              </w:rPr>
            </w:pPr>
            <w:r w:rsidRPr="007D15A9">
              <w:rPr>
                <w:color w:val="000000"/>
                <w:sz w:val="24"/>
                <w:lang w:val="en-US"/>
              </w:rPr>
              <w:t>21.00</w:t>
            </w:r>
          </w:p>
        </w:tc>
        <w:tc>
          <w:tcPr>
            <w:tcW w:w="1207" w:type="dxa"/>
            <w:tcBorders>
              <w:top w:val="nil"/>
              <w:left w:val="nil"/>
              <w:bottom w:val="nil"/>
              <w:right w:val="nil"/>
            </w:tcBorders>
            <w:shd w:val="clear" w:color="auto" w:fill="auto"/>
            <w:noWrap/>
            <w:vAlign w:val="bottom"/>
          </w:tcPr>
          <w:p w14:paraId="207AAD07" w14:textId="77777777" w:rsidR="00C9327E" w:rsidRPr="007D15A9" w:rsidRDefault="00C9327E">
            <w:pPr>
              <w:spacing w:line="480" w:lineRule="auto"/>
              <w:jc w:val="right"/>
              <w:rPr>
                <w:color w:val="000000"/>
                <w:sz w:val="24"/>
                <w:lang w:val="en-US"/>
              </w:rPr>
            </w:pPr>
            <w:r w:rsidRPr="007D15A9">
              <w:rPr>
                <w:color w:val="000000"/>
                <w:sz w:val="24"/>
                <w:lang w:val="en-US"/>
              </w:rPr>
              <w:t>57.00</w:t>
            </w:r>
          </w:p>
        </w:tc>
        <w:tc>
          <w:tcPr>
            <w:tcW w:w="720" w:type="dxa"/>
            <w:tcBorders>
              <w:top w:val="nil"/>
              <w:left w:val="nil"/>
              <w:bottom w:val="nil"/>
              <w:right w:val="nil"/>
            </w:tcBorders>
            <w:shd w:val="clear" w:color="auto" w:fill="auto"/>
            <w:noWrap/>
            <w:vAlign w:val="bottom"/>
          </w:tcPr>
          <w:p w14:paraId="1D4CB51F" w14:textId="77777777" w:rsidR="00C9327E" w:rsidRPr="007D15A9" w:rsidRDefault="00C9327E">
            <w:pPr>
              <w:spacing w:line="480" w:lineRule="auto"/>
              <w:jc w:val="right"/>
              <w:rPr>
                <w:color w:val="000000"/>
                <w:sz w:val="24"/>
                <w:lang w:val="en-US"/>
              </w:rPr>
            </w:pPr>
            <w:r w:rsidRPr="007D15A9">
              <w:rPr>
                <w:color w:val="000000"/>
                <w:sz w:val="24"/>
                <w:lang w:val="en-US"/>
              </w:rPr>
              <w:t>666</w:t>
            </w:r>
          </w:p>
        </w:tc>
      </w:tr>
      <w:tr w:rsidR="00C9327E" w:rsidRPr="007D15A9" w14:paraId="00BD772A" w14:textId="77777777" w:rsidTr="00CF60BB">
        <w:trPr>
          <w:trHeight w:val="315"/>
        </w:trPr>
        <w:tc>
          <w:tcPr>
            <w:tcW w:w="4118" w:type="dxa"/>
            <w:tcBorders>
              <w:top w:val="nil"/>
              <w:left w:val="nil"/>
              <w:bottom w:val="nil"/>
              <w:right w:val="nil"/>
            </w:tcBorders>
            <w:shd w:val="clear" w:color="auto" w:fill="auto"/>
            <w:noWrap/>
            <w:hideMark/>
          </w:tcPr>
          <w:p w14:paraId="30D17FCD" w14:textId="77777777" w:rsidR="00C9327E" w:rsidRPr="007D15A9" w:rsidRDefault="00C9327E">
            <w:pPr>
              <w:spacing w:line="480" w:lineRule="auto"/>
              <w:rPr>
                <w:b/>
                <w:color w:val="000000"/>
                <w:sz w:val="24"/>
                <w:lang w:val="en-US"/>
              </w:rPr>
            </w:pPr>
            <w:r w:rsidRPr="007D15A9">
              <w:rPr>
                <w:b/>
                <w:color w:val="000000"/>
                <w:sz w:val="24"/>
                <w:lang w:val="en-US"/>
              </w:rPr>
              <w:t>Relation to the child</w:t>
            </w:r>
          </w:p>
        </w:tc>
        <w:tc>
          <w:tcPr>
            <w:tcW w:w="880" w:type="dxa"/>
            <w:tcBorders>
              <w:top w:val="nil"/>
              <w:left w:val="nil"/>
              <w:bottom w:val="nil"/>
              <w:right w:val="nil"/>
            </w:tcBorders>
            <w:shd w:val="clear" w:color="auto" w:fill="auto"/>
            <w:noWrap/>
            <w:vAlign w:val="bottom"/>
          </w:tcPr>
          <w:p w14:paraId="70209CBC" w14:textId="77777777" w:rsidR="00C9327E" w:rsidRPr="007D15A9" w:rsidRDefault="00C9327E">
            <w:pPr>
              <w:spacing w:line="480" w:lineRule="auto"/>
              <w:jc w:val="right"/>
              <w:rPr>
                <w:color w:val="000000"/>
                <w:sz w:val="24"/>
                <w:lang w:val="en-US"/>
              </w:rPr>
            </w:pPr>
          </w:p>
        </w:tc>
        <w:tc>
          <w:tcPr>
            <w:tcW w:w="780" w:type="dxa"/>
            <w:tcBorders>
              <w:top w:val="nil"/>
              <w:left w:val="nil"/>
              <w:bottom w:val="nil"/>
              <w:right w:val="nil"/>
            </w:tcBorders>
            <w:shd w:val="clear" w:color="auto" w:fill="auto"/>
            <w:noWrap/>
            <w:vAlign w:val="bottom"/>
          </w:tcPr>
          <w:p w14:paraId="2E29BA28"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11D74CB4" w14:textId="77777777" w:rsidR="00C9327E" w:rsidRPr="007D15A9" w:rsidRDefault="00C9327E">
            <w:pPr>
              <w:spacing w:line="480" w:lineRule="auto"/>
              <w:jc w:val="right"/>
              <w:rPr>
                <w:color w:val="000000"/>
                <w:sz w:val="24"/>
                <w:lang w:val="en-US"/>
              </w:rPr>
            </w:pPr>
          </w:p>
        </w:tc>
        <w:tc>
          <w:tcPr>
            <w:tcW w:w="1207" w:type="dxa"/>
            <w:tcBorders>
              <w:top w:val="nil"/>
              <w:left w:val="nil"/>
              <w:bottom w:val="nil"/>
              <w:right w:val="nil"/>
            </w:tcBorders>
            <w:shd w:val="clear" w:color="auto" w:fill="auto"/>
            <w:noWrap/>
            <w:vAlign w:val="bottom"/>
          </w:tcPr>
          <w:p w14:paraId="0BA64366"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047467C4" w14:textId="77777777" w:rsidR="00C9327E" w:rsidRPr="007D15A9" w:rsidRDefault="00C9327E">
            <w:pPr>
              <w:spacing w:line="480" w:lineRule="auto"/>
              <w:jc w:val="right"/>
              <w:rPr>
                <w:color w:val="000000"/>
                <w:sz w:val="24"/>
                <w:lang w:val="en-US"/>
              </w:rPr>
            </w:pPr>
          </w:p>
        </w:tc>
      </w:tr>
      <w:tr w:rsidR="00C9327E" w:rsidRPr="007D15A9" w14:paraId="2B063EC9" w14:textId="77777777" w:rsidTr="00CF60BB">
        <w:trPr>
          <w:trHeight w:val="315"/>
        </w:trPr>
        <w:tc>
          <w:tcPr>
            <w:tcW w:w="4118" w:type="dxa"/>
            <w:tcBorders>
              <w:top w:val="nil"/>
              <w:left w:val="nil"/>
              <w:bottom w:val="nil"/>
              <w:right w:val="nil"/>
            </w:tcBorders>
            <w:shd w:val="clear" w:color="auto" w:fill="auto"/>
            <w:noWrap/>
            <w:hideMark/>
          </w:tcPr>
          <w:p w14:paraId="7F913921" w14:textId="77777777" w:rsidR="00C9327E" w:rsidRPr="007D15A9" w:rsidRDefault="00C9327E">
            <w:pPr>
              <w:spacing w:line="480" w:lineRule="auto"/>
              <w:rPr>
                <w:color w:val="000000"/>
                <w:sz w:val="24"/>
                <w:lang w:val="en-US"/>
              </w:rPr>
            </w:pPr>
            <w:r w:rsidRPr="007D15A9">
              <w:rPr>
                <w:color w:val="000000"/>
                <w:sz w:val="24"/>
                <w:lang w:val="en-US"/>
              </w:rPr>
              <w:t>Biological parents (%)</w:t>
            </w:r>
          </w:p>
        </w:tc>
        <w:tc>
          <w:tcPr>
            <w:tcW w:w="880" w:type="dxa"/>
            <w:tcBorders>
              <w:top w:val="nil"/>
              <w:left w:val="nil"/>
              <w:bottom w:val="nil"/>
              <w:right w:val="nil"/>
            </w:tcBorders>
            <w:shd w:val="clear" w:color="auto" w:fill="auto"/>
            <w:noWrap/>
            <w:vAlign w:val="bottom"/>
          </w:tcPr>
          <w:p w14:paraId="0149B402" w14:textId="77777777" w:rsidR="00C9327E" w:rsidRPr="007D15A9" w:rsidRDefault="00C9327E">
            <w:pPr>
              <w:spacing w:line="480" w:lineRule="auto"/>
              <w:jc w:val="right"/>
              <w:rPr>
                <w:color w:val="000000"/>
                <w:sz w:val="24"/>
                <w:lang w:val="en-US"/>
              </w:rPr>
            </w:pPr>
            <w:r w:rsidRPr="007D15A9">
              <w:rPr>
                <w:color w:val="000000"/>
                <w:sz w:val="24"/>
                <w:lang w:val="en-US"/>
              </w:rPr>
              <w:t>98.2%</w:t>
            </w:r>
          </w:p>
        </w:tc>
        <w:tc>
          <w:tcPr>
            <w:tcW w:w="780" w:type="dxa"/>
            <w:tcBorders>
              <w:top w:val="nil"/>
              <w:left w:val="nil"/>
              <w:bottom w:val="nil"/>
              <w:right w:val="nil"/>
            </w:tcBorders>
            <w:shd w:val="clear" w:color="auto" w:fill="auto"/>
            <w:noWrap/>
            <w:vAlign w:val="bottom"/>
          </w:tcPr>
          <w:p w14:paraId="038B69E7"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166A66BD" w14:textId="77777777" w:rsidR="00C9327E" w:rsidRPr="007D15A9" w:rsidRDefault="00C9327E">
            <w:pPr>
              <w:spacing w:line="480" w:lineRule="auto"/>
              <w:jc w:val="right"/>
              <w:rPr>
                <w:color w:val="000000"/>
                <w:sz w:val="24"/>
                <w:lang w:val="en-US"/>
              </w:rPr>
            </w:pPr>
          </w:p>
        </w:tc>
        <w:tc>
          <w:tcPr>
            <w:tcW w:w="1207" w:type="dxa"/>
            <w:tcBorders>
              <w:top w:val="nil"/>
              <w:left w:val="nil"/>
              <w:bottom w:val="nil"/>
              <w:right w:val="nil"/>
            </w:tcBorders>
            <w:shd w:val="clear" w:color="auto" w:fill="auto"/>
            <w:noWrap/>
            <w:vAlign w:val="bottom"/>
          </w:tcPr>
          <w:p w14:paraId="0AF418E5"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516BAE30" w14:textId="77777777" w:rsidR="00C9327E" w:rsidRPr="007D15A9" w:rsidRDefault="00C9327E">
            <w:pPr>
              <w:spacing w:line="480" w:lineRule="auto"/>
              <w:jc w:val="right"/>
              <w:rPr>
                <w:color w:val="000000"/>
                <w:sz w:val="24"/>
                <w:lang w:val="en-US"/>
              </w:rPr>
            </w:pPr>
            <w:r w:rsidRPr="007D15A9">
              <w:rPr>
                <w:color w:val="000000"/>
                <w:sz w:val="24"/>
                <w:lang w:val="en-US"/>
              </w:rPr>
              <w:t>654</w:t>
            </w:r>
          </w:p>
        </w:tc>
      </w:tr>
      <w:tr w:rsidR="00C9327E" w:rsidRPr="007D15A9" w14:paraId="05E3D696" w14:textId="77777777" w:rsidTr="00CF60BB">
        <w:trPr>
          <w:trHeight w:val="315"/>
        </w:trPr>
        <w:tc>
          <w:tcPr>
            <w:tcW w:w="4118" w:type="dxa"/>
            <w:tcBorders>
              <w:top w:val="nil"/>
              <w:left w:val="nil"/>
              <w:bottom w:val="nil"/>
              <w:right w:val="nil"/>
            </w:tcBorders>
            <w:shd w:val="clear" w:color="auto" w:fill="auto"/>
            <w:noWrap/>
            <w:hideMark/>
          </w:tcPr>
          <w:p w14:paraId="29A37EC9" w14:textId="77777777" w:rsidR="00C9327E" w:rsidRPr="007D15A9" w:rsidRDefault="00C9327E">
            <w:pPr>
              <w:spacing w:line="480" w:lineRule="auto"/>
              <w:rPr>
                <w:color w:val="000000"/>
                <w:sz w:val="24"/>
                <w:lang w:val="en-US"/>
              </w:rPr>
            </w:pPr>
            <w:r w:rsidRPr="007D15A9">
              <w:rPr>
                <w:color w:val="000000"/>
                <w:sz w:val="24"/>
                <w:lang w:val="en-US"/>
              </w:rPr>
              <w:t>Adoptive parents (%)</w:t>
            </w:r>
          </w:p>
        </w:tc>
        <w:tc>
          <w:tcPr>
            <w:tcW w:w="880" w:type="dxa"/>
            <w:tcBorders>
              <w:top w:val="nil"/>
              <w:left w:val="nil"/>
              <w:bottom w:val="nil"/>
              <w:right w:val="nil"/>
            </w:tcBorders>
            <w:shd w:val="clear" w:color="auto" w:fill="auto"/>
            <w:noWrap/>
            <w:vAlign w:val="bottom"/>
          </w:tcPr>
          <w:p w14:paraId="0043AFBA" w14:textId="77777777" w:rsidR="00C9327E" w:rsidRPr="007D15A9" w:rsidRDefault="00C9327E">
            <w:pPr>
              <w:spacing w:line="480" w:lineRule="auto"/>
              <w:jc w:val="right"/>
              <w:rPr>
                <w:color w:val="000000"/>
                <w:sz w:val="24"/>
                <w:lang w:val="en-US"/>
              </w:rPr>
            </w:pPr>
            <w:r w:rsidRPr="007D15A9">
              <w:rPr>
                <w:color w:val="000000"/>
                <w:sz w:val="24"/>
                <w:lang w:val="en-US"/>
              </w:rPr>
              <w:t>1.2%</w:t>
            </w:r>
          </w:p>
        </w:tc>
        <w:tc>
          <w:tcPr>
            <w:tcW w:w="780" w:type="dxa"/>
            <w:tcBorders>
              <w:top w:val="nil"/>
              <w:left w:val="nil"/>
              <w:bottom w:val="nil"/>
              <w:right w:val="nil"/>
            </w:tcBorders>
            <w:shd w:val="clear" w:color="auto" w:fill="auto"/>
            <w:noWrap/>
            <w:vAlign w:val="bottom"/>
          </w:tcPr>
          <w:p w14:paraId="3FB929B8"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3D8245B2" w14:textId="77777777" w:rsidR="00C9327E" w:rsidRPr="007D15A9" w:rsidRDefault="00C9327E">
            <w:pPr>
              <w:spacing w:line="480" w:lineRule="auto"/>
              <w:jc w:val="right"/>
              <w:rPr>
                <w:color w:val="000000"/>
                <w:sz w:val="24"/>
                <w:lang w:val="en-US"/>
              </w:rPr>
            </w:pPr>
          </w:p>
        </w:tc>
        <w:tc>
          <w:tcPr>
            <w:tcW w:w="1207" w:type="dxa"/>
            <w:tcBorders>
              <w:top w:val="nil"/>
              <w:left w:val="nil"/>
              <w:bottom w:val="nil"/>
              <w:right w:val="nil"/>
            </w:tcBorders>
            <w:shd w:val="clear" w:color="auto" w:fill="auto"/>
            <w:noWrap/>
            <w:vAlign w:val="bottom"/>
          </w:tcPr>
          <w:p w14:paraId="49B89B53"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4A2B9AF0" w14:textId="77777777" w:rsidR="00C9327E" w:rsidRPr="007D15A9" w:rsidRDefault="00C9327E">
            <w:pPr>
              <w:spacing w:line="480" w:lineRule="auto"/>
              <w:jc w:val="right"/>
              <w:rPr>
                <w:color w:val="000000"/>
                <w:sz w:val="24"/>
                <w:lang w:val="en-US"/>
              </w:rPr>
            </w:pPr>
            <w:r w:rsidRPr="007D15A9">
              <w:rPr>
                <w:color w:val="000000"/>
                <w:sz w:val="24"/>
                <w:lang w:val="en-US"/>
              </w:rPr>
              <w:t>8</w:t>
            </w:r>
          </w:p>
        </w:tc>
      </w:tr>
      <w:tr w:rsidR="00C9327E" w:rsidRPr="007D15A9" w14:paraId="4849A2E9" w14:textId="77777777" w:rsidTr="00CF60BB">
        <w:trPr>
          <w:trHeight w:val="315"/>
        </w:trPr>
        <w:tc>
          <w:tcPr>
            <w:tcW w:w="4118" w:type="dxa"/>
            <w:tcBorders>
              <w:top w:val="nil"/>
              <w:left w:val="nil"/>
              <w:bottom w:val="nil"/>
              <w:right w:val="nil"/>
            </w:tcBorders>
            <w:shd w:val="clear" w:color="auto" w:fill="auto"/>
            <w:noWrap/>
            <w:hideMark/>
          </w:tcPr>
          <w:p w14:paraId="10ABF377" w14:textId="77777777" w:rsidR="00C9327E" w:rsidRPr="007D15A9" w:rsidRDefault="00C9327E">
            <w:pPr>
              <w:spacing w:line="480" w:lineRule="auto"/>
              <w:rPr>
                <w:color w:val="000000"/>
                <w:sz w:val="24"/>
                <w:lang w:val="en-US"/>
              </w:rPr>
            </w:pPr>
            <w:r w:rsidRPr="007D15A9">
              <w:rPr>
                <w:color w:val="000000"/>
                <w:sz w:val="24"/>
                <w:lang w:val="en-US"/>
              </w:rPr>
              <w:t>Stepparents (%)</w:t>
            </w:r>
          </w:p>
        </w:tc>
        <w:tc>
          <w:tcPr>
            <w:tcW w:w="880" w:type="dxa"/>
            <w:tcBorders>
              <w:top w:val="nil"/>
              <w:left w:val="nil"/>
              <w:bottom w:val="nil"/>
              <w:right w:val="nil"/>
            </w:tcBorders>
            <w:shd w:val="clear" w:color="auto" w:fill="auto"/>
            <w:noWrap/>
            <w:vAlign w:val="bottom"/>
          </w:tcPr>
          <w:p w14:paraId="2FA7CDD6" w14:textId="77777777" w:rsidR="00C9327E" w:rsidRPr="007D15A9" w:rsidRDefault="00C9327E">
            <w:pPr>
              <w:spacing w:line="480" w:lineRule="auto"/>
              <w:jc w:val="right"/>
              <w:rPr>
                <w:color w:val="000000"/>
                <w:sz w:val="24"/>
                <w:lang w:val="en-US"/>
              </w:rPr>
            </w:pPr>
            <w:r w:rsidRPr="007D15A9">
              <w:rPr>
                <w:color w:val="000000"/>
                <w:sz w:val="24"/>
                <w:lang w:val="en-US"/>
              </w:rPr>
              <w:t>0.2%</w:t>
            </w:r>
          </w:p>
        </w:tc>
        <w:tc>
          <w:tcPr>
            <w:tcW w:w="780" w:type="dxa"/>
            <w:tcBorders>
              <w:top w:val="nil"/>
              <w:left w:val="nil"/>
              <w:bottom w:val="nil"/>
              <w:right w:val="nil"/>
            </w:tcBorders>
            <w:shd w:val="clear" w:color="auto" w:fill="auto"/>
            <w:noWrap/>
            <w:vAlign w:val="bottom"/>
          </w:tcPr>
          <w:p w14:paraId="539047A8"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6119EBB8" w14:textId="77777777" w:rsidR="00C9327E" w:rsidRPr="007D15A9" w:rsidRDefault="00C9327E">
            <w:pPr>
              <w:spacing w:line="480" w:lineRule="auto"/>
              <w:jc w:val="right"/>
              <w:rPr>
                <w:color w:val="000000"/>
                <w:sz w:val="24"/>
                <w:lang w:val="en-US"/>
              </w:rPr>
            </w:pPr>
          </w:p>
        </w:tc>
        <w:tc>
          <w:tcPr>
            <w:tcW w:w="1207" w:type="dxa"/>
            <w:tcBorders>
              <w:top w:val="nil"/>
              <w:left w:val="nil"/>
              <w:bottom w:val="nil"/>
              <w:right w:val="nil"/>
            </w:tcBorders>
            <w:shd w:val="clear" w:color="auto" w:fill="auto"/>
            <w:noWrap/>
            <w:vAlign w:val="bottom"/>
          </w:tcPr>
          <w:p w14:paraId="3A74DD11"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3051AC3E" w14:textId="77777777" w:rsidR="00C9327E" w:rsidRPr="007D15A9" w:rsidRDefault="00C9327E">
            <w:pPr>
              <w:spacing w:line="480" w:lineRule="auto"/>
              <w:jc w:val="right"/>
              <w:rPr>
                <w:color w:val="000000"/>
                <w:sz w:val="24"/>
                <w:lang w:val="en-US"/>
              </w:rPr>
            </w:pPr>
            <w:r w:rsidRPr="007D15A9">
              <w:rPr>
                <w:color w:val="000000"/>
                <w:sz w:val="24"/>
                <w:lang w:val="en-US"/>
              </w:rPr>
              <w:t>1</w:t>
            </w:r>
          </w:p>
        </w:tc>
      </w:tr>
      <w:tr w:rsidR="00C9327E" w:rsidRPr="007D15A9" w14:paraId="0C0BFF6C" w14:textId="77777777" w:rsidTr="00CF60BB">
        <w:trPr>
          <w:trHeight w:val="315"/>
        </w:trPr>
        <w:tc>
          <w:tcPr>
            <w:tcW w:w="4118" w:type="dxa"/>
            <w:tcBorders>
              <w:top w:val="nil"/>
              <w:left w:val="nil"/>
              <w:bottom w:val="nil"/>
              <w:right w:val="nil"/>
            </w:tcBorders>
            <w:shd w:val="clear" w:color="auto" w:fill="auto"/>
            <w:noWrap/>
            <w:hideMark/>
          </w:tcPr>
          <w:p w14:paraId="4BFB9D0F" w14:textId="77777777" w:rsidR="00C9327E" w:rsidRPr="007D15A9" w:rsidRDefault="00C9327E">
            <w:pPr>
              <w:spacing w:line="480" w:lineRule="auto"/>
              <w:rPr>
                <w:color w:val="000000"/>
                <w:sz w:val="24"/>
                <w:lang w:val="en-US"/>
              </w:rPr>
            </w:pPr>
            <w:r w:rsidRPr="007D15A9">
              <w:rPr>
                <w:color w:val="000000"/>
                <w:sz w:val="24"/>
                <w:lang w:val="en-US"/>
              </w:rPr>
              <w:t>Foster parents</w:t>
            </w:r>
          </w:p>
        </w:tc>
        <w:tc>
          <w:tcPr>
            <w:tcW w:w="880" w:type="dxa"/>
            <w:tcBorders>
              <w:top w:val="nil"/>
              <w:left w:val="nil"/>
              <w:bottom w:val="nil"/>
              <w:right w:val="nil"/>
            </w:tcBorders>
            <w:shd w:val="clear" w:color="auto" w:fill="auto"/>
            <w:noWrap/>
            <w:vAlign w:val="bottom"/>
          </w:tcPr>
          <w:p w14:paraId="0EC52F2E" w14:textId="77777777" w:rsidR="00C9327E" w:rsidRPr="007D15A9" w:rsidRDefault="00C9327E">
            <w:pPr>
              <w:spacing w:line="480" w:lineRule="auto"/>
              <w:jc w:val="right"/>
              <w:rPr>
                <w:color w:val="000000"/>
                <w:sz w:val="24"/>
                <w:lang w:val="en-US"/>
              </w:rPr>
            </w:pPr>
            <w:r w:rsidRPr="007D15A9">
              <w:rPr>
                <w:color w:val="000000"/>
                <w:sz w:val="24"/>
                <w:lang w:val="en-US"/>
              </w:rPr>
              <w:t>0.5%</w:t>
            </w:r>
          </w:p>
        </w:tc>
        <w:tc>
          <w:tcPr>
            <w:tcW w:w="780" w:type="dxa"/>
            <w:tcBorders>
              <w:top w:val="nil"/>
              <w:left w:val="nil"/>
              <w:bottom w:val="nil"/>
              <w:right w:val="nil"/>
            </w:tcBorders>
            <w:shd w:val="clear" w:color="auto" w:fill="auto"/>
            <w:noWrap/>
            <w:vAlign w:val="bottom"/>
          </w:tcPr>
          <w:p w14:paraId="3DAFAC50"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1772402C" w14:textId="77777777" w:rsidR="00C9327E" w:rsidRPr="007D15A9" w:rsidRDefault="00C9327E">
            <w:pPr>
              <w:spacing w:line="480" w:lineRule="auto"/>
              <w:jc w:val="right"/>
              <w:rPr>
                <w:color w:val="000000"/>
                <w:sz w:val="24"/>
                <w:lang w:val="en-US"/>
              </w:rPr>
            </w:pPr>
          </w:p>
        </w:tc>
        <w:tc>
          <w:tcPr>
            <w:tcW w:w="1207" w:type="dxa"/>
            <w:tcBorders>
              <w:top w:val="nil"/>
              <w:left w:val="nil"/>
              <w:bottom w:val="nil"/>
              <w:right w:val="nil"/>
            </w:tcBorders>
            <w:shd w:val="clear" w:color="auto" w:fill="auto"/>
            <w:noWrap/>
            <w:vAlign w:val="bottom"/>
          </w:tcPr>
          <w:p w14:paraId="151499ED"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5261C694" w14:textId="77777777" w:rsidR="00C9327E" w:rsidRPr="007D15A9" w:rsidRDefault="00C9327E">
            <w:pPr>
              <w:spacing w:line="480" w:lineRule="auto"/>
              <w:jc w:val="right"/>
              <w:rPr>
                <w:color w:val="000000"/>
                <w:sz w:val="24"/>
                <w:lang w:val="en-US"/>
              </w:rPr>
            </w:pPr>
            <w:r w:rsidRPr="007D15A9">
              <w:rPr>
                <w:color w:val="000000"/>
                <w:sz w:val="24"/>
                <w:lang w:val="en-US"/>
              </w:rPr>
              <w:t>3</w:t>
            </w:r>
          </w:p>
        </w:tc>
      </w:tr>
      <w:tr w:rsidR="00C9327E" w:rsidRPr="007D15A9" w14:paraId="113BA50D" w14:textId="77777777" w:rsidTr="00CF60BB">
        <w:trPr>
          <w:trHeight w:val="315"/>
        </w:trPr>
        <w:tc>
          <w:tcPr>
            <w:tcW w:w="4118" w:type="dxa"/>
            <w:tcBorders>
              <w:top w:val="nil"/>
              <w:left w:val="nil"/>
              <w:bottom w:val="nil"/>
              <w:right w:val="nil"/>
            </w:tcBorders>
            <w:shd w:val="clear" w:color="auto" w:fill="auto"/>
            <w:noWrap/>
            <w:vAlign w:val="center"/>
          </w:tcPr>
          <w:p w14:paraId="43529C0A" w14:textId="77777777" w:rsidR="00C9327E" w:rsidRPr="007D15A9" w:rsidRDefault="00C9327E">
            <w:pPr>
              <w:spacing w:line="480" w:lineRule="auto"/>
              <w:rPr>
                <w:b/>
                <w:color w:val="000000"/>
                <w:sz w:val="24"/>
                <w:lang w:val="en-US"/>
              </w:rPr>
            </w:pPr>
            <w:r w:rsidRPr="007D15A9">
              <w:rPr>
                <w:b/>
                <w:color w:val="000000"/>
                <w:sz w:val="24"/>
                <w:lang w:val="en-US"/>
              </w:rPr>
              <w:t>Ethnicity</w:t>
            </w:r>
          </w:p>
        </w:tc>
        <w:tc>
          <w:tcPr>
            <w:tcW w:w="880" w:type="dxa"/>
            <w:tcBorders>
              <w:top w:val="nil"/>
              <w:left w:val="nil"/>
              <w:bottom w:val="nil"/>
              <w:right w:val="nil"/>
            </w:tcBorders>
            <w:shd w:val="clear" w:color="auto" w:fill="auto"/>
            <w:noWrap/>
            <w:vAlign w:val="bottom"/>
          </w:tcPr>
          <w:p w14:paraId="53390240" w14:textId="77777777" w:rsidR="00C9327E" w:rsidRPr="007D15A9" w:rsidRDefault="00C9327E">
            <w:pPr>
              <w:spacing w:line="480" w:lineRule="auto"/>
              <w:jc w:val="right"/>
              <w:rPr>
                <w:color w:val="000000"/>
                <w:sz w:val="24"/>
                <w:lang w:val="en-US"/>
              </w:rPr>
            </w:pPr>
          </w:p>
        </w:tc>
        <w:tc>
          <w:tcPr>
            <w:tcW w:w="780" w:type="dxa"/>
            <w:tcBorders>
              <w:top w:val="nil"/>
              <w:left w:val="nil"/>
              <w:bottom w:val="nil"/>
              <w:right w:val="nil"/>
            </w:tcBorders>
            <w:shd w:val="clear" w:color="auto" w:fill="auto"/>
            <w:noWrap/>
            <w:vAlign w:val="bottom"/>
          </w:tcPr>
          <w:p w14:paraId="4D182A30"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33176495" w14:textId="77777777" w:rsidR="00C9327E" w:rsidRPr="007D15A9" w:rsidRDefault="00C9327E">
            <w:pPr>
              <w:spacing w:line="480" w:lineRule="auto"/>
              <w:jc w:val="right"/>
              <w:rPr>
                <w:color w:val="000000"/>
                <w:sz w:val="24"/>
                <w:lang w:val="en-US"/>
              </w:rPr>
            </w:pPr>
          </w:p>
        </w:tc>
        <w:tc>
          <w:tcPr>
            <w:tcW w:w="1207" w:type="dxa"/>
            <w:tcBorders>
              <w:top w:val="nil"/>
              <w:left w:val="nil"/>
              <w:bottom w:val="nil"/>
              <w:right w:val="nil"/>
            </w:tcBorders>
            <w:shd w:val="clear" w:color="auto" w:fill="auto"/>
            <w:noWrap/>
            <w:vAlign w:val="bottom"/>
          </w:tcPr>
          <w:p w14:paraId="237A663F"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29B1489E" w14:textId="77777777" w:rsidR="00C9327E" w:rsidRPr="007D15A9" w:rsidRDefault="00C9327E">
            <w:pPr>
              <w:spacing w:line="480" w:lineRule="auto"/>
              <w:jc w:val="right"/>
              <w:rPr>
                <w:color w:val="000000"/>
                <w:sz w:val="24"/>
                <w:lang w:val="en-US"/>
              </w:rPr>
            </w:pPr>
          </w:p>
        </w:tc>
      </w:tr>
      <w:tr w:rsidR="00C9327E" w:rsidRPr="007D15A9" w14:paraId="321B429C" w14:textId="77777777" w:rsidTr="00CF60BB">
        <w:trPr>
          <w:trHeight w:val="315"/>
        </w:trPr>
        <w:tc>
          <w:tcPr>
            <w:tcW w:w="4118" w:type="dxa"/>
            <w:tcBorders>
              <w:top w:val="nil"/>
              <w:left w:val="nil"/>
              <w:bottom w:val="nil"/>
              <w:right w:val="nil"/>
            </w:tcBorders>
            <w:shd w:val="clear" w:color="auto" w:fill="auto"/>
            <w:noWrap/>
          </w:tcPr>
          <w:p w14:paraId="38379A6C" w14:textId="77777777" w:rsidR="00C9327E" w:rsidRPr="007D15A9" w:rsidRDefault="00C9327E">
            <w:pPr>
              <w:spacing w:line="480" w:lineRule="auto"/>
              <w:rPr>
                <w:color w:val="000000"/>
                <w:sz w:val="24"/>
                <w:lang w:val="en-US"/>
              </w:rPr>
            </w:pPr>
            <w:r w:rsidRPr="007D15A9">
              <w:rPr>
                <w:color w:val="000000"/>
                <w:sz w:val="24"/>
                <w:lang w:val="en-US"/>
              </w:rPr>
              <w:t>Ethnicity male parent (%) Norwegian</w:t>
            </w:r>
          </w:p>
        </w:tc>
        <w:tc>
          <w:tcPr>
            <w:tcW w:w="880" w:type="dxa"/>
            <w:tcBorders>
              <w:top w:val="nil"/>
              <w:left w:val="nil"/>
              <w:bottom w:val="nil"/>
              <w:right w:val="nil"/>
            </w:tcBorders>
            <w:shd w:val="clear" w:color="auto" w:fill="auto"/>
            <w:noWrap/>
            <w:vAlign w:val="bottom"/>
          </w:tcPr>
          <w:p w14:paraId="482BEBA3" w14:textId="77777777" w:rsidR="00C9327E" w:rsidRPr="007D15A9" w:rsidRDefault="00C9327E">
            <w:pPr>
              <w:spacing w:line="480" w:lineRule="auto"/>
              <w:jc w:val="right"/>
              <w:rPr>
                <w:color w:val="000000"/>
                <w:sz w:val="24"/>
                <w:lang w:val="en-US"/>
              </w:rPr>
            </w:pPr>
            <w:r w:rsidRPr="007D15A9">
              <w:rPr>
                <w:color w:val="000000"/>
                <w:sz w:val="24"/>
                <w:lang w:val="en-US"/>
              </w:rPr>
              <w:t>94.8%</w:t>
            </w:r>
          </w:p>
        </w:tc>
        <w:tc>
          <w:tcPr>
            <w:tcW w:w="780" w:type="dxa"/>
            <w:tcBorders>
              <w:top w:val="nil"/>
              <w:left w:val="nil"/>
              <w:bottom w:val="nil"/>
              <w:right w:val="nil"/>
            </w:tcBorders>
            <w:shd w:val="clear" w:color="auto" w:fill="auto"/>
            <w:noWrap/>
            <w:vAlign w:val="bottom"/>
          </w:tcPr>
          <w:p w14:paraId="57FBB437"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6E3D8050" w14:textId="77777777" w:rsidR="00C9327E" w:rsidRPr="007D15A9" w:rsidRDefault="00C9327E">
            <w:pPr>
              <w:spacing w:line="480" w:lineRule="auto"/>
              <w:jc w:val="right"/>
              <w:rPr>
                <w:color w:val="000000"/>
                <w:sz w:val="24"/>
                <w:lang w:val="en-US"/>
              </w:rPr>
            </w:pPr>
          </w:p>
        </w:tc>
        <w:tc>
          <w:tcPr>
            <w:tcW w:w="1207" w:type="dxa"/>
            <w:tcBorders>
              <w:top w:val="nil"/>
              <w:left w:val="nil"/>
              <w:bottom w:val="nil"/>
              <w:right w:val="nil"/>
            </w:tcBorders>
            <w:shd w:val="clear" w:color="auto" w:fill="auto"/>
            <w:noWrap/>
            <w:vAlign w:val="bottom"/>
          </w:tcPr>
          <w:p w14:paraId="48707134"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1CB3A059" w14:textId="77777777" w:rsidR="00C9327E" w:rsidRPr="007D15A9" w:rsidRDefault="00C9327E">
            <w:pPr>
              <w:spacing w:line="480" w:lineRule="auto"/>
              <w:jc w:val="right"/>
              <w:rPr>
                <w:color w:val="000000"/>
                <w:sz w:val="24"/>
                <w:lang w:val="en-US"/>
              </w:rPr>
            </w:pPr>
            <w:r w:rsidRPr="007D15A9">
              <w:rPr>
                <w:color w:val="000000"/>
                <w:sz w:val="24"/>
                <w:lang w:val="en-US"/>
              </w:rPr>
              <w:t>633</w:t>
            </w:r>
          </w:p>
        </w:tc>
      </w:tr>
      <w:tr w:rsidR="00C9327E" w:rsidRPr="007D15A9" w14:paraId="5062E5B7" w14:textId="77777777" w:rsidTr="00CF60BB">
        <w:trPr>
          <w:trHeight w:val="315"/>
        </w:trPr>
        <w:tc>
          <w:tcPr>
            <w:tcW w:w="4118" w:type="dxa"/>
            <w:tcBorders>
              <w:top w:val="nil"/>
              <w:left w:val="nil"/>
              <w:bottom w:val="nil"/>
              <w:right w:val="nil"/>
            </w:tcBorders>
            <w:shd w:val="clear" w:color="auto" w:fill="auto"/>
            <w:noWrap/>
          </w:tcPr>
          <w:p w14:paraId="5AD73110" w14:textId="77777777" w:rsidR="00C9327E" w:rsidRPr="007D15A9" w:rsidRDefault="00C9327E">
            <w:pPr>
              <w:spacing w:line="480" w:lineRule="auto"/>
              <w:rPr>
                <w:color w:val="000000"/>
                <w:sz w:val="24"/>
                <w:lang w:val="en-US"/>
              </w:rPr>
            </w:pPr>
            <w:r w:rsidRPr="007D15A9">
              <w:rPr>
                <w:color w:val="000000"/>
                <w:sz w:val="24"/>
                <w:lang w:val="en-US"/>
              </w:rPr>
              <w:t>Ethnicity female parent (%) Norwegian</w:t>
            </w:r>
          </w:p>
        </w:tc>
        <w:tc>
          <w:tcPr>
            <w:tcW w:w="880" w:type="dxa"/>
            <w:tcBorders>
              <w:top w:val="nil"/>
              <w:left w:val="nil"/>
              <w:bottom w:val="nil"/>
              <w:right w:val="nil"/>
            </w:tcBorders>
            <w:shd w:val="clear" w:color="auto" w:fill="auto"/>
            <w:noWrap/>
            <w:vAlign w:val="bottom"/>
          </w:tcPr>
          <w:p w14:paraId="0C821D37" w14:textId="77777777" w:rsidR="00C9327E" w:rsidRPr="007D15A9" w:rsidRDefault="00C9327E">
            <w:pPr>
              <w:spacing w:line="480" w:lineRule="auto"/>
              <w:jc w:val="right"/>
              <w:rPr>
                <w:color w:val="000000"/>
                <w:sz w:val="24"/>
                <w:lang w:val="en-US"/>
              </w:rPr>
            </w:pPr>
            <w:r w:rsidRPr="007D15A9">
              <w:rPr>
                <w:color w:val="000000"/>
                <w:sz w:val="24"/>
                <w:lang w:val="en-US"/>
              </w:rPr>
              <w:t>96.4%</w:t>
            </w:r>
          </w:p>
        </w:tc>
        <w:tc>
          <w:tcPr>
            <w:tcW w:w="780" w:type="dxa"/>
            <w:tcBorders>
              <w:top w:val="nil"/>
              <w:left w:val="nil"/>
              <w:bottom w:val="nil"/>
              <w:right w:val="nil"/>
            </w:tcBorders>
            <w:shd w:val="clear" w:color="auto" w:fill="auto"/>
            <w:noWrap/>
            <w:vAlign w:val="bottom"/>
          </w:tcPr>
          <w:p w14:paraId="76A777C1"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11AA30D6" w14:textId="77777777" w:rsidR="00C9327E" w:rsidRPr="007D15A9" w:rsidRDefault="00C9327E">
            <w:pPr>
              <w:spacing w:line="480" w:lineRule="auto"/>
              <w:jc w:val="right"/>
              <w:rPr>
                <w:color w:val="000000"/>
                <w:sz w:val="24"/>
                <w:lang w:val="en-US"/>
              </w:rPr>
            </w:pPr>
          </w:p>
        </w:tc>
        <w:tc>
          <w:tcPr>
            <w:tcW w:w="1207" w:type="dxa"/>
            <w:tcBorders>
              <w:top w:val="nil"/>
              <w:left w:val="nil"/>
              <w:bottom w:val="nil"/>
              <w:right w:val="nil"/>
            </w:tcBorders>
            <w:shd w:val="clear" w:color="auto" w:fill="auto"/>
            <w:noWrap/>
            <w:vAlign w:val="bottom"/>
          </w:tcPr>
          <w:p w14:paraId="49202FD3"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72D78053" w14:textId="77777777" w:rsidR="00C9327E" w:rsidRPr="007D15A9" w:rsidRDefault="00C9327E">
            <w:pPr>
              <w:spacing w:line="480" w:lineRule="auto"/>
              <w:jc w:val="right"/>
              <w:rPr>
                <w:color w:val="000000"/>
                <w:sz w:val="24"/>
                <w:lang w:val="en-US"/>
              </w:rPr>
            </w:pPr>
            <w:r w:rsidRPr="007D15A9">
              <w:rPr>
                <w:color w:val="000000"/>
                <w:sz w:val="24"/>
                <w:lang w:val="en-US"/>
              </w:rPr>
              <w:t>644</w:t>
            </w:r>
          </w:p>
        </w:tc>
      </w:tr>
      <w:tr w:rsidR="00C9327E" w:rsidRPr="007D15A9" w14:paraId="16691F26" w14:textId="77777777" w:rsidTr="00CF60BB">
        <w:trPr>
          <w:trHeight w:val="315"/>
        </w:trPr>
        <w:tc>
          <w:tcPr>
            <w:tcW w:w="4118" w:type="dxa"/>
            <w:tcBorders>
              <w:top w:val="nil"/>
              <w:left w:val="nil"/>
              <w:bottom w:val="nil"/>
              <w:right w:val="nil"/>
            </w:tcBorders>
            <w:shd w:val="clear" w:color="auto" w:fill="auto"/>
            <w:noWrap/>
          </w:tcPr>
          <w:p w14:paraId="7D13772B" w14:textId="77777777" w:rsidR="00C9327E" w:rsidRPr="007D15A9" w:rsidRDefault="00C9327E">
            <w:pPr>
              <w:spacing w:line="480" w:lineRule="auto"/>
              <w:ind w:left="380" w:hanging="380"/>
              <w:rPr>
                <w:b/>
                <w:lang w:val="en-US"/>
              </w:rPr>
            </w:pPr>
            <w:r w:rsidRPr="007D15A9">
              <w:rPr>
                <w:b/>
                <w:color w:val="000000"/>
                <w:sz w:val="24"/>
                <w:lang w:val="en-US"/>
              </w:rPr>
              <w:t>Descriptive statistics for variables in the analyses</w:t>
            </w:r>
          </w:p>
        </w:tc>
        <w:tc>
          <w:tcPr>
            <w:tcW w:w="880" w:type="dxa"/>
            <w:tcBorders>
              <w:top w:val="nil"/>
              <w:left w:val="nil"/>
              <w:bottom w:val="nil"/>
              <w:right w:val="nil"/>
            </w:tcBorders>
            <w:shd w:val="clear" w:color="auto" w:fill="auto"/>
            <w:noWrap/>
          </w:tcPr>
          <w:p w14:paraId="6ECF96B8" w14:textId="77777777" w:rsidR="00C9327E" w:rsidRPr="007D15A9" w:rsidRDefault="00C9327E">
            <w:pPr>
              <w:spacing w:line="480" w:lineRule="auto"/>
              <w:rPr>
                <w:lang w:val="en-US"/>
              </w:rPr>
            </w:pPr>
          </w:p>
        </w:tc>
        <w:tc>
          <w:tcPr>
            <w:tcW w:w="780" w:type="dxa"/>
            <w:tcBorders>
              <w:top w:val="nil"/>
              <w:left w:val="nil"/>
              <w:bottom w:val="nil"/>
              <w:right w:val="nil"/>
            </w:tcBorders>
            <w:shd w:val="clear" w:color="auto" w:fill="auto"/>
            <w:noWrap/>
          </w:tcPr>
          <w:p w14:paraId="2CD5F27A" w14:textId="77777777" w:rsidR="00C9327E" w:rsidRPr="007D15A9" w:rsidRDefault="00C9327E">
            <w:pPr>
              <w:spacing w:line="480" w:lineRule="auto"/>
              <w:rPr>
                <w:lang w:val="en-US"/>
              </w:rPr>
            </w:pPr>
          </w:p>
        </w:tc>
        <w:tc>
          <w:tcPr>
            <w:tcW w:w="1167" w:type="dxa"/>
            <w:tcBorders>
              <w:top w:val="nil"/>
              <w:left w:val="nil"/>
              <w:bottom w:val="nil"/>
              <w:right w:val="nil"/>
            </w:tcBorders>
            <w:shd w:val="clear" w:color="auto" w:fill="auto"/>
            <w:noWrap/>
          </w:tcPr>
          <w:p w14:paraId="26C3FFDF" w14:textId="77777777" w:rsidR="00C9327E" w:rsidRPr="007D15A9" w:rsidRDefault="00C9327E">
            <w:pPr>
              <w:spacing w:line="480" w:lineRule="auto"/>
              <w:rPr>
                <w:lang w:val="en-US"/>
              </w:rPr>
            </w:pPr>
          </w:p>
        </w:tc>
        <w:tc>
          <w:tcPr>
            <w:tcW w:w="1207" w:type="dxa"/>
            <w:tcBorders>
              <w:top w:val="nil"/>
              <w:left w:val="nil"/>
              <w:bottom w:val="nil"/>
              <w:right w:val="nil"/>
            </w:tcBorders>
            <w:shd w:val="clear" w:color="auto" w:fill="auto"/>
            <w:noWrap/>
          </w:tcPr>
          <w:p w14:paraId="483BE7C7" w14:textId="77777777" w:rsidR="00C9327E" w:rsidRPr="007D15A9" w:rsidRDefault="00C9327E">
            <w:pPr>
              <w:spacing w:line="480" w:lineRule="auto"/>
              <w:rPr>
                <w:lang w:val="en-US"/>
              </w:rPr>
            </w:pPr>
          </w:p>
        </w:tc>
        <w:tc>
          <w:tcPr>
            <w:tcW w:w="720" w:type="dxa"/>
            <w:tcBorders>
              <w:top w:val="nil"/>
              <w:left w:val="nil"/>
              <w:bottom w:val="nil"/>
              <w:right w:val="nil"/>
            </w:tcBorders>
            <w:shd w:val="clear" w:color="auto" w:fill="auto"/>
            <w:noWrap/>
          </w:tcPr>
          <w:p w14:paraId="3D3787FF" w14:textId="77777777" w:rsidR="00C9327E" w:rsidRPr="007D15A9" w:rsidRDefault="00C9327E">
            <w:pPr>
              <w:spacing w:line="480" w:lineRule="auto"/>
              <w:rPr>
                <w:lang w:val="en-US"/>
              </w:rPr>
            </w:pPr>
          </w:p>
        </w:tc>
      </w:tr>
      <w:tr w:rsidR="00C9327E" w:rsidRPr="007D15A9" w14:paraId="450A2DA5" w14:textId="77777777" w:rsidTr="00CF60BB">
        <w:trPr>
          <w:trHeight w:val="315"/>
        </w:trPr>
        <w:tc>
          <w:tcPr>
            <w:tcW w:w="4118" w:type="dxa"/>
            <w:tcBorders>
              <w:top w:val="nil"/>
              <w:left w:val="nil"/>
              <w:bottom w:val="nil"/>
              <w:right w:val="nil"/>
            </w:tcBorders>
            <w:shd w:val="clear" w:color="auto" w:fill="auto"/>
            <w:noWrap/>
            <w:vAlign w:val="bottom"/>
          </w:tcPr>
          <w:p w14:paraId="59DCC2A7" w14:textId="77777777" w:rsidR="00C9327E" w:rsidRPr="007D15A9" w:rsidRDefault="00C9327E">
            <w:pPr>
              <w:spacing w:line="480" w:lineRule="auto"/>
              <w:rPr>
                <w:color w:val="000000"/>
                <w:sz w:val="24"/>
                <w:lang w:val="en-US"/>
              </w:rPr>
            </w:pPr>
            <w:r w:rsidRPr="007D15A9">
              <w:rPr>
                <w:color w:val="000000"/>
                <w:sz w:val="24"/>
                <w:lang w:val="en-US"/>
              </w:rPr>
              <w:t>Teacher-rated aggression</w:t>
            </w:r>
          </w:p>
        </w:tc>
        <w:tc>
          <w:tcPr>
            <w:tcW w:w="880" w:type="dxa"/>
            <w:tcBorders>
              <w:top w:val="nil"/>
              <w:left w:val="nil"/>
              <w:bottom w:val="nil"/>
              <w:right w:val="nil"/>
            </w:tcBorders>
            <w:shd w:val="clear" w:color="auto" w:fill="auto"/>
            <w:noWrap/>
            <w:vAlign w:val="bottom"/>
          </w:tcPr>
          <w:p w14:paraId="0524764F" w14:textId="77777777" w:rsidR="00C9327E" w:rsidRPr="007D15A9" w:rsidRDefault="00C9327E">
            <w:pPr>
              <w:spacing w:line="480" w:lineRule="auto"/>
              <w:jc w:val="right"/>
              <w:rPr>
                <w:color w:val="000000"/>
                <w:sz w:val="24"/>
                <w:lang w:val="en-US"/>
              </w:rPr>
            </w:pPr>
            <w:r w:rsidRPr="007D15A9">
              <w:rPr>
                <w:color w:val="000000"/>
                <w:sz w:val="24"/>
                <w:lang w:val="en-US"/>
              </w:rPr>
              <w:t>4.21</w:t>
            </w:r>
          </w:p>
        </w:tc>
        <w:tc>
          <w:tcPr>
            <w:tcW w:w="780" w:type="dxa"/>
            <w:tcBorders>
              <w:top w:val="nil"/>
              <w:left w:val="nil"/>
              <w:bottom w:val="nil"/>
              <w:right w:val="nil"/>
            </w:tcBorders>
            <w:shd w:val="clear" w:color="auto" w:fill="auto"/>
            <w:noWrap/>
            <w:vAlign w:val="bottom"/>
          </w:tcPr>
          <w:p w14:paraId="62DB6EEB" w14:textId="77777777" w:rsidR="00C9327E" w:rsidRPr="007D15A9" w:rsidRDefault="00C9327E">
            <w:pPr>
              <w:spacing w:line="480" w:lineRule="auto"/>
              <w:jc w:val="right"/>
              <w:rPr>
                <w:color w:val="000000"/>
                <w:sz w:val="24"/>
                <w:lang w:val="en-US"/>
              </w:rPr>
            </w:pPr>
            <w:r w:rsidRPr="007D15A9">
              <w:rPr>
                <w:color w:val="000000"/>
                <w:sz w:val="24"/>
                <w:lang w:val="en-US"/>
              </w:rPr>
              <w:t>6.44</w:t>
            </w:r>
          </w:p>
        </w:tc>
        <w:tc>
          <w:tcPr>
            <w:tcW w:w="1167" w:type="dxa"/>
            <w:tcBorders>
              <w:top w:val="nil"/>
              <w:left w:val="nil"/>
              <w:bottom w:val="nil"/>
              <w:right w:val="nil"/>
            </w:tcBorders>
            <w:shd w:val="clear" w:color="auto" w:fill="auto"/>
            <w:noWrap/>
            <w:vAlign w:val="bottom"/>
          </w:tcPr>
          <w:p w14:paraId="173B0C62" w14:textId="77777777" w:rsidR="00C9327E" w:rsidRPr="007D15A9" w:rsidRDefault="00C9327E">
            <w:pPr>
              <w:spacing w:line="480" w:lineRule="auto"/>
              <w:jc w:val="right"/>
              <w:rPr>
                <w:color w:val="000000"/>
                <w:sz w:val="24"/>
                <w:lang w:val="en-US"/>
              </w:rPr>
            </w:pPr>
            <w:r w:rsidRPr="007D15A9">
              <w:rPr>
                <w:color w:val="000000"/>
                <w:sz w:val="24"/>
                <w:lang w:val="en-US"/>
              </w:rPr>
              <w:t>.00</w:t>
            </w:r>
          </w:p>
        </w:tc>
        <w:tc>
          <w:tcPr>
            <w:tcW w:w="1207" w:type="dxa"/>
            <w:tcBorders>
              <w:top w:val="nil"/>
              <w:left w:val="nil"/>
              <w:bottom w:val="nil"/>
              <w:right w:val="nil"/>
            </w:tcBorders>
            <w:shd w:val="clear" w:color="auto" w:fill="auto"/>
            <w:noWrap/>
            <w:vAlign w:val="bottom"/>
          </w:tcPr>
          <w:p w14:paraId="4F56CB5D" w14:textId="77777777" w:rsidR="00C9327E" w:rsidRPr="007D15A9" w:rsidRDefault="00C9327E">
            <w:pPr>
              <w:spacing w:line="480" w:lineRule="auto"/>
              <w:jc w:val="right"/>
              <w:rPr>
                <w:color w:val="000000"/>
                <w:sz w:val="24"/>
                <w:lang w:val="en-US"/>
              </w:rPr>
            </w:pPr>
            <w:r w:rsidRPr="007D15A9">
              <w:rPr>
                <w:color w:val="000000"/>
                <w:sz w:val="24"/>
                <w:lang w:val="en-US"/>
              </w:rPr>
              <w:t>38.00</w:t>
            </w:r>
          </w:p>
        </w:tc>
        <w:tc>
          <w:tcPr>
            <w:tcW w:w="720" w:type="dxa"/>
            <w:tcBorders>
              <w:top w:val="nil"/>
              <w:left w:val="nil"/>
              <w:bottom w:val="nil"/>
              <w:right w:val="nil"/>
            </w:tcBorders>
            <w:shd w:val="clear" w:color="auto" w:fill="auto"/>
            <w:noWrap/>
            <w:vAlign w:val="bottom"/>
          </w:tcPr>
          <w:p w14:paraId="4FC49EBA" w14:textId="77777777" w:rsidR="00C9327E" w:rsidRPr="007D15A9" w:rsidRDefault="00C9327E">
            <w:pPr>
              <w:spacing w:line="480" w:lineRule="auto"/>
              <w:jc w:val="right"/>
              <w:rPr>
                <w:color w:val="000000"/>
                <w:sz w:val="24"/>
                <w:lang w:val="en-US"/>
              </w:rPr>
            </w:pPr>
            <w:r w:rsidRPr="007D15A9">
              <w:rPr>
                <w:color w:val="000000"/>
                <w:sz w:val="24"/>
                <w:lang w:val="en-US"/>
              </w:rPr>
              <w:t>626</w:t>
            </w:r>
          </w:p>
        </w:tc>
      </w:tr>
      <w:tr w:rsidR="00C9327E" w:rsidRPr="007D15A9" w14:paraId="5E987F7B" w14:textId="77777777" w:rsidTr="00CF60BB">
        <w:trPr>
          <w:trHeight w:val="315"/>
        </w:trPr>
        <w:tc>
          <w:tcPr>
            <w:tcW w:w="4118" w:type="dxa"/>
            <w:tcBorders>
              <w:top w:val="nil"/>
              <w:left w:val="nil"/>
              <w:bottom w:val="nil"/>
              <w:right w:val="nil"/>
            </w:tcBorders>
            <w:shd w:val="clear" w:color="auto" w:fill="auto"/>
            <w:noWrap/>
            <w:vAlign w:val="bottom"/>
          </w:tcPr>
          <w:p w14:paraId="3285F83F" w14:textId="77777777" w:rsidR="00C9327E" w:rsidRPr="007D15A9" w:rsidRDefault="00C9327E">
            <w:pPr>
              <w:spacing w:line="480" w:lineRule="auto"/>
              <w:rPr>
                <w:color w:val="000000"/>
                <w:sz w:val="24"/>
                <w:lang w:val="en-US"/>
              </w:rPr>
            </w:pPr>
            <w:r w:rsidRPr="007D15A9">
              <w:rPr>
                <w:color w:val="000000"/>
                <w:sz w:val="24"/>
                <w:lang w:val="en-US"/>
              </w:rPr>
              <w:t>Serious life events</w:t>
            </w:r>
          </w:p>
        </w:tc>
        <w:tc>
          <w:tcPr>
            <w:tcW w:w="880" w:type="dxa"/>
            <w:tcBorders>
              <w:top w:val="nil"/>
              <w:left w:val="nil"/>
              <w:bottom w:val="nil"/>
              <w:right w:val="nil"/>
            </w:tcBorders>
            <w:shd w:val="clear" w:color="auto" w:fill="auto"/>
            <w:noWrap/>
            <w:vAlign w:val="bottom"/>
          </w:tcPr>
          <w:p w14:paraId="5891528A" w14:textId="77777777" w:rsidR="00C9327E" w:rsidRPr="007D15A9" w:rsidRDefault="00C9327E">
            <w:pPr>
              <w:spacing w:line="480" w:lineRule="auto"/>
              <w:jc w:val="right"/>
              <w:rPr>
                <w:color w:val="000000"/>
                <w:sz w:val="24"/>
                <w:lang w:val="en-US"/>
              </w:rPr>
            </w:pPr>
            <w:r w:rsidRPr="007D15A9">
              <w:rPr>
                <w:color w:val="000000"/>
                <w:sz w:val="24"/>
                <w:lang w:val="en-US"/>
              </w:rPr>
              <w:t>.74</w:t>
            </w:r>
          </w:p>
        </w:tc>
        <w:tc>
          <w:tcPr>
            <w:tcW w:w="780" w:type="dxa"/>
            <w:tcBorders>
              <w:top w:val="nil"/>
              <w:left w:val="nil"/>
              <w:bottom w:val="nil"/>
              <w:right w:val="nil"/>
            </w:tcBorders>
            <w:shd w:val="clear" w:color="auto" w:fill="auto"/>
            <w:noWrap/>
            <w:vAlign w:val="bottom"/>
          </w:tcPr>
          <w:p w14:paraId="5A18672D" w14:textId="77777777" w:rsidR="00C9327E" w:rsidRPr="007D15A9" w:rsidRDefault="00C9327E">
            <w:pPr>
              <w:spacing w:line="480" w:lineRule="auto"/>
              <w:jc w:val="right"/>
              <w:rPr>
                <w:color w:val="000000"/>
                <w:sz w:val="24"/>
                <w:lang w:val="en-US"/>
              </w:rPr>
            </w:pPr>
            <w:r w:rsidRPr="007D15A9">
              <w:rPr>
                <w:color w:val="000000"/>
                <w:sz w:val="24"/>
                <w:lang w:val="en-US"/>
              </w:rPr>
              <w:t>.92</w:t>
            </w:r>
          </w:p>
        </w:tc>
        <w:tc>
          <w:tcPr>
            <w:tcW w:w="1167" w:type="dxa"/>
            <w:tcBorders>
              <w:top w:val="nil"/>
              <w:left w:val="nil"/>
              <w:bottom w:val="nil"/>
              <w:right w:val="nil"/>
            </w:tcBorders>
            <w:shd w:val="clear" w:color="auto" w:fill="auto"/>
            <w:noWrap/>
            <w:vAlign w:val="bottom"/>
          </w:tcPr>
          <w:p w14:paraId="753B0A87" w14:textId="77777777" w:rsidR="00C9327E" w:rsidRPr="007D15A9" w:rsidRDefault="00C9327E">
            <w:pPr>
              <w:spacing w:line="480" w:lineRule="auto"/>
              <w:jc w:val="right"/>
              <w:rPr>
                <w:color w:val="000000"/>
                <w:sz w:val="24"/>
                <w:lang w:val="en-US"/>
              </w:rPr>
            </w:pPr>
            <w:r w:rsidRPr="007D15A9">
              <w:rPr>
                <w:color w:val="000000"/>
                <w:sz w:val="24"/>
                <w:lang w:val="en-US"/>
              </w:rPr>
              <w:t>.00</w:t>
            </w:r>
          </w:p>
        </w:tc>
        <w:tc>
          <w:tcPr>
            <w:tcW w:w="1207" w:type="dxa"/>
            <w:tcBorders>
              <w:top w:val="nil"/>
              <w:left w:val="nil"/>
              <w:bottom w:val="nil"/>
              <w:right w:val="nil"/>
            </w:tcBorders>
            <w:shd w:val="clear" w:color="auto" w:fill="auto"/>
            <w:noWrap/>
            <w:vAlign w:val="bottom"/>
          </w:tcPr>
          <w:p w14:paraId="750FCD6F" w14:textId="77777777" w:rsidR="00C9327E" w:rsidRPr="007D15A9" w:rsidRDefault="00C9327E">
            <w:pPr>
              <w:spacing w:line="480" w:lineRule="auto"/>
              <w:jc w:val="right"/>
              <w:rPr>
                <w:color w:val="000000"/>
                <w:sz w:val="24"/>
                <w:lang w:val="en-US"/>
              </w:rPr>
            </w:pPr>
            <w:r w:rsidRPr="007D15A9">
              <w:rPr>
                <w:color w:val="000000"/>
                <w:sz w:val="24"/>
                <w:lang w:val="en-US"/>
              </w:rPr>
              <w:t>5.00</w:t>
            </w:r>
          </w:p>
        </w:tc>
        <w:tc>
          <w:tcPr>
            <w:tcW w:w="720" w:type="dxa"/>
            <w:tcBorders>
              <w:top w:val="nil"/>
              <w:left w:val="nil"/>
              <w:bottom w:val="nil"/>
              <w:right w:val="nil"/>
            </w:tcBorders>
            <w:shd w:val="clear" w:color="auto" w:fill="auto"/>
            <w:noWrap/>
            <w:vAlign w:val="bottom"/>
          </w:tcPr>
          <w:p w14:paraId="7A4906D8" w14:textId="77777777" w:rsidR="00C9327E" w:rsidRPr="007D15A9" w:rsidRDefault="00C9327E">
            <w:pPr>
              <w:spacing w:line="480" w:lineRule="auto"/>
              <w:jc w:val="right"/>
              <w:rPr>
                <w:color w:val="000000"/>
                <w:sz w:val="24"/>
                <w:lang w:val="en-US"/>
              </w:rPr>
            </w:pPr>
            <w:r w:rsidRPr="007D15A9">
              <w:rPr>
                <w:color w:val="000000"/>
                <w:sz w:val="24"/>
                <w:lang w:val="en-US"/>
              </w:rPr>
              <w:t>668</w:t>
            </w:r>
          </w:p>
        </w:tc>
      </w:tr>
      <w:tr w:rsidR="00C9327E" w:rsidRPr="007D15A9" w14:paraId="722AA934" w14:textId="77777777" w:rsidTr="00CF60BB">
        <w:trPr>
          <w:trHeight w:val="315"/>
        </w:trPr>
        <w:tc>
          <w:tcPr>
            <w:tcW w:w="4118" w:type="dxa"/>
            <w:tcBorders>
              <w:top w:val="nil"/>
              <w:left w:val="nil"/>
              <w:bottom w:val="nil"/>
              <w:right w:val="nil"/>
            </w:tcBorders>
            <w:shd w:val="clear" w:color="auto" w:fill="auto"/>
            <w:noWrap/>
            <w:vAlign w:val="bottom"/>
          </w:tcPr>
          <w:p w14:paraId="1B5F8AFF" w14:textId="77777777" w:rsidR="00C9327E" w:rsidRPr="007D15A9" w:rsidRDefault="00C9327E">
            <w:pPr>
              <w:spacing w:line="480" w:lineRule="auto"/>
              <w:rPr>
                <w:color w:val="000000"/>
                <w:sz w:val="24"/>
                <w:lang w:val="en-US"/>
              </w:rPr>
            </w:pPr>
            <w:r w:rsidRPr="007D15A9">
              <w:rPr>
                <w:color w:val="000000"/>
                <w:sz w:val="24"/>
                <w:lang w:val="en-US"/>
              </w:rPr>
              <w:t>Children with 0 SLEs</w:t>
            </w:r>
          </w:p>
        </w:tc>
        <w:tc>
          <w:tcPr>
            <w:tcW w:w="880" w:type="dxa"/>
            <w:tcBorders>
              <w:top w:val="nil"/>
              <w:left w:val="nil"/>
              <w:bottom w:val="nil"/>
              <w:right w:val="nil"/>
            </w:tcBorders>
            <w:shd w:val="clear" w:color="auto" w:fill="auto"/>
            <w:noWrap/>
            <w:vAlign w:val="bottom"/>
          </w:tcPr>
          <w:p w14:paraId="3B640F09" w14:textId="77777777" w:rsidR="00C9327E" w:rsidRPr="007D15A9" w:rsidRDefault="00C9327E">
            <w:pPr>
              <w:spacing w:line="480" w:lineRule="auto"/>
              <w:jc w:val="right"/>
              <w:rPr>
                <w:color w:val="000000"/>
                <w:sz w:val="24"/>
                <w:lang w:val="en-US"/>
              </w:rPr>
            </w:pPr>
          </w:p>
        </w:tc>
        <w:tc>
          <w:tcPr>
            <w:tcW w:w="780" w:type="dxa"/>
            <w:tcBorders>
              <w:top w:val="nil"/>
              <w:left w:val="nil"/>
              <w:bottom w:val="nil"/>
              <w:right w:val="nil"/>
            </w:tcBorders>
            <w:shd w:val="clear" w:color="auto" w:fill="auto"/>
            <w:noWrap/>
            <w:vAlign w:val="bottom"/>
          </w:tcPr>
          <w:p w14:paraId="08A1A12B"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3BB09A61" w14:textId="77777777" w:rsidR="00C9327E" w:rsidRPr="007D15A9" w:rsidRDefault="00C9327E">
            <w:pPr>
              <w:spacing w:line="480" w:lineRule="auto"/>
              <w:jc w:val="right"/>
              <w:rPr>
                <w:color w:val="000000"/>
                <w:sz w:val="24"/>
                <w:lang w:val="en-US"/>
              </w:rPr>
            </w:pPr>
          </w:p>
        </w:tc>
        <w:tc>
          <w:tcPr>
            <w:tcW w:w="1207" w:type="dxa"/>
            <w:tcBorders>
              <w:top w:val="nil"/>
              <w:left w:val="nil"/>
              <w:bottom w:val="nil"/>
              <w:right w:val="nil"/>
            </w:tcBorders>
            <w:shd w:val="clear" w:color="auto" w:fill="auto"/>
            <w:noWrap/>
            <w:vAlign w:val="bottom"/>
          </w:tcPr>
          <w:p w14:paraId="011F5814"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2A82ACC4" w14:textId="77777777" w:rsidR="00C9327E" w:rsidRPr="007D15A9" w:rsidRDefault="00C9327E">
            <w:pPr>
              <w:spacing w:line="480" w:lineRule="auto"/>
              <w:jc w:val="right"/>
              <w:rPr>
                <w:color w:val="000000"/>
                <w:sz w:val="24"/>
                <w:lang w:val="en-US"/>
              </w:rPr>
            </w:pPr>
            <w:r w:rsidRPr="007D15A9">
              <w:rPr>
                <w:color w:val="000000"/>
                <w:sz w:val="24"/>
                <w:lang w:val="en-US"/>
              </w:rPr>
              <w:t>344</w:t>
            </w:r>
          </w:p>
        </w:tc>
      </w:tr>
      <w:tr w:rsidR="00C9327E" w:rsidRPr="007D15A9" w14:paraId="4B470B9F" w14:textId="77777777" w:rsidTr="00CF60BB">
        <w:trPr>
          <w:trHeight w:val="315"/>
        </w:trPr>
        <w:tc>
          <w:tcPr>
            <w:tcW w:w="4118" w:type="dxa"/>
            <w:tcBorders>
              <w:top w:val="nil"/>
              <w:left w:val="nil"/>
              <w:bottom w:val="nil"/>
              <w:right w:val="nil"/>
            </w:tcBorders>
            <w:shd w:val="clear" w:color="auto" w:fill="auto"/>
            <w:noWrap/>
            <w:vAlign w:val="bottom"/>
          </w:tcPr>
          <w:p w14:paraId="69AA189A" w14:textId="77777777" w:rsidR="00C9327E" w:rsidRPr="007D15A9" w:rsidRDefault="00C9327E">
            <w:pPr>
              <w:spacing w:line="480" w:lineRule="auto"/>
              <w:rPr>
                <w:color w:val="000000"/>
                <w:sz w:val="24"/>
                <w:lang w:val="en-US"/>
              </w:rPr>
            </w:pPr>
            <w:r w:rsidRPr="007D15A9">
              <w:rPr>
                <w:color w:val="000000"/>
                <w:sz w:val="24"/>
                <w:lang w:val="en-US"/>
              </w:rPr>
              <w:t>Children with 1 SLE</w:t>
            </w:r>
          </w:p>
        </w:tc>
        <w:tc>
          <w:tcPr>
            <w:tcW w:w="880" w:type="dxa"/>
            <w:tcBorders>
              <w:top w:val="nil"/>
              <w:left w:val="nil"/>
              <w:bottom w:val="nil"/>
              <w:right w:val="nil"/>
            </w:tcBorders>
            <w:shd w:val="clear" w:color="auto" w:fill="auto"/>
            <w:noWrap/>
            <w:vAlign w:val="bottom"/>
          </w:tcPr>
          <w:p w14:paraId="3D7EB2F9" w14:textId="77777777" w:rsidR="00C9327E" w:rsidRPr="007D15A9" w:rsidRDefault="00C9327E">
            <w:pPr>
              <w:spacing w:line="480" w:lineRule="auto"/>
              <w:jc w:val="right"/>
              <w:rPr>
                <w:color w:val="000000"/>
                <w:sz w:val="24"/>
                <w:lang w:val="en-US"/>
              </w:rPr>
            </w:pPr>
          </w:p>
        </w:tc>
        <w:tc>
          <w:tcPr>
            <w:tcW w:w="780" w:type="dxa"/>
            <w:tcBorders>
              <w:top w:val="nil"/>
              <w:left w:val="nil"/>
              <w:bottom w:val="nil"/>
              <w:right w:val="nil"/>
            </w:tcBorders>
            <w:shd w:val="clear" w:color="auto" w:fill="auto"/>
            <w:noWrap/>
            <w:vAlign w:val="bottom"/>
          </w:tcPr>
          <w:p w14:paraId="40A4CAEE"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0D09E973" w14:textId="77777777" w:rsidR="00C9327E" w:rsidRPr="007D15A9" w:rsidRDefault="00C9327E">
            <w:pPr>
              <w:spacing w:line="480" w:lineRule="auto"/>
              <w:jc w:val="right"/>
              <w:rPr>
                <w:color w:val="000000"/>
                <w:sz w:val="24"/>
                <w:lang w:val="en-US"/>
              </w:rPr>
            </w:pPr>
          </w:p>
        </w:tc>
        <w:tc>
          <w:tcPr>
            <w:tcW w:w="1207" w:type="dxa"/>
            <w:tcBorders>
              <w:top w:val="nil"/>
              <w:left w:val="nil"/>
              <w:bottom w:val="nil"/>
              <w:right w:val="nil"/>
            </w:tcBorders>
            <w:shd w:val="clear" w:color="auto" w:fill="auto"/>
            <w:noWrap/>
            <w:vAlign w:val="bottom"/>
          </w:tcPr>
          <w:p w14:paraId="504DA436"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4DA197BD" w14:textId="77777777" w:rsidR="00C9327E" w:rsidRPr="007D15A9" w:rsidRDefault="00C9327E">
            <w:pPr>
              <w:spacing w:line="480" w:lineRule="auto"/>
              <w:jc w:val="right"/>
              <w:rPr>
                <w:color w:val="000000"/>
                <w:sz w:val="24"/>
                <w:lang w:val="en-US"/>
              </w:rPr>
            </w:pPr>
            <w:r w:rsidRPr="007D15A9">
              <w:rPr>
                <w:color w:val="000000"/>
                <w:sz w:val="24"/>
                <w:lang w:val="en-US"/>
              </w:rPr>
              <w:t>197</w:t>
            </w:r>
          </w:p>
        </w:tc>
      </w:tr>
      <w:tr w:rsidR="00C9327E" w:rsidRPr="007D15A9" w14:paraId="527271AD" w14:textId="77777777" w:rsidTr="00CF60BB">
        <w:trPr>
          <w:trHeight w:val="315"/>
        </w:trPr>
        <w:tc>
          <w:tcPr>
            <w:tcW w:w="4118" w:type="dxa"/>
            <w:tcBorders>
              <w:top w:val="nil"/>
              <w:left w:val="nil"/>
              <w:bottom w:val="nil"/>
              <w:right w:val="nil"/>
            </w:tcBorders>
            <w:shd w:val="clear" w:color="auto" w:fill="auto"/>
            <w:noWrap/>
            <w:vAlign w:val="bottom"/>
          </w:tcPr>
          <w:p w14:paraId="7F95A40E" w14:textId="77777777" w:rsidR="00C9327E" w:rsidRPr="007D15A9" w:rsidRDefault="00C9327E">
            <w:pPr>
              <w:spacing w:line="480" w:lineRule="auto"/>
              <w:rPr>
                <w:color w:val="000000"/>
                <w:sz w:val="24"/>
                <w:lang w:val="en-US"/>
              </w:rPr>
            </w:pPr>
            <w:r w:rsidRPr="007D15A9">
              <w:rPr>
                <w:color w:val="000000"/>
                <w:sz w:val="24"/>
                <w:lang w:val="en-US"/>
              </w:rPr>
              <w:t>Children with 2 SLEs</w:t>
            </w:r>
          </w:p>
        </w:tc>
        <w:tc>
          <w:tcPr>
            <w:tcW w:w="880" w:type="dxa"/>
            <w:tcBorders>
              <w:top w:val="nil"/>
              <w:left w:val="nil"/>
              <w:bottom w:val="nil"/>
              <w:right w:val="nil"/>
            </w:tcBorders>
            <w:shd w:val="clear" w:color="auto" w:fill="auto"/>
            <w:noWrap/>
            <w:vAlign w:val="bottom"/>
          </w:tcPr>
          <w:p w14:paraId="2AC3B05D" w14:textId="77777777" w:rsidR="00C9327E" w:rsidRPr="007D15A9" w:rsidRDefault="00C9327E">
            <w:pPr>
              <w:spacing w:line="480" w:lineRule="auto"/>
              <w:jc w:val="right"/>
              <w:rPr>
                <w:color w:val="000000"/>
                <w:sz w:val="24"/>
                <w:lang w:val="en-US"/>
              </w:rPr>
            </w:pPr>
          </w:p>
        </w:tc>
        <w:tc>
          <w:tcPr>
            <w:tcW w:w="780" w:type="dxa"/>
            <w:tcBorders>
              <w:top w:val="nil"/>
              <w:left w:val="nil"/>
              <w:bottom w:val="nil"/>
              <w:right w:val="nil"/>
            </w:tcBorders>
            <w:shd w:val="clear" w:color="auto" w:fill="auto"/>
            <w:noWrap/>
            <w:vAlign w:val="bottom"/>
          </w:tcPr>
          <w:p w14:paraId="30519C41"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45E4337E" w14:textId="77777777" w:rsidR="00C9327E" w:rsidRPr="007D15A9" w:rsidRDefault="00C9327E">
            <w:pPr>
              <w:spacing w:line="480" w:lineRule="auto"/>
              <w:jc w:val="right"/>
              <w:rPr>
                <w:color w:val="000000"/>
                <w:sz w:val="24"/>
                <w:lang w:val="en-US"/>
              </w:rPr>
            </w:pPr>
          </w:p>
        </w:tc>
        <w:tc>
          <w:tcPr>
            <w:tcW w:w="1207" w:type="dxa"/>
            <w:tcBorders>
              <w:top w:val="nil"/>
              <w:left w:val="nil"/>
              <w:bottom w:val="nil"/>
              <w:right w:val="nil"/>
            </w:tcBorders>
            <w:shd w:val="clear" w:color="auto" w:fill="auto"/>
            <w:noWrap/>
            <w:vAlign w:val="bottom"/>
          </w:tcPr>
          <w:p w14:paraId="5E98465B"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12D00C3E" w14:textId="77777777" w:rsidR="00C9327E" w:rsidRPr="007D15A9" w:rsidRDefault="00C9327E">
            <w:pPr>
              <w:spacing w:line="480" w:lineRule="auto"/>
              <w:jc w:val="right"/>
              <w:rPr>
                <w:color w:val="000000"/>
                <w:sz w:val="24"/>
                <w:lang w:val="en-US"/>
              </w:rPr>
            </w:pPr>
            <w:r w:rsidRPr="007D15A9">
              <w:rPr>
                <w:color w:val="000000"/>
                <w:sz w:val="24"/>
                <w:lang w:val="en-US"/>
              </w:rPr>
              <w:t>95</w:t>
            </w:r>
          </w:p>
        </w:tc>
      </w:tr>
      <w:tr w:rsidR="00C9327E" w:rsidRPr="007D15A9" w14:paraId="0E71031C" w14:textId="77777777" w:rsidTr="00CF60BB">
        <w:trPr>
          <w:trHeight w:val="315"/>
        </w:trPr>
        <w:tc>
          <w:tcPr>
            <w:tcW w:w="4118" w:type="dxa"/>
            <w:tcBorders>
              <w:top w:val="nil"/>
              <w:left w:val="nil"/>
              <w:bottom w:val="nil"/>
              <w:right w:val="nil"/>
            </w:tcBorders>
            <w:shd w:val="clear" w:color="auto" w:fill="auto"/>
            <w:noWrap/>
            <w:vAlign w:val="bottom"/>
          </w:tcPr>
          <w:p w14:paraId="0B7FDACF" w14:textId="77777777" w:rsidR="00C9327E" w:rsidRPr="007D15A9" w:rsidRDefault="00C9327E">
            <w:pPr>
              <w:spacing w:line="480" w:lineRule="auto"/>
              <w:rPr>
                <w:color w:val="000000"/>
                <w:sz w:val="24"/>
                <w:lang w:val="en-US"/>
              </w:rPr>
            </w:pPr>
            <w:r w:rsidRPr="007D15A9">
              <w:rPr>
                <w:color w:val="000000"/>
                <w:sz w:val="24"/>
                <w:lang w:val="en-US"/>
              </w:rPr>
              <w:t>Children with 3 SLEs</w:t>
            </w:r>
          </w:p>
        </w:tc>
        <w:tc>
          <w:tcPr>
            <w:tcW w:w="880" w:type="dxa"/>
            <w:tcBorders>
              <w:top w:val="nil"/>
              <w:left w:val="nil"/>
              <w:bottom w:val="nil"/>
              <w:right w:val="nil"/>
            </w:tcBorders>
            <w:shd w:val="clear" w:color="auto" w:fill="auto"/>
            <w:noWrap/>
            <w:vAlign w:val="bottom"/>
          </w:tcPr>
          <w:p w14:paraId="42F9EC53" w14:textId="77777777" w:rsidR="00C9327E" w:rsidRPr="007D15A9" w:rsidRDefault="00C9327E">
            <w:pPr>
              <w:spacing w:line="480" w:lineRule="auto"/>
              <w:jc w:val="right"/>
              <w:rPr>
                <w:color w:val="000000"/>
                <w:sz w:val="24"/>
                <w:lang w:val="en-US"/>
              </w:rPr>
            </w:pPr>
          </w:p>
        </w:tc>
        <w:tc>
          <w:tcPr>
            <w:tcW w:w="780" w:type="dxa"/>
            <w:tcBorders>
              <w:top w:val="nil"/>
              <w:left w:val="nil"/>
              <w:bottom w:val="nil"/>
              <w:right w:val="nil"/>
            </w:tcBorders>
            <w:shd w:val="clear" w:color="auto" w:fill="auto"/>
            <w:noWrap/>
            <w:vAlign w:val="bottom"/>
          </w:tcPr>
          <w:p w14:paraId="08EBFDAE"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606FA14C" w14:textId="77777777" w:rsidR="00C9327E" w:rsidRPr="007D15A9" w:rsidRDefault="00C9327E">
            <w:pPr>
              <w:spacing w:line="480" w:lineRule="auto"/>
              <w:jc w:val="right"/>
              <w:rPr>
                <w:color w:val="000000"/>
                <w:sz w:val="24"/>
                <w:lang w:val="en-US"/>
              </w:rPr>
            </w:pPr>
          </w:p>
        </w:tc>
        <w:tc>
          <w:tcPr>
            <w:tcW w:w="1207" w:type="dxa"/>
            <w:tcBorders>
              <w:top w:val="nil"/>
              <w:left w:val="nil"/>
              <w:bottom w:val="nil"/>
              <w:right w:val="nil"/>
            </w:tcBorders>
            <w:shd w:val="clear" w:color="auto" w:fill="auto"/>
            <w:noWrap/>
            <w:vAlign w:val="bottom"/>
          </w:tcPr>
          <w:p w14:paraId="358BDD71"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51BB030E" w14:textId="77777777" w:rsidR="00C9327E" w:rsidRPr="007D15A9" w:rsidRDefault="00C9327E">
            <w:pPr>
              <w:spacing w:line="480" w:lineRule="auto"/>
              <w:jc w:val="right"/>
              <w:rPr>
                <w:color w:val="000000"/>
                <w:sz w:val="24"/>
                <w:lang w:val="en-US"/>
              </w:rPr>
            </w:pPr>
            <w:r w:rsidRPr="007D15A9">
              <w:rPr>
                <w:color w:val="000000"/>
                <w:sz w:val="24"/>
                <w:lang w:val="en-US"/>
              </w:rPr>
              <w:t>26</w:t>
            </w:r>
          </w:p>
        </w:tc>
      </w:tr>
      <w:tr w:rsidR="00C9327E" w:rsidRPr="007D15A9" w14:paraId="2B7FF920" w14:textId="77777777" w:rsidTr="00CF60BB">
        <w:trPr>
          <w:trHeight w:val="315"/>
        </w:trPr>
        <w:tc>
          <w:tcPr>
            <w:tcW w:w="4118" w:type="dxa"/>
            <w:tcBorders>
              <w:top w:val="nil"/>
              <w:left w:val="nil"/>
              <w:bottom w:val="nil"/>
              <w:right w:val="nil"/>
            </w:tcBorders>
            <w:shd w:val="clear" w:color="auto" w:fill="auto"/>
            <w:noWrap/>
            <w:vAlign w:val="bottom"/>
          </w:tcPr>
          <w:p w14:paraId="2091068A" w14:textId="77777777" w:rsidR="00C9327E" w:rsidRPr="007D15A9" w:rsidRDefault="00C9327E">
            <w:pPr>
              <w:spacing w:line="480" w:lineRule="auto"/>
              <w:rPr>
                <w:color w:val="000000"/>
                <w:sz w:val="24"/>
                <w:lang w:val="en-US"/>
              </w:rPr>
            </w:pPr>
            <w:r w:rsidRPr="007D15A9">
              <w:rPr>
                <w:color w:val="000000"/>
                <w:sz w:val="24"/>
                <w:lang w:val="en-US"/>
              </w:rPr>
              <w:t>Children with 4 SLEs</w:t>
            </w:r>
          </w:p>
        </w:tc>
        <w:tc>
          <w:tcPr>
            <w:tcW w:w="880" w:type="dxa"/>
            <w:tcBorders>
              <w:top w:val="nil"/>
              <w:left w:val="nil"/>
              <w:bottom w:val="nil"/>
              <w:right w:val="nil"/>
            </w:tcBorders>
            <w:shd w:val="clear" w:color="auto" w:fill="auto"/>
            <w:noWrap/>
            <w:vAlign w:val="bottom"/>
          </w:tcPr>
          <w:p w14:paraId="76B4ACE7" w14:textId="77777777" w:rsidR="00C9327E" w:rsidRPr="007D15A9" w:rsidRDefault="00C9327E">
            <w:pPr>
              <w:spacing w:line="480" w:lineRule="auto"/>
              <w:jc w:val="right"/>
              <w:rPr>
                <w:color w:val="000000"/>
                <w:sz w:val="24"/>
                <w:lang w:val="en-US"/>
              </w:rPr>
            </w:pPr>
          </w:p>
        </w:tc>
        <w:tc>
          <w:tcPr>
            <w:tcW w:w="780" w:type="dxa"/>
            <w:tcBorders>
              <w:top w:val="nil"/>
              <w:left w:val="nil"/>
              <w:bottom w:val="nil"/>
              <w:right w:val="nil"/>
            </w:tcBorders>
            <w:shd w:val="clear" w:color="auto" w:fill="auto"/>
            <w:noWrap/>
            <w:vAlign w:val="bottom"/>
          </w:tcPr>
          <w:p w14:paraId="0C5A12C8"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768F35AE" w14:textId="77777777" w:rsidR="00C9327E" w:rsidRPr="007D15A9" w:rsidRDefault="00C9327E">
            <w:pPr>
              <w:spacing w:line="480" w:lineRule="auto"/>
              <w:jc w:val="right"/>
              <w:rPr>
                <w:color w:val="000000"/>
                <w:sz w:val="24"/>
                <w:lang w:val="en-US"/>
              </w:rPr>
            </w:pPr>
          </w:p>
        </w:tc>
        <w:tc>
          <w:tcPr>
            <w:tcW w:w="1207" w:type="dxa"/>
            <w:tcBorders>
              <w:top w:val="nil"/>
              <w:left w:val="nil"/>
              <w:bottom w:val="nil"/>
              <w:right w:val="nil"/>
            </w:tcBorders>
            <w:shd w:val="clear" w:color="auto" w:fill="auto"/>
            <w:noWrap/>
            <w:vAlign w:val="bottom"/>
          </w:tcPr>
          <w:p w14:paraId="6F0B48CC"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1EF4AC3A" w14:textId="77777777" w:rsidR="00C9327E" w:rsidRPr="007D15A9" w:rsidRDefault="00C9327E">
            <w:pPr>
              <w:spacing w:line="480" w:lineRule="auto"/>
              <w:jc w:val="right"/>
              <w:rPr>
                <w:color w:val="000000"/>
                <w:sz w:val="24"/>
                <w:lang w:val="en-US"/>
              </w:rPr>
            </w:pPr>
            <w:r w:rsidRPr="007D15A9">
              <w:rPr>
                <w:color w:val="000000"/>
                <w:sz w:val="24"/>
                <w:lang w:val="en-US"/>
              </w:rPr>
              <w:t>4</w:t>
            </w:r>
          </w:p>
        </w:tc>
      </w:tr>
      <w:tr w:rsidR="00C9327E" w:rsidRPr="007D15A9" w14:paraId="2E14C5B6" w14:textId="77777777" w:rsidTr="00CF60BB">
        <w:trPr>
          <w:trHeight w:val="315"/>
        </w:trPr>
        <w:tc>
          <w:tcPr>
            <w:tcW w:w="4118" w:type="dxa"/>
            <w:tcBorders>
              <w:top w:val="nil"/>
              <w:left w:val="nil"/>
              <w:bottom w:val="nil"/>
              <w:right w:val="nil"/>
            </w:tcBorders>
            <w:shd w:val="clear" w:color="auto" w:fill="auto"/>
            <w:noWrap/>
            <w:vAlign w:val="bottom"/>
          </w:tcPr>
          <w:p w14:paraId="6785021C" w14:textId="77777777" w:rsidR="00C9327E" w:rsidRPr="007D15A9" w:rsidRDefault="00C9327E">
            <w:pPr>
              <w:spacing w:line="480" w:lineRule="auto"/>
              <w:rPr>
                <w:color w:val="000000"/>
                <w:sz w:val="24"/>
                <w:lang w:val="en-US"/>
              </w:rPr>
            </w:pPr>
            <w:r w:rsidRPr="007D15A9">
              <w:rPr>
                <w:color w:val="000000"/>
                <w:sz w:val="24"/>
                <w:lang w:val="en-US"/>
              </w:rPr>
              <w:t>Children with 5 SLEs</w:t>
            </w:r>
          </w:p>
        </w:tc>
        <w:tc>
          <w:tcPr>
            <w:tcW w:w="880" w:type="dxa"/>
            <w:tcBorders>
              <w:top w:val="nil"/>
              <w:left w:val="nil"/>
              <w:bottom w:val="nil"/>
              <w:right w:val="nil"/>
            </w:tcBorders>
            <w:shd w:val="clear" w:color="auto" w:fill="auto"/>
            <w:noWrap/>
            <w:vAlign w:val="bottom"/>
          </w:tcPr>
          <w:p w14:paraId="74AEE2EE" w14:textId="77777777" w:rsidR="00C9327E" w:rsidRPr="007D15A9" w:rsidRDefault="00C9327E">
            <w:pPr>
              <w:spacing w:line="480" w:lineRule="auto"/>
              <w:jc w:val="right"/>
              <w:rPr>
                <w:color w:val="000000"/>
                <w:sz w:val="24"/>
                <w:lang w:val="en-US"/>
              </w:rPr>
            </w:pPr>
          </w:p>
        </w:tc>
        <w:tc>
          <w:tcPr>
            <w:tcW w:w="780" w:type="dxa"/>
            <w:tcBorders>
              <w:top w:val="nil"/>
              <w:left w:val="nil"/>
              <w:bottom w:val="nil"/>
              <w:right w:val="nil"/>
            </w:tcBorders>
            <w:shd w:val="clear" w:color="auto" w:fill="auto"/>
            <w:noWrap/>
            <w:vAlign w:val="bottom"/>
          </w:tcPr>
          <w:p w14:paraId="7444C0D7"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0CA6E607" w14:textId="77777777" w:rsidR="00C9327E" w:rsidRPr="007D15A9" w:rsidRDefault="00C9327E">
            <w:pPr>
              <w:spacing w:line="480" w:lineRule="auto"/>
              <w:jc w:val="right"/>
              <w:rPr>
                <w:color w:val="000000"/>
                <w:sz w:val="24"/>
                <w:lang w:val="en-US"/>
              </w:rPr>
            </w:pPr>
          </w:p>
        </w:tc>
        <w:tc>
          <w:tcPr>
            <w:tcW w:w="1207" w:type="dxa"/>
            <w:tcBorders>
              <w:top w:val="nil"/>
              <w:left w:val="nil"/>
              <w:bottom w:val="nil"/>
              <w:right w:val="nil"/>
            </w:tcBorders>
            <w:shd w:val="clear" w:color="auto" w:fill="auto"/>
            <w:noWrap/>
            <w:vAlign w:val="bottom"/>
          </w:tcPr>
          <w:p w14:paraId="79D36000"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3D16C873" w14:textId="77777777" w:rsidR="00C9327E" w:rsidRPr="007D15A9" w:rsidRDefault="00C9327E">
            <w:pPr>
              <w:spacing w:line="480" w:lineRule="auto"/>
              <w:jc w:val="right"/>
              <w:rPr>
                <w:color w:val="000000"/>
                <w:sz w:val="24"/>
                <w:lang w:val="en-US"/>
              </w:rPr>
            </w:pPr>
            <w:r w:rsidRPr="007D15A9">
              <w:rPr>
                <w:color w:val="000000"/>
                <w:sz w:val="24"/>
                <w:lang w:val="en-US"/>
              </w:rPr>
              <w:t>2</w:t>
            </w:r>
          </w:p>
        </w:tc>
      </w:tr>
      <w:tr w:rsidR="00C9327E" w:rsidRPr="007D15A9" w14:paraId="5665486E" w14:textId="77777777" w:rsidTr="00CF60BB">
        <w:trPr>
          <w:trHeight w:val="315"/>
        </w:trPr>
        <w:tc>
          <w:tcPr>
            <w:tcW w:w="4118" w:type="dxa"/>
            <w:tcBorders>
              <w:top w:val="nil"/>
              <w:left w:val="nil"/>
              <w:bottom w:val="nil"/>
              <w:right w:val="nil"/>
            </w:tcBorders>
            <w:shd w:val="clear" w:color="auto" w:fill="auto"/>
            <w:noWrap/>
            <w:vAlign w:val="center"/>
          </w:tcPr>
          <w:p w14:paraId="6DF19A1A" w14:textId="77777777" w:rsidR="00C9327E" w:rsidRPr="007D15A9" w:rsidRDefault="00C9327E">
            <w:pPr>
              <w:spacing w:line="480" w:lineRule="auto"/>
              <w:rPr>
                <w:color w:val="FF0000"/>
                <w:sz w:val="24"/>
                <w:lang w:val="en-US"/>
              </w:rPr>
            </w:pPr>
            <w:r w:rsidRPr="007D15A9">
              <w:rPr>
                <w:b/>
                <w:color w:val="000000"/>
                <w:sz w:val="24"/>
                <w:lang w:val="en-US"/>
              </w:rPr>
              <w:t>Genotype</w:t>
            </w:r>
          </w:p>
        </w:tc>
        <w:tc>
          <w:tcPr>
            <w:tcW w:w="880" w:type="dxa"/>
            <w:tcBorders>
              <w:top w:val="nil"/>
              <w:left w:val="nil"/>
              <w:bottom w:val="nil"/>
              <w:right w:val="nil"/>
            </w:tcBorders>
            <w:shd w:val="clear" w:color="auto" w:fill="auto"/>
            <w:noWrap/>
            <w:vAlign w:val="bottom"/>
          </w:tcPr>
          <w:p w14:paraId="68B1C01E" w14:textId="77777777" w:rsidR="00C9327E" w:rsidRPr="007D15A9" w:rsidRDefault="00C9327E">
            <w:pPr>
              <w:spacing w:line="480" w:lineRule="auto"/>
              <w:jc w:val="right"/>
              <w:rPr>
                <w:color w:val="FF0000"/>
                <w:sz w:val="24"/>
                <w:lang w:val="en-US"/>
              </w:rPr>
            </w:pPr>
          </w:p>
        </w:tc>
        <w:tc>
          <w:tcPr>
            <w:tcW w:w="780" w:type="dxa"/>
            <w:tcBorders>
              <w:top w:val="nil"/>
              <w:left w:val="nil"/>
              <w:bottom w:val="nil"/>
              <w:right w:val="nil"/>
            </w:tcBorders>
            <w:shd w:val="clear" w:color="auto" w:fill="auto"/>
            <w:noWrap/>
            <w:vAlign w:val="bottom"/>
          </w:tcPr>
          <w:p w14:paraId="062435AA"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362B6A6A" w14:textId="77777777" w:rsidR="00C9327E" w:rsidRPr="007D15A9" w:rsidRDefault="00C9327E">
            <w:pPr>
              <w:spacing w:line="480" w:lineRule="auto"/>
              <w:jc w:val="right"/>
              <w:rPr>
                <w:color w:val="FF0000"/>
                <w:sz w:val="24"/>
                <w:lang w:val="en-US"/>
              </w:rPr>
            </w:pPr>
          </w:p>
        </w:tc>
        <w:tc>
          <w:tcPr>
            <w:tcW w:w="1207" w:type="dxa"/>
            <w:tcBorders>
              <w:top w:val="nil"/>
              <w:left w:val="nil"/>
              <w:bottom w:val="nil"/>
              <w:right w:val="nil"/>
            </w:tcBorders>
            <w:shd w:val="clear" w:color="auto" w:fill="auto"/>
            <w:noWrap/>
            <w:vAlign w:val="bottom"/>
          </w:tcPr>
          <w:p w14:paraId="3A9E2C11"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610D4D8F" w14:textId="77777777" w:rsidR="00C9327E" w:rsidRPr="007D15A9" w:rsidRDefault="00C9327E">
            <w:pPr>
              <w:spacing w:line="480" w:lineRule="auto"/>
              <w:jc w:val="right"/>
              <w:rPr>
                <w:sz w:val="24"/>
                <w:lang w:val="en-US"/>
              </w:rPr>
            </w:pPr>
            <w:r w:rsidRPr="007D15A9">
              <w:rPr>
                <w:sz w:val="24"/>
                <w:lang w:val="en-US"/>
              </w:rPr>
              <w:t>704</w:t>
            </w:r>
          </w:p>
        </w:tc>
      </w:tr>
      <w:tr w:rsidR="00C9327E" w:rsidRPr="007D15A9" w14:paraId="567BBA22" w14:textId="77777777" w:rsidTr="00CF60BB">
        <w:trPr>
          <w:trHeight w:val="315"/>
        </w:trPr>
        <w:tc>
          <w:tcPr>
            <w:tcW w:w="4118" w:type="dxa"/>
            <w:tcBorders>
              <w:top w:val="nil"/>
              <w:left w:val="nil"/>
              <w:bottom w:val="nil"/>
              <w:right w:val="nil"/>
            </w:tcBorders>
            <w:shd w:val="clear" w:color="auto" w:fill="auto"/>
            <w:noWrap/>
          </w:tcPr>
          <w:p w14:paraId="069889DE" w14:textId="77777777" w:rsidR="00C9327E" w:rsidRPr="007D15A9" w:rsidRDefault="00C9327E">
            <w:pPr>
              <w:spacing w:line="480" w:lineRule="auto"/>
              <w:rPr>
                <w:color w:val="FF0000"/>
                <w:sz w:val="24"/>
                <w:lang w:val="en-US"/>
              </w:rPr>
            </w:pPr>
            <w:r w:rsidRPr="007D15A9">
              <w:rPr>
                <w:color w:val="000000"/>
                <w:sz w:val="24"/>
                <w:lang w:val="en-US"/>
              </w:rPr>
              <w:lastRenderedPageBreak/>
              <w:t>Genotype Val/Val (%)</w:t>
            </w:r>
          </w:p>
        </w:tc>
        <w:tc>
          <w:tcPr>
            <w:tcW w:w="880" w:type="dxa"/>
            <w:tcBorders>
              <w:top w:val="nil"/>
              <w:left w:val="nil"/>
              <w:bottom w:val="nil"/>
              <w:right w:val="nil"/>
            </w:tcBorders>
            <w:shd w:val="clear" w:color="auto" w:fill="auto"/>
            <w:noWrap/>
            <w:vAlign w:val="bottom"/>
          </w:tcPr>
          <w:p w14:paraId="24EDBE53" w14:textId="77777777" w:rsidR="00C9327E" w:rsidRPr="007D15A9" w:rsidRDefault="00C9327E">
            <w:pPr>
              <w:spacing w:line="480" w:lineRule="auto"/>
              <w:jc w:val="right"/>
              <w:rPr>
                <w:sz w:val="24"/>
                <w:lang w:val="en-US"/>
              </w:rPr>
            </w:pPr>
            <w:r w:rsidRPr="007D15A9">
              <w:rPr>
                <w:sz w:val="24"/>
                <w:lang w:val="en-US"/>
              </w:rPr>
              <w:t>21.4%</w:t>
            </w:r>
          </w:p>
        </w:tc>
        <w:tc>
          <w:tcPr>
            <w:tcW w:w="780" w:type="dxa"/>
            <w:tcBorders>
              <w:top w:val="nil"/>
              <w:left w:val="nil"/>
              <w:bottom w:val="nil"/>
              <w:right w:val="nil"/>
            </w:tcBorders>
            <w:shd w:val="clear" w:color="auto" w:fill="auto"/>
            <w:noWrap/>
            <w:vAlign w:val="bottom"/>
          </w:tcPr>
          <w:p w14:paraId="4FAB443A"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7865493F" w14:textId="77777777" w:rsidR="00C9327E" w:rsidRPr="007D15A9" w:rsidRDefault="00C9327E">
            <w:pPr>
              <w:spacing w:line="480" w:lineRule="auto"/>
              <w:jc w:val="right"/>
              <w:rPr>
                <w:color w:val="FF0000"/>
                <w:sz w:val="24"/>
                <w:lang w:val="en-US"/>
              </w:rPr>
            </w:pPr>
          </w:p>
        </w:tc>
        <w:tc>
          <w:tcPr>
            <w:tcW w:w="1207" w:type="dxa"/>
            <w:tcBorders>
              <w:top w:val="nil"/>
              <w:left w:val="nil"/>
              <w:bottom w:val="nil"/>
              <w:right w:val="nil"/>
            </w:tcBorders>
            <w:shd w:val="clear" w:color="auto" w:fill="auto"/>
            <w:noWrap/>
            <w:vAlign w:val="bottom"/>
          </w:tcPr>
          <w:p w14:paraId="60B7F078"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0B910BBB" w14:textId="77777777" w:rsidR="00C9327E" w:rsidRPr="007D15A9" w:rsidRDefault="00C9327E">
            <w:pPr>
              <w:spacing w:line="480" w:lineRule="auto"/>
              <w:jc w:val="right"/>
              <w:rPr>
                <w:sz w:val="24"/>
                <w:lang w:val="en-US"/>
              </w:rPr>
            </w:pPr>
            <w:r w:rsidRPr="007D15A9">
              <w:rPr>
                <w:sz w:val="24"/>
                <w:lang w:val="en-US"/>
              </w:rPr>
              <w:t>151</w:t>
            </w:r>
          </w:p>
        </w:tc>
      </w:tr>
      <w:tr w:rsidR="00C9327E" w:rsidRPr="007D15A9" w14:paraId="63E73E40" w14:textId="77777777" w:rsidTr="00CF60BB">
        <w:trPr>
          <w:trHeight w:val="315"/>
        </w:trPr>
        <w:tc>
          <w:tcPr>
            <w:tcW w:w="4118" w:type="dxa"/>
            <w:tcBorders>
              <w:top w:val="nil"/>
              <w:left w:val="nil"/>
              <w:bottom w:val="nil"/>
              <w:right w:val="nil"/>
            </w:tcBorders>
            <w:shd w:val="clear" w:color="auto" w:fill="auto"/>
            <w:noWrap/>
          </w:tcPr>
          <w:p w14:paraId="63A082D7" w14:textId="77777777" w:rsidR="00C9327E" w:rsidRPr="007D15A9" w:rsidRDefault="00C9327E">
            <w:pPr>
              <w:spacing w:line="480" w:lineRule="auto"/>
              <w:rPr>
                <w:b/>
                <w:color w:val="000000"/>
                <w:sz w:val="24"/>
                <w:lang w:val="en-US"/>
              </w:rPr>
            </w:pPr>
            <w:r w:rsidRPr="007D15A9">
              <w:rPr>
                <w:color w:val="000000"/>
                <w:sz w:val="24"/>
                <w:lang w:val="en-US"/>
              </w:rPr>
              <w:t>Genotype Val/Met (%)</w:t>
            </w:r>
          </w:p>
        </w:tc>
        <w:tc>
          <w:tcPr>
            <w:tcW w:w="880" w:type="dxa"/>
            <w:tcBorders>
              <w:top w:val="nil"/>
              <w:left w:val="nil"/>
              <w:bottom w:val="nil"/>
              <w:right w:val="nil"/>
            </w:tcBorders>
            <w:shd w:val="clear" w:color="auto" w:fill="auto"/>
            <w:noWrap/>
            <w:vAlign w:val="bottom"/>
          </w:tcPr>
          <w:p w14:paraId="1FC85FCE" w14:textId="77777777" w:rsidR="00C9327E" w:rsidRPr="007D15A9" w:rsidRDefault="00C9327E">
            <w:pPr>
              <w:spacing w:line="480" w:lineRule="auto"/>
              <w:jc w:val="right"/>
              <w:rPr>
                <w:color w:val="000000"/>
                <w:sz w:val="24"/>
                <w:lang w:val="en-US"/>
              </w:rPr>
            </w:pPr>
            <w:r w:rsidRPr="007D15A9">
              <w:rPr>
                <w:color w:val="000000"/>
                <w:sz w:val="24"/>
                <w:lang w:val="en-US"/>
              </w:rPr>
              <w:t>50.4%</w:t>
            </w:r>
          </w:p>
        </w:tc>
        <w:tc>
          <w:tcPr>
            <w:tcW w:w="780" w:type="dxa"/>
            <w:tcBorders>
              <w:top w:val="nil"/>
              <w:left w:val="nil"/>
              <w:bottom w:val="nil"/>
              <w:right w:val="nil"/>
            </w:tcBorders>
            <w:shd w:val="clear" w:color="auto" w:fill="auto"/>
            <w:noWrap/>
            <w:vAlign w:val="bottom"/>
          </w:tcPr>
          <w:p w14:paraId="65101250"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349B74E9" w14:textId="77777777" w:rsidR="00C9327E" w:rsidRPr="007D15A9" w:rsidRDefault="00C9327E">
            <w:pPr>
              <w:spacing w:line="480" w:lineRule="auto"/>
              <w:jc w:val="right"/>
              <w:rPr>
                <w:color w:val="000000"/>
                <w:sz w:val="24"/>
                <w:lang w:val="en-US"/>
              </w:rPr>
            </w:pPr>
          </w:p>
        </w:tc>
        <w:tc>
          <w:tcPr>
            <w:tcW w:w="1207" w:type="dxa"/>
            <w:tcBorders>
              <w:top w:val="nil"/>
              <w:left w:val="nil"/>
              <w:bottom w:val="nil"/>
              <w:right w:val="nil"/>
            </w:tcBorders>
            <w:shd w:val="clear" w:color="auto" w:fill="auto"/>
            <w:noWrap/>
            <w:vAlign w:val="bottom"/>
          </w:tcPr>
          <w:p w14:paraId="4AE0CD0F"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2D279E0E" w14:textId="77777777" w:rsidR="00C9327E" w:rsidRPr="007D15A9" w:rsidRDefault="00C9327E">
            <w:pPr>
              <w:spacing w:line="480" w:lineRule="auto"/>
              <w:jc w:val="right"/>
              <w:rPr>
                <w:color w:val="000000"/>
                <w:sz w:val="24"/>
                <w:lang w:val="en-US"/>
              </w:rPr>
            </w:pPr>
            <w:r w:rsidRPr="007D15A9">
              <w:rPr>
                <w:color w:val="000000"/>
                <w:sz w:val="24"/>
                <w:lang w:val="en-US"/>
              </w:rPr>
              <w:t>355</w:t>
            </w:r>
          </w:p>
        </w:tc>
      </w:tr>
      <w:tr w:rsidR="00C9327E" w:rsidRPr="007D15A9" w14:paraId="7A0F2338" w14:textId="77777777" w:rsidTr="00CF60BB">
        <w:trPr>
          <w:trHeight w:val="315"/>
        </w:trPr>
        <w:tc>
          <w:tcPr>
            <w:tcW w:w="4118" w:type="dxa"/>
            <w:tcBorders>
              <w:top w:val="nil"/>
              <w:left w:val="nil"/>
              <w:bottom w:val="nil"/>
              <w:right w:val="nil"/>
            </w:tcBorders>
            <w:shd w:val="clear" w:color="auto" w:fill="auto"/>
            <w:noWrap/>
          </w:tcPr>
          <w:p w14:paraId="394BFBCF" w14:textId="77777777" w:rsidR="00C9327E" w:rsidRPr="007D15A9" w:rsidRDefault="00C9327E">
            <w:pPr>
              <w:spacing w:line="480" w:lineRule="auto"/>
              <w:rPr>
                <w:color w:val="000000"/>
                <w:sz w:val="24"/>
                <w:lang w:val="en-US"/>
              </w:rPr>
            </w:pPr>
            <w:r w:rsidRPr="007D15A9">
              <w:rPr>
                <w:color w:val="000000"/>
                <w:sz w:val="24"/>
                <w:lang w:val="en-US"/>
              </w:rPr>
              <w:t>Genotype Met/Met (%)</w:t>
            </w:r>
          </w:p>
        </w:tc>
        <w:tc>
          <w:tcPr>
            <w:tcW w:w="880" w:type="dxa"/>
            <w:tcBorders>
              <w:top w:val="nil"/>
              <w:left w:val="nil"/>
              <w:bottom w:val="nil"/>
              <w:right w:val="nil"/>
            </w:tcBorders>
            <w:shd w:val="clear" w:color="auto" w:fill="auto"/>
            <w:noWrap/>
            <w:vAlign w:val="bottom"/>
          </w:tcPr>
          <w:p w14:paraId="330816E2" w14:textId="77777777" w:rsidR="00C9327E" w:rsidRPr="007D15A9" w:rsidRDefault="00C9327E">
            <w:pPr>
              <w:spacing w:line="480" w:lineRule="auto"/>
              <w:jc w:val="right"/>
              <w:rPr>
                <w:color w:val="000000"/>
                <w:sz w:val="24"/>
                <w:lang w:val="en-US"/>
              </w:rPr>
            </w:pPr>
            <w:r w:rsidRPr="007D15A9">
              <w:rPr>
                <w:color w:val="000000"/>
                <w:sz w:val="24"/>
                <w:lang w:val="en-US"/>
              </w:rPr>
              <w:t>28.1%</w:t>
            </w:r>
          </w:p>
        </w:tc>
        <w:tc>
          <w:tcPr>
            <w:tcW w:w="780" w:type="dxa"/>
            <w:tcBorders>
              <w:top w:val="nil"/>
              <w:left w:val="nil"/>
              <w:bottom w:val="nil"/>
              <w:right w:val="nil"/>
            </w:tcBorders>
            <w:shd w:val="clear" w:color="auto" w:fill="auto"/>
            <w:noWrap/>
            <w:vAlign w:val="bottom"/>
          </w:tcPr>
          <w:p w14:paraId="5862980B" w14:textId="77777777" w:rsidR="00C9327E" w:rsidRPr="007D15A9" w:rsidRDefault="00C9327E">
            <w:pPr>
              <w:spacing w:line="480" w:lineRule="auto"/>
              <w:jc w:val="right"/>
              <w:rPr>
                <w:color w:val="000000"/>
                <w:sz w:val="24"/>
                <w:lang w:val="en-US"/>
              </w:rPr>
            </w:pPr>
          </w:p>
        </w:tc>
        <w:tc>
          <w:tcPr>
            <w:tcW w:w="1167" w:type="dxa"/>
            <w:tcBorders>
              <w:top w:val="nil"/>
              <w:left w:val="nil"/>
              <w:bottom w:val="nil"/>
              <w:right w:val="nil"/>
            </w:tcBorders>
            <w:shd w:val="clear" w:color="auto" w:fill="auto"/>
            <w:noWrap/>
            <w:vAlign w:val="bottom"/>
          </w:tcPr>
          <w:p w14:paraId="596FC3D3" w14:textId="77777777" w:rsidR="00C9327E" w:rsidRPr="007D15A9" w:rsidRDefault="00C9327E">
            <w:pPr>
              <w:spacing w:line="480" w:lineRule="auto"/>
              <w:jc w:val="right"/>
              <w:rPr>
                <w:color w:val="000000"/>
                <w:sz w:val="24"/>
                <w:lang w:val="en-US"/>
              </w:rPr>
            </w:pPr>
          </w:p>
        </w:tc>
        <w:tc>
          <w:tcPr>
            <w:tcW w:w="1207" w:type="dxa"/>
            <w:tcBorders>
              <w:top w:val="nil"/>
              <w:left w:val="nil"/>
              <w:bottom w:val="nil"/>
              <w:right w:val="nil"/>
            </w:tcBorders>
            <w:shd w:val="clear" w:color="auto" w:fill="auto"/>
            <w:noWrap/>
            <w:vAlign w:val="bottom"/>
          </w:tcPr>
          <w:p w14:paraId="2FB849B9" w14:textId="77777777" w:rsidR="00C9327E" w:rsidRPr="007D15A9" w:rsidRDefault="00C9327E">
            <w:pPr>
              <w:spacing w:line="480" w:lineRule="auto"/>
              <w:jc w:val="right"/>
              <w:rPr>
                <w:color w:val="000000"/>
                <w:sz w:val="24"/>
                <w:lang w:val="en-US"/>
              </w:rPr>
            </w:pPr>
          </w:p>
        </w:tc>
        <w:tc>
          <w:tcPr>
            <w:tcW w:w="720" w:type="dxa"/>
            <w:tcBorders>
              <w:top w:val="nil"/>
              <w:left w:val="nil"/>
              <w:bottom w:val="nil"/>
              <w:right w:val="nil"/>
            </w:tcBorders>
            <w:shd w:val="clear" w:color="auto" w:fill="auto"/>
            <w:noWrap/>
            <w:vAlign w:val="bottom"/>
          </w:tcPr>
          <w:p w14:paraId="4BF11067" w14:textId="77777777" w:rsidR="00C9327E" w:rsidRPr="007D15A9" w:rsidRDefault="00C9327E">
            <w:pPr>
              <w:spacing w:line="480" w:lineRule="auto"/>
              <w:jc w:val="right"/>
              <w:rPr>
                <w:color w:val="000000"/>
                <w:sz w:val="24"/>
                <w:lang w:val="en-US"/>
              </w:rPr>
            </w:pPr>
            <w:r w:rsidRPr="007D15A9">
              <w:rPr>
                <w:color w:val="000000"/>
                <w:sz w:val="24"/>
                <w:lang w:val="en-US"/>
              </w:rPr>
              <w:t>198</w:t>
            </w:r>
          </w:p>
        </w:tc>
      </w:tr>
    </w:tbl>
    <w:p w14:paraId="31C71973" w14:textId="77777777" w:rsidR="00C9327E" w:rsidRPr="007D15A9" w:rsidRDefault="00C9327E" w:rsidP="00C9327E">
      <w:pPr>
        <w:spacing w:line="480" w:lineRule="auto"/>
        <w:rPr>
          <w:lang w:val="en-US"/>
        </w:rPr>
      </w:pPr>
    </w:p>
    <w:p w14:paraId="3E281F3A" w14:textId="77777777" w:rsidR="00C9327E" w:rsidRPr="007D15A9" w:rsidRDefault="00C9327E" w:rsidP="00C9327E">
      <w:pPr>
        <w:spacing w:line="480" w:lineRule="auto"/>
        <w:rPr>
          <w:lang w:val="en-US"/>
        </w:rPr>
      </w:pPr>
      <w:r w:rsidRPr="007D15A9">
        <w:rPr>
          <w:lang w:val="en-US"/>
        </w:rPr>
        <w:br w:type="page"/>
      </w:r>
    </w:p>
    <w:p w14:paraId="2442D4BB" w14:textId="349AA8E8" w:rsidR="00C9327E" w:rsidRPr="007D15A9" w:rsidRDefault="00C9327E" w:rsidP="00C9327E">
      <w:pPr>
        <w:spacing w:line="480" w:lineRule="auto"/>
        <w:rPr>
          <w:sz w:val="24"/>
          <w:lang w:val="en-US"/>
        </w:rPr>
      </w:pPr>
      <w:r w:rsidRPr="007D15A9">
        <w:rPr>
          <w:b/>
          <w:sz w:val="24"/>
          <w:lang w:val="en-US"/>
        </w:rPr>
        <w:fldChar w:fldCharType="begin"/>
      </w:r>
      <w:r w:rsidRPr="007D15A9">
        <w:rPr>
          <w:b/>
          <w:sz w:val="24"/>
          <w:lang w:val="en-US"/>
        </w:rPr>
        <w:instrText xml:space="preserve"> ADDIN </w:instrText>
      </w:r>
      <w:r w:rsidRPr="007D15A9">
        <w:rPr>
          <w:b/>
          <w:sz w:val="24"/>
          <w:lang w:val="en-US"/>
        </w:rPr>
        <w:fldChar w:fldCharType="end"/>
      </w:r>
      <w:r w:rsidRPr="007D15A9">
        <w:rPr>
          <w:b/>
          <w:sz w:val="24"/>
          <w:lang w:val="en-US"/>
        </w:rPr>
        <w:t>Figure 1.</w:t>
      </w:r>
      <w:r w:rsidRPr="007D15A9">
        <w:rPr>
          <w:sz w:val="24"/>
          <w:lang w:val="en-US"/>
        </w:rPr>
        <w:t xml:space="preserve"> Estimated mean aggression score as function of number of serious life events for the two genotype groups</w:t>
      </w:r>
      <w:r w:rsidR="00A03DA6" w:rsidRPr="007D15A9">
        <w:rPr>
          <w:sz w:val="24"/>
          <w:lang w:val="en-US"/>
        </w:rPr>
        <w:t>. P-values for difference</w:t>
      </w:r>
      <w:r w:rsidR="00F66B89" w:rsidRPr="007D15A9">
        <w:rPr>
          <w:sz w:val="24"/>
          <w:lang w:val="en-US"/>
        </w:rPr>
        <w:t>s</w:t>
      </w:r>
      <w:r w:rsidR="00A03DA6" w:rsidRPr="007D15A9">
        <w:rPr>
          <w:sz w:val="24"/>
          <w:lang w:val="en-US"/>
        </w:rPr>
        <w:t xml:space="preserve"> in aggression at 0 and 3 serious life events are included.</w:t>
      </w:r>
      <w:r w:rsidRPr="007D15A9">
        <w:rPr>
          <w:sz w:val="24"/>
          <w:lang w:val="en-US"/>
        </w:rPr>
        <w:t xml:space="preserve"> </w:t>
      </w:r>
    </w:p>
    <w:p w14:paraId="18C9BBD9" w14:textId="77777777" w:rsidR="005F5892" w:rsidRPr="007D15A9" w:rsidRDefault="005F5892" w:rsidP="00C9327E">
      <w:pPr>
        <w:spacing w:line="480" w:lineRule="auto"/>
        <w:rPr>
          <w:sz w:val="24"/>
          <w:lang w:val="en-US"/>
        </w:rPr>
      </w:pPr>
      <w:r w:rsidRPr="00C32F5C">
        <w:rPr>
          <w:noProof/>
          <w:sz w:val="24"/>
          <w:lang w:val="nb-NO" w:eastAsia="nb-NO"/>
        </w:rPr>
        <w:drawing>
          <wp:inline distT="0" distB="0" distL="0" distR="0" wp14:anchorId="1F5684B0" wp14:editId="552D0F6E">
            <wp:extent cx="2828925" cy="3009900"/>
            <wp:effectExtent l="0" t="0" r="9525" b="0"/>
            <wp:docPr id="1" name="Picture 1" descr="C:\Users\jbelsky\AppData\Local\Microsoft\Windows\Temporary Internet Files\Content.Outlook\RPDW0Z38\figur 09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lsky\AppData\Local\Microsoft\Windows\Temporary Internet Files\Content.Outlook\RPDW0Z38\figur 09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3009900"/>
                    </a:xfrm>
                    <a:prstGeom prst="rect">
                      <a:avLst/>
                    </a:prstGeom>
                    <a:noFill/>
                    <a:ln>
                      <a:noFill/>
                    </a:ln>
                  </pic:spPr>
                </pic:pic>
              </a:graphicData>
            </a:graphic>
          </wp:inline>
        </w:drawing>
      </w:r>
    </w:p>
    <w:p w14:paraId="0E38425C" w14:textId="77777777" w:rsidR="005F5892" w:rsidRPr="007D15A9" w:rsidRDefault="005F5892" w:rsidP="00C9327E">
      <w:pPr>
        <w:spacing w:line="480" w:lineRule="auto"/>
        <w:rPr>
          <w:sz w:val="24"/>
          <w:lang w:val="en-US"/>
        </w:rPr>
      </w:pPr>
    </w:p>
    <w:p w14:paraId="0B84CB9B" w14:textId="77777777" w:rsidR="00C9327E" w:rsidRPr="007D15A9" w:rsidRDefault="00C9327E" w:rsidP="00C9327E">
      <w:pPr>
        <w:spacing w:line="480" w:lineRule="auto"/>
        <w:rPr>
          <w:lang w:val="en-US"/>
        </w:rPr>
      </w:pPr>
      <w:r w:rsidRPr="007D15A9">
        <w:rPr>
          <w:lang w:val="en-US"/>
        </w:rPr>
        <w:br w:type="page"/>
      </w:r>
    </w:p>
    <w:p w14:paraId="0083B781" w14:textId="77777777" w:rsidR="00C9327E" w:rsidRPr="007D15A9" w:rsidRDefault="00C9327E" w:rsidP="00C9327E">
      <w:pPr>
        <w:autoSpaceDE w:val="0"/>
        <w:autoSpaceDN w:val="0"/>
        <w:adjustRightInd w:val="0"/>
        <w:spacing w:line="480" w:lineRule="auto"/>
        <w:rPr>
          <w:rFonts w:eastAsiaTheme="minorHAnsi"/>
          <w:sz w:val="24"/>
          <w:lang w:val="en-US"/>
        </w:rPr>
      </w:pPr>
    </w:p>
    <w:p w14:paraId="582385B3" w14:textId="77777777" w:rsidR="00C9327E" w:rsidRPr="007D15A9" w:rsidRDefault="00C9327E" w:rsidP="00C9327E">
      <w:pPr>
        <w:autoSpaceDE w:val="0"/>
        <w:autoSpaceDN w:val="0"/>
        <w:adjustRightInd w:val="0"/>
        <w:spacing w:line="480" w:lineRule="auto"/>
        <w:rPr>
          <w:rFonts w:eastAsiaTheme="minorHAnsi"/>
          <w:sz w:val="24"/>
          <w:lang w:val="en-US"/>
        </w:rPr>
      </w:pPr>
    </w:p>
    <w:p w14:paraId="65CCFE34" w14:textId="77777777" w:rsidR="00C9327E" w:rsidRPr="007D15A9" w:rsidRDefault="00C9327E" w:rsidP="00C9327E">
      <w:pPr>
        <w:spacing w:line="480" w:lineRule="auto"/>
        <w:rPr>
          <w:lang w:val="en-US"/>
        </w:rPr>
      </w:pPr>
    </w:p>
    <w:p w14:paraId="0440FA3E" w14:textId="77777777" w:rsidR="00AB7302" w:rsidRPr="007D15A9" w:rsidRDefault="00AB7302" w:rsidP="00BD05AF">
      <w:pPr>
        <w:spacing w:line="480" w:lineRule="auto"/>
        <w:rPr>
          <w:lang w:val="en-US"/>
        </w:rPr>
      </w:pPr>
    </w:p>
    <w:sectPr w:rsidR="00AB7302" w:rsidRPr="007D15A9" w:rsidSect="00CF60BB">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E6AA3" w14:textId="77777777" w:rsidR="0023697B" w:rsidRDefault="0023697B" w:rsidP="00EA5EFE">
      <w:r>
        <w:separator/>
      </w:r>
    </w:p>
  </w:endnote>
  <w:endnote w:type="continuationSeparator" w:id="0">
    <w:p w14:paraId="3169EA96" w14:textId="77777777" w:rsidR="0023697B" w:rsidRDefault="0023697B" w:rsidP="00EA5EFE">
      <w:r>
        <w:continuationSeparator/>
      </w:r>
    </w:p>
  </w:endnote>
  <w:endnote w:type="continuationNotice" w:id="1">
    <w:p w14:paraId="478BA0FC" w14:textId="77777777" w:rsidR="0023697B" w:rsidRDefault="0023697B" w:rsidP="00EA5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CE367" w14:textId="77777777" w:rsidR="00F622D5" w:rsidRDefault="00F622D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24001" w14:textId="77777777" w:rsidR="0023697B" w:rsidRDefault="0023697B" w:rsidP="00EA5EFE">
      <w:r>
        <w:separator/>
      </w:r>
    </w:p>
  </w:footnote>
  <w:footnote w:type="continuationSeparator" w:id="0">
    <w:p w14:paraId="03783E1F" w14:textId="77777777" w:rsidR="0023697B" w:rsidRDefault="0023697B" w:rsidP="00EA5EFE">
      <w:r>
        <w:continuationSeparator/>
      </w:r>
    </w:p>
  </w:footnote>
  <w:footnote w:type="continuationNotice" w:id="1">
    <w:p w14:paraId="43AC563B" w14:textId="77777777" w:rsidR="0023697B" w:rsidRDefault="0023697B" w:rsidP="00EA5E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D8812" w14:textId="201BBA68" w:rsidR="00F622D5" w:rsidRDefault="00F622D5">
    <w:pPr>
      <w:pStyle w:val="Topptekst"/>
      <w:jc w:val="right"/>
    </w:pPr>
    <w:r w:rsidRPr="009232AD">
      <w:t xml:space="preserve">SERIOUS LIFE EVENTS, </w:t>
    </w:r>
    <w:r w:rsidRPr="005313F4">
      <w:t>COMT</w:t>
    </w:r>
    <w:r w:rsidRPr="009232AD">
      <w:t xml:space="preserve"> AND AGGRESSION</w:t>
    </w:r>
    <w:r>
      <w:t xml:space="preserve"> </w:t>
    </w:r>
    <w:r>
      <w:tab/>
    </w:r>
    <w:r>
      <w:fldChar w:fldCharType="begin"/>
    </w:r>
    <w:r>
      <w:instrText xml:space="preserve"> PAGE   \* MERGEFORMAT </w:instrText>
    </w:r>
    <w:r>
      <w:fldChar w:fldCharType="separate"/>
    </w:r>
    <w:r w:rsidR="001622DE">
      <w:rPr>
        <w:noProof/>
      </w:rPr>
      <w:t>3</w:t>
    </w:r>
    <w:r>
      <w:rPr>
        <w:noProof/>
      </w:rPr>
      <w:fldChar w:fldCharType="end"/>
    </w:r>
  </w:p>
  <w:p w14:paraId="09A9C33B" w14:textId="77777777" w:rsidR="00F622D5" w:rsidRDefault="00F622D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8224D"/>
    <w:multiLevelType w:val="hybridMultilevel"/>
    <w:tmpl w:val="41AA9946"/>
    <w:lvl w:ilvl="0" w:tplc="FAC6065C">
      <w:start w:val="1"/>
      <w:numFmt w:val="decimal"/>
      <w:lvlText w:val="%1)"/>
      <w:lvlJc w:val="left"/>
      <w:pPr>
        <w:tabs>
          <w:tab w:val="num" w:pos="502"/>
        </w:tabs>
        <w:ind w:left="502" w:hanging="360"/>
      </w:pPr>
      <w:rPr>
        <w:rFonts w:hint="default"/>
        <w:b/>
      </w:rPr>
    </w:lvl>
    <w:lvl w:ilvl="1" w:tplc="04140019" w:tentative="1">
      <w:start w:val="1"/>
      <w:numFmt w:val="lowerLetter"/>
      <w:lvlText w:val="%2."/>
      <w:lvlJc w:val="left"/>
      <w:pPr>
        <w:tabs>
          <w:tab w:val="num" w:pos="1222"/>
        </w:tabs>
        <w:ind w:left="1222" w:hanging="360"/>
      </w:pPr>
    </w:lvl>
    <w:lvl w:ilvl="2" w:tplc="0414001B" w:tentative="1">
      <w:start w:val="1"/>
      <w:numFmt w:val="lowerRoman"/>
      <w:lvlText w:val="%3."/>
      <w:lvlJc w:val="right"/>
      <w:pPr>
        <w:tabs>
          <w:tab w:val="num" w:pos="1942"/>
        </w:tabs>
        <w:ind w:left="1942" w:hanging="180"/>
      </w:pPr>
    </w:lvl>
    <w:lvl w:ilvl="3" w:tplc="0414000F" w:tentative="1">
      <w:start w:val="1"/>
      <w:numFmt w:val="decimal"/>
      <w:lvlText w:val="%4."/>
      <w:lvlJc w:val="left"/>
      <w:pPr>
        <w:tabs>
          <w:tab w:val="num" w:pos="2662"/>
        </w:tabs>
        <w:ind w:left="2662" w:hanging="360"/>
      </w:pPr>
    </w:lvl>
    <w:lvl w:ilvl="4" w:tplc="04140019" w:tentative="1">
      <w:start w:val="1"/>
      <w:numFmt w:val="lowerLetter"/>
      <w:lvlText w:val="%5."/>
      <w:lvlJc w:val="left"/>
      <w:pPr>
        <w:tabs>
          <w:tab w:val="num" w:pos="3382"/>
        </w:tabs>
        <w:ind w:left="3382" w:hanging="360"/>
      </w:pPr>
    </w:lvl>
    <w:lvl w:ilvl="5" w:tplc="0414001B" w:tentative="1">
      <w:start w:val="1"/>
      <w:numFmt w:val="lowerRoman"/>
      <w:lvlText w:val="%6."/>
      <w:lvlJc w:val="right"/>
      <w:pPr>
        <w:tabs>
          <w:tab w:val="num" w:pos="4102"/>
        </w:tabs>
        <w:ind w:left="4102" w:hanging="180"/>
      </w:pPr>
    </w:lvl>
    <w:lvl w:ilvl="6" w:tplc="0414000F" w:tentative="1">
      <w:start w:val="1"/>
      <w:numFmt w:val="decimal"/>
      <w:lvlText w:val="%7."/>
      <w:lvlJc w:val="left"/>
      <w:pPr>
        <w:tabs>
          <w:tab w:val="num" w:pos="4822"/>
        </w:tabs>
        <w:ind w:left="4822" w:hanging="360"/>
      </w:pPr>
    </w:lvl>
    <w:lvl w:ilvl="7" w:tplc="04140019" w:tentative="1">
      <w:start w:val="1"/>
      <w:numFmt w:val="lowerLetter"/>
      <w:lvlText w:val="%8."/>
      <w:lvlJc w:val="left"/>
      <w:pPr>
        <w:tabs>
          <w:tab w:val="num" w:pos="5542"/>
        </w:tabs>
        <w:ind w:left="5542" w:hanging="360"/>
      </w:pPr>
    </w:lvl>
    <w:lvl w:ilvl="8" w:tplc="0414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7302"/>
    <w:rsid w:val="00002C70"/>
    <w:rsid w:val="00003B7F"/>
    <w:rsid w:val="00023738"/>
    <w:rsid w:val="00023CE9"/>
    <w:rsid w:val="00026406"/>
    <w:rsid w:val="000275F2"/>
    <w:rsid w:val="000404FB"/>
    <w:rsid w:val="00062025"/>
    <w:rsid w:val="00066616"/>
    <w:rsid w:val="00084EEE"/>
    <w:rsid w:val="000857AA"/>
    <w:rsid w:val="00087744"/>
    <w:rsid w:val="0009742A"/>
    <w:rsid w:val="000B231A"/>
    <w:rsid w:val="000B5795"/>
    <w:rsid w:val="000C2CD4"/>
    <w:rsid w:val="000C4536"/>
    <w:rsid w:val="000D2836"/>
    <w:rsid w:val="000D6D7E"/>
    <w:rsid w:val="000E3CC6"/>
    <w:rsid w:val="000E6AC0"/>
    <w:rsid w:val="000F60B8"/>
    <w:rsid w:val="000F6A80"/>
    <w:rsid w:val="00116268"/>
    <w:rsid w:val="00130C49"/>
    <w:rsid w:val="00156C51"/>
    <w:rsid w:val="001622DE"/>
    <w:rsid w:val="00172E99"/>
    <w:rsid w:val="00173CC7"/>
    <w:rsid w:val="00183DF8"/>
    <w:rsid w:val="00194941"/>
    <w:rsid w:val="001A01C9"/>
    <w:rsid w:val="001A52B0"/>
    <w:rsid w:val="001A6B5E"/>
    <w:rsid w:val="001C636A"/>
    <w:rsid w:val="001D73F9"/>
    <w:rsid w:val="001E0BB6"/>
    <w:rsid w:val="001E2E59"/>
    <w:rsid w:val="001F3B41"/>
    <w:rsid w:val="00200E50"/>
    <w:rsid w:val="0020429D"/>
    <w:rsid w:val="00204769"/>
    <w:rsid w:val="002236F8"/>
    <w:rsid w:val="00234C22"/>
    <w:rsid w:val="0023697B"/>
    <w:rsid w:val="00237946"/>
    <w:rsid w:val="00247914"/>
    <w:rsid w:val="0029136F"/>
    <w:rsid w:val="002919E1"/>
    <w:rsid w:val="00292E27"/>
    <w:rsid w:val="002C31AB"/>
    <w:rsid w:val="003024D2"/>
    <w:rsid w:val="00323976"/>
    <w:rsid w:val="0033789F"/>
    <w:rsid w:val="0034373E"/>
    <w:rsid w:val="00385F9C"/>
    <w:rsid w:val="00392A9F"/>
    <w:rsid w:val="003958C1"/>
    <w:rsid w:val="003B5094"/>
    <w:rsid w:val="003D4D3B"/>
    <w:rsid w:val="003E1236"/>
    <w:rsid w:val="003E26E6"/>
    <w:rsid w:val="003F317B"/>
    <w:rsid w:val="003F45F9"/>
    <w:rsid w:val="00410926"/>
    <w:rsid w:val="00425BEA"/>
    <w:rsid w:val="00440C0A"/>
    <w:rsid w:val="00441F75"/>
    <w:rsid w:val="004801AF"/>
    <w:rsid w:val="00481BEC"/>
    <w:rsid w:val="00487605"/>
    <w:rsid w:val="004D235D"/>
    <w:rsid w:val="004D56D6"/>
    <w:rsid w:val="004E6378"/>
    <w:rsid w:val="004F32A6"/>
    <w:rsid w:val="004F5C4C"/>
    <w:rsid w:val="00500DB8"/>
    <w:rsid w:val="00523F80"/>
    <w:rsid w:val="005249F5"/>
    <w:rsid w:val="0052748E"/>
    <w:rsid w:val="00530FF7"/>
    <w:rsid w:val="005313F4"/>
    <w:rsid w:val="00545017"/>
    <w:rsid w:val="005523D1"/>
    <w:rsid w:val="005617E9"/>
    <w:rsid w:val="005623CA"/>
    <w:rsid w:val="00567E9F"/>
    <w:rsid w:val="00576FD1"/>
    <w:rsid w:val="005A0FC4"/>
    <w:rsid w:val="005A433A"/>
    <w:rsid w:val="005A4DA4"/>
    <w:rsid w:val="005F5892"/>
    <w:rsid w:val="005F6111"/>
    <w:rsid w:val="00614589"/>
    <w:rsid w:val="0061641D"/>
    <w:rsid w:val="006220F9"/>
    <w:rsid w:val="00650607"/>
    <w:rsid w:val="006758A9"/>
    <w:rsid w:val="00690252"/>
    <w:rsid w:val="006A0F0A"/>
    <w:rsid w:val="006A5C5E"/>
    <w:rsid w:val="006C629B"/>
    <w:rsid w:val="006D4123"/>
    <w:rsid w:val="006D6B01"/>
    <w:rsid w:val="006D74C7"/>
    <w:rsid w:val="006F1990"/>
    <w:rsid w:val="006F79B1"/>
    <w:rsid w:val="00724F23"/>
    <w:rsid w:val="007351A6"/>
    <w:rsid w:val="007469D2"/>
    <w:rsid w:val="00752094"/>
    <w:rsid w:val="00773752"/>
    <w:rsid w:val="007805DA"/>
    <w:rsid w:val="00793B9F"/>
    <w:rsid w:val="007A015A"/>
    <w:rsid w:val="007B52BA"/>
    <w:rsid w:val="007C43AF"/>
    <w:rsid w:val="007D15A9"/>
    <w:rsid w:val="007E3E7E"/>
    <w:rsid w:val="007F0EBA"/>
    <w:rsid w:val="007F4B29"/>
    <w:rsid w:val="0083034A"/>
    <w:rsid w:val="00835D20"/>
    <w:rsid w:val="00853770"/>
    <w:rsid w:val="008571B6"/>
    <w:rsid w:val="00864F92"/>
    <w:rsid w:val="00873E75"/>
    <w:rsid w:val="00880392"/>
    <w:rsid w:val="00887DA6"/>
    <w:rsid w:val="008A1C83"/>
    <w:rsid w:val="008B08BF"/>
    <w:rsid w:val="008B7D44"/>
    <w:rsid w:val="008D1CE1"/>
    <w:rsid w:val="008D37B3"/>
    <w:rsid w:val="008F5A03"/>
    <w:rsid w:val="00902708"/>
    <w:rsid w:val="00910FFB"/>
    <w:rsid w:val="0091486D"/>
    <w:rsid w:val="00917BC9"/>
    <w:rsid w:val="009206FB"/>
    <w:rsid w:val="009230EE"/>
    <w:rsid w:val="00923275"/>
    <w:rsid w:val="009232AD"/>
    <w:rsid w:val="0093785E"/>
    <w:rsid w:val="00975BB1"/>
    <w:rsid w:val="00987B52"/>
    <w:rsid w:val="0099217F"/>
    <w:rsid w:val="009F1F1C"/>
    <w:rsid w:val="009F49BC"/>
    <w:rsid w:val="00A026B9"/>
    <w:rsid w:val="00A02A8B"/>
    <w:rsid w:val="00A03DA6"/>
    <w:rsid w:val="00A11E36"/>
    <w:rsid w:val="00A13B2D"/>
    <w:rsid w:val="00A153E7"/>
    <w:rsid w:val="00A176B4"/>
    <w:rsid w:val="00A2436B"/>
    <w:rsid w:val="00A36500"/>
    <w:rsid w:val="00A53F4D"/>
    <w:rsid w:val="00A54B9A"/>
    <w:rsid w:val="00A60507"/>
    <w:rsid w:val="00A65123"/>
    <w:rsid w:val="00A802D4"/>
    <w:rsid w:val="00A95297"/>
    <w:rsid w:val="00AB5AFA"/>
    <w:rsid w:val="00AB7302"/>
    <w:rsid w:val="00AC300E"/>
    <w:rsid w:val="00AD0777"/>
    <w:rsid w:val="00AD13AC"/>
    <w:rsid w:val="00AE4C6A"/>
    <w:rsid w:val="00AE68F3"/>
    <w:rsid w:val="00AF194A"/>
    <w:rsid w:val="00AF2382"/>
    <w:rsid w:val="00B145DD"/>
    <w:rsid w:val="00B15083"/>
    <w:rsid w:val="00B21E49"/>
    <w:rsid w:val="00B34918"/>
    <w:rsid w:val="00B375DD"/>
    <w:rsid w:val="00B54611"/>
    <w:rsid w:val="00B605EE"/>
    <w:rsid w:val="00B6658F"/>
    <w:rsid w:val="00B73005"/>
    <w:rsid w:val="00B87E54"/>
    <w:rsid w:val="00B95086"/>
    <w:rsid w:val="00BA1EEF"/>
    <w:rsid w:val="00BA64CD"/>
    <w:rsid w:val="00BB3379"/>
    <w:rsid w:val="00BC357C"/>
    <w:rsid w:val="00BD05AF"/>
    <w:rsid w:val="00BD33C2"/>
    <w:rsid w:val="00BD6F0F"/>
    <w:rsid w:val="00BF1AA8"/>
    <w:rsid w:val="00BF2849"/>
    <w:rsid w:val="00C14892"/>
    <w:rsid w:val="00C16B46"/>
    <w:rsid w:val="00C210F7"/>
    <w:rsid w:val="00C2769E"/>
    <w:rsid w:val="00C32F5C"/>
    <w:rsid w:val="00C37039"/>
    <w:rsid w:val="00C516D4"/>
    <w:rsid w:val="00C7472B"/>
    <w:rsid w:val="00C9327E"/>
    <w:rsid w:val="00C95DB1"/>
    <w:rsid w:val="00CB0DDB"/>
    <w:rsid w:val="00CC477C"/>
    <w:rsid w:val="00CC6D10"/>
    <w:rsid w:val="00CF5479"/>
    <w:rsid w:val="00CF5B19"/>
    <w:rsid w:val="00CF60BB"/>
    <w:rsid w:val="00D272AE"/>
    <w:rsid w:val="00D307C7"/>
    <w:rsid w:val="00D37A59"/>
    <w:rsid w:val="00D741C9"/>
    <w:rsid w:val="00D94F7E"/>
    <w:rsid w:val="00DA2D1A"/>
    <w:rsid w:val="00DB1A84"/>
    <w:rsid w:val="00DB2136"/>
    <w:rsid w:val="00DC624B"/>
    <w:rsid w:val="00DD3F54"/>
    <w:rsid w:val="00DD7B13"/>
    <w:rsid w:val="00DE208B"/>
    <w:rsid w:val="00DE4B35"/>
    <w:rsid w:val="00E05A2C"/>
    <w:rsid w:val="00E06DA4"/>
    <w:rsid w:val="00E2757D"/>
    <w:rsid w:val="00E32F98"/>
    <w:rsid w:val="00E5551F"/>
    <w:rsid w:val="00E6015B"/>
    <w:rsid w:val="00E62516"/>
    <w:rsid w:val="00E62954"/>
    <w:rsid w:val="00E6752F"/>
    <w:rsid w:val="00EA2FCC"/>
    <w:rsid w:val="00EA5EFE"/>
    <w:rsid w:val="00ED0662"/>
    <w:rsid w:val="00ED5BDD"/>
    <w:rsid w:val="00F10CF5"/>
    <w:rsid w:val="00F1677A"/>
    <w:rsid w:val="00F238B8"/>
    <w:rsid w:val="00F27232"/>
    <w:rsid w:val="00F31299"/>
    <w:rsid w:val="00F3400C"/>
    <w:rsid w:val="00F47E9B"/>
    <w:rsid w:val="00F622D5"/>
    <w:rsid w:val="00F66B89"/>
    <w:rsid w:val="00FB2474"/>
    <w:rsid w:val="00FB314C"/>
    <w:rsid w:val="00FB6182"/>
    <w:rsid w:val="00FB6990"/>
    <w:rsid w:val="00FC11F3"/>
    <w:rsid w:val="00FC5DBD"/>
    <w:rsid w:val="00FF38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A8CFAB-2D67-41A5-BE0D-CD598345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FE"/>
    <w:pPr>
      <w:jc w:val="both"/>
    </w:pPr>
    <w:rPr>
      <w:sz w:val="22"/>
      <w:szCs w:val="24"/>
      <w:lang w:val="en-GB"/>
    </w:rPr>
  </w:style>
  <w:style w:type="paragraph" w:styleId="Overskrift1">
    <w:name w:val="heading 1"/>
    <w:basedOn w:val="Normal"/>
    <w:next w:val="Normal"/>
    <w:qFormat/>
    <w:rsid w:val="009232AD"/>
    <w:pPr>
      <w:keepNext/>
      <w:spacing w:before="480" w:after="240"/>
      <w:jc w:val="left"/>
      <w:outlineLvl w:val="0"/>
    </w:pPr>
    <w:rPr>
      <w:b/>
      <w:color w:val="365F91"/>
      <w:sz w:val="32"/>
    </w:rPr>
  </w:style>
  <w:style w:type="paragraph" w:styleId="Overskrift2">
    <w:name w:val="heading 2"/>
    <w:basedOn w:val="Overskrift1"/>
    <w:next w:val="Normal"/>
    <w:qFormat/>
    <w:rsid w:val="009232AD"/>
    <w:pPr>
      <w:outlineLvl w:val="1"/>
    </w:pPr>
    <w:rPr>
      <w:i/>
      <w:color w:val="4F81BD"/>
      <w:sz w:val="28"/>
    </w:rPr>
  </w:style>
  <w:style w:type="paragraph" w:styleId="Overskrift3">
    <w:name w:val="heading 3"/>
    <w:basedOn w:val="Overskrift1"/>
    <w:next w:val="Normal"/>
    <w:qFormat/>
    <w:rsid w:val="009232AD"/>
    <w:pPr>
      <w:spacing w:before="240" w:after="0"/>
      <w:outlineLvl w:val="2"/>
    </w:pPr>
    <w:rPr>
      <w:rFonts w:ascii="CG Times" w:hAnsi="CG Times"/>
      <w:color w:val="4F81BD"/>
      <w:sz w:val="24"/>
    </w:rPr>
  </w:style>
  <w:style w:type="paragraph" w:styleId="Overskrift4">
    <w:name w:val="heading 4"/>
    <w:basedOn w:val="Overskrift3"/>
    <w:next w:val="Normal"/>
    <w:qFormat/>
    <w:rsid w:val="009232AD"/>
    <w:pPr>
      <w:outlineLvl w:val="3"/>
    </w:pPr>
    <w:rPr>
      <w:i/>
    </w:rPr>
  </w:style>
  <w:style w:type="paragraph" w:styleId="Overskrift5">
    <w:name w:val="heading 5"/>
    <w:qFormat/>
    <w:rsid w:val="009232AD"/>
    <w:pPr>
      <w:spacing w:before="240"/>
      <w:outlineLvl w:val="4"/>
    </w:pPr>
    <w:rPr>
      <w:b/>
      <w:color w:val="243F60"/>
      <w:sz w:val="22"/>
    </w:rPr>
  </w:style>
  <w:style w:type="paragraph" w:styleId="Overskrift6">
    <w:name w:val="heading 6"/>
    <w:qFormat/>
    <w:rsid w:val="009232AD"/>
    <w:pPr>
      <w:spacing w:before="240"/>
      <w:outlineLvl w:val="5"/>
    </w:pPr>
    <w:rPr>
      <w:b/>
      <w:i/>
      <w:color w:val="243F60"/>
      <w:sz w:val="22"/>
    </w:rPr>
  </w:style>
  <w:style w:type="paragraph" w:styleId="Overskrift7">
    <w:name w:val="heading 7"/>
    <w:qFormat/>
    <w:rsid w:val="009232AD"/>
    <w:pPr>
      <w:spacing w:before="240"/>
      <w:outlineLvl w:val="6"/>
    </w:pPr>
    <w:rPr>
      <w:color w:val="404040"/>
      <w:sz w:val="22"/>
      <w:szCs w:val="16"/>
    </w:rPr>
  </w:style>
  <w:style w:type="paragraph" w:styleId="Overskrift8">
    <w:name w:val="heading 8"/>
    <w:qFormat/>
    <w:rsid w:val="009232AD"/>
    <w:pPr>
      <w:spacing w:before="240"/>
      <w:outlineLvl w:val="7"/>
    </w:pPr>
    <w:rPr>
      <w:i/>
      <w:color w:val="404040"/>
      <w:szCs w:val="16"/>
    </w:rPr>
  </w:style>
  <w:style w:type="paragraph" w:styleId="Overskrift9">
    <w:name w:val="heading 9"/>
    <w:basedOn w:val="Normal"/>
    <w:next w:val="Normal"/>
    <w:qFormat/>
    <w:pPr>
      <w:spacing w:before="240"/>
      <w:jc w:val="left"/>
      <w:outlineLvl w:val="8"/>
    </w:pPr>
    <w:rPr>
      <w:color w:val="5B89C1"/>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style>
  <w:style w:type="paragraph" w:styleId="INNH2">
    <w:name w:val="toc 2"/>
    <w:basedOn w:val="Normal"/>
  </w:style>
  <w:style w:type="paragraph" w:styleId="INNH3">
    <w:name w:val="toc 3"/>
    <w:basedOn w:val="Normal"/>
  </w:style>
  <w:style w:type="paragraph" w:styleId="INNH4">
    <w:name w:val="toc 4"/>
    <w:basedOn w:val="Normal"/>
  </w:style>
  <w:style w:type="paragraph" w:styleId="INNH5">
    <w:name w:val="toc 5"/>
    <w:basedOn w:val="Normal"/>
  </w:style>
  <w:style w:type="paragraph" w:styleId="INNH6">
    <w:name w:val="toc 6"/>
    <w:basedOn w:val="Normal"/>
  </w:style>
  <w:style w:type="paragraph" w:styleId="INNH7">
    <w:name w:val="toc 7"/>
    <w:basedOn w:val="Normal"/>
  </w:style>
  <w:style w:type="paragraph" w:styleId="INNH8">
    <w:name w:val="toc 8"/>
    <w:basedOn w:val="Normal"/>
  </w:style>
  <w:style w:type="paragraph" w:styleId="INNH9">
    <w:name w:val="toc 9"/>
    <w:basedOn w:val="Normal"/>
  </w:style>
  <w:style w:type="character" w:styleId="Merknadsreferanse">
    <w:name w:val="annotation reference"/>
    <w:uiPriority w:val="99"/>
    <w:rsid w:val="00EA5EFE"/>
    <w:rPr>
      <w:sz w:val="16"/>
    </w:rPr>
  </w:style>
  <w:style w:type="paragraph" w:customStyle="1" w:styleId="TableList">
    <w:name w:val="Table List"/>
    <w:basedOn w:val="TableBody"/>
    <w:rsid w:val="009232AD"/>
    <w:pPr>
      <w:ind w:left="340" w:hanging="340"/>
    </w:pPr>
  </w:style>
  <w:style w:type="paragraph" w:customStyle="1" w:styleId="List8">
    <w:name w:val="List 8"/>
    <w:basedOn w:val="Normal"/>
  </w:style>
  <w:style w:type="character" w:customStyle="1" w:styleId="Cross-reference">
    <w:name w:val="Cross-reference"/>
    <w:rsid w:val="009232AD"/>
    <w:rPr>
      <w:color w:val="auto"/>
    </w:rPr>
  </w:style>
  <w:style w:type="paragraph" w:customStyle="1" w:styleId="TableNote">
    <w:name w:val="Table Note"/>
    <w:basedOn w:val="TableBody"/>
    <w:rsid w:val="009232AD"/>
  </w:style>
  <w:style w:type="paragraph" w:customStyle="1" w:styleId="Authors">
    <w:name w:val="Authors"/>
    <w:basedOn w:val="Address"/>
    <w:rsid w:val="009232AD"/>
    <w:rPr>
      <w:sz w:val="28"/>
    </w:rPr>
  </w:style>
  <w:style w:type="paragraph" w:customStyle="1" w:styleId="Note">
    <w:name w:val="Note"/>
    <w:basedOn w:val="Liste"/>
    <w:rsid w:val="009232AD"/>
    <w:rPr>
      <w:sz w:val="18"/>
    </w:rPr>
  </w:style>
  <w:style w:type="paragraph" w:customStyle="1" w:styleId="Copyright">
    <w:name w:val="Copyright"/>
    <w:basedOn w:val="Normal"/>
    <w:rPr>
      <w:color w:val="F7B580"/>
      <w:sz w:val="18"/>
    </w:rPr>
  </w:style>
  <w:style w:type="character" w:customStyle="1" w:styleId="FootnoteText1">
    <w:name w:val="Footnote Text1"/>
    <w:rPr>
      <w:rFonts w:ascii="Times New Roman" w:hAnsi="Times New Roman"/>
      <w:vertAlign w:val="baseline"/>
    </w:rPr>
  </w:style>
  <w:style w:type="paragraph" w:customStyle="1" w:styleId="Formula">
    <w:name w:val="Formula"/>
    <w:basedOn w:val="Normal"/>
    <w:rsid w:val="009232AD"/>
    <w:pPr>
      <w:tabs>
        <w:tab w:val="right" w:pos="7371"/>
      </w:tabs>
    </w:pPr>
  </w:style>
  <w:style w:type="character" w:customStyle="1" w:styleId="CaptionLabel">
    <w:name w:val="Caption Label"/>
    <w:rPr>
      <w:color w:val="007CC5"/>
    </w:rPr>
  </w:style>
  <w:style w:type="paragraph" w:customStyle="1" w:styleId="Abstract">
    <w:name w:val="Abstract"/>
    <w:basedOn w:val="Blokktekst"/>
    <w:rsid w:val="009232AD"/>
    <w:pPr>
      <w:jc w:val="both"/>
    </w:pPr>
  </w:style>
  <w:style w:type="character" w:customStyle="1" w:styleId="Label">
    <w:name w:val="Label"/>
    <w:rPr>
      <w:color w:val="C0504D"/>
    </w:rPr>
  </w:style>
  <w:style w:type="character" w:styleId="Fotnotereferanse">
    <w:name w:val="footnote reference"/>
    <w:rPr>
      <w:vertAlign w:val="superscript"/>
    </w:rPr>
  </w:style>
  <w:style w:type="paragraph" w:customStyle="1" w:styleId="Keywords">
    <w:name w:val="Keywords"/>
    <w:basedOn w:val="Normal"/>
    <w:rsid w:val="009232AD"/>
    <w:pPr>
      <w:ind w:left="1134"/>
      <w:jc w:val="left"/>
    </w:pPr>
  </w:style>
  <w:style w:type="character" w:customStyle="1" w:styleId="Name">
    <w:name w:val="Name"/>
    <w:rsid w:val="009232AD"/>
    <w:rPr>
      <w:color w:val="auto"/>
    </w:rPr>
  </w:style>
  <w:style w:type="paragraph" w:customStyle="1" w:styleId="BibEntry">
    <w:name w:val="Bib Entry"/>
    <w:basedOn w:val="Liste"/>
    <w:rsid w:val="009232AD"/>
  </w:style>
  <w:style w:type="character" w:customStyle="1" w:styleId="Grant">
    <w:name w:val="Grant"/>
    <w:rPr>
      <w:color w:val="6F3198"/>
    </w:rPr>
  </w:style>
  <w:style w:type="character" w:customStyle="1" w:styleId="GlossaryTerm">
    <w:name w:val="Glossary Term"/>
    <w:rPr>
      <w:color w:val="7030A0"/>
    </w:rPr>
  </w:style>
  <w:style w:type="paragraph" w:customStyle="1" w:styleId="SubheadingAbstract">
    <w:name w:val="Subheading Abstract"/>
    <w:basedOn w:val="Normal"/>
    <w:next w:val="Normal"/>
    <w:qFormat/>
  </w:style>
  <w:style w:type="character" w:customStyle="1" w:styleId="EndnoteText1">
    <w:name w:val="Endnote Text1"/>
    <w:rPr>
      <w:rFonts w:ascii="Times New Roman" w:hAnsi="Times New Roman"/>
    </w:rPr>
  </w:style>
  <w:style w:type="paragraph" w:styleId="Blokktekst">
    <w:name w:val="Block Text"/>
    <w:basedOn w:val="Normal"/>
    <w:rsid w:val="009232AD"/>
    <w:pPr>
      <w:spacing w:after="120"/>
      <w:ind w:left="1440" w:right="1440"/>
      <w:jc w:val="left"/>
    </w:pPr>
    <w:rPr>
      <w:szCs w:val="20"/>
      <w:lang w:val="en-US"/>
    </w:rPr>
  </w:style>
  <w:style w:type="character" w:styleId="Hyperkobling">
    <w:name w:val="Hyperlink"/>
    <w:uiPriority w:val="99"/>
    <w:rsid w:val="00EA5EFE"/>
    <w:rPr>
      <w:color w:val="0563C1"/>
      <w:u w:val="single"/>
    </w:rPr>
  </w:style>
  <w:style w:type="paragraph" w:styleId="Tittel">
    <w:name w:val="Title"/>
    <w:basedOn w:val="Normal"/>
    <w:qFormat/>
    <w:rsid w:val="009232AD"/>
    <w:pPr>
      <w:pBdr>
        <w:bottom w:val="single" w:sz="4" w:space="4" w:color="auto"/>
      </w:pBdr>
      <w:spacing w:before="360" w:after="120"/>
      <w:jc w:val="left"/>
    </w:pPr>
    <w:rPr>
      <w:color w:val="17365D"/>
      <w:sz w:val="52"/>
    </w:rPr>
  </w:style>
  <w:style w:type="character" w:customStyle="1" w:styleId="NameGiven">
    <w:name w:val="Name Given"/>
    <w:rsid w:val="009232AD"/>
    <w:rPr>
      <w:color w:val="auto"/>
    </w:rPr>
  </w:style>
  <w:style w:type="character" w:customStyle="1" w:styleId="BibYear">
    <w:name w:val="Bib Year"/>
    <w:rPr>
      <w:color w:val="B77540"/>
    </w:rPr>
  </w:style>
  <w:style w:type="character" w:customStyle="1" w:styleId="BibComment">
    <w:name w:val="Bib Comment"/>
    <w:rPr>
      <w:color w:val="F7B580"/>
    </w:rPr>
  </w:style>
  <w:style w:type="paragraph" w:customStyle="1" w:styleId="Correspondence">
    <w:name w:val="Correspondence"/>
    <w:basedOn w:val="Note"/>
    <w:qFormat/>
    <w:rsid w:val="009232AD"/>
  </w:style>
  <w:style w:type="paragraph" w:customStyle="1" w:styleId="Biography">
    <w:name w:val="Biography"/>
    <w:basedOn w:val="Normal"/>
    <w:pPr>
      <w:spacing w:after="240" w:line="324" w:lineRule="auto"/>
      <w:ind w:left="360"/>
    </w:pPr>
    <w:rPr>
      <w:color w:val="8064A2"/>
      <w:sz w:val="20"/>
    </w:rPr>
  </w:style>
  <w:style w:type="paragraph" w:styleId="Liste4">
    <w:name w:val="List 4"/>
    <w:basedOn w:val="Normal"/>
    <w:pPr>
      <w:spacing w:line="393" w:lineRule="auto"/>
      <w:ind w:left="240" w:hanging="600"/>
    </w:pPr>
  </w:style>
  <w:style w:type="paragraph" w:customStyle="1" w:styleId="AbstractSubheading">
    <w:name w:val="Abstract Subheading"/>
    <w:basedOn w:val="Normal"/>
    <w:next w:val="Normal"/>
    <w:qFormat/>
    <w:pPr>
      <w:ind w:left="1440"/>
    </w:pPr>
  </w:style>
  <w:style w:type="paragraph" w:customStyle="1" w:styleId="Glossary">
    <w:name w:val="Glossary"/>
    <w:basedOn w:val="Normal"/>
    <w:pPr>
      <w:spacing w:before="120" w:after="120" w:line="432" w:lineRule="auto"/>
    </w:pPr>
    <w:rPr>
      <w:color w:val="7D7974"/>
      <w:sz w:val="20"/>
    </w:rPr>
  </w:style>
  <w:style w:type="character" w:customStyle="1" w:styleId="BibTitle">
    <w:name w:val="Bib Title"/>
    <w:rsid w:val="009232AD"/>
    <w:rPr>
      <w:color w:val="auto"/>
    </w:rPr>
  </w:style>
  <w:style w:type="paragraph" w:customStyle="1" w:styleId="List7">
    <w:name w:val="List 7"/>
    <w:basedOn w:val="Normal"/>
  </w:style>
  <w:style w:type="paragraph" w:customStyle="1" w:styleId="Acknowledgements">
    <w:name w:val="Acknowledgements"/>
    <w:basedOn w:val="Normal"/>
    <w:pPr>
      <w:spacing w:line="432" w:lineRule="auto"/>
    </w:pPr>
    <w:rPr>
      <w:color w:val="0072BC"/>
      <w:sz w:val="20"/>
    </w:rPr>
  </w:style>
  <w:style w:type="character" w:customStyle="1" w:styleId="BibPage">
    <w:name w:val="Bib Page"/>
    <w:rsid w:val="009232AD"/>
    <w:rPr>
      <w:color w:val="auto"/>
    </w:rPr>
  </w:style>
  <w:style w:type="paragraph" w:styleId="Vanliginnrykk">
    <w:name w:val="Normal Indent"/>
    <w:basedOn w:val="Normal"/>
    <w:rsid w:val="009232AD"/>
    <w:pPr>
      <w:ind w:firstLine="240"/>
    </w:pPr>
  </w:style>
  <w:style w:type="character" w:customStyle="1" w:styleId="BibPublisher">
    <w:name w:val="Bib Publisher"/>
    <w:rsid w:val="009232AD"/>
    <w:rPr>
      <w:color w:val="auto"/>
    </w:rPr>
  </w:style>
  <w:style w:type="character" w:customStyle="1" w:styleId="BalloonText1">
    <w:name w:val="Balloon Text1"/>
    <w:rPr>
      <w:rFonts w:ascii="Calibri" w:hAnsi="Calibri"/>
      <w:i w:val="0"/>
      <w:caps w:val="0"/>
      <w:smallCaps w:val="0"/>
      <w:color w:val="000000"/>
      <w:sz w:val="16"/>
      <w:u w:val="none"/>
      <w:vertAlign w:val="baseline"/>
    </w:rPr>
  </w:style>
  <w:style w:type="paragraph" w:customStyle="1" w:styleId="Address">
    <w:name w:val="Address"/>
    <w:basedOn w:val="Normal"/>
    <w:rsid w:val="009232AD"/>
    <w:pPr>
      <w:spacing w:after="240"/>
    </w:pPr>
    <w:rPr>
      <w:sz w:val="20"/>
    </w:rPr>
  </w:style>
  <w:style w:type="paragraph" w:customStyle="1" w:styleId="List6">
    <w:name w:val="List 6"/>
    <w:basedOn w:val="Normal"/>
  </w:style>
  <w:style w:type="paragraph" w:styleId="Liste">
    <w:name w:val="List"/>
    <w:basedOn w:val="Normal"/>
    <w:rsid w:val="009232AD"/>
    <w:pPr>
      <w:ind w:left="284" w:hanging="284"/>
      <w:jc w:val="left"/>
    </w:pPr>
  </w:style>
  <w:style w:type="paragraph" w:customStyle="1" w:styleId="TableHeadSpan">
    <w:name w:val="Table Head Span"/>
    <w:basedOn w:val="Normal"/>
    <w:qFormat/>
    <w:pPr>
      <w:jc w:val="left"/>
    </w:pPr>
    <w:rPr>
      <w:color w:val="5C83B4"/>
    </w:rPr>
  </w:style>
  <w:style w:type="character" w:customStyle="1" w:styleId="Heading">
    <w:name w:val="Heading:"/>
    <w:rsid w:val="009232AD"/>
    <w:rPr>
      <w:b/>
      <w:color w:val="4F81BD"/>
    </w:rPr>
  </w:style>
  <w:style w:type="character" w:customStyle="1" w:styleId="Genbank">
    <w:name w:val="Genbank"/>
    <w:rPr>
      <w:color w:val="6F3198"/>
    </w:rPr>
  </w:style>
  <w:style w:type="character" w:customStyle="1" w:styleId="BibDocTitle">
    <w:name w:val="Bib DocTitle"/>
    <w:qFormat/>
    <w:rPr>
      <w:color w:val="A29D96"/>
    </w:rPr>
  </w:style>
  <w:style w:type="character" w:customStyle="1" w:styleId="NameOrganization">
    <w:name w:val="Name Organization"/>
    <w:rPr>
      <w:color w:val="22B14C"/>
    </w:rPr>
  </w:style>
  <w:style w:type="paragraph" w:styleId="Undertittel">
    <w:name w:val="Subtitle"/>
    <w:qFormat/>
    <w:rsid w:val="009232AD"/>
    <w:rPr>
      <w:i/>
      <w:color w:val="4F81BD"/>
      <w:sz w:val="28"/>
      <w:szCs w:val="24"/>
      <w:lang w:val="en-GB"/>
    </w:rPr>
  </w:style>
  <w:style w:type="character" w:customStyle="1" w:styleId="NameScientific">
    <w:name w:val="Name Scientific"/>
    <w:rPr>
      <w:color w:val="6F3198"/>
    </w:rPr>
  </w:style>
  <w:style w:type="character" w:customStyle="1" w:styleId="BibIssue">
    <w:name w:val="Bib Issue"/>
    <w:rPr>
      <w:color w:val="FA3232"/>
    </w:rPr>
  </w:style>
  <w:style w:type="character" w:customStyle="1" w:styleId="Abbreviation">
    <w:name w:val="Abbreviation"/>
    <w:rPr>
      <w:color w:val="7030A0"/>
    </w:rPr>
  </w:style>
  <w:style w:type="paragraph" w:customStyle="1" w:styleId="Statement">
    <w:name w:val="Statement"/>
    <w:basedOn w:val="Normal"/>
    <w:pPr>
      <w:ind w:left="900"/>
    </w:pPr>
    <w:rPr>
      <w:sz w:val="24"/>
    </w:rPr>
  </w:style>
  <w:style w:type="character" w:customStyle="1" w:styleId="BibVol">
    <w:name w:val="Bib Vol"/>
    <w:rsid w:val="009232AD"/>
    <w:rPr>
      <w:color w:val="auto"/>
    </w:rPr>
  </w:style>
  <w:style w:type="paragraph" w:customStyle="1" w:styleId="TableHead">
    <w:name w:val="Table Head"/>
    <w:basedOn w:val="TableBody"/>
    <w:next w:val="TableBody"/>
    <w:rsid w:val="009232AD"/>
    <w:pPr>
      <w:spacing w:before="240"/>
    </w:pPr>
  </w:style>
  <w:style w:type="character" w:styleId="Sluttnotereferanse">
    <w:name w:val="endnote reference"/>
    <w:rPr>
      <w:vertAlign w:val="superscript"/>
    </w:rPr>
  </w:style>
  <w:style w:type="paragraph" w:customStyle="1" w:styleId="Quotation">
    <w:name w:val="Quotation"/>
    <w:basedOn w:val="Normal"/>
    <w:rsid w:val="009232AD"/>
    <w:pPr>
      <w:ind w:left="851" w:right="851"/>
    </w:pPr>
  </w:style>
  <w:style w:type="paragraph" w:customStyle="1" w:styleId="TableBody">
    <w:name w:val="Table Body"/>
    <w:basedOn w:val="Bildetekst"/>
    <w:rsid w:val="009232AD"/>
    <w:pPr>
      <w:spacing w:before="0" w:after="0" w:line="240" w:lineRule="exact"/>
      <w:jc w:val="left"/>
    </w:pPr>
  </w:style>
  <w:style w:type="paragraph" w:styleId="Liste2">
    <w:name w:val="List 2"/>
    <w:basedOn w:val="Normal"/>
    <w:pPr>
      <w:ind w:left="1200" w:hanging="600"/>
    </w:pPr>
  </w:style>
  <w:style w:type="paragraph" w:customStyle="1" w:styleId="QuotationSource">
    <w:name w:val="Quotation Source"/>
    <w:basedOn w:val="Normal"/>
    <w:pPr>
      <w:spacing w:line="393" w:lineRule="auto"/>
      <w:ind w:left="1440"/>
    </w:pPr>
    <w:rPr>
      <w:color w:val="000000"/>
    </w:rPr>
  </w:style>
  <w:style w:type="paragraph" w:styleId="Liste3">
    <w:name w:val="List 3"/>
    <w:basedOn w:val="Normal"/>
    <w:pPr>
      <w:spacing w:line="393" w:lineRule="auto"/>
      <w:ind w:left="1800" w:hanging="600"/>
    </w:pPr>
  </w:style>
  <w:style w:type="character" w:customStyle="1" w:styleId="GrantSponsor">
    <w:name w:val="Grant Sponsor"/>
    <w:rPr>
      <w:color w:val="C500C0"/>
    </w:rPr>
  </w:style>
  <w:style w:type="paragraph" w:customStyle="1" w:styleId="ChapterNumber">
    <w:name w:val="Chapter Number"/>
    <w:next w:val="Tittel"/>
    <w:rsid w:val="009232AD"/>
    <w:pPr>
      <w:pBdr>
        <w:top w:val="single" w:sz="4" w:space="1" w:color="auto"/>
        <w:left w:val="single" w:sz="4" w:space="4" w:color="auto"/>
        <w:bottom w:val="single" w:sz="4" w:space="1" w:color="auto"/>
        <w:right w:val="single" w:sz="4" w:space="4" w:color="auto"/>
      </w:pBdr>
      <w:shd w:val="clear" w:color="auto" w:fill="EEECE1"/>
      <w:jc w:val="right"/>
    </w:pPr>
    <w:rPr>
      <w:b/>
      <w:sz w:val="40"/>
      <w:lang w:val="en-GB"/>
    </w:rPr>
  </w:style>
  <w:style w:type="paragraph" w:styleId="Liste5">
    <w:name w:val="List 5"/>
    <w:basedOn w:val="Normal"/>
  </w:style>
  <w:style w:type="paragraph" w:customStyle="1" w:styleId="Surtitle">
    <w:name w:val="Surtitle"/>
    <w:basedOn w:val="Tittel"/>
    <w:next w:val="Tittel"/>
    <w:rsid w:val="009232AD"/>
    <w:pPr>
      <w:pBdr>
        <w:bottom w:val="none" w:sz="0" w:space="0" w:color="auto"/>
      </w:pBdr>
    </w:pPr>
    <w:rPr>
      <w:color w:val="333333"/>
      <w:sz w:val="28"/>
    </w:rPr>
  </w:style>
  <w:style w:type="character" w:customStyle="1" w:styleId="CommentText1">
    <w:name w:val="Comment Text1"/>
    <w:rPr>
      <w:rFonts w:ascii="Calibri" w:hAnsi="Calibri"/>
      <w:b w:val="0"/>
      <w:i w:val="0"/>
      <w:caps w:val="0"/>
      <w:smallCaps w:val="0"/>
      <w:color w:val="000000"/>
      <w:sz w:val="20"/>
      <w:u w:val="none"/>
      <w:vertAlign w:val="baseline"/>
    </w:rPr>
  </w:style>
  <w:style w:type="character" w:customStyle="1" w:styleId="Sequence">
    <w:name w:val="Sequence"/>
    <w:rPr>
      <w:color w:val="6F3198"/>
    </w:rPr>
  </w:style>
  <w:style w:type="paragraph" w:styleId="Bildetekst">
    <w:name w:val="caption"/>
    <w:basedOn w:val="Normal"/>
    <w:next w:val="Normal"/>
    <w:qFormat/>
    <w:rsid w:val="009232AD"/>
    <w:pPr>
      <w:spacing w:before="120" w:after="120"/>
    </w:pPr>
    <w:rPr>
      <w:bCs/>
      <w:sz w:val="20"/>
      <w:szCs w:val="20"/>
    </w:rPr>
  </w:style>
  <w:style w:type="paragraph" w:styleId="Merknadstekst">
    <w:name w:val="annotation text"/>
    <w:basedOn w:val="Normal"/>
    <w:link w:val="MerknadstekstTegn"/>
    <w:rsid w:val="00EA5EFE"/>
    <w:rPr>
      <w:sz w:val="20"/>
    </w:rPr>
  </w:style>
  <w:style w:type="character" w:customStyle="1" w:styleId="MerknadstekstTegn">
    <w:name w:val="Merknadstekst Tegn"/>
    <w:link w:val="Merknadstekst"/>
    <w:rPr>
      <w:szCs w:val="24"/>
      <w:lang w:val="en-GB"/>
    </w:rPr>
  </w:style>
  <w:style w:type="paragraph" w:styleId="Bobletekst">
    <w:name w:val="Balloon Text"/>
    <w:basedOn w:val="Normal"/>
    <w:link w:val="BobletekstTegn"/>
    <w:uiPriority w:val="99"/>
    <w:rsid w:val="00EA5EFE"/>
    <w:pPr>
      <w:jc w:val="left"/>
    </w:pPr>
    <w:rPr>
      <w:rFonts w:ascii="Tahoma" w:hAnsi="Tahoma" w:cs="Segoe UI"/>
      <w:sz w:val="16"/>
      <w:szCs w:val="18"/>
      <w:lang w:val="en-US"/>
    </w:rPr>
  </w:style>
  <w:style w:type="character" w:customStyle="1" w:styleId="BobletekstTegn">
    <w:name w:val="Bobletekst Tegn"/>
    <w:link w:val="Bobletekst"/>
    <w:uiPriority w:val="99"/>
    <w:rsid w:val="00BF1AA8"/>
    <w:rPr>
      <w:rFonts w:ascii="Tahoma" w:hAnsi="Tahoma" w:cs="Segoe UI"/>
      <w:sz w:val="16"/>
      <w:szCs w:val="18"/>
    </w:rPr>
  </w:style>
  <w:style w:type="paragraph" w:styleId="Kommentaremne">
    <w:name w:val="annotation subject"/>
    <w:basedOn w:val="Merknadstekst"/>
    <w:next w:val="Merknadstekst"/>
    <w:link w:val="KommentaremneTegn"/>
    <w:uiPriority w:val="99"/>
    <w:rsid w:val="00EA5EFE"/>
    <w:pPr>
      <w:spacing w:line="360" w:lineRule="auto"/>
    </w:pPr>
    <w:rPr>
      <w:b/>
      <w:bCs/>
    </w:rPr>
  </w:style>
  <w:style w:type="character" w:customStyle="1" w:styleId="KommentaremneTegn">
    <w:name w:val="Kommentaremne Tegn"/>
    <w:link w:val="Kommentaremne"/>
    <w:uiPriority w:val="99"/>
    <w:rsid w:val="00E6015B"/>
    <w:rPr>
      <w:b/>
      <w:bCs/>
      <w:szCs w:val="24"/>
      <w:lang w:val="en-GB"/>
    </w:rPr>
  </w:style>
  <w:style w:type="character" w:customStyle="1" w:styleId="Year">
    <w:name w:val="Year"/>
    <w:rsid w:val="009232AD"/>
    <w:rPr>
      <w:color w:val="auto"/>
    </w:rPr>
  </w:style>
  <w:style w:type="character" w:customStyle="1" w:styleId="TitlePublication">
    <w:name w:val="Title Publication"/>
    <w:rsid w:val="009232AD"/>
    <w:rPr>
      <w:i/>
      <w:color w:val="auto"/>
    </w:rPr>
  </w:style>
  <w:style w:type="paragraph" w:customStyle="1" w:styleId="Dedication">
    <w:name w:val="Dedication"/>
    <w:basedOn w:val="Normal"/>
    <w:rsid w:val="009232AD"/>
    <w:pPr>
      <w:jc w:val="center"/>
    </w:pPr>
    <w:rPr>
      <w:i/>
    </w:rPr>
  </w:style>
  <w:style w:type="paragraph" w:styleId="Topptekst">
    <w:name w:val="header"/>
    <w:basedOn w:val="Normal"/>
    <w:link w:val="TopptekstTegn"/>
    <w:uiPriority w:val="99"/>
    <w:rsid w:val="00EA5EFE"/>
    <w:pPr>
      <w:tabs>
        <w:tab w:val="center" w:pos="4680"/>
        <w:tab w:val="right" w:pos="9360"/>
      </w:tabs>
    </w:pPr>
  </w:style>
  <w:style w:type="character" w:customStyle="1" w:styleId="TopptekstTegn">
    <w:name w:val="Topptekst Tegn"/>
    <w:link w:val="Topptekst"/>
    <w:uiPriority w:val="99"/>
    <w:rsid w:val="00BD05AF"/>
    <w:rPr>
      <w:sz w:val="22"/>
      <w:szCs w:val="24"/>
      <w:lang w:val="en-GB"/>
    </w:rPr>
  </w:style>
  <w:style w:type="paragraph" w:styleId="Bunntekst">
    <w:name w:val="footer"/>
    <w:basedOn w:val="Normal"/>
    <w:link w:val="BunntekstTegn"/>
    <w:uiPriority w:val="99"/>
    <w:rsid w:val="00EA5EFE"/>
    <w:pPr>
      <w:tabs>
        <w:tab w:val="center" w:pos="4680"/>
        <w:tab w:val="right" w:pos="9360"/>
      </w:tabs>
    </w:pPr>
  </w:style>
  <w:style w:type="character" w:customStyle="1" w:styleId="BunntekstTegn">
    <w:name w:val="Bunntekst Tegn"/>
    <w:link w:val="Bunntekst"/>
    <w:uiPriority w:val="99"/>
    <w:rsid w:val="00BD05AF"/>
    <w:rPr>
      <w:sz w:val="22"/>
      <w:szCs w:val="24"/>
      <w:lang w:val="en-GB"/>
    </w:rPr>
  </w:style>
  <w:style w:type="paragraph" w:customStyle="1" w:styleId="EndNoteBibliographyTitle">
    <w:name w:val="EndNote Bibliography Title"/>
    <w:basedOn w:val="Normal"/>
    <w:link w:val="EndNoteBibliographyTitleTegn"/>
    <w:rsid w:val="00EA5EFE"/>
    <w:pPr>
      <w:spacing w:line="276" w:lineRule="auto"/>
      <w:jc w:val="center"/>
    </w:pPr>
    <w:rPr>
      <w:rFonts w:ascii="Calibri" w:eastAsia="Calibri" w:hAnsi="Calibri"/>
      <w:noProof/>
      <w:szCs w:val="22"/>
      <w:lang w:val="en-US"/>
    </w:rPr>
  </w:style>
  <w:style w:type="character" w:customStyle="1" w:styleId="EndNoteBibliographyTitleTegn">
    <w:name w:val="EndNote Bibliography Title Tegn"/>
    <w:link w:val="EndNoteBibliographyTitle"/>
    <w:rsid w:val="00EA5EFE"/>
    <w:rPr>
      <w:rFonts w:ascii="Calibri" w:eastAsia="Calibri" w:hAnsi="Calibri"/>
      <w:noProof/>
      <w:sz w:val="22"/>
      <w:szCs w:val="22"/>
    </w:rPr>
  </w:style>
  <w:style w:type="paragraph" w:customStyle="1" w:styleId="EndNoteBibliography">
    <w:name w:val="EndNote Bibliography"/>
    <w:basedOn w:val="Normal"/>
    <w:link w:val="EndNoteBibliographyTegn"/>
    <w:rsid w:val="00EA5EFE"/>
    <w:pPr>
      <w:spacing w:after="200"/>
      <w:jc w:val="left"/>
    </w:pPr>
    <w:rPr>
      <w:rFonts w:ascii="Calibri" w:eastAsia="Calibri" w:hAnsi="Calibri"/>
      <w:noProof/>
      <w:szCs w:val="22"/>
      <w:lang w:val="en-US"/>
    </w:rPr>
  </w:style>
  <w:style w:type="character" w:customStyle="1" w:styleId="EndNoteBibliographyTegn">
    <w:name w:val="EndNote Bibliography Tegn"/>
    <w:link w:val="EndNoteBibliography"/>
    <w:rsid w:val="00EA5EFE"/>
    <w:rPr>
      <w:rFonts w:ascii="Calibri" w:eastAsia="Calibri" w:hAnsi="Calibri"/>
      <w:noProof/>
      <w:sz w:val="22"/>
      <w:szCs w:val="22"/>
    </w:rPr>
  </w:style>
  <w:style w:type="paragraph" w:styleId="HTML-forhndsformatert">
    <w:name w:val="HTML Preformatted"/>
    <w:basedOn w:val="Normal"/>
    <w:link w:val="HTML-forhndsformatertTegn"/>
    <w:uiPriority w:val="99"/>
    <w:rsid w:val="00EA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rPr>
  </w:style>
  <w:style w:type="character" w:customStyle="1" w:styleId="HTML-forhndsformatertTegn">
    <w:name w:val="HTML-forhåndsformatert Tegn"/>
    <w:basedOn w:val="Standardskriftforavsnitt"/>
    <w:link w:val="HTML-forhndsformatert"/>
    <w:uiPriority w:val="99"/>
    <w:rsid w:val="00EA5EFE"/>
    <w:rPr>
      <w:rFonts w:ascii="Courier New" w:hAnsi="Courier New" w:cs="Courier New"/>
    </w:rPr>
  </w:style>
  <w:style w:type="paragraph" w:styleId="Revisjon">
    <w:name w:val="Revision"/>
    <w:hidden/>
    <w:uiPriority w:val="99"/>
    <w:rsid w:val="00EA5EFE"/>
    <w:rPr>
      <w:rFonts w:ascii="Calibri" w:eastAsia="Calibri" w:hAnsi="Calibri"/>
      <w:sz w:val="22"/>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905070">
      <w:bodyDiv w:val="1"/>
      <w:marLeft w:val="0"/>
      <w:marRight w:val="0"/>
      <w:marTop w:val="0"/>
      <w:marBottom w:val="0"/>
      <w:divBdr>
        <w:top w:val="none" w:sz="0" w:space="0" w:color="auto"/>
        <w:left w:val="none" w:sz="0" w:space="0" w:color="auto"/>
        <w:bottom w:val="none" w:sz="0" w:space="0" w:color="auto"/>
        <w:right w:val="none" w:sz="0" w:space="0" w:color="auto"/>
      </w:divBdr>
    </w:div>
    <w:div w:id="1698771994">
      <w:bodyDiv w:val="1"/>
      <w:marLeft w:val="0"/>
      <w:marRight w:val="0"/>
      <w:marTop w:val="0"/>
      <w:marBottom w:val="0"/>
      <w:divBdr>
        <w:top w:val="none" w:sz="0" w:space="0" w:color="auto"/>
        <w:left w:val="none" w:sz="0" w:space="0" w:color="auto"/>
        <w:bottom w:val="none" w:sz="0" w:space="0" w:color="auto"/>
        <w:right w:val="none" w:sz="0" w:space="0" w:color="auto"/>
      </w:divBdr>
    </w:div>
    <w:div w:id="1979416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eiger\AppData\Roaming\Microsoft\Templates\Merops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C13A1-C890-47A1-AC79-17AE6F03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MeropsFinal</Template>
  <TotalTime>1</TotalTime>
  <Pages>26</Pages>
  <Words>6229</Words>
  <Characters>33015</Characters>
  <Application>Microsoft Office Word</Application>
  <DocSecurity>0</DocSecurity>
  <Lines>275</Lines>
  <Paragraphs>78</Paragraphs>
  <ScaleCrop>false</ScaleCrop>
  <HeadingPairs>
    <vt:vector size="6" baseType="variant">
      <vt:variant>
        <vt:lpstr>Tittel</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        COMT</vt:lpstr>
      <vt:lpstr>Method</vt:lpstr>
      <vt:lpstr>    Participants and Recruitment</vt:lpstr>
      <vt:lpstr>        Measures</vt:lpstr>
      <vt:lpstr>    Statistical Analysis</vt:lpstr>
      <vt:lpstr>Results</vt:lpstr>
      <vt:lpstr>The decision to treat all Met-carriers as members of a single group was based on</vt:lpstr>
      <vt:lpstr>Discussion</vt:lpstr>
      <vt:lpstr>Acknowledgments</vt:lpstr>
    </vt:vector>
  </TitlesOfParts>
  <Company>NTNU, SVT-fakultetet</Company>
  <LinksUpToDate>false</LinksUpToDate>
  <CharactersWithSpaces>39166</CharactersWithSpaces>
  <SharedDoc>false</SharedDoc>
  <HLinks>
    <vt:vector size="396" baseType="variant">
      <vt:variant>
        <vt:i4>4784222</vt:i4>
      </vt:variant>
      <vt:variant>
        <vt:i4>273</vt:i4>
      </vt:variant>
      <vt:variant>
        <vt:i4>0</vt:i4>
      </vt:variant>
      <vt:variant>
        <vt:i4>5</vt:i4>
      </vt:variant>
      <vt:variant>
        <vt:lpwstr>http://dx.doi.org/10.1111/jcpp.12138</vt:lpwstr>
      </vt:variant>
      <vt:variant>
        <vt:lpwstr/>
      </vt:variant>
      <vt:variant>
        <vt:i4>2949162</vt:i4>
      </vt:variant>
      <vt:variant>
        <vt:i4>266</vt:i4>
      </vt:variant>
      <vt:variant>
        <vt:i4>0</vt:i4>
      </vt:variant>
      <vt:variant>
        <vt:i4>5</vt:i4>
      </vt:variant>
      <vt:variant>
        <vt:lpwstr>http://dx.doi.org/10.1016/j.pscychresns.2009.03.012</vt:lpwstr>
      </vt:variant>
      <vt:variant>
        <vt:lpwstr/>
      </vt:variant>
      <vt:variant>
        <vt:i4>3211385</vt:i4>
      </vt:variant>
      <vt:variant>
        <vt:i4>257</vt:i4>
      </vt:variant>
      <vt:variant>
        <vt:i4>0</vt:i4>
      </vt:variant>
      <vt:variant>
        <vt:i4>5</vt:i4>
      </vt:variant>
      <vt:variant>
        <vt:lpwstr>http://dx.doi.org/10.1016/j.schres.2010.05.007</vt:lpwstr>
      </vt:variant>
      <vt:variant>
        <vt:lpwstr/>
      </vt:variant>
      <vt:variant>
        <vt:i4>6291517</vt:i4>
      </vt:variant>
      <vt:variant>
        <vt:i4>250</vt:i4>
      </vt:variant>
      <vt:variant>
        <vt:i4>0</vt:i4>
      </vt:variant>
      <vt:variant>
        <vt:i4>5</vt:i4>
      </vt:variant>
      <vt:variant>
        <vt:lpwstr>http://dx.doi.org/10.1037/a0030003</vt:lpwstr>
      </vt:variant>
      <vt:variant>
        <vt:lpwstr/>
      </vt:variant>
      <vt:variant>
        <vt:i4>2162733</vt:i4>
      </vt:variant>
      <vt:variant>
        <vt:i4>243</vt:i4>
      </vt:variant>
      <vt:variant>
        <vt:i4>0</vt:i4>
      </vt:variant>
      <vt:variant>
        <vt:i4>5</vt:i4>
      </vt:variant>
      <vt:variant>
        <vt:lpwstr>http://dx.doi.org/10.1111/j.1469-7610.2011.02514.x</vt:lpwstr>
      </vt:variant>
      <vt:variant>
        <vt:lpwstr/>
      </vt:variant>
      <vt:variant>
        <vt:i4>2818147</vt:i4>
      </vt:variant>
      <vt:variant>
        <vt:i4>236</vt:i4>
      </vt:variant>
      <vt:variant>
        <vt:i4>0</vt:i4>
      </vt:variant>
      <vt:variant>
        <vt:i4>5</vt:i4>
      </vt:variant>
      <vt:variant>
        <vt:lpwstr>http://dx.doi.org/10.1146/annurev.pharmtox.39.1.19</vt:lpwstr>
      </vt:variant>
      <vt:variant>
        <vt:lpwstr/>
      </vt:variant>
      <vt:variant>
        <vt:i4>4653074</vt:i4>
      </vt:variant>
      <vt:variant>
        <vt:i4>229</vt:i4>
      </vt:variant>
      <vt:variant>
        <vt:i4>0</vt:i4>
      </vt:variant>
      <vt:variant>
        <vt:i4>5</vt:i4>
      </vt:variant>
      <vt:variant>
        <vt:lpwstr>http://dx.doi.org/10.1523/JNEUROSCI.1124-04.2004</vt:lpwstr>
      </vt:variant>
      <vt:variant>
        <vt:lpwstr/>
      </vt:variant>
      <vt:variant>
        <vt:i4>4587600</vt:i4>
      </vt:variant>
      <vt:variant>
        <vt:i4>222</vt:i4>
      </vt:variant>
      <vt:variant>
        <vt:i4>0</vt:i4>
      </vt:variant>
      <vt:variant>
        <vt:i4>5</vt:i4>
      </vt:variant>
      <vt:variant>
        <vt:lpwstr>http://dx.doi.org/10.1001/archpsyc.62.11.1275</vt:lpwstr>
      </vt:variant>
      <vt:variant>
        <vt:lpwstr/>
      </vt:variant>
      <vt:variant>
        <vt:i4>6422639</vt:i4>
      </vt:variant>
      <vt:variant>
        <vt:i4>217</vt:i4>
      </vt:variant>
      <vt:variant>
        <vt:i4>0</vt:i4>
      </vt:variant>
      <vt:variant>
        <vt:i4>5</vt:i4>
      </vt:variant>
      <vt:variant>
        <vt:lpwstr>http://dx.doi.org/10.1177/1063426610383861</vt:lpwstr>
      </vt:variant>
      <vt:variant>
        <vt:lpwstr/>
      </vt:variant>
      <vt:variant>
        <vt:i4>4390921</vt:i4>
      </vt:variant>
      <vt:variant>
        <vt:i4>210</vt:i4>
      </vt:variant>
      <vt:variant>
        <vt:i4>0</vt:i4>
      </vt:variant>
      <vt:variant>
        <vt:i4>5</vt:i4>
      </vt:variant>
      <vt:variant>
        <vt:lpwstr>http://dx.doi.org/10.1016/j.psychres.2008.04.026</vt:lpwstr>
      </vt:variant>
      <vt:variant>
        <vt:lpwstr/>
      </vt:variant>
      <vt:variant>
        <vt:i4>4456524</vt:i4>
      </vt:variant>
      <vt:variant>
        <vt:i4>203</vt:i4>
      </vt:variant>
      <vt:variant>
        <vt:i4>0</vt:i4>
      </vt:variant>
      <vt:variant>
        <vt:i4>5</vt:i4>
      </vt:variant>
      <vt:variant>
        <vt:lpwstr>http://dx.doi.org/10.1037/0033-2909.128.3.490</vt:lpwstr>
      </vt:variant>
      <vt:variant>
        <vt:lpwstr/>
      </vt:variant>
      <vt:variant>
        <vt:i4>6815782</vt:i4>
      </vt:variant>
      <vt:variant>
        <vt:i4>196</vt:i4>
      </vt:variant>
      <vt:variant>
        <vt:i4>0</vt:i4>
      </vt:variant>
      <vt:variant>
        <vt:i4>5</vt:i4>
      </vt:variant>
      <vt:variant>
        <vt:lpwstr>http://dx.doi.org/10.1017/S0954579410000726</vt:lpwstr>
      </vt:variant>
      <vt:variant>
        <vt:lpwstr/>
      </vt:variant>
      <vt:variant>
        <vt:i4>2228266</vt:i4>
      </vt:variant>
      <vt:variant>
        <vt:i4>189</vt:i4>
      </vt:variant>
      <vt:variant>
        <vt:i4>0</vt:i4>
      </vt:variant>
      <vt:variant>
        <vt:i4>5</vt:i4>
      </vt:variant>
      <vt:variant>
        <vt:lpwstr>http://dx.doi.org/10.1111/j.1469-7610.2012.02564.x</vt:lpwstr>
      </vt:variant>
      <vt:variant>
        <vt:lpwstr/>
      </vt:variant>
      <vt:variant>
        <vt:i4>2228263</vt:i4>
      </vt:variant>
      <vt:variant>
        <vt:i4>182</vt:i4>
      </vt:variant>
      <vt:variant>
        <vt:i4>0</vt:i4>
      </vt:variant>
      <vt:variant>
        <vt:i4>5</vt:i4>
      </vt:variant>
      <vt:variant>
        <vt:lpwstr>http://dx.doi.org/10.1111/j.1469-7610.2008.01992.x</vt:lpwstr>
      </vt:variant>
      <vt:variant>
        <vt:lpwstr/>
      </vt:variant>
      <vt:variant>
        <vt:i4>2359403</vt:i4>
      </vt:variant>
      <vt:variant>
        <vt:i4>175</vt:i4>
      </vt:variant>
      <vt:variant>
        <vt:i4>0</vt:i4>
      </vt:variant>
      <vt:variant>
        <vt:i4>5</vt:i4>
      </vt:variant>
      <vt:variant>
        <vt:lpwstr>http://dx.doi.org/10.1111/j.1601-183X.2009.00547.x</vt:lpwstr>
      </vt:variant>
      <vt:variant>
        <vt:lpwstr/>
      </vt:variant>
      <vt:variant>
        <vt:i4>7143463</vt:i4>
      </vt:variant>
      <vt:variant>
        <vt:i4>168</vt:i4>
      </vt:variant>
      <vt:variant>
        <vt:i4>0</vt:i4>
      </vt:variant>
      <vt:variant>
        <vt:i4>5</vt:i4>
      </vt:variant>
      <vt:variant>
        <vt:lpwstr>http://dx.doi.org/10.1017/S0954579410000672</vt:lpwstr>
      </vt:variant>
      <vt:variant>
        <vt:lpwstr/>
      </vt:variant>
      <vt:variant>
        <vt:i4>8323111</vt:i4>
      </vt:variant>
      <vt:variant>
        <vt:i4>161</vt:i4>
      </vt:variant>
      <vt:variant>
        <vt:i4>0</vt:i4>
      </vt:variant>
      <vt:variant>
        <vt:i4>5</vt:i4>
      </vt:variant>
      <vt:variant>
        <vt:lpwstr>http://dx.doi.org/10.1007/s00787-009-0080-1</vt:lpwstr>
      </vt:variant>
      <vt:variant>
        <vt:lpwstr/>
      </vt:variant>
      <vt:variant>
        <vt:i4>4325390</vt:i4>
      </vt:variant>
      <vt:variant>
        <vt:i4>152</vt:i4>
      </vt:variant>
      <vt:variant>
        <vt:i4>0</vt:i4>
      </vt:variant>
      <vt:variant>
        <vt:i4>5</vt:i4>
      </vt:variant>
      <vt:variant>
        <vt:lpwstr>http://dx.doi.org/10.1001/archgenpsychiatry.2010.163</vt:lpwstr>
      </vt:variant>
      <vt:variant>
        <vt:lpwstr/>
      </vt:variant>
      <vt:variant>
        <vt:i4>6357098</vt:i4>
      </vt:variant>
      <vt:variant>
        <vt:i4>145</vt:i4>
      </vt:variant>
      <vt:variant>
        <vt:i4>0</vt:i4>
      </vt:variant>
      <vt:variant>
        <vt:i4>5</vt:i4>
      </vt:variant>
      <vt:variant>
        <vt:lpwstr>http://dx.doi.org/10.1097/00008571-199606000-00007</vt:lpwstr>
      </vt:variant>
      <vt:variant>
        <vt:lpwstr/>
      </vt:variant>
      <vt:variant>
        <vt:i4>2949226</vt:i4>
      </vt:variant>
      <vt:variant>
        <vt:i4>136</vt:i4>
      </vt:variant>
      <vt:variant>
        <vt:i4>0</vt:i4>
      </vt:variant>
      <vt:variant>
        <vt:i4>5</vt:i4>
      </vt:variant>
      <vt:variant>
        <vt:lpwstr>http://dx.doi.org/10.1111/j.1601-183X.2011.00744.x</vt:lpwstr>
      </vt:variant>
      <vt:variant>
        <vt:lpwstr/>
      </vt:variant>
      <vt:variant>
        <vt:i4>6488097</vt:i4>
      </vt:variant>
      <vt:variant>
        <vt:i4>129</vt:i4>
      </vt:variant>
      <vt:variant>
        <vt:i4>0</vt:i4>
      </vt:variant>
      <vt:variant>
        <vt:i4>5</vt:i4>
      </vt:variant>
      <vt:variant>
        <vt:lpwstr>http://dx.doi.org/10.1017/S0954579414000492</vt:lpwstr>
      </vt:variant>
      <vt:variant>
        <vt:lpwstr/>
      </vt:variant>
      <vt:variant>
        <vt:i4>5963842</vt:i4>
      </vt:variant>
      <vt:variant>
        <vt:i4>120</vt:i4>
      </vt:variant>
      <vt:variant>
        <vt:i4>0</vt:i4>
      </vt:variant>
      <vt:variant>
        <vt:i4>5</vt:i4>
      </vt:variant>
      <vt:variant>
        <vt:lpwstr>http://dx.doi.org/10.1111/j.1469-7610.1997.tb01545.x</vt:lpwstr>
      </vt:variant>
      <vt:variant>
        <vt:lpwstr/>
      </vt:variant>
      <vt:variant>
        <vt:i4>6750334</vt:i4>
      </vt:variant>
      <vt:variant>
        <vt:i4>113</vt:i4>
      </vt:variant>
      <vt:variant>
        <vt:i4>0</vt:i4>
      </vt:variant>
      <vt:variant>
        <vt:i4>5</vt:i4>
      </vt:variant>
      <vt:variant>
        <vt:lpwstr>http://dx.doi.org/10.1001/archpsyc.60.9.889</vt:lpwstr>
      </vt:variant>
      <vt:variant>
        <vt:lpwstr/>
      </vt:variant>
      <vt:variant>
        <vt:i4>7012391</vt:i4>
      </vt:variant>
      <vt:variant>
        <vt:i4>106</vt:i4>
      </vt:variant>
      <vt:variant>
        <vt:i4>0</vt:i4>
      </vt:variant>
      <vt:variant>
        <vt:i4>5</vt:i4>
      </vt:variant>
      <vt:variant>
        <vt:lpwstr>http://dx.doi.org/10.1017/S0954579410000611</vt:lpwstr>
      </vt:variant>
      <vt:variant>
        <vt:lpwstr/>
      </vt:variant>
      <vt:variant>
        <vt:i4>4653146</vt:i4>
      </vt:variant>
      <vt:variant>
        <vt:i4>99</vt:i4>
      </vt:variant>
      <vt:variant>
        <vt:i4>0</vt:i4>
      </vt:variant>
      <vt:variant>
        <vt:i4>5</vt:i4>
      </vt:variant>
      <vt:variant>
        <vt:lpwstr>http://dx.doi.org/10.1073/pnas.111134598</vt:lpwstr>
      </vt:variant>
      <vt:variant>
        <vt:lpwstr/>
      </vt:variant>
      <vt:variant>
        <vt:i4>5832723</vt:i4>
      </vt:variant>
      <vt:variant>
        <vt:i4>92</vt:i4>
      </vt:variant>
      <vt:variant>
        <vt:i4>0</vt:i4>
      </vt:variant>
      <vt:variant>
        <vt:i4>5</vt:i4>
      </vt:variant>
      <vt:variant>
        <vt:lpwstr>http://dx.doi.org/10.1176/appi.ajp.161.1.125</vt:lpwstr>
      </vt:variant>
      <vt:variant>
        <vt:lpwstr/>
      </vt:variant>
      <vt:variant>
        <vt:i4>6357090</vt:i4>
      </vt:variant>
      <vt:variant>
        <vt:i4>85</vt:i4>
      </vt:variant>
      <vt:variant>
        <vt:i4>0</vt:i4>
      </vt:variant>
      <vt:variant>
        <vt:i4>5</vt:i4>
      </vt:variant>
      <vt:variant>
        <vt:lpwstr>http://dx.doi.org/10.1177/0956797612457381</vt:lpwstr>
      </vt:variant>
      <vt:variant>
        <vt:lpwstr/>
      </vt:variant>
      <vt:variant>
        <vt:i4>5177348</vt:i4>
      </vt:variant>
      <vt:variant>
        <vt:i4>78</vt:i4>
      </vt:variant>
      <vt:variant>
        <vt:i4>0</vt:i4>
      </vt:variant>
      <vt:variant>
        <vt:i4>5</vt:i4>
      </vt:variant>
      <vt:variant>
        <vt:lpwstr>http://dx.doi.org/10.1016/j.mehy.2005.04.037</vt:lpwstr>
      </vt:variant>
      <vt:variant>
        <vt:lpwstr/>
      </vt:variant>
      <vt:variant>
        <vt:i4>2031693</vt:i4>
      </vt:variant>
      <vt:variant>
        <vt:i4>71</vt:i4>
      </vt:variant>
      <vt:variant>
        <vt:i4>0</vt:i4>
      </vt:variant>
      <vt:variant>
        <vt:i4>5</vt:i4>
      </vt:variant>
      <vt:variant>
        <vt:lpwstr>http://dx.doi.org/10.1126/science.1083968</vt:lpwstr>
      </vt:variant>
      <vt:variant>
        <vt:lpwstr/>
      </vt:variant>
      <vt:variant>
        <vt:i4>7667769</vt:i4>
      </vt:variant>
      <vt:variant>
        <vt:i4>64</vt:i4>
      </vt:variant>
      <vt:variant>
        <vt:i4>0</vt:i4>
      </vt:variant>
      <vt:variant>
        <vt:i4>5</vt:i4>
      </vt:variant>
      <vt:variant>
        <vt:lpwstr>http://dx.doi.org/10.1001/archgenpsychiatry.2007.24</vt:lpwstr>
      </vt:variant>
      <vt:variant>
        <vt:lpwstr/>
      </vt:variant>
      <vt:variant>
        <vt:i4>3473464</vt:i4>
      </vt:variant>
      <vt:variant>
        <vt:i4>57</vt:i4>
      </vt:variant>
      <vt:variant>
        <vt:i4>0</vt:i4>
      </vt:variant>
      <vt:variant>
        <vt:i4>5</vt:i4>
      </vt:variant>
      <vt:variant>
        <vt:lpwstr>http://dx.doi.org/10.1016/j.cpr.2008.12.004</vt:lpwstr>
      </vt:variant>
      <vt:variant>
        <vt:lpwstr/>
      </vt:variant>
      <vt:variant>
        <vt:i4>7208992</vt:i4>
      </vt:variant>
      <vt:variant>
        <vt:i4>50</vt:i4>
      </vt:variant>
      <vt:variant>
        <vt:i4>0</vt:i4>
      </vt:variant>
      <vt:variant>
        <vt:i4>5</vt:i4>
      </vt:variant>
      <vt:variant>
        <vt:lpwstr>http://dx.doi.org/10.1017/S0954579411000046</vt:lpwstr>
      </vt:variant>
      <vt:variant>
        <vt:lpwstr/>
      </vt:variant>
      <vt:variant>
        <vt:i4>7995444</vt:i4>
      </vt:variant>
      <vt:variant>
        <vt:i4>45</vt:i4>
      </vt:variant>
      <vt:variant>
        <vt:i4>0</vt:i4>
      </vt:variant>
      <vt:variant>
        <vt:i4>5</vt:i4>
      </vt:variant>
      <vt:variant>
        <vt:lpwstr>http://dx.doi.org/10.1002/1098-2337(1992)18:2&lt;117::AID-AB2480180205&gt;3.0.CO;2-3</vt:lpwstr>
      </vt:variant>
      <vt:variant>
        <vt:lpwstr/>
      </vt:variant>
      <vt:variant>
        <vt:i4>1179735</vt:i4>
      </vt:variant>
      <vt:variant>
        <vt:i4>38</vt:i4>
      </vt:variant>
      <vt:variant>
        <vt:i4>0</vt:i4>
      </vt:variant>
      <vt:variant>
        <vt:i4>5</vt:i4>
      </vt:variant>
      <vt:variant>
        <vt:lpwstr>http://dx.doi.org/10.1038/sj.npp.1300542</vt:lpwstr>
      </vt:variant>
      <vt:variant>
        <vt:lpwstr/>
      </vt:variant>
      <vt:variant>
        <vt:i4>4522074</vt:i4>
      </vt:variant>
      <vt:variant>
        <vt:i4>31</vt:i4>
      </vt:variant>
      <vt:variant>
        <vt:i4>0</vt:i4>
      </vt:variant>
      <vt:variant>
        <vt:i4>5</vt:i4>
      </vt:variant>
      <vt:variant>
        <vt:lpwstr>http://dx.doi.org/10.1111/jcpp.12075</vt:lpwstr>
      </vt:variant>
      <vt:variant>
        <vt:lpwstr/>
      </vt:variant>
      <vt:variant>
        <vt:i4>6488103</vt:i4>
      </vt:variant>
      <vt:variant>
        <vt:i4>24</vt:i4>
      </vt:variant>
      <vt:variant>
        <vt:i4>0</vt:i4>
      </vt:variant>
      <vt:variant>
        <vt:i4>5</vt:i4>
      </vt:variant>
      <vt:variant>
        <vt:lpwstr>http://dx.doi.org/10.1017/S095457941300059X</vt:lpwstr>
      </vt:variant>
      <vt:variant>
        <vt:lpwstr/>
      </vt:variant>
      <vt:variant>
        <vt:i4>6553661</vt:i4>
      </vt:variant>
      <vt:variant>
        <vt:i4>17</vt:i4>
      </vt:variant>
      <vt:variant>
        <vt:i4>0</vt:i4>
      </vt:variant>
      <vt:variant>
        <vt:i4>5</vt:i4>
      </vt:variant>
      <vt:variant>
        <vt:lpwstr>http://dx.doi.org/10.1037/a0017376</vt:lpwstr>
      </vt:variant>
      <vt:variant>
        <vt:lpwstr/>
      </vt:variant>
      <vt:variant>
        <vt:i4>524317</vt:i4>
      </vt:variant>
      <vt:variant>
        <vt:i4>10</vt:i4>
      </vt:variant>
      <vt:variant>
        <vt:i4>0</vt:i4>
      </vt:variant>
      <vt:variant>
        <vt:i4>5</vt:i4>
      </vt:variant>
      <vt:variant>
        <vt:lpwstr>http://dx.doi.org/10.1038/mp.2009.44</vt:lpwstr>
      </vt:variant>
      <vt:variant>
        <vt:lpwstr/>
      </vt:variant>
      <vt:variant>
        <vt:i4>2359341</vt:i4>
      </vt:variant>
      <vt:variant>
        <vt:i4>5</vt:i4>
      </vt:variant>
      <vt:variant>
        <vt:i4>0</vt:i4>
      </vt:variant>
      <vt:variant>
        <vt:i4>5</vt:i4>
      </vt:variant>
      <vt:variant>
        <vt:lpwstr>http://dx.doi.org/10.1111/j.1467-8721.2007.00525.x</vt:lpwstr>
      </vt:variant>
      <vt:variant>
        <vt:lpwstr/>
      </vt:variant>
      <vt:variant>
        <vt:i4>2162689</vt:i4>
      </vt:variant>
      <vt:variant>
        <vt:i4>0</vt:i4>
      </vt:variant>
      <vt:variant>
        <vt:i4>0</vt:i4>
      </vt:variant>
      <vt:variant>
        <vt:i4>5</vt:i4>
      </vt:variant>
      <vt:variant>
        <vt:lpwstr>mailto:beate.hygen@samfunn.ntnu.no</vt:lpwstr>
      </vt:variant>
      <vt:variant>
        <vt:lpwstr/>
      </vt:variant>
      <vt:variant>
        <vt:i4>3538977</vt:i4>
      </vt:variant>
      <vt:variant>
        <vt:i4>75</vt:i4>
      </vt:variant>
      <vt:variant>
        <vt:i4>0</vt:i4>
      </vt:variant>
      <vt:variant>
        <vt:i4>5</vt:i4>
      </vt:variant>
      <vt:variant>
        <vt:lpwstr>http://www.ncbi.nlm.nih.gov/pubmed/24102377</vt:lpwstr>
      </vt:variant>
      <vt:variant>
        <vt:lpwstr/>
      </vt:variant>
      <vt:variant>
        <vt:i4>3538977</vt:i4>
      </vt:variant>
      <vt:variant>
        <vt:i4>72</vt:i4>
      </vt:variant>
      <vt:variant>
        <vt:i4>0</vt:i4>
      </vt:variant>
      <vt:variant>
        <vt:i4>5</vt:i4>
      </vt:variant>
      <vt:variant>
        <vt:lpwstr>http://www.ncbi.nlm.nih.gov/pubmed/24102377</vt:lpwstr>
      </vt:variant>
      <vt:variant>
        <vt:lpwstr/>
      </vt:variant>
      <vt:variant>
        <vt:i4>3276845</vt:i4>
      </vt:variant>
      <vt:variant>
        <vt:i4>69</vt:i4>
      </vt:variant>
      <vt:variant>
        <vt:i4>0</vt:i4>
      </vt:variant>
      <vt:variant>
        <vt:i4>5</vt:i4>
      </vt:variant>
      <vt:variant>
        <vt:lpwstr>http://www.ncbi.nlm.nih.gov/pubmed/8994665</vt:lpwstr>
      </vt:variant>
      <vt:variant>
        <vt:lpwstr/>
      </vt:variant>
      <vt:variant>
        <vt:i4>3145760</vt:i4>
      </vt:variant>
      <vt:variant>
        <vt:i4>66</vt:i4>
      </vt:variant>
      <vt:variant>
        <vt:i4>0</vt:i4>
      </vt:variant>
      <vt:variant>
        <vt:i4>5</vt:i4>
      </vt:variant>
      <vt:variant>
        <vt:lpwstr>http://www.ncbi.nlm.nih.gov/pubmed/22211517</vt:lpwstr>
      </vt:variant>
      <vt:variant>
        <vt:lpwstr/>
      </vt:variant>
      <vt:variant>
        <vt:i4>3145771</vt:i4>
      </vt:variant>
      <vt:variant>
        <vt:i4>63</vt:i4>
      </vt:variant>
      <vt:variant>
        <vt:i4>0</vt:i4>
      </vt:variant>
      <vt:variant>
        <vt:i4>5</vt:i4>
      </vt:variant>
      <vt:variant>
        <vt:lpwstr>http://www.ncbi.nlm.nih.gov/pubmed/15190105</vt:lpwstr>
      </vt:variant>
      <vt:variant>
        <vt:lpwstr/>
      </vt:variant>
      <vt:variant>
        <vt:i4>4128801</vt:i4>
      </vt:variant>
      <vt:variant>
        <vt:i4>60</vt:i4>
      </vt:variant>
      <vt:variant>
        <vt:i4>0</vt:i4>
      </vt:variant>
      <vt:variant>
        <vt:i4>5</vt:i4>
      </vt:variant>
      <vt:variant>
        <vt:lpwstr>http://www.ncbi.nlm.nih.gov/pubmed/18976816</vt:lpwstr>
      </vt:variant>
      <vt:variant>
        <vt:lpwstr/>
      </vt:variant>
      <vt:variant>
        <vt:i4>3211301</vt:i4>
      </vt:variant>
      <vt:variant>
        <vt:i4>57</vt:i4>
      </vt:variant>
      <vt:variant>
        <vt:i4>0</vt:i4>
      </vt:variant>
      <vt:variant>
        <vt:i4>5</vt:i4>
      </vt:variant>
      <vt:variant>
        <vt:lpwstr>http://www.ncbi.nlm.nih.gov/pubmed/22582942</vt:lpwstr>
      </vt:variant>
      <vt:variant>
        <vt:lpwstr/>
      </vt:variant>
      <vt:variant>
        <vt:i4>3407904</vt:i4>
      </vt:variant>
      <vt:variant>
        <vt:i4>54</vt:i4>
      </vt:variant>
      <vt:variant>
        <vt:i4>0</vt:i4>
      </vt:variant>
      <vt:variant>
        <vt:i4>5</vt:i4>
      </vt:variant>
      <vt:variant>
        <vt:lpwstr>http://www.ncbi.nlm.nih.gov/pubmed/19175816</vt:lpwstr>
      </vt:variant>
      <vt:variant>
        <vt:lpwstr/>
      </vt:variant>
      <vt:variant>
        <vt:i4>3145764</vt:i4>
      </vt:variant>
      <vt:variant>
        <vt:i4>51</vt:i4>
      </vt:variant>
      <vt:variant>
        <vt:i4>0</vt:i4>
      </vt:variant>
      <vt:variant>
        <vt:i4>5</vt:i4>
      </vt:variant>
      <vt:variant>
        <vt:lpwstr>http://www.ncbi.nlm.nih.gov/pubmed/20002200</vt:lpwstr>
      </vt:variant>
      <vt:variant>
        <vt:lpwstr/>
      </vt:variant>
      <vt:variant>
        <vt:i4>3801121</vt:i4>
      </vt:variant>
      <vt:variant>
        <vt:i4>48</vt:i4>
      </vt:variant>
      <vt:variant>
        <vt:i4>0</vt:i4>
      </vt:variant>
      <vt:variant>
        <vt:i4>5</vt:i4>
      </vt:variant>
      <vt:variant>
        <vt:lpwstr>http://www.ncbi.nlm.nih.gov/pubmed/8166307</vt:lpwstr>
      </vt:variant>
      <vt:variant>
        <vt:lpwstr/>
      </vt:variant>
      <vt:variant>
        <vt:i4>3473447</vt:i4>
      </vt:variant>
      <vt:variant>
        <vt:i4>45</vt:i4>
      </vt:variant>
      <vt:variant>
        <vt:i4>0</vt:i4>
      </vt:variant>
      <vt:variant>
        <vt:i4>5</vt:i4>
      </vt:variant>
      <vt:variant>
        <vt:lpwstr>http://www.ncbi.nlm.nih.gov/pubmed/21135332</vt:lpwstr>
      </vt:variant>
      <vt:variant>
        <vt:lpwstr/>
      </vt:variant>
      <vt:variant>
        <vt:i4>3932201</vt:i4>
      </vt:variant>
      <vt:variant>
        <vt:i4>42</vt:i4>
      </vt:variant>
      <vt:variant>
        <vt:i4>0</vt:i4>
      </vt:variant>
      <vt:variant>
        <vt:i4>5</vt:i4>
      </vt:variant>
      <vt:variant>
        <vt:lpwstr>http://www.ncbi.nlm.nih.gov/pubmed/7914228</vt:lpwstr>
      </vt:variant>
      <vt:variant>
        <vt:lpwstr/>
      </vt:variant>
      <vt:variant>
        <vt:i4>3932198</vt:i4>
      </vt:variant>
      <vt:variant>
        <vt:i4>39</vt:i4>
      </vt:variant>
      <vt:variant>
        <vt:i4>0</vt:i4>
      </vt:variant>
      <vt:variant>
        <vt:i4>5</vt:i4>
      </vt:variant>
      <vt:variant>
        <vt:lpwstr>http://www.ncbi.nlm.nih.gov/pubmed/22008269</vt:lpwstr>
      </vt:variant>
      <vt:variant>
        <vt:lpwstr/>
      </vt:variant>
      <vt:variant>
        <vt:i4>3932198</vt:i4>
      </vt:variant>
      <vt:variant>
        <vt:i4>36</vt:i4>
      </vt:variant>
      <vt:variant>
        <vt:i4>0</vt:i4>
      </vt:variant>
      <vt:variant>
        <vt:i4>5</vt:i4>
      </vt:variant>
      <vt:variant>
        <vt:lpwstr>http://www.ncbi.nlm.nih.gov/pubmed/22008269</vt:lpwstr>
      </vt:variant>
      <vt:variant>
        <vt:lpwstr/>
      </vt:variant>
      <vt:variant>
        <vt:i4>3932192</vt:i4>
      </vt:variant>
      <vt:variant>
        <vt:i4>33</vt:i4>
      </vt:variant>
      <vt:variant>
        <vt:i4>0</vt:i4>
      </vt:variant>
      <vt:variant>
        <vt:i4>5</vt:i4>
      </vt:variant>
      <vt:variant>
        <vt:lpwstr>http://www.ncbi.nlm.nih.gov/pubmed/2363169</vt:lpwstr>
      </vt:variant>
      <vt:variant>
        <vt:lpwstr/>
      </vt:variant>
      <vt:variant>
        <vt:i4>3932192</vt:i4>
      </vt:variant>
      <vt:variant>
        <vt:i4>30</vt:i4>
      </vt:variant>
      <vt:variant>
        <vt:i4>0</vt:i4>
      </vt:variant>
      <vt:variant>
        <vt:i4>5</vt:i4>
      </vt:variant>
      <vt:variant>
        <vt:lpwstr>http://www.ncbi.nlm.nih.gov/pubmed/2363169</vt:lpwstr>
      </vt:variant>
      <vt:variant>
        <vt:lpwstr/>
      </vt:variant>
      <vt:variant>
        <vt:i4>3735585</vt:i4>
      </vt:variant>
      <vt:variant>
        <vt:i4>27</vt:i4>
      </vt:variant>
      <vt:variant>
        <vt:i4>0</vt:i4>
      </vt:variant>
      <vt:variant>
        <vt:i4>5</vt:i4>
      </vt:variant>
      <vt:variant>
        <vt:lpwstr>http://www.ncbi.nlm.nih.gov/pubmed/9255702</vt:lpwstr>
      </vt:variant>
      <vt:variant>
        <vt:lpwstr/>
      </vt:variant>
      <vt:variant>
        <vt:i4>3932196</vt:i4>
      </vt:variant>
      <vt:variant>
        <vt:i4>24</vt:i4>
      </vt:variant>
      <vt:variant>
        <vt:i4>0</vt:i4>
      </vt:variant>
      <vt:variant>
        <vt:i4>5</vt:i4>
      </vt:variant>
      <vt:variant>
        <vt:lpwstr>http://www.ncbi.nlm.nih.gov/pubmed/12963670</vt:lpwstr>
      </vt:variant>
      <vt:variant>
        <vt:lpwstr/>
      </vt:variant>
      <vt:variant>
        <vt:i4>3211297</vt:i4>
      </vt:variant>
      <vt:variant>
        <vt:i4>21</vt:i4>
      </vt:variant>
      <vt:variant>
        <vt:i4>0</vt:i4>
      </vt:variant>
      <vt:variant>
        <vt:i4>5</vt:i4>
      </vt:variant>
      <vt:variant>
        <vt:lpwstr>http://www.ncbi.nlm.nih.gov/pubmed/21262036</vt:lpwstr>
      </vt:variant>
      <vt:variant>
        <vt:lpwstr/>
      </vt:variant>
      <vt:variant>
        <vt:i4>3276846</vt:i4>
      </vt:variant>
      <vt:variant>
        <vt:i4>18</vt:i4>
      </vt:variant>
      <vt:variant>
        <vt:i4>0</vt:i4>
      </vt:variant>
      <vt:variant>
        <vt:i4>5</vt:i4>
      </vt:variant>
      <vt:variant>
        <vt:lpwstr>http://www.ncbi.nlm.nih.gov/pubmed/11381111</vt:lpwstr>
      </vt:variant>
      <vt:variant>
        <vt:lpwstr/>
      </vt:variant>
      <vt:variant>
        <vt:i4>3276846</vt:i4>
      </vt:variant>
      <vt:variant>
        <vt:i4>15</vt:i4>
      </vt:variant>
      <vt:variant>
        <vt:i4>0</vt:i4>
      </vt:variant>
      <vt:variant>
        <vt:i4>5</vt:i4>
      </vt:variant>
      <vt:variant>
        <vt:lpwstr>http://www.ncbi.nlm.nih.gov/pubmed/11381111</vt:lpwstr>
      </vt:variant>
      <vt:variant>
        <vt:lpwstr/>
      </vt:variant>
      <vt:variant>
        <vt:i4>3538985</vt:i4>
      </vt:variant>
      <vt:variant>
        <vt:i4>12</vt:i4>
      </vt:variant>
      <vt:variant>
        <vt:i4>0</vt:i4>
      </vt:variant>
      <vt:variant>
        <vt:i4>5</vt:i4>
      </vt:variant>
      <vt:variant>
        <vt:lpwstr>http://www.ncbi.nlm.nih.gov/pubmed/18250258</vt:lpwstr>
      </vt:variant>
      <vt:variant>
        <vt:lpwstr/>
      </vt:variant>
      <vt:variant>
        <vt:i4>8257588</vt:i4>
      </vt:variant>
      <vt:variant>
        <vt:i4>9</vt:i4>
      </vt:variant>
      <vt:variant>
        <vt:i4>0</vt:i4>
      </vt:variant>
      <vt:variant>
        <vt:i4>5</vt:i4>
      </vt:variant>
      <vt:variant>
        <vt:lpwstr>http://dx.doi.org/10.1002/1098-2337(1992)18:2%3C117::AID-AB2480180205%3E3.0.CO;2-3</vt:lpwstr>
      </vt:variant>
      <vt:variant>
        <vt:lpwstr/>
      </vt:variant>
      <vt:variant>
        <vt:i4>3604525</vt:i4>
      </vt:variant>
      <vt:variant>
        <vt:i4>6</vt:i4>
      </vt:variant>
      <vt:variant>
        <vt:i4>0</vt:i4>
      </vt:variant>
      <vt:variant>
        <vt:i4>5</vt:i4>
      </vt:variant>
      <vt:variant>
        <vt:lpwstr>http://www.ncbi.nlm.nih.gov/pubmed/23617948</vt:lpwstr>
      </vt:variant>
      <vt:variant>
        <vt:lpwstr/>
      </vt:variant>
      <vt:variant>
        <vt:i4>3145774</vt:i4>
      </vt:variant>
      <vt:variant>
        <vt:i4>3</vt:i4>
      </vt:variant>
      <vt:variant>
        <vt:i4>0</vt:i4>
      </vt:variant>
      <vt:variant>
        <vt:i4>5</vt:i4>
      </vt:variant>
      <vt:variant>
        <vt:lpwstr>http://www.ncbi.nlm.nih.gov/pubmed/24342838</vt:lpwstr>
      </vt:variant>
      <vt:variant>
        <vt:lpwstr/>
      </vt:variant>
      <vt:variant>
        <vt:i4>8061030</vt:i4>
      </vt:variant>
      <vt:variant>
        <vt:i4>0</vt:i4>
      </vt:variant>
      <vt:variant>
        <vt:i4>0</vt:i4>
      </vt:variant>
      <vt:variant>
        <vt:i4>5</vt:i4>
      </vt:variant>
      <vt:variant>
        <vt:lpwstr>../../../AppData/Local/Temp/Shabash/Merops/formatf6f600c9-b2e8-4d2f-bd47-fcc92b665022/format-Original.docx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Formatting Manager</dc:creator>
  <cp:lastModifiedBy>Beate Hygen</cp:lastModifiedBy>
  <cp:revision>2</cp:revision>
  <cp:lastPrinted>2015-02-02T10:21:00Z</cp:lastPrinted>
  <dcterms:created xsi:type="dcterms:W3CDTF">2018-02-09T13:58:00Z</dcterms:created>
  <dcterms:modified xsi:type="dcterms:W3CDTF">2018-02-09T13:58:00Z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urnalID">
    <vt:lpwstr>unknown</vt:lpwstr>
  </property>
  <property fmtid="{D5CDD505-2E9C-101B-9397-08002B2CF9AE}" pid="3" name="Source">
    <vt:lpwstr/>
  </property>
  <property fmtid="{D5CDD505-2E9C-101B-9397-08002B2CF9AE}" pid="4" name="Source-short">
    <vt:lpwstr/>
  </property>
  <property fmtid="{D5CDD505-2E9C-101B-9397-08002B2CF9AE}" pid="5" name="Source-abbreviated">
    <vt:lpwstr/>
  </property>
  <property fmtid="{D5CDD505-2E9C-101B-9397-08002B2CF9AE}" pid="6" name="eISSN">
    <vt:lpwstr/>
  </property>
  <property fmtid="{D5CDD505-2E9C-101B-9397-08002B2CF9AE}" pid="7" name="ISSN">
    <vt:lpwstr/>
  </property>
  <property fmtid="{D5CDD505-2E9C-101B-9397-08002B2CF9AE}" pid="8" name="Publisher">
    <vt:lpwstr/>
  </property>
  <property fmtid="{D5CDD505-2E9C-101B-9397-08002B2CF9AE}" pid="9" name="Publisher-location">
    <vt:lpwstr/>
  </property>
  <property fmtid="{D5CDD505-2E9C-101B-9397-08002B2CF9AE}" pid="10" name="Ref Cite Style">
    <vt:lpwstr>name-date</vt:lpwstr>
  </property>
  <property fmtid="{D5CDD505-2E9C-101B-9397-08002B2CF9AE}" pid="11" name="Merops word count">
    <vt:lpwstr>4527</vt:lpwstr>
  </property>
  <property fmtid="{D5CDD505-2E9C-101B-9397-08002B2CF9AE}" pid="12" name="Merops references count">
    <vt:lpwstr>50</vt:lpwstr>
  </property>
  <property fmtid="{D5CDD505-2E9C-101B-9397-08002B2CF9AE}" pid="13" name="Merops tables count">
    <vt:lpwstr>1</vt:lpwstr>
  </property>
  <property fmtid="{D5CDD505-2E9C-101B-9397-08002B2CF9AE}" pid="14" name="Merops figures count">
    <vt:lpwstr>1</vt:lpwstr>
  </property>
  <property fmtid="{D5CDD505-2E9C-101B-9397-08002B2CF9AE}" pid="15" name="Merops graphics count">
    <vt:lpwstr>IN DEVELOPMENT</vt:lpwstr>
  </property>
  <property fmtid="{D5CDD505-2E9C-101B-9397-08002B2CF9AE}" pid="16" name="Merops footnotes and endnotes count">
    <vt:lpwstr>0</vt:lpwstr>
  </property>
  <property fmtid="{D5CDD505-2E9C-101B-9397-08002B2CF9AE}" pid="17" name="Merops email addresses count">
    <vt:lpwstr>1</vt:lpwstr>
  </property>
  <property fmtid="{D5CDD505-2E9C-101B-9397-08002B2CF9AE}" pid="18" name="Merops Standard Set">
    <vt:lpwstr>APA Publication Manual</vt:lpwstr>
  </property>
  <property fmtid="{D5CDD505-2E9C-101B-9397-08002B2CF9AE}" pid="19" name="Merops Standard Set modified">
    <vt:lpwstr>7/9/2014 12:07:02 AM</vt:lpwstr>
  </property>
  <property fmtid="{D5CDD505-2E9C-101B-9397-08002B2CF9AE}" pid="20" name="Merops input file path">
    <vt:lpwstr>C:\Users\dzeiger\Desktop\AJE Formatting\1WYJ13S7\format.docx</vt:lpwstr>
  </property>
  <property fmtid="{D5CDD505-2E9C-101B-9397-08002B2CF9AE}" pid="21" name="Merops -Original extension">
    <vt:lpwstr>docx</vt:lpwstr>
  </property>
  <property fmtid="{D5CDD505-2E9C-101B-9397-08002B2CF9AE}" pid="22" name="Merops server path">
    <vt:lpwstr>http://merops-shabash.no-ip.org:50080/meropswsbeta/service.asmx</vt:lpwstr>
  </property>
  <property fmtid="{D5CDD505-2E9C-101B-9397-08002B2CF9AE}" pid="23" name="Merops processed date">
    <vt:lpwstr>2014/09/04 06:50:18</vt:lpwstr>
  </property>
  <property fmtid="{D5CDD505-2E9C-101B-9397-08002B2CF9AE}" pid="24" name="Merops comment count">
    <vt:lpwstr>208</vt:lpwstr>
  </property>
  <property fmtid="{D5CDD505-2E9C-101B-9397-08002B2CF9AE}" pid="25" name="Merops change count">
    <vt:lpwstr>2717</vt:lpwstr>
  </property>
</Properties>
</file>