
<file path=[Content_Types].xml><?xml version="1.0" encoding="utf-8"?>
<Types xmlns="http://schemas.openxmlformats.org/package/2006/content-types">
  <Default Extension="xml" ContentType="application/xml"/>
  <Default Extension="vsdx" ContentType="application/vnd.ms-visio.drawing"/>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4F3EB" w14:textId="08D86F2C" w:rsidR="00941526" w:rsidRPr="0091465A" w:rsidRDefault="00596D57" w:rsidP="00982611">
      <w:pPr>
        <w:spacing w:after="200" w:line="480" w:lineRule="auto"/>
        <w:ind w:firstLine="0"/>
        <w:jc w:val="center"/>
        <w:rPr>
          <w:b/>
          <w:sz w:val="34"/>
          <w:szCs w:val="34"/>
        </w:rPr>
      </w:pPr>
      <w:bookmarkStart w:id="0" w:name="_GoBack"/>
      <w:r>
        <w:rPr>
          <w:b/>
          <w:sz w:val="34"/>
          <w:szCs w:val="34"/>
        </w:rPr>
        <w:t>Automatic r</w:t>
      </w:r>
      <w:r w:rsidR="008C2F43" w:rsidRPr="0091465A">
        <w:rPr>
          <w:b/>
          <w:sz w:val="34"/>
          <w:szCs w:val="34"/>
        </w:rPr>
        <w:t xml:space="preserve">eplenishment </w:t>
      </w:r>
      <w:r>
        <w:rPr>
          <w:b/>
          <w:sz w:val="34"/>
          <w:szCs w:val="34"/>
        </w:rPr>
        <w:t>of</w:t>
      </w:r>
      <w:r w:rsidR="00E959F4" w:rsidRPr="0091465A">
        <w:rPr>
          <w:b/>
          <w:sz w:val="34"/>
          <w:szCs w:val="34"/>
        </w:rPr>
        <w:t xml:space="preserve"> perishables</w:t>
      </w:r>
      <w:r w:rsidR="004617E5" w:rsidRPr="0091465A">
        <w:rPr>
          <w:b/>
          <w:sz w:val="34"/>
          <w:szCs w:val="34"/>
        </w:rPr>
        <w:t xml:space="preserve"> in </w:t>
      </w:r>
      <w:r w:rsidR="0051496D" w:rsidRPr="0091465A">
        <w:rPr>
          <w:b/>
          <w:sz w:val="34"/>
          <w:szCs w:val="34"/>
        </w:rPr>
        <w:t>grocery retailing</w:t>
      </w:r>
      <w:r w:rsidR="00E959F4" w:rsidRPr="0091465A">
        <w:rPr>
          <w:b/>
          <w:sz w:val="34"/>
          <w:szCs w:val="34"/>
        </w:rPr>
        <w:t>: The value of</w:t>
      </w:r>
      <w:r w:rsidR="004F6B0B">
        <w:rPr>
          <w:b/>
          <w:sz w:val="34"/>
          <w:szCs w:val="34"/>
        </w:rPr>
        <w:t xml:space="preserve"> utilizing remaining shelf life </w:t>
      </w:r>
      <w:r w:rsidR="00E959F4" w:rsidRPr="0091465A">
        <w:rPr>
          <w:b/>
          <w:sz w:val="34"/>
          <w:szCs w:val="34"/>
        </w:rPr>
        <w:t>information</w:t>
      </w:r>
      <w:bookmarkEnd w:id="0"/>
    </w:p>
    <w:p w14:paraId="2D36DF9D" w14:textId="77777777" w:rsidR="00DF6B01" w:rsidRDefault="00DF6B01" w:rsidP="00982611">
      <w:pPr>
        <w:spacing w:line="480" w:lineRule="auto"/>
        <w:ind w:firstLine="0"/>
        <w:rPr>
          <w:b/>
          <w:sz w:val="21"/>
        </w:rPr>
      </w:pPr>
    </w:p>
    <w:p w14:paraId="30A565A4" w14:textId="6EF68911" w:rsidR="008F23EF" w:rsidRPr="007709C8" w:rsidRDefault="008F23EF" w:rsidP="00982611">
      <w:pPr>
        <w:spacing w:line="480" w:lineRule="auto"/>
        <w:ind w:firstLine="0"/>
        <w:rPr>
          <w:sz w:val="20"/>
        </w:rPr>
      </w:pPr>
      <w:r w:rsidRPr="007709C8">
        <w:rPr>
          <w:b/>
          <w:sz w:val="20"/>
        </w:rPr>
        <w:t>Purpose</w:t>
      </w:r>
      <w:r w:rsidRPr="007709C8">
        <w:rPr>
          <w:sz w:val="20"/>
        </w:rPr>
        <w:t xml:space="preserve"> To investigate the impact of sharing and utilizing remaining shelf life information from grocery stores by use of age-based replenishment policies for perishables</w:t>
      </w:r>
    </w:p>
    <w:p w14:paraId="683B87FB" w14:textId="2FBFDBC9" w:rsidR="008F23EF" w:rsidRPr="007709C8" w:rsidRDefault="008F23EF" w:rsidP="00982611">
      <w:pPr>
        <w:spacing w:line="480" w:lineRule="auto"/>
        <w:ind w:firstLine="0"/>
        <w:rPr>
          <w:sz w:val="20"/>
        </w:rPr>
      </w:pPr>
      <w:r w:rsidRPr="007709C8">
        <w:rPr>
          <w:b/>
          <w:sz w:val="20"/>
        </w:rPr>
        <w:t>Design/methodology/approach</w:t>
      </w:r>
      <w:r w:rsidR="007709C8" w:rsidRPr="007709C8">
        <w:rPr>
          <w:sz w:val="20"/>
        </w:rPr>
        <w:t xml:space="preserve"> </w:t>
      </w:r>
      <w:proofErr w:type="gramStart"/>
      <w:r w:rsidR="007709C8">
        <w:rPr>
          <w:sz w:val="20"/>
        </w:rPr>
        <w:t>The</w:t>
      </w:r>
      <w:proofErr w:type="gramEnd"/>
      <w:r w:rsidR="007709C8">
        <w:rPr>
          <w:sz w:val="20"/>
        </w:rPr>
        <w:t xml:space="preserve"> performance is evaluated through a discrete event</w:t>
      </w:r>
      <w:r w:rsidR="007709C8" w:rsidRPr="007709C8">
        <w:rPr>
          <w:sz w:val="20"/>
        </w:rPr>
        <w:t xml:space="preserve"> simulation model, which mirrors a part of one of Norway’s largest grocery retailer</w:t>
      </w:r>
      <w:r w:rsidR="007709C8">
        <w:rPr>
          <w:sz w:val="20"/>
        </w:rPr>
        <w:t xml:space="preserve"> </w:t>
      </w:r>
      <w:r w:rsidR="007709C8" w:rsidRPr="007709C8">
        <w:rPr>
          <w:sz w:val="20"/>
        </w:rPr>
        <w:t>and uses their POS-data to reflect a realistic demand pattern of 232 stores for one year</w:t>
      </w:r>
    </w:p>
    <w:p w14:paraId="5EC68976" w14:textId="4A826B62" w:rsidR="008F23EF" w:rsidRPr="007709C8" w:rsidRDefault="008F23EF" w:rsidP="00982611">
      <w:pPr>
        <w:spacing w:line="480" w:lineRule="auto"/>
        <w:ind w:firstLine="0"/>
        <w:rPr>
          <w:sz w:val="20"/>
        </w:rPr>
      </w:pPr>
      <w:r w:rsidRPr="007709C8">
        <w:rPr>
          <w:b/>
          <w:sz w:val="20"/>
        </w:rPr>
        <w:t>Findings</w:t>
      </w:r>
      <w:r w:rsidR="007709C8" w:rsidRPr="007709C8">
        <w:rPr>
          <w:sz w:val="20"/>
        </w:rPr>
        <w:t xml:space="preserve"> The findings indicate that</w:t>
      </w:r>
      <w:r w:rsidR="005A5CB9">
        <w:rPr>
          <w:sz w:val="20"/>
        </w:rPr>
        <w:t xml:space="preserve"> a</w:t>
      </w:r>
      <w:r w:rsidR="007709C8" w:rsidRPr="007709C8">
        <w:rPr>
          <w:sz w:val="20"/>
        </w:rPr>
        <w:t xml:space="preserve"> current age-based replenishment policy (EWA policy) provides a significant improvement of 1</w:t>
      </w:r>
      <w:r w:rsidR="005A5CB9">
        <w:rPr>
          <w:sz w:val="20"/>
        </w:rPr>
        <w:t>7.7</w:t>
      </w:r>
      <w:r w:rsidR="007709C8" w:rsidRPr="007709C8">
        <w:rPr>
          <w:sz w:val="20"/>
        </w:rPr>
        <w:t>% increase in availability for perishables with a shelf life</w:t>
      </w:r>
      <w:r w:rsidR="007709C8">
        <w:rPr>
          <w:sz w:val="20"/>
        </w:rPr>
        <w:t xml:space="preserve"> between 4 to</w:t>
      </w:r>
      <w:r w:rsidR="007709C8" w:rsidRPr="007709C8">
        <w:rPr>
          <w:sz w:val="20"/>
        </w:rPr>
        <w:t xml:space="preserve"> 1</w:t>
      </w:r>
      <w:r w:rsidR="005A5CB9">
        <w:rPr>
          <w:sz w:val="20"/>
        </w:rPr>
        <w:t>1</w:t>
      </w:r>
      <w:r w:rsidR="007709C8" w:rsidRPr="007709C8">
        <w:rPr>
          <w:sz w:val="20"/>
        </w:rPr>
        <w:t xml:space="preserve"> days, but suffers from high inventory levels </w:t>
      </w:r>
      <w:r w:rsidR="005A5CB9">
        <w:rPr>
          <w:sz w:val="20"/>
        </w:rPr>
        <w:t xml:space="preserve">and only reduces waste with 3.4% compared to </w:t>
      </w:r>
      <w:r w:rsidR="007709C8" w:rsidRPr="007709C8">
        <w:rPr>
          <w:sz w:val="20"/>
        </w:rPr>
        <w:t xml:space="preserve">a base stock policy. </w:t>
      </w:r>
      <w:r w:rsidR="007709C8">
        <w:rPr>
          <w:sz w:val="20"/>
        </w:rPr>
        <w:t>A</w:t>
      </w:r>
      <w:r w:rsidR="007709C8" w:rsidRPr="007709C8">
        <w:rPr>
          <w:sz w:val="20"/>
        </w:rPr>
        <w:t xml:space="preserve"> proposed </w:t>
      </w:r>
      <w:r w:rsidR="002F6832">
        <w:rPr>
          <w:sz w:val="20"/>
        </w:rPr>
        <w:t xml:space="preserve">adjustment to the EWA </w:t>
      </w:r>
      <w:r w:rsidR="007709C8" w:rsidRPr="007709C8">
        <w:rPr>
          <w:sz w:val="20"/>
        </w:rPr>
        <w:t>policy</w:t>
      </w:r>
      <w:r w:rsidR="007709C8">
        <w:rPr>
          <w:sz w:val="20"/>
        </w:rPr>
        <w:t>, EWA</w:t>
      </w:r>
      <w:r w:rsidR="007709C8" w:rsidRPr="007709C8">
        <w:rPr>
          <w:sz w:val="20"/>
          <w:vertAlign w:val="subscript"/>
        </w:rPr>
        <w:t>SS</w:t>
      </w:r>
      <w:r w:rsidR="007709C8">
        <w:rPr>
          <w:sz w:val="20"/>
        </w:rPr>
        <w:t>,</w:t>
      </w:r>
      <w:r w:rsidR="007709C8" w:rsidRPr="007709C8">
        <w:rPr>
          <w:sz w:val="20"/>
        </w:rPr>
        <w:t xml:space="preserve"> provides a more balanced </w:t>
      </w:r>
      <w:r w:rsidR="005A5CB9">
        <w:rPr>
          <w:sz w:val="20"/>
        </w:rPr>
        <w:t xml:space="preserve">performance </w:t>
      </w:r>
      <w:r w:rsidR="002F6832">
        <w:rPr>
          <w:sz w:val="20"/>
        </w:rPr>
        <w:t xml:space="preserve">in the conducted study </w:t>
      </w:r>
      <w:r w:rsidR="005A5CB9">
        <w:rPr>
          <w:sz w:val="20"/>
        </w:rPr>
        <w:t>with a reduction of 10.7</w:t>
      </w:r>
      <w:r w:rsidR="007709C8">
        <w:rPr>
          <w:sz w:val="20"/>
        </w:rPr>
        <w:t xml:space="preserve">% waste and </w:t>
      </w:r>
      <w:r w:rsidR="005A5CB9">
        <w:rPr>
          <w:sz w:val="20"/>
        </w:rPr>
        <w:t>10.3</w:t>
      </w:r>
      <w:r w:rsidR="007709C8" w:rsidRPr="007709C8">
        <w:rPr>
          <w:sz w:val="20"/>
        </w:rPr>
        <w:t xml:space="preserve">% increase in availability </w:t>
      </w:r>
      <w:r w:rsidR="005A5CB9">
        <w:rPr>
          <w:sz w:val="20"/>
        </w:rPr>
        <w:t>by keeping the same</w:t>
      </w:r>
      <w:r w:rsidR="007709C8" w:rsidRPr="007709C8">
        <w:rPr>
          <w:sz w:val="20"/>
        </w:rPr>
        <w:t xml:space="preserve"> average inventory</w:t>
      </w:r>
      <w:r w:rsidR="005A5CB9">
        <w:rPr>
          <w:sz w:val="20"/>
        </w:rPr>
        <w:t xml:space="preserve"> level</w:t>
      </w:r>
      <w:r w:rsidR="007709C8" w:rsidRPr="007709C8">
        <w:rPr>
          <w:sz w:val="20"/>
        </w:rPr>
        <w:t>.</w:t>
      </w:r>
    </w:p>
    <w:p w14:paraId="488CF24E" w14:textId="03E557B9" w:rsidR="007709C8" w:rsidRPr="007709C8" w:rsidRDefault="008F23EF" w:rsidP="00982611">
      <w:pPr>
        <w:spacing w:line="480" w:lineRule="auto"/>
        <w:ind w:firstLine="0"/>
        <w:rPr>
          <w:sz w:val="20"/>
        </w:rPr>
      </w:pPr>
      <w:r w:rsidRPr="007709C8">
        <w:rPr>
          <w:b/>
          <w:sz w:val="20"/>
        </w:rPr>
        <w:t>Implications</w:t>
      </w:r>
      <w:r w:rsidR="007709C8" w:rsidRPr="007709C8">
        <w:rPr>
          <w:sz w:val="20"/>
        </w:rPr>
        <w:t xml:space="preserve"> </w:t>
      </w:r>
      <w:r w:rsidR="00542716">
        <w:rPr>
          <w:sz w:val="20"/>
        </w:rPr>
        <w:t>Sharing and utilizing remaining shelf life information for replenishment of perishables with a predeter</w:t>
      </w:r>
      <w:r w:rsidR="005A5CB9">
        <w:rPr>
          <w:sz w:val="20"/>
        </w:rPr>
        <w:t>mined shelf life between 6 to 11</w:t>
      </w:r>
      <w:r w:rsidR="00542716">
        <w:rPr>
          <w:sz w:val="20"/>
        </w:rPr>
        <w:t xml:space="preserve"> days can be beneficial</w:t>
      </w:r>
      <w:r w:rsidR="00485E33">
        <w:rPr>
          <w:sz w:val="20"/>
        </w:rPr>
        <w:t xml:space="preserve">, and </w:t>
      </w:r>
      <w:r w:rsidR="005A5CB9">
        <w:rPr>
          <w:sz w:val="20"/>
        </w:rPr>
        <w:t>could</w:t>
      </w:r>
      <w:r w:rsidR="00485E33">
        <w:rPr>
          <w:sz w:val="20"/>
        </w:rPr>
        <w:t xml:space="preserve"> enable the replenishment processes to be automated</w:t>
      </w:r>
      <w:r w:rsidR="00542716">
        <w:rPr>
          <w:sz w:val="20"/>
        </w:rPr>
        <w:t xml:space="preserve">. However, </w:t>
      </w:r>
      <w:r w:rsidR="002F6832">
        <w:rPr>
          <w:sz w:val="20"/>
        </w:rPr>
        <w:t xml:space="preserve">for products with longer </w:t>
      </w:r>
      <w:r w:rsidR="007709C8" w:rsidRPr="007709C8">
        <w:rPr>
          <w:sz w:val="20"/>
        </w:rPr>
        <w:t xml:space="preserve">shelf life the benefits slowly </w:t>
      </w:r>
      <w:proofErr w:type="gramStart"/>
      <w:r w:rsidR="007709C8" w:rsidRPr="007709C8">
        <w:rPr>
          <w:sz w:val="20"/>
        </w:rPr>
        <w:t>diminishes</w:t>
      </w:r>
      <w:proofErr w:type="gramEnd"/>
      <w:r w:rsidR="007709C8" w:rsidRPr="007709C8">
        <w:rPr>
          <w:sz w:val="20"/>
        </w:rPr>
        <w:t>.</w:t>
      </w:r>
      <w:r w:rsidR="00485E33">
        <w:rPr>
          <w:sz w:val="20"/>
        </w:rPr>
        <w:t xml:space="preserve"> </w:t>
      </w:r>
    </w:p>
    <w:p w14:paraId="322262AB" w14:textId="61291E3E" w:rsidR="008F23EF" w:rsidRPr="007709C8" w:rsidRDefault="008F23EF" w:rsidP="00982611">
      <w:pPr>
        <w:spacing w:line="480" w:lineRule="auto"/>
        <w:ind w:firstLine="0"/>
        <w:rPr>
          <w:sz w:val="20"/>
        </w:rPr>
      </w:pPr>
      <w:r w:rsidRPr="007709C8">
        <w:rPr>
          <w:b/>
          <w:sz w:val="20"/>
        </w:rPr>
        <w:t>Originality/Value</w:t>
      </w:r>
      <w:r w:rsidR="007709C8" w:rsidRPr="007709C8">
        <w:rPr>
          <w:sz w:val="20"/>
        </w:rPr>
        <w:t xml:space="preserve"> The study proposes a new age-based replenishment policy </w:t>
      </w:r>
      <w:r w:rsidR="00542716">
        <w:rPr>
          <w:sz w:val="20"/>
        </w:rPr>
        <w:t xml:space="preserve">which </w:t>
      </w:r>
      <w:r w:rsidR="002F6832">
        <w:rPr>
          <w:sz w:val="20"/>
        </w:rPr>
        <w:t xml:space="preserve">in the conducted study </w:t>
      </w:r>
      <w:r w:rsidR="00542716">
        <w:rPr>
          <w:sz w:val="20"/>
        </w:rPr>
        <w:t xml:space="preserve">showed a more balanced performance improvement, in both waste and availability, compared </w:t>
      </w:r>
      <w:r w:rsidR="002F6832">
        <w:rPr>
          <w:sz w:val="20"/>
        </w:rPr>
        <w:t xml:space="preserve">with </w:t>
      </w:r>
      <w:r w:rsidR="00542716">
        <w:rPr>
          <w:sz w:val="20"/>
        </w:rPr>
        <w:t>previous replenishment policies.</w:t>
      </w:r>
    </w:p>
    <w:p w14:paraId="6201DFD2" w14:textId="3BA0C6FF" w:rsidR="007261C5" w:rsidRDefault="00542716" w:rsidP="00982611">
      <w:pPr>
        <w:spacing w:after="240" w:line="480" w:lineRule="auto"/>
        <w:ind w:firstLine="0"/>
      </w:pPr>
      <w:r>
        <w:rPr>
          <w:sz w:val="20"/>
        </w:rPr>
        <w:br/>
      </w:r>
      <w:r w:rsidR="007261C5">
        <w:rPr>
          <w:b/>
          <w:sz w:val="21"/>
        </w:rPr>
        <w:t>Keywords.</w:t>
      </w:r>
      <w:r w:rsidR="007261C5">
        <w:t xml:space="preserve"> Information sharing, Shelf life, Replenishment, Perishables, Simulation</w:t>
      </w:r>
    </w:p>
    <w:p w14:paraId="2D2D484D" w14:textId="77777777" w:rsidR="00DF6B01" w:rsidRDefault="00DF6B01" w:rsidP="00982611">
      <w:pPr>
        <w:spacing w:after="240" w:line="480" w:lineRule="auto"/>
        <w:ind w:firstLine="0"/>
      </w:pPr>
    </w:p>
    <w:p w14:paraId="03107D4E" w14:textId="77777777" w:rsidR="00982611" w:rsidRPr="007261C5" w:rsidRDefault="00982611" w:rsidP="00982611">
      <w:pPr>
        <w:spacing w:after="240" w:line="480" w:lineRule="auto"/>
        <w:ind w:firstLine="0"/>
      </w:pPr>
    </w:p>
    <w:p w14:paraId="6872A72A" w14:textId="66262057" w:rsidR="00BA5451" w:rsidRPr="004A4C9B" w:rsidRDefault="00941526" w:rsidP="00982611">
      <w:pPr>
        <w:pStyle w:val="Heading1"/>
        <w:spacing w:line="480" w:lineRule="auto"/>
      </w:pPr>
      <w:r w:rsidRPr="00710699">
        <w:lastRenderedPageBreak/>
        <w:t>Introduction</w:t>
      </w:r>
    </w:p>
    <w:p w14:paraId="1183DE30" w14:textId="26258EEF" w:rsidR="00696A65" w:rsidRPr="004A4C9B" w:rsidRDefault="00C84E72" w:rsidP="0034458A">
      <w:pPr>
        <w:suppressLineNumbers/>
        <w:spacing w:line="480" w:lineRule="auto"/>
        <w:ind w:firstLine="0"/>
      </w:pPr>
      <w:r w:rsidRPr="004A4C9B">
        <w:t>Perishable</w:t>
      </w:r>
      <w:r w:rsidR="007C122D">
        <w:t>s</w:t>
      </w:r>
      <w:r w:rsidR="001E73BF" w:rsidRPr="004A4C9B">
        <w:t xml:space="preserve"> are of major importance</w:t>
      </w:r>
      <w:r w:rsidR="00772AEB" w:rsidRPr="004A4C9B">
        <w:t xml:space="preserve"> for </w:t>
      </w:r>
      <w:r w:rsidR="00B07749">
        <w:t>grocery retailers</w:t>
      </w:r>
      <w:r w:rsidR="00772AEB" w:rsidRPr="004A4C9B">
        <w:t xml:space="preserve"> and </w:t>
      </w:r>
      <w:r w:rsidRPr="004A4C9B">
        <w:t>account</w:t>
      </w:r>
      <w:r w:rsidR="001E73BF" w:rsidRPr="004A4C9B">
        <w:t>s</w:t>
      </w:r>
      <w:r w:rsidRPr="004A4C9B">
        <w:t xml:space="preserve"> for 25% of the total sales and more than 35% of the growth</w:t>
      </w:r>
      <w:r w:rsidR="0029481E" w:rsidRPr="004A4C9B">
        <w:t xml:space="preserve"> in the European </w:t>
      </w:r>
      <w:r w:rsidR="001E73BF" w:rsidRPr="004A4C9B">
        <w:t xml:space="preserve">grocery market </w:t>
      </w:r>
      <w:r w:rsidR="005670B1">
        <w:fldChar w:fldCharType="begin"/>
      </w:r>
      <w:r w:rsidR="008D2908">
        <w:instrText xml:space="preserve"> ADDIN EN.CITE &lt;EndNote&gt;&lt;Cite&gt;&lt;Author&gt;Nielsen&lt;/Author&gt;&lt;Year&gt;2016&lt;/Year&gt;&lt;RecNum&gt;662&lt;/RecNum&gt;&lt;DisplayText&gt;(Nielsen, 2016)&lt;/DisplayText&gt;&lt;record&gt;&lt;rec-number&gt;662&lt;/rec-number&gt;&lt;foreign-keys&gt;&lt;key app="EN" db-id="ft9rwfe99vp0fnet259vr9wns25s05drxsd2" timestamp="1498465522"&gt;662&lt;/key&gt;&lt;/foreign-keys&gt;&lt;ref-type name="Report"&gt;27&lt;/ref-type&gt;&lt;contributors&gt;&lt;authors&gt;&lt;author&gt;Nielsen, A.C.&lt;/author&gt;&lt;/authors&gt;&lt;/contributors&gt;&lt;titles&gt;&lt;title&gt;Western Eurpean FMCG Report Q4 2016&lt;/title&gt;&lt;/titles&gt;&lt;dates&gt;&lt;year&gt;2016&lt;/year&gt;&lt;/dates&gt;&lt;publisher&gt;AC Nielsen&lt;/publisher&gt;&lt;urls&gt;&lt;related-urls&gt;&lt;url&gt;http://www.nielsen.com/content/dam/nielsenglobal/eu/docs/reports/nielsen-european-trends-report-Q4-2016.pdf&lt;/url&gt;&lt;/related-urls&gt;&lt;/urls&gt;&lt;access-date&gt;June 2017&lt;/access-date&gt;&lt;/record&gt;&lt;/Cite&gt;&lt;/EndNote&gt;</w:instrText>
      </w:r>
      <w:r w:rsidR="005670B1">
        <w:fldChar w:fldCharType="separate"/>
      </w:r>
      <w:r w:rsidR="008D2908">
        <w:rPr>
          <w:noProof/>
        </w:rPr>
        <w:t>(Nielsen, 2016)</w:t>
      </w:r>
      <w:r w:rsidR="005670B1">
        <w:fldChar w:fldCharType="end"/>
      </w:r>
      <w:r w:rsidR="001E73BF" w:rsidRPr="004A4C9B">
        <w:t xml:space="preserve">. </w:t>
      </w:r>
      <w:r w:rsidR="00772AEB" w:rsidRPr="004A4C9B">
        <w:t xml:space="preserve">Compared to </w:t>
      </w:r>
      <w:r w:rsidR="00074131">
        <w:t>other food</w:t>
      </w:r>
      <w:r w:rsidR="00772AEB" w:rsidRPr="004A4C9B">
        <w:t xml:space="preserve"> products t</w:t>
      </w:r>
      <w:r w:rsidR="001E73BF" w:rsidRPr="004A4C9B">
        <w:t xml:space="preserve">he main difference </w:t>
      </w:r>
      <w:r w:rsidR="00772AEB" w:rsidRPr="004A4C9B">
        <w:t>is</w:t>
      </w:r>
      <w:r w:rsidR="001E73BF" w:rsidRPr="004A4C9B">
        <w:t xml:space="preserve"> </w:t>
      </w:r>
      <w:r w:rsidR="00772AEB" w:rsidRPr="004A4C9B">
        <w:t>the shorter</w:t>
      </w:r>
      <w:r w:rsidR="00BC7CCE">
        <w:t xml:space="preserve"> shelf life</w:t>
      </w:r>
      <w:r w:rsidR="008815D2">
        <w:t xml:space="preserve"> </w:t>
      </w:r>
      <w:r w:rsidR="007C122D">
        <w:t xml:space="preserve">(less than 30 days) </w:t>
      </w:r>
      <w:r w:rsidR="00293215">
        <w:fldChar w:fldCharType="begin"/>
      </w:r>
      <w:r w:rsidR="008D2908">
        <w:instrText xml:space="preserve"> ADDIN EN.CITE &lt;EndNote&gt;&lt;Cite&gt;&lt;Author&gt;Van Donselaar&lt;/Author&gt;&lt;Year&gt;2006&lt;/Year&gt;&lt;RecNum&gt;398&lt;/RecNum&gt;&lt;DisplayText&gt;(Van Donselaar et al., 2006)&lt;/DisplayText&gt;&lt;record&gt;&lt;rec-number&gt;398&lt;/rec-number&gt;&lt;foreign-keys&gt;&lt;key app="EN" db-id="ft9rwfe99vp0fnet259vr9wns25s05drxsd2" timestamp="1459492136"&gt;398&lt;/key&gt;&lt;key app="ENWeb" db-id=""&gt;0&lt;/key&gt;&lt;/foreign-keys&gt;&lt;ref-type name="Journal Article"&gt;17&lt;/ref-type&gt;&lt;contributors&gt;&lt;authors&gt;&lt;author&gt;Van Donselaar, K&lt;/author&gt;&lt;author&gt;van Woensel, Tom&lt;/author&gt;&lt;author&gt;Broekmeulen, RACM&lt;/author&gt;&lt;author&gt;Fransoo, J&lt;/author&gt;&lt;/authors&gt;&lt;/contributors&gt;&lt;titles&gt;&lt;title&gt;Inventory control of perishables in supermarkets&lt;/title&gt;&lt;secondary-title&gt;International Journal of Production Economics&lt;/secondary-title&gt;&lt;/titles&gt;&lt;periodical&gt;&lt;full-title&gt;International Journal of Production Economics&lt;/full-title&gt;&lt;/periodical&gt;&lt;pages&gt;462-472&lt;/pages&gt;&lt;volume&gt;104&lt;/volume&gt;&lt;number&gt;2&lt;/number&gt;&lt;dates&gt;&lt;year&gt;2006&lt;/year&gt;&lt;/dates&gt;&lt;isbn&gt;0925-5273&lt;/isbn&gt;&lt;urls&gt;&lt;/urls&gt;&lt;/record&gt;&lt;/Cite&gt;&lt;/EndNote&gt;</w:instrText>
      </w:r>
      <w:r w:rsidR="00293215">
        <w:fldChar w:fldCharType="separate"/>
      </w:r>
      <w:r w:rsidR="008D2908">
        <w:rPr>
          <w:noProof/>
        </w:rPr>
        <w:t>(Van Donselaar et al., 2006)</w:t>
      </w:r>
      <w:r w:rsidR="00293215">
        <w:fldChar w:fldCharType="end"/>
      </w:r>
      <w:r w:rsidR="00772AEB" w:rsidRPr="004A4C9B">
        <w:t>.</w:t>
      </w:r>
      <w:r w:rsidR="002D7B4D">
        <w:t xml:space="preserve"> </w:t>
      </w:r>
      <w:r w:rsidR="000F0743">
        <w:t>F</w:t>
      </w:r>
      <w:r w:rsidR="002D7B4D">
        <w:t>ood waste is often reported to be higher for</w:t>
      </w:r>
      <w:r w:rsidR="00A1687F">
        <w:t xml:space="preserve"> these</w:t>
      </w:r>
      <w:r w:rsidR="002D7B4D">
        <w:t xml:space="preserve"> perishables products </w:t>
      </w:r>
      <w:r w:rsidR="00293215">
        <w:fldChar w:fldCharType="begin"/>
      </w:r>
      <w:r w:rsidR="00BC7CCE">
        <w:instrText xml:space="preserve"> ADDIN EN.CITE &lt;EndNote&gt;&lt;Cite&gt;&lt;Author&gt;Kaipia&lt;/Author&gt;&lt;Year&gt;2013&lt;/Year&gt;&lt;RecNum&gt;110&lt;/RecNum&gt;&lt;DisplayText&gt;(Kaipia et al., 2013; Mena et al., 2014)&lt;/DisplayText&gt;&lt;record&gt;&lt;rec-number&gt;110&lt;/rec-number&gt;&lt;foreign-keys&gt;&lt;key app="EN" db-id="ft9rwfe99vp0fnet259vr9wns25s05drxsd2" timestamp="1443441678"&gt;110&lt;/key&gt;&lt;/foreign-keys&gt;&lt;ref-type name="Journal Article"&gt;17&lt;/ref-type&gt;&lt;contributors&gt;&lt;authors&gt;&lt;author&gt;Kaipia, Riikka&lt;/author&gt;&lt;author&gt;Dukovska-Popovska, Iskra&lt;/author&gt;&lt;author&gt;Loikkanen, Lauri&lt;/author&gt;&lt;/authors&gt;&lt;/contributors&gt;&lt;titles&gt;&lt;title&gt;Creating sustainable fresh food supply chains through waste reduction&lt;/title&gt;&lt;secondary-title&gt;International journal of physical distribution &amp;amp; logistics management&lt;/secondary-title&gt;&lt;/titles&gt;&lt;periodical&gt;&lt;full-title&gt;International Journal of Physical Distribution &amp;amp; Logistics Management&lt;/full-title&gt;&lt;/periodical&gt;&lt;pages&gt;262-276&lt;/pages&gt;&lt;volume&gt;43&lt;/volume&gt;&lt;number&gt;3&lt;/number&gt;&lt;dates&gt;&lt;year&gt;2013&lt;/year&gt;&lt;/dates&gt;&lt;isbn&gt;0960-0035&lt;/isbn&gt;&lt;urls&gt;&lt;/urls&gt;&lt;/record&gt;&lt;/Cite&gt;&lt;Cite&gt;&lt;Author&gt;Mena&lt;/Author&gt;&lt;Year&gt;2014&lt;/Year&gt;&lt;RecNum&gt;644&lt;/RecNum&gt;&lt;record&gt;&lt;rec-number&gt;644&lt;/rec-number&gt;&lt;foreign-keys&gt;&lt;key app="EN" db-id="ft9rwfe99vp0fnet259vr9wns25s05drxsd2" timestamp="1495552850"&gt;644&lt;/key&gt;&lt;key app="ENWeb" db-id=""&gt;0&lt;/key&gt;&lt;/foreign-keys&gt;&lt;ref-type name="Journal Article"&gt;17&lt;/ref-type&gt;&lt;contributors&gt;&lt;authors&gt;&lt;author&gt;Mena, Carlos&lt;/author&gt;&lt;author&gt;Terry, Leon A.&lt;/author&gt;&lt;author&gt;Williams, Adrian&lt;/author&gt;&lt;author&gt;Ellram, Lisa&lt;/author&gt;&lt;/authors&gt;&lt;/contributors&gt;&lt;titles&gt;&lt;title&gt;Causes of waste across multi-tier supply networks: Cases in the UK food sector&lt;/title&gt;&lt;secondary-title&gt;International Journal of Production Economics&lt;/secondary-title&gt;&lt;/titles&gt;&lt;periodical&gt;&lt;full-title&gt;International Journal of Production Economics&lt;/full-title&gt;&lt;/periodical&gt;&lt;pages&gt;144-158&lt;/pages&gt;&lt;volume&gt;152&lt;/volume&gt;&lt;dates&gt;&lt;year&gt;2014&lt;/year&gt;&lt;/dates&gt;&lt;isbn&gt;09255273&lt;/isbn&gt;&lt;urls&gt;&lt;/urls&gt;&lt;electronic-resource-num&gt;10.1016/j.ijpe.2014.03.012&lt;/electronic-resource-num&gt;&lt;/record&gt;&lt;/Cite&gt;&lt;/EndNote&gt;</w:instrText>
      </w:r>
      <w:r w:rsidR="00293215">
        <w:fldChar w:fldCharType="separate"/>
      </w:r>
      <w:r w:rsidR="00BC7CCE">
        <w:rPr>
          <w:noProof/>
        </w:rPr>
        <w:t>(Kaipia et al., 2013; Mena et al., 2014)</w:t>
      </w:r>
      <w:r w:rsidR="00293215">
        <w:fldChar w:fldCharType="end"/>
      </w:r>
      <w:r w:rsidR="00923B87">
        <w:t xml:space="preserve"> and the short shelf life</w:t>
      </w:r>
      <w:r w:rsidR="00772AEB" w:rsidRPr="004A4C9B">
        <w:t xml:space="preserve"> </w:t>
      </w:r>
      <w:r w:rsidR="001E73BF" w:rsidRPr="004A4C9B">
        <w:t>co</w:t>
      </w:r>
      <w:r w:rsidR="00923B87">
        <w:t xml:space="preserve">mplicates the inventory </w:t>
      </w:r>
      <w:r w:rsidR="00AC1227">
        <w:t>management practice</w:t>
      </w:r>
      <w:r w:rsidR="00923B87">
        <w:t xml:space="preserve"> </w:t>
      </w:r>
      <w:r w:rsidR="00815E96">
        <w:fldChar w:fldCharType="begin"/>
      </w:r>
      <w:r w:rsidR="007C122D">
        <w:instrText xml:space="preserve"> ADDIN EN.CITE &lt;EndNote&gt;&lt;Cite&gt;&lt;Author&gt;Karaesmen&lt;/Author&gt;&lt;Year&gt;2011&lt;/Year&gt;&lt;RecNum&gt;560&lt;/RecNum&gt;&lt;DisplayText&gt;(Karaesmen et al., 2011)&lt;/DisplayText&gt;&lt;record&gt;&lt;rec-number&gt;560&lt;/rec-number&gt;&lt;foreign-keys&gt;&lt;key app="EN" db-id="ft9rwfe99vp0fnet259vr9wns25s05drxsd2" timestamp="1471420520"&gt;560&lt;/key&gt;&lt;key app="ENWeb" db-id=""&gt;0&lt;/key&gt;&lt;/foreign-keys&gt;&lt;ref-type name="Book Section"&gt;5&lt;/ref-type&gt;&lt;contributors&gt;&lt;authors&gt;&lt;author&gt;Karaesmen, Itir Z&lt;/author&gt;&lt;author&gt;Scheller–Wolf, Alan&lt;/author&gt;&lt;author&gt;Deniz, Borga&lt;/author&gt;&lt;/authors&gt;&lt;/contributors&gt;&lt;titles&gt;&lt;title&gt;Managing perishable and aging inventories: review and future research directions&lt;/title&gt;&lt;secondary-title&gt;Planning production and inventories in the extended enterprise&lt;/secondary-title&gt;&lt;/titles&gt;&lt;pages&gt;393-436&lt;/pages&gt;&lt;dates&gt;&lt;year&gt;2011&lt;/year&gt;&lt;/dates&gt;&lt;publisher&gt;Springer&lt;/publisher&gt;&lt;urls&gt;&lt;/urls&gt;&lt;/record&gt;&lt;/Cite&gt;&lt;/EndNote&gt;</w:instrText>
      </w:r>
      <w:r w:rsidR="00815E96">
        <w:fldChar w:fldCharType="separate"/>
      </w:r>
      <w:r w:rsidR="007C122D">
        <w:rPr>
          <w:noProof/>
        </w:rPr>
        <w:t>(Karaesmen et al., 2011)</w:t>
      </w:r>
      <w:r w:rsidR="00815E96">
        <w:fldChar w:fldCharType="end"/>
      </w:r>
      <w:r w:rsidR="006A0F13">
        <w:t>.</w:t>
      </w:r>
      <w:r w:rsidR="001E73BF" w:rsidRPr="004A4C9B">
        <w:t xml:space="preserve"> </w:t>
      </w:r>
      <w:r w:rsidR="00790A09" w:rsidRPr="004A4C9B">
        <w:t>Non-</w:t>
      </w:r>
      <w:r w:rsidR="00A1687F">
        <w:t>perishable</w:t>
      </w:r>
      <w:r w:rsidR="00790A09" w:rsidRPr="004A4C9B">
        <w:t xml:space="preserve"> products are typically </w:t>
      </w:r>
      <w:r w:rsidR="000F0743">
        <w:t>managed</w:t>
      </w:r>
      <w:r w:rsidR="00790A09" w:rsidRPr="004A4C9B">
        <w:t xml:space="preserve"> through an automatic replenishment system, which generates order proposals to the stores based on point-of-sales, safety stock levels, bat</w:t>
      </w:r>
      <w:r w:rsidR="00A87CC9" w:rsidRPr="004A4C9B">
        <w:t>ch sizes, and delivering times</w:t>
      </w:r>
      <w:r w:rsidR="006A0F13">
        <w:t xml:space="preserve"> </w:t>
      </w:r>
      <w:r w:rsidR="006A0F13">
        <w:fldChar w:fldCharType="begin"/>
      </w:r>
      <w:r w:rsidR="007C122D">
        <w:instrText xml:space="preserve"> ADDIN EN.CITE &lt;EndNote&gt;&lt;Cite&gt;&lt;Author&gt;Potter&lt;/Author&gt;&lt;Year&gt;2010&lt;/Year&gt;&lt;RecNum&gt;619&lt;/RecNum&gt;&lt;DisplayText&gt;(Potter and Disney, 2010)&lt;/DisplayText&gt;&lt;record&gt;&lt;rec-number&gt;619&lt;/rec-number&gt;&lt;foreign-keys&gt;&lt;key app="EN" db-id="ft9rwfe99vp0fnet259vr9wns25s05drxsd2" timestamp="1483432777"&gt;619&lt;/key&gt;&lt;key app="ENWeb" db-id=""&gt;0&lt;/key&gt;&lt;/foreign-keys&gt;&lt;ref-type name="Conference Proceedings"&gt;10&lt;/ref-type&gt;&lt;contributors&gt;&lt;authors&gt;&lt;author&gt;Potter, Andrew&lt;/author&gt;&lt;author&gt;Disney, Stephen M&lt;/author&gt;&lt;/authors&gt;&lt;/contributors&gt;&lt;titles&gt;&lt;title&gt;Removing bullwhip from the Tesco supply chain&lt;/title&gt;&lt;secondary-title&gt;Production and Operations Management Society Annual Conference&lt;/secondary-title&gt;&lt;/titles&gt;&lt;pages&gt;109-118&lt;/pages&gt;&lt;volume&gt;23&lt;/volume&gt;&lt;dates&gt;&lt;year&gt;2010&lt;/year&gt;&lt;/dates&gt;&lt;urls&gt;&lt;/urls&gt;&lt;/record&gt;&lt;/Cite&gt;&lt;/EndNote&gt;</w:instrText>
      </w:r>
      <w:r w:rsidR="006A0F13">
        <w:fldChar w:fldCharType="separate"/>
      </w:r>
      <w:r w:rsidR="007C122D">
        <w:rPr>
          <w:noProof/>
        </w:rPr>
        <w:t>(Potter and Disney, 2010)</w:t>
      </w:r>
      <w:r w:rsidR="006A0F13">
        <w:fldChar w:fldCharType="end"/>
      </w:r>
      <w:r w:rsidR="00A87CC9" w:rsidRPr="004A4C9B">
        <w:t>.</w:t>
      </w:r>
      <w:r w:rsidR="000F0743">
        <w:t xml:space="preserve"> These systems have shown to improve </w:t>
      </w:r>
      <w:r w:rsidR="00BC7CCE">
        <w:t>performance of grocery</w:t>
      </w:r>
      <w:r w:rsidR="00DC657A">
        <w:t xml:space="preserve"> retailer, h</w:t>
      </w:r>
      <w:r w:rsidR="000F0743">
        <w:t>owever,</w:t>
      </w:r>
      <w:r w:rsidR="00A87CC9" w:rsidRPr="004A4C9B">
        <w:t xml:space="preserve"> </w:t>
      </w:r>
      <w:r w:rsidR="00DC657A">
        <w:t xml:space="preserve">they </w:t>
      </w:r>
      <w:r w:rsidR="00A87CC9" w:rsidRPr="004A4C9B">
        <w:t>d</w:t>
      </w:r>
      <w:r w:rsidR="00DC657A">
        <w:t>o</w:t>
      </w:r>
      <w:r w:rsidR="00A87CC9" w:rsidRPr="004A4C9B">
        <w:t xml:space="preserve"> not function satisfactorily in its original form for perishable products </w:t>
      </w:r>
      <w:r w:rsidR="003C0F96">
        <w:fldChar w:fldCharType="begin"/>
      </w:r>
      <w:r w:rsidR="008D2908">
        <w:instrText xml:space="preserve"> ADDIN EN.CITE &lt;EndNote&gt;&lt;Cite&gt;&lt;Author&gt;Van Donselaar&lt;/Author&gt;&lt;Year&gt;2006&lt;/Year&gt;&lt;RecNum&gt;398&lt;/RecNum&gt;&lt;DisplayText&gt;(Van Donselaar et al., 2006)&lt;/DisplayText&gt;&lt;record&gt;&lt;rec-number&gt;398&lt;/rec-number&gt;&lt;foreign-keys&gt;&lt;key app="EN" db-id="ft9rwfe99vp0fnet259vr9wns25s05drxsd2" timestamp="1459492136"&gt;398&lt;/key&gt;&lt;key app="ENWeb" db-id=""&gt;0&lt;/key&gt;&lt;/foreign-keys&gt;&lt;ref-type name="Journal Article"&gt;17&lt;/ref-type&gt;&lt;contributors&gt;&lt;authors&gt;&lt;author&gt;Van Donselaar, K&lt;/author&gt;&lt;author&gt;van Woensel, Tom&lt;/author&gt;&lt;author&gt;Broekmeulen, RACM&lt;/author&gt;&lt;author&gt;Fransoo, J&lt;/author&gt;&lt;/authors&gt;&lt;/contributors&gt;&lt;titles&gt;&lt;title&gt;Inventory control of perishables in supermarkets&lt;/title&gt;&lt;secondary-title&gt;International Journal of Production Economics&lt;/secondary-title&gt;&lt;/titles&gt;&lt;periodical&gt;&lt;full-title&gt;International Journal of Production Economics&lt;/full-title&gt;&lt;/periodical&gt;&lt;pages&gt;462-472&lt;/pages&gt;&lt;volume&gt;104&lt;/volume&gt;&lt;number&gt;2&lt;/number&gt;&lt;dates&gt;&lt;year&gt;2006&lt;/year&gt;&lt;/dates&gt;&lt;isbn&gt;0925-5273&lt;/isbn&gt;&lt;urls&gt;&lt;/urls&gt;&lt;/record&gt;&lt;/Cite&gt;&lt;/EndNote&gt;</w:instrText>
      </w:r>
      <w:r w:rsidR="003C0F96">
        <w:fldChar w:fldCharType="separate"/>
      </w:r>
      <w:r w:rsidR="008D2908">
        <w:rPr>
          <w:noProof/>
        </w:rPr>
        <w:t>(Van Donselaar et al., 2006)</w:t>
      </w:r>
      <w:r w:rsidR="003C0F96">
        <w:fldChar w:fldCharType="end"/>
      </w:r>
      <w:r w:rsidR="003C0F96">
        <w:t>.</w:t>
      </w:r>
    </w:p>
    <w:p w14:paraId="62DCF406" w14:textId="05AE7607" w:rsidR="00D77C3D" w:rsidRDefault="00D6382D" w:rsidP="00982611">
      <w:pPr>
        <w:spacing w:line="480" w:lineRule="auto"/>
      </w:pPr>
      <w:r w:rsidRPr="004A4C9B">
        <w:t>S</w:t>
      </w:r>
      <w:r w:rsidR="00772AEB" w:rsidRPr="004A4C9B">
        <w:t>uggestions for how automatic replenishment systems can</w:t>
      </w:r>
      <w:r w:rsidR="001E2778" w:rsidRPr="004A4C9B">
        <w:t xml:space="preserve"> handle</w:t>
      </w:r>
      <w:r w:rsidR="00772AEB" w:rsidRPr="004A4C9B">
        <w:t xml:space="preserve"> perishable products has been introduced by utilizing remaining shelf life</w:t>
      </w:r>
      <w:r w:rsidR="00E55D30" w:rsidRPr="004A4C9B">
        <w:t xml:space="preserve"> (RSL)</w:t>
      </w:r>
      <w:r w:rsidR="00772AEB" w:rsidRPr="004A4C9B">
        <w:t xml:space="preserve"> information (also known as age distribution) of</w:t>
      </w:r>
      <w:r w:rsidR="00607CB2" w:rsidRPr="004A4C9B">
        <w:t xml:space="preserve"> the</w:t>
      </w:r>
      <w:r w:rsidR="00772AEB" w:rsidRPr="004A4C9B">
        <w:t xml:space="preserve"> products in</w:t>
      </w:r>
      <w:r w:rsidR="00607CB2" w:rsidRPr="004A4C9B">
        <w:t xml:space="preserve"> the</w:t>
      </w:r>
      <w:r w:rsidR="00772AEB" w:rsidRPr="004A4C9B">
        <w:t xml:space="preserve"> stores</w:t>
      </w:r>
      <w:r w:rsidR="003C0F96">
        <w:t xml:space="preserve"> </w:t>
      </w:r>
      <w:r w:rsidR="00FA7898">
        <w:fldChar w:fldCharType="begin">
          <w:fldData xml:space="preserve">PEVuZE5vdGU+PENpdGU+PEF1dGhvcj5Ccm9la21ldWxlbjwvQXV0aG9yPjxZZWFyPjIwMDk8L1ll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</w:fldData>
        </w:fldChar>
      </w:r>
      <w:r w:rsidR="007C122D">
        <w:instrText xml:space="preserve"> ADDIN EN.CITE </w:instrText>
      </w:r>
      <w:r w:rsidR="007C122D">
        <w:fldChar w:fldCharType="begin">
          <w:fldData xml:space="preserve">PEVuZE5vdGU+PENpdGU+PEF1dGhvcj5Ccm9la21ldWxlbjwvQXV0aG9yPjxZZWFyPjIwMDk8L1ll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</w:fldData>
        </w:fldChar>
      </w:r>
      <w:r w:rsidR="007C122D">
        <w:instrText xml:space="preserve"> ADDIN EN.CITE.DATA </w:instrText>
      </w:r>
      <w:r w:rsidR="007C122D">
        <w:fldChar w:fldCharType="end"/>
      </w:r>
      <w:r w:rsidR="00FA7898">
        <w:fldChar w:fldCharType="separate"/>
      </w:r>
      <w:r w:rsidR="007C122D">
        <w:rPr>
          <w:noProof/>
        </w:rPr>
        <w:t>(Broekmeulen and van Donselaar, 2009; Duan and Liao, 2013; Lowalekar and Ravichandran, 2015)</w:t>
      </w:r>
      <w:r w:rsidR="00FA7898">
        <w:fldChar w:fldCharType="end"/>
      </w:r>
      <w:r w:rsidR="00607CB2" w:rsidRPr="004A4C9B">
        <w:t>.</w:t>
      </w:r>
      <w:r w:rsidR="00CA314B">
        <w:t xml:space="preserve"> </w:t>
      </w:r>
      <w:r w:rsidR="00CA314B">
        <w:fldChar w:fldCharType="begin"/>
      </w:r>
      <w:r w:rsidR="00737240">
        <w:instrText xml:space="preserve"> ADDIN EN.CITE &lt;EndNote&gt;&lt;Cite AuthorYear="1"&gt;&lt;Author&gt;Mena&lt;/Author&gt;&lt;Year&gt;2014&lt;/Year&gt;&lt;RecNum&gt;644&lt;/RecNum&gt;&lt;DisplayText&gt;Mena et al. (2014)&lt;/DisplayText&gt;&lt;record&gt;&lt;rec-number&gt;644&lt;/rec-number&gt;&lt;foreign-keys&gt;&lt;key app="EN" db-id="ft9rwfe99vp0fnet259vr9wns25s05drxsd2" timestamp="1495552850"&gt;644&lt;/key&gt;&lt;key app="ENWeb" db-id=""&gt;0&lt;/key&gt;&lt;/foreign-keys&gt;&lt;ref-type name="Journal Article"&gt;17&lt;/ref-type&gt;&lt;contributors&gt;&lt;authors&gt;&lt;author&gt;Mena, Carlos&lt;/author&gt;&lt;author&gt;Terry, Leon A.&lt;/author&gt;&lt;author&gt;Williams, Adrian&lt;/author&gt;&lt;author&gt;Ellram, Lisa&lt;/author&gt;&lt;/authors&gt;&lt;/contributors&gt;&lt;titles&gt;&lt;title&gt;Causes of waste across multi-tier supply networks: Cases in the UK food sector&lt;/title&gt;&lt;secondary-title&gt;International Journal of Production Economics&lt;/secondary-title&gt;&lt;/titles&gt;&lt;periodical&gt;&lt;full-title&gt;International Journal of Production Economics&lt;/full-title&gt;&lt;/periodical&gt;&lt;pages&gt;144-158&lt;/pages&gt;&lt;volume&gt;152&lt;/volume&gt;&lt;dates&gt;&lt;year&gt;2014&lt;/year&gt;&lt;/dates&gt;&lt;isbn&gt;09255273&lt;/isbn&gt;&lt;urls&gt;&lt;/urls&gt;&lt;electronic-resource-num&gt;10.1016/j.ijpe.2014.03.012&lt;/electronic-resource-num&gt;&lt;/record&gt;&lt;/Cite&gt;&lt;/EndNote&gt;</w:instrText>
      </w:r>
      <w:r w:rsidR="00CA314B">
        <w:fldChar w:fldCharType="separate"/>
      </w:r>
      <w:r w:rsidR="00737240">
        <w:rPr>
          <w:noProof/>
        </w:rPr>
        <w:t>Mena et al. (2014)</w:t>
      </w:r>
      <w:r w:rsidR="00CA314B">
        <w:fldChar w:fldCharType="end"/>
      </w:r>
      <w:r w:rsidR="004267CA">
        <w:t xml:space="preserve"> add</w:t>
      </w:r>
      <w:r w:rsidR="00CA314B">
        <w:t xml:space="preserve"> that increasing transparency (e.g. by sharing more detailed information about the product’s age) might reduce supply chain wide food waste.</w:t>
      </w:r>
      <w:r w:rsidR="000D09A7" w:rsidRPr="004A4C9B">
        <w:t xml:space="preserve"> </w:t>
      </w:r>
      <w:r w:rsidR="00CA314B">
        <w:t>This is also supported by the</w:t>
      </w:r>
      <w:r w:rsidR="003E25E1" w:rsidRPr="004A4C9B">
        <w:t xml:space="preserve"> proposed replenishment models</w:t>
      </w:r>
      <w:r w:rsidR="00CA314B">
        <w:t>, which</w:t>
      </w:r>
      <w:r w:rsidR="003E25E1" w:rsidRPr="004A4C9B">
        <w:t xml:space="preserve"> yields </w:t>
      </w:r>
      <w:r w:rsidR="00E059DE" w:rsidRPr="004A4C9B">
        <w:t>promising results with mean performance improvements</w:t>
      </w:r>
      <w:r w:rsidR="00485E33">
        <w:t xml:space="preserve"> (calculated as reduced cost) </w:t>
      </w:r>
      <w:r w:rsidR="00E059DE" w:rsidRPr="004A4C9B">
        <w:t xml:space="preserve">around 8% and up to 25% in some cases. </w:t>
      </w:r>
      <w:r w:rsidR="00B15DEE" w:rsidRPr="004A4C9B">
        <w:t>How</w:t>
      </w:r>
      <w:r w:rsidR="00D77C3D">
        <w:t xml:space="preserve">ever, </w:t>
      </w:r>
      <w:r w:rsidR="00B15DEE" w:rsidRPr="004A4C9B">
        <w:t xml:space="preserve">several issues are still not addressed in the current solutions. Currently, the models are only tested </w:t>
      </w:r>
      <w:r w:rsidR="00D77C3D">
        <w:t>with use of artificial generated</w:t>
      </w:r>
      <w:r w:rsidR="00D24073">
        <w:t xml:space="preserve"> stationary demand data</w:t>
      </w:r>
      <w:r w:rsidR="00D77C3D">
        <w:t xml:space="preserve"> in a</w:t>
      </w:r>
      <w:r w:rsidR="00D77C3D" w:rsidRPr="00D77C3D">
        <w:t xml:space="preserve"> </w:t>
      </w:r>
      <w:r w:rsidR="00D77C3D">
        <w:t>dyadic relation</w:t>
      </w:r>
      <w:r w:rsidR="00D77C3D" w:rsidRPr="004A4C9B">
        <w:t xml:space="preserve"> with one warehouse and one store, or small scaled divergent systems.</w:t>
      </w:r>
      <w:r w:rsidR="00D77C3D">
        <w:t xml:space="preserve"> Likewise, the models only</w:t>
      </w:r>
      <w:r w:rsidR="00B15DEE" w:rsidRPr="004A4C9B">
        <w:t xml:space="preserve"> </w:t>
      </w:r>
      <w:r w:rsidR="00B8089A" w:rsidRPr="004A4C9B">
        <w:t>handle</w:t>
      </w:r>
      <w:r w:rsidR="00B15DEE" w:rsidRPr="004A4C9B">
        <w:t xml:space="preserve"> either a complete first-in-first-out (FIFO) depletion or complete last-in-first-out (LIFO) </w:t>
      </w:r>
      <w:r w:rsidR="007C122D">
        <w:t>depletion</w:t>
      </w:r>
      <w:r w:rsidR="00B15DEE" w:rsidRPr="004A4C9B">
        <w:t xml:space="preserve"> even though reality lies somewhere in between those two </w:t>
      </w:r>
      <w:r w:rsidR="00FA7898">
        <w:fldChar w:fldCharType="begin"/>
      </w:r>
      <w:r w:rsidR="008D2908">
        <w:instrText xml:space="preserve"> ADDIN EN.CITE &lt;EndNote&gt;&lt;Cite&gt;&lt;Author&gt;Janssen&lt;/Author&gt;&lt;Year&gt;2016&lt;/Year&gt;&lt;RecNum&gt;588&lt;/RecNum&gt;&lt;DisplayText&gt;(Janssen et al., 2016)&lt;/DisplayText&gt;&lt;record&gt;&lt;rec-number&gt;588&lt;/rec-number&gt;&lt;foreign-keys&gt;&lt;key app="EN" db-id="ft9rwfe99vp0fnet259vr9wns25s05drxsd2" timestamp="1477298629"&gt;588&lt;/key&gt;&lt;key app="ENWeb" db-id=""&gt;0&lt;/key&gt;&lt;/foreign-keys&gt;&lt;ref-type name="Journal Article"&gt;17&lt;/ref-type&gt;&lt;contributors&gt;&lt;authors&gt;&lt;author&gt;Janssen, Larissa&lt;/author&gt;&lt;author&gt;Claus, Thorsten&lt;/author&gt;&lt;author&gt;Sauer, Jürgen&lt;/author&gt;&lt;/authors&gt;&lt;/contributors&gt;&lt;titles&gt;&lt;title&gt;Literature review of deteriorating inventory models by key topics from 2012 to 2015&lt;/title&gt;&lt;secondary-title&gt;International Journal of Production Economics&lt;/secondary-title&gt;&lt;/titles&gt;&lt;periodical&gt;&lt;full-title&gt;International Journal of Production Economics&lt;/full-title&gt;&lt;/periodical&gt;&lt;pages&gt;86-112&lt;/pages&gt;&lt;volume&gt;182&lt;/volume&gt;&lt;dates&gt;&lt;year&gt;2016&lt;/year&gt;&lt;/dates&gt;&lt;isbn&gt;0925-5273&lt;/isbn&gt;&lt;urls&gt;&lt;/urls&gt;&lt;/record&gt;&lt;/Cite&gt;&lt;/EndNote&gt;</w:instrText>
      </w:r>
      <w:r w:rsidR="00FA7898">
        <w:fldChar w:fldCharType="separate"/>
      </w:r>
      <w:r w:rsidR="008D2908">
        <w:rPr>
          <w:noProof/>
        </w:rPr>
        <w:t>(Janssen et al., 2016)</w:t>
      </w:r>
      <w:r w:rsidR="00FA7898">
        <w:fldChar w:fldCharType="end"/>
      </w:r>
      <w:r w:rsidR="00B15DEE" w:rsidRPr="004A4C9B">
        <w:t xml:space="preserve">. </w:t>
      </w:r>
    </w:p>
    <w:p w14:paraId="5CF3D940" w14:textId="2EEEFE77" w:rsidR="00D77C3D" w:rsidRDefault="002F5E35" w:rsidP="00982611">
      <w:pPr>
        <w:spacing w:line="480" w:lineRule="auto"/>
      </w:pPr>
      <w:r>
        <w:t xml:space="preserve">Even though the models can bring </w:t>
      </w:r>
      <w:r w:rsidR="00330192">
        <w:t>important insights they</w:t>
      </w:r>
      <w:r w:rsidR="00AE051B" w:rsidRPr="004A4C9B">
        <w:t xml:space="preserve"> do not fully reflect a modern retailer configuration with hundreds of stores which each differ in sales, delivery frequency, and required service levels</w:t>
      </w:r>
      <w:r w:rsidR="00FA7898">
        <w:t xml:space="preserve"> </w:t>
      </w:r>
      <w:r w:rsidR="00FB2301">
        <w:fldChar w:fldCharType="begin">
          <w:fldData xml:space="preserve">PEVuZE5vdGU+PENpdGU+PEF1dGhvcj5LdWhuPC9BdXRob3I+PFllYXI+MjAxMzwvWWVhcj48UmVj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</w:fldData>
        </w:fldChar>
      </w:r>
      <w:r w:rsidR="00D71B5E">
        <w:instrText xml:space="preserve"> ADDIN EN.CITE </w:instrText>
      </w:r>
      <w:r w:rsidR="00D71B5E">
        <w:fldChar w:fldCharType="begin">
          <w:fldData xml:space="preserve">PEVuZE5vdGU+PENpdGU+PEF1dGhvcj5LdWhuPC9BdXRob3I+PFllYXI+MjAxMzwvWWVhcj48UmVj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</w:fldData>
        </w:fldChar>
      </w:r>
      <w:r w:rsidR="00D71B5E">
        <w:instrText xml:space="preserve"> ADDIN EN.CITE.DATA </w:instrText>
      </w:r>
      <w:r w:rsidR="00D71B5E">
        <w:fldChar w:fldCharType="end"/>
      </w:r>
      <w:r w:rsidR="00FB2301">
        <w:fldChar w:fldCharType="separate"/>
      </w:r>
      <w:r w:rsidR="00D71B5E">
        <w:rPr>
          <w:noProof/>
        </w:rPr>
        <w:t>(Aastrup and Kotzab, 2010; Kuhn and Sternbeck, 2013; van Donk et al., 2008)</w:t>
      </w:r>
      <w:r w:rsidR="00FB2301">
        <w:fldChar w:fldCharType="end"/>
      </w:r>
      <w:r w:rsidR="00A733F0">
        <w:t xml:space="preserve">. It is further noticed </w:t>
      </w:r>
      <w:r w:rsidR="00A733F0">
        <w:lastRenderedPageBreak/>
        <w:t xml:space="preserve">that studies of information sharing in dyadic supply chains are too simplified and more realistic supply chain structures are encouraged </w:t>
      </w:r>
      <w:r w:rsidR="00A733F0">
        <w:fldChar w:fldCharType="begin"/>
      </w:r>
      <w:r w:rsidR="008D2908">
        <w:instrText xml:space="preserve"> ADDIN EN.CITE &lt;EndNote&gt;&lt;Cite&gt;&lt;Author&gt;Huang&lt;/Author&gt;&lt;Year&gt;2003&lt;/Year&gt;&lt;RecNum&gt;126&lt;/RecNum&gt;&lt;DisplayText&gt;(Huang et al., 2003)&lt;/DisplayText&gt;&lt;record&gt;&lt;rec-number&gt;126&lt;/rec-number&gt;&lt;foreign-keys&gt;&lt;key app="EN" db-id="ft9rwfe99vp0fnet259vr9wns25s05drxsd2" timestamp="1444149637"&gt;126&lt;/key&gt;&lt;key app="ENWeb" db-id=""&gt;0&lt;/key&gt;&lt;/foreign-keys&gt;&lt;ref-type name="Journal Article"&gt;17&lt;/ref-type&gt;&lt;contributors&gt;&lt;authors&gt;&lt;author&gt;Huang, George Q&lt;/author&gt;&lt;author&gt;Lau, Jason SK&lt;/author&gt;&lt;author&gt;Mak, KL&lt;/author&gt;&lt;/authors&gt;&lt;/contributors&gt;&lt;titles&gt;&lt;title&gt;The impacts of sharing production information on supply chain dynamics: a review of the literature&lt;/title&gt;&lt;secondary-title&gt;International Journal of Production Research&lt;/secondary-title&gt;&lt;/titles&gt;&lt;periodical&gt;&lt;full-title&gt;International Journal of Production Research&lt;/full-title&gt;&lt;/periodical&gt;&lt;pages&gt;1483-1517&lt;/pages&gt;&lt;volume&gt;41&lt;/volume&gt;&lt;number&gt;7&lt;/number&gt;&lt;dates&gt;&lt;year&gt;2003&lt;/year&gt;&lt;/dates&gt;&lt;isbn&gt;0020-7543&lt;/isbn&gt;&lt;urls&gt;&lt;/urls&gt;&lt;/record&gt;&lt;/Cite&gt;&lt;/EndNote&gt;</w:instrText>
      </w:r>
      <w:r w:rsidR="00A733F0">
        <w:fldChar w:fldCharType="separate"/>
      </w:r>
      <w:r w:rsidR="008D2908">
        <w:rPr>
          <w:noProof/>
        </w:rPr>
        <w:t>(Huang et al., 2003)</w:t>
      </w:r>
      <w:r w:rsidR="00A733F0">
        <w:fldChar w:fldCharType="end"/>
      </w:r>
      <w:r w:rsidR="00A733F0">
        <w:t>.</w:t>
      </w:r>
      <w:r w:rsidR="00C81FC0">
        <w:t xml:space="preserve"> </w:t>
      </w:r>
    </w:p>
    <w:p w14:paraId="6EFBA01E" w14:textId="58A64887" w:rsidR="0090155F" w:rsidRDefault="009A34B9" w:rsidP="00982611">
      <w:pPr>
        <w:spacing w:line="480" w:lineRule="auto"/>
      </w:pPr>
      <w:r w:rsidRPr="008D5EB6">
        <w:t>The purpose of the paper is to investigate the impact of utilizing the remaining shelf life i</w:t>
      </w:r>
      <w:r w:rsidR="00650AE3" w:rsidRPr="008D5EB6">
        <w:t>nformation from the stores in a</w:t>
      </w:r>
      <w:r w:rsidRPr="008D5EB6">
        <w:t xml:space="preserve"> setting closer to the reality of today’s </w:t>
      </w:r>
      <w:r w:rsidR="00B8089A" w:rsidRPr="008D5EB6">
        <w:t xml:space="preserve">grocery </w:t>
      </w:r>
      <w:r w:rsidRPr="008D5EB6">
        <w:t>retailers</w:t>
      </w:r>
      <w:r w:rsidR="008D5EB6" w:rsidRPr="008D5EB6">
        <w:t xml:space="preserve">. </w:t>
      </w:r>
      <w:r w:rsidRPr="004A4C9B">
        <w:t xml:space="preserve">Specifically, we do this by </w:t>
      </w:r>
      <w:r w:rsidR="00485E33">
        <w:t>examining</w:t>
      </w:r>
      <w:r w:rsidR="00E3007C" w:rsidRPr="004A4C9B">
        <w:t xml:space="preserve"> the inventory </w:t>
      </w:r>
      <w:r w:rsidR="0090155F">
        <w:t>control</w:t>
      </w:r>
      <w:r w:rsidR="00E3007C" w:rsidRPr="004A4C9B">
        <w:t xml:space="preserve"> of perishables in a divergent food supply</w:t>
      </w:r>
      <w:r w:rsidR="00485E33">
        <w:t xml:space="preserve"> chain</w:t>
      </w:r>
      <w:r w:rsidR="00E3007C" w:rsidRPr="004A4C9B">
        <w:t xml:space="preserve"> based on one of Norway’s largest retailers with more than 200 stores.</w:t>
      </w:r>
      <w:r w:rsidR="00E959F4" w:rsidRPr="004A4C9B">
        <w:t xml:space="preserve"> T</w:t>
      </w:r>
      <w:r w:rsidR="0090155F">
        <w:t>hrough simulation the</w:t>
      </w:r>
      <w:r w:rsidR="00D92DAB" w:rsidRPr="004A4C9B">
        <w:t xml:space="preserve"> </w:t>
      </w:r>
      <w:r w:rsidR="00E3007C" w:rsidRPr="004A4C9B">
        <w:t xml:space="preserve">study </w:t>
      </w:r>
      <w:r w:rsidR="0090155F">
        <w:t>evaluates one of the popular</w:t>
      </w:r>
      <w:r w:rsidR="000B5B33">
        <w:t xml:space="preserve"> and well performing</w:t>
      </w:r>
      <w:r w:rsidR="0090155F">
        <w:t xml:space="preserve"> heuristics for replenishment of perishables, the EWA policy </w:t>
      </w:r>
      <w:r w:rsidR="00AC1227">
        <w:fldChar w:fldCharType="begin"/>
      </w:r>
      <w:r w:rsidR="008D2908">
        <w:instrText xml:space="preserve"> ADDIN EN.CITE &lt;EndNote&gt;&lt;Cite&gt;&lt;Author&gt;Broekmeulen&lt;/Author&gt;&lt;Year&gt;2009&lt;/Year&gt;&lt;RecNum&gt;493&lt;/RecNum&gt;&lt;DisplayText&gt;(Broekmeulen and van Donselaar, 2009)&lt;/DisplayText&gt;&lt;record&gt;&lt;rec-number&gt;493&lt;/rec-number&gt;&lt;foreign-keys&gt;&lt;key app="EN" db-id="ft9rwfe99vp0fnet259vr9wns25s05drxsd2" timestamp="1467973300"&gt;493&lt;/key&gt;&lt;key app="ENWeb" db-id=""&gt;0&lt;/key&gt;&lt;/foreign-keys&gt;&lt;ref-type name="Journal Article"&gt;17&lt;/ref-type&gt;&lt;contributors&gt;&lt;authors&gt;&lt;author&gt;Broekmeulen, Rob ACM&lt;/author&gt;&lt;author&gt;van Donselaar, Karel H&lt;/author&gt;&lt;/authors&gt;&lt;/contributors&gt;&lt;titles&gt;&lt;title&gt;A heuristic to manage perishable inventory with batch ordering, positive lead-times, and time-varying demand&lt;/title&gt;&lt;secondary-title&gt;Computers &amp;amp; Operations Research&lt;/secondary-title&gt;&lt;/titles&gt;&lt;periodical&gt;&lt;full-title&gt;Computers &amp;amp; Operations Research&lt;/full-title&gt;&lt;/periodical&gt;&lt;pages&gt;3013-3018&lt;/pages&gt;&lt;volume&gt;36&lt;/volume&gt;&lt;number&gt;11&lt;/number&gt;&lt;dates&gt;&lt;year&gt;2009&lt;/year&gt;&lt;/dates&gt;&lt;isbn&gt;0305-0548&lt;/isbn&gt;&lt;urls&gt;&lt;/urls&gt;&lt;/record&gt;&lt;/Cite&gt;&lt;/EndNote&gt;</w:instrText>
      </w:r>
      <w:r w:rsidR="00AC1227">
        <w:fldChar w:fldCharType="separate"/>
      </w:r>
      <w:r w:rsidR="008D2908">
        <w:rPr>
          <w:noProof/>
        </w:rPr>
        <w:t>(Broekmeulen and van Donselaar, 2009)</w:t>
      </w:r>
      <w:r w:rsidR="00AC1227">
        <w:fldChar w:fldCharType="end"/>
      </w:r>
      <w:r w:rsidR="0090155F">
        <w:t>, and suggests and evaluates a refined version of this policy.</w:t>
      </w:r>
      <w:r w:rsidR="0090155F" w:rsidRPr="0090155F">
        <w:t xml:space="preserve"> </w:t>
      </w:r>
      <w:r w:rsidR="0090155F" w:rsidRPr="004A4C9B">
        <w:t xml:space="preserve">The evaluation of the replenishment </w:t>
      </w:r>
      <w:r w:rsidR="0090155F">
        <w:t xml:space="preserve">policies </w:t>
      </w:r>
      <w:r w:rsidR="001B419B">
        <w:t>is</w:t>
      </w:r>
      <w:r w:rsidR="0090155F" w:rsidRPr="004A4C9B">
        <w:t xml:space="preserve"> made for products with </w:t>
      </w:r>
      <w:r w:rsidR="0090155F">
        <w:t>a shelf life ranging from 4 to 2</w:t>
      </w:r>
      <w:r w:rsidR="0090155F" w:rsidRPr="004A4C9B">
        <w:t>0 days, mixed FIFO and LIFO depletion, various delivery frequencies</w:t>
      </w:r>
      <w:r w:rsidR="0090155F">
        <w:t>,</w:t>
      </w:r>
      <w:r w:rsidR="0090155F" w:rsidRPr="004A4C9B">
        <w:t xml:space="preserve"> </w:t>
      </w:r>
      <w:r w:rsidR="00485E33">
        <w:t xml:space="preserve">different </w:t>
      </w:r>
      <w:r w:rsidR="0090155F">
        <w:t>service level requ</w:t>
      </w:r>
      <w:r w:rsidR="00DB1158">
        <w:t>irements, and evaluated using a</w:t>
      </w:r>
      <w:r w:rsidR="0090155F">
        <w:t xml:space="preserve"> range of performance measures</w:t>
      </w:r>
      <w:r w:rsidR="007C122D">
        <w:t>.</w:t>
      </w:r>
    </w:p>
    <w:p w14:paraId="3B696B7B" w14:textId="77777777" w:rsidR="00D61D97" w:rsidRPr="004A4C9B" w:rsidRDefault="00D61D97" w:rsidP="00982611">
      <w:pPr>
        <w:spacing w:line="480" w:lineRule="auto"/>
      </w:pPr>
    </w:p>
    <w:p w14:paraId="564D1A8F" w14:textId="0C496EC4" w:rsidR="0051496D" w:rsidRDefault="00941526" w:rsidP="00982611">
      <w:pPr>
        <w:pStyle w:val="Heading1"/>
        <w:spacing w:line="480" w:lineRule="auto"/>
      </w:pPr>
      <w:r w:rsidRPr="004A4C9B">
        <w:t>Background</w:t>
      </w:r>
    </w:p>
    <w:p w14:paraId="348E25DA" w14:textId="4146FE52" w:rsidR="007873B2" w:rsidRDefault="008D2908" w:rsidP="00982611">
      <w:pPr>
        <w:spacing w:line="480" w:lineRule="auto"/>
        <w:ind w:firstLine="0"/>
      </w:pPr>
      <w:r>
        <w:t xml:space="preserve">In </w:t>
      </w:r>
      <w:r w:rsidR="00A721F8">
        <w:t>perishable inventory management</w:t>
      </w:r>
      <w:r w:rsidR="00E4573F">
        <w:t xml:space="preserve"> </w:t>
      </w:r>
      <w:r>
        <w:t xml:space="preserve">demand is modelled either as deterministic or stochastic, and </w:t>
      </w:r>
      <w:r w:rsidR="00E4573F">
        <w:t>the shelf life is either considered as fixed or random</w:t>
      </w:r>
      <w:r w:rsidR="009E22BE">
        <w:t>. A</w:t>
      </w:r>
      <w:r w:rsidR="00864A73">
        <w:t xml:space="preserve"> fixed shelf life</w:t>
      </w:r>
      <w:r w:rsidR="00E4573F">
        <w:t xml:space="preserve"> </w:t>
      </w:r>
      <w:r w:rsidR="00864A73">
        <w:t>refers to a</w:t>
      </w:r>
      <w:r w:rsidR="009E22BE">
        <w:t xml:space="preserve"> known</w:t>
      </w:r>
      <w:r w:rsidR="00864A73">
        <w:t xml:space="preserve"> </w:t>
      </w:r>
      <w:r w:rsidR="009E22BE">
        <w:t xml:space="preserve">deterministic life time whereas random shelf life refers to a known or unknown probabilistic life time </w:t>
      </w:r>
      <w:r w:rsidR="00BB7248">
        <w:fldChar w:fldCharType="begin"/>
      </w:r>
      <w:r>
        <w:instrText xml:space="preserve"> ADDIN EN.CITE &lt;EndNote&gt;&lt;Cite&gt;&lt;Author&gt;Janssen&lt;/Author&gt;&lt;Year&gt;2016&lt;/Year&gt;&lt;RecNum&gt;588&lt;/RecNum&gt;&lt;DisplayText&gt;(Janssen et al., 2016)&lt;/DisplayText&gt;&lt;record&gt;&lt;rec-number&gt;588&lt;/rec-number&gt;&lt;foreign-keys&gt;&lt;key app="EN" db-id="ft9rwfe99vp0fnet259vr9wns25s05drxsd2" timestamp="1477298629"&gt;588&lt;/key&gt;&lt;key app="ENWeb" db-id=""&gt;0&lt;/key&gt;&lt;/foreign-keys&gt;&lt;ref-type name="Journal Article"&gt;17&lt;/ref-type&gt;&lt;contributors&gt;&lt;authors&gt;&lt;author&gt;Janssen, Larissa&lt;/author&gt;&lt;author&gt;Claus, Thorsten&lt;/author&gt;&lt;author&gt;Sauer, Jürgen&lt;/author&gt;&lt;/authors&gt;&lt;/contributors&gt;&lt;titles&gt;&lt;title&gt;Literature review of deteriorating inventory models by key topics from 2012 to 2015&lt;/title&gt;&lt;secondary-title&gt;International Journal of Production Economics&lt;/secondary-title&gt;&lt;/titles&gt;&lt;periodical&gt;&lt;full-title&gt;International Journal of Production Economics&lt;/full-title&gt;&lt;/periodical&gt;&lt;pages&gt;86-112&lt;/pages&gt;&lt;volume&gt;182&lt;/volume&gt;&lt;dates&gt;&lt;year&gt;2016&lt;/year&gt;&lt;/dates&gt;&lt;isbn&gt;0925-5273&lt;/isbn&gt;&lt;urls&gt;&lt;/urls&gt;&lt;/record&gt;&lt;/Cite&gt;&lt;/EndNote&gt;</w:instrText>
      </w:r>
      <w:r w:rsidR="00BB7248">
        <w:fldChar w:fldCharType="separate"/>
      </w:r>
      <w:r>
        <w:rPr>
          <w:noProof/>
        </w:rPr>
        <w:t>(Janssen et al., 2016)</w:t>
      </w:r>
      <w:r w:rsidR="00BB7248">
        <w:fldChar w:fldCharType="end"/>
      </w:r>
      <w:r w:rsidR="00157205">
        <w:t>.</w:t>
      </w:r>
      <w:r>
        <w:t xml:space="preserve"> </w:t>
      </w:r>
      <w:r w:rsidR="00365065">
        <w:t>In this study, focus is placed on modelling products with a fixed shelf life unde</w:t>
      </w:r>
      <w:r w:rsidR="007C122D">
        <w:t>r stochastic demand.</w:t>
      </w:r>
      <w:r w:rsidR="00365065">
        <w:t xml:space="preserve"> </w:t>
      </w:r>
      <w:r w:rsidR="007C122D">
        <w:t>W</w:t>
      </w:r>
      <w:r w:rsidR="00365065">
        <w:t xml:space="preserve">ithin grocery retailing this includes </w:t>
      </w:r>
      <w:r w:rsidR="00710699">
        <w:t>products such as: dairy</w:t>
      </w:r>
      <w:r w:rsidR="00365065">
        <w:t xml:space="preserve">, meat, cold cuts, or other perishable products with a predetermined expiration date. </w:t>
      </w:r>
      <w:r w:rsidR="00840980">
        <w:t>Finding</w:t>
      </w:r>
      <w:r w:rsidR="001F79DD">
        <w:t xml:space="preserve">s of how to manage </w:t>
      </w:r>
      <w:r w:rsidR="00A82940">
        <w:t xml:space="preserve">these </w:t>
      </w:r>
      <w:r w:rsidR="001F79DD">
        <w:t xml:space="preserve">products with a fixed shelf life may later be extended to include products with a random shelf life. </w:t>
      </w:r>
      <w:r w:rsidR="00F16278">
        <w:t xml:space="preserve"> </w:t>
      </w:r>
    </w:p>
    <w:p w14:paraId="0173254A" w14:textId="113AE77A" w:rsidR="00BC0C03" w:rsidRDefault="00F16278" w:rsidP="00982611">
      <w:pPr>
        <w:spacing w:line="480" w:lineRule="auto"/>
      </w:pPr>
      <w:r>
        <w:t xml:space="preserve">If the shelf life of the product is fixed to one day the news vendor solution is optimal, and extensions for </w:t>
      </w:r>
      <w:r w:rsidR="00F248DA">
        <w:t>two days shelf life have</w:t>
      </w:r>
      <w:r>
        <w:t xml:space="preserve"> also been provided </w:t>
      </w:r>
      <w:r w:rsidR="00737240">
        <w:fldChar w:fldCharType="begin"/>
      </w:r>
      <w:r w:rsidR="008D2908">
        <w:instrText xml:space="preserve"> ADDIN EN.CITE &lt;EndNote&gt;&lt;Cite&gt;&lt;Author&gt;Nahmias&lt;/Author&gt;&lt;Year&gt;1973&lt;/Year&gt;&lt;RecNum&gt;711&lt;/RecNum&gt;&lt;DisplayText&gt;(Nahmias and Pierskalla, 1973)&lt;/DisplayText&gt;&lt;record&gt;&lt;rec-number&gt;711&lt;/rec-number&gt;&lt;foreign-keys&gt;&lt;key app="EN" db-id="ft9rwfe99vp0fnet259vr9wns25s05drxsd2" timestamp="1503416266"&gt;711&lt;/key&gt;&lt;/foreign-keys&gt;&lt;ref-type name="Journal Article"&gt;17&lt;/ref-type&gt;&lt;contributors&gt;&lt;authors&gt;&lt;author&gt;Nahmias, Steven&lt;/author&gt;&lt;author&gt;Pierskalla, William P&lt;/author&gt;&lt;/authors&gt;&lt;/contributors&gt;&lt;titles&gt;&lt;title&gt;Optimal ordering policies for a product that perishes in two periods subject to stochastic demand&lt;/title&gt;&lt;secondary-title&gt;Naval Research Logistics (NRL)&lt;/secondary-title&gt;&lt;/titles&gt;&lt;periodical&gt;&lt;full-title&gt;Naval Research Logistics (NRL)&lt;/full-title&gt;&lt;/periodical&gt;&lt;pages&gt;207-229&lt;/pages&gt;&lt;volume&gt;20&lt;/volume&gt;&lt;number&gt;2&lt;/number&gt;&lt;dates&gt;&lt;year&gt;1973&lt;/year&gt;&lt;/dates&gt;&lt;isbn&gt;1931-9193&lt;/isbn&gt;&lt;urls&gt;&lt;/urls&gt;&lt;/record&gt;&lt;/Cite&gt;&lt;/EndNote&gt;</w:instrText>
      </w:r>
      <w:r w:rsidR="00737240">
        <w:fldChar w:fldCharType="separate"/>
      </w:r>
      <w:r w:rsidR="008D2908">
        <w:rPr>
          <w:noProof/>
        </w:rPr>
        <w:t>(Nahmias and Pierskalla, 1973)</w:t>
      </w:r>
      <w:r w:rsidR="00737240">
        <w:fldChar w:fldCharType="end"/>
      </w:r>
      <w:r>
        <w:t>. However, as shelf life increases further</w:t>
      </w:r>
      <w:r w:rsidR="00B14414">
        <w:t xml:space="preserve"> it becomes </w:t>
      </w:r>
      <w:r w:rsidR="00CA08A4">
        <w:t>significantly</w:t>
      </w:r>
      <w:r w:rsidR="00B14414">
        <w:t xml:space="preserve"> complicated to mathematically find t</w:t>
      </w:r>
      <w:r w:rsidR="00E80289">
        <w:t xml:space="preserve">he optimal solution </w:t>
      </w:r>
      <w:r w:rsidR="002A743A">
        <w:t>and previous</w:t>
      </w:r>
      <w:r w:rsidR="00E80289">
        <w:t xml:space="preserve"> </w:t>
      </w:r>
      <w:r w:rsidR="002A743A">
        <w:t>contributions</w:t>
      </w:r>
      <w:r w:rsidR="00E80289">
        <w:t xml:space="preserve"> has mainly searched for </w:t>
      </w:r>
      <w:r w:rsidR="00CA08A4">
        <w:t xml:space="preserve">finding </w:t>
      </w:r>
      <w:r w:rsidR="00E80289">
        <w:t xml:space="preserve">good </w:t>
      </w:r>
      <w:r w:rsidR="00CA08A4">
        <w:t xml:space="preserve">heuristic </w:t>
      </w:r>
      <w:r w:rsidR="002A743A">
        <w:t>replenishment</w:t>
      </w:r>
      <w:r w:rsidR="00CA08A4">
        <w:t xml:space="preserve"> policies rather than</w:t>
      </w:r>
      <w:r w:rsidR="00710699">
        <w:t xml:space="preserve"> the</w:t>
      </w:r>
      <w:r w:rsidR="00CA08A4">
        <w:t xml:space="preserve"> true optimum</w:t>
      </w:r>
      <w:r w:rsidR="00E80289">
        <w:t xml:space="preserve"> </w:t>
      </w:r>
      <w:r w:rsidR="00BB7248">
        <w:fldChar w:fldCharType="begin"/>
      </w:r>
      <w:r w:rsidR="008D2908">
        <w:instrText xml:space="preserve"> ADDIN EN.CITE &lt;EndNote&gt;&lt;Cite&gt;&lt;Author&gt;Broekmeulen&lt;/Author&gt;&lt;Year&gt;2009&lt;/Year&gt;&lt;RecNum&gt;493&lt;/RecNum&gt;&lt;DisplayText&gt;(Broekmeulen and van Donselaar, 2009; Duan and Liao, 2013)&lt;/DisplayText&gt;&lt;record&gt;&lt;rec-number&gt;493&lt;/rec-number&gt;&lt;foreign-keys&gt;&lt;key app="EN" db-id="ft9rwfe99vp0fnet259vr9wns25s05drxsd2" timestamp="1467973300"&gt;493&lt;/key&gt;&lt;key app="ENWeb" db-id=""&gt;0&lt;/key&gt;&lt;/foreign-keys&gt;&lt;ref-type name="Journal Article"&gt;17&lt;/ref-type&gt;&lt;contributors&gt;&lt;authors&gt;&lt;author&gt;Broekmeulen, Rob ACM&lt;/author&gt;&lt;author&gt;van Donselaar, Karel H&lt;/author&gt;&lt;/authors&gt;&lt;/contributors&gt;&lt;titles&gt;&lt;title&gt;A heuristic to manage perishable inventory with batch ordering, positive lead-times, and time-varying demand&lt;/title&gt;&lt;secondary-title&gt;Computers &amp;amp; Operations Research&lt;/secondary-title&gt;&lt;/titles&gt;&lt;periodical&gt;&lt;full-title&gt;Computers &amp;amp; Operations Research&lt;/full-title&gt;&lt;/periodical&gt;&lt;pages&gt;3013-3018&lt;/pages&gt;&lt;volume&gt;36&lt;/volume&gt;&lt;number&gt;11&lt;/number&gt;&lt;dates&gt;&lt;year&gt;2009&lt;/year&gt;&lt;/dates&gt;&lt;isbn&gt;0305-0548&lt;/isbn&gt;&lt;urls&gt;&lt;/urls&gt;&lt;/record&gt;&lt;/Cite&gt;&lt;Cite&gt;&lt;Author&gt;Duan&lt;/Author&gt;&lt;Year&gt;2013&lt;/Year&gt;&lt;RecNum&gt;558&lt;/RecNum&gt;&lt;record&gt;&lt;rec-number&gt;558&lt;/rec-number&gt;&lt;foreign-keys&gt;&lt;key app="EN" db-id="ft9rwfe99vp0fnet259vr9wns25s05drxsd2" timestamp="1471420392"&gt;558&lt;/key&gt;&lt;key app="ENWeb" db-id=""&gt;0&lt;/key&gt;&lt;/foreign-keys&gt;&lt;ref-type name="Journal Article"&gt;17&lt;/ref-type&gt;&lt;contributors&gt;&lt;authors&gt;&lt;author&gt;Duan, Qinglin&lt;/author&gt;&lt;author&gt;Liao, T Warren&lt;/author&gt;&lt;/authors&gt;&lt;/contributors&gt;&lt;titles&gt;&lt;title&gt;A new age-based replenishment policy for supply chain inventory optimization of highly perishable products&lt;/title&gt;&lt;secondary-title&gt;International Journal of Production Economics&lt;/secondary-title&gt;&lt;/titles&gt;&lt;periodical&gt;&lt;full-title&gt;International Journal of Production Economics&lt;/full-title&gt;&lt;/periodical&gt;&lt;pages&gt;658-671&lt;/pages&gt;&lt;volume&gt;145&lt;/volume&gt;&lt;number&gt;2&lt;/number&gt;&lt;dates&gt;&lt;year&gt;2013&lt;/year&gt;&lt;/dates&gt;&lt;isbn&gt;0925-5273&lt;/isbn&gt;&lt;urls&gt;&lt;/urls&gt;&lt;/record&gt;&lt;/Cite&gt;&lt;/EndNote&gt;</w:instrText>
      </w:r>
      <w:r w:rsidR="00BB7248">
        <w:fldChar w:fldCharType="separate"/>
      </w:r>
      <w:r w:rsidR="008D2908">
        <w:rPr>
          <w:noProof/>
        </w:rPr>
        <w:t>(Broekmeulen and van Donselaar, 2009; Duan and Liao, 2013)</w:t>
      </w:r>
      <w:r w:rsidR="00BB7248">
        <w:fldChar w:fldCharType="end"/>
      </w:r>
      <w:r w:rsidR="00005F3F">
        <w:t>.</w:t>
      </w:r>
      <w:r w:rsidR="00AD3696">
        <w:t xml:space="preserve"> </w:t>
      </w:r>
      <w:r w:rsidR="00005F3F">
        <w:t>R</w:t>
      </w:r>
      <w:r w:rsidR="00CA08A4">
        <w:t xml:space="preserve">eplenishment policies </w:t>
      </w:r>
      <w:r w:rsidR="00F248DA">
        <w:t>might be further subdivided int</w:t>
      </w:r>
      <w:r w:rsidR="00CA08A4">
        <w:t xml:space="preserve">o either periodic or </w:t>
      </w:r>
      <w:r w:rsidR="00710699">
        <w:t>continuous</w:t>
      </w:r>
      <w:r w:rsidR="00CA08A4">
        <w:t xml:space="preserve"> review policies</w:t>
      </w:r>
      <w:r w:rsidR="0034555B">
        <w:t xml:space="preserve">. </w:t>
      </w:r>
      <w:r w:rsidR="00D70133">
        <w:t>Generally, continuous review pol</w:t>
      </w:r>
      <w:r w:rsidR="002A743A">
        <w:t xml:space="preserve">icies </w:t>
      </w:r>
      <w:r w:rsidR="002A743A">
        <w:lastRenderedPageBreak/>
        <w:t>need less safety stock tha</w:t>
      </w:r>
      <w:r w:rsidR="00D70133">
        <w:t xml:space="preserve">n </w:t>
      </w:r>
      <w:r w:rsidR="002A743A">
        <w:t xml:space="preserve">periodic review policies, but on the other </w:t>
      </w:r>
      <w:r w:rsidR="000944DB">
        <w:t xml:space="preserve">hand </w:t>
      </w:r>
      <w:r w:rsidR="002A743A">
        <w:t>require</w:t>
      </w:r>
      <w:r w:rsidR="00D70133">
        <w:t xml:space="preserve"> (hereof the name) a continuous review of the inventory level and the ability to place orders at all times </w:t>
      </w:r>
      <w:r w:rsidR="00BB7248">
        <w:fldChar w:fldCharType="begin"/>
      </w:r>
      <w:r w:rsidR="008D2908">
        <w:instrText xml:space="preserve"> ADDIN EN.CITE &lt;EndNote&gt;&lt;Cite&gt;&lt;Author&gt;Silver&lt;/Author&gt;&lt;Year&gt;1998&lt;/Year&gt;&lt;RecNum&gt;707&lt;/RecNum&gt;&lt;DisplayText&gt;(Silver et al., 1998)&lt;/DisplayText&gt;&lt;record&gt;&lt;rec-number&gt;707&lt;/rec-number&gt;&lt;foreign-keys&gt;&lt;key app="EN" db-id="ft9rwfe99vp0fnet259vr9wns25s05drxsd2" timestamp="1500288366"&gt;707&lt;/key&gt;&lt;/foreign-keys&gt;&lt;ref-type name="Book"&gt;6&lt;/ref-type&gt;&lt;contributors&gt;&lt;authors&gt;&lt;author&gt;Silver, Edward Allen&lt;/author&gt;&lt;author&gt;Pyke, David F&lt;/author&gt;&lt;author&gt;Peterson, Rein&lt;/author&gt;&lt;/authors&gt;&lt;/contributors&gt;&lt;titles&gt;&lt;title&gt;Inventory management and production planning and scheduling&lt;/title&gt;&lt;/titles&gt;&lt;volume&gt;3&lt;/volume&gt;&lt;dates&gt;&lt;year&gt;1998&lt;/year&gt;&lt;/dates&gt;&lt;publisher&gt;Wiley New York&lt;/publisher&gt;&lt;urls&gt;&lt;/urls&gt;&lt;/record&gt;&lt;/Cite&gt;&lt;/EndNote&gt;</w:instrText>
      </w:r>
      <w:r w:rsidR="00BB7248">
        <w:fldChar w:fldCharType="separate"/>
      </w:r>
      <w:r w:rsidR="008D2908">
        <w:rPr>
          <w:noProof/>
        </w:rPr>
        <w:t>(Silver et al., 1998)</w:t>
      </w:r>
      <w:r w:rsidR="00BB7248">
        <w:fldChar w:fldCharType="end"/>
      </w:r>
      <w:r w:rsidR="00D70133">
        <w:t xml:space="preserve">. </w:t>
      </w:r>
      <w:r w:rsidR="000944DB">
        <w:t xml:space="preserve">In grocery retailing periodic review is most common as stores have predefined days where they place and receive order </w:t>
      </w:r>
      <w:r w:rsidR="00596695">
        <w:fldChar w:fldCharType="begin"/>
      </w:r>
      <w:r w:rsidR="008D2908">
        <w:instrText xml:space="preserve"> ADDIN EN.CITE &lt;EndNote&gt;&lt;Cite&gt;&lt;Author&gt;Kuhn&lt;/Author&gt;&lt;Year&gt;2013&lt;/Year&gt;&lt;RecNum&gt;163&lt;/RecNum&gt;&lt;DisplayText&gt;(Kuhn and Sternbeck, 2013)&lt;/DisplayText&gt;&lt;record&gt;&lt;rec-number&gt;163&lt;/rec-number&gt;&lt;foreign-keys&gt;&lt;key app="EN" db-id="ft9rwfe99vp0fnet259vr9wns25s05drxsd2" timestamp="1445337714"&gt;163&lt;/key&gt;&lt;/foreign-keys&gt;&lt;ref-type name="Journal Article"&gt;17&lt;/ref-type&gt;&lt;contributors&gt;&lt;authors&gt;&lt;author&gt;Kuhn, Heinrich&lt;/author&gt;&lt;author&gt;Sternbeck, Michael G&lt;/author&gt;&lt;/authors&gt;&lt;/contributors&gt;&lt;titles&gt;&lt;title&gt;Integrative retail logistics: an exploratory study&lt;/title&gt;&lt;secondary-title&gt;Operations Management Research&lt;/secondary-title&gt;&lt;/titles&gt;&lt;periodical&gt;&lt;full-title&gt;Operations Management Research&lt;/full-title&gt;&lt;/periodical&gt;&lt;pages&gt;2-18&lt;/pages&gt;&lt;volume&gt;6&lt;/volume&gt;&lt;number&gt;1-2&lt;/number&gt;&lt;dates&gt;&lt;year&gt;2013&lt;/year&gt;&lt;/dates&gt;&lt;isbn&gt;1936-9735&lt;/isbn&gt;&lt;urls&gt;&lt;/urls&gt;&lt;/record&gt;&lt;/Cite&gt;&lt;/EndNote&gt;</w:instrText>
      </w:r>
      <w:r w:rsidR="00596695">
        <w:fldChar w:fldCharType="separate"/>
      </w:r>
      <w:r w:rsidR="008D2908">
        <w:rPr>
          <w:noProof/>
        </w:rPr>
        <w:t>(Kuhn and Sternbeck, 2013)</w:t>
      </w:r>
      <w:r w:rsidR="00596695">
        <w:fldChar w:fldCharType="end"/>
      </w:r>
      <w:r w:rsidR="00A302A3">
        <w:t xml:space="preserve">. </w:t>
      </w:r>
      <w:r w:rsidR="00BC0C03">
        <w:t>Consequently, the remaining of this section is dedicated to present the most relevant periodic repleni</w:t>
      </w:r>
      <w:r w:rsidR="00281E8A">
        <w:t xml:space="preserve">shment policies for perishable. For continuous review </w:t>
      </w:r>
      <w:proofErr w:type="gramStart"/>
      <w:r w:rsidR="00281E8A">
        <w:t>policies</w:t>
      </w:r>
      <w:proofErr w:type="gramEnd"/>
      <w:r w:rsidR="00281E8A">
        <w:t xml:space="preserve"> the reader is referred to </w:t>
      </w:r>
      <w:r w:rsidR="006066E4">
        <w:t xml:space="preserve">e.g. </w:t>
      </w:r>
      <w:r w:rsidR="00281E8A">
        <w:t>Kouki et al., (2015) and Kouki</w:t>
      </w:r>
      <w:r w:rsidR="00D53509">
        <w:t xml:space="preserve"> et al., (2016).</w:t>
      </w:r>
    </w:p>
    <w:p w14:paraId="047F36D7" w14:textId="22824487" w:rsidR="00C522A3" w:rsidRDefault="00BC0C03" w:rsidP="00982611">
      <w:pPr>
        <w:spacing w:line="480" w:lineRule="auto"/>
      </w:pPr>
      <w:r>
        <w:t>A</w:t>
      </w:r>
      <w:r w:rsidR="00710699">
        <w:t xml:space="preserve"> </w:t>
      </w:r>
      <w:r w:rsidR="00B54CF0">
        <w:t xml:space="preserve">(R,S)-policy with fixed life time is proposed by </w:t>
      </w:r>
      <w:r w:rsidR="00596695">
        <w:fldChar w:fldCharType="begin"/>
      </w:r>
      <w:r w:rsidR="008D2908">
        <w:instrText xml:space="preserve"> ADDIN EN.CITE &lt;EndNote&gt;&lt;Cite&gt;&lt;Author&gt;Chiu&lt;/Author&gt;&lt;Year&gt;1995&lt;/Year&gt;&lt;RecNum&gt;718&lt;/RecNum&gt;&lt;DisplayText&gt;(Chiu, 1995)&lt;/DisplayText&gt;&lt;record&gt;&lt;rec-number&gt;718&lt;/rec-number&gt;&lt;foreign-keys&gt;&lt;key app="EN" db-id="ft9rwfe99vp0fnet259vr9wns25s05drxsd2" timestamp="1505816087"&gt;718&lt;/key&gt;&lt;key app="ENWeb" db-id=""&gt;0&lt;/key&gt;&lt;/foreign-keys&gt;&lt;ref-type name="Journal Article"&gt;17&lt;/ref-type&gt;&lt;contributors&gt;&lt;authors&gt;&lt;author&gt;Chiu, Huan Neng&lt;/author&gt;&lt;/authors&gt;&lt;/contributors&gt;&lt;titles&gt;&lt;title&gt;A heuristic (R, T) periodic review perishable inventory model with lead times&lt;/title&gt;&lt;secondary-title&gt;International Journal of Production Economics&lt;/secondary-title&gt;&lt;/titles&gt;&lt;periodical&gt;&lt;full-title&gt;International Journal of Production Economics&lt;/full-title&gt;&lt;/periodical&gt;&lt;pages&gt;1-15&lt;/pages&gt;&lt;volume&gt;42&lt;/volume&gt;&lt;number&gt;1&lt;/number&gt;&lt;dates&gt;&lt;year&gt;1995&lt;/year&gt;&lt;/dates&gt;&lt;urls&gt;&lt;/urls&gt;&lt;/record&gt;&lt;/Cite&gt;&lt;/EndNote&gt;</w:instrText>
      </w:r>
      <w:r w:rsidR="00596695">
        <w:fldChar w:fldCharType="separate"/>
      </w:r>
      <w:r w:rsidR="008D2908">
        <w:rPr>
          <w:noProof/>
        </w:rPr>
        <w:t>(Chiu, 1995)</w:t>
      </w:r>
      <w:r w:rsidR="00596695">
        <w:fldChar w:fldCharType="end"/>
      </w:r>
      <w:r w:rsidR="00596695">
        <w:t xml:space="preserve"> </w:t>
      </w:r>
      <w:r w:rsidR="007C122D">
        <w:t>where</w:t>
      </w:r>
      <w:r w:rsidR="00B54CF0">
        <w:t xml:space="preserve"> the decision variables are both the length of the review period (R) and the order-up-to level (S)</w:t>
      </w:r>
      <w:r w:rsidR="003A6347">
        <w:t xml:space="preserve">. The flexible review period is beneficial from an inventory </w:t>
      </w:r>
      <w:proofErr w:type="gramStart"/>
      <w:r w:rsidR="003A6347">
        <w:t>perspective,</w:t>
      </w:r>
      <w:proofErr w:type="gramEnd"/>
      <w:r w:rsidR="003A6347">
        <w:t xml:space="preserve"> however, it might be impractical and challenging from a </w:t>
      </w:r>
      <w:r w:rsidR="00F248DA">
        <w:t>distribution planning</w:t>
      </w:r>
      <w:r w:rsidR="003A6347">
        <w:t xml:space="preserve"> perspective.</w:t>
      </w:r>
      <w:r w:rsidR="00CB3F06">
        <w:t xml:space="preserve"> With only the order quantity as a decision variable</w:t>
      </w:r>
      <w:r w:rsidR="009B0B22">
        <w:t xml:space="preserve"> </w:t>
      </w:r>
      <w:r w:rsidR="00596695">
        <w:fldChar w:fldCharType="begin"/>
      </w:r>
      <w:r w:rsidR="006B6617">
        <w:instrText xml:space="preserve"> ADDIN EN.CITE &lt;EndNote&gt;&lt;Cite AuthorYear="1"&gt;&lt;Author&gt;Minner&lt;/Author&gt;&lt;Year&gt;2010&lt;/Year&gt;&lt;RecNum&gt;720&lt;/RecNum&gt;&lt;DisplayText&gt;Minner and Transchel (2010)&lt;/DisplayText&gt;&lt;record&gt;&lt;rec-number&gt;720&lt;/rec-number&gt;&lt;foreign-keys&gt;&lt;key app="EN" db-id="ft9rwfe99vp0fnet259vr9wns25s05drxsd2" timestamp="1505816105"&gt;720&lt;/key&gt;&lt;key app="ENWeb" db-id=""&gt;0&lt;/key&gt;&lt;/foreign-keys&gt;&lt;ref-type name="Journal Article"&gt;17&lt;/ref-type&gt;&lt;contributors&gt;&lt;authors&gt;&lt;author&gt;Stefan Minner&lt;/author&gt;&lt;author&gt;Sandra Transchel &lt;/author&gt;&lt;/authors&gt;&lt;/contributors&gt;&lt;titles&gt;&lt;title&gt;Periodic review inventory-control for perishable products under service-level constraints&lt;/title&gt;&lt;secondary-title&gt;OR spectrum&lt;/secondary-title&gt;&lt;/titles&gt;&lt;periodical&gt;&lt;full-title&gt;Or Spectrum&lt;/full-title&gt;&lt;/periodical&gt;&lt;pages&gt;979-996&lt;/pages&gt;&lt;volume&gt;32&lt;/volume&gt;&lt;number&gt;4&lt;/number&gt;&lt;dates&gt;&lt;year&gt;2010&lt;/year&gt;&lt;/dates&gt;&lt;urls&gt;&lt;/urls&gt;&lt;/record&gt;&lt;/Cite&gt;&lt;/EndNote&gt;</w:instrText>
      </w:r>
      <w:r w:rsidR="00596695">
        <w:fldChar w:fldCharType="separate"/>
      </w:r>
      <w:r w:rsidR="00596695">
        <w:rPr>
          <w:noProof/>
        </w:rPr>
        <w:t>Minner and Transchel (2010)</w:t>
      </w:r>
      <w:r w:rsidR="00596695">
        <w:fldChar w:fldCharType="end"/>
      </w:r>
      <w:r w:rsidR="009B0B22">
        <w:t xml:space="preserve"> proposed and evaluated a</w:t>
      </w:r>
      <w:r w:rsidR="00CB3F06">
        <w:t xml:space="preserve"> </w:t>
      </w:r>
      <w:r w:rsidR="00E45E07">
        <w:t>dynamic</w:t>
      </w:r>
      <w:r w:rsidR="009B0B22">
        <w:t xml:space="preserve"> order</w:t>
      </w:r>
      <w:r w:rsidR="00E45E07">
        <w:t xml:space="preserve"> </w:t>
      </w:r>
      <w:r w:rsidR="00CB3F06">
        <w:t>policy</w:t>
      </w:r>
      <w:r w:rsidR="009B0B22">
        <w:t>,</w:t>
      </w:r>
      <w:r w:rsidR="00CB3F06">
        <w:t xml:space="preserve"> </w:t>
      </w:r>
      <w:r w:rsidR="009B0B22">
        <w:t>which</w:t>
      </w:r>
      <w:r w:rsidR="00CB3F06">
        <w:t xml:space="preserve"> showed </w:t>
      </w:r>
      <w:r w:rsidR="00E45E07">
        <w:t>a</w:t>
      </w:r>
      <w:r w:rsidR="006C0FB3">
        <w:t xml:space="preserve"> nearly 10%</w:t>
      </w:r>
      <w:r w:rsidR="00E45E07">
        <w:t xml:space="preserve"> reduction in waste for products with a very short shelf life (less than 6 days) compared to </w:t>
      </w:r>
      <w:r w:rsidR="006C0FB3">
        <w:t>constant order policy (i.e. fixed order quantity each time).</w:t>
      </w:r>
      <w:r w:rsidR="00596695">
        <w:t xml:space="preserve"> </w:t>
      </w:r>
      <w:r w:rsidR="00596695">
        <w:fldChar w:fldCharType="begin"/>
      </w:r>
      <w:r w:rsidR="006B6617">
        <w:instrText xml:space="preserve"> ADDIN EN.CITE &lt;EndNote&gt;&lt;Cite AuthorYear="1"&gt;&lt;Author&gt;Minner&lt;/Author&gt;&lt;Year&gt;2010&lt;/Year&gt;&lt;RecNum&gt;720&lt;/RecNum&gt;&lt;DisplayText&gt;Minner and Transchel (2010)&lt;/DisplayText&gt;&lt;record&gt;&lt;rec-number&gt;720&lt;/rec-number&gt;&lt;foreign-keys&gt;&lt;key app="EN" db-id="ft9rwfe99vp0fnet259vr9wns25s05drxsd2" timestamp="1505816105"&gt;720&lt;/key&gt;&lt;key app="ENWeb" db-id=""&gt;0&lt;/key&gt;&lt;/foreign-keys&gt;&lt;ref-type name="Journal Article"&gt;17&lt;/ref-type&gt;&lt;contributors&gt;&lt;authors&gt;&lt;author&gt;Stefan Minner&lt;/author&gt;&lt;author&gt;Sandra Transchel &lt;/author&gt;&lt;/authors&gt;&lt;/contributors&gt;&lt;titles&gt;&lt;title&gt;Periodic review inventory-control for perishable products under service-level constraints&lt;/title&gt;&lt;secondary-title&gt;OR spectrum&lt;/secondary-title&gt;&lt;/titles&gt;&lt;periodical&gt;&lt;full-title&gt;Or Spectrum&lt;/full-title&gt;&lt;/periodical&gt;&lt;pages&gt;979-996&lt;/pages&gt;&lt;volume&gt;32&lt;/volume&gt;&lt;number&gt;4&lt;/number&gt;&lt;dates&gt;&lt;year&gt;2010&lt;/year&gt;&lt;/dates&gt;&lt;urls&gt;&lt;/urls&gt;&lt;/record&gt;&lt;/Cite&gt;&lt;/EndNote&gt;</w:instrText>
      </w:r>
      <w:r w:rsidR="00596695">
        <w:fldChar w:fldCharType="separate"/>
      </w:r>
      <w:r w:rsidR="00596695">
        <w:rPr>
          <w:noProof/>
        </w:rPr>
        <w:t>Minner and Transchel (2010)</w:t>
      </w:r>
      <w:r w:rsidR="00596695">
        <w:fldChar w:fldCharType="end"/>
      </w:r>
      <w:r w:rsidR="00596695">
        <w:t xml:space="preserve"> </w:t>
      </w:r>
      <w:r w:rsidR="009B0B22">
        <w:t xml:space="preserve">further observed that, because of its simplicity, </w:t>
      </w:r>
      <w:r w:rsidR="006C0FB3">
        <w:t xml:space="preserve">a </w:t>
      </w:r>
      <w:r w:rsidR="00E45E07">
        <w:t xml:space="preserve">constant order policy should not be </w:t>
      </w:r>
      <w:r w:rsidR="009B0B22">
        <w:t>neglected especially if demand is stationary, demand is somewhat stable (</w:t>
      </w:r>
      <w:proofErr w:type="spellStart"/>
      <w:r w:rsidR="009B0B22">
        <w:t>CoV</w:t>
      </w:r>
      <w:proofErr w:type="spellEnd"/>
      <w:r w:rsidR="009B0B22">
        <w:t xml:space="preserve"> </w:t>
      </w:r>
      <w:r w:rsidR="009B0B22">
        <w:sym w:font="Symbol" w:char="F0A3"/>
      </w:r>
      <w:r w:rsidR="009B0B22">
        <w:t xml:space="preserve"> 0.5) an</w:t>
      </w:r>
      <w:r w:rsidR="007C122D">
        <w:t>d the shelf life is short (</w:t>
      </w:r>
      <w:r w:rsidR="009B0B22">
        <w:t xml:space="preserve">2-3 days). </w:t>
      </w:r>
    </w:p>
    <w:p w14:paraId="1196EF4B" w14:textId="2AB9A55F" w:rsidR="006B6CB8" w:rsidRDefault="00AC6467" w:rsidP="00982611">
      <w:pPr>
        <w:spacing w:line="480" w:lineRule="auto"/>
      </w:pPr>
      <w:r>
        <w:t xml:space="preserve">The EWA policy introduced by </w:t>
      </w:r>
      <w:r w:rsidR="00596695">
        <w:fldChar w:fldCharType="begin"/>
      </w:r>
      <w:r w:rsidR="008D2908">
        <w:instrText xml:space="preserve"> ADDIN EN.CITE &lt;EndNote&gt;&lt;Cite&gt;&lt;Author&gt;Broekmeulen&lt;/Author&gt;&lt;Year&gt;2009&lt;/Year&gt;&lt;RecNum&gt;493&lt;/RecNum&gt;&lt;DisplayText&gt;(Broekmeulen and van Donselaar, 2009)&lt;/DisplayText&gt;&lt;record&gt;&lt;rec-number&gt;493&lt;/rec-number&gt;&lt;foreign-keys&gt;&lt;key app="EN" db-id="ft9rwfe99vp0fnet259vr9wns25s05drxsd2" timestamp="1467973300"&gt;493&lt;/key&gt;&lt;key app="ENWeb" db-id=""&gt;0&lt;/key&gt;&lt;/foreign-keys&gt;&lt;ref-type name="Journal Article"&gt;17&lt;/ref-type&gt;&lt;contributors&gt;&lt;authors&gt;&lt;author&gt;Broekmeulen, Rob ACM&lt;/author&gt;&lt;author&gt;van Donselaar, Karel H&lt;/author&gt;&lt;/authors&gt;&lt;/contributors&gt;&lt;titles&gt;&lt;title&gt;A heuristic to manage perishable inventory with batch ordering, positive lead-times, and time-varying demand&lt;/title&gt;&lt;secondary-title&gt;Computers &amp;amp; Operations Research&lt;/secondary-title&gt;&lt;/titles&gt;&lt;periodical&gt;&lt;full-title&gt;Computers &amp;amp; Operations Research&lt;/full-title&gt;&lt;/periodical&gt;&lt;pages&gt;3013-3018&lt;/pages&gt;&lt;volume&gt;36&lt;/volume&gt;&lt;number&gt;11&lt;/number&gt;&lt;dates&gt;&lt;year&gt;2009&lt;/year&gt;&lt;/dates&gt;&lt;isbn&gt;0305-0548&lt;/isbn&gt;&lt;urls&gt;&lt;/urls&gt;&lt;/record&gt;&lt;/Cite&gt;&lt;/EndNote&gt;</w:instrText>
      </w:r>
      <w:r w:rsidR="00596695">
        <w:fldChar w:fldCharType="separate"/>
      </w:r>
      <w:r w:rsidR="008D2908">
        <w:rPr>
          <w:noProof/>
        </w:rPr>
        <w:t>(Broekmeulen and van Donselaar, 2009)</w:t>
      </w:r>
      <w:r w:rsidR="00596695">
        <w:fldChar w:fldCharType="end"/>
      </w:r>
      <w:r>
        <w:t xml:space="preserve"> i</w:t>
      </w:r>
      <w:r w:rsidR="00BB3BBA">
        <w:t>s a direct extension of</w:t>
      </w:r>
      <w:r w:rsidR="001B55BE">
        <w:t xml:space="preserve"> the policy found in traditional automatic replenishment systems, and</w:t>
      </w:r>
      <w:r w:rsidR="001B55BE" w:rsidRPr="001B55BE">
        <w:t xml:space="preserve"> </w:t>
      </w:r>
      <w:r w:rsidR="001B55BE">
        <w:t xml:space="preserve">is intended to be used for automatic replenishment </w:t>
      </w:r>
      <w:r w:rsidR="00BB3BBA">
        <w:t>of</w:t>
      </w:r>
      <w:r w:rsidR="001B55BE">
        <w:t xml:space="preserve"> perishables. Traditional automatic rep</w:t>
      </w:r>
      <w:r w:rsidR="00F248DA">
        <w:t>lenishment systems apply</w:t>
      </w:r>
      <w:r w:rsidR="001B55BE">
        <w:t xml:space="preserve"> a </w:t>
      </w:r>
      <w:r w:rsidR="00F16278">
        <w:t>(</w:t>
      </w:r>
      <w:proofErr w:type="spellStart"/>
      <w:r w:rsidR="00F16278">
        <w:t>R,s,nQ</w:t>
      </w:r>
      <w:proofErr w:type="spellEnd"/>
      <w:r w:rsidR="00F16278">
        <w:t>) policy</w:t>
      </w:r>
      <w:r w:rsidR="007068B3">
        <w:t xml:space="preserve"> </w:t>
      </w:r>
      <w:r w:rsidR="001B55BE">
        <w:t xml:space="preserve">with </w:t>
      </w:r>
      <w:r w:rsidR="007068B3">
        <w:t>a fixed review period (R), dynami</w:t>
      </w:r>
      <w:r w:rsidR="00F248DA">
        <w:t>c reorder-point (s), and order</w:t>
      </w:r>
      <w:r w:rsidR="007068B3">
        <w:t xml:space="preserve"> multiplier (n) of batches with a given batch size (Q) </w:t>
      </w:r>
      <w:r w:rsidR="006B6617">
        <w:fldChar w:fldCharType="begin"/>
      </w:r>
      <w:r w:rsidR="008D2908">
        <w:instrText xml:space="preserve"> ADDIN EN.CITE &lt;EndNote&gt;&lt;Cite&gt;&lt;Author&gt;Potter&lt;/Author&gt;&lt;Year&gt;2010&lt;/Year&gt;&lt;RecNum&gt;619&lt;/RecNum&gt;&lt;DisplayText&gt;(Potter and Disney, 2010)&lt;/DisplayText&gt;&lt;record&gt;&lt;rec-number&gt;619&lt;/rec-number&gt;&lt;foreign-keys&gt;&lt;key app="EN" db-id="ft9rwfe99vp0fnet259vr9wns25s05drxsd2" timestamp="1483432777"&gt;619&lt;/key&gt;&lt;key app="ENWeb" db-id=""&gt;0&lt;/key&gt;&lt;/foreign-keys&gt;&lt;ref-type name="Conference Proceedings"&gt;10&lt;/ref-type&gt;&lt;contributors&gt;&lt;authors&gt;&lt;author&gt;Potter, Andrew&lt;/author&gt;&lt;author&gt;Disney, Stephen M&lt;/author&gt;&lt;/authors&gt;&lt;/contributors&gt;&lt;titles&gt;&lt;title&gt;Removing bullwhip from the Tesco supply chain&lt;/title&gt;&lt;secondary-title&gt;Production and Operations Management Society Annual Conference&lt;/secondary-title&gt;&lt;/titles&gt;&lt;pages&gt;109-118&lt;/pages&gt;&lt;volume&gt;23&lt;/volume&gt;&lt;dates&gt;&lt;year&gt;2010&lt;/year&gt;&lt;/dates&gt;&lt;urls&gt;&lt;/urls&gt;&lt;/record&gt;&lt;/Cite&gt;&lt;/EndNote&gt;</w:instrText>
      </w:r>
      <w:r w:rsidR="006B6617">
        <w:fldChar w:fldCharType="separate"/>
      </w:r>
      <w:r w:rsidR="008D2908">
        <w:rPr>
          <w:noProof/>
        </w:rPr>
        <w:t>(Potter and Disney, 2010)</w:t>
      </w:r>
      <w:r w:rsidR="006B6617">
        <w:fldChar w:fldCharType="end"/>
      </w:r>
      <w:r w:rsidR="001B55BE">
        <w:t xml:space="preserve">. </w:t>
      </w:r>
      <w:r w:rsidR="00BB3BBA">
        <w:t>In contrast, t</w:t>
      </w:r>
      <w:r w:rsidR="001B55BE">
        <w:t xml:space="preserve">he EWA policy increases the order quantity based on the expected </w:t>
      </w:r>
      <w:proofErr w:type="gramStart"/>
      <w:r w:rsidR="001B55BE">
        <w:t>amount</w:t>
      </w:r>
      <w:proofErr w:type="gramEnd"/>
      <w:r w:rsidR="001B55BE">
        <w:t xml:space="preserve"> of products outdating. </w:t>
      </w:r>
      <w:r w:rsidR="00376FAA">
        <w:t xml:space="preserve">Compared to the dynamic policy by </w:t>
      </w:r>
      <w:r w:rsidR="00596695">
        <w:fldChar w:fldCharType="begin"/>
      </w:r>
      <w:r w:rsidR="006B6617">
        <w:instrText xml:space="preserve"> ADDIN EN.CITE &lt;EndNote&gt;&lt;Cite AuthorYear="1"&gt;&lt;Author&gt;Minner&lt;/Author&gt;&lt;Year&gt;2010&lt;/Year&gt;&lt;RecNum&gt;720&lt;/RecNum&gt;&lt;DisplayText&gt;Minner and Transchel (2010)&lt;/DisplayText&gt;&lt;record&gt;&lt;rec-number&gt;720&lt;/rec-number&gt;&lt;foreign-keys&gt;&lt;key app="EN" db-id="ft9rwfe99vp0fnet259vr9wns25s05drxsd2" timestamp="1505816105"&gt;720&lt;/key&gt;&lt;key app="ENWeb" db-id=""&gt;0&lt;/key&gt;&lt;/foreign-keys&gt;&lt;ref-type name="Journal Article"&gt;17&lt;/ref-type&gt;&lt;contributors&gt;&lt;authors&gt;&lt;author&gt;Stefan Minner&lt;/author&gt;&lt;author&gt;Sandra Transchel &lt;/author&gt;&lt;/authors&gt;&lt;/contributors&gt;&lt;titles&gt;&lt;title&gt;Periodic review inventory-control for perishable products under service-level constraints&lt;/title&gt;&lt;secondary-title&gt;OR spectrum&lt;/secondary-title&gt;&lt;/titles&gt;&lt;periodical&gt;&lt;full-title&gt;Or Spectrum&lt;/full-title&gt;&lt;/periodical&gt;&lt;pages&gt;979-996&lt;/pages&gt;&lt;volume&gt;32&lt;/volume&gt;&lt;number&gt;4&lt;/number&gt;&lt;dates&gt;&lt;year&gt;2010&lt;/year&gt;&lt;/dates&gt;&lt;urls&gt;&lt;/urls&gt;&lt;/record&gt;&lt;/Cite&gt;&lt;/EndNote&gt;</w:instrText>
      </w:r>
      <w:r w:rsidR="00596695">
        <w:fldChar w:fldCharType="separate"/>
      </w:r>
      <w:r w:rsidR="00596695">
        <w:rPr>
          <w:noProof/>
        </w:rPr>
        <w:t>Minner and Transchel (2010)</w:t>
      </w:r>
      <w:r w:rsidR="00596695">
        <w:fldChar w:fldCharType="end"/>
      </w:r>
      <w:r w:rsidR="00596695">
        <w:t xml:space="preserve"> </w:t>
      </w:r>
      <w:r w:rsidR="00376FAA">
        <w:t xml:space="preserve">the EWA policy </w:t>
      </w:r>
      <w:r w:rsidR="00270C94">
        <w:t>also takes into account the batch size constraint between the warehouse and the stores.</w:t>
      </w:r>
      <w:r>
        <w:t xml:space="preserve"> </w:t>
      </w:r>
      <w:r w:rsidR="006B6CB8">
        <w:t xml:space="preserve">Mathematically, the EWA policy can be expressed as follows: </w:t>
      </w:r>
    </w:p>
    <w:p w14:paraId="6A53FE75" w14:textId="77777777" w:rsidR="00F66C0D" w:rsidRDefault="00F66C0D" w:rsidP="00982611">
      <w:pPr>
        <w:spacing w:line="480" w:lineRule="auto"/>
      </w:pPr>
    </w:p>
    <w:p w14:paraId="3355ADBD" w14:textId="77777777" w:rsidR="00F66C0D" w:rsidRPr="004D1784" w:rsidRDefault="00F66C0D" w:rsidP="00982611">
      <w:pPr>
        <w:spacing w:line="480" w:lineRule="auto"/>
      </w:pPr>
    </w:p>
    <w:p w14:paraId="6666C96A" w14:textId="519CABFA" w:rsidR="006B6CB8" w:rsidRPr="004D1784" w:rsidRDefault="006B6CB8" w:rsidP="00F66C0D">
      <w:pPr>
        <w:spacing w:before="240" w:after="240" w:line="480" w:lineRule="auto"/>
        <w:ind w:left="1531"/>
      </w:pPr>
      <m:oMath>
        <m:r>
          <w:rPr>
            <w:rFonts w:ascii="Cambria Math" w:hAnsi="Cambria Math"/>
          </w:rPr>
          <w:lastRenderedPageBreak/>
          <m:t xml:space="preserve">if: </m:t>
        </m:r>
        <m:sSub>
          <m:sSubPr>
            <m:ctrlPr>
              <w:rPr>
                <w:rFonts w:ascii="Cambria Math" w:hAnsi="Cambria Math"/>
                <w:i/>
              </w:rPr>
            </m:ctrlPr>
          </m:sSubPr>
          <m:e>
            <m:r>
              <w:rPr>
                <w:rFonts w:ascii="Cambria Math" w:hAnsi="Cambria Math"/>
              </w:rPr>
              <m:t>I</m:t>
            </m:r>
          </m:e>
          <m:sub>
            <m:r>
              <w:rPr>
                <w:rFonts w:ascii="Cambria Math" w:hAnsi="Cambria Math"/>
              </w:rPr>
              <m:t>t</m:t>
            </m:r>
          </m:sub>
        </m:sSub>
        <m:r>
          <w:rPr>
            <w:rFonts w:ascii="Cambria Math" w:hAnsi="Cambria Math"/>
          </w:rPr>
          <m:t>-</m:t>
        </m:r>
        <m:nary>
          <m:naryPr>
            <m:chr m:val="∑"/>
            <m:limLoc m:val="undOvr"/>
            <m:ctrlPr>
              <w:rPr>
                <w:rFonts w:ascii="Cambria Math" w:hAnsi="Cambria Math"/>
                <w:i/>
              </w:rPr>
            </m:ctrlPr>
          </m:naryPr>
          <m:sub>
            <m:r>
              <w:rPr>
                <w:rFonts w:ascii="Cambria Math" w:hAnsi="Cambria Math"/>
              </w:rPr>
              <m:t>i=t+1</m:t>
            </m:r>
          </m:sub>
          <m:sup>
            <m:r>
              <w:rPr>
                <w:rFonts w:ascii="Cambria Math" w:hAnsi="Cambria Math"/>
              </w:rPr>
              <m:t>t+R+L-1</m:t>
            </m:r>
          </m:sup>
          <m:e>
            <m:sSub>
              <m:sSubPr>
                <m:ctrlPr>
                  <w:rPr>
                    <w:rFonts w:ascii="Cambria Math" w:hAnsi="Cambria Math"/>
                    <w:i/>
                  </w:rPr>
                </m:ctrlPr>
              </m:sSubPr>
              <m:e>
                <m:r>
                  <w:rPr>
                    <w:rFonts w:ascii="Cambria Math" w:hAnsi="Cambria Math"/>
                  </w:rPr>
                  <m:t>Ô</m:t>
                </m:r>
              </m:e>
              <m:sub>
                <m:r>
                  <w:rPr>
                    <w:rFonts w:ascii="Cambria Math" w:hAnsi="Cambria Math"/>
                  </w:rPr>
                  <m:t>i</m:t>
                </m:r>
              </m:sub>
            </m:sSub>
          </m:e>
        </m:nary>
        <m:r>
          <w:rPr>
            <w:rFonts w:ascii="Cambria Math" w:hAnsi="Cambria Math"/>
          </w:rPr>
          <m:t>&lt;</m:t>
        </m:r>
        <m:nary>
          <m:naryPr>
            <m:chr m:val="∑"/>
            <m:limLoc m:val="undOvr"/>
            <m:ctrlPr>
              <w:rPr>
                <w:rFonts w:ascii="Cambria Math" w:hAnsi="Cambria Math"/>
                <w:i/>
              </w:rPr>
            </m:ctrlPr>
          </m:naryPr>
          <m:sub>
            <m:r>
              <w:rPr>
                <w:rFonts w:ascii="Cambria Math" w:hAnsi="Cambria Math"/>
              </w:rPr>
              <m:t>i=t+1</m:t>
            </m:r>
          </m:sub>
          <m:sup>
            <m:r>
              <w:rPr>
                <w:rFonts w:ascii="Cambria Math" w:hAnsi="Cambria Math"/>
              </w:rPr>
              <m:t>t+R+L</m:t>
            </m:r>
          </m:sup>
          <m:e>
            <m:r>
              <w:rPr>
                <w:rFonts w:ascii="Cambria Math" w:hAnsi="Cambria Math"/>
              </w:rPr>
              <m:t>E</m:t>
            </m:r>
            <m:d>
              <m:dPr>
                <m:begChr m:val="["/>
                <m:endChr m:val="]"/>
                <m:ctrlPr>
                  <w:rPr>
                    <w:rFonts w:ascii="Cambria Math" w:hAnsi="Cambria Math"/>
                    <w:i/>
                  </w:rPr>
                </m:ctrlPr>
              </m:dPr>
              <m:e>
                <m:r>
                  <w:rPr>
                    <w:rFonts w:ascii="Cambria Math" w:hAnsi="Cambria Math"/>
                  </w:rPr>
                  <m:t>D</m:t>
                </m:r>
              </m:e>
            </m:d>
          </m:e>
        </m:nary>
        <m:r>
          <w:rPr>
            <w:rFonts w:ascii="Cambria Math" w:hAnsi="Cambria Math"/>
          </w:rPr>
          <m:t xml:space="preserve">+SS   </m:t>
        </m:r>
        <m:r>
          <m:rPr>
            <m:sty m:val="p"/>
          </m:rPr>
          <w:rPr>
            <w:rFonts w:ascii="Cambria Math" w:hAnsi="Cambria Math"/>
          </w:rPr>
          <m:t>then:</m:t>
        </m:r>
        <m:r>
          <w:rPr>
            <w:rFonts w:ascii="Cambria Math" w:hAnsi="Cambria Math"/>
          </w:rPr>
          <m:t xml:space="preserve"> </m:t>
        </m:r>
      </m:oMath>
      <w:r>
        <w:tab/>
      </w:r>
    </w:p>
    <w:p w14:paraId="1049D80E" w14:textId="2BFFF971" w:rsidR="006B6CB8" w:rsidRPr="004D1784" w:rsidRDefault="00DF698C" w:rsidP="00F66C0D">
      <w:pPr>
        <w:spacing w:line="480" w:lineRule="auto"/>
        <w:ind w:left="1531"/>
      </w:pPr>
      <m:oMath>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i=t+1</m:t>
                    </m:r>
                  </m:sub>
                  <m:sup>
                    <m:r>
                      <w:rPr>
                        <w:rFonts w:ascii="Cambria Math" w:hAnsi="Cambria Math"/>
                      </w:rPr>
                      <m:t>t+R+L-1</m:t>
                    </m:r>
                  </m:sup>
                  <m:e>
                    <m:sSub>
                      <m:sSubPr>
                        <m:ctrlPr>
                          <w:rPr>
                            <w:rFonts w:ascii="Cambria Math" w:hAnsi="Cambria Math"/>
                            <w:i/>
                          </w:rPr>
                        </m:ctrlPr>
                      </m:sSubPr>
                      <m:e>
                        <m:r>
                          <w:rPr>
                            <w:rFonts w:ascii="Cambria Math" w:hAnsi="Cambria Math"/>
                          </w:rPr>
                          <m:t>Ô</m:t>
                        </m:r>
                      </m:e>
                      <m:sub>
                        <m:r>
                          <w:rPr>
                            <w:rFonts w:ascii="Cambria Math" w:hAnsi="Cambria Math"/>
                          </w:rPr>
                          <m:t>i</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i=t+1</m:t>
                    </m:r>
                  </m:sub>
                  <m:sup>
                    <m:r>
                      <w:rPr>
                        <w:rFonts w:ascii="Cambria Math" w:hAnsi="Cambria Math"/>
                      </w:rPr>
                      <m:t>t+R+L</m:t>
                    </m:r>
                  </m:sup>
                  <m:e>
                    <m:r>
                      <w:rPr>
                        <w:rFonts w:ascii="Cambria Math" w:hAnsi="Cambria Math"/>
                      </w:rPr>
                      <m:t>E</m:t>
                    </m:r>
                    <m:d>
                      <m:dPr>
                        <m:begChr m:val="["/>
                        <m:endChr m:val="]"/>
                        <m:ctrlPr>
                          <w:rPr>
                            <w:rFonts w:ascii="Cambria Math" w:hAnsi="Cambria Math"/>
                            <w:i/>
                          </w:rPr>
                        </m:ctrlPr>
                      </m:dPr>
                      <m:e>
                        <m:r>
                          <w:rPr>
                            <w:rFonts w:ascii="Cambria Math" w:hAnsi="Cambria Math"/>
                          </w:rPr>
                          <m:t>D</m:t>
                        </m:r>
                      </m:e>
                    </m:d>
                  </m:e>
                </m:nary>
                <m:r>
                  <w:rPr>
                    <w:rFonts w:ascii="Cambria Math" w:hAnsi="Cambria Math"/>
                  </w:rPr>
                  <m:t>+SS-</m:t>
                </m:r>
                <m:sSub>
                  <m:sSubPr>
                    <m:ctrlPr>
                      <w:rPr>
                        <w:rFonts w:ascii="Cambria Math" w:hAnsi="Cambria Math"/>
                        <w:i/>
                      </w:rPr>
                    </m:ctrlPr>
                  </m:sSubPr>
                  <m:e>
                    <m:r>
                      <w:rPr>
                        <w:rFonts w:ascii="Cambria Math" w:hAnsi="Cambria Math"/>
                      </w:rPr>
                      <m:t>I</m:t>
                    </m:r>
                  </m:e>
                  <m:sub>
                    <m:r>
                      <w:rPr>
                        <w:rFonts w:ascii="Cambria Math" w:hAnsi="Cambria Math"/>
                      </w:rPr>
                      <m:t>t</m:t>
                    </m:r>
                  </m:sub>
                </m:sSub>
              </m:num>
              <m:den>
                <m:r>
                  <w:rPr>
                    <w:rFonts w:ascii="Cambria Math" w:hAnsi="Cambria Math"/>
                  </w:rPr>
                  <m:t>B</m:t>
                </m:r>
              </m:den>
            </m:f>
          </m:e>
        </m:d>
      </m:oMath>
      <w:r w:rsidR="006B6CB8">
        <w:tab/>
      </w:r>
      <w:r w:rsidR="006B6CB8">
        <w:tab/>
      </w:r>
      <w:r w:rsidR="006B6CB8">
        <w:tab/>
      </w:r>
      <w:r w:rsidR="006B6CB8">
        <w:tab/>
        <w:t>(1)</w:t>
      </w:r>
    </w:p>
    <w:p w14:paraId="7BF23DD1" w14:textId="77777777" w:rsidR="006B6CB8" w:rsidRDefault="006B6CB8" w:rsidP="00982611">
      <w:pPr>
        <w:spacing w:line="480" w:lineRule="auto"/>
        <w:ind w:firstLine="0"/>
      </w:pPr>
      <w:r>
        <w:t>Where:</w:t>
      </w:r>
    </w:p>
    <w:p w14:paraId="173A65A0" w14:textId="262C2882" w:rsidR="006B6CB8" w:rsidRDefault="006B6CB8" w:rsidP="00F66C0D">
      <w:pPr>
        <w:spacing w:line="432" w:lineRule="auto"/>
      </w:pPr>
      <w:r w:rsidRPr="006C51FE">
        <w:rPr>
          <w:i/>
        </w:rPr>
        <w:t>I</w:t>
      </w:r>
      <w:r w:rsidRPr="006C51FE">
        <w:rPr>
          <w:i/>
          <w:vertAlign w:val="subscript"/>
        </w:rPr>
        <w:t>t</w:t>
      </w:r>
      <w:r>
        <w:t xml:space="preserve">: </w:t>
      </w:r>
      <w:r>
        <w:tab/>
      </w:r>
      <w:r w:rsidR="00270C94">
        <w:tab/>
      </w:r>
      <w:r>
        <w:t xml:space="preserve">inventory position (inventory on hand plus inventory in transit) at time t. </w:t>
      </w:r>
    </w:p>
    <w:p w14:paraId="365977C7" w14:textId="5F0D7F4E" w:rsidR="006B6CB8" w:rsidRDefault="006B6CB8" w:rsidP="00F66C0D">
      <w:pPr>
        <w:spacing w:line="432" w:lineRule="auto"/>
      </w:pPr>
      <w:r w:rsidRPr="006C51FE">
        <w:rPr>
          <w:i/>
        </w:rPr>
        <w:t>R</w:t>
      </w:r>
      <w:r>
        <w:t xml:space="preserve">: </w:t>
      </w:r>
      <w:r w:rsidR="00270C94">
        <w:tab/>
      </w:r>
      <w:r w:rsidR="00280B9F">
        <w:tab/>
      </w:r>
      <w:r>
        <w:t>n</w:t>
      </w:r>
      <w:r w:rsidR="00280B9F">
        <w:t>umber of days until next review</w:t>
      </w:r>
    </w:p>
    <w:p w14:paraId="2154E02A" w14:textId="23D9C36E" w:rsidR="006B6CB8" w:rsidRDefault="006B6CB8" w:rsidP="00F66C0D">
      <w:pPr>
        <w:spacing w:line="432" w:lineRule="auto"/>
      </w:pPr>
      <w:r w:rsidRPr="006C51FE">
        <w:rPr>
          <w:i/>
        </w:rPr>
        <w:t>L</w:t>
      </w:r>
      <w:r>
        <w:t xml:space="preserve">: </w:t>
      </w:r>
      <w:r>
        <w:tab/>
      </w:r>
      <w:r w:rsidR="00270C94">
        <w:tab/>
      </w:r>
      <w:r>
        <w:t xml:space="preserve">lead time </w:t>
      </w:r>
    </w:p>
    <w:p w14:paraId="36DE403E" w14:textId="2348F431" w:rsidR="00B41643" w:rsidRDefault="006B6CB8" w:rsidP="00F66C0D">
      <w:pPr>
        <w:spacing w:line="432" w:lineRule="auto"/>
      </w:pPr>
      <w:r>
        <w:rPr>
          <w:i/>
        </w:rPr>
        <w:t>E[D]</w:t>
      </w:r>
      <w:r>
        <w:t xml:space="preserve">: </w:t>
      </w:r>
      <w:r>
        <w:tab/>
        <w:t>expected demand</w:t>
      </w:r>
    </w:p>
    <w:p w14:paraId="3CEBA8BD" w14:textId="39D73A4C" w:rsidR="006B6CB8" w:rsidRDefault="006B6CB8" w:rsidP="00F66C0D">
      <w:pPr>
        <w:spacing w:line="432" w:lineRule="auto"/>
      </w:pPr>
      <w:r>
        <w:rPr>
          <w:i/>
        </w:rPr>
        <w:t>SS</w:t>
      </w:r>
      <w:r>
        <w:t xml:space="preserve">: </w:t>
      </w:r>
      <w:r>
        <w:tab/>
      </w:r>
      <w:r w:rsidR="00270C94">
        <w:tab/>
      </w:r>
      <w:r>
        <w:t xml:space="preserve">safety stock, </w:t>
      </w:r>
      <w:r w:rsidR="00270C94">
        <w:t>constant</w:t>
      </w:r>
      <w:r>
        <w:t xml:space="preserve"> </w:t>
      </w:r>
    </w:p>
    <w:p w14:paraId="37B52C68" w14:textId="10E45811" w:rsidR="006B6CB8" w:rsidRDefault="006B6CB8" w:rsidP="00F66C0D">
      <w:pPr>
        <w:spacing w:line="432" w:lineRule="auto"/>
        <w:rPr>
          <w:rFonts w:hAnsiTheme="minorHAnsi" w:cstheme="minorHAnsi"/>
        </w:rPr>
      </w:pPr>
      <w:r>
        <w:rPr>
          <w:rFonts w:hAnsiTheme="minorHAnsi" w:cstheme="minorHAnsi"/>
          <w:i/>
        </w:rPr>
        <w:t>B</w:t>
      </w:r>
      <w:r>
        <w:rPr>
          <w:rFonts w:hAnsiTheme="minorHAnsi" w:cstheme="minorHAnsi"/>
        </w:rPr>
        <w:t xml:space="preserve">: </w:t>
      </w:r>
      <w:r>
        <w:rPr>
          <w:rFonts w:hAnsiTheme="minorHAnsi" w:cstheme="minorHAnsi"/>
        </w:rPr>
        <w:tab/>
      </w:r>
      <w:r w:rsidR="00270C94">
        <w:rPr>
          <w:rFonts w:hAnsiTheme="minorHAnsi" w:cstheme="minorHAnsi"/>
        </w:rPr>
        <w:tab/>
      </w:r>
      <w:r w:rsidRPr="006C51FE">
        <w:rPr>
          <w:rFonts w:hAnsiTheme="minorHAnsi" w:cstheme="minorHAnsi"/>
        </w:rPr>
        <w:t>batch size</w:t>
      </w:r>
      <w:r>
        <w:rPr>
          <w:rFonts w:hAnsiTheme="minorHAnsi" w:cstheme="minorHAnsi"/>
        </w:rPr>
        <w:t xml:space="preserve"> (order multiplier between the store and the warehouse)</w:t>
      </w:r>
    </w:p>
    <w:p w14:paraId="3C757224" w14:textId="23135194" w:rsidR="006B6CB8" w:rsidRPr="006C51FE" w:rsidRDefault="006B6CB8" w:rsidP="00F66C0D">
      <w:pPr>
        <w:spacing w:line="432" w:lineRule="auto"/>
        <w:rPr>
          <w:rFonts w:hAnsiTheme="minorHAnsi" w:cstheme="minorHAnsi"/>
        </w:rPr>
      </w:pPr>
      <w:proofErr w:type="spellStart"/>
      <w:r>
        <w:rPr>
          <w:rFonts w:hAnsiTheme="minorHAnsi" w:cstheme="minorHAnsi"/>
          <w:i/>
        </w:rPr>
        <w:t>Q</w:t>
      </w:r>
      <w:r w:rsidRPr="00E14BEE">
        <w:rPr>
          <w:rFonts w:hAnsiTheme="minorHAnsi" w:cstheme="minorHAnsi"/>
          <w:i/>
          <w:vertAlign w:val="subscript"/>
        </w:rPr>
        <w:t>t</w:t>
      </w:r>
      <w:proofErr w:type="spellEnd"/>
      <w:r>
        <w:rPr>
          <w:rFonts w:hAnsiTheme="minorHAnsi" w:cstheme="minorHAnsi"/>
        </w:rPr>
        <w:t>:</w:t>
      </w:r>
      <w:r>
        <w:rPr>
          <w:rFonts w:hAnsiTheme="minorHAnsi" w:cstheme="minorHAnsi"/>
        </w:rPr>
        <w:tab/>
      </w:r>
      <w:r w:rsidR="00270C94">
        <w:rPr>
          <w:rFonts w:hAnsiTheme="minorHAnsi" w:cstheme="minorHAnsi"/>
        </w:rPr>
        <w:tab/>
      </w:r>
      <w:r>
        <w:rPr>
          <w:rFonts w:hAnsiTheme="minorHAnsi" w:cstheme="minorHAnsi"/>
        </w:rPr>
        <w:t>order quantity (number of batches) ordered at time t</w:t>
      </w:r>
    </w:p>
    <w:p w14:paraId="00A89930" w14:textId="372D6698" w:rsidR="006B6CB8" w:rsidRPr="00460D32" w:rsidRDefault="006B6CB8" w:rsidP="00F66C0D">
      <w:pPr>
        <w:spacing w:after="240" w:line="432" w:lineRule="auto"/>
        <w:rPr>
          <w:rFonts w:hAnsiTheme="minorHAnsi" w:cstheme="minorHAnsi"/>
        </w:rPr>
      </w:pPr>
      <w:proofErr w:type="spellStart"/>
      <w:r w:rsidRPr="006C51FE">
        <w:rPr>
          <w:rFonts w:hAnsiTheme="minorHAnsi" w:cstheme="minorHAnsi"/>
          <w:i/>
        </w:rPr>
        <w:t>Ô</w:t>
      </w:r>
      <w:r>
        <w:rPr>
          <w:rFonts w:hAnsiTheme="minorHAnsi" w:cstheme="minorHAnsi"/>
          <w:i/>
          <w:vertAlign w:val="subscript"/>
        </w:rPr>
        <w:t>i</w:t>
      </w:r>
      <w:proofErr w:type="spellEnd"/>
      <w:r>
        <w:rPr>
          <w:rFonts w:hAnsiTheme="minorHAnsi" w:cstheme="minorHAnsi"/>
        </w:rPr>
        <w:t xml:space="preserve">: </w:t>
      </w:r>
      <w:r>
        <w:rPr>
          <w:rFonts w:hAnsiTheme="minorHAnsi" w:cstheme="minorHAnsi"/>
        </w:rPr>
        <w:tab/>
      </w:r>
      <w:r w:rsidR="00270C94">
        <w:rPr>
          <w:rFonts w:hAnsiTheme="minorHAnsi" w:cstheme="minorHAnsi"/>
        </w:rPr>
        <w:tab/>
      </w:r>
      <w:r>
        <w:rPr>
          <w:rFonts w:hAnsiTheme="minorHAnsi" w:cstheme="minorHAnsi"/>
        </w:rPr>
        <w:t xml:space="preserve">estimated </w:t>
      </w:r>
      <w:proofErr w:type="gramStart"/>
      <w:r>
        <w:rPr>
          <w:rFonts w:hAnsiTheme="minorHAnsi" w:cstheme="minorHAnsi"/>
        </w:rPr>
        <w:t>a</w:t>
      </w:r>
      <w:r w:rsidRPr="006C51FE">
        <w:rPr>
          <w:rFonts w:hAnsiTheme="minorHAnsi" w:cstheme="minorHAnsi"/>
        </w:rPr>
        <w:t>mount</w:t>
      </w:r>
      <w:proofErr w:type="gramEnd"/>
      <w:r w:rsidRPr="006C51FE">
        <w:rPr>
          <w:rFonts w:hAnsiTheme="minorHAnsi" w:cstheme="minorHAnsi"/>
        </w:rPr>
        <w:t xml:space="preserve"> of products outdating</w:t>
      </w:r>
    </w:p>
    <w:p w14:paraId="5523C28B" w14:textId="287ADFC6" w:rsidR="009B0B22" w:rsidRDefault="007C122D" w:rsidP="00982611">
      <w:pPr>
        <w:spacing w:line="480" w:lineRule="auto"/>
        <w:ind w:firstLine="0"/>
      </w:pPr>
      <w:r>
        <w:t>T</w:t>
      </w:r>
      <w:r w:rsidR="00270C94">
        <w:t xml:space="preserve">he difference between the base stock policy and the EWA policy is the inclusion of an estimate for the </w:t>
      </w:r>
      <w:proofErr w:type="gramStart"/>
      <w:r w:rsidR="00270C94">
        <w:t>amount</w:t>
      </w:r>
      <w:proofErr w:type="gramEnd"/>
      <w:r w:rsidR="00270C94">
        <w:t xml:space="preserve"> of products outdating, </w:t>
      </w:r>
      <w:r w:rsidR="00270C94" w:rsidRPr="00270C94">
        <w:rPr>
          <w:i/>
        </w:rPr>
        <w:t>Ô</w:t>
      </w:r>
      <w:r w:rsidR="00270C94">
        <w:t xml:space="preserve">. If the inventory position, </w:t>
      </w:r>
      <w:r w:rsidR="00270C94">
        <w:rPr>
          <w:i/>
        </w:rPr>
        <w:t>I</w:t>
      </w:r>
      <w:r w:rsidR="00270C94">
        <w:t xml:space="preserve">, minus the expected amount of products outdating is less than the expected demand plus safety stock an order is placed. The order quantity is equal to </w:t>
      </w:r>
      <w:r w:rsidR="002F2F2D">
        <w:t>the estimated amount outdating plus expected demand plus</w:t>
      </w:r>
      <w:r w:rsidR="00270C94">
        <w:t xml:space="preserve"> safety stock </w:t>
      </w:r>
      <w:r w:rsidR="002F2F2D">
        <w:t>minus</w:t>
      </w:r>
      <w:r w:rsidR="00270C94">
        <w:t xml:space="preserve"> current inventory position</w:t>
      </w:r>
      <w:r w:rsidR="00B34D85">
        <w:t xml:space="preserve">, subjected to the batch size. </w:t>
      </w:r>
      <w:r w:rsidR="00270C94">
        <w:t xml:space="preserve"> </w:t>
      </w:r>
    </w:p>
    <w:p w14:paraId="2306F4D1" w14:textId="14C40412" w:rsidR="008A4536" w:rsidRPr="00526A9A" w:rsidRDefault="00DB090E" w:rsidP="00982611">
      <w:pPr>
        <w:spacing w:line="480" w:lineRule="auto"/>
      </w:pPr>
      <w:r>
        <w:t>Another</w:t>
      </w:r>
      <w:r w:rsidR="007E4C28">
        <w:t>,</w:t>
      </w:r>
      <w:r>
        <w:t xml:space="preserve"> </w:t>
      </w:r>
      <w:r w:rsidR="005C19A0">
        <w:t>but similar</w:t>
      </w:r>
      <w:r w:rsidR="007E4C28">
        <w:t>,</w:t>
      </w:r>
      <w:r w:rsidR="005C19A0">
        <w:t xml:space="preserve"> </w:t>
      </w:r>
      <w:r>
        <w:t>approach is t</w:t>
      </w:r>
      <w:r w:rsidR="00B34D85">
        <w:t xml:space="preserve">he old inventory ratio policy </w:t>
      </w:r>
      <w:r w:rsidR="004F67EE">
        <w:t xml:space="preserve">which determines the </w:t>
      </w:r>
      <w:r w:rsidR="002F2F2D">
        <w:t>order quantity in a two-step procedure</w:t>
      </w:r>
      <w:r w:rsidR="007E4C28">
        <w:t xml:space="preserve"> </w:t>
      </w:r>
      <w:r w:rsidR="00596695">
        <w:fldChar w:fldCharType="begin"/>
      </w:r>
      <w:r w:rsidR="008D2908">
        <w:instrText xml:space="preserve"> ADDIN EN.CITE &lt;EndNote&gt;&lt;Cite&gt;&lt;Author&gt;Duan&lt;/Author&gt;&lt;Year&gt;2013&lt;/Year&gt;&lt;RecNum&gt;558&lt;/RecNum&gt;&lt;DisplayText&gt;(Duan and Liao, 2013)&lt;/DisplayText&gt;&lt;record&gt;&lt;rec-number&gt;558&lt;/rec-number&gt;&lt;foreign-keys&gt;&lt;key app="EN" db-id="ft9rwfe99vp0fnet259vr9wns25s05drxsd2" timestamp="1471420392"&gt;558&lt;/key&gt;&lt;key app="ENWeb" db-id=""&gt;0&lt;/key&gt;&lt;/foreign-keys&gt;&lt;ref-type name="Journal Article"&gt;17&lt;/ref-type&gt;&lt;contributors&gt;&lt;authors&gt;&lt;author&gt;Duan, Qinglin&lt;/author&gt;&lt;author&gt;Liao, T Warren&lt;/author&gt;&lt;/authors&gt;&lt;/contributors&gt;&lt;titles&gt;&lt;title&gt;A new age-based replenishment policy for supply chain inventory optimization of highly perishable products&lt;/title&gt;&lt;secondary-title&gt;International Journal of Production Economics&lt;/secondary-title&gt;&lt;/titles&gt;&lt;periodical&gt;&lt;full-title&gt;International Journal of Production Economics&lt;/full-title&gt;&lt;/periodical&gt;&lt;pages&gt;658-671&lt;/pages&gt;&lt;volume&gt;145&lt;/volume&gt;&lt;number&gt;2&lt;/number&gt;&lt;dates&gt;&lt;year&gt;2013&lt;/year&gt;&lt;/dates&gt;&lt;isbn&gt;0925-5273&lt;/isbn&gt;&lt;urls&gt;&lt;/urls&gt;&lt;/record&gt;&lt;/Cite&gt;&lt;/EndNote&gt;</w:instrText>
      </w:r>
      <w:r w:rsidR="00596695">
        <w:fldChar w:fldCharType="separate"/>
      </w:r>
      <w:r w:rsidR="008D2908">
        <w:rPr>
          <w:noProof/>
        </w:rPr>
        <w:t>(Duan and Liao, 2013)</w:t>
      </w:r>
      <w:r w:rsidR="00596695">
        <w:fldChar w:fldCharType="end"/>
      </w:r>
      <w:r w:rsidR="002F2F2D">
        <w:t>. First, the inventory position is raised following a base-stock policy. Second, if the ratio between the old (the</w:t>
      </w:r>
      <w:r w:rsidR="00B774AE">
        <w:t xml:space="preserve"> assessment of when inventory is old is subjective</w:t>
      </w:r>
      <w:r w:rsidR="002F2F2D">
        <w:t xml:space="preserve">) and the total inventory on hand exceeds a given threshold, </w:t>
      </w:r>
      <w:r w:rsidR="002F2F2D" w:rsidRPr="002F2F2D">
        <w:rPr>
          <w:i/>
        </w:rPr>
        <w:sym w:font="Symbol" w:char="F064"/>
      </w:r>
      <w:r w:rsidR="002F2F2D">
        <w:t xml:space="preserve">, an additional replenishment quantity – equal to the amount of old inventory – is ordered.  </w:t>
      </w:r>
    </w:p>
    <w:p w14:paraId="416468AE" w14:textId="78F70053" w:rsidR="00526A9A" w:rsidRDefault="00BC0C03" w:rsidP="00F66C0D">
      <w:pPr>
        <w:spacing w:line="480" w:lineRule="auto"/>
      </w:pPr>
      <w:r>
        <w:t>A</w:t>
      </w:r>
      <w:r w:rsidR="009F0BB0">
        <w:t xml:space="preserve"> simulation study, which evaluated six different replenishment policies found the EWA policy to be the best performing periodic review policy for perishables </w:t>
      </w:r>
      <w:r w:rsidR="00596695">
        <w:fldChar w:fldCharType="begin"/>
      </w:r>
      <w:r w:rsidR="008D2908">
        <w:instrText xml:space="preserve"> ADDIN EN.CITE &lt;EndNote&gt;&lt;Cite&gt;&lt;Author&gt;Lowalekar&lt;/Author&gt;&lt;Year&gt;2015&lt;/Year&gt;&lt;RecNum&gt;623&lt;/RecNum&gt;&lt;DisplayText&gt;(Lowalekar and Ravichandran, 2015)&lt;/DisplayText&gt;&lt;record&gt;&lt;rec-number&gt;623&lt;/rec-number&gt;&lt;foreign-keys&gt;&lt;key app="EN" db-id="ft9rwfe99vp0fnet259vr9wns25s05drxsd2" timestamp="1485262258"&gt;623&lt;/key&gt;&lt;key app="ENWeb" db-id=""&gt;0&lt;/key&gt;&lt;/foreign-keys&gt;&lt;ref-type name="Journal Article"&gt;17&lt;/ref-type&gt;&lt;contributors&gt;&lt;authors&gt;&lt;author&gt;Lowalekar, Harshal&lt;/author&gt;&lt;author&gt;Ravichandran, N&lt;/author&gt;&lt;/authors&gt;&lt;/contributors&gt;&lt;titles&gt;&lt;title&gt;A combined age</w:instrText>
      </w:r>
      <w:r w:rsidR="008D2908">
        <w:rPr>
          <w:rFonts w:ascii="Cambria Math" w:hAnsi="Cambria Math" w:cs="Cambria Math"/>
        </w:rPr>
        <w:instrText>‐</w:instrText>
      </w:r>
      <w:r w:rsidR="008D2908">
        <w:instrText>and</w:instrText>
      </w:r>
      <w:r w:rsidR="008D2908">
        <w:rPr>
          <w:rFonts w:ascii="Cambria Math" w:hAnsi="Cambria Math" w:cs="Cambria Math"/>
        </w:rPr>
        <w:instrText>‐</w:instrText>
      </w:r>
      <w:r w:rsidR="008D2908">
        <w:instrText>stock</w:instrText>
      </w:r>
      <w:r w:rsidR="008D2908">
        <w:rPr>
          <w:rFonts w:ascii="Cambria Math" w:hAnsi="Cambria Math" w:cs="Cambria Math"/>
        </w:rPr>
        <w:instrText>‐</w:instrText>
      </w:r>
      <w:r w:rsidR="008D2908">
        <w:instrText>based policy for ordering blood units in hospital blood banks&lt;/title&gt;&lt;secondary-title&gt;International Transactions in Operational Research&lt;/secondary-title&gt;&lt;/titles&gt;&lt;periodical&gt;&lt;full-title&gt;International Transactions in Operational Research&lt;/full-title&gt;&lt;/periodical&gt;&lt;dates&gt;&lt;year&gt;2015&lt;/year&gt;&lt;/dates&gt;&lt;isbn&gt;1475-3995&lt;/isbn&gt;&lt;urls&gt;&lt;/urls&gt;&lt;/record&gt;&lt;/Cite&gt;&lt;/EndNote&gt;</w:instrText>
      </w:r>
      <w:r w:rsidR="00596695">
        <w:fldChar w:fldCharType="separate"/>
      </w:r>
      <w:r w:rsidR="008D2908">
        <w:rPr>
          <w:noProof/>
        </w:rPr>
        <w:t>(Lowalekar and Ravichandran, 2015)</w:t>
      </w:r>
      <w:r w:rsidR="00596695">
        <w:fldChar w:fldCharType="end"/>
      </w:r>
      <w:r w:rsidR="009F0BB0">
        <w:t xml:space="preserve">. However, as pointed out by </w:t>
      </w:r>
      <w:r w:rsidR="00596695">
        <w:fldChar w:fldCharType="begin"/>
      </w:r>
      <w:r w:rsidR="006B6617">
        <w:instrText xml:space="preserve"> ADDIN EN.CITE &lt;EndNote&gt;&lt;Cite AuthorYear="1"&gt;&lt;Author&gt;Minner&lt;/Author&gt;&lt;Year&gt;2010&lt;/Year&gt;&lt;RecNum&gt;720&lt;/RecNum&gt;&lt;DisplayText&gt;Minner and Transchel (2010)&lt;/DisplayText&gt;&lt;record&gt;&lt;rec-number&gt;720&lt;/rec-number&gt;&lt;foreign-keys&gt;&lt;key app="EN" db-id="ft9rwfe99vp0fnet259vr9wns25s05drxsd2" timestamp="1505816105"&gt;720&lt;/key&gt;&lt;key app="ENWeb" db-id=""&gt;0&lt;/key&gt;&lt;/foreign-keys&gt;&lt;ref-type name="Journal Article"&gt;17&lt;/ref-type&gt;&lt;contributors&gt;&lt;authors&gt;&lt;author&gt;Stefan Minner&lt;/author&gt;&lt;author&gt;Sandra Transchel &lt;/author&gt;&lt;/authors&gt;&lt;/contributors&gt;&lt;titles&gt;&lt;title&gt;Periodic review inventory-control for perishable products under service-level constraints&lt;/title&gt;&lt;secondary-title&gt;OR spectrum&lt;/secondary-title&gt;&lt;/titles&gt;&lt;periodical&gt;&lt;full-title&gt;Or Spectrum&lt;/full-title&gt;&lt;/periodical&gt;&lt;pages&gt;979-996&lt;/pages&gt;&lt;volume&gt;32&lt;/volume&gt;&lt;number&gt;4&lt;/number&gt;&lt;dates&gt;&lt;year&gt;2010&lt;/year&gt;&lt;/dates&gt;&lt;urls&gt;&lt;/urls&gt;&lt;/record&gt;&lt;/Cite&gt;&lt;/EndNote&gt;</w:instrText>
      </w:r>
      <w:r w:rsidR="00596695">
        <w:fldChar w:fldCharType="separate"/>
      </w:r>
      <w:r w:rsidR="00596695">
        <w:rPr>
          <w:noProof/>
        </w:rPr>
        <w:t>Minner and Transchel (2010)</w:t>
      </w:r>
      <w:r w:rsidR="00596695">
        <w:fldChar w:fldCharType="end"/>
      </w:r>
      <w:r w:rsidR="009F0BB0">
        <w:t xml:space="preserve"> the EWA policy applies a constant safety stock which might not by adequate if demand is non-stationary. Determining the right safety stock levels has been shown to be </w:t>
      </w:r>
      <w:r w:rsidR="009F0BB0">
        <w:lastRenderedPageBreak/>
        <w:t xml:space="preserve">rather complicated and easily ends with an </w:t>
      </w:r>
      <w:r w:rsidR="000B5B33">
        <w:t>oversupply</w:t>
      </w:r>
      <w:r w:rsidR="009F0BB0">
        <w:t xml:space="preserve"> </w:t>
      </w:r>
      <w:r w:rsidR="00596695">
        <w:fldChar w:fldCharType="begin"/>
      </w:r>
      <w:r w:rsidR="008D2908">
        <w:instrText xml:space="preserve"> ADDIN EN.CITE &lt;EndNote&gt;&lt;Cite&gt;&lt;Author&gt;Van Donselaar&lt;/Author&gt;&lt;Year&gt;2012&lt;/Year&gt;&lt;RecNum&gt;639&lt;/RecNum&gt;&lt;DisplayText&gt;(Van Donselaar and Broekmeulen, 2012)&lt;/DisplayText&gt;&lt;record&gt;&lt;rec-number&gt;639&lt;/rec-number&gt;&lt;foreign-keys&gt;&lt;key app="EN" db-id="ft9rwfe99vp0fnet259vr9wns25s05drxsd2" timestamp="1495552696"&gt;639&lt;/key&gt;&lt;key app="ENWeb" db-id=""&gt;0&lt;/key&gt;&lt;/foreign-keys&gt;&lt;ref-type name="Journal Article"&gt;17&lt;/ref-type&gt;&lt;contributors&gt;&lt;authors&gt;&lt;author&gt;Van Donselaar, Karel H&lt;/author&gt;&lt;author&gt;Broekmeulen, Rob ACM&lt;/author&gt;&lt;/authors&gt;&lt;/contributors&gt;&lt;titles&gt;&lt;title&gt;Approximations for the relative outdating of perishable products by combining stochastic modeling, simulation and regression modeling&lt;/title&gt;&lt;secondary-title&gt;International Journal of Production Economics&lt;/secondary-title&gt;&lt;/titles&gt;&lt;periodical&gt;&lt;full-title&gt;International Journal of Production Economics&lt;/full-title&gt;&lt;/periodical&gt;&lt;pages&gt;660-669&lt;/pages&gt;&lt;volume&gt;140&lt;/volume&gt;&lt;number&gt;2&lt;/number&gt;&lt;dates&gt;&lt;year&gt;2012&lt;/year&gt;&lt;/dates&gt;&lt;isbn&gt;0925-5273&lt;/isbn&gt;&lt;urls&gt;&lt;/urls&gt;&lt;/record&gt;&lt;/Cite&gt;&lt;/EndNote&gt;</w:instrText>
      </w:r>
      <w:r w:rsidR="00596695">
        <w:fldChar w:fldCharType="separate"/>
      </w:r>
      <w:r w:rsidR="008D2908">
        <w:rPr>
          <w:noProof/>
        </w:rPr>
        <w:t>(Van Donselaar and Broekmeulen, 2012)</w:t>
      </w:r>
      <w:r w:rsidR="00596695">
        <w:fldChar w:fldCharType="end"/>
      </w:r>
      <w:r w:rsidR="009F0BB0">
        <w:t xml:space="preserve">. </w:t>
      </w:r>
      <w:r w:rsidR="00B774AE">
        <w:t xml:space="preserve"> Base</w:t>
      </w:r>
      <w:r w:rsidR="007C122D">
        <w:t>d</w:t>
      </w:r>
      <w:r w:rsidR="00B774AE">
        <w:t xml:space="preserve"> on the above studies the EWA policy is selected for this study, but to account for </w:t>
      </w:r>
      <w:r w:rsidR="009F0BB0">
        <w:t>deficiencies</w:t>
      </w:r>
      <w:r w:rsidR="007C122D">
        <w:t xml:space="preserve"> i</w:t>
      </w:r>
      <w:r w:rsidR="00B774AE">
        <w:t>n safety stock calculations</w:t>
      </w:r>
      <w:r w:rsidR="009F0BB0">
        <w:t xml:space="preserve"> </w:t>
      </w:r>
      <w:r w:rsidR="00993428">
        <w:t xml:space="preserve">a modification </w:t>
      </w:r>
      <w:r w:rsidR="009F0BB0">
        <w:t>to the EWA policy is proposed in the following section.</w:t>
      </w:r>
    </w:p>
    <w:p w14:paraId="0EA48FD7" w14:textId="77777777" w:rsidR="00982611" w:rsidRPr="00526A9A" w:rsidRDefault="00982611" w:rsidP="00982611">
      <w:pPr>
        <w:spacing w:line="480" w:lineRule="auto"/>
      </w:pPr>
    </w:p>
    <w:p w14:paraId="23FAF401" w14:textId="2CE4FA74" w:rsidR="001F6DDF" w:rsidRDefault="00A37D2B" w:rsidP="00982611">
      <w:pPr>
        <w:pStyle w:val="Heading1"/>
        <w:spacing w:line="480" w:lineRule="auto"/>
      </w:pPr>
      <w:r>
        <w:t>Development of Modified EWA Policy</w:t>
      </w:r>
    </w:p>
    <w:p w14:paraId="6755AE6C" w14:textId="5A48CA38" w:rsidR="00F30C3B" w:rsidRDefault="002C78D8" w:rsidP="00982611">
      <w:pPr>
        <w:spacing w:line="480" w:lineRule="auto"/>
        <w:ind w:firstLine="0"/>
      </w:pPr>
      <w:r w:rsidRPr="004A4C9B">
        <w:t xml:space="preserve">As observed by </w:t>
      </w:r>
      <w:r w:rsidR="00596695">
        <w:fldChar w:fldCharType="begin"/>
      </w:r>
      <w:r w:rsidR="00737240">
        <w:instrText xml:space="preserve"> ADDIN EN.CITE &lt;EndNote&gt;&lt;Cite AuthorYear="1"&gt;&lt;Author&gt;Van Donselaar&lt;/Author&gt;&lt;Year&gt;2012&lt;/Year&gt;&lt;RecNum&gt;639&lt;/RecNum&gt;&lt;DisplayText&gt;Van Donselaar and Broekmeulen (2012)&lt;/DisplayText&gt;&lt;record&gt;&lt;rec-number&gt;639&lt;/rec-number&gt;&lt;foreign-keys&gt;&lt;key app="EN" db-id="ft9rwfe99vp0fnet259vr9wns25s05drxsd2" timestamp="1495552696"&gt;639&lt;/key&gt;&lt;key app="ENWeb" db-id=""&gt;0&lt;/key&gt;&lt;/foreign-keys&gt;&lt;ref-type name="Journal Article"&gt;17&lt;/ref-type&gt;&lt;contributors&gt;&lt;authors&gt;&lt;author&gt;Van Donselaar, Karel H&lt;/author&gt;&lt;author&gt;Broekmeulen, Rob ACM&lt;/author&gt;&lt;/authors&gt;&lt;/contributors&gt;&lt;titles&gt;&lt;title&gt;Approximations for the relative outdating of perishable products by combining stochastic modeling, simulation and regression modeling&lt;/title&gt;&lt;secondary-title&gt;International Journal of Production Economics&lt;/secondary-title&gt;&lt;/titles&gt;&lt;periodical&gt;&lt;full-title&gt;International Journal of Production Economics&lt;/full-title&gt;&lt;/periodical&gt;&lt;pages&gt;660-669&lt;/pages&gt;&lt;volume&gt;140&lt;/volume&gt;&lt;number&gt;2&lt;/number&gt;&lt;dates&gt;&lt;year&gt;2012&lt;/year&gt;&lt;/dates&gt;&lt;isbn&gt;0925-5273&lt;/isbn&gt;&lt;urls&gt;&lt;/urls&gt;&lt;/record&gt;&lt;/Cite&gt;&lt;/EndNote&gt;</w:instrText>
      </w:r>
      <w:r w:rsidR="00596695">
        <w:fldChar w:fldCharType="separate"/>
      </w:r>
      <w:r w:rsidR="00737240">
        <w:rPr>
          <w:noProof/>
        </w:rPr>
        <w:t>Van Donselaar and Broekmeulen (2012)</w:t>
      </w:r>
      <w:r w:rsidR="00596695">
        <w:fldChar w:fldCharType="end"/>
      </w:r>
      <w:r w:rsidR="00596695">
        <w:t xml:space="preserve"> </w:t>
      </w:r>
      <w:r w:rsidRPr="004A4C9B">
        <w:t>the order quantity proposed by the EWA policy may be too high in some cases due to how safety stocks are included in the policy. Generally, for products with a short shelf life the EWA p</w:t>
      </w:r>
      <w:r>
        <w:t xml:space="preserve">olicy will place orders earlier </w:t>
      </w:r>
      <w:r w:rsidRPr="004A4C9B">
        <w:t>than a base stock policy to account for the products that outdate. Consequently, if orders are placed earlier and the same safety stock levels are kept (as if a base stock policy was used) we risk having too many products with a limited RSL on inventory. This will result in a ve</w:t>
      </w:r>
      <w:r>
        <w:t>ry high service level but also increase the risk of</w:t>
      </w:r>
      <w:r w:rsidRPr="004A4C9B">
        <w:t xml:space="preserve"> products </w:t>
      </w:r>
      <w:r>
        <w:t>outdating</w:t>
      </w:r>
      <w:r w:rsidRPr="004A4C9B">
        <w:t xml:space="preserve">. </w:t>
      </w:r>
      <w:r w:rsidR="00DD05C0">
        <w:t>A</w:t>
      </w:r>
      <w:r w:rsidRPr="004A4C9B">
        <w:t xml:space="preserve">s the </w:t>
      </w:r>
      <w:r w:rsidR="00D028AF">
        <w:t xml:space="preserve">predetermined </w:t>
      </w:r>
      <w:r w:rsidRPr="004A4C9B">
        <w:t xml:space="preserve">shelf life of the product increases (say, above 15 days) the risk that products outdate on the shelf may decrease. </w:t>
      </w:r>
      <w:r w:rsidR="00D028AF">
        <w:t>And</w:t>
      </w:r>
      <w:r w:rsidRPr="004A4C9B">
        <w:t xml:space="preserve">, as the number of products which outdate approaches zero, the EWA policy becomes equal to a normal base stock policy </w:t>
      </w:r>
      <w:r w:rsidR="00596695">
        <w:fldChar w:fldCharType="begin"/>
      </w:r>
      <w:r w:rsidR="008D2908">
        <w:instrText xml:space="preserve"> ADDIN EN.CITE &lt;EndNote&gt;&lt;Cite&gt;&lt;Author&gt;Broekmeulen&lt;/Author&gt;&lt;Year&gt;2009&lt;/Year&gt;&lt;RecNum&gt;493&lt;/RecNum&gt;&lt;DisplayText&gt;(Broekmeulen and van Donselaar, 2009)&lt;/DisplayText&gt;&lt;record&gt;&lt;rec-number&gt;493&lt;/rec-number&gt;&lt;foreign-keys&gt;&lt;key app="EN" db-id="ft9rwfe99vp0fnet259vr9wns25s05drxsd2" timestamp="1467973300"&gt;493&lt;/key&gt;&lt;key app="ENWeb" db-id=""&gt;0&lt;/key&gt;&lt;/foreign-keys&gt;&lt;ref-type name="Journal Article"&gt;17&lt;/ref-type&gt;&lt;contributors&gt;&lt;authors&gt;&lt;author&gt;Broekmeulen, Rob ACM&lt;/author&gt;&lt;author&gt;van Donselaar, Karel H&lt;/author&gt;&lt;/authors&gt;&lt;/contributors&gt;&lt;titles&gt;&lt;title&gt;A heuristic to manage perishable inventory with batch ordering, positive lead-times, and time-varying demand&lt;/title&gt;&lt;secondary-title&gt;Computers &amp;amp; Operations Research&lt;/secondary-title&gt;&lt;/titles&gt;&lt;periodical&gt;&lt;full-title&gt;Computers &amp;amp; Operations Research&lt;/full-title&gt;&lt;/periodical&gt;&lt;pages&gt;3013-3018&lt;/pages&gt;&lt;volume&gt;36&lt;/volume&gt;&lt;number&gt;11&lt;/number&gt;&lt;dates&gt;&lt;year&gt;2009&lt;/year&gt;&lt;/dates&gt;&lt;isbn&gt;0305-0548&lt;/isbn&gt;&lt;urls&gt;&lt;/urls&gt;&lt;/record&gt;&lt;/Cite&gt;&lt;/EndNote&gt;</w:instrText>
      </w:r>
      <w:r w:rsidR="00596695">
        <w:fldChar w:fldCharType="separate"/>
      </w:r>
      <w:r w:rsidR="008D2908">
        <w:rPr>
          <w:noProof/>
        </w:rPr>
        <w:t>(Broekmeulen and van Donselaar, 2009)</w:t>
      </w:r>
      <w:r w:rsidR="00596695">
        <w:fldChar w:fldCharType="end"/>
      </w:r>
      <w:r w:rsidRPr="004A4C9B">
        <w:t>.</w:t>
      </w:r>
      <w:r>
        <w:t xml:space="preserve"> </w:t>
      </w:r>
      <w:r w:rsidR="00F30C3B">
        <w:t>Therefore, to</w:t>
      </w:r>
      <w:r>
        <w:t xml:space="preserve"> make a better balance and not just add to the order if there is a high number </w:t>
      </w:r>
      <w:proofErr w:type="gramStart"/>
      <w:r>
        <w:t>a products</w:t>
      </w:r>
      <w:proofErr w:type="gramEnd"/>
      <w:r>
        <w:t xml:space="preserve"> outdating </w:t>
      </w:r>
      <w:r w:rsidR="00F30C3B">
        <w:t>it is proposed to s</w:t>
      </w:r>
      <w:r w:rsidR="008305F2">
        <w:t>lightly modify the EWA policy.</w:t>
      </w:r>
    </w:p>
    <w:p w14:paraId="73E8A26C" w14:textId="7ED25429" w:rsidR="00035909" w:rsidRDefault="00FC4325" w:rsidP="00F66C0D">
      <w:pPr>
        <w:spacing w:line="480" w:lineRule="auto"/>
      </w:pPr>
      <w:r>
        <w:t>The difference between the EWA policy and the modified policy is in regards to the safety stock or total buffer</w:t>
      </w:r>
      <w:r w:rsidR="000A3E83">
        <w:t xml:space="preserve"> size</w:t>
      </w:r>
      <w:r>
        <w:t xml:space="preserve"> – hereof the name EWA</w:t>
      </w:r>
      <w:r w:rsidRPr="00A50ED2">
        <w:rPr>
          <w:vertAlign w:val="subscript"/>
        </w:rPr>
        <w:t>SS</w:t>
      </w:r>
      <w:r>
        <w:rPr>
          <w:vertAlign w:val="subscript"/>
        </w:rPr>
        <w:t xml:space="preserve">. </w:t>
      </w:r>
      <w:r w:rsidR="00035909">
        <w:t>In the EWA policy the</w:t>
      </w:r>
      <w:r>
        <w:t xml:space="preserve"> </w:t>
      </w:r>
      <w:r w:rsidR="000A3E83">
        <w:t>‘</w:t>
      </w:r>
      <w:r>
        <w:t>total</w:t>
      </w:r>
      <w:r w:rsidR="00035909">
        <w:t xml:space="preserve"> buffer size</w:t>
      </w:r>
      <w:r w:rsidR="000A3E83">
        <w:t>’</w:t>
      </w:r>
      <w:r w:rsidR="00035909">
        <w:t xml:space="preserve"> equals the </w:t>
      </w:r>
      <w:proofErr w:type="gramStart"/>
      <w:r w:rsidR="00035909">
        <w:t>amount</w:t>
      </w:r>
      <w:proofErr w:type="gramEnd"/>
      <w:r w:rsidR="00035909">
        <w:t xml:space="preserve"> of products outdating</w:t>
      </w:r>
      <w:r w:rsidR="000A3E83">
        <w:t xml:space="preserve"> (to account for products expiring)</w:t>
      </w:r>
      <w:r w:rsidR="00035909">
        <w:t xml:space="preserve"> plus safety stock </w:t>
      </w:r>
      <w:r w:rsidR="000A3E83">
        <w:t xml:space="preserve">to account for </w:t>
      </w:r>
      <w:r w:rsidR="00035909">
        <w:t>demand certainty.</w:t>
      </w:r>
      <w:r>
        <w:t xml:space="preserve"> I</w:t>
      </w:r>
      <w:r w:rsidR="00035909">
        <w:t>n the EWA</w:t>
      </w:r>
      <w:r w:rsidR="00035909" w:rsidRPr="0059545E">
        <w:rPr>
          <w:vertAlign w:val="subscript"/>
        </w:rPr>
        <w:t xml:space="preserve">SS </w:t>
      </w:r>
      <w:r w:rsidR="00035909">
        <w:t xml:space="preserve">policy this protection is shared. Thus, the </w:t>
      </w:r>
      <w:r w:rsidR="000A3E83">
        <w:t>‘</w:t>
      </w:r>
      <w:r w:rsidR="00035909">
        <w:t>total buffer size</w:t>
      </w:r>
      <w:r w:rsidR="000A3E83">
        <w:t>’</w:t>
      </w:r>
      <w:r w:rsidR="00035909">
        <w:t xml:space="preserve"> is either equal to the </w:t>
      </w:r>
      <w:proofErr w:type="gramStart"/>
      <w:r w:rsidR="00035909">
        <w:t>amount</w:t>
      </w:r>
      <w:proofErr w:type="gramEnd"/>
      <w:r w:rsidR="00035909">
        <w:t xml:space="preserve"> of products outdating, </w:t>
      </w:r>
      <w:r w:rsidR="00035909" w:rsidRPr="000A3E83">
        <w:rPr>
          <w:i/>
        </w:rPr>
        <w:t>or</w:t>
      </w:r>
      <w:r w:rsidR="00035909">
        <w:t xml:space="preserve"> the safety stock size based on uncertainty in demand (the biggest of the two). In other words, if the number of products outdating is e.g. 10 and the safety stock is 5, the EWA</w:t>
      </w:r>
      <w:r w:rsidR="00035909" w:rsidRPr="00FC4325">
        <w:rPr>
          <w:vertAlign w:val="subscript"/>
        </w:rPr>
        <w:t>SS</w:t>
      </w:r>
      <w:r w:rsidR="00035909">
        <w:t xml:space="preserve"> policy will use a total buffer size of 10, whereas the total buffer size in the EWA policy would be 15. Mathematically it is formulated as</w:t>
      </w:r>
      <w:r w:rsidR="00940054">
        <w:rPr>
          <w:rStyle w:val="FootnoteReference"/>
        </w:rPr>
        <w:footnoteReference w:id="1"/>
      </w:r>
      <w:r w:rsidR="00035909">
        <w:t>:</w:t>
      </w:r>
    </w:p>
    <w:p w14:paraId="60666614" w14:textId="77777777" w:rsidR="00F30C3B" w:rsidRDefault="00F30C3B" w:rsidP="00982611">
      <w:pPr>
        <w:spacing w:before="240" w:after="360" w:line="480" w:lineRule="auto"/>
        <w:ind w:left="1531"/>
      </w:pPr>
      <m:oMath>
        <m:r>
          <w:rPr>
            <w:rFonts w:ascii="Cambria Math" w:hAnsi="Cambria Math"/>
          </w:rPr>
          <w:lastRenderedPageBreak/>
          <m:t xml:space="preserve">if </m:t>
        </m:r>
        <m:sSub>
          <m:sSubPr>
            <m:ctrlPr>
              <w:rPr>
                <w:rFonts w:ascii="Cambria Math" w:hAnsi="Cambria Math"/>
                <w:i/>
              </w:rPr>
            </m:ctrlPr>
          </m:sSubPr>
          <m:e>
            <m:r>
              <w:rPr>
                <w:rFonts w:ascii="Cambria Math" w:hAnsi="Cambria Math"/>
              </w:rPr>
              <m:t>I</m:t>
            </m:r>
          </m:e>
          <m:sub>
            <m:r>
              <w:rPr>
                <w:rFonts w:ascii="Cambria Math" w:hAnsi="Cambria Math"/>
              </w:rPr>
              <m:t>t</m:t>
            </m:r>
          </m:sub>
        </m:sSub>
        <m:r>
          <w:rPr>
            <w:rFonts w:ascii="Cambria Math" w:hAnsi="Cambria Math"/>
          </w:rPr>
          <m:t>-</m:t>
        </m:r>
        <m:nary>
          <m:naryPr>
            <m:chr m:val="∑"/>
            <m:limLoc m:val="undOvr"/>
            <m:ctrlPr>
              <w:rPr>
                <w:rFonts w:ascii="Cambria Math" w:hAnsi="Cambria Math"/>
                <w:i/>
              </w:rPr>
            </m:ctrlPr>
          </m:naryPr>
          <m:sub>
            <m:r>
              <w:rPr>
                <w:rFonts w:ascii="Cambria Math" w:hAnsi="Cambria Math"/>
              </w:rPr>
              <m:t>i=t+1</m:t>
            </m:r>
          </m:sub>
          <m:sup>
            <m:r>
              <w:rPr>
                <w:rFonts w:ascii="Cambria Math" w:hAnsi="Cambria Math"/>
              </w:rPr>
              <m:t>t+R+L-1</m:t>
            </m:r>
          </m:sup>
          <m:e>
            <m:sSub>
              <m:sSubPr>
                <m:ctrlPr>
                  <w:rPr>
                    <w:rFonts w:ascii="Cambria Math" w:hAnsi="Cambria Math"/>
                    <w:i/>
                  </w:rPr>
                </m:ctrlPr>
              </m:sSubPr>
              <m:e>
                <m:r>
                  <w:rPr>
                    <w:rFonts w:ascii="Cambria Math" w:hAnsi="Cambria Math"/>
                  </w:rPr>
                  <m:t>Ô</m:t>
                </m:r>
              </m:e>
              <m:sub>
                <m:r>
                  <w:rPr>
                    <w:rFonts w:ascii="Cambria Math" w:hAnsi="Cambria Math"/>
                  </w:rPr>
                  <m:t>i</m:t>
                </m:r>
              </m:sub>
            </m:sSub>
          </m:e>
        </m:nary>
        <m:r>
          <w:rPr>
            <w:rFonts w:ascii="Cambria Math" w:hAnsi="Cambria Math"/>
          </w:rPr>
          <m:t>&lt;</m:t>
        </m:r>
        <m:nary>
          <m:naryPr>
            <m:chr m:val="∑"/>
            <m:limLoc m:val="undOvr"/>
            <m:ctrlPr>
              <w:rPr>
                <w:rFonts w:ascii="Cambria Math" w:hAnsi="Cambria Math"/>
                <w:i/>
              </w:rPr>
            </m:ctrlPr>
          </m:naryPr>
          <m:sub>
            <m:r>
              <w:rPr>
                <w:rFonts w:ascii="Cambria Math" w:hAnsi="Cambria Math"/>
              </w:rPr>
              <m:t>i=t+1</m:t>
            </m:r>
          </m:sub>
          <m:sup>
            <m:r>
              <w:rPr>
                <w:rFonts w:ascii="Cambria Math" w:hAnsi="Cambria Math"/>
              </w:rPr>
              <m:t>t+R+L</m:t>
            </m:r>
          </m:sup>
          <m:e>
            <m:r>
              <w:rPr>
                <w:rFonts w:ascii="Cambria Math" w:hAnsi="Cambria Math"/>
              </w:rPr>
              <m:t>E</m:t>
            </m:r>
            <m:d>
              <m:dPr>
                <m:begChr m:val="["/>
                <m:endChr m:val="]"/>
                <m:ctrlPr>
                  <w:rPr>
                    <w:rFonts w:ascii="Cambria Math" w:hAnsi="Cambria Math"/>
                    <w:i/>
                  </w:rPr>
                </m:ctrlPr>
              </m:dPr>
              <m:e>
                <m:r>
                  <w:rPr>
                    <w:rFonts w:ascii="Cambria Math" w:hAnsi="Cambria Math"/>
                  </w:rPr>
                  <m:t>D</m:t>
                </m:r>
              </m:e>
            </m:d>
          </m:e>
        </m:nary>
        <m:r>
          <w:rPr>
            <w:rFonts w:ascii="Cambria Math" w:hAnsi="Cambria Math"/>
          </w:rPr>
          <m:t xml:space="preserve">+SS   </m:t>
        </m:r>
        <m:r>
          <m:rPr>
            <m:sty m:val="p"/>
          </m:rPr>
          <w:rPr>
            <w:rFonts w:ascii="Cambria Math" w:hAnsi="Cambria Math"/>
          </w:rPr>
          <m:t>then:</m:t>
        </m:r>
        <m:r>
          <w:rPr>
            <w:rFonts w:ascii="Cambria Math" w:hAnsi="Cambria Math"/>
          </w:rPr>
          <m:t xml:space="preserve"> </m:t>
        </m:r>
      </m:oMath>
      <w:r>
        <w:tab/>
      </w:r>
    </w:p>
    <w:p w14:paraId="5366EA67" w14:textId="77777777" w:rsidR="00F30C3B" w:rsidRPr="00CD1472" w:rsidRDefault="00F30C3B" w:rsidP="00982611">
      <w:pPr>
        <w:spacing w:before="240" w:after="360" w:line="480" w:lineRule="auto"/>
        <w:ind w:left="2160"/>
      </w:pPr>
      <m:oMath>
        <m:r>
          <w:rPr>
            <w:rFonts w:ascii="Cambria Math" w:hAnsi="Cambria Math"/>
          </w:rPr>
          <m:t>if SS&lt;</m:t>
        </m:r>
        <m:nary>
          <m:naryPr>
            <m:chr m:val="∑"/>
            <m:limLoc m:val="undOvr"/>
            <m:ctrlPr>
              <w:rPr>
                <w:rFonts w:ascii="Cambria Math" w:hAnsi="Cambria Math"/>
                <w:i/>
              </w:rPr>
            </m:ctrlPr>
          </m:naryPr>
          <m:sub>
            <m:r>
              <w:rPr>
                <w:rFonts w:ascii="Cambria Math" w:hAnsi="Cambria Math"/>
              </w:rPr>
              <m:t>i=t+1</m:t>
            </m:r>
          </m:sub>
          <m:sup>
            <m:r>
              <w:rPr>
                <w:rFonts w:ascii="Cambria Math" w:hAnsi="Cambria Math"/>
              </w:rPr>
              <m:t>t+R+L-1</m:t>
            </m:r>
          </m:sup>
          <m:e>
            <m:sSub>
              <m:sSubPr>
                <m:ctrlPr>
                  <w:rPr>
                    <w:rFonts w:ascii="Cambria Math" w:hAnsi="Cambria Math"/>
                    <w:i/>
                  </w:rPr>
                </m:ctrlPr>
              </m:sSubPr>
              <m:e>
                <m:r>
                  <w:rPr>
                    <w:rFonts w:ascii="Cambria Math" w:hAnsi="Cambria Math"/>
                  </w:rPr>
                  <m:t>Ô</m:t>
                </m:r>
              </m:e>
              <m:sub>
                <m:r>
                  <w:rPr>
                    <w:rFonts w:ascii="Cambria Math" w:hAnsi="Cambria Math"/>
                  </w:rPr>
                  <m:t>i</m:t>
                </m:r>
              </m:sub>
            </m:sSub>
          </m:e>
        </m:nary>
        <m:r>
          <w:rPr>
            <w:rFonts w:ascii="Cambria Math" w:hAnsi="Cambria Math"/>
          </w:rPr>
          <m:t xml:space="preserve">   </m:t>
        </m:r>
        <m:r>
          <m:rPr>
            <m:sty m:val="p"/>
          </m:rPr>
          <w:rPr>
            <w:rFonts w:ascii="Cambria Math" w:hAnsi="Cambria Math"/>
          </w:rPr>
          <m:t>then:</m:t>
        </m:r>
      </m:oMath>
      <w:r>
        <w:tab/>
      </w:r>
    </w:p>
    <w:p w14:paraId="2E3B42CB" w14:textId="09BD1180" w:rsidR="00F30C3B" w:rsidRDefault="00DF698C" w:rsidP="00982611">
      <w:pPr>
        <w:spacing w:line="480" w:lineRule="auto"/>
        <w:ind w:left="2160"/>
      </w:pPr>
      <m:oMath>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 max</m:t>
        </m:r>
        <m:d>
          <m:dPr>
            <m:ctrlPr>
              <w:rPr>
                <w:rFonts w:ascii="Cambria Math" w:hAnsi="Cambria Math"/>
                <w:i/>
              </w:rPr>
            </m:ctrlPr>
          </m:dPr>
          <m:e>
            <m:d>
              <m:dPr>
                <m:begChr m:val="⌈"/>
                <m:endChr m:val="⌉"/>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i=t+1</m:t>
                        </m:r>
                      </m:sub>
                      <m:sup>
                        <m:r>
                          <w:rPr>
                            <w:rFonts w:ascii="Cambria Math" w:hAnsi="Cambria Math"/>
                          </w:rPr>
                          <m:t>t+R+L</m:t>
                        </m:r>
                      </m:sup>
                      <m:e>
                        <m:r>
                          <w:rPr>
                            <w:rFonts w:ascii="Cambria Math" w:hAnsi="Cambria Math"/>
                          </w:rPr>
                          <m:t>E</m:t>
                        </m:r>
                        <m:d>
                          <m:dPr>
                            <m:begChr m:val="["/>
                            <m:endChr m:val="]"/>
                            <m:ctrlPr>
                              <w:rPr>
                                <w:rFonts w:ascii="Cambria Math" w:hAnsi="Cambria Math"/>
                                <w:i/>
                              </w:rPr>
                            </m:ctrlPr>
                          </m:dPr>
                          <m:e>
                            <m:r>
                              <w:rPr>
                                <w:rFonts w:ascii="Cambria Math" w:hAnsi="Cambria Math"/>
                              </w:rPr>
                              <m:t>D</m:t>
                            </m:r>
                          </m:e>
                        </m:d>
                        <m:r>
                          <w:rPr>
                            <w:rFonts w:ascii="Cambria Math" w:hAnsi="Cambria Math"/>
                          </w:rPr>
                          <m:t>+</m:t>
                        </m:r>
                        <m:nary>
                          <m:naryPr>
                            <m:chr m:val="∑"/>
                            <m:limLoc m:val="undOvr"/>
                            <m:ctrlPr>
                              <w:rPr>
                                <w:rFonts w:ascii="Cambria Math" w:hAnsi="Cambria Math"/>
                                <w:i/>
                              </w:rPr>
                            </m:ctrlPr>
                          </m:naryPr>
                          <m:sub>
                            <m:r>
                              <w:rPr>
                                <w:rFonts w:ascii="Cambria Math" w:hAnsi="Cambria Math"/>
                              </w:rPr>
                              <m:t>i=t+1</m:t>
                            </m:r>
                          </m:sub>
                          <m:sup>
                            <m:r>
                              <w:rPr>
                                <w:rFonts w:ascii="Cambria Math" w:hAnsi="Cambria Math"/>
                              </w:rPr>
                              <m:t>t+R+L-1</m:t>
                            </m:r>
                          </m:sup>
                          <m:e>
                            <m:sSub>
                              <m:sSubPr>
                                <m:ctrlPr>
                                  <w:rPr>
                                    <w:rFonts w:ascii="Cambria Math" w:hAnsi="Cambria Math"/>
                                    <w:i/>
                                  </w:rPr>
                                </m:ctrlPr>
                              </m:sSubPr>
                              <m:e>
                                <m:r>
                                  <w:rPr>
                                    <w:rFonts w:ascii="Cambria Math" w:hAnsi="Cambria Math"/>
                                  </w:rPr>
                                  <m:t>Ô</m:t>
                                </m:r>
                              </m:e>
                              <m:sub>
                                <m:r>
                                  <w:rPr>
                                    <w:rFonts w:ascii="Cambria Math" w:hAnsi="Cambria Math"/>
                                  </w:rPr>
                                  <m:t>i</m:t>
                                </m:r>
                              </m:sub>
                            </m:sSub>
                          </m:e>
                        </m:nary>
                      </m:e>
                    </m:nary>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m:t>
                        </m:r>
                      </m:sub>
                    </m:sSub>
                  </m:num>
                  <m:den>
                    <m:r>
                      <w:rPr>
                        <w:rFonts w:ascii="Cambria Math" w:hAnsi="Cambria Math"/>
                      </w:rPr>
                      <m:t>B</m:t>
                    </m:r>
                  </m:den>
                </m:f>
              </m:e>
            </m:d>
            <m:r>
              <w:rPr>
                <w:rFonts w:ascii="Cambria Math" w:hAnsi="Cambria Math"/>
              </w:rPr>
              <m:t>,0</m:t>
            </m:r>
          </m:e>
        </m:d>
      </m:oMath>
      <w:r w:rsidR="00F30C3B">
        <w:tab/>
      </w:r>
      <w:r w:rsidR="00F30C3B">
        <w:tab/>
        <w:t>(2a)</w:t>
      </w:r>
    </w:p>
    <w:p w14:paraId="327E2343" w14:textId="77777777" w:rsidR="00F30C3B" w:rsidRDefault="00F30C3B" w:rsidP="00982611">
      <w:pPr>
        <w:spacing w:line="480" w:lineRule="auto"/>
        <w:ind w:left="1531"/>
      </w:pPr>
    </w:p>
    <w:p w14:paraId="2C1BA00D" w14:textId="77777777" w:rsidR="00F30C3B" w:rsidRPr="00CD1472" w:rsidRDefault="00F30C3B" w:rsidP="00982611">
      <w:pPr>
        <w:spacing w:before="240" w:after="360" w:line="480" w:lineRule="auto"/>
        <w:ind w:left="2160"/>
      </w:pPr>
      <m:oMath>
        <m:r>
          <w:rPr>
            <w:rFonts w:ascii="Cambria Math" w:hAnsi="Cambria Math"/>
          </w:rPr>
          <m:t>if SS≥</m:t>
        </m:r>
        <m:nary>
          <m:naryPr>
            <m:chr m:val="∑"/>
            <m:limLoc m:val="undOvr"/>
            <m:ctrlPr>
              <w:rPr>
                <w:rFonts w:ascii="Cambria Math" w:hAnsi="Cambria Math"/>
                <w:i/>
              </w:rPr>
            </m:ctrlPr>
          </m:naryPr>
          <m:sub>
            <m:r>
              <w:rPr>
                <w:rFonts w:ascii="Cambria Math" w:hAnsi="Cambria Math"/>
              </w:rPr>
              <m:t>i=t+1</m:t>
            </m:r>
          </m:sub>
          <m:sup>
            <m:r>
              <w:rPr>
                <w:rFonts w:ascii="Cambria Math" w:hAnsi="Cambria Math"/>
              </w:rPr>
              <m:t>t+R+L-1</m:t>
            </m:r>
          </m:sup>
          <m:e>
            <m:sSub>
              <m:sSubPr>
                <m:ctrlPr>
                  <w:rPr>
                    <w:rFonts w:ascii="Cambria Math" w:hAnsi="Cambria Math"/>
                    <w:i/>
                  </w:rPr>
                </m:ctrlPr>
              </m:sSubPr>
              <m:e>
                <m:r>
                  <w:rPr>
                    <w:rFonts w:ascii="Cambria Math" w:hAnsi="Cambria Math"/>
                  </w:rPr>
                  <m:t>Ô</m:t>
                </m:r>
              </m:e>
              <m:sub>
                <m:r>
                  <w:rPr>
                    <w:rFonts w:ascii="Cambria Math" w:hAnsi="Cambria Math"/>
                  </w:rPr>
                  <m:t>i</m:t>
                </m:r>
              </m:sub>
            </m:sSub>
          </m:e>
        </m:nary>
        <m:r>
          <w:rPr>
            <w:rFonts w:ascii="Cambria Math" w:hAnsi="Cambria Math"/>
          </w:rPr>
          <m:t xml:space="preserve">   </m:t>
        </m:r>
        <m:r>
          <m:rPr>
            <m:sty m:val="p"/>
          </m:rPr>
          <w:rPr>
            <w:rFonts w:ascii="Cambria Math" w:hAnsi="Cambria Math"/>
          </w:rPr>
          <m:t>then:</m:t>
        </m:r>
      </m:oMath>
      <w:r>
        <w:tab/>
      </w:r>
    </w:p>
    <w:p w14:paraId="731DFC56" w14:textId="461C9908" w:rsidR="00F30C3B" w:rsidRDefault="00DF698C" w:rsidP="00982611">
      <w:pPr>
        <w:spacing w:line="480" w:lineRule="auto"/>
        <w:ind w:left="2160"/>
      </w:pPr>
      <m:oMath>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 max</m:t>
        </m:r>
        <m:d>
          <m:dPr>
            <m:ctrlPr>
              <w:rPr>
                <w:rFonts w:ascii="Cambria Math" w:hAnsi="Cambria Math"/>
                <w:i/>
              </w:rPr>
            </m:ctrlPr>
          </m:dPr>
          <m:e>
            <m:d>
              <m:dPr>
                <m:begChr m:val="⌈"/>
                <m:endChr m:val="⌉"/>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i=t+1</m:t>
                        </m:r>
                      </m:sub>
                      <m:sup>
                        <m:r>
                          <w:rPr>
                            <w:rFonts w:ascii="Cambria Math" w:hAnsi="Cambria Math"/>
                          </w:rPr>
                          <m:t>t+R+L</m:t>
                        </m:r>
                      </m:sup>
                      <m:e>
                        <m:r>
                          <w:rPr>
                            <w:rFonts w:ascii="Cambria Math" w:hAnsi="Cambria Math"/>
                          </w:rPr>
                          <m:t>E</m:t>
                        </m:r>
                        <m:d>
                          <m:dPr>
                            <m:begChr m:val="["/>
                            <m:endChr m:val="]"/>
                            <m:ctrlPr>
                              <w:rPr>
                                <w:rFonts w:ascii="Cambria Math" w:hAnsi="Cambria Math"/>
                                <w:i/>
                              </w:rPr>
                            </m:ctrlPr>
                          </m:dPr>
                          <m:e>
                            <m:r>
                              <w:rPr>
                                <w:rFonts w:ascii="Cambria Math" w:hAnsi="Cambria Math"/>
                              </w:rPr>
                              <m:t>D</m:t>
                            </m:r>
                          </m:e>
                        </m:d>
                      </m:e>
                    </m:nary>
                    <m:r>
                      <w:rPr>
                        <w:rFonts w:ascii="Cambria Math" w:hAnsi="Cambria Math"/>
                      </w:rPr>
                      <m:t>+SS-</m:t>
                    </m:r>
                    <m:sSub>
                      <m:sSubPr>
                        <m:ctrlPr>
                          <w:rPr>
                            <w:rFonts w:ascii="Cambria Math" w:hAnsi="Cambria Math"/>
                            <w:i/>
                          </w:rPr>
                        </m:ctrlPr>
                      </m:sSubPr>
                      <m:e>
                        <m:r>
                          <w:rPr>
                            <w:rFonts w:ascii="Cambria Math" w:hAnsi="Cambria Math"/>
                          </w:rPr>
                          <m:t>I</m:t>
                        </m:r>
                      </m:e>
                      <m:sub>
                        <m:r>
                          <w:rPr>
                            <w:rFonts w:ascii="Cambria Math" w:hAnsi="Cambria Math"/>
                          </w:rPr>
                          <m:t>t</m:t>
                        </m:r>
                      </m:sub>
                    </m:sSub>
                  </m:num>
                  <m:den>
                    <m:r>
                      <w:rPr>
                        <w:rFonts w:ascii="Cambria Math" w:hAnsi="Cambria Math"/>
                      </w:rPr>
                      <m:t xml:space="preserve">B </m:t>
                    </m:r>
                  </m:den>
                </m:f>
              </m:e>
            </m:d>
            <m:r>
              <w:rPr>
                <w:rFonts w:ascii="Cambria Math" w:hAnsi="Cambria Math"/>
              </w:rPr>
              <m:t>,0</m:t>
            </m:r>
          </m:e>
        </m:d>
      </m:oMath>
      <w:r w:rsidR="00F30C3B">
        <w:tab/>
      </w:r>
      <w:r w:rsidR="00F30C3B">
        <w:tab/>
      </w:r>
      <w:r w:rsidR="00F30C3B">
        <w:tab/>
        <w:t>(2b)</w:t>
      </w:r>
    </w:p>
    <w:p w14:paraId="6DBFF285" w14:textId="5471E501" w:rsidR="00E55391" w:rsidRDefault="002C78D8" w:rsidP="00982611">
      <w:pPr>
        <w:spacing w:before="240" w:line="480" w:lineRule="auto"/>
        <w:ind w:firstLine="0"/>
      </w:pPr>
      <w:r>
        <w:t>T</w:t>
      </w:r>
      <w:r w:rsidR="00F30C3B">
        <w:t>he safety sto</w:t>
      </w:r>
      <w:r w:rsidR="008305F2">
        <w:t>ck (SS) is calculated</w:t>
      </w:r>
      <w:r w:rsidR="00F30C3B">
        <w:t xml:space="preserve"> as the standard deviation of forecast errors during review interval plus replenishment lead time times a safety factor (</w:t>
      </w:r>
      <m:oMath>
        <m:sSub>
          <m:sSubPr>
            <m:ctrlPr>
              <w:rPr>
                <w:rFonts w:ascii="Cambria Math" w:hAnsi="Cambria Math"/>
                <w:i/>
              </w:rPr>
            </m:ctrlPr>
          </m:sSubPr>
          <m:e>
            <m:r>
              <w:rPr>
                <w:rFonts w:ascii="Cambria Math" w:hAnsi="Cambria Math"/>
              </w:rPr>
              <m:t>σ</m:t>
            </m:r>
          </m:e>
          <m:sub>
            <m:r>
              <w:rPr>
                <w:rFonts w:ascii="Cambria Math" w:hAnsi="Cambria Math"/>
              </w:rPr>
              <m:t>R+L</m:t>
            </m:r>
          </m:sub>
        </m:sSub>
        <m:r>
          <w:rPr>
            <w:rFonts w:ascii="Cambria Math" w:hAnsi="Cambria Math"/>
          </w:rPr>
          <m:t xml:space="preserve"> ∙k</m:t>
        </m:r>
      </m:oMath>
      <w:r w:rsidR="00F30C3B">
        <w:t xml:space="preserve">) </w:t>
      </w:r>
      <w:r w:rsidR="00F30C3B">
        <w:fldChar w:fldCharType="begin"/>
      </w:r>
      <w:r w:rsidR="008D2908">
        <w:instrText xml:space="preserve"> ADDIN EN.CITE &lt;EndNote&gt;&lt;Cite&gt;&lt;Author&gt;Silver&lt;/Author&gt;&lt;Year&gt;1998&lt;/Year&gt;&lt;RecNum&gt;707&lt;/RecNum&gt;&lt;DisplayText&gt;(Silver et al., 1998)&lt;/DisplayText&gt;&lt;record&gt;&lt;rec-number&gt;707&lt;/rec-number&gt;&lt;foreign-keys&gt;&lt;key app="EN" db-id="ft9rwfe99vp0fnet259vr9wns25s05drxsd2" timestamp="1500288366"&gt;707&lt;/key&gt;&lt;/foreign-keys&gt;&lt;ref-type name="Book"&gt;6&lt;/ref-type&gt;&lt;contributors&gt;&lt;authors&gt;&lt;author&gt;Silver, Edward Allen&lt;/author&gt;&lt;author&gt;Pyke, David F&lt;/author&gt;&lt;author&gt;Peterson, Rein&lt;/author&gt;&lt;/authors&gt;&lt;/contributors&gt;&lt;titles&gt;&lt;title&gt;Inventory management and production planning and scheduling&lt;/title&gt;&lt;/titles&gt;&lt;volume&gt;3&lt;/volume&gt;&lt;dates&gt;&lt;year&gt;1998&lt;/year&gt;&lt;/dates&gt;&lt;publisher&gt;Wiley New York&lt;/publisher&gt;&lt;urls&gt;&lt;/urls&gt;&lt;/record&gt;&lt;/Cite&gt;&lt;/EndNote&gt;</w:instrText>
      </w:r>
      <w:r w:rsidR="00F30C3B">
        <w:fldChar w:fldCharType="separate"/>
      </w:r>
      <w:r w:rsidR="008D2908">
        <w:rPr>
          <w:noProof/>
        </w:rPr>
        <w:t>(Silver et al., 1998)</w:t>
      </w:r>
      <w:r w:rsidR="00F30C3B">
        <w:fldChar w:fldCharType="end"/>
      </w:r>
      <w:r w:rsidR="00F30C3B">
        <w:t xml:space="preserve">. </w:t>
      </w:r>
    </w:p>
    <w:p w14:paraId="0B4181A6" w14:textId="77777777" w:rsidR="007E0D25" w:rsidRPr="004A4C9B" w:rsidRDefault="007E0D25" w:rsidP="00982611">
      <w:pPr>
        <w:spacing w:line="480" w:lineRule="auto"/>
        <w:rPr>
          <w:b/>
        </w:rPr>
      </w:pPr>
    </w:p>
    <w:p w14:paraId="6B1779EB" w14:textId="4E8403C4" w:rsidR="00941526" w:rsidRPr="004A4C9B" w:rsidRDefault="001E2F26" w:rsidP="00982611">
      <w:pPr>
        <w:pStyle w:val="Heading1"/>
        <w:spacing w:line="480" w:lineRule="auto"/>
      </w:pPr>
      <w:r w:rsidRPr="004A4C9B">
        <w:t>Research design</w:t>
      </w:r>
    </w:p>
    <w:p w14:paraId="7EAD2A8C" w14:textId="7AF679F2" w:rsidR="0067042F" w:rsidRDefault="00D56D8B" w:rsidP="00982611">
      <w:pPr>
        <w:spacing w:line="480" w:lineRule="auto"/>
        <w:ind w:firstLine="0"/>
      </w:pPr>
      <w:r w:rsidRPr="004A4C9B">
        <w:t xml:space="preserve">To investigate the performance of the </w:t>
      </w:r>
      <w:r w:rsidR="002F3F0E">
        <w:t>EWA and EWA</w:t>
      </w:r>
      <w:r w:rsidR="002F3F0E" w:rsidRPr="002F3F0E">
        <w:rPr>
          <w:vertAlign w:val="subscript"/>
        </w:rPr>
        <w:t>SS</w:t>
      </w:r>
      <w:r w:rsidR="002916EC">
        <w:t xml:space="preserve"> </w:t>
      </w:r>
      <w:r w:rsidR="00C7263E">
        <w:t>policies</w:t>
      </w:r>
      <w:r w:rsidRPr="004A4C9B">
        <w:t xml:space="preserve"> in a more </w:t>
      </w:r>
      <w:r w:rsidR="004278F6">
        <w:t>realistic setting than current literature</w:t>
      </w:r>
      <w:r w:rsidRPr="004A4C9B">
        <w:t xml:space="preserve"> t</w:t>
      </w:r>
      <w:r w:rsidR="0054422F" w:rsidRPr="004A4C9B">
        <w:t xml:space="preserve">he analysis </w:t>
      </w:r>
      <w:r w:rsidR="003F0CEB">
        <w:t>in</w:t>
      </w:r>
      <w:r w:rsidR="0054422F" w:rsidRPr="004A4C9B">
        <w:t xml:space="preserve"> this study is based on a</w:t>
      </w:r>
      <w:r w:rsidR="003F0CEB">
        <w:t xml:space="preserve"> simulation model of a Norwegian grocery retailer</w:t>
      </w:r>
      <w:r w:rsidRPr="004A4C9B">
        <w:t>.</w:t>
      </w:r>
      <w:r w:rsidR="0054422F" w:rsidRPr="004A4C9B">
        <w:t xml:space="preserve"> To estimate the impact of utilizing</w:t>
      </w:r>
      <w:r w:rsidR="00BC7CCE">
        <w:t xml:space="preserve"> RSL</w:t>
      </w:r>
      <w:r w:rsidR="003F0CEB">
        <w:t xml:space="preserve"> information</w:t>
      </w:r>
      <w:r w:rsidR="004278F6">
        <w:t xml:space="preserve"> through</w:t>
      </w:r>
      <w:r w:rsidR="003F0CEB">
        <w:t xml:space="preserve"> the</w:t>
      </w:r>
      <w:r w:rsidR="004278F6">
        <w:t>se policies</w:t>
      </w:r>
      <w:r w:rsidR="0054422F" w:rsidRPr="004A4C9B">
        <w:t xml:space="preserve"> </w:t>
      </w:r>
      <w:r w:rsidR="004278F6">
        <w:t>the</w:t>
      </w:r>
      <w:r w:rsidR="0054422F" w:rsidRPr="004A4C9B">
        <w:t xml:space="preserve"> simulation model mirrors the structure and settings</w:t>
      </w:r>
      <w:r w:rsidRPr="004A4C9B">
        <w:t xml:space="preserve"> (delivery times, service levels, review period</w:t>
      </w:r>
      <w:r w:rsidR="004278F6">
        <w:t>s</w:t>
      </w:r>
      <w:r w:rsidRPr="004A4C9B">
        <w:t>, etc.)</w:t>
      </w:r>
      <w:r w:rsidR="0054422F" w:rsidRPr="004A4C9B">
        <w:t xml:space="preserve"> </w:t>
      </w:r>
      <w:r w:rsidR="003F0CEB">
        <w:t>and uses POS-data from 1 year to reflect</w:t>
      </w:r>
      <w:r w:rsidR="00570E01">
        <w:t xml:space="preserve"> the</w:t>
      </w:r>
      <w:r w:rsidR="003F0CEB">
        <w:t xml:space="preserve"> sales pattern. Using simulation</w:t>
      </w:r>
      <w:r w:rsidR="00883E5E" w:rsidRPr="004A4C9B">
        <w:t xml:space="preserve"> allows </w:t>
      </w:r>
      <w:r w:rsidR="003F0CEB">
        <w:t xml:space="preserve">us </w:t>
      </w:r>
      <w:r w:rsidR="00883E5E" w:rsidRPr="004A4C9B">
        <w:t xml:space="preserve">to test various scenarios and </w:t>
      </w:r>
      <w:r w:rsidR="0054422F" w:rsidRPr="004A4C9B">
        <w:t xml:space="preserve">investigate the causality between variables </w:t>
      </w:r>
      <w:r w:rsidR="00596695">
        <w:fldChar w:fldCharType="begin"/>
      </w:r>
      <w:r w:rsidR="008D2908">
        <w:instrText xml:space="preserve"> ADDIN EN.CITE &lt;EndNote&gt;&lt;Cite&gt;&lt;Author&gt;Croom&lt;/Author&gt;&lt;Year&gt;2009&lt;/Year&gt;&lt;RecNum&gt;674&lt;/RecNum&gt;&lt;DisplayText&gt;(Croom, 2009)&lt;/DisplayText&gt;&lt;record&gt;&lt;rec-number&gt;674&lt;/rec-number&gt;&lt;foreign-keys&gt;&lt;key app="EN" db-id="ft9rwfe99vp0fnet259vr9wns25s05drxsd2" timestamp="1499795865"&gt;674&lt;/key&gt;&lt;/foreign-keys&gt;&lt;ref-type name="Book Section"&gt;5&lt;/ref-type&gt;&lt;contributors&gt;&lt;authors&gt;&lt;author&gt;Croom, Simon&lt;/author&gt;&lt;/authors&gt;&lt;secondary-authors&gt;&lt;author&gt;Christer Karlsson&lt;/author&gt;&lt;/secondary-authors&gt;&lt;/contributors&gt;&lt;titles&gt;&lt;title&gt;Introduction to research methodology in operations management&lt;/title&gt;&lt;secondary-title&gt;Researching operations management&lt;/secondary-title&gt;&lt;/titles&gt;&lt;periodical&gt;&lt;full-title&gt;Researching operations management&lt;/full-title&gt;&lt;/periodical&gt;&lt;pages&gt;43-83&lt;/pages&gt;&lt;dates&gt;&lt;year&gt;2009&lt;/year&gt;&lt;/dates&gt;&lt;publisher&gt;Routledge&lt;/publisher&gt;&lt;isbn&gt;978-0-415-99056-1&lt;/isbn&gt;&lt;urls&gt;&lt;/urls&gt;&lt;/record&gt;&lt;/Cite&gt;&lt;/EndNote&gt;</w:instrText>
      </w:r>
      <w:r w:rsidR="00596695">
        <w:fldChar w:fldCharType="separate"/>
      </w:r>
      <w:r w:rsidR="008D2908">
        <w:rPr>
          <w:noProof/>
        </w:rPr>
        <w:t>(Croom, 2009)</w:t>
      </w:r>
      <w:r w:rsidR="00596695">
        <w:fldChar w:fldCharType="end"/>
      </w:r>
      <w:r w:rsidR="00596695">
        <w:t>.</w:t>
      </w:r>
    </w:p>
    <w:p w14:paraId="3DAE83EA" w14:textId="77777777" w:rsidR="003F0CEB" w:rsidRPr="004A4C9B" w:rsidRDefault="003F0CEB" w:rsidP="00982611">
      <w:pPr>
        <w:spacing w:line="480" w:lineRule="auto"/>
      </w:pPr>
    </w:p>
    <w:p w14:paraId="54463891" w14:textId="0A7E74E9" w:rsidR="001E2F26" w:rsidRPr="003F0CEB" w:rsidRDefault="00EA5480" w:rsidP="00982611">
      <w:pPr>
        <w:pStyle w:val="Heading2"/>
        <w:spacing w:line="480" w:lineRule="auto"/>
      </w:pPr>
      <w:r>
        <w:t xml:space="preserve">4.1. </w:t>
      </w:r>
      <w:r w:rsidR="001E2F26" w:rsidRPr="003F0CEB">
        <w:t>Case</w:t>
      </w:r>
      <w:r w:rsidR="00F95A29">
        <w:t xml:space="preserve"> s</w:t>
      </w:r>
      <w:r w:rsidR="00AB1F5F" w:rsidRPr="003F0CEB">
        <w:t>election</w:t>
      </w:r>
    </w:p>
    <w:p w14:paraId="24F4E852" w14:textId="27F08C9F" w:rsidR="003E6DF4" w:rsidRPr="004A4C9B" w:rsidRDefault="003E6DF4" w:rsidP="00982611">
      <w:pPr>
        <w:spacing w:line="480" w:lineRule="auto"/>
        <w:ind w:firstLine="0"/>
      </w:pPr>
      <w:r w:rsidRPr="004A4C9B">
        <w:t>The Norwegian retailer was selected due to ongoing research activities</w:t>
      </w:r>
      <w:r w:rsidR="00EA5480">
        <w:t xml:space="preserve"> and a mutual curiosity in the topic</w:t>
      </w:r>
      <w:r w:rsidR="002F4F49">
        <w:t xml:space="preserve">. The retailer holds all three major categories of food products (fresh, dry, and frozen) and is </w:t>
      </w:r>
      <w:r w:rsidRPr="004A4C9B">
        <w:t>currently</w:t>
      </w:r>
      <w:r w:rsidR="00E20822">
        <w:t xml:space="preserve"> considering </w:t>
      </w:r>
      <w:r w:rsidR="002F4F49">
        <w:t xml:space="preserve">how to automate </w:t>
      </w:r>
      <w:r w:rsidRPr="004A4C9B">
        <w:t>the ordering process</w:t>
      </w:r>
      <w:r w:rsidR="00EA5480">
        <w:t xml:space="preserve"> for </w:t>
      </w:r>
      <w:r w:rsidR="002F4F49">
        <w:t>especially the fresh food products</w:t>
      </w:r>
      <w:r w:rsidR="00EA5480">
        <w:t>. T</w:t>
      </w:r>
      <w:r w:rsidRPr="004A4C9B">
        <w:t xml:space="preserve">hus, they showed </w:t>
      </w:r>
      <w:r w:rsidRPr="004A4C9B">
        <w:lastRenderedPageBreak/>
        <w:t xml:space="preserve">a high level of interest on the topic as well a high level of willingness to collaborate. This enabled the research team to get access to rather sensitive data and use snowball sampling to connect with key personnel for interviews </w:t>
      </w:r>
      <w:r w:rsidRPr="004A4C9B">
        <w:fldChar w:fldCharType="begin"/>
      </w:r>
      <w:r w:rsidR="008D2908">
        <w:instrText xml:space="preserve"> ADDIN EN.CITE &lt;EndNote&gt;&lt;Cite&gt;&lt;Author&gt;Patton&lt;/Author&gt;&lt;Year&gt;2002&lt;/Year&gt;&lt;RecNum&gt;640&lt;/RecNum&gt;&lt;DisplayText&gt;(Patton, 2002)&lt;/DisplayText&gt;&lt;record&gt;&lt;rec-number&gt;640&lt;/rec-number&gt;&lt;foreign-keys&gt;&lt;key app="EN" db-id="ft9rwfe99vp0fnet259vr9wns25s05drxsd2" timestamp="1495552777"&gt;640&lt;/key&gt;&lt;/foreign-keys&gt;&lt;ref-type name="Book"&gt;6&lt;/ref-type&gt;&lt;contributors&gt;&lt;authors&gt;&lt;author&gt;Michael Quinn Patton&lt;/author&gt;&lt;/authors&gt;&lt;/contributors&gt;&lt;titles&gt;&lt;title&gt;Qualitative Research &amp;amp; Evaluation Methods&lt;/title&gt;&lt;/titles&gt;&lt;volume&gt;3rd Edition&lt;/volume&gt;&lt;dates&gt;&lt;year&gt;2002&lt;/year&gt;&lt;/dates&gt;&lt;publisher&gt;SAGE Publications, Inc.&lt;/publisher&gt;&lt;isbn&gt;978-0761919711&lt;/isbn&gt;&lt;urls&gt;&lt;/urls&gt;&lt;/record&gt;&lt;/Cite&gt;&lt;/EndNote&gt;</w:instrText>
      </w:r>
      <w:r w:rsidRPr="004A4C9B">
        <w:fldChar w:fldCharType="separate"/>
      </w:r>
      <w:r w:rsidR="008D2908">
        <w:rPr>
          <w:noProof/>
        </w:rPr>
        <w:t>(Patton, 2002)</w:t>
      </w:r>
      <w:r w:rsidRPr="004A4C9B">
        <w:fldChar w:fldCharType="end"/>
      </w:r>
      <w:r w:rsidRPr="004A4C9B">
        <w:t>.</w:t>
      </w:r>
      <w:r w:rsidR="002F4F49">
        <w:t xml:space="preserve"> Additionally, the </w:t>
      </w:r>
      <w:r w:rsidR="005B0901">
        <w:t xml:space="preserve">Norwegian </w:t>
      </w:r>
      <w:r w:rsidR="002F4F49">
        <w:t>retailer was selected as</w:t>
      </w:r>
      <w:r w:rsidR="005B0901">
        <w:t xml:space="preserve"> they represent a rather typical setup for grocery retailers.</w:t>
      </w:r>
      <w:r w:rsidRPr="004A4C9B">
        <w:t xml:space="preserve"> The retailer owns several warehouses and is </w:t>
      </w:r>
      <w:r w:rsidR="00EA5480">
        <w:t xml:space="preserve">in total </w:t>
      </w:r>
      <w:r w:rsidRPr="004A4C9B">
        <w:t xml:space="preserve">supplying more than 1000 stores </w:t>
      </w:r>
      <w:r w:rsidR="00040746" w:rsidRPr="004A4C9B">
        <w:t>across Norway</w:t>
      </w:r>
      <w:r w:rsidR="002F4F49">
        <w:t xml:space="preserve"> across five major concepts (chains)</w:t>
      </w:r>
      <w:r w:rsidRPr="004A4C9B">
        <w:t>.</w:t>
      </w:r>
      <w:r w:rsidR="00EF4CCE" w:rsidRPr="004A4C9B">
        <w:t xml:space="preserve"> For certain </w:t>
      </w:r>
      <w:proofErr w:type="gramStart"/>
      <w:r w:rsidR="00EF4CCE" w:rsidRPr="004A4C9B">
        <w:t>products</w:t>
      </w:r>
      <w:proofErr w:type="gramEnd"/>
      <w:r w:rsidR="00EF4CCE" w:rsidRPr="004A4C9B">
        <w:t xml:space="preserve"> the retailer uses cross-docking between its </w:t>
      </w:r>
      <w:r w:rsidR="00E75155" w:rsidRPr="004A4C9B">
        <w:t xml:space="preserve">warehouses. Thus, to simplify and focus the problem </w:t>
      </w:r>
      <w:r w:rsidR="00E75155" w:rsidRPr="00EA5480">
        <w:rPr>
          <w:i/>
        </w:rPr>
        <w:t>o</w:t>
      </w:r>
      <w:r w:rsidRPr="00EA5480">
        <w:rPr>
          <w:i/>
        </w:rPr>
        <w:t>ne</w:t>
      </w:r>
      <w:r w:rsidRPr="004A4C9B">
        <w:t xml:space="preserve"> of the main warehouse</w:t>
      </w:r>
      <w:r w:rsidR="00EF4CCE" w:rsidRPr="004A4C9B">
        <w:t>s</w:t>
      </w:r>
      <w:r w:rsidRPr="004A4C9B">
        <w:t xml:space="preserve"> and its accompanying</w:t>
      </w:r>
      <w:r w:rsidR="00EA5480">
        <w:t xml:space="preserve"> 232</w:t>
      </w:r>
      <w:r w:rsidR="00D71B5E">
        <w:t xml:space="preserve"> stores</w:t>
      </w:r>
      <w:r w:rsidRPr="004A4C9B">
        <w:t xml:space="preserve"> was selected for </w:t>
      </w:r>
      <w:r w:rsidR="00E75155" w:rsidRPr="004A4C9B">
        <w:t>this study.</w:t>
      </w:r>
      <w:r w:rsidR="00ED6EE0">
        <w:t xml:space="preserve"> </w:t>
      </w:r>
    </w:p>
    <w:p w14:paraId="62815CDE" w14:textId="77777777" w:rsidR="00A32438" w:rsidRPr="004A4C9B" w:rsidRDefault="00A32438" w:rsidP="00982611">
      <w:pPr>
        <w:spacing w:line="480" w:lineRule="auto"/>
        <w:rPr>
          <w:b/>
          <w:i/>
        </w:rPr>
      </w:pPr>
    </w:p>
    <w:p w14:paraId="17D48AA4" w14:textId="30717FF0" w:rsidR="00AB1F5F" w:rsidRPr="004A4C9B" w:rsidRDefault="00EF3EB5" w:rsidP="00982611">
      <w:pPr>
        <w:pStyle w:val="Heading2"/>
        <w:spacing w:line="480" w:lineRule="auto"/>
      </w:pPr>
      <w:r w:rsidRPr="004A4C9B">
        <w:t>4</w:t>
      </w:r>
      <w:r w:rsidR="00AB1F5F" w:rsidRPr="004A4C9B">
        <w:t>.2</w:t>
      </w:r>
      <w:r w:rsidR="00EA5480">
        <w:t>.</w:t>
      </w:r>
      <w:r w:rsidR="00AB1F5F" w:rsidRPr="004A4C9B">
        <w:t xml:space="preserve"> Data </w:t>
      </w:r>
      <w:r w:rsidR="00F95A29">
        <w:t>c</w:t>
      </w:r>
      <w:r w:rsidR="00AB1F5F" w:rsidRPr="004A4C9B">
        <w:t>ollection</w:t>
      </w:r>
    </w:p>
    <w:p w14:paraId="4FD76ED3" w14:textId="69D2580A" w:rsidR="003E6DF4" w:rsidRDefault="003E6DF4" w:rsidP="00982611">
      <w:pPr>
        <w:spacing w:line="480" w:lineRule="auto"/>
        <w:ind w:firstLine="0"/>
      </w:pPr>
      <w:r w:rsidRPr="004A4C9B">
        <w:t xml:space="preserve">Semi-structured interviews with </w:t>
      </w:r>
      <w:r w:rsidR="00E75155" w:rsidRPr="004A4C9B">
        <w:t>the warehouse-, purchasing-, and logistics manager as well as the employees responsible for forecasting and the current automated replenishment system was conducted to understand the ordering process</w:t>
      </w:r>
      <w:r w:rsidR="00E35C85" w:rsidRPr="004A4C9B">
        <w:t xml:space="preserve"> at both the stores and the warehouse</w:t>
      </w:r>
      <w:r w:rsidR="00E75155" w:rsidRPr="004A4C9B">
        <w:t>.</w:t>
      </w:r>
      <w:r w:rsidR="00040746" w:rsidRPr="004A4C9B">
        <w:t xml:space="preserve"> The outcome of these interviews </w:t>
      </w:r>
      <w:proofErr w:type="gramStart"/>
      <w:r w:rsidR="00040746" w:rsidRPr="004A4C9B">
        <w:t>were</w:t>
      </w:r>
      <w:proofErr w:type="gramEnd"/>
      <w:r w:rsidR="00040746" w:rsidRPr="004A4C9B">
        <w:t xml:space="preserve"> used for </w:t>
      </w:r>
      <w:r w:rsidR="004E36AC">
        <w:t>determining</w:t>
      </w:r>
      <w:r w:rsidR="00040746" w:rsidRPr="004A4C9B">
        <w:t xml:space="preserve"> the assumptions and logic of the simulation model.</w:t>
      </w:r>
      <w:r w:rsidR="00E75155" w:rsidRPr="004A4C9B">
        <w:t xml:space="preserve"> Additionally, daily POS-data from 232 stores for a one year period was received from the retailer to use for further analysis</w:t>
      </w:r>
      <w:r w:rsidR="00040746" w:rsidRPr="004A4C9B">
        <w:t xml:space="preserve"> of the </w:t>
      </w:r>
      <w:r w:rsidR="00D71B5E">
        <w:t>sales</w:t>
      </w:r>
      <w:r w:rsidR="00040746" w:rsidRPr="004A4C9B">
        <w:t xml:space="preserve"> pattern.</w:t>
      </w:r>
    </w:p>
    <w:p w14:paraId="621AD5CB" w14:textId="77777777" w:rsidR="00EA5480" w:rsidRPr="004A4C9B" w:rsidRDefault="00EA5480" w:rsidP="00982611">
      <w:pPr>
        <w:spacing w:line="480" w:lineRule="auto"/>
      </w:pPr>
    </w:p>
    <w:p w14:paraId="16C365CD" w14:textId="4C84E6AF" w:rsidR="00AB1F5F" w:rsidRPr="004A4C9B" w:rsidRDefault="00EF3EB5" w:rsidP="00982611">
      <w:pPr>
        <w:pStyle w:val="Heading2"/>
        <w:spacing w:line="480" w:lineRule="auto"/>
      </w:pPr>
      <w:r w:rsidRPr="004A4C9B">
        <w:t>4</w:t>
      </w:r>
      <w:r w:rsidR="00AB1F5F" w:rsidRPr="004A4C9B">
        <w:t>.3</w:t>
      </w:r>
      <w:r w:rsidR="00EA5480">
        <w:t>.</w:t>
      </w:r>
      <w:r w:rsidR="00AB1F5F" w:rsidRPr="004A4C9B">
        <w:t xml:space="preserve"> Data </w:t>
      </w:r>
      <w:r w:rsidR="00F95A29">
        <w:t>a</w:t>
      </w:r>
      <w:r w:rsidR="00AB1F5F" w:rsidRPr="004A4C9B">
        <w:t>nalysis</w:t>
      </w:r>
    </w:p>
    <w:p w14:paraId="7C98DCF7" w14:textId="76A5AFC5" w:rsidR="00714C52" w:rsidRDefault="00F81AC6" w:rsidP="00982611">
      <w:pPr>
        <w:spacing w:line="480" w:lineRule="auto"/>
        <w:ind w:firstLine="0"/>
      </w:pPr>
      <w:r w:rsidRPr="004A4C9B">
        <w:t xml:space="preserve">The 232 stores belong to five different </w:t>
      </w:r>
      <w:r w:rsidR="00E20822">
        <w:t xml:space="preserve">store </w:t>
      </w:r>
      <w:r w:rsidRPr="004A4C9B">
        <w:t xml:space="preserve">concepts and each concept targets different market segments, which among others, is reflected through different requirements of </w:t>
      </w:r>
      <w:r w:rsidR="00ED6EE0">
        <w:t xml:space="preserve">P1 </w:t>
      </w:r>
      <w:r w:rsidRPr="004A4C9B">
        <w:t>service level</w:t>
      </w:r>
      <w:r w:rsidR="00ED6EE0">
        <w:t xml:space="preserve"> (Silver et al., 1998)</w:t>
      </w:r>
      <w:r w:rsidR="002A09D6">
        <w:t xml:space="preserve"> originating from the retailer itself</w:t>
      </w:r>
      <w:r w:rsidRPr="004A4C9B">
        <w:t xml:space="preserve">. </w:t>
      </w:r>
      <w:r w:rsidR="00DA35FD" w:rsidRPr="004A4C9B">
        <w:t xml:space="preserve">To account for the differences in weekly sales volume subgroups within each concept were formed (see </w:t>
      </w:r>
      <w:r w:rsidR="00A530EA" w:rsidRPr="004A4C9B">
        <w:fldChar w:fldCharType="begin"/>
      </w:r>
      <w:r w:rsidR="00A530EA" w:rsidRPr="004A4C9B">
        <w:instrText xml:space="preserve"> REF _Ref482880379 \h </w:instrText>
      </w:r>
      <w:r w:rsidR="004A4C9B">
        <w:instrText xml:space="preserve"> \* MERGEFORMAT </w:instrText>
      </w:r>
      <w:r w:rsidR="00A530EA" w:rsidRPr="004A4C9B">
        <w:fldChar w:fldCharType="separate"/>
      </w:r>
      <w:r w:rsidR="00E0161A" w:rsidRPr="004A4C9B">
        <w:t xml:space="preserve">Table </w:t>
      </w:r>
      <w:r w:rsidR="00E0161A">
        <w:rPr>
          <w:noProof/>
        </w:rPr>
        <w:t>1</w:t>
      </w:r>
      <w:r w:rsidR="00A530EA" w:rsidRPr="004A4C9B">
        <w:fldChar w:fldCharType="end"/>
      </w:r>
      <w:r w:rsidR="00DA35FD" w:rsidRPr="004A4C9B">
        <w:t xml:space="preserve">). </w:t>
      </w:r>
      <w:r w:rsidR="00FC4325">
        <w:t xml:space="preserve">The number of subgroups were formed by balancing the dispersion in sales within the group (this should not be too high), and the number of stores within each group (the number of stores within each subgroup should be comparable) as well as accounting for the difference in delivery frequency. </w:t>
      </w:r>
      <w:r w:rsidR="00DA35FD" w:rsidRPr="004A4C9B">
        <w:t>Hereby, the e.g. 69 stores belonging to concept A was divided into five subgroups (A-</w:t>
      </w:r>
      <w:proofErr w:type="spellStart"/>
      <w:r w:rsidR="00DA35FD" w:rsidRPr="004A4C9B">
        <w:t>xs</w:t>
      </w:r>
      <w:proofErr w:type="spellEnd"/>
      <w:r w:rsidR="00DA35FD" w:rsidRPr="004A4C9B">
        <w:t xml:space="preserve"> to A-xl) to reflect the diversity of</w:t>
      </w:r>
      <w:r w:rsidR="00FC4325">
        <w:t xml:space="preserve"> sales </w:t>
      </w:r>
      <w:r w:rsidR="00E230C3">
        <w:t>among</w:t>
      </w:r>
      <w:r w:rsidR="00DA35FD" w:rsidRPr="004A4C9B">
        <w:t xml:space="preserve"> the stores</w:t>
      </w:r>
      <w:r w:rsidR="000C095B" w:rsidRPr="004A4C9B">
        <w:t xml:space="preserve"> and </w:t>
      </w:r>
      <w:r w:rsidR="002724FD" w:rsidRPr="004A4C9B">
        <w:t xml:space="preserve">also </w:t>
      </w:r>
      <w:r w:rsidR="000C095B" w:rsidRPr="004A4C9B">
        <w:t>account for differences in the number</w:t>
      </w:r>
      <w:r w:rsidR="00E35C85" w:rsidRPr="004A4C9B">
        <w:t xml:space="preserve"> of weekly ordering days</w:t>
      </w:r>
      <w:r w:rsidR="000C095B" w:rsidRPr="004A4C9B">
        <w:t>.</w:t>
      </w:r>
      <w:r w:rsidR="00EA5480">
        <w:t xml:space="preserve"> </w:t>
      </w:r>
    </w:p>
    <w:p w14:paraId="599D4889" w14:textId="77777777" w:rsidR="00982611" w:rsidRPr="004A4C9B" w:rsidRDefault="00982611" w:rsidP="00982611">
      <w:pPr>
        <w:spacing w:line="480" w:lineRule="auto"/>
        <w:ind w:firstLine="0"/>
      </w:pPr>
    </w:p>
    <w:p w14:paraId="6BF3587C" w14:textId="08D554DA" w:rsidR="009C741D" w:rsidRPr="004A4C9B" w:rsidRDefault="009C741D" w:rsidP="00982611">
      <w:pPr>
        <w:pStyle w:val="Caption"/>
        <w:keepNext/>
        <w:spacing w:after="0"/>
        <w:jc w:val="center"/>
      </w:pPr>
      <w:bookmarkStart w:id="1" w:name="_Ref482880379"/>
      <w:r w:rsidRPr="004A4C9B">
        <w:lastRenderedPageBreak/>
        <w:t xml:space="preserve">Table </w:t>
      </w:r>
      <w:fldSimple w:instr=" SEQ Table \* ARABIC ">
        <w:r w:rsidR="00E0161A">
          <w:rPr>
            <w:noProof/>
          </w:rPr>
          <w:t>1</w:t>
        </w:r>
      </w:fldSimple>
      <w:bookmarkEnd w:id="1"/>
      <w:r w:rsidR="00737240">
        <w:rPr>
          <w:noProof/>
        </w:rPr>
        <w:t xml:space="preserve">: </w:t>
      </w:r>
      <w:r w:rsidR="008815D2">
        <w:rPr>
          <w:noProof/>
        </w:rPr>
        <w:t>Characterictic of subgroups (stores) in the simulation model</w:t>
      </w:r>
    </w:p>
    <w:tbl>
      <w:tblPr>
        <w:tblStyle w:val="TableGrid"/>
        <w:tblW w:w="93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1269"/>
        <w:gridCol w:w="2824"/>
        <w:gridCol w:w="1427"/>
        <w:gridCol w:w="1048"/>
        <w:gridCol w:w="1468"/>
      </w:tblGrid>
      <w:tr w:rsidR="00714C52" w:rsidRPr="004A4C9B" w14:paraId="4818486C" w14:textId="77777777" w:rsidTr="00E230C3">
        <w:trPr>
          <w:trHeight w:val="490"/>
          <w:jc w:val="center"/>
        </w:trPr>
        <w:tc>
          <w:tcPr>
            <w:tcW w:w="1284" w:type="dxa"/>
            <w:tcBorders>
              <w:top w:val="single" w:sz="12" w:space="0" w:color="auto"/>
              <w:bottom w:val="single" w:sz="12" w:space="0" w:color="auto"/>
            </w:tcBorders>
            <w:vAlign w:val="center"/>
          </w:tcPr>
          <w:p w14:paraId="71967C8A" w14:textId="77777777" w:rsidR="00AD47FD" w:rsidRPr="004A4C9B" w:rsidRDefault="00AD47FD" w:rsidP="00982611">
            <w:pPr>
              <w:ind w:firstLine="0"/>
              <w:jc w:val="center"/>
              <w:rPr>
                <w:b/>
                <w:sz w:val="20"/>
                <w:szCs w:val="20"/>
              </w:rPr>
            </w:pPr>
            <w:r w:rsidRPr="004A4C9B">
              <w:rPr>
                <w:b/>
                <w:sz w:val="20"/>
                <w:szCs w:val="20"/>
              </w:rPr>
              <w:t>Concept</w:t>
            </w:r>
          </w:p>
        </w:tc>
        <w:tc>
          <w:tcPr>
            <w:tcW w:w="1269" w:type="dxa"/>
            <w:tcBorders>
              <w:top w:val="single" w:sz="12" w:space="0" w:color="auto"/>
              <w:bottom w:val="single" w:sz="12" w:space="0" w:color="auto"/>
            </w:tcBorders>
            <w:vAlign w:val="center"/>
          </w:tcPr>
          <w:p w14:paraId="35349EC3" w14:textId="3DDA4C74" w:rsidR="00AD47FD" w:rsidRPr="004A4C9B" w:rsidRDefault="00816823" w:rsidP="00982611">
            <w:pPr>
              <w:ind w:firstLine="0"/>
              <w:jc w:val="center"/>
              <w:rPr>
                <w:b/>
                <w:sz w:val="20"/>
                <w:szCs w:val="20"/>
              </w:rPr>
            </w:pPr>
            <w:r>
              <w:rPr>
                <w:b/>
                <w:sz w:val="20"/>
                <w:szCs w:val="20"/>
              </w:rPr>
              <w:t>P1 S</w:t>
            </w:r>
            <w:r w:rsidR="00AD47FD" w:rsidRPr="004A4C9B">
              <w:rPr>
                <w:b/>
                <w:sz w:val="20"/>
                <w:szCs w:val="20"/>
              </w:rPr>
              <w:t>ervice level</w:t>
            </w:r>
          </w:p>
        </w:tc>
        <w:tc>
          <w:tcPr>
            <w:tcW w:w="2824" w:type="dxa"/>
            <w:tcBorders>
              <w:top w:val="single" w:sz="12" w:space="0" w:color="auto"/>
              <w:bottom w:val="single" w:sz="12" w:space="0" w:color="auto"/>
            </w:tcBorders>
            <w:vAlign w:val="center"/>
          </w:tcPr>
          <w:p w14:paraId="3EBB7695" w14:textId="77777777" w:rsidR="00AD47FD" w:rsidRPr="004A4C9B" w:rsidRDefault="00AD47FD" w:rsidP="00982611">
            <w:pPr>
              <w:ind w:firstLine="0"/>
              <w:jc w:val="center"/>
              <w:rPr>
                <w:b/>
                <w:sz w:val="20"/>
                <w:szCs w:val="20"/>
              </w:rPr>
            </w:pPr>
            <w:r w:rsidRPr="004A4C9B">
              <w:rPr>
                <w:b/>
                <w:sz w:val="20"/>
                <w:szCs w:val="20"/>
              </w:rPr>
              <w:t>Ordering days</w:t>
            </w:r>
          </w:p>
        </w:tc>
        <w:tc>
          <w:tcPr>
            <w:tcW w:w="1427" w:type="dxa"/>
            <w:tcBorders>
              <w:top w:val="single" w:sz="12" w:space="0" w:color="auto"/>
              <w:bottom w:val="single" w:sz="12" w:space="0" w:color="auto"/>
            </w:tcBorders>
            <w:vAlign w:val="center"/>
          </w:tcPr>
          <w:p w14:paraId="38C10081" w14:textId="6D65D777" w:rsidR="00AD47FD" w:rsidRPr="004A4C9B" w:rsidRDefault="00E230C3" w:rsidP="00982611">
            <w:pPr>
              <w:ind w:firstLine="0"/>
              <w:jc w:val="center"/>
              <w:rPr>
                <w:b/>
                <w:sz w:val="20"/>
                <w:szCs w:val="20"/>
              </w:rPr>
            </w:pPr>
            <w:r>
              <w:rPr>
                <w:b/>
                <w:sz w:val="20"/>
                <w:szCs w:val="20"/>
              </w:rPr>
              <w:t>Mean w</w:t>
            </w:r>
            <w:r w:rsidR="00AD47FD" w:rsidRPr="004A4C9B">
              <w:rPr>
                <w:b/>
                <w:sz w:val="20"/>
                <w:szCs w:val="20"/>
              </w:rPr>
              <w:t>eekly sales (</w:t>
            </w:r>
            <w:r>
              <w:rPr>
                <w:b/>
                <w:sz w:val="20"/>
                <w:szCs w:val="20"/>
              </w:rPr>
              <w:t>units</w:t>
            </w:r>
            <w:r w:rsidR="00AD47FD" w:rsidRPr="004A4C9B">
              <w:rPr>
                <w:b/>
                <w:sz w:val="20"/>
                <w:szCs w:val="20"/>
              </w:rPr>
              <w:t>)</w:t>
            </w:r>
          </w:p>
        </w:tc>
        <w:tc>
          <w:tcPr>
            <w:tcW w:w="1048" w:type="dxa"/>
            <w:tcBorders>
              <w:top w:val="single" w:sz="12" w:space="0" w:color="auto"/>
              <w:bottom w:val="single" w:sz="12" w:space="0" w:color="auto"/>
            </w:tcBorders>
            <w:vAlign w:val="center"/>
          </w:tcPr>
          <w:p w14:paraId="5F3D2E8D" w14:textId="77777777" w:rsidR="00AD47FD" w:rsidRPr="004A4C9B" w:rsidRDefault="00AD47FD" w:rsidP="00982611">
            <w:pPr>
              <w:ind w:firstLine="0"/>
              <w:jc w:val="center"/>
              <w:rPr>
                <w:b/>
                <w:sz w:val="20"/>
                <w:szCs w:val="20"/>
              </w:rPr>
            </w:pPr>
            <w:r w:rsidRPr="004A4C9B">
              <w:rPr>
                <w:b/>
                <w:sz w:val="20"/>
                <w:szCs w:val="20"/>
              </w:rPr>
              <w:t>Number of stores</w:t>
            </w:r>
          </w:p>
        </w:tc>
        <w:tc>
          <w:tcPr>
            <w:tcW w:w="1468" w:type="dxa"/>
            <w:tcBorders>
              <w:top w:val="single" w:sz="12" w:space="0" w:color="auto"/>
              <w:bottom w:val="single" w:sz="12" w:space="0" w:color="auto"/>
            </w:tcBorders>
            <w:vAlign w:val="center"/>
          </w:tcPr>
          <w:p w14:paraId="492FC152" w14:textId="7410D837" w:rsidR="00AD47FD" w:rsidRPr="004A4C9B" w:rsidRDefault="00EA5480" w:rsidP="00982611">
            <w:pPr>
              <w:ind w:firstLine="0"/>
              <w:jc w:val="center"/>
              <w:rPr>
                <w:b/>
                <w:sz w:val="20"/>
                <w:szCs w:val="20"/>
              </w:rPr>
            </w:pPr>
            <w:r>
              <w:rPr>
                <w:b/>
                <w:sz w:val="20"/>
                <w:szCs w:val="20"/>
              </w:rPr>
              <w:t>Subg</w:t>
            </w:r>
            <w:r w:rsidR="00AD47FD" w:rsidRPr="004A4C9B">
              <w:rPr>
                <w:b/>
                <w:sz w:val="20"/>
                <w:szCs w:val="20"/>
              </w:rPr>
              <w:t>roup</w:t>
            </w:r>
          </w:p>
        </w:tc>
      </w:tr>
      <w:tr w:rsidR="00714C52" w:rsidRPr="004A4C9B" w14:paraId="163145EC" w14:textId="77777777" w:rsidTr="00E230C3">
        <w:trPr>
          <w:trHeight w:val="242"/>
          <w:jc w:val="center"/>
        </w:trPr>
        <w:tc>
          <w:tcPr>
            <w:tcW w:w="1284" w:type="dxa"/>
            <w:tcBorders>
              <w:top w:val="single" w:sz="12" w:space="0" w:color="auto"/>
            </w:tcBorders>
          </w:tcPr>
          <w:p w14:paraId="669F24B5" w14:textId="77777777" w:rsidR="00AD47FD" w:rsidRPr="004A4C9B" w:rsidRDefault="00AD47FD" w:rsidP="00982611">
            <w:pPr>
              <w:ind w:firstLine="0"/>
              <w:jc w:val="center"/>
              <w:rPr>
                <w:sz w:val="20"/>
                <w:szCs w:val="20"/>
              </w:rPr>
            </w:pPr>
            <w:r w:rsidRPr="004A4C9B">
              <w:rPr>
                <w:sz w:val="20"/>
                <w:szCs w:val="20"/>
              </w:rPr>
              <w:t>A</w:t>
            </w:r>
          </w:p>
        </w:tc>
        <w:tc>
          <w:tcPr>
            <w:tcW w:w="1269" w:type="dxa"/>
            <w:tcBorders>
              <w:top w:val="single" w:sz="12" w:space="0" w:color="auto"/>
            </w:tcBorders>
          </w:tcPr>
          <w:p w14:paraId="02502CEB" w14:textId="77777777" w:rsidR="00AD47FD" w:rsidRPr="004A4C9B" w:rsidRDefault="00AD47FD" w:rsidP="00982611">
            <w:pPr>
              <w:ind w:firstLine="0"/>
              <w:jc w:val="center"/>
              <w:rPr>
                <w:sz w:val="20"/>
                <w:szCs w:val="20"/>
              </w:rPr>
            </w:pPr>
            <w:r w:rsidRPr="004A4C9B">
              <w:rPr>
                <w:sz w:val="20"/>
                <w:szCs w:val="20"/>
              </w:rPr>
              <w:t>97%</w:t>
            </w:r>
          </w:p>
        </w:tc>
        <w:tc>
          <w:tcPr>
            <w:tcW w:w="2824" w:type="dxa"/>
            <w:tcBorders>
              <w:top w:val="single" w:sz="12" w:space="0" w:color="auto"/>
            </w:tcBorders>
          </w:tcPr>
          <w:p w14:paraId="58D7DBD5" w14:textId="77777777" w:rsidR="00AD47FD" w:rsidRPr="004A4C9B" w:rsidRDefault="00AD47FD" w:rsidP="00982611">
            <w:pPr>
              <w:ind w:firstLine="0"/>
              <w:jc w:val="center"/>
              <w:rPr>
                <w:sz w:val="20"/>
                <w:szCs w:val="20"/>
              </w:rPr>
            </w:pPr>
            <w:proofErr w:type="spellStart"/>
            <w:r w:rsidRPr="004A4C9B">
              <w:rPr>
                <w:sz w:val="20"/>
                <w:szCs w:val="20"/>
              </w:rPr>
              <w:t>Tu</w:t>
            </w:r>
            <w:proofErr w:type="spellEnd"/>
            <w:r w:rsidRPr="004A4C9B">
              <w:rPr>
                <w:sz w:val="20"/>
                <w:szCs w:val="20"/>
              </w:rPr>
              <w:t>, Sa</w:t>
            </w:r>
          </w:p>
        </w:tc>
        <w:tc>
          <w:tcPr>
            <w:tcW w:w="1427" w:type="dxa"/>
            <w:tcBorders>
              <w:top w:val="single" w:sz="12" w:space="0" w:color="auto"/>
            </w:tcBorders>
            <w:vAlign w:val="bottom"/>
          </w:tcPr>
          <w:p w14:paraId="6C195784" w14:textId="77777777" w:rsidR="00AD47FD" w:rsidRPr="004A4C9B" w:rsidRDefault="00AD47FD" w:rsidP="00982611">
            <w:pPr>
              <w:ind w:firstLine="0"/>
              <w:jc w:val="center"/>
              <w:rPr>
                <w:color w:val="000000"/>
                <w:sz w:val="20"/>
                <w:szCs w:val="20"/>
              </w:rPr>
            </w:pPr>
            <w:r w:rsidRPr="004A4C9B">
              <w:rPr>
                <w:color w:val="000000"/>
                <w:sz w:val="20"/>
                <w:szCs w:val="20"/>
              </w:rPr>
              <w:t>16</w:t>
            </w:r>
          </w:p>
        </w:tc>
        <w:tc>
          <w:tcPr>
            <w:tcW w:w="1048" w:type="dxa"/>
            <w:tcBorders>
              <w:top w:val="single" w:sz="12" w:space="0" w:color="auto"/>
            </w:tcBorders>
          </w:tcPr>
          <w:p w14:paraId="233F4B55" w14:textId="77777777" w:rsidR="00AD47FD" w:rsidRPr="004A4C9B" w:rsidRDefault="00AD47FD" w:rsidP="00982611">
            <w:pPr>
              <w:ind w:firstLine="0"/>
              <w:jc w:val="center"/>
              <w:rPr>
                <w:sz w:val="20"/>
                <w:szCs w:val="20"/>
              </w:rPr>
            </w:pPr>
            <w:r w:rsidRPr="004A4C9B">
              <w:rPr>
                <w:sz w:val="20"/>
                <w:szCs w:val="20"/>
              </w:rPr>
              <w:t>11</w:t>
            </w:r>
          </w:p>
        </w:tc>
        <w:tc>
          <w:tcPr>
            <w:tcW w:w="1468" w:type="dxa"/>
            <w:tcBorders>
              <w:top w:val="single" w:sz="12" w:space="0" w:color="auto"/>
            </w:tcBorders>
          </w:tcPr>
          <w:p w14:paraId="4E39B067" w14:textId="77777777" w:rsidR="00AD47FD" w:rsidRPr="004A4C9B" w:rsidRDefault="00AD47FD" w:rsidP="00982611">
            <w:pPr>
              <w:ind w:firstLine="0"/>
              <w:jc w:val="center"/>
              <w:rPr>
                <w:sz w:val="20"/>
                <w:szCs w:val="20"/>
              </w:rPr>
            </w:pPr>
            <w:r w:rsidRPr="004A4C9B">
              <w:rPr>
                <w:sz w:val="20"/>
                <w:szCs w:val="20"/>
              </w:rPr>
              <w:t>A-</w:t>
            </w:r>
            <w:proofErr w:type="spellStart"/>
            <w:r w:rsidRPr="004A4C9B">
              <w:rPr>
                <w:sz w:val="20"/>
                <w:szCs w:val="20"/>
              </w:rPr>
              <w:t>xs</w:t>
            </w:r>
            <w:proofErr w:type="spellEnd"/>
          </w:p>
        </w:tc>
      </w:tr>
      <w:tr w:rsidR="00714C52" w:rsidRPr="004A4C9B" w14:paraId="2A401490" w14:textId="77777777" w:rsidTr="00E230C3">
        <w:trPr>
          <w:trHeight w:val="230"/>
          <w:jc w:val="center"/>
        </w:trPr>
        <w:tc>
          <w:tcPr>
            <w:tcW w:w="1284" w:type="dxa"/>
          </w:tcPr>
          <w:p w14:paraId="7B5434CA" w14:textId="77777777" w:rsidR="00AD47FD" w:rsidRPr="004A4C9B" w:rsidRDefault="00AD47FD" w:rsidP="00982611">
            <w:pPr>
              <w:ind w:firstLine="0"/>
              <w:jc w:val="center"/>
              <w:rPr>
                <w:sz w:val="20"/>
                <w:szCs w:val="20"/>
              </w:rPr>
            </w:pPr>
          </w:p>
        </w:tc>
        <w:tc>
          <w:tcPr>
            <w:tcW w:w="1269" w:type="dxa"/>
          </w:tcPr>
          <w:p w14:paraId="687A2337" w14:textId="77777777" w:rsidR="00AD47FD" w:rsidRPr="004A4C9B" w:rsidRDefault="00AD47FD" w:rsidP="00982611">
            <w:pPr>
              <w:ind w:firstLine="0"/>
              <w:jc w:val="center"/>
              <w:rPr>
                <w:sz w:val="20"/>
                <w:szCs w:val="20"/>
              </w:rPr>
            </w:pPr>
          </w:p>
        </w:tc>
        <w:tc>
          <w:tcPr>
            <w:tcW w:w="2824" w:type="dxa"/>
          </w:tcPr>
          <w:p w14:paraId="30A5DC4F" w14:textId="77777777" w:rsidR="00AD47FD" w:rsidRPr="004A4C9B" w:rsidRDefault="00AD47FD" w:rsidP="00982611">
            <w:pPr>
              <w:ind w:firstLine="0"/>
              <w:jc w:val="center"/>
              <w:rPr>
                <w:sz w:val="20"/>
                <w:szCs w:val="20"/>
              </w:rPr>
            </w:pPr>
            <w:proofErr w:type="spellStart"/>
            <w:r w:rsidRPr="004A4C9B">
              <w:rPr>
                <w:sz w:val="20"/>
                <w:szCs w:val="20"/>
              </w:rPr>
              <w:t>Tu</w:t>
            </w:r>
            <w:proofErr w:type="spellEnd"/>
            <w:r w:rsidRPr="004A4C9B">
              <w:rPr>
                <w:sz w:val="20"/>
                <w:szCs w:val="20"/>
              </w:rPr>
              <w:t>, Sa</w:t>
            </w:r>
          </w:p>
        </w:tc>
        <w:tc>
          <w:tcPr>
            <w:tcW w:w="1427" w:type="dxa"/>
            <w:vAlign w:val="bottom"/>
          </w:tcPr>
          <w:p w14:paraId="660188AE" w14:textId="77777777" w:rsidR="00AD47FD" w:rsidRPr="004A4C9B" w:rsidRDefault="00AD47FD" w:rsidP="00982611">
            <w:pPr>
              <w:ind w:firstLine="0"/>
              <w:jc w:val="center"/>
              <w:rPr>
                <w:color w:val="000000"/>
                <w:sz w:val="20"/>
                <w:szCs w:val="20"/>
              </w:rPr>
            </w:pPr>
            <w:r w:rsidRPr="004A4C9B">
              <w:rPr>
                <w:color w:val="000000"/>
                <w:sz w:val="20"/>
                <w:szCs w:val="20"/>
              </w:rPr>
              <w:t>25</w:t>
            </w:r>
          </w:p>
        </w:tc>
        <w:tc>
          <w:tcPr>
            <w:tcW w:w="1048" w:type="dxa"/>
          </w:tcPr>
          <w:p w14:paraId="63E56E13" w14:textId="77777777" w:rsidR="00AD47FD" w:rsidRPr="004A4C9B" w:rsidRDefault="00AD47FD" w:rsidP="00982611">
            <w:pPr>
              <w:ind w:firstLine="0"/>
              <w:jc w:val="center"/>
              <w:rPr>
                <w:sz w:val="20"/>
                <w:szCs w:val="20"/>
              </w:rPr>
            </w:pPr>
            <w:r w:rsidRPr="004A4C9B">
              <w:rPr>
                <w:sz w:val="20"/>
                <w:szCs w:val="20"/>
              </w:rPr>
              <w:t>11</w:t>
            </w:r>
          </w:p>
        </w:tc>
        <w:tc>
          <w:tcPr>
            <w:tcW w:w="1468" w:type="dxa"/>
          </w:tcPr>
          <w:p w14:paraId="73BCBA32" w14:textId="77777777" w:rsidR="00AD47FD" w:rsidRPr="004A4C9B" w:rsidRDefault="00AD47FD" w:rsidP="00982611">
            <w:pPr>
              <w:ind w:firstLine="0"/>
              <w:jc w:val="center"/>
              <w:rPr>
                <w:sz w:val="20"/>
                <w:szCs w:val="20"/>
              </w:rPr>
            </w:pPr>
            <w:r w:rsidRPr="004A4C9B">
              <w:rPr>
                <w:sz w:val="20"/>
                <w:szCs w:val="20"/>
              </w:rPr>
              <w:t>A-s</w:t>
            </w:r>
          </w:p>
        </w:tc>
      </w:tr>
      <w:tr w:rsidR="00714C52" w:rsidRPr="004A4C9B" w14:paraId="4A4F19E8" w14:textId="77777777" w:rsidTr="00E230C3">
        <w:trPr>
          <w:trHeight w:val="242"/>
          <w:jc w:val="center"/>
        </w:trPr>
        <w:tc>
          <w:tcPr>
            <w:tcW w:w="1284" w:type="dxa"/>
          </w:tcPr>
          <w:p w14:paraId="7761B0A6" w14:textId="77777777" w:rsidR="00AD47FD" w:rsidRPr="004A4C9B" w:rsidRDefault="00AD47FD" w:rsidP="00982611">
            <w:pPr>
              <w:ind w:firstLine="0"/>
              <w:jc w:val="center"/>
              <w:rPr>
                <w:sz w:val="20"/>
                <w:szCs w:val="20"/>
              </w:rPr>
            </w:pPr>
          </w:p>
        </w:tc>
        <w:tc>
          <w:tcPr>
            <w:tcW w:w="1269" w:type="dxa"/>
          </w:tcPr>
          <w:p w14:paraId="79C2D66C" w14:textId="77777777" w:rsidR="00AD47FD" w:rsidRPr="004A4C9B" w:rsidRDefault="00AD47FD" w:rsidP="00982611">
            <w:pPr>
              <w:ind w:firstLine="0"/>
              <w:jc w:val="center"/>
              <w:rPr>
                <w:sz w:val="20"/>
                <w:szCs w:val="20"/>
              </w:rPr>
            </w:pPr>
          </w:p>
        </w:tc>
        <w:tc>
          <w:tcPr>
            <w:tcW w:w="2824" w:type="dxa"/>
          </w:tcPr>
          <w:p w14:paraId="42A8F2D5" w14:textId="77777777" w:rsidR="00AD47FD" w:rsidRPr="004A4C9B" w:rsidRDefault="00AD47FD" w:rsidP="00982611">
            <w:pPr>
              <w:ind w:firstLine="0"/>
              <w:jc w:val="center"/>
              <w:rPr>
                <w:sz w:val="20"/>
                <w:szCs w:val="20"/>
              </w:rPr>
            </w:pPr>
            <w:proofErr w:type="spellStart"/>
            <w:r w:rsidRPr="004A4C9B">
              <w:rPr>
                <w:sz w:val="20"/>
                <w:szCs w:val="20"/>
              </w:rPr>
              <w:t>Tu</w:t>
            </w:r>
            <w:proofErr w:type="spellEnd"/>
            <w:r w:rsidRPr="004A4C9B">
              <w:rPr>
                <w:sz w:val="20"/>
                <w:szCs w:val="20"/>
              </w:rPr>
              <w:t xml:space="preserve">, </w:t>
            </w:r>
            <w:proofErr w:type="spellStart"/>
            <w:r w:rsidRPr="004A4C9B">
              <w:rPr>
                <w:sz w:val="20"/>
                <w:szCs w:val="20"/>
              </w:rPr>
              <w:t>Th</w:t>
            </w:r>
            <w:proofErr w:type="spellEnd"/>
            <w:r w:rsidRPr="004A4C9B">
              <w:rPr>
                <w:sz w:val="20"/>
                <w:szCs w:val="20"/>
              </w:rPr>
              <w:t>, Sa</w:t>
            </w:r>
          </w:p>
        </w:tc>
        <w:tc>
          <w:tcPr>
            <w:tcW w:w="1427" w:type="dxa"/>
            <w:vAlign w:val="bottom"/>
          </w:tcPr>
          <w:p w14:paraId="6678AA1F" w14:textId="77777777" w:rsidR="00AD47FD" w:rsidRPr="004A4C9B" w:rsidRDefault="00AD47FD" w:rsidP="00982611">
            <w:pPr>
              <w:ind w:firstLine="0"/>
              <w:jc w:val="center"/>
              <w:rPr>
                <w:color w:val="000000"/>
                <w:sz w:val="20"/>
                <w:szCs w:val="20"/>
              </w:rPr>
            </w:pPr>
            <w:r w:rsidRPr="004A4C9B">
              <w:rPr>
                <w:color w:val="000000"/>
                <w:sz w:val="20"/>
                <w:szCs w:val="20"/>
              </w:rPr>
              <w:t>34</w:t>
            </w:r>
          </w:p>
        </w:tc>
        <w:tc>
          <w:tcPr>
            <w:tcW w:w="1048" w:type="dxa"/>
          </w:tcPr>
          <w:p w14:paraId="3E2351CF" w14:textId="77777777" w:rsidR="00AD47FD" w:rsidRPr="004A4C9B" w:rsidRDefault="00AD47FD" w:rsidP="00982611">
            <w:pPr>
              <w:ind w:firstLine="0"/>
              <w:jc w:val="center"/>
              <w:rPr>
                <w:sz w:val="20"/>
                <w:szCs w:val="20"/>
              </w:rPr>
            </w:pPr>
            <w:r w:rsidRPr="004A4C9B">
              <w:rPr>
                <w:sz w:val="20"/>
                <w:szCs w:val="20"/>
              </w:rPr>
              <w:t>22</w:t>
            </w:r>
          </w:p>
        </w:tc>
        <w:tc>
          <w:tcPr>
            <w:tcW w:w="1468" w:type="dxa"/>
          </w:tcPr>
          <w:p w14:paraId="6C065746" w14:textId="77777777" w:rsidR="00AD47FD" w:rsidRPr="004A4C9B" w:rsidRDefault="00AD47FD" w:rsidP="00982611">
            <w:pPr>
              <w:ind w:firstLine="0"/>
              <w:jc w:val="center"/>
              <w:rPr>
                <w:sz w:val="20"/>
                <w:szCs w:val="20"/>
              </w:rPr>
            </w:pPr>
            <w:r w:rsidRPr="004A4C9B">
              <w:rPr>
                <w:sz w:val="20"/>
                <w:szCs w:val="20"/>
              </w:rPr>
              <w:t>A-m</w:t>
            </w:r>
          </w:p>
        </w:tc>
      </w:tr>
      <w:tr w:rsidR="00714C52" w:rsidRPr="004A4C9B" w14:paraId="1D5DFCAB" w14:textId="77777777" w:rsidTr="00E230C3">
        <w:trPr>
          <w:trHeight w:val="230"/>
          <w:jc w:val="center"/>
        </w:trPr>
        <w:tc>
          <w:tcPr>
            <w:tcW w:w="1284" w:type="dxa"/>
          </w:tcPr>
          <w:p w14:paraId="57A1AE53" w14:textId="77777777" w:rsidR="00AD47FD" w:rsidRPr="004A4C9B" w:rsidRDefault="00AD47FD" w:rsidP="00982611">
            <w:pPr>
              <w:ind w:firstLine="0"/>
              <w:jc w:val="center"/>
              <w:rPr>
                <w:sz w:val="20"/>
                <w:szCs w:val="20"/>
              </w:rPr>
            </w:pPr>
          </w:p>
        </w:tc>
        <w:tc>
          <w:tcPr>
            <w:tcW w:w="1269" w:type="dxa"/>
          </w:tcPr>
          <w:p w14:paraId="70A98635" w14:textId="77777777" w:rsidR="00AD47FD" w:rsidRPr="004A4C9B" w:rsidRDefault="00AD47FD" w:rsidP="00982611">
            <w:pPr>
              <w:ind w:firstLine="0"/>
              <w:jc w:val="center"/>
              <w:rPr>
                <w:sz w:val="20"/>
                <w:szCs w:val="20"/>
              </w:rPr>
            </w:pPr>
          </w:p>
        </w:tc>
        <w:tc>
          <w:tcPr>
            <w:tcW w:w="2824" w:type="dxa"/>
          </w:tcPr>
          <w:p w14:paraId="328E9A36" w14:textId="77777777" w:rsidR="00AD47FD" w:rsidRPr="004A4C9B" w:rsidRDefault="00AD47FD" w:rsidP="00982611">
            <w:pPr>
              <w:ind w:firstLine="0"/>
              <w:jc w:val="center"/>
              <w:rPr>
                <w:sz w:val="20"/>
                <w:szCs w:val="20"/>
              </w:rPr>
            </w:pPr>
            <w:proofErr w:type="spellStart"/>
            <w:r w:rsidRPr="004A4C9B">
              <w:rPr>
                <w:sz w:val="20"/>
                <w:szCs w:val="20"/>
              </w:rPr>
              <w:t>Tu</w:t>
            </w:r>
            <w:proofErr w:type="spellEnd"/>
            <w:r w:rsidRPr="004A4C9B">
              <w:rPr>
                <w:sz w:val="20"/>
                <w:szCs w:val="20"/>
              </w:rPr>
              <w:t xml:space="preserve">, </w:t>
            </w:r>
            <w:proofErr w:type="spellStart"/>
            <w:r w:rsidRPr="004A4C9B">
              <w:rPr>
                <w:sz w:val="20"/>
                <w:szCs w:val="20"/>
              </w:rPr>
              <w:t>Th</w:t>
            </w:r>
            <w:proofErr w:type="spellEnd"/>
            <w:r w:rsidRPr="004A4C9B">
              <w:rPr>
                <w:sz w:val="20"/>
                <w:szCs w:val="20"/>
              </w:rPr>
              <w:t>, Sa</w:t>
            </w:r>
          </w:p>
        </w:tc>
        <w:tc>
          <w:tcPr>
            <w:tcW w:w="1427" w:type="dxa"/>
            <w:vAlign w:val="bottom"/>
          </w:tcPr>
          <w:p w14:paraId="23BEE64E" w14:textId="77777777" w:rsidR="00AD47FD" w:rsidRPr="004A4C9B" w:rsidRDefault="00AD47FD" w:rsidP="00982611">
            <w:pPr>
              <w:ind w:firstLine="0"/>
              <w:jc w:val="center"/>
              <w:rPr>
                <w:color w:val="000000"/>
                <w:sz w:val="20"/>
                <w:szCs w:val="20"/>
              </w:rPr>
            </w:pPr>
            <w:r w:rsidRPr="004A4C9B">
              <w:rPr>
                <w:color w:val="000000"/>
                <w:sz w:val="20"/>
                <w:szCs w:val="20"/>
              </w:rPr>
              <w:t>49</w:t>
            </w:r>
          </w:p>
        </w:tc>
        <w:tc>
          <w:tcPr>
            <w:tcW w:w="1048" w:type="dxa"/>
          </w:tcPr>
          <w:p w14:paraId="6D960C42" w14:textId="77777777" w:rsidR="00AD47FD" w:rsidRPr="004A4C9B" w:rsidRDefault="00AD47FD" w:rsidP="00982611">
            <w:pPr>
              <w:ind w:firstLine="0"/>
              <w:jc w:val="center"/>
              <w:rPr>
                <w:sz w:val="20"/>
                <w:szCs w:val="20"/>
              </w:rPr>
            </w:pPr>
            <w:r w:rsidRPr="004A4C9B">
              <w:rPr>
                <w:sz w:val="20"/>
                <w:szCs w:val="20"/>
              </w:rPr>
              <w:t>17</w:t>
            </w:r>
          </w:p>
        </w:tc>
        <w:tc>
          <w:tcPr>
            <w:tcW w:w="1468" w:type="dxa"/>
          </w:tcPr>
          <w:p w14:paraId="30613C95" w14:textId="77777777" w:rsidR="00AD47FD" w:rsidRPr="004A4C9B" w:rsidRDefault="00AD47FD" w:rsidP="00982611">
            <w:pPr>
              <w:ind w:firstLine="0"/>
              <w:jc w:val="center"/>
              <w:rPr>
                <w:sz w:val="20"/>
                <w:szCs w:val="20"/>
              </w:rPr>
            </w:pPr>
            <w:r w:rsidRPr="004A4C9B">
              <w:rPr>
                <w:sz w:val="20"/>
                <w:szCs w:val="20"/>
              </w:rPr>
              <w:t>A-l</w:t>
            </w:r>
          </w:p>
        </w:tc>
      </w:tr>
      <w:tr w:rsidR="00714C52" w:rsidRPr="004A4C9B" w14:paraId="7343F1DF" w14:textId="77777777" w:rsidTr="00E230C3">
        <w:trPr>
          <w:trHeight w:val="242"/>
          <w:jc w:val="center"/>
        </w:trPr>
        <w:tc>
          <w:tcPr>
            <w:tcW w:w="1284" w:type="dxa"/>
            <w:tcBorders>
              <w:bottom w:val="single" w:sz="4" w:space="0" w:color="auto"/>
            </w:tcBorders>
          </w:tcPr>
          <w:p w14:paraId="39B2EC1C" w14:textId="77777777" w:rsidR="00AD47FD" w:rsidRPr="004A4C9B" w:rsidRDefault="00AD47FD" w:rsidP="00982611">
            <w:pPr>
              <w:ind w:firstLine="0"/>
              <w:jc w:val="center"/>
              <w:rPr>
                <w:sz w:val="20"/>
                <w:szCs w:val="20"/>
              </w:rPr>
            </w:pPr>
          </w:p>
        </w:tc>
        <w:tc>
          <w:tcPr>
            <w:tcW w:w="1269" w:type="dxa"/>
            <w:tcBorders>
              <w:bottom w:val="single" w:sz="4" w:space="0" w:color="auto"/>
            </w:tcBorders>
          </w:tcPr>
          <w:p w14:paraId="2018CCA9" w14:textId="77777777" w:rsidR="00AD47FD" w:rsidRPr="004A4C9B" w:rsidRDefault="00AD47FD" w:rsidP="00982611">
            <w:pPr>
              <w:ind w:firstLine="0"/>
              <w:jc w:val="center"/>
              <w:rPr>
                <w:sz w:val="20"/>
                <w:szCs w:val="20"/>
              </w:rPr>
            </w:pPr>
          </w:p>
        </w:tc>
        <w:tc>
          <w:tcPr>
            <w:tcW w:w="2824" w:type="dxa"/>
            <w:tcBorders>
              <w:bottom w:val="single" w:sz="4" w:space="0" w:color="auto"/>
            </w:tcBorders>
          </w:tcPr>
          <w:p w14:paraId="727024BE" w14:textId="77777777" w:rsidR="00AD47FD" w:rsidRPr="004A4C9B" w:rsidRDefault="00AD47FD" w:rsidP="00982611">
            <w:pPr>
              <w:ind w:firstLine="0"/>
              <w:jc w:val="center"/>
              <w:rPr>
                <w:sz w:val="20"/>
                <w:szCs w:val="20"/>
              </w:rPr>
            </w:pPr>
            <w:proofErr w:type="spellStart"/>
            <w:r w:rsidRPr="004A4C9B">
              <w:rPr>
                <w:sz w:val="20"/>
                <w:szCs w:val="20"/>
              </w:rPr>
              <w:t>Tu</w:t>
            </w:r>
            <w:proofErr w:type="spellEnd"/>
            <w:r w:rsidRPr="004A4C9B">
              <w:rPr>
                <w:sz w:val="20"/>
                <w:szCs w:val="20"/>
              </w:rPr>
              <w:t xml:space="preserve">, </w:t>
            </w:r>
            <w:proofErr w:type="spellStart"/>
            <w:r w:rsidRPr="004A4C9B">
              <w:rPr>
                <w:sz w:val="20"/>
                <w:szCs w:val="20"/>
              </w:rPr>
              <w:t>Th</w:t>
            </w:r>
            <w:proofErr w:type="spellEnd"/>
            <w:r w:rsidRPr="004A4C9B">
              <w:rPr>
                <w:sz w:val="20"/>
                <w:szCs w:val="20"/>
              </w:rPr>
              <w:t>, Sa</w:t>
            </w:r>
          </w:p>
        </w:tc>
        <w:tc>
          <w:tcPr>
            <w:tcW w:w="1427" w:type="dxa"/>
            <w:tcBorders>
              <w:bottom w:val="single" w:sz="4" w:space="0" w:color="auto"/>
            </w:tcBorders>
            <w:vAlign w:val="bottom"/>
          </w:tcPr>
          <w:p w14:paraId="533E7373" w14:textId="77777777" w:rsidR="00AD47FD" w:rsidRPr="004A4C9B" w:rsidRDefault="00AD47FD" w:rsidP="00982611">
            <w:pPr>
              <w:ind w:firstLine="0"/>
              <w:jc w:val="center"/>
              <w:rPr>
                <w:color w:val="000000"/>
                <w:sz w:val="20"/>
                <w:szCs w:val="20"/>
              </w:rPr>
            </w:pPr>
            <w:r w:rsidRPr="004A4C9B">
              <w:rPr>
                <w:color w:val="000000"/>
                <w:sz w:val="20"/>
                <w:szCs w:val="20"/>
              </w:rPr>
              <w:t>62</w:t>
            </w:r>
          </w:p>
        </w:tc>
        <w:tc>
          <w:tcPr>
            <w:tcW w:w="1048" w:type="dxa"/>
            <w:tcBorders>
              <w:bottom w:val="single" w:sz="4" w:space="0" w:color="auto"/>
            </w:tcBorders>
          </w:tcPr>
          <w:p w14:paraId="1DDFE84F" w14:textId="77777777" w:rsidR="00AD47FD" w:rsidRPr="004A4C9B" w:rsidRDefault="00AD47FD" w:rsidP="00982611">
            <w:pPr>
              <w:ind w:firstLine="0"/>
              <w:jc w:val="center"/>
              <w:rPr>
                <w:sz w:val="20"/>
                <w:szCs w:val="20"/>
              </w:rPr>
            </w:pPr>
            <w:r w:rsidRPr="004A4C9B">
              <w:rPr>
                <w:sz w:val="20"/>
                <w:szCs w:val="20"/>
              </w:rPr>
              <w:t>8</w:t>
            </w:r>
          </w:p>
        </w:tc>
        <w:tc>
          <w:tcPr>
            <w:tcW w:w="1468" w:type="dxa"/>
            <w:tcBorders>
              <w:bottom w:val="single" w:sz="4" w:space="0" w:color="auto"/>
            </w:tcBorders>
          </w:tcPr>
          <w:p w14:paraId="31DFD6E6" w14:textId="77777777" w:rsidR="00AD47FD" w:rsidRPr="004A4C9B" w:rsidRDefault="00AD47FD" w:rsidP="00982611">
            <w:pPr>
              <w:ind w:firstLine="0"/>
              <w:jc w:val="center"/>
              <w:rPr>
                <w:sz w:val="20"/>
                <w:szCs w:val="20"/>
              </w:rPr>
            </w:pPr>
            <w:r w:rsidRPr="004A4C9B">
              <w:rPr>
                <w:sz w:val="20"/>
                <w:szCs w:val="20"/>
              </w:rPr>
              <w:t>A-xl</w:t>
            </w:r>
          </w:p>
        </w:tc>
      </w:tr>
      <w:tr w:rsidR="00714C52" w:rsidRPr="004A4C9B" w14:paraId="28A58374" w14:textId="77777777" w:rsidTr="00E230C3">
        <w:trPr>
          <w:trHeight w:val="230"/>
          <w:jc w:val="center"/>
        </w:trPr>
        <w:tc>
          <w:tcPr>
            <w:tcW w:w="1284" w:type="dxa"/>
            <w:tcBorders>
              <w:top w:val="single" w:sz="4" w:space="0" w:color="auto"/>
            </w:tcBorders>
          </w:tcPr>
          <w:p w14:paraId="10A2DA52" w14:textId="77777777" w:rsidR="00AD47FD" w:rsidRPr="004A4C9B" w:rsidRDefault="00AD47FD" w:rsidP="00982611">
            <w:pPr>
              <w:ind w:firstLine="0"/>
              <w:jc w:val="center"/>
              <w:rPr>
                <w:sz w:val="20"/>
                <w:szCs w:val="20"/>
              </w:rPr>
            </w:pPr>
            <w:r w:rsidRPr="004A4C9B">
              <w:rPr>
                <w:sz w:val="20"/>
                <w:szCs w:val="20"/>
              </w:rPr>
              <w:t>B</w:t>
            </w:r>
          </w:p>
        </w:tc>
        <w:tc>
          <w:tcPr>
            <w:tcW w:w="1269" w:type="dxa"/>
            <w:tcBorders>
              <w:top w:val="single" w:sz="4" w:space="0" w:color="auto"/>
            </w:tcBorders>
          </w:tcPr>
          <w:p w14:paraId="529E3B41" w14:textId="77777777" w:rsidR="00AD47FD" w:rsidRPr="004A4C9B" w:rsidRDefault="00AD47FD" w:rsidP="00982611">
            <w:pPr>
              <w:ind w:firstLine="0"/>
              <w:jc w:val="center"/>
              <w:rPr>
                <w:sz w:val="20"/>
                <w:szCs w:val="20"/>
              </w:rPr>
            </w:pPr>
            <w:r w:rsidRPr="004A4C9B">
              <w:rPr>
                <w:sz w:val="20"/>
                <w:szCs w:val="20"/>
              </w:rPr>
              <w:t>96%</w:t>
            </w:r>
          </w:p>
        </w:tc>
        <w:tc>
          <w:tcPr>
            <w:tcW w:w="2824" w:type="dxa"/>
            <w:tcBorders>
              <w:top w:val="single" w:sz="4" w:space="0" w:color="auto"/>
            </w:tcBorders>
          </w:tcPr>
          <w:p w14:paraId="1B5400AF" w14:textId="01FE63FA" w:rsidR="00AD47FD" w:rsidRPr="004A4C9B" w:rsidRDefault="000C3A76" w:rsidP="00982611">
            <w:pPr>
              <w:ind w:firstLine="0"/>
              <w:jc w:val="center"/>
              <w:rPr>
                <w:sz w:val="20"/>
                <w:szCs w:val="20"/>
              </w:rPr>
            </w:pPr>
            <w:proofErr w:type="spellStart"/>
            <w:r w:rsidRPr="004A4C9B">
              <w:rPr>
                <w:sz w:val="20"/>
                <w:szCs w:val="20"/>
              </w:rPr>
              <w:t>Tu</w:t>
            </w:r>
            <w:proofErr w:type="spellEnd"/>
            <w:r w:rsidR="00AD47FD" w:rsidRPr="004A4C9B">
              <w:rPr>
                <w:sz w:val="20"/>
                <w:szCs w:val="20"/>
              </w:rPr>
              <w:t>, Sa</w:t>
            </w:r>
          </w:p>
        </w:tc>
        <w:tc>
          <w:tcPr>
            <w:tcW w:w="1427" w:type="dxa"/>
            <w:tcBorders>
              <w:top w:val="single" w:sz="4" w:space="0" w:color="auto"/>
            </w:tcBorders>
            <w:vAlign w:val="bottom"/>
          </w:tcPr>
          <w:p w14:paraId="00AB0BC6" w14:textId="77777777" w:rsidR="00AD47FD" w:rsidRPr="004A4C9B" w:rsidRDefault="00AD47FD" w:rsidP="00982611">
            <w:pPr>
              <w:ind w:firstLine="0"/>
              <w:jc w:val="center"/>
              <w:rPr>
                <w:color w:val="000000"/>
                <w:sz w:val="20"/>
                <w:szCs w:val="20"/>
              </w:rPr>
            </w:pPr>
            <w:r w:rsidRPr="004A4C9B">
              <w:rPr>
                <w:color w:val="000000"/>
                <w:sz w:val="20"/>
                <w:szCs w:val="20"/>
              </w:rPr>
              <w:t>5</w:t>
            </w:r>
          </w:p>
        </w:tc>
        <w:tc>
          <w:tcPr>
            <w:tcW w:w="1048" w:type="dxa"/>
            <w:tcBorders>
              <w:top w:val="single" w:sz="4" w:space="0" w:color="auto"/>
            </w:tcBorders>
          </w:tcPr>
          <w:p w14:paraId="3CEF685F" w14:textId="77777777" w:rsidR="00AD47FD" w:rsidRPr="004A4C9B" w:rsidRDefault="00AD47FD" w:rsidP="00982611">
            <w:pPr>
              <w:ind w:firstLine="0"/>
              <w:jc w:val="center"/>
              <w:rPr>
                <w:sz w:val="20"/>
                <w:szCs w:val="20"/>
              </w:rPr>
            </w:pPr>
            <w:r w:rsidRPr="004A4C9B">
              <w:rPr>
                <w:sz w:val="20"/>
                <w:szCs w:val="20"/>
              </w:rPr>
              <w:t>12</w:t>
            </w:r>
          </w:p>
        </w:tc>
        <w:tc>
          <w:tcPr>
            <w:tcW w:w="1468" w:type="dxa"/>
            <w:tcBorders>
              <w:top w:val="single" w:sz="4" w:space="0" w:color="auto"/>
            </w:tcBorders>
          </w:tcPr>
          <w:p w14:paraId="4783DC41" w14:textId="77777777" w:rsidR="00AD47FD" w:rsidRPr="004A4C9B" w:rsidRDefault="00AD47FD" w:rsidP="00982611">
            <w:pPr>
              <w:ind w:firstLine="0"/>
              <w:jc w:val="center"/>
              <w:rPr>
                <w:sz w:val="20"/>
                <w:szCs w:val="20"/>
              </w:rPr>
            </w:pPr>
            <w:r w:rsidRPr="004A4C9B">
              <w:rPr>
                <w:sz w:val="20"/>
                <w:szCs w:val="20"/>
              </w:rPr>
              <w:t>B-</w:t>
            </w:r>
            <w:proofErr w:type="spellStart"/>
            <w:r w:rsidRPr="004A4C9B">
              <w:rPr>
                <w:sz w:val="20"/>
                <w:szCs w:val="20"/>
              </w:rPr>
              <w:t>xs</w:t>
            </w:r>
            <w:proofErr w:type="spellEnd"/>
          </w:p>
        </w:tc>
      </w:tr>
      <w:tr w:rsidR="00714C52" w:rsidRPr="004A4C9B" w14:paraId="17B8792A" w14:textId="77777777" w:rsidTr="00E230C3">
        <w:trPr>
          <w:trHeight w:val="242"/>
          <w:jc w:val="center"/>
        </w:trPr>
        <w:tc>
          <w:tcPr>
            <w:tcW w:w="1284" w:type="dxa"/>
          </w:tcPr>
          <w:p w14:paraId="70B0CACF" w14:textId="77777777" w:rsidR="00AD47FD" w:rsidRPr="004A4C9B" w:rsidRDefault="00AD47FD" w:rsidP="00982611">
            <w:pPr>
              <w:ind w:firstLine="0"/>
              <w:jc w:val="center"/>
              <w:rPr>
                <w:sz w:val="20"/>
                <w:szCs w:val="20"/>
              </w:rPr>
            </w:pPr>
          </w:p>
        </w:tc>
        <w:tc>
          <w:tcPr>
            <w:tcW w:w="1269" w:type="dxa"/>
          </w:tcPr>
          <w:p w14:paraId="496166F4" w14:textId="77777777" w:rsidR="00AD47FD" w:rsidRPr="004A4C9B" w:rsidRDefault="00AD47FD" w:rsidP="00982611">
            <w:pPr>
              <w:ind w:firstLine="0"/>
              <w:jc w:val="center"/>
              <w:rPr>
                <w:sz w:val="20"/>
                <w:szCs w:val="20"/>
              </w:rPr>
            </w:pPr>
          </w:p>
        </w:tc>
        <w:tc>
          <w:tcPr>
            <w:tcW w:w="2824" w:type="dxa"/>
          </w:tcPr>
          <w:p w14:paraId="38B76CF1" w14:textId="2D881974" w:rsidR="00AD47FD" w:rsidRPr="004A4C9B" w:rsidRDefault="000C3A76" w:rsidP="00982611">
            <w:pPr>
              <w:ind w:firstLine="0"/>
              <w:jc w:val="center"/>
              <w:rPr>
                <w:sz w:val="20"/>
                <w:szCs w:val="20"/>
              </w:rPr>
            </w:pPr>
            <w:proofErr w:type="spellStart"/>
            <w:r w:rsidRPr="004A4C9B">
              <w:rPr>
                <w:sz w:val="20"/>
                <w:szCs w:val="20"/>
              </w:rPr>
              <w:t>Tu</w:t>
            </w:r>
            <w:proofErr w:type="spellEnd"/>
            <w:r w:rsidR="00AD47FD" w:rsidRPr="004A4C9B">
              <w:rPr>
                <w:sz w:val="20"/>
                <w:szCs w:val="20"/>
              </w:rPr>
              <w:t>, Sa</w:t>
            </w:r>
          </w:p>
        </w:tc>
        <w:tc>
          <w:tcPr>
            <w:tcW w:w="1427" w:type="dxa"/>
            <w:vAlign w:val="bottom"/>
          </w:tcPr>
          <w:p w14:paraId="6FDB2C45" w14:textId="77777777" w:rsidR="00AD47FD" w:rsidRPr="004A4C9B" w:rsidRDefault="00AD47FD" w:rsidP="00982611">
            <w:pPr>
              <w:ind w:firstLine="0"/>
              <w:jc w:val="center"/>
              <w:rPr>
                <w:color w:val="000000"/>
                <w:sz w:val="20"/>
                <w:szCs w:val="20"/>
              </w:rPr>
            </w:pPr>
            <w:r w:rsidRPr="004A4C9B">
              <w:rPr>
                <w:color w:val="000000"/>
                <w:sz w:val="20"/>
                <w:szCs w:val="20"/>
              </w:rPr>
              <w:t>8</w:t>
            </w:r>
          </w:p>
        </w:tc>
        <w:tc>
          <w:tcPr>
            <w:tcW w:w="1048" w:type="dxa"/>
          </w:tcPr>
          <w:p w14:paraId="463E4149" w14:textId="77777777" w:rsidR="00AD47FD" w:rsidRPr="004A4C9B" w:rsidRDefault="00AD47FD" w:rsidP="00982611">
            <w:pPr>
              <w:ind w:firstLine="0"/>
              <w:jc w:val="center"/>
              <w:rPr>
                <w:sz w:val="20"/>
                <w:szCs w:val="20"/>
              </w:rPr>
            </w:pPr>
            <w:r w:rsidRPr="004A4C9B">
              <w:rPr>
                <w:sz w:val="20"/>
                <w:szCs w:val="20"/>
              </w:rPr>
              <w:t>23</w:t>
            </w:r>
          </w:p>
        </w:tc>
        <w:tc>
          <w:tcPr>
            <w:tcW w:w="1468" w:type="dxa"/>
          </w:tcPr>
          <w:p w14:paraId="5D5B6EDA" w14:textId="77777777" w:rsidR="00AD47FD" w:rsidRPr="004A4C9B" w:rsidRDefault="00AD47FD" w:rsidP="00982611">
            <w:pPr>
              <w:ind w:firstLine="0"/>
              <w:jc w:val="center"/>
              <w:rPr>
                <w:sz w:val="20"/>
                <w:szCs w:val="20"/>
              </w:rPr>
            </w:pPr>
            <w:r w:rsidRPr="004A4C9B">
              <w:rPr>
                <w:sz w:val="20"/>
                <w:szCs w:val="20"/>
              </w:rPr>
              <w:t>B-s</w:t>
            </w:r>
          </w:p>
        </w:tc>
      </w:tr>
      <w:tr w:rsidR="00714C52" w:rsidRPr="004A4C9B" w14:paraId="378EFCD9" w14:textId="77777777" w:rsidTr="00E230C3">
        <w:trPr>
          <w:trHeight w:val="242"/>
          <w:jc w:val="center"/>
        </w:trPr>
        <w:tc>
          <w:tcPr>
            <w:tcW w:w="1284" w:type="dxa"/>
          </w:tcPr>
          <w:p w14:paraId="1B0CFD2D" w14:textId="77777777" w:rsidR="00AD47FD" w:rsidRPr="004A4C9B" w:rsidRDefault="00AD47FD" w:rsidP="00982611">
            <w:pPr>
              <w:ind w:firstLine="0"/>
              <w:jc w:val="center"/>
              <w:rPr>
                <w:sz w:val="20"/>
                <w:szCs w:val="20"/>
              </w:rPr>
            </w:pPr>
          </w:p>
        </w:tc>
        <w:tc>
          <w:tcPr>
            <w:tcW w:w="1269" w:type="dxa"/>
          </w:tcPr>
          <w:p w14:paraId="5C5974AC" w14:textId="77777777" w:rsidR="00AD47FD" w:rsidRPr="004A4C9B" w:rsidRDefault="00AD47FD" w:rsidP="00982611">
            <w:pPr>
              <w:ind w:firstLine="0"/>
              <w:jc w:val="center"/>
              <w:rPr>
                <w:sz w:val="20"/>
                <w:szCs w:val="20"/>
              </w:rPr>
            </w:pPr>
          </w:p>
        </w:tc>
        <w:tc>
          <w:tcPr>
            <w:tcW w:w="2824" w:type="dxa"/>
          </w:tcPr>
          <w:p w14:paraId="6EDDD5B4" w14:textId="5309E150" w:rsidR="00AD47FD" w:rsidRPr="004A4C9B" w:rsidRDefault="000C3A76" w:rsidP="00982611">
            <w:pPr>
              <w:ind w:firstLine="0"/>
              <w:jc w:val="center"/>
              <w:rPr>
                <w:sz w:val="20"/>
                <w:szCs w:val="20"/>
              </w:rPr>
            </w:pPr>
            <w:proofErr w:type="spellStart"/>
            <w:r w:rsidRPr="004A4C9B">
              <w:rPr>
                <w:sz w:val="20"/>
                <w:szCs w:val="20"/>
              </w:rPr>
              <w:t>Tu</w:t>
            </w:r>
            <w:proofErr w:type="spellEnd"/>
            <w:r w:rsidR="00AD47FD" w:rsidRPr="004A4C9B">
              <w:rPr>
                <w:sz w:val="20"/>
                <w:szCs w:val="20"/>
              </w:rPr>
              <w:t>, Sa</w:t>
            </w:r>
          </w:p>
        </w:tc>
        <w:tc>
          <w:tcPr>
            <w:tcW w:w="1427" w:type="dxa"/>
            <w:vAlign w:val="bottom"/>
          </w:tcPr>
          <w:p w14:paraId="4F5C57D2" w14:textId="77777777" w:rsidR="00AD47FD" w:rsidRPr="004A4C9B" w:rsidRDefault="00AD47FD" w:rsidP="00982611">
            <w:pPr>
              <w:ind w:firstLine="0"/>
              <w:jc w:val="center"/>
              <w:rPr>
                <w:color w:val="000000"/>
                <w:sz w:val="20"/>
                <w:szCs w:val="20"/>
              </w:rPr>
            </w:pPr>
            <w:r w:rsidRPr="004A4C9B">
              <w:rPr>
                <w:color w:val="000000"/>
                <w:sz w:val="20"/>
                <w:szCs w:val="20"/>
              </w:rPr>
              <w:t>13</w:t>
            </w:r>
          </w:p>
        </w:tc>
        <w:tc>
          <w:tcPr>
            <w:tcW w:w="1048" w:type="dxa"/>
          </w:tcPr>
          <w:p w14:paraId="24A1EFD4" w14:textId="77777777" w:rsidR="00AD47FD" w:rsidRPr="004A4C9B" w:rsidRDefault="00AD47FD" w:rsidP="00982611">
            <w:pPr>
              <w:ind w:firstLine="0"/>
              <w:jc w:val="center"/>
              <w:rPr>
                <w:sz w:val="20"/>
                <w:szCs w:val="20"/>
              </w:rPr>
            </w:pPr>
            <w:r w:rsidRPr="004A4C9B">
              <w:rPr>
                <w:sz w:val="20"/>
                <w:szCs w:val="20"/>
              </w:rPr>
              <w:t>25</w:t>
            </w:r>
          </w:p>
        </w:tc>
        <w:tc>
          <w:tcPr>
            <w:tcW w:w="1468" w:type="dxa"/>
          </w:tcPr>
          <w:p w14:paraId="737A5800" w14:textId="77777777" w:rsidR="00AD47FD" w:rsidRPr="004A4C9B" w:rsidRDefault="00AD47FD" w:rsidP="00982611">
            <w:pPr>
              <w:ind w:firstLine="0"/>
              <w:jc w:val="center"/>
              <w:rPr>
                <w:sz w:val="20"/>
                <w:szCs w:val="20"/>
              </w:rPr>
            </w:pPr>
            <w:r w:rsidRPr="004A4C9B">
              <w:rPr>
                <w:sz w:val="20"/>
                <w:szCs w:val="20"/>
              </w:rPr>
              <w:t>B-m</w:t>
            </w:r>
          </w:p>
        </w:tc>
      </w:tr>
      <w:tr w:rsidR="00714C52" w:rsidRPr="004A4C9B" w14:paraId="1E233710" w14:textId="77777777" w:rsidTr="00E230C3">
        <w:trPr>
          <w:trHeight w:val="230"/>
          <w:jc w:val="center"/>
        </w:trPr>
        <w:tc>
          <w:tcPr>
            <w:tcW w:w="1284" w:type="dxa"/>
          </w:tcPr>
          <w:p w14:paraId="0386ECA0" w14:textId="77777777" w:rsidR="00AD47FD" w:rsidRPr="004A4C9B" w:rsidRDefault="00AD47FD" w:rsidP="00982611">
            <w:pPr>
              <w:ind w:firstLine="0"/>
              <w:jc w:val="center"/>
              <w:rPr>
                <w:sz w:val="20"/>
                <w:szCs w:val="20"/>
              </w:rPr>
            </w:pPr>
          </w:p>
        </w:tc>
        <w:tc>
          <w:tcPr>
            <w:tcW w:w="1269" w:type="dxa"/>
          </w:tcPr>
          <w:p w14:paraId="6A3056CB" w14:textId="77777777" w:rsidR="00AD47FD" w:rsidRPr="004A4C9B" w:rsidRDefault="00AD47FD" w:rsidP="00982611">
            <w:pPr>
              <w:ind w:firstLine="0"/>
              <w:jc w:val="center"/>
              <w:rPr>
                <w:sz w:val="20"/>
                <w:szCs w:val="20"/>
              </w:rPr>
            </w:pPr>
          </w:p>
        </w:tc>
        <w:tc>
          <w:tcPr>
            <w:tcW w:w="2824" w:type="dxa"/>
          </w:tcPr>
          <w:p w14:paraId="5B7E8B14" w14:textId="0002F4A7" w:rsidR="00AD47FD" w:rsidRPr="004A4C9B" w:rsidRDefault="000C3A76" w:rsidP="00982611">
            <w:pPr>
              <w:ind w:firstLine="0"/>
              <w:jc w:val="center"/>
              <w:rPr>
                <w:sz w:val="20"/>
                <w:szCs w:val="20"/>
              </w:rPr>
            </w:pPr>
            <w:proofErr w:type="spellStart"/>
            <w:r w:rsidRPr="004A4C9B">
              <w:rPr>
                <w:sz w:val="20"/>
                <w:szCs w:val="20"/>
              </w:rPr>
              <w:t>Tu</w:t>
            </w:r>
            <w:proofErr w:type="spellEnd"/>
            <w:r w:rsidR="00AD47FD" w:rsidRPr="004A4C9B">
              <w:rPr>
                <w:sz w:val="20"/>
                <w:szCs w:val="20"/>
              </w:rPr>
              <w:t>, Sa</w:t>
            </w:r>
          </w:p>
        </w:tc>
        <w:tc>
          <w:tcPr>
            <w:tcW w:w="1427" w:type="dxa"/>
            <w:vAlign w:val="bottom"/>
          </w:tcPr>
          <w:p w14:paraId="20AA563C" w14:textId="77777777" w:rsidR="00AD47FD" w:rsidRPr="004A4C9B" w:rsidRDefault="00AD47FD" w:rsidP="00982611">
            <w:pPr>
              <w:ind w:firstLine="0"/>
              <w:jc w:val="center"/>
              <w:rPr>
                <w:color w:val="000000"/>
                <w:sz w:val="20"/>
                <w:szCs w:val="20"/>
              </w:rPr>
            </w:pPr>
            <w:r w:rsidRPr="004A4C9B">
              <w:rPr>
                <w:color w:val="000000"/>
                <w:sz w:val="20"/>
                <w:szCs w:val="20"/>
              </w:rPr>
              <w:t>18</w:t>
            </w:r>
          </w:p>
        </w:tc>
        <w:tc>
          <w:tcPr>
            <w:tcW w:w="1048" w:type="dxa"/>
          </w:tcPr>
          <w:p w14:paraId="41BAF8B7" w14:textId="77777777" w:rsidR="00AD47FD" w:rsidRPr="004A4C9B" w:rsidRDefault="00AD47FD" w:rsidP="00982611">
            <w:pPr>
              <w:ind w:firstLine="0"/>
              <w:jc w:val="center"/>
              <w:rPr>
                <w:sz w:val="20"/>
                <w:szCs w:val="20"/>
              </w:rPr>
            </w:pPr>
            <w:r w:rsidRPr="004A4C9B">
              <w:rPr>
                <w:sz w:val="20"/>
                <w:szCs w:val="20"/>
              </w:rPr>
              <w:t>17</w:t>
            </w:r>
          </w:p>
        </w:tc>
        <w:tc>
          <w:tcPr>
            <w:tcW w:w="1468" w:type="dxa"/>
          </w:tcPr>
          <w:p w14:paraId="3CE451CF" w14:textId="77777777" w:rsidR="00AD47FD" w:rsidRPr="004A4C9B" w:rsidRDefault="00AD47FD" w:rsidP="00982611">
            <w:pPr>
              <w:ind w:firstLine="0"/>
              <w:jc w:val="center"/>
              <w:rPr>
                <w:sz w:val="20"/>
                <w:szCs w:val="20"/>
              </w:rPr>
            </w:pPr>
            <w:r w:rsidRPr="004A4C9B">
              <w:rPr>
                <w:sz w:val="20"/>
                <w:szCs w:val="20"/>
              </w:rPr>
              <w:t>B-l</w:t>
            </w:r>
          </w:p>
        </w:tc>
      </w:tr>
      <w:tr w:rsidR="00714C52" w:rsidRPr="004A4C9B" w14:paraId="3D275DC2" w14:textId="77777777" w:rsidTr="00E230C3">
        <w:trPr>
          <w:trHeight w:val="242"/>
          <w:jc w:val="center"/>
        </w:trPr>
        <w:tc>
          <w:tcPr>
            <w:tcW w:w="1284" w:type="dxa"/>
          </w:tcPr>
          <w:p w14:paraId="48041184" w14:textId="77777777" w:rsidR="00AD47FD" w:rsidRPr="004A4C9B" w:rsidRDefault="00AD47FD" w:rsidP="00982611">
            <w:pPr>
              <w:ind w:firstLine="0"/>
              <w:jc w:val="center"/>
              <w:rPr>
                <w:sz w:val="20"/>
                <w:szCs w:val="20"/>
              </w:rPr>
            </w:pPr>
          </w:p>
        </w:tc>
        <w:tc>
          <w:tcPr>
            <w:tcW w:w="1269" w:type="dxa"/>
          </w:tcPr>
          <w:p w14:paraId="5F20D157" w14:textId="77777777" w:rsidR="00AD47FD" w:rsidRPr="004A4C9B" w:rsidRDefault="00AD47FD" w:rsidP="00982611">
            <w:pPr>
              <w:ind w:firstLine="0"/>
              <w:jc w:val="center"/>
              <w:rPr>
                <w:sz w:val="20"/>
                <w:szCs w:val="20"/>
              </w:rPr>
            </w:pPr>
          </w:p>
        </w:tc>
        <w:tc>
          <w:tcPr>
            <w:tcW w:w="2824" w:type="dxa"/>
          </w:tcPr>
          <w:p w14:paraId="090BCF06" w14:textId="50034A27" w:rsidR="00AD47FD" w:rsidRPr="004A4C9B" w:rsidRDefault="000C3A76" w:rsidP="00982611">
            <w:pPr>
              <w:ind w:firstLine="0"/>
              <w:jc w:val="center"/>
              <w:rPr>
                <w:sz w:val="20"/>
                <w:szCs w:val="20"/>
              </w:rPr>
            </w:pPr>
            <w:proofErr w:type="spellStart"/>
            <w:r w:rsidRPr="004A4C9B">
              <w:rPr>
                <w:sz w:val="20"/>
                <w:szCs w:val="20"/>
              </w:rPr>
              <w:t>Tu</w:t>
            </w:r>
            <w:proofErr w:type="spellEnd"/>
            <w:r w:rsidR="00AD47FD" w:rsidRPr="004A4C9B">
              <w:rPr>
                <w:sz w:val="20"/>
                <w:szCs w:val="20"/>
              </w:rPr>
              <w:t>, Sa</w:t>
            </w:r>
          </w:p>
        </w:tc>
        <w:tc>
          <w:tcPr>
            <w:tcW w:w="1427" w:type="dxa"/>
            <w:vAlign w:val="bottom"/>
          </w:tcPr>
          <w:p w14:paraId="2511D98C" w14:textId="77777777" w:rsidR="00AD47FD" w:rsidRPr="004A4C9B" w:rsidRDefault="00AD47FD" w:rsidP="00982611">
            <w:pPr>
              <w:ind w:firstLine="0"/>
              <w:jc w:val="center"/>
              <w:rPr>
                <w:color w:val="000000"/>
                <w:sz w:val="20"/>
                <w:szCs w:val="20"/>
              </w:rPr>
            </w:pPr>
            <w:r w:rsidRPr="004A4C9B">
              <w:rPr>
                <w:color w:val="000000"/>
                <w:sz w:val="20"/>
                <w:szCs w:val="20"/>
              </w:rPr>
              <w:t>26</w:t>
            </w:r>
          </w:p>
        </w:tc>
        <w:tc>
          <w:tcPr>
            <w:tcW w:w="1048" w:type="dxa"/>
          </w:tcPr>
          <w:p w14:paraId="38D38476" w14:textId="77777777" w:rsidR="00AD47FD" w:rsidRPr="004A4C9B" w:rsidRDefault="00AD47FD" w:rsidP="00982611">
            <w:pPr>
              <w:ind w:firstLine="0"/>
              <w:jc w:val="center"/>
              <w:rPr>
                <w:sz w:val="20"/>
                <w:szCs w:val="20"/>
              </w:rPr>
            </w:pPr>
            <w:r w:rsidRPr="004A4C9B">
              <w:rPr>
                <w:sz w:val="20"/>
                <w:szCs w:val="20"/>
              </w:rPr>
              <w:t>11</w:t>
            </w:r>
          </w:p>
        </w:tc>
        <w:tc>
          <w:tcPr>
            <w:tcW w:w="1468" w:type="dxa"/>
          </w:tcPr>
          <w:p w14:paraId="258D69FA" w14:textId="77777777" w:rsidR="00AD47FD" w:rsidRPr="004A4C9B" w:rsidRDefault="00AD47FD" w:rsidP="00982611">
            <w:pPr>
              <w:ind w:firstLine="0"/>
              <w:jc w:val="center"/>
              <w:rPr>
                <w:sz w:val="20"/>
                <w:szCs w:val="20"/>
              </w:rPr>
            </w:pPr>
            <w:r w:rsidRPr="004A4C9B">
              <w:rPr>
                <w:sz w:val="20"/>
                <w:szCs w:val="20"/>
              </w:rPr>
              <w:t>B-xl</w:t>
            </w:r>
          </w:p>
        </w:tc>
      </w:tr>
      <w:tr w:rsidR="00714C52" w:rsidRPr="004A4C9B" w14:paraId="687380CC" w14:textId="77777777" w:rsidTr="00E230C3">
        <w:trPr>
          <w:trHeight w:val="230"/>
          <w:jc w:val="center"/>
        </w:trPr>
        <w:tc>
          <w:tcPr>
            <w:tcW w:w="1284" w:type="dxa"/>
            <w:tcBorders>
              <w:bottom w:val="single" w:sz="4" w:space="0" w:color="auto"/>
            </w:tcBorders>
          </w:tcPr>
          <w:p w14:paraId="2A44AF53" w14:textId="77777777" w:rsidR="00AD47FD" w:rsidRPr="004A4C9B" w:rsidRDefault="00AD47FD" w:rsidP="00982611">
            <w:pPr>
              <w:ind w:firstLine="0"/>
              <w:jc w:val="center"/>
              <w:rPr>
                <w:sz w:val="20"/>
                <w:szCs w:val="20"/>
              </w:rPr>
            </w:pPr>
          </w:p>
        </w:tc>
        <w:tc>
          <w:tcPr>
            <w:tcW w:w="1269" w:type="dxa"/>
            <w:tcBorders>
              <w:bottom w:val="single" w:sz="4" w:space="0" w:color="auto"/>
            </w:tcBorders>
          </w:tcPr>
          <w:p w14:paraId="2806C072" w14:textId="77777777" w:rsidR="00AD47FD" w:rsidRPr="004A4C9B" w:rsidRDefault="00AD47FD" w:rsidP="00982611">
            <w:pPr>
              <w:ind w:firstLine="0"/>
              <w:jc w:val="center"/>
              <w:rPr>
                <w:sz w:val="20"/>
                <w:szCs w:val="20"/>
              </w:rPr>
            </w:pPr>
          </w:p>
        </w:tc>
        <w:tc>
          <w:tcPr>
            <w:tcW w:w="2824" w:type="dxa"/>
            <w:tcBorders>
              <w:bottom w:val="single" w:sz="4" w:space="0" w:color="auto"/>
            </w:tcBorders>
          </w:tcPr>
          <w:p w14:paraId="26119F38" w14:textId="77777777" w:rsidR="00AD47FD" w:rsidRPr="004A4C9B" w:rsidRDefault="00AD47FD" w:rsidP="00982611">
            <w:pPr>
              <w:ind w:firstLine="0"/>
              <w:jc w:val="center"/>
              <w:rPr>
                <w:sz w:val="20"/>
                <w:szCs w:val="20"/>
              </w:rPr>
            </w:pPr>
            <w:r w:rsidRPr="004A4C9B">
              <w:rPr>
                <w:sz w:val="20"/>
                <w:szCs w:val="20"/>
              </w:rPr>
              <w:t>M, W, Sa</w:t>
            </w:r>
          </w:p>
        </w:tc>
        <w:tc>
          <w:tcPr>
            <w:tcW w:w="1427" w:type="dxa"/>
            <w:tcBorders>
              <w:bottom w:val="single" w:sz="4" w:space="0" w:color="auto"/>
            </w:tcBorders>
            <w:vAlign w:val="bottom"/>
          </w:tcPr>
          <w:p w14:paraId="0D15FDF7" w14:textId="77777777" w:rsidR="00AD47FD" w:rsidRPr="004A4C9B" w:rsidRDefault="00AD47FD" w:rsidP="00982611">
            <w:pPr>
              <w:ind w:firstLine="0"/>
              <w:jc w:val="center"/>
              <w:rPr>
                <w:color w:val="000000"/>
                <w:sz w:val="20"/>
                <w:szCs w:val="20"/>
              </w:rPr>
            </w:pPr>
            <w:r w:rsidRPr="004A4C9B">
              <w:rPr>
                <w:color w:val="000000"/>
                <w:sz w:val="20"/>
                <w:szCs w:val="20"/>
              </w:rPr>
              <w:t>37</w:t>
            </w:r>
          </w:p>
        </w:tc>
        <w:tc>
          <w:tcPr>
            <w:tcW w:w="1048" w:type="dxa"/>
            <w:tcBorders>
              <w:bottom w:val="single" w:sz="4" w:space="0" w:color="auto"/>
            </w:tcBorders>
          </w:tcPr>
          <w:p w14:paraId="1FBC9F4F" w14:textId="77777777" w:rsidR="00AD47FD" w:rsidRPr="004A4C9B" w:rsidRDefault="00AD47FD" w:rsidP="00982611">
            <w:pPr>
              <w:ind w:firstLine="0"/>
              <w:jc w:val="center"/>
              <w:rPr>
                <w:sz w:val="20"/>
                <w:szCs w:val="20"/>
              </w:rPr>
            </w:pPr>
            <w:r w:rsidRPr="004A4C9B">
              <w:rPr>
                <w:sz w:val="20"/>
                <w:szCs w:val="20"/>
              </w:rPr>
              <w:t>10</w:t>
            </w:r>
          </w:p>
        </w:tc>
        <w:tc>
          <w:tcPr>
            <w:tcW w:w="1468" w:type="dxa"/>
            <w:tcBorders>
              <w:bottom w:val="single" w:sz="4" w:space="0" w:color="auto"/>
            </w:tcBorders>
          </w:tcPr>
          <w:p w14:paraId="2238647B" w14:textId="77777777" w:rsidR="00AD47FD" w:rsidRPr="004A4C9B" w:rsidRDefault="00AD47FD" w:rsidP="00982611">
            <w:pPr>
              <w:ind w:firstLine="0"/>
              <w:jc w:val="center"/>
              <w:rPr>
                <w:sz w:val="20"/>
                <w:szCs w:val="20"/>
              </w:rPr>
            </w:pPr>
            <w:r w:rsidRPr="004A4C9B">
              <w:rPr>
                <w:sz w:val="20"/>
                <w:szCs w:val="20"/>
              </w:rPr>
              <w:t>B-</w:t>
            </w:r>
            <w:proofErr w:type="spellStart"/>
            <w:r w:rsidRPr="004A4C9B">
              <w:rPr>
                <w:sz w:val="20"/>
                <w:szCs w:val="20"/>
              </w:rPr>
              <w:t>xxl</w:t>
            </w:r>
            <w:proofErr w:type="spellEnd"/>
          </w:p>
        </w:tc>
      </w:tr>
      <w:tr w:rsidR="00714C52" w:rsidRPr="004A4C9B" w14:paraId="551170D9" w14:textId="77777777" w:rsidTr="00E230C3">
        <w:trPr>
          <w:trHeight w:val="242"/>
          <w:jc w:val="center"/>
        </w:trPr>
        <w:tc>
          <w:tcPr>
            <w:tcW w:w="1284" w:type="dxa"/>
            <w:tcBorders>
              <w:top w:val="single" w:sz="4" w:space="0" w:color="auto"/>
            </w:tcBorders>
          </w:tcPr>
          <w:p w14:paraId="32210234" w14:textId="77777777" w:rsidR="00AD47FD" w:rsidRPr="004A4C9B" w:rsidRDefault="00AD47FD" w:rsidP="00982611">
            <w:pPr>
              <w:ind w:firstLine="0"/>
              <w:jc w:val="center"/>
              <w:rPr>
                <w:sz w:val="20"/>
                <w:szCs w:val="20"/>
              </w:rPr>
            </w:pPr>
            <w:r w:rsidRPr="004A4C9B">
              <w:rPr>
                <w:sz w:val="20"/>
                <w:szCs w:val="20"/>
              </w:rPr>
              <w:t>C</w:t>
            </w:r>
          </w:p>
        </w:tc>
        <w:tc>
          <w:tcPr>
            <w:tcW w:w="1269" w:type="dxa"/>
            <w:tcBorders>
              <w:top w:val="single" w:sz="4" w:space="0" w:color="auto"/>
            </w:tcBorders>
          </w:tcPr>
          <w:p w14:paraId="375E548A" w14:textId="77777777" w:rsidR="00AD47FD" w:rsidRPr="004A4C9B" w:rsidRDefault="00AD47FD" w:rsidP="00982611">
            <w:pPr>
              <w:ind w:firstLine="0"/>
              <w:jc w:val="center"/>
              <w:rPr>
                <w:sz w:val="20"/>
                <w:szCs w:val="20"/>
              </w:rPr>
            </w:pPr>
            <w:r w:rsidRPr="004A4C9B">
              <w:rPr>
                <w:sz w:val="20"/>
                <w:szCs w:val="20"/>
              </w:rPr>
              <w:t>97,5%</w:t>
            </w:r>
          </w:p>
        </w:tc>
        <w:tc>
          <w:tcPr>
            <w:tcW w:w="2824" w:type="dxa"/>
            <w:tcBorders>
              <w:top w:val="single" w:sz="4" w:space="0" w:color="auto"/>
            </w:tcBorders>
          </w:tcPr>
          <w:p w14:paraId="38DE0F32" w14:textId="77777777" w:rsidR="00AD47FD" w:rsidRPr="004A4C9B" w:rsidRDefault="00AD47FD" w:rsidP="00982611">
            <w:pPr>
              <w:ind w:firstLine="0"/>
              <w:jc w:val="center"/>
              <w:rPr>
                <w:sz w:val="20"/>
                <w:szCs w:val="20"/>
              </w:rPr>
            </w:pPr>
            <w:r w:rsidRPr="004A4C9B">
              <w:rPr>
                <w:sz w:val="20"/>
                <w:szCs w:val="20"/>
              </w:rPr>
              <w:t>M, W, Sa</w:t>
            </w:r>
          </w:p>
        </w:tc>
        <w:tc>
          <w:tcPr>
            <w:tcW w:w="1427" w:type="dxa"/>
            <w:tcBorders>
              <w:top w:val="single" w:sz="4" w:space="0" w:color="auto"/>
            </w:tcBorders>
            <w:vAlign w:val="bottom"/>
          </w:tcPr>
          <w:p w14:paraId="39F9BB92" w14:textId="77777777" w:rsidR="00AD47FD" w:rsidRPr="004A4C9B" w:rsidRDefault="00AD47FD" w:rsidP="00982611">
            <w:pPr>
              <w:ind w:firstLine="0"/>
              <w:jc w:val="center"/>
              <w:rPr>
                <w:color w:val="000000"/>
                <w:sz w:val="20"/>
                <w:szCs w:val="20"/>
              </w:rPr>
            </w:pPr>
            <w:r w:rsidRPr="004A4C9B">
              <w:rPr>
                <w:color w:val="000000"/>
                <w:sz w:val="20"/>
                <w:szCs w:val="20"/>
              </w:rPr>
              <w:t>30</w:t>
            </w:r>
          </w:p>
        </w:tc>
        <w:tc>
          <w:tcPr>
            <w:tcW w:w="1048" w:type="dxa"/>
            <w:tcBorders>
              <w:top w:val="single" w:sz="4" w:space="0" w:color="auto"/>
            </w:tcBorders>
          </w:tcPr>
          <w:p w14:paraId="3C9D91AD" w14:textId="77777777" w:rsidR="00AD47FD" w:rsidRPr="004A4C9B" w:rsidRDefault="00AD47FD" w:rsidP="00982611">
            <w:pPr>
              <w:ind w:firstLine="0"/>
              <w:jc w:val="center"/>
              <w:rPr>
                <w:sz w:val="20"/>
                <w:szCs w:val="20"/>
              </w:rPr>
            </w:pPr>
            <w:r w:rsidRPr="004A4C9B">
              <w:rPr>
                <w:sz w:val="20"/>
                <w:szCs w:val="20"/>
              </w:rPr>
              <w:t>3</w:t>
            </w:r>
          </w:p>
        </w:tc>
        <w:tc>
          <w:tcPr>
            <w:tcW w:w="1468" w:type="dxa"/>
            <w:tcBorders>
              <w:top w:val="single" w:sz="4" w:space="0" w:color="auto"/>
            </w:tcBorders>
          </w:tcPr>
          <w:p w14:paraId="03EA7830" w14:textId="77777777" w:rsidR="00AD47FD" w:rsidRPr="004A4C9B" w:rsidRDefault="00AD47FD" w:rsidP="00982611">
            <w:pPr>
              <w:ind w:firstLine="0"/>
              <w:jc w:val="center"/>
              <w:rPr>
                <w:sz w:val="20"/>
                <w:szCs w:val="20"/>
              </w:rPr>
            </w:pPr>
            <w:r w:rsidRPr="004A4C9B">
              <w:rPr>
                <w:sz w:val="20"/>
                <w:szCs w:val="20"/>
              </w:rPr>
              <w:t>C-</w:t>
            </w:r>
            <w:proofErr w:type="spellStart"/>
            <w:r w:rsidRPr="004A4C9B">
              <w:rPr>
                <w:sz w:val="20"/>
                <w:szCs w:val="20"/>
              </w:rPr>
              <w:t>xs</w:t>
            </w:r>
            <w:proofErr w:type="spellEnd"/>
          </w:p>
        </w:tc>
      </w:tr>
      <w:tr w:rsidR="00714C52" w:rsidRPr="004A4C9B" w14:paraId="7AD18A59" w14:textId="77777777" w:rsidTr="00E230C3">
        <w:trPr>
          <w:trHeight w:val="230"/>
          <w:jc w:val="center"/>
        </w:trPr>
        <w:tc>
          <w:tcPr>
            <w:tcW w:w="1284" w:type="dxa"/>
          </w:tcPr>
          <w:p w14:paraId="19232381" w14:textId="77777777" w:rsidR="00AD47FD" w:rsidRPr="004A4C9B" w:rsidRDefault="00AD47FD" w:rsidP="00982611">
            <w:pPr>
              <w:ind w:firstLine="0"/>
              <w:jc w:val="center"/>
              <w:rPr>
                <w:sz w:val="20"/>
                <w:szCs w:val="20"/>
              </w:rPr>
            </w:pPr>
          </w:p>
        </w:tc>
        <w:tc>
          <w:tcPr>
            <w:tcW w:w="1269" w:type="dxa"/>
          </w:tcPr>
          <w:p w14:paraId="7415CA33" w14:textId="77777777" w:rsidR="00AD47FD" w:rsidRPr="004A4C9B" w:rsidRDefault="00AD47FD" w:rsidP="00982611">
            <w:pPr>
              <w:ind w:firstLine="0"/>
              <w:jc w:val="center"/>
              <w:rPr>
                <w:sz w:val="20"/>
                <w:szCs w:val="20"/>
              </w:rPr>
            </w:pPr>
          </w:p>
        </w:tc>
        <w:tc>
          <w:tcPr>
            <w:tcW w:w="2824" w:type="dxa"/>
          </w:tcPr>
          <w:p w14:paraId="02FB0B87" w14:textId="77777777" w:rsidR="00AD47FD" w:rsidRPr="004A4C9B" w:rsidRDefault="00AD47FD" w:rsidP="00982611">
            <w:pPr>
              <w:ind w:firstLine="0"/>
              <w:jc w:val="center"/>
              <w:rPr>
                <w:sz w:val="20"/>
                <w:szCs w:val="20"/>
              </w:rPr>
            </w:pPr>
            <w:r w:rsidRPr="004A4C9B">
              <w:rPr>
                <w:sz w:val="20"/>
                <w:szCs w:val="20"/>
              </w:rPr>
              <w:t>M, W, Sa</w:t>
            </w:r>
          </w:p>
        </w:tc>
        <w:tc>
          <w:tcPr>
            <w:tcW w:w="1427" w:type="dxa"/>
            <w:vAlign w:val="bottom"/>
          </w:tcPr>
          <w:p w14:paraId="73F5FD67" w14:textId="77777777" w:rsidR="00AD47FD" w:rsidRPr="004A4C9B" w:rsidRDefault="00AD47FD" w:rsidP="00982611">
            <w:pPr>
              <w:ind w:firstLine="0"/>
              <w:jc w:val="center"/>
              <w:rPr>
                <w:color w:val="000000"/>
                <w:sz w:val="20"/>
                <w:szCs w:val="20"/>
              </w:rPr>
            </w:pPr>
            <w:r w:rsidRPr="004A4C9B">
              <w:rPr>
                <w:color w:val="000000"/>
                <w:sz w:val="20"/>
                <w:szCs w:val="20"/>
              </w:rPr>
              <w:t>46</w:t>
            </w:r>
          </w:p>
        </w:tc>
        <w:tc>
          <w:tcPr>
            <w:tcW w:w="1048" w:type="dxa"/>
          </w:tcPr>
          <w:p w14:paraId="3F073D93" w14:textId="77777777" w:rsidR="00AD47FD" w:rsidRPr="004A4C9B" w:rsidRDefault="00AD47FD" w:rsidP="00982611">
            <w:pPr>
              <w:ind w:firstLine="0"/>
              <w:jc w:val="center"/>
              <w:rPr>
                <w:sz w:val="20"/>
                <w:szCs w:val="20"/>
              </w:rPr>
            </w:pPr>
            <w:r w:rsidRPr="004A4C9B">
              <w:rPr>
                <w:sz w:val="20"/>
                <w:szCs w:val="20"/>
              </w:rPr>
              <w:t>9</w:t>
            </w:r>
          </w:p>
        </w:tc>
        <w:tc>
          <w:tcPr>
            <w:tcW w:w="1468" w:type="dxa"/>
          </w:tcPr>
          <w:p w14:paraId="13D20333" w14:textId="77777777" w:rsidR="00AD47FD" w:rsidRPr="004A4C9B" w:rsidRDefault="00AD47FD" w:rsidP="00982611">
            <w:pPr>
              <w:ind w:firstLine="0"/>
              <w:jc w:val="center"/>
              <w:rPr>
                <w:sz w:val="20"/>
                <w:szCs w:val="20"/>
              </w:rPr>
            </w:pPr>
            <w:r w:rsidRPr="004A4C9B">
              <w:rPr>
                <w:sz w:val="20"/>
                <w:szCs w:val="20"/>
              </w:rPr>
              <w:t>C-s</w:t>
            </w:r>
          </w:p>
        </w:tc>
      </w:tr>
      <w:tr w:rsidR="00714C52" w:rsidRPr="004A4C9B" w14:paraId="0C381EBD" w14:textId="77777777" w:rsidTr="00E230C3">
        <w:trPr>
          <w:trHeight w:val="242"/>
          <w:jc w:val="center"/>
        </w:trPr>
        <w:tc>
          <w:tcPr>
            <w:tcW w:w="1284" w:type="dxa"/>
          </w:tcPr>
          <w:p w14:paraId="53B57BD5" w14:textId="77777777" w:rsidR="00AD47FD" w:rsidRPr="004A4C9B" w:rsidRDefault="00AD47FD" w:rsidP="00982611">
            <w:pPr>
              <w:ind w:firstLine="0"/>
              <w:jc w:val="center"/>
              <w:rPr>
                <w:sz w:val="20"/>
                <w:szCs w:val="20"/>
              </w:rPr>
            </w:pPr>
          </w:p>
        </w:tc>
        <w:tc>
          <w:tcPr>
            <w:tcW w:w="1269" w:type="dxa"/>
          </w:tcPr>
          <w:p w14:paraId="745C6BD3" w14:textId="77777777" w:rsidR="00AD47FD" w:rsidRPr="004A4C9B" w:rsidRDefault="00AD47FD" w:rsidP="00982611">
            <w:pPr>
              <w:ind w:firstLine="0"/>
              <w:jc w:val="center"/>
              <w:rPr>
                <w:sz w:val="20"/>
                <w:szCs w:val="20"/>
              </w:rPr>
            </w:pPr>
          </w:p>
        </w:tc>
        <w:tc>
          <w:tcPr>
            <w:tcW w:w="2824" w:type="dxa"/>
          </w:tcPr>
          <w:p w14:paraId="18A16881" w14:textId="77777777" w:rsidR="00AD47FD" w:rsidRPr="004A4C9B" w:rsidRDefault="00AD47FD" w:rsidP="00982611">
            <w:pPr>
              <w:ind w:firstLine="0"/>
              <w:jc w:val="center"/>
              <w:rPr>
                <w:sz w:val="20"/>
                <w:szCs w:val="20"/>
              </w:rPr>
            </w:pPr>
            <w:r w:rsidRPr="004A4C9B">
              <w:rPr>
                <w:sz w:val="20"/>
                <w:szCs w:val="20"/>
              </w:rPr>
              <w:t>M, W, Sa</w:t>
            </w:r>
          </w:p>
        </w:tc>
        <w:tc>
          <w:tcPr>
            <w:tcW w:w="1427" w:type="dxa"/>
            <w:vAlign w:val="bottom"/>
          </w:tcPr>
          <w:p w14:paraId="0332D13E" w14:textId="77777777" w:rsidR="00AD47FD" w:rsidRPr="004A4C9B" w:rsidRDefault="00AD47FD" w:rsidP="00982611">
            <w:pPr>
              <w:ind w:firstLine="0"/>
              <w:jc w:val="center"/>
              <w:rPr>
                <w:color w:val="000000"/>
                <w:sz w:val="20"/>
                <w:szCs w:val="20"/>
              </w:rPr>
            </w:pPr>
            <w:r w:rsidRPr="004A4C9B">
              <w:rPr>
                <w:color w:val="000000"/>
                <w:sz w:val="20"/>
                <w:szCs w:val="20"/>
              </w:rPr>
              <w:t>62</w:t>
            </w:r>
          </w:p>
        </w:tc>
        <w:tc>
          <w:tcPr>
            <w:tcW w:w="1048" w:type="dxa"/>
          </w:tcPr>
          <w:p w14:paraId="4F91E9BA" w14:textId="77777777" w:rsidR="00AD47FD" w:rsidRPr="004A4C9B" w:rsidRDefault="00AD47FD" w:rsidP="00982611">
            <w:pPr>
              <w:ind w:firstLine="0"/>
              <w:jc w:val="center"/>
              <w:rPr>
                <w:sz w:val="20"/>
                <w:szCs w:val="20"/>
              </w:rPr>
            </w:pPr>
            <w:r w:rsidRPr="004A4C9B">
              <w:rPr>
                <w:sz w:val="20"/>
                <w:szCs w:val="20"/>
              </w:rPr>
              <w:t>12</w:t>
            </w:r>
          </w:p>
        </w:tc>
        <w:tc>
          <w:tcPr>
            <w:tcW w:w="1468" w:type="dxa"/>
          </w:tcPr>
          <w:p w14:paraId="2BC052E0" w14:textId="77777777" w:rsidR="00AD47FD" w:rsidRPr="004A4C9B" w:rsidRDefault="00AD47FD" w:rsidP="00982611">
            <w:pPr>
              <w:ind w:firstLine="0"/>
              <w:jc w:val="center"/>
              <w:rPr>
                <w:sz w:val="20"/>
                <w:szCs w:val="20"/>
              </w:rPr>
            </w:pPr>
            <w:r w:rsidRPr="004A4C9B">
              <w:rPr>
                <w:sz w:val="20"/>
                <w:szCs w:val="20"/>
              </w:rPr>
              <w:t>C-m</w:t>
            </w:r>
          </w:p>
        </w:tc>
      </w:tr>
      <w:tr w:rsidR="00714C52" w:rsidRPr="004A4C9B" w14:paraId="2719DEFD" w14:textId="77777777" w:rsidTr="00E230C3">
        <w:trPr>
          <w:trHeight w:val="230"/>
          <w:jc w:val="center"/>
        </w:trPr>
        <w:tc>
          <w:tcPr>
            <w:tcW w:w="1284" w:type="dxa"/>
          </w:tcPr>
          <w:p w14:paraId="5FFFF773" w14:textId="77777777" w:rsidR="00AD47FD" w:rsidRPr="004A4C9B" w:rsidRDefault="00AD47FD" w:rsidP="00982611">
            <w:pPr>
              <w:ind w:firstLine="0"/>
              <w:jc w:val="center"/>
              <w:rPr>
                <w:sz w:val="20"/>
                <w:szCs w:val="20"/>
              </w:rPr>
            </w:pPr>
          </w:p>
        </w:tc>
        <w:tc>
          <w:tcPr>
            <w:tcW w:w="1269" w:type="dxa"/>
          </w:tcPr>
          <w:p w14:paraId="79C4D8DB" w14:textId="77777777" w:rsidR="00AD47FD" w:rsidRPr="004A4C9B" w:rsidRDefault="00AD47FD" w:rsidP="00982611">
            <w:pPr>
              <w:ind w:firstLine="0"/>
              <w:jc w:val="center"/>
              <w:rPr>
                <w:sz w:val="20"/>
                <w:szCs w:val="20"/>
              </w:rPr>
            </w:pPr>
          </w:p>
        </w:tc>
        <w:tc>
          <w:tcPr>
            <w:tcW w:w="2824" w:type="dxa"/>
          </w:tcPr>
          <w:p w14:paraId="0FC040D9" w14:textId="77777777" w:rsidR="00AD47FD" w:rsidRPr="004A4C9B" w:rsidRDefault="00AD47FD" w:rsidP="00982611">
            <w:pPr>
              <w:ind w:firstLine="0"/>
              <w:jc w:val="center"/>
              <w:rPr>
                <w:sz w:val="20"/>
                <w:szCs w:val="20"/>
              </w:rPr>
            </w:pPr>
            <w:r w:rsidRPr="004A4C9B">
              <w:rPr>
                <w:sz w:val="20"/>
                <w:szCs w:val="20"/>
              </w:rPr>
              <w:t xml:space="preserve">M, </w:t>
            </w:r>
            <w:proofErr w:type="spellStart"/>
            <w:r w:rsidRPr="004A4C9B">
              <w:rPr>
                <w:sz w:val="20"/>
                <w:szCs w:val="20"/>
              </w:rPr>
              <w:t>Tu</w:t>
            </w:r>
            <w:proofErr w:type="spellEnd"/>
            <w:r w:rsidRPr="004A4C9B">
              <w:rPr>
                <w:sz w:val="20"/>
                <w:szCs w:val="20"/>
              </w:rPr>
              <w:t xml:space="preserve">, W, </w:t>
            </w:r>
            <w:proofErr w:type="spellStart"/>
            <w:r w:rsidRPr="004A4C9B">
              <w:rPr>
                <w:sz w:val="20"/>
                <w:szCs w:val="20"/>
              </w:rPr>
              <w:t>Th</w:t>
            </w:r>
            <w:proofErr w:type="spellEnd"/>
            <w:r w:rsidRPr="004A4C9B">
              <w:rPr>
                <w:sz w:val="20"/>
                <w:szCs w:val="20"/>
              </w:rPr>
              <w:t>, Sa</w:t>
            </w:r>
          </w:p>
        </w:tc>
        <w:tc>
          <w:tcPr>
            <w:tcW w:w="1427" w:type="dxa"/>
            <w:vAlign w:val="bottom"/>
          </w:tcPr>
          <w:p w14:paraId="5D847EE6" w14:textId="77777777" w:rsidR="00AD47FD" w:rsidRPr="004A4C9B" w:rsidRDefault="00AD47FD" w:rsidP="00982611">
            <w:pPr>
              <w:ind w:firstLine="0"/>
              <w:jc w:val="center"/>
              <w:rPr>
                <w:color w:val="000000"/>
                <w:sz w:val="20"/>
                <w:szCs w:val="20"/>
              </w:rPr>
            </w:pPr>
            <w:r w:rsidRPr="004A4C9B">
              <w:rPr>
                <w:color w:val="000000"/>
                <w:sz w:val="20"/>
                <w:szCs w:val="20"/>
              </w:rPr>
              <w:t>86</w:t>
            </w:r>
          </w:p>
        </w:tc>
        <w:tc>
          <w:tcPr>
            <w:tcW w:w="1048" w:type="dxa"/>
          </w:tcPr>
          <w:p w14:paraId="3F0534FE" w14:textId="77777777" w:rsidR="00AD47FD" w:rsidRPr="004A4C9B" w:rsidRDefault="00AD47FD" w:rsidP="00982611">
            <w:pPr>
              <w:ind w:firstLine="0"/>
              <w:jc w:val="center"/>
              <w:rPr>
                <w:sz w:val="20"/>
                <w:szCs w:val="20"/>
              </w:rPr>
            </w:pPr>
            <w:r w:rsidRPr="004A4C9B">
              <w:rPr>
                <w:sz w:val="20"/>
                <w:szCs w:val="20"/>
              </w:rPr>
              <w:t>14</w:t>
            </w:r>
          </w:p>
        </w:tc>
        <w:tc>
          <w:tcPr>
            <w:tcW w:w="1468" w:type="dxa"/>
          </w:tcPr>
          <w:p w14:paraId="45CEBC48" w14:textId="77777777" w:rsidR="00AD47FD" w:rsidRPr="004A4C9B" w:rsidRDefault="00AD47FD" w:rsidP="00982611">
            <w:pPr>
              <w:ind w:firstLine="0"/>
              <w:jc w:val="center"/>
              <w:rPr>
                <w:sz w:val="20"/>
                <w:szCs w:val="20"/>
              </w:rPr>
            </w:pPr>
            <w:r w:rsidRPr="004A4C9B">
              <w:rPr>
                <w:sz w:val="20"/>
                <w:szCs w:val="20"/>
              </w:rPr>
              <w:t>C-l</w:t>
            </w:r>
          </w:p>
        </w:tc>
      </w:tr>
      <w:tr w:rsidR="00714C52" w:rsidRPr="004A4C9B" w14:paraId="5B069FFC" w14:textId="77777777" w:rsidTr="00E230C3">
        <w:trPr>
          <w:trHeight w:val="242"/>
          <w:jc w:val="center"/>
        </w:trPr>
        <w:tc>
          <w:tcPr>
            <w:tcW w:w="1284" w:type="dxa"/>
            <w:tcBorders>
              <w:bottom w:val="single" w:sz="4" w:space="0" w:color="auto"/>
            </w:tcBorders>
          </w:tcPr>
          <w:p w14:paraId="268C58AB" w14:textId="77777777" w:rsidR="00AD47FD" w:rsidRPr="004A4C9B" w:rsidRDefault="00AD47FD" w:rsidP="00982611">
            <w:pPr>
              <w:ind w:firstLine="0"/>
              <w:jc w:val="center"/>
              <w:rPr>
                <w:sz w:val="20"/>
                <w:szCs w:val="20"/>
              </w:rPr>
            </w:pPr>
          </w:p>
        </w:tc>
        <w:tc>
          <w:tcPr>
            <w:tcW w:w="1269" w:type="dxa"/>
            <w:tcBorders>
              <w:bottom w:val="single" w:sz="4" w:space="0" w:color="auto"/>
            </w:tcBorders>
          </w:tcPr>
          <w:p w14:paraId="713259E8" w14:textId="77777777" w:rsidR="00AD47FD" w:rsidRPr="004A4C9B" w:rsidRDefault="00AD47FD" w:rsidP="00982611">
            <w:pPr>
              <w:ind w:firstLine="0"/>
              <w:jc w:val="center"/>
              <w:rPr>
                <w:sz w:val="20"/>
                <w:szCs w:val="20"/>
              </w:rPr>
            </w:pPr>
          </w:p>
        </w:tc>
        <w:tc>
          <w:tcPr>
            <w:tcW w:w="2824" w:type="dxa"/>
            <w:tcBorders>
              <w:bottom w:val="single" w:sz="4" w:space="0" w:color="auto"/>
            </w:tcBorders>
          </w:tcPr>
          <w:p w14:paraId="33B0058E" w14:textId="77777777" w:rsidR="00AD47FD" w:rsidRPr="004A4C9B" w:rsidRDefault="00AD47FD" w:rsidP="00982611">
            <w:pPr>
              <w:ind w:firstLine="0"/>
              <w:jc w:val="center"/>
              <w:rPr>
                <w:sz w:val="20"/>
                <w:szCs w:val="20"/>
              </w:rPr>
            </w:pPr>
            <w:r w:rsidRPr="004A4C9B">
              <w:rPr>
                <w:sz w:val="20"/>
                <w:szCs w:val="20"/>
              </w:rPr>
              <w:t xml:space="preserve">M, </w:t>
            </w:r>
            <w:proofErr w:type="spellStart"/>
            <w:r w:rsidRPr="004A4C9B">
              <w:rPr>
                <w:sz w:val="20"/>
                <w:szCs w:val="20"/>
              </w:rPr>
              <w:t>Tu</w:t>
            </w:r>
            <w:proofErr w:type="spellEnd"/>
            <w:r w:rsidRPr="004A4C9B">
              <w:rPr>
                <w:sz w:val="20"/>
                <w:szCs w:val="20"/>
              </w:rPr>
              <w:t xml:space="preserve">, W, </w:t>
            </w:r>
            <w:proofErr w:type="spellStart"/>
            <w:r w:rsidRPr="004A4C9B">
              <w:rPr>
                <w:sz w:val="20"/>
                <w:szCs w:val="20"/>
              </w:rPr>
              <w:t>Th</w:t>
            </w:r>
            <w:proofErr w:type="spellEnd"/>
            <w:r w:rsidRPr="004A4C9B">
              <w:rPr>
                <w:sz w:val="20"/>
                <w:szCs w:val="20"/>
              </w:rPr>
              <w:t>, Sa</w:t>
            </w:r>
          </w:p>
        </w:tc>
        <w:tc>
          <w:tcPr>
            <w:tcW w:w="1427" w:type="dxa"/>
            <w:tcBorders>
              <w:bottom w:val="single" w:sz="4" w:space="0" w:color="auto"/>
            </w:tcBorders>
            <w:vAlign w:val="bottom"/>
          </w:tcPr>
          <w:p w14:paraId="02D1DE33" w14:textId="77777777" w:rsidR="00AD47FD" w:rsidRPr="004A4C9B" w:rsidRDefault="00AD47FD" w:rsidP="00982611">
            <w:pPr>
              <w:ind w:firstLine="0"/>
              <w:jc w:val="center"/>
              <w:rPr>
                <w:color w:val="000000"/>
                <w:sz w:val="20"/>
                <w:szCs w:val="20"/>
              </w:rPr>
            </w:pPr>
            <w:r w:rsidRPr="004A4C9B">
              <w:rPr>
                <w:color w:val="000000"/>
                <w:sz w:val="20"/>
                <w:szCs w:val="20"/>
              </w:rPr>
              <w:t>128</w:t>
            </w:r>
          </w:p>
        </w:tc>
        <w:tc>
          <w:tcPr>
            <w:tcW w:w="1048" w:type="dxa"/>
            <w:tcBorders>
              <w:bottom w:val="single" w:sz="4" w:space="0" w:color="auto"/>
            </w:tcBorders>
          </w:tcPr>
          <w:p w14:paraId="4845F430" w14:textId="77777777" w:rsidR="00AD47FD" w:rsidRPr="004A4C9B" w:rsidRDefault="00AD47FD" w:rsidP="00982611">
            <w:pPr>
              <w:ind w:firstLine="0"/>
              <w:jc w:val="center"/>
              <w:rPr>
                <w:sz w:val="20"/>
                <w:szCs w:val="20"/>
              </w:rPr>
            </w:pPr>
            <w:r w:rsidRPr="004A4C9B">
              <w:rPr>
                <w:sz w:val="20"/>
                <w:szCs w:val="20"/>
              </w:rPr>
              <w:t>9</w:t>
            </w:r>
          </w:p>
        </w:tc>
        <w:tc>
          <w:tcPr>
            <w:tcW w:w="1468" w:type="dxa"/>
            <w:tcBorders>
              <w:bottom w:val="single" w:sz="4" w:space="0" w:color="auto"/>
            </w:tcBorders>
          </w:tcPr>
          <w:p w14:paraId="3EB5AEFB" w14:textId="77777777" w:rsidR="00AD47FD" w:rsidRPr="004A4C9B" w:rsidRDefault="00AD47FD" w:rsidP="00982611">
            <w:pPr>
              <w:ind w:firstLine="0"/>
              <w:jc w:val="center"/>
              <w:rPr>
                <w:sz w:val="20"/>
                <w:szCs w:val="20"/>
              </w:rPr>
            </w:pPr>
            <w:r w:rsidRPr="004A4C9B">
              <w:rPr>
                <w:sz w:val="20"/>
                <w:szCs w:val="20"/>
              </w:rPr>
              <w:t>C-xl</w:t>
            </w:r>
          </w:p>
        </w:tc>
      </w:tr>
      <w:tr w:rsidR="00714C52" w:rsidRPr="004A4C9B" w14:paraId="4A18BAB9" w14:textId="77777777" w:rsidTr="00E230C3">
        <w:trPr>
          <w:trHeight w:val="242"/>
          <w:jc w:val="center"/>
        </w:trPr>
        <w:tc>
          <w:tcPr>
            <w:tcW w:w="1284" w:type="dxa"/>
            <w:tcBorders>
              <w:top w:val="single" w:sz="4" w:space="0" w:color="auto"/>
            </w:tcBorders>
          </w:tcPr>
          <w:p w14:paraId="2834675B" w14:textId="77777777" w:rsidR="00AD47FD" w:rsidRPr="004A4C9B" w:rsidRDefault="00AD47FD" w:rsidP="00982611">
            <w:pPr>
              <w:ind w:firstLine="0"/>
              <w:jc w:val="center"/>
              <w:rPr>
                <w:sz w:val="20"/>
                <w:szCs w:val="20"/>
              </w:rPr>
            </w:pPr>
            <w:r w:rsidRPr="004A4C9B">
              <w:rPr>
                <w:sz w:val="20"/>
                <w:szCs w:val="20"/>
              </w:rPr>
              <w:t>D</w:t>
            </w:r>
          </w:p>
        </w:tc>
        <w:tc>
          <w:tcPr>
            <w:tcW w:w="1269" w:type="dxa"/>
            <w:tcBorders>
              <w:top w:val="single" w:sz="4" w:space="0" w:color="auto"/>
            </w:tcBorders>
          </w:tcPr>
          <w:p w14:paraId="7D6DDB9B" w14:textId="77777777" w:rsidR="00AD47FD" w:rsidRPr="004A4C9B" w:rsidRDefault="00AD47FD" w:rsidP="00982611">
            <w:pPr>
              <w:ind w:firstLine="0"/>
              <w:jc w:val="center"/>
              <w:rPr>
                <w:sz w:val="20"/>
                <w:szCs w:val="20"/>
                <w:lang w:val="da-DK"/>
              </w:rPr>
            </w:pPr>
            <w:r w:rsidRPr="004A4C9B">
              <w:rPr>
                <w:sz w:val="20"/>
                <w:szCs w:val="20"/>
                <w:lang w:val="da-DK"/>
              </w:rPr>
              <w:t>98%</w:t>
            </w:r>
          </w:p>
        </w:tc>
        <w:tc>
          <w:tcPr>
            <w:tcW w:w="2824" w:type="dxa"/>
            <w:tcBorders>
              <w:top w:val="single" w:sz="4" w:space="0" w:color="auto"/>
            </w:tcBorders>
          </w:tcPr>
          <w:p w14:paraId="7A8EC96F" w14:textId="77777777" w:rsidR="00AD47FD" w:rsidRPr="004A4C9B" w:rsidRDefault="00AD47FD" w:rsidP="00982611">
            <w:pPr>
              <w:ind w:firstLine="0"/>
              <w:jc w:val="center"/>
              <w:rPr>
                <w:sz w:val="20"/>
                <w:szCs w:val="20"/>
              </w:rPr>
            </w:pPr>
            <w:r w:rsidRPr="004A4C9B">
              <w:rPr>
                <w:sz w:val="20"/>
                <w:szCs w:val="20"/>
              </w:rPr>
              <w:t xml:space="preserve">M, </w:t>
            </w:r>
            <w:proofErr w:type="spellStart"/>
            <w:r w:rsidRPr="004A4C9B">
              <w:rPr>
                <w:sz w:val="20"/>
                <w:szCs w:val="20"/>
              </w:rPr>
              <w:t>Tu</w:t>
            </w:r>
            <w:proofErr w:type="spellEnd"/>
            <w:r w:rsidRPr="004A4C9B">
              <w:rPr>
                <w:sz w:val="20"/>
                <w:szCs w:val="20"/>
              </w:rPr>
              <w:t xml:space="preserve">, W, </w:t>
            </w:r>
            <w:proofErr w:type="spellStart"/>
            <w:r w:rsidRPr="004A4C9B">
              <w:rPr>
                <w:sz w:val="20"/>
                <w:szCs w:val="20"/>
              </w:rPr>
              <w:t>Th</w:t>
            </w:r>
            <w:proofErr w:type="spellEnd"/>
            <w:r w:rsidRPr="004A4C9B">
              <w:rPr>
                <w:sz w:val="20"/>
                <w:szCs w:val="20"/>
              </w:rPr>
              <w:t>, Sa</w:t>
            </w:r>
          </w:p>
        </w:tc>
        <w:tc>
          <w:tcPr>
            <w:tcW w:w="1427" w:type="dxa"/>
            <w:tcBorders>
              <w:top w:val="single" w:sz="4" w:space="0" w:color="auto"/>
            </w:tcBorders>
            <w:vAlign w:val="bottom"/>
          </w:tcPr>
          <w:p w14:paraId="52D2988A" w14:textId="77777777" w:rsidR="00AD47FD" w:rsidRPr="004A4C9B" w:rsidRDefault="00AD47FD" w:rsidP="00982611">
            <w:pPr>
              <w:ind w:firstLine="0"/>
              <w:jc w:val="center"/>
              <w:rPr>
                <w:color w:val="000000"/>
                <w:sz w:val="20"/>
                <w:szCs w:val="20"/>
              </w:rPr>
            </w:pPr>
            <w:r w:rsidRPr="004A4C9B">
              <w:rPr>
                <w:color w:val="000000"/>
                <w:sz w:val="20"/>
                <w:szCs w:val="20"/>
              </w:rPr>
              <w:t>74</w:t>
            </w:r>
          </w:p>
        </w:tc>
        <w:tc>
          <w:tcPr>
            <w:tcW w:w="1048" w:type="dxa"/>
            <w:tcBorders>
              <w:top w:val="single" w:sz="4" w:space="0" w:color="auto"/>
            </w:tcBorders>
          </w:tcPr>
          <w:p w14:paraId="7432D1A7" w14:textId="77777777" w:rsidR="00AD47FD" w:rsidRPr="004A4C9B" w:rsidRDefault="00AD47FD" w:rsidP="00982611">
            <w:pPr>
              <w:ind w:firstLine="0"/>
              <w:jc w:val="center"/>
              <w:rPr>
                <w:sz w:val="20"/>
                <w:szCs w:val="20"/>
                <w:lang w:val="da-DK"/>
              </w:rPr>
            </w:pPr>
            <w:r w:rsidRPr="004A4C9B">
              <w:rPr>
                <w:sz w:val="20"/>
                <w:szCs w:val="20"/>
                <w:lang w:val="da-DK"/>
              </w:rPr>
              <w:t>4</w:t>
            </w:r>
          </w:p>
        </w:tc>
        <w:tc>
          <w:tcPr>
            <w:tcW w:w="1468" w:type="dxa"/>
            <w:tcBorders>
              <w:top w:val="single" w:sz="4" w:space="0" w:color="auto"/>
            </w:tcBorders>
          </w:tcPr>
          <w:p w14:paraId="5CA1E69B" w14:textId="77777777" w:rsidR="00AD47FD" w:rsidRPr="004A4C9B" w:rsidRDefault="00AD47FD" w:rsidP="00982611">
            <w:pPr>
              <w:ind w:firstLine="0"/>
              <w:jc w:val="center"/>
              <w:rPr>
                <w:sz w:val="20"/>
                <w:szCs w:val="20"/>
              </w:rPr>
            </w:pPr>
            <w:r w:rsidRPr="004A4C9B">
              <w:rPr>
                <w:sz w:val="20"/>
                <w:szCs w:val="20"/>
              </w:rPr>
              <w:t>D-s</w:t>
            </w:r>
          </w:p>
        </w:tc>
      </w:tr>
      <w:tr w:rsidR="00714C52" w:rsidRPr="004A4C9B" w14:paraId="5D1A830A" w14:textId="77777777" w:rsidTr="00E230C3">
        <w:trPr>
          <w:trHeight w:val="230"/>
          <w:jc w:val="center"/>
        </w:trPr>
        <w:tc>
          <w:tcPr>
            <w:tcW w:w="1284" w:type="dxa"/>
          </w:tcPr>
          <w:p w14:paraId="31C0330F" w14:textId="77777777" w:rsidR="00AD47FD" w:rsidRPr="004A4C9B" w:rsidRDefault="00AD47FD" w:rsidP="00982611">
            <w:pPr>
              <w:ind w:firstLine="0"/>
              <w:jc w:val="center"/>
              <w:rPr>
                <w:sz w:val="20"/>
                <w:szCs w:val="20"/>
              </w:rPr>
            </w:pPr>
          </w:p>
        </w:tc>
        <w:tc>
          <w:tcPr>
            <w:tcW w:w="1269" w:type="dxa"/>
          </w:tcPr>
          <w:p w14:paraId="357396D9" w14:textId="77777777" w:rsidR="00AD47FD" w:rsidRPr="004A4C9B" w:rsidRDefault="00AD47FD" w:rsidP="00982611">
            <w:pPr>
              <w:ind w:firstLine="0"/>
              <w:jc w:val="center"/>
              <w:rPr>
                <w:sz w:val="20"/>
                <w:szCs w:val="20"/>
              </w:rPr>
            </w:pPr>
          </w:p>
        </w:tc>
        <w:tc>
          <w:tcPr>
            <w:tcW w:w="2824" w:type="dxa"/>
          </w:tcPr>
          <w:p w14:paraId="2E6ED8DA" w14:textId="77777777" w:rsidR="00AD47FD" w:rsidRPr="004A4C9B" w:rsidRDefault="00AD47FD" w:rsidP="00982611">
            <w:pPr>
              <w:ind w:firstLine="0"/>
              <w:jc w:val="center"/>
              <w:rPr>
                <w:sz w:val="20"/>
                <w:szCs w:val="20"/>
              </w:rPr>
            </w:pPr>
            <w:r w:rsidRPr="004A4C9B">
              <w:rPr>
                <w:sz w:val="20"/>
                <w:szCs w:val="20"/>
              </w:rPr>
              <w:t xml:space="preserve">M, </w:t>
            </w:r>
            <w:proofErr w:type="spellStart"/>
            <w:r w:rsidRPr="004A4C9B">
              <w:rPr>
                <w:sz w:val="20"/>
                <w:szCs w:val="20"/>
              </w:rPr>
              <w:t>Tu</w:t>
            </w:r>
            <w:proofErr w:type="spellEnd"/>
            <w:r w:rsidRPr="004A4C9B">
              <w:rPr>
                <w:sz w:val="20"/>
                <w:szCs w:val="20"/>
              </w:rPr>
              <w:t xml:space="preserve">, W, </w:t>
            </w:r>
            <w:proofErr w:type="spellStart"/>
            <w:r w:rsidRPr="004A4C9B">
              <w:rPr>
                <w:sz w:val="20"/>
                <w:szCs w:val="20"/>
              </w:rPr>
              <w:t>Th</w:t>
            </w:r>
            <w:proofErr w:type="spellEnd"/>
            <w:r w:rsidRPr="004A4C9B">
              <w:rPr>
                <w:sz w:val="20"/>
                <w:szCs w:val="20"/>
              </w:rPr>
              <w:t>, Sa</w:t>
            </w:r>
          </w:p>
        </w:tc>
        <w:tc>
          <w:tcPr>
            <w:tcW w:w="1427" w:type="dxa"/>
            <w:vAlign w:val="bottom"/>
          </w:tcPr>
          <w:p w14:paraId="6D81EAC0" w14:textId="77777777" w:rsidR="00AD47FD" w:rsidRPr="004A4C9B" w:rsidRDefault="00AD47FD" w:rsidP="00982611">
            <w:pPr>
              <w:ind w:firstLine="0"/>
              <w:jc w:val="center"/>
              <w:rPr>
                <w:color w:val="000000"/>
                <w:sz w:val="20"/>
                <w:szCs w:val="20"/>
              </w:rPr>
            </w:pPr>
            <w:r w:rsidRPr="004A4C9B">
              <w:rPr>
                <w:color w:val="000000"/>
                <w:sz w:val="20"/>
                <w:szCs w:val="20"/>
              </w:rPr>
              <w:t>108</w:t>
            </w:r>
          </w:p>
        </w:tc>
        <w:tc>
          <w:tcPr>
            <w:tcW w:w="1048" w:type="dxa"/>
          </w:tcPr>
          <w:p w14:paraId="2C17B380" w14:textId="77777777" w:rsidR="00AD47FD" w:rsidRPr="004A4C9B" w:rsidRDefault="00AD47FD" w:rsidP="00982611">
            <w:pPr>
              <w:ind w:firstLine="0"/>
              <w:jc w:val="center"/>
              <w:rPr>
                <w:sz w:val="20"/>
                <w:szCs w:val="20"/>
              </w:rPr>
            </w:pPr>
            <w:r w:rsidRPr="004A4C9B">
              <w:rPr>
                <w:sz w:val="20"/>
                <w:szCs w:val="20"/>
              </w:rPr>
              <w:t>6</w:t>
            </w:r>
          </w:p>
        </w:tc>
        <w:tc>
          <w:tcPr>
            <w:tcW w:w="1468" w:type="dxa"/>
          </w:tcPr>
          <w:p w14:paraId="244DF0C5" w14:textId="77777777" w:rsidR="00AD47FD" w:rsidRPr="004A4C9B" w:rsidRDefault="00AD47FD" w:rsidP="00982611">
            <w:pPr>
              <w:ind w:firstLine="0"/>
              <w:jc w:val="center"/>
              <w:rPr>
                <w:sz w:val="20"/>
                <w:szCs w:val="20"/>
              </w:rPr>
            </w:pPr>
            <w:r w:rsidRPr="004A4C9B">
              <w:rPr>
                <w:sz w:val="20"/>
                <w:szCs w:val="20"/>
              </w:rPr>
              <w:t>D-m</w:t>
            </w:r>
          </w:p>
        </w:tc>
      </w:tr>
      <w:tr w:rsidR="00714C52" w:rsidRPr="004A4C9B" w14:paraId="2D96A492" w14:textId="77777777" w:rsidTr="00E230C3">
        <w:trPr>
          <w:trHeight w:val="242"/>
          <w:jc w:val="center"/>
        </w:trPr>
        <w:tc>
          <w:tcPr>
            <w:tcW w:w="1284" w:type="dxa"/>
            <w:tcBorders>
              <w:bottom w:val="single" w:sz="4" w:space="0" w:color="auto"/>
            </w:tcBorders>
          </w:tcPr>
          <w:p w14:paraId="5D220FCA" w14:textId="77777777" w:rsidR="00AD47FD" w:rsidRPr="004A4C9B" w:rsidRDefault="00AD47FD" w:rsidP="00982611">
            <w:pPr>
              <w:ind w:firstLine="0"/>
              <w:jc w:val="center"/>
              <w:rPr>
                <w:sz w:val="20"/>
                <w:szCs w:val="20"/>
              </w:rPr>
            </w:pPr>
          </w:p>
        </w:tc>
        <w:tc>
          <w:tcPr>
            <w:tcW w:w="1269" w:type="dxa"/>
            <w:tcBorders>
              <w:bottom w:val="single" w:sz="4" w:space="0" w:color="auto"/>
            </w:tcBorders>
          </w:tcPr>
          <w:p w14:paraId="7EC4AD91" w14:textId="77777777" w:rsidR="00AD47FD" w:rsidRPr="004A4C9B" w:rsidRDefault="00AD47FD" w:rsidP="00982611">
            <w:pPr>
              <w:ind w:firstLine="0"/>
              <w:jc w:val="center"/>
              <w:rPr>
                <w:sz w:val="20"/>
                <w:szCs w:val="20"/>
              </w:rPr>
            </w:pPr>
          </w:p>
        </w:tc>
        <w:tc>
          <w:tcPr>
            <w:tcW w:w="2824" w:type="dxa"/>
            <w:tcBorders>
              <w:bottom w:val="single" w:sz="4" w:space="0" w:color="auto"/>
            </w:tcBorders>
          </w:tcPr>
          <w:p w14:paraId="5A43972C" w14:textId="77777777" w:rsidR="00AD47FD" w:rsidRPr="004A4C9B" w:rsidRDefault="00AD47FD" w:rsidP="00982611">
            <w:pPr>
              <w:ind w:firstLine="0"/>
              <w:jc w:val="center"/>
              <w:rPr>
                <w:sz w:val="20"/>
                <w:szCs w:val="20"/>
              </w:rPr>
            </w:pPr>
            <w:r w:rsidRPr="004A4C9B">
              <w:rPr>
                <w:sz w:val="20"/>
                <w:szCs w:val="20"/>
              </w:rPr>
              <w:t xml:space="preserve">M, </w:t>
            </w:r>
            <w:proofErr w:type="spellStart"/>
            <w:r w:rsidRPr="004A4C9B">
              <w:rPr>
                <w:sz w:val="20"/>
                <w:szCs w:val="20"/>
              </w:rPr>
              <w:t>Tu</w:t>
            </w:r>
            <w:proofErr w:type="spellEnd"/>
            <w:r w:rsidRPr="004A4C9B">
              <w:rPr>
                <w:sz w:val="20"/>
                <w:szCs w:val="20"/>
              </w:rPr>
              <w:t xml:space="preserve">, W, </w:t>
            </w:r>
            <w:proofErr w:type="spellStart"/>
            <w:r w:rsidRPr="004A4C9B">
              <w:rPr>
                <w:sz w:val="20"/>
                <w:szCs w:val="20"/>
              </w:rPr>
              <w:t>Th</w:t>
            </w:r>
            <w:proofErr w:type="spellEnd"/>
            <w:r w:rsidRPr="004A4C9B">
              <w:rPr>
                <w:sz w:val="20"/>
                <w:szCs w:val="20"/>
              </w:rPr>
              <w:t>, Sa</w:t>
            </w:r>
          </w:p>
        </w:tc>
        <w:tc>
          <w:tcPr>
            <w:tcW w:w="1427" w:type="dxa"/>
            <w:tcBorders>
              <w:bottom w:val="single" w:sz="4" w:space="0" w:color="auto"/>
            </w:tcBorders>
            <w:vAlign w:val="bottom"/>
          </w:tcPr>
          <w:p w14:paraId="6E0B6ACB" w14:textId="77777777" w:rsidR="00AD47FD" w:rsidRPr="004A4C9B" w:rsidRDefault="00AD47FD" w:rsidP="00982611">
            <w:pPr>
              <w:ind w:firstLine="0"/>
              <w:jc w:val="center"/>
              <w:rPr>
                <w:color w:val="000000"/>
                <w:sz w:val="20"/>
                <w:szCs w:val="20"/>
              </w:rPr>
            </w:pPr>
            <w:r w:rsidRPr="004A4C9B">
              <w:rPr>
                <w:color w:val="000000"/>
                <w:sz w:val="20"/>
                <w:szCs w:val="20"/>
              </w:rPr>
              <w:t>172</w:t>
            </w:r>
          </w:p>
        </w:tc>
        <w:tc>
          <w:tcPr>
            <w:tcW w:w="1048" w:type="dxa"/>
            <w:tcBorders>
              <w:bottom w:val="single" w:sz="4" w:space="0" w:color="auto"/>
            </w:tcBorders>
          </w:tcPr>
          <w:p w14:paraId="470CD898" w14:textId="77777777" w:rsidR="00AD47FD" w:rsidRPr="004A4C9B" w:rsidRDefault="00AD47FD" w:rsidP="00982611">
            <w:pPr>
              <w:ind w:firstLine="0"/>
              <w:jc w:val="center"/>
              <w:rPr>
                <w:sz w:val="20"/>
                <w:szCs w:val="20"/>
              </w:rPr>
            </w:pPr>
            <w:r w:rsidRPr="004A4C9B">
              <w:rPr>
                <w:sz w:val="20"/>
                <w:szCs w:val="20"/>
              </w:rPr>
              <w:t>2</w:t>
            </w:r>
          </w:p>
        </w:tc>
        <w:tc>
          <w:tcPr>
            <w:tcW w:w="1468" w:type="dxa"/>
            <w:tcBorders>
              <w:bottom w:val="single" w:sz="4" w:space="0" w:color="auto"/>
            </w:tcBorders>
          </w:tcPr>
          <w:p w14:paraId="52DE19F5" w14:textId="77777777" w:rsidR="00AD47FD" w:rsidRPr="004A4C9B" w:rsidRDefault="00AD47FD" w:rsidP="00982611">
            <w:pPr>
              <w:ind w:firstLine="0"/>
              <w:jc w:val="center"/>
              <w:rPr>
                <w:sz w:val="20"/>
                <w:szCs w:val="20"/>
              </w:rPr>
            </w:pPr>
            <w:r w:rsidRPr="004A4C9B">
              <w:rPr>
                <w:sz w:val="20"/>
                <w:szCs w:val="20"/>
              </w:rPr>
              <w:t>D-l</w:t>
            </w:r>
          </w:p>
        </w:tc>
      </w:tr>
      <w:tr w:rsidR="00714C52" w:rsidRPr="004A4C9B" w14:paraId="1FC10474" w14:textId="77777777" w:rsidTr="00E230C3">
        <w:trPr>
          <w:trHeight w:val="230"/>
          <w:jc w:val="center"/>
        </w:trPr>
        <w:tc>
          <w:tcPr>
            <w:tcW w:w="1284" w:type="dxa"/>
            <w:tcBorders>
              <w:top w:val="single" w:sz="4" w:space="0" w:color="auto"/>
            </w:tcBorders>
          </w:tcPr>
          <w:p w14:paraId="07344358" w14:textId="77777777" w:rsidR="00AD47FD" w:rsidRPr="004A4C9B" w:rsidRDefault="00AD47FD" w:rsidP="00982611">
            <w:pPr>
              <w:ind w:firstLine="0"/>
              <w:jc w:val="center"/>
              <w:rPr>
                <w:sz w:val="20"/>
                <w:szCs w:val="20"/>
              </w:rPr>
            </w:pPr>
            <w:r w:rsidRPr="004A4C9B">
              <w:rPr>
                <w:sz w:val="20"/>
                <w:szCs w:val="20"/>
              </w:rPr>
              <w:t>E</w:t>
            </w:r>
          </w:p>
        </w:tc>
        <w:tc>
          <w:tcPr>
            <w:tcW w:w="1269" w:type="dxa"/>
            <w:tcBorders>
              <w:top w:val="single" w:sz="4" w:space="0" w:color="auto"/>
            </w:tcBorders>
          </w:tcPr>
          <w:p w14:paraId="7B083353" w14:textId="77777777" w:rsidR="00AD47FD" w:rsidRPr="004A4C9B" w:rsidRDefault="00AD47FD" w:rsidP="00982611">
            <w:pPr>
              <w:ind w:firstLine="0"/>
              <w:jc w:val="center"/>
              <w:rPr>
                <w:sz w:val="20"/>
                <w:szCs w:val="20"/>
                <w:lang w:val="da-DK"/>
              </w:rPr>
            </w:pPr>
            <w:r w:rsidRPr="004A4C9B">
              <w:rPr>
                <w:sz w:val="20"/>
                <w:szCs w:val="20"/>
                <w:lang w:val="da-DK"/>
              </w:rPr>
              <w:t>97,5%</w:t>
            </w:r>
          </w:p>
        </w:tc>
        <w:tc>
          <w:tcPr>
            <w:tcW w:w="2824" w:type="dxa"/>
            <w:tcBorders>
              <w:top w:val="single" w:sz="4" w:space="0" w:color="auto"/>
            </w:tcBorders>
          </w:tcPr>
          <w:p w14:paraId="04A5E560" w14:textId="77777777" w:rsidR="00AD47FD" w:rsidRPr="004A4C9B" w:rsidRDefault="00AD47FD" w:rsidP="00982611">
            <w:pPr>
              <w:ind w:firstLine="0"/>
              <w:jc w:val="center"/>
              <w:rPr>
                <w:sz w:val="20"/>
                <w:szCs w:val="20"/>
              </w:rPr>
            </w:pPr>
            <w:r w:rsidRPr="004A4C9B">
              <w:rPr>
                <w:sz w:val="20"/>
                <w:szCs w:val="20"/>
              </w:rPr>
              <w:t xml:space="preserve">M, </w:t>
            </w:r>
            <w:proofErr w:type="spellStart"/>
            <w:r w:rsidRPr="004A4C9B">
              <w:rPr>
                <w:sz w:val="20"/>
                <w:szCs w:val="20"/>
              </w:rPr>
              <w:t>Tu</w:t>
            </w:r>
            <w:proofErr w:type="spellEnd"/>
            <w:r w:rsidRPr="004A4C9B">
              <w:rPr>
                <w:sz w:val="20"/>
                <w:szCs w:val="20"/>
              </w:rPr>
              <w:t xml:space="preserve">, W, </w:t>
            </w:r>
            <w:proofErr w:type="spellStart"/>
            <w:r w:rsidRPr="004A4C9B">
              <w:rPr>
                <w:sz w:val="20"/>
                <w:szCs w:val="20"/>
              </w:rPr>
              <w:t>Th</w:t>
            </w:r>
            <w:proofErr w:type="spellEnd"/>
            <w:r w:rsidRPr="004A4C9B">
              <w:rPr>
                <w:sz w:val="20"/>
                <w:szCs w:val="20"/>
              </w:rPr>
              <w:t>, Sa</w:t>
            </w:r>
          </w:p>
        </w:tc>
        <w:tc>
          <w:tcPr>
            <w:tcW w:w="1427" w:type="dxa"/>
            <w:tcBorders>
              <w:top w:val="single" w:sz="4" w:space="0" w:color="auto"/>
            </w:tcBorders>
            <w:vAlign w:val="bottom"/>
          </w:tcPr>
          <w:p w14:paraId="6B5D4ED7" w14:textId="77777777" w:rsidR="00AD47FD" w:rsidRPr="004A4C9B" w:rsidRDefault="00AD47FD" w:rsidP="00982611">
            <w:pPr>
              <w:ind w:firstLine="0"/>
              <w:jc w:val="center"/>
              <w:rPr>
                <w:color w:val="000000"/>
                <w:sz w:val="20"/>
                <w:szCs w:val="20"/>
              </w:rPr>
            </w:pPr>
            <w:r w:rsidRPr="004A4C9B">
              <w:rPr>
                <w:color w:val="000000"/>
                <w:sz w:val="20"/>
                <w:szCs w:val="20"/>
              </w:rPr>
              <w:t>222</w:t>
            </w:r>
          </w:p>
        </w:tc>
        <w:tc>
          <w:tcPr>
            <w:tcW w:w="1048" w:type="dxa"/>
            <w:tcBorders>
              <w:top w:val="single" w:sz="4" w:space="0" w:color="auto"/>
            </w:tcBorders>
          </w:tcPr>
          <w:p w14:paraId="75A68C6E" w14:textId="77777777" w:rsidR="00AD47FD" w:rsidRPr="004A4C9B" w:rsidRDefault="00AD47FD" w:rsidP="00982611">
            <w:pPr>
              <w:ind w:firstLine="0"/>
              <w:jc w:val="center"/>
              <w:rPr>
                <w:sz w:val="20"/>
                <w:szCs w:val="20"/>
                <w:lang w:val="da-DK"/>
              </w:rPr>
            </w:pPr>
            <w:r w:rsidRPr="004A4C9B">
              <w:rPr>
                <w:sz w:val="20"/>
                <w:szCs w:val="20"/>
                <w:lang w:val="da-DK"/>
              </w:rPr>
              <w:t>3</w:t>
            </w:r>
          </w:p>
        </w:tc>
        <w:tc>
          <w:tcPr>
            <w:tcW w:w="1468" w:type="dxa"/>
            <w:tcBorders>
              <w:top w:val="single" w:sz="4" w:space="0" w:color="auto"/>
            </w:tcBorders>
          </w:tcPr>
          <w:p w14:paraId="116661C2" w14:textId="77777777" w:rsidR="00AD47FD" w:rsidRPr="004A4C9B" w:rsidRDefault="00AD47FD" w:rsidP="00982611">
            <w:pPr>
              <w:ind w:firstLine="0"/>
              <w:jc w:val="center"/>
              <w:rPr>
                <w:sz w:val="20"/>
                <w:szCs w:val="20"/>
              </w:rPr>
            </w:pPr>
            <w:r w:rsidRPr="004A4C9B">
              <w:rPr>
                <w:sz w:val="20"/>
                <w:szCs w:val="20"/>
              </w:rPr>
              <w:t>E-m</w:t>
            </w:r>
          </w:p>
        </w:tc>
      </w:tr>
      <w:tr w:rsidR="00714C52" w:rsidRPr="004A4C9B" w14:paraId="6FEDF99F" w14:textId="77777777" w:rsidTr="00E230C3">
        <w:trPr>
          <w:trHeight w:val="86"/>
          <w:jc w:val="center"/>
        </w:trPr>
        <w:tc>
          <w:tcPr>
            <w:tcW w:w="1284" w:type="dxa"/>
            <w:tcBorders>
              <w:bottom w:val="single" w:sz="12" w:space="0" w:color="auto"/>
            </w:tcBorders>
          </w:tcPr>
          <w:p w14:paraId="4AD499BA" w14:textId="77777777" w:rsidR="00AD47FD" w:rsidRPr="004A4C9B" w:rsidRDefault="00AD47FD" w:rsidP="00982611">
            <w:pPr>
              <w:ind w:firstLine="0"/>
              <w:jc w:val="center"/>
              <w:rPr>
                <w:sz w:val="20"/>
                <w:szCs w:val="20"/>
              </w:rPr>
            </w:pPr>
          </w:p>
        </w:tc>
        <w:tc>
          <w:tcPr>
            <w:tcW w:w="1269" w:type="dxa"/>
            <w:tcBorders>
              <w:bottom w:val="single" w:sz="12" w:space="0" w:color="auto"/>
            </w:tcBorders>
          </w:tcPr>
          <w:p w14:paraId="591A4844" w14:textId="77777777" w:rsidR="00AD47FD" w:rsidRPr="004A4C9B" w:rsidRDefault="00AD47FD" w:rsidP="00982611">
            <w:pPr>
              <w:ind w:firstLine="0"/>
              <w:rPr>
                <w:sz w:val="20"/>
                <w:szCs w:val="20"/>
              </w:rPr>
            </w:pPr>
          </w:p>
        </w:tc>
        <w:tc>
          <w:tcPr>
            <w:tcW w:w="2824" w:type="dxa"/>
            <w:tcBorders>
              <w:bottom w:val="single" w:sz="12" w:space="0" w:color="auto"/>
            </w:tcBorders>
          </w:tcPr>
          <w:p w14:paraId="60532E6B" w14:textId="77777777" w:rsidR="00AD47FD" w:rsidRPr="004A4C9B" w:rsidRDefault="00AD47FD" w:rsidP="00982611">
            <w:pPr>
              <w:ind w:firstLine="0"/>
              <w:jc w:val="center"/>
              <w:rPr>
                <w:sz w:val="20"/>
                <w:szCs w:val="20"/>
              </w:rPr>
            </w:pPr>
            <w:r w:rsidRPr="004A4C9B">
              <w:rPr>
                <w:sz w:val="20"/>
                <w:szCs w:val="20"/>
              </w:rPr>
              <w:t xml:space="preserve">M, </w:t>
            </w:r>
            <w:proofErr w:type="spellStart"/>
            <w:r w:rsidRPr="004A4C9B">
              <w:rPr>
                <w:sz w:val="20"/>
                <w:szCs w:val="20"/>
              </w:rPr>
              <w:t>Tu</w:t>
            </w:r>
            <w:proofErr w:type="spellEnd"/>
            <w:r w:rsidRPr="004A4C9B">
              <w:rPr>
                <w:sz w:val="20"/>
                <w:szCs w:val="20"/>
              </w:rPr>
              <w:t xml:space="preserve">, W, </w:t>
            </w:r>
            <w:proofErr w:type="spellStart"/>
            <w:r w:rsidRPr="004A4C9B">
              <w:rPr>
                <w:sz w:val="20"/>
                <w:szCs w:val="20"/>
              </w:rPr>
              <w:t>Th</w:t>
            </w:r>
            <w:proofErr w:type="spellEnd"/>
            <w:r w:rsidRPr="004A4C9B">
              <w:rPr>
                <w:sz w:val="20"/>
                <w:szCs w:val="20"/>
              </w:rPr>
              <w:t>, Sa, Su</w:t>
            </w:r>
          </w:p>
        </w:tc>
        <w:tc>
          <w:tcPr>
            <w:tcW w:w="1427" w:type="dxa"/>
            <w:tcBorders>
              <w:bottom w:val="single" w:sz="12" w:space="0" w:color="auto"/>
            </w:tcBorders>
            <w:vAlign w:val="bottom"/>
          </w:tcPr>
          <w:p w14:paraId="7228B747" w14:textId="77777777" w:rsidR="00AD47FD" w:rsidRPr="004A4C9B" w:rsidRDefault="00AD47FD" w:rsidP="00982611">
            <w:pPr>
              <w:ind w:firstLine="0"/>
              <w:jc w:val="center"/>
              <w:rPr>
                <w:color w:val="000000"/>
                <w:sz w:val="20"/>
                <w:szCs w:val="20"/>
              </w:rPr>
            </w:pPr>
            <w:r w:rsidRPr="004A4C9B">
              <w:rPr>
                <w:color w:val="000000"/>
                <w:sz w:val="20"/>
                <w:szCs w:val="20"/>
              </w:rPr>
              <w:t>696</w:t>
            </w:r>
          </w:p>
        </w:tc>
        <w:tc>
          <w:tcPr>
            <w:tcW w:w="1048" w:type="dxa"/>
            <w:tcBorders>
              <w:bottom w:val="single" w:sz="12" w:space="0" w:color="auto"/>
            </w:tcBorders>
          </w:tcPr>
          <w:p w14:paraId="1F0C1B07" w14:textId="77777777" w:rsidR="00AD47FD" w:rsidRPr="004A4C9B" w:rsidRDefault="00AD47FD" w:rsidP="00982611">
            <w:pPr>
              <w:ind w:firstLine="0"/>
              <w:jc w:val="center"/>
              <w:rPr>
                <w:sz w:val="20"/>
                <w:szCs w:val="20"/>
              </w:rPr>
            </w:pPr>
            <w:r w:rsidRPr="004A4C9B">
              <w:rPr>
                <w:sz w:val="20"/>
                <w:szCs w:val="20"/>
              </w:rPr>
              <w:t>3</w:t>
            </w:r>
          </w:p>
        </w:tc>
        <w:tc>
          <w:tcPr>
            <w:tcW w:w="1468" w:type="dxa"/>
            <w:tcBorders>
              <w:bottom w:val="single" w:sz="12" w:space="0" w:color="auto"/>
            </w:tcBorders>
          </w:tcPr>
          <w:p w14:paraId="2E759550" w14:textId="77777777" w:rsidR="00AD47FD" w:rsidRPr="004A4C9B" w:rsidRDefault="00AD47FD" w:rsidP="00982611">
            <w:pPr>
              <w:ind w:firstLine="0"/>
              <w:jc w:val="center"/>
              <w:rPr>
                <w:sz w:val="20"/>
                <w:szCs w:val="20"/>
              </w:rPr>
            </w:pPr>
            <w:r w:rsidRPr="004A4C9B">
              <w:rPr>
                <w:sz w:val="20"/>
                <w:szCs w:val="20"/>
              </w:rPr>
              <w:t>E-l</w:t>
            </w:r>
          </w:p>
        </w:tc>
      </w:tr>
    </w:tbl>
    <w:p w14:paraId="178E479E" w14:textId="77777777" w:rsidR="00F30786" w:rsidRPr="004A4C9B" w:rsidRDefault="00F30786" w:rsidP="00982611">
      <w:pPr>
        <w:spacing w:line="480" w:lineRule="auto"/>
      </w:pPr>
    </w:p>
    <w:p w14:paraId="38157D80" w14:textId="507C62C2" w:rsidR="00EA5480" w:rsidRDefault="000C095B" w:rsidP="00982611">
      <w:pPr>
        <w:spacing w:line="480" w:lineRule="auto"/>
        <w:ind w:firstLine="0"/>
      </w:pPr>
      <w:r w:rsidRPr="004A4C9B">
        <w:t>It is well-known that the sales pattern in retailing is differen</w:t>
      </w:r>
      <w:r w:rsidR="00C177CF" w:rsidRPr="004A4C9B">
        <w:t>t throughout the week</w:t>
      </w:r>
      <w:r w:rsidR="00AB4753">
        <w:t xml:space="preserve"> (non-stationary)</w:t>
      </w:r>
      <w:r w:rsidR="00C177CF" w:rsidRPr="004A4C9B">
        <w:t xml:space="preserve"> </w:t>
      </w:r>
      <w:r w:rsidR="00596695" w:rsidRPr="004A4C9B">
        <w:t xml:space="preserve">with higher sales towards the weekend </w:t>
      </w:r>
      <w:r w:rsidR="00596695">
        <w:fldChar w:fldCharType="begin"/>
      </w:r>
      <w:r w:rsidR="00D71B5E">
        <w:instrText xml:space="preserve"> ADDIN EN.CITE &lt;EndNote&gt;&lt;Cite&gt;&lt;Author&gt;Aastrup&lt;/Author&gt;&lt;Year&gt;2010&lt;/Year&gt;&lt;RecNum&gt;652&lt;/RecNum&gt;&lt;DisplayText&gt;(Aastrup and Kotzab, 2010; van Donk et al., 2008)&lt;/DisplayText&gt;&lt;record&gt;&lt;rec-number&gt;652&lt;/rec-number&gt;&lt;foreign-keys&gt;&lt;key app="EN" db-id="ft9rwfe99vp0fnet259vr9wns25s05drxsd2" timestamp="1498205938"&gt;652&lt;/key&gt;&lt;/foreign-keys&gt;&lt;ref-type name="Journal Article"&gt;17&lt;/ref-type&gt;&lt;contributors&gt;&lt;authors&gt;&lt;author&gt;Aastrup, Jesper&lt;/author&gt;&lt;author&gt;Kotzab, Herbert&lt;/author&gt;&lt;/authors&gt;&lt;/contributors&gt;&lt;titles&gt;&lt;title&gt;Forty years of out-of-stock research–and shelves are still empty&lt;/title&gt;&lt;secondary-title&gt;The International Review of Retail, Distribution and Consumer Research&lt;/secondary-title&gt;&lt;/titles&gt;&lt;periodical&gt;&lt;full-title&gt;The International Review of Retail, Distribution and Consumer Research&lt;/full-title&gt;&lt;/periodical&gt;&lt;pages&gt;147-164&lt;/pages&gt;&lt;volume&gt;20&lt;/volume&gt;&lt;number&gt;1&lt;/number&gt;&lt;dates&gt;&lt;year&gt;2010&lt;/year&gt;&lt;/dates&gt;&lt;isbn&gt;0959-3969&lt;/isbn&gt;&lt;urls&gt;&lt;/urls&gt;&lt;/record&gt;&lt;/Cite&gt;&lt;Cite&gt;&lt;Author&gt;van Donk&lt;/Author&gt;&lt;Year&gt;2008&lt;/Year&gt;&lt;RecNum&gt;173&lt;/RecNum&gt;&lt;record&gt;&lt;rec-number&gt;173&lt;/rec-number&gt;&lt;foreign-keys&gt;&lt;key app="EN" db-id="ft9rwfe99vp0fnet259vr9wns25s05drxsd2" timestamp="1445338666"&gt;173&lt;/key&gt;&lt;/foreign-keys&gt;&lt;ref-type name="Journal Article"&gt;17&lt;/ref-type&gt;&lt;contributors&gt;&lt;authors&gt;&lt;author&gt;van Donk, Dirk Pieter&lt;/author&gt;&lt;author&gt;Akkerman, Renzo&lt;/author&gt;&lt;author&gt;Van der Vaart, Taco&lt;/author&gt;&lt;/authors&gt;&lt;/contributors&gt;&lt;titles&gt;&lt;title&gt;Opportunities and realities of supply chain integration: the case of food manufacturers&lt;/title&gt;&lt;secondary-title&gt;British Food Journal&lt;/secondary-title&gt;&lt;/titles&gt;&lt;periodical&gt;&lt;full-title&gt;British Food Journal&lt;/full-title&gt;&lt;/periodical&gt;&lt;pages&gt;218-235&lt;/pages&gt;&lt;volume&gt;110&lt;/volume&gt;&lt;number&gt;2&lt;/number&gt;&lt;dates&gt;&lt;year&gt;2008&lt;/year&gt;&lt;/dates&gt;&lt;isbn&gt;0007-070X&lt;/isbn&gt;&lt;urls&gt;&lt;/urls&gt;&lt;/record&gt;&lt;/Cite&gt;&lt;/EndNote&gt;</w:instrText>
      </w:r>
      <w:r w:rsidR="00596695">
        <w:fldChar w:fldCharType="separate"/>
      </w:r>
      <w:r w:rsidR="00D71B5E">
        <w:rPr>
          <w:noProof/>
        </w:rPr>
        <w:t>(Aastrup and Kotzab, 2010; van Donk et al., 2008)</w:t>
      </w:r>
      <w:r w:rsidR="00596695">
        <w:fldChar w:fldCharType="end"/>
      </w:r>
      <w:r w:rsidR="00E35C85" w:rsidRPr="004A4C9B">
        <w:t>. Thus, for each subgroup</w:t>
      </w:r>
      <w:r w:rsidRPr="004A4C9B">
        <w:t xml:space="preserve"> a daily demand distribution was estimated based on the POS-data. I.e. fo</w:t>
      </w:r>
      <w:r w:rsidR="00D71B5E">
        <w:t>r subgroup A-</w:t>
      </w:r>
      <w:proofErr w:type="spellStart"/>
      <w:r w:rsidR="00D71B5E">
        <w:t>xs</w:t>
      </w:r>
      <w:proofErr w:type="spellEnd"/>
      <w:r w:rsidR="00D71B5E">
        <w:t xml:space="preserve"> sales from</w:t>
      </w:r>
      <w:r w:rsidR="00816823">
        <w:t xml:space="preserve"> 11 stores for</w:t>
      </w:r>
      <w:r w:rsidR="00D71B5E">
        <w:t xml:space="preserve"> all </w:t>
      </w:r>
      <w:r w:rsidR="00DC657A">
        <w:t>M</w:t>
      </w:r>
      <w:r w:rsidR="00DC657A" w:rsidRPr="004A4C9B">
        <w:t>ondays</w:t>
      </w:r>
      <w:r w:rsidRPr="004A4C9B">
        <w:t xml:space="preserve"> were plotted to fit a probability distribution</w:t>
      </w:r>
      <w:r w:rsidR="00816823">
        <w:t>. 11 stores in the simulation model is then using this probability distribution.</w:t>
      </w:r>
      <w:r w:rsidR="009A0922">
        <w:t xml:space="preserve"> </w:t>
      </w:r>
      <w:r w:rsidR="00816823">
        <w:t>A</w:t>
      </w:r>
      <w:r w:rsidRPr="004A4C9B">
        <w:t xml:space="preserve"> total of (7 x 21) 147 probability distributions were fitted to mirror demand each day for each subgroup. </w:t>
      </w:r>
      <w:r w:rsidR="00816823">
        <w:t xml:space="preserve">The distributions were fitted using </w:t>
      </w:r>
      <w:proofErr w:type="spellStart"/>
      <w:r w:rsidR="00816823" w:rsidRPr="00816823">
        <w:rPr>
          <w:i/>
        </w:rPr>
        <w:t>fitdistrplus</w:t>
      </w:r>
      <w:proofErr w:type="spellEnd"/>
      <w:r w:rsidR="00816823" w:rsidRPr="00816823">
        <w:rPr>
          <w:i/>
        </w:rPr>
        <w:t xml:space="preserve"> </w:t>
      </w:r>
      <w:r w:rsidR="00816823">
        <w:t xml:space="preserve">in </w:t>
      </w:r>
      <w:proofErr w:type="spellStart"/>
      <w:r w:rsidR="00816823">
        <w:t>RStudio</w:t>
      </w:r>
      <w:proofErr w:type="spellEnd"/>
      <w:r w:rsidR="00816823">
        <w:t>.</w:t>
      </w:r>
    </w:p>
    <w:p w14:paraId="485E3FCE" w14:textId="5F34342A" w:rsidR="00883E5E" w:rsidRPr="004A4C9B" w:rsidRDefault="00883E5E" w:rsidP="00816823">
      <w:pPr>
        <w:spacing w:line="480" w:lineRule="auto"/>
        <w:ind w:firstLine="0"/>
      </w:pPr>
    </w:p>
    <w:p w14:paraId="62C29FA5" w14:textId="617F17FB" w:rsidR="001E2F26" w:rsidRPr="004A4C9B" w:rsidRDefault="00EF3EB5" w:rsidP="00982611">
      <w:pPr>
        <w:pStyle w:val="Heading2"/>
        <w:spacing w:line="480" w:lineRule="auto"/>
      </w:pPr>
      <w:r w:rsidRPr="004A4C9B">
        <w:t>4</w:t>
      </w:r>
      <w:r w:rsidR="00AB1F5F" w:rsidRPr="004A4C9B">
        <w:t>.4</w:t>
      </w:r>
      <w:r w:rsidR="00EA5480">
        <w:t>.</w:t>
      </w:r>
      <w:r w:rsidR="00883E5E" w:rsidRPr="004A4C9B">
        <w:t xml:space="preserve"> </w:t>
      </w:r>
      <w:r w:rsidR="001E2F26" w:rsidRPr="004A4C9B">
        <w:t>Model assumptions</w:t>
      </w:r>
    </w:p>
    <w:p w14:paraId="5F7366AA" w14:textId="53A7263B" w:rsidR="001902AC" w:rsidRDefault="00212235" w:rsidP="00982611">
      <w:pPr>
        <w:spacing w:line="480" w:lineRule="auto"/>
        <w:ind w:firstLine="0"/>
      </w:pPr>
      <w:r w:rsidRPr="004A4C9B">
        <w:t>The model is a discrete</w:t>
      </w:r>
      <w:r w:rsidR="00F30786" w:rsidRPr="004A4C9B">
        <w:t xml:space="preserve"> event simulation model, which includes the warehouse and 232 stores divided into the 21 subgroups from </w:t>
      </w:r>
      <w:r w:rsidR="00A32438" w:rsidRPr="004A4C9B">
        <w:fldChar w:fldCharType="begin"/>
      </w:r>
      <w:r w:rsidR="00A32438" w:rsidRPr="004A4C9B">
        <w:instrText xml:space="preserve"> REF _Ref482880379 \h </w:instrText>
      </w:r>
      <w:r w:rsidR="004A4C9B">
        <w:instrText xml:space="preserve"> \* MERGEFORMAT </w:instrText>
      </w:r>
      <w:r w:rsidR="00A32438" w:rsidRPr="004A4C9B">
        <w:fldChar w:fldCharType="separate"/>
      </w:r>
      <w:r w:rsidR="00E0161A" w:rsidRPr="004A4C9B">
        <w:t xml:space="preserve">Table </w:t>
      </w:r>
      <w:r w:rsidR="00E0161A">
        <w:rPr>
          <w:noProof/>
        </w:rPr>
        <w:t>1</w:t>
      </w:r>
      <w:r w:rsidR="00A32438" w:rsidRPr="004A4C9B">
        <w:fldChar w:fldCharType="end"/>
      </w:r>
      <w:r w:rsidR="00F30786" w:rsidRPr="004A4C9B">
        <w:t xml:space="preserve">. </w:t>
      </w:r>
      <w:r w:rsidR="001902AC" w:rsidRPr="004A4C9B">
        <w:t>The following notation and assumptions were used:</w:t>
      </w:r>
    </w:p>
    <w:p w14:paraId="22489D71" w14:textId="77777777" w:rsidR="00816823" w:rsidRPr="004A4C9B" w:rsidRDefault="00816823" w:rsidP="00982611">
      <w:pPr>
        <w:spacing w:line="480" w:lineRule="auto"/>
        <w:ind w:firstLine="0"/>
      </w:pPr>
    </w:p>
    <w:p w14:paraId="69366CE9" w14:textId="1554EA42" w:rsidR="001902AC" w:rsidRPr="004A4C9B" w:rsidRDefault="003665A5" w:rsidP="00982611">
      <w:pPr>
        <w:pStyle w:val="ListParagraph"/>
        <w:numPr>
          <w:ilvl w:val="0"/>
          <w:numId w:val="5"/>
        </w:numPr>
        <w:spacing w:line="480" w:lineRule="auto"/>
      </w:pPr>
      <w:r w:rsidRPr="004A4C9B">
        <w:t>The simulation model considers one product</w:t>
      </w:r>
      <w:r w:rsidR="005B0901">
        <w:t xml:space="preserve"> (this focuses the problem and removes potential halo or cannibalization effects). </w:t>
      </w:r>
    </w:p>
    <w:p w14:paraId="4B945963" w14:textId="70DB6E23" w:rsidR="007A1915" w:rsidRDefault="007A1915" w:rsidP="00982611">
      <w:pPr>
        <w:pStyle w:val="ListParagraph"/>
        <w:numPr>
          <w:ilvl w:val="0"/>
          <w:numId w:val="5"/>
        </w:numPr>
        <w:spacing w:line="480" w:lineRule="auto"/>
      </w:pPr>
      <w:r w:rsidRPr="004A4C9B">
        <w:lastRenderedPageBreak/>
        <w:t>The model uses the fitted probability distributions to imitate demand at each store.</w:t>
      </w:r>
      <w:r>
        <w:t xml:space="preserve"> A unique distribution</w:t>
      </w:r>
      <w:r w:rsidRPr="004A4C9B">
        <w:t xml:space="preserve"> </w:t>
      </w:r>
      <w:r>
        <w:t>for each day for each subgroup.</w:t>
      </w:r>
    </w:p>
    <w:p w14:paraId="1D31FCC6" w14:textId="1CF62AA9" w:rsidR="00E20822" w:rsidRDefault="00E20822" w:rsidP="00982611">
      <w:pPr>
        <w:pStyle w:val="ListParagraph"/>
        <w:numPr>
          <w:ilvl w:val="0"/>
          <w:numId w:val="5"/>
        </w:numPr>
        <w:spacing w:line="480" w:lineRule="auto"/>
      </w:pPr>
      <w:r>
        <w:t xml:space="preserve">The stores can place orders according to the ordering days listed in </w:t>
      </w:r>
      <w:r>
        <w:fldChar w:fldCharType="begin"/>
      </w:r>
      <w:r>
        <w:instrText xml:space="preserve"> REF _Ref482880379 \h </w:instrText>
      </w:r>
      <w:r w:rsidR="00982611">
        <w:instrText xml:space="preserve"> \* MERGEFORMAT </w:instrText>
      </w:r>
      <w:r>
        <w:fldChar w:fldCharType="separate"/>
      </w:r>
      <w:r w:rsidR="00E0161A" w:rsidRPr="004A4C9B">
        <w:t xml:space="preserve">Table </w:t>
      </w:r>
      <w:r w:rsidR="00E0161A">
        <w:rPr>
          <w:noProof/>
        </w:rPr>
        <w:t>1</w:t>
      </w:r>
      <w:r>
        <w:fldChar w:fldCharType="end"/>
      </w:r>
      <w:r w:rsidR="00ED6EE0">
        <w:t xml:space="preserve"> as well as use</w:t>
      </w:r>
      <w:r>
        <w:t xml:space="preserve"> the listed service level</w:t>
      </w:r>
    </w:p>
    <w:p w14:paraId="4ABA0557" w14:textId="1DD1F0C8" w:rsidR="00E20822" w:rsidRDefault="00E20822" w:rsidP="00982611">
      <w:pPr>
        <w:pStyle w:val="ListParagraph"/>
        <w:numPr>
          <w:ilvl w:val="0"/>
          <w:numId w:val="5"/>
        </w:numPr>
        <w:spacing w:line="480" w:lineRule="auto"/>
      </w:pPr>
      <w:r w:rsidRPr="004A4C9B">
        <w:t>Products arrive to the stores with a fixed lead-time of 38 hou</w:t>
      </w:r>
      <w:r w:rsidR="005B0901">
        <w:t>r</w:t>
      </w:r>
      <w:r w:rsidR="00816823">
        <w:t xml:space="preserve"> (average lead time at the Norwegian retailer)</w:t>
      </w:r>
      <w:r w:rsidRPr="004A4C9B">
        <w:t xml:space="preserve">. Upon </w:t>
      </w:r>
      <w:proofErr w:type="gramStart"/>
      <w:r w:rsidRPr="004A4C9B">
        <w:t>arrival</w:t>
      </w:r>
      <w:proofErr w:type="gramEnd"/>
      <w:r w:rsidRPr="004A4C9B">
        <w:t xml:space="preserve"> all p</w:t>
      </w:r>
      <w:r w:rsidR="004E36AC">
        <w:t>roducts are placed on the shelves</w:t>
      </w:r>
      <w:r w:rsidRPr="004A4C9B">
        <w:t xml:space="preserve"> with the newest products at the back of the shelf. </w:t>
      </w:r>
    </w:p>
    <w:p w14:paraId="0E9735EF" w14:textId="46B882ED" w:rsidR="00E20822" w:rsidRPr="005B0901" w:rsidRDefault="00E20822" w:rsidP="00982611">
      <w:pPr>
        <w:pStyle w:val="ListParagraph"/>
        <w:numPr>
          <w:ilvl w:val="0"/>
          <w:numId w:val="5"/>
        </w:numPr>
        <w:spacing w:line="480" w:lineRule="auto"/>
      </w:pPr>
      <w:r w:rsidRPr="004A4C9B">
        <w:t xml:space="preserve">Replenishment quantities for the stores are multiples of a batch size </w:t>
      </w:r>
      <w:r w:rsidRPr="004A4C9B">
        <w:rPr>
          <w:i/>
        </w:rPr>
        <w:t>B</w:t>
      </w:r>
      <w:r w:rsidR="00AB0C20">
        <w:rPr>
          <w:i/>
        </w:rPr>
        <w:t xml:space="preserve">. </w:t>
      </w:r>
    </w:p>
    <w:p w14:paraId="2B85CA23" w14:textId="7CC9EAD3" w:rsidR="005B0901" w:rsidRPr="004A4C9B" w:rsidRDefault="005B0901" w:rsidP="00982611">
      <w:pPr>
        <w:pStyle w:val="ListParagraph"/>
        <w:numPr>
          <w:ilvl w:val="0"/>
          <w:numId w:val="5"/>
        </w:numPr>
        <w:spacing w:line="480" w:lineRule="auto"/>
      </w:pPr>
      <w:r>
        <w:t>Inventory allocations follows a first come first serve principle</w:t>
      </w:r>
    </w:p>
    <w:p w14:paraId="59FCB929" w14:textId="3E7FD9BD" w:rsidR="00E20822" w:rsidRPr="004A4C9B" w:rsidRDefault="00E20822" w:rsidP="00982611">
      <w:pPr>
        <w:pStyle w:val="ListParagraph"/>
        <w:numPr>
          <w:ilvl w:val="0"/>
          <w:numId w:val="5"/>
        </w:numPr>
        <w:spacing w:line="480" w:lineRule="auto"/>
      </w:pPr>
      <w:r w:rsidRPr="004A4C9B">
        <w:t xml:space="preserve">The safety stock, </w:t>
      </w:r>
      <w:r w:rsidRPr="004A4C9B">
        <w:rPr>
          <w:i/>
        </w:rPr>
        <w:t>SS</w:t>
      </w:r>
      <w:r w:rsidRPr="004A4C9B">
        <w:t xml:space="preserve">, is recalculated </w:t>
      </w:r>
      <w:r w:rsidR="00ED6EE0">
        <w:t>for each replenishment order</w:t>
      </w:r>
      <w:r w:rsidRPr="004A4C9B">
        <w:t xml:space="preserve"> according to the </w:t>
      </w:r>
      <w:r>
        <w:t xml:space="preserve">desired service level (from Table 1) and </w:t>
      </w:r>
      <w:r w:rsidRPr="004A4C9B">
        <w:t>forecast error</w:t>
      </w:r>
      <w:r>
        <w:t xml:space="preserve"> (</w:t>
      </w:r>
      <m:oMath>
        <m:r>
          <w:rPr>
            <w:rFonts w:ascii="Cambria Math" w:hAnsi="Cambria Math"/>
          </w:rPr>
          <m:t>k∙</m:t>
        </m:r>
        <m:sSub>
          <m:sSubPr>
            <m:ctrlPr>
              <w:rPr>
                <w:rFonts w:ascii="Cambria Math" w:hAnsi="Cambria Math"/>
                <w:i/>
              </w:rPr>
            </m:ctrlPr>
          </m:sSubPr>
          <m:e>
            <m:r>
              <w:rPr>
                <w:rFonts w:ascii="Cambria Math" w:hAnsi="Cambria Math"/>
              </w:rPr>
              <m:t>σ</m:t>
            </m:r>
          </m:e>
          <m:sub>
            <m:r>
              <w:rPr>
                <w:rFonts w:ascii="Cambria Math" w:hAnsi="Cambria Math"/>
              </w:rPr>
              <m:t>RL</m:t>
            </m:r>
          </m:sub>
        </m:sSub>
      </m:oMath>
      <w:r>
        <w:t>)</w:t>
      </w:r>
      <w:r w:rsidRPr="004A4C9B">
        <w:t xml:space="preserve"> </w:t>
      </w:r>
      <w:r>
        <w:fldChar w:fldCharType="begin"/>
      </w:r>
      <w:r w:rsidR="008D2908">
        <w:instrText xml:space="preserve"> ADDIN EN.CITE &lt;EndNote&gt;&lt;Cite&gt;&lt;Author&gt;Silver&lt;/Author&gt;&lt;Year&gt;1998&lt;/Year&gt;&lt;RecNum&gt;707&lt;/RecNum&gt;&lt;DisplayText&gt;(Silver et al., 1998)&lt;/DisplayText&gt;&lt;record&gt;&lt;rec-number&gt;707&lt;/rec-number&gt;&lt;foreign-keys&gt;&lt;key app="EN" db-id="ft9rwfe99vp0fnet259vr9wns25s05drxsd2" timestamp="1500288366"&gt;707&lt;/key&gt;&lt;/foreign-keys&gt;&lt;ref-type name="Book"&gt;6&lt;/ref-type&gt;&lt;contributors&gt;&lt;authors&gt;&lt;author&gt;Silver, Edward Allen&lt;/author&gt;&lt;author&gt;Pyke, David F&lt;/author&gt;&lt;author&gt;Peterson, Rein&lt;/author&gt;&lt;/authors&gt;&lt;/contributors&gt;&lt;titles&gt;&lt;title&gt;Inventory management and production planning and scheduling&lt;/title&gt;&lt;/titles&gt;&lt;volume&gt;3&lt;/volume&gt;&lt;dates&gt;&lt;year&gt;1998&lt;/year&gt;&lt;/dates&gt;&lt;publisher&gt;Wiley New York&lt;/publisher&gt;&lt;urls&gt;&lt;/urls&gt;&lt;/record&gt;&lt;/Cite&gt;&lt;/EndNote&gt;</w:instrText>
      </w:r>
      <w:r>
        <w:fldChar w:fldCharType="separate"/>
      </w:r>
      <w:r w:rsidR="008D2908">
        <w:rPr>
          <w:noProof/>
        </w:rPr>
        <w:t>(Silver et al., 1998)</w:t>
      </w:r>
      <w:r>
        <w:fldChar w:fldCharType="end"/>
      </w:r>
      <w:r>
        <w:t>.</w:t>
      </w:r>
    </w:p>
    <w:p w14:paraId="6D4DF3C1" w14:textId="6675C7C2" w:rsidR="00305C57" w:rsidRDefault="001902AC" w:rsidP="00982611">
      <w:pPr>
        <w:pStyle w:val="ListParagraph"/>
        <w:numPr>
          <w:ilvl w:val="0"/>
          <w:numId w:val="5"/>
        </w:numPr>
        <w:spacing w:line="480" w:lineRule="auto"/>
      </w:pPr>
      <w:r w:rsidRPr="004A4C9B">
        <w:t>The wa</w:t>
      </w:r>
      <w:r w:rsidR="00EA5480">
        <w:t>rehouse can place orders</w:t>
      </w:r>
      <w:r w:rsidR="00E20822">
        <w:t xml:space="preserve"> at the supplier</w:t>
      </w:r>
      <w:r w:rsidR="00A32438" w:rsidRPr="004A4C9B">
        <w:t xml:space="preserve"> </w:t>
      </w:r>
      <w:r w:rsidR="008D2908">
        <w:t>Sunday</w:t>
      </w:r>
      <w:r w:rsidR="00A32438" w:rsidRPr="004A4C9B">
        <w:t>,</w:t>
      </w:r>
      <w:r w:rsidRPr="004A4C9B">
        <w:t xml:space="preserve"> </w:t>
      </w:r>
      <w:r w:rsidR="008D2908">
        <w:t xml:space="preserve">Tuesday, </w:t>
      </w:r>
      <w:r w:rsidRPr="004A4C9B">
        <w:t xml:space="preserve">Wednesday, </w:t>
      </w:r>
      <w:r w:rsidR="00A32438" w:rsidRPr="004A4C9B">
        <w:t xml:space="preserve">and </w:t>
      </w:r>
      <w:r w:rsidR="008D2908">
        <w:t xml:space="preserve">Friday </w:t>
      </w:r>
    </w:p>
    <w:p w14:paraId="4F3971D5" w14:textId="1A0EE56D" w:rsidR="001E4684" w:rsidRPr="001E4684" w:rsidRDefault="001902AC" w:rsidP="00982611">
      <w:pPr>
        <w:pStyle w:val="ListParagraph"/>
        <w:numPr>
          <w:ilvl w:val="0"/>
          <w:numId w:val="5"/>
        </w:numPr>
        <w:spacing w:line="480" w:lineRule="auto"/>
      </w:pPr>
      <w:r w:rsidRPr="004A4C9B">
        <w:t>Products arrive to the warehouse</w:t>
      </w:r>
      <w:r w:rsidR="004E36AC">
        <w:t xml:space="preserve"> with a</w:t>
      </w:r>
      <w:r w:rsidRPr="004A4C9B">
        <w:t xml:space="preserve"> fixed lead-time of 38 hours</w:t>
      </w:r>
      <w:r w:rsidR="001E4684">
        <w:t xml:space="preserve">, and to reflect </w:t>
      </w:r>
      <w:r w:rsidR="00C53FAA" w:rsidRPr="001E4684">
        <w:rPr>
          <w:sz w:val="21"/>
        </w:rPr>
        <w:t>the</w:t>
      </w:r>
      <w:r w:rsidR="001E4684">
        <w:rPr>
          <w:sz w:val="21"/>
        </w:rPr>
        <w:t xml:space="preserve"> current situation at the Norwegian</w:t>
      </w:r>
      <w:r w:rsidR="00C53FAA" w:rsidRPr="001E4684">
        <w:rPr>
          <w:sz w:val="21"/>
        </w:rPr>
        <w:t xml:space="preserve"> grocery retailer</w:t>
      </w:r>
      <w:r w:rsidR="001E4684">
        <w:rPr>
          <w:sz w:val="21"/>
        </w:rPr>
        <w:t xml:space="preserve"> between 0-15% (uniform distribution) of the products they receive is</w:t>
      </w:r>
      <w:r w:rsidR="0005166B">
        <w:rPr>
          <w:sz w:val="21"/>
        </w:rPr>
        <w:t xml:space="preserve"> already</w:t>
      </w:r>
      <w:r w:rsidR="001E4684">
        <w:rPr>
          <w:sz w:val="21"/>
        </w:rPr>
        <w:t xml:space="preserve"> one day old</w:t>
      </w:r>
      <w:r w:rsidR="0005166B">
        <w:rPr>
          <w:sz w:val="21"/>
        </w:rPr>
        <w:t xml:space="preserve"> (as some suppliers sometimes produce too much, and has to deliver that amount the following day)</w:t>
      </w:r>
      <w:r w:rsidR="001E4684">
        <w:rPr>
          <w:sz w:val="21"/>
        </w:rPr>
        <w:t>.</w:t>
      </w:r>
    </w:p>
    <w:p w14:paraId="0C09D2BF" w14:textId="35B47C46" w:rsidR="00C53FAA" w:rsidRPr="004A4C9B" w:rsidRDefault="001E4684" w:rsidP="00982611">
      <w:pPr>
        <w:pStyle w:val="ListParagraph"/>
        <w:numPr>
          <w:ilvl w:val="0"/>
          <w:numId w:val="5"/>
        </w:numPr>
        <w:spacing w:line="480" w:lineRule="auto"/>
      </w:pPr>
      <w:r w:rsidRPr="003B20BF">
        <w:rPr>
          <w:sz w:val="21"/>
        </w:rPr>
        <w:t>Infinite supply is assumed from the supplier.</w:t>
      </w:r>
    </w:p>
    <w:p w14:paraId="7A937297" w14:textId="40CCB6EB" w:rsidR="00305C57" w:rsidRDefault="00305C57" w:rsidP="00982611">
      <w:pPr>
        <w:pStyle w:val="ListParagraph"/>
        <w:numPr>
          <w:ilvl w:val="0"/>
          <w:numId w:val="5"/>
        </w:numPr>
        <w:spacing w:line="480" w:lineRule="auto"/>
      </w:pPr>
      <w:r w:rsidRPr="004A4C9B">
        <w:t>Demand which cannot be satisfied</w:t>
      </w:r>
      <w:r>
        <w:t xml:space="preserve"> </w:t>
      </w:r>
      <w:r w:rsidRPr="004A4C9B">
        <w:t xml:space="preserve">is lost </w:t>
      </w:r>
    </w:p>
    <w:p w14:paraId="13389973" w14:textId="77777777" w:rsidR="00E230C3" w:rsidRDefault="00E230C3" w:rsidP="00982611">
      <w:pPr>
        <w:spacing w:line="480" w:lineRule="auto"/>
        <w:ind w:firstLine="0"/>
      </w:pPr>
    </w:p>
    <w:p w14:paraId="7D6386A6" w14:textId="113ADAED" w:rsidR="00E230C3" w:rsidRDefault="00E230C3" w:rsidP="00982611">
      <w:pPr>
        <w:spacing w:line="480" w:lineRule="auto"/>
        <w:ind w:firstLine="0"/>
      </w:pPr>
      <w:r>
        <w:t>The simulation model functions by a number of events</w:t>
      </w:r>
      <w:r w:rsidR="0040772E">
        <w:t xml:space="preserve"> at the warehouse (W) and at the stores (S)</w:t>
      </w:r>
      <w:r>
        <w:t xml:space="preserve">. </w:t>
      </w:r>
      <w:r w:rsidR="00516C75">
        <w:fldChar w:fldCharType="begin"/>
      </w:r>
      <w:r w:rsidR="00516C75">
        <w:instrText xml:space="preserve"> REF _Ref493163796 \h </w:instrText>
      </w:r>
      <w:r w:rsidR="00982611">
        <w:instrText xml:space="preserve"> \* MERGEFORMAT </w:instrText>
      </w:r>
      <w:r w:rsidR="00516C75">
        <w:fldChar w:fldCharType="separate"/>
      </w:r>
      <w:r w:rsidR="00E0161A">
        <w:t xml:space="preserve">Figure </w:t>
      </w:r>
      <w:r w:rsidR="00E0161A">
        <w:rPr>
          <w:noProof/>
        </w:rPr>
        <w:t>1</w:t>
      </w:r>
      <w:r w:rsidR="00516C75">
        <w:fldChar w:fldCharType="end"/>
      </w:r>
      <w:r w:rsidR="00516C75">
        <w:t xml:space="preserve"> </w:t>
      </w:r>
      <w:r>
        <w:t>explains each event and how the relate to each other. At event S3</w:t>
      </w:r>
      <w:r w:rsidR="0040772E">
        <w:t xml:space="preserve"> the EWA, EWA</w:t>
      </w:r>
      <w:r w:rsidR="0040772E" w:rsidRPr="00EF4A1F">
        <w:rPr>
          <w:vertAlign w:val="subscript"/>
        </w:rPr>
        <w:t>SS</w:t>
      </w:r>
      <w:r w:rsidR="0040772E">
        <w:t xml:space="preserve"> and a baseline replenishment policies are implemented. The baseline</w:t>
      </w:r>
      <w:r w:rsidR="00516C75">
        <w:t xml:space="preserve"> reflects a traditional automatic system for non-perishable products </w:t>
      </w:r>
      <w:r w:rsidR="00516C75">
        <w:fldChar w:fldCharType="begin"/>
      </w:r>
      <w:r w:rsidR="008D2908">
        <w:instrText xml:space="preserve"> ADDIN EN.CITE &lt;EndNote&gt;&lt;Cite&gt;&lt;Author&gt;Potter&lt;/Author&gt;&lt;Year&gt;2010&lt;/Year&gt;&lt;RecNum&gt;619&lt;/RecNum&gt;&lt;DisplayText&gt;(Potter and Disney, 2010)&lt;/DisplayText&gt;&lt;record&gt;&lt;rec-number&gt;619&lt;/rec-number&gt;&lt;foreign-keys&gt;&lt;key app="EN" db-id="ft9rwfe99vp0fnet259vr9wns25s05drxsd2" timestamp="1483432777"&gt;619&lt;/key&gt;&lt;key app="ENWeb" db-id=""&gt;0&lt;/key&gt;&lt;/foreign-keys&gt;&lt;ref-type name="Conference Proceedings"&gt;10&lt;/ref-type&gt;&lt;contributors&gt;&lt;authors&gt;&lt;author&gt;Potter, Andrew&lt;/author&gt;&lt;author&gt;Disney, Stephen M&lt;/author&gt;&lt;/authors&gt;&lt;/contributors&gt;&lt;titles&gt;&lt;title&gt;Removing bullwhip from the Tesco supply chain&lt;/title&gt;&lt;secondary-title&gt;Production and Operations Management Society Annual Conference&lt;/secondary-title&gt;&lt;/titles&gt;&lt;pages&gt;109-118&lt;/pages&gt;&lt;volume&gt;23&lt;/volume&gt;&lt;dates&gt;&lt;year&gt;2010&lt;/year&gt;&lt;/dates&gt;&lt;urls&gt;&lt;/urls&gt;&lt;/record&gt;&lt;/Cite&gt;&lt;/EndNote&gt;</w:instrText>
      </w:r>
      <w:r w:rsidR="00516C75">
        <w:fldChar w:fldCharType="separate"/>
      </w:r>
      <w:r w:rsidR="008D2908">
        <w:rPr>
          <w:noProof/>
        </w:rPr>
        <w:t>(Potter and Disney, 2010)</w:t>
      </w:r>
      <w:r w:rsidR="00516C75">
        <w:fldChar w:fldCharType="end"/>
      </w:r>
      <w:r w:rsidR="00516C75">
        <w:t>. Besides the three events at the warehouse and the three events at the stores all products are reduced with 1 day of remaining shelf life for every 24 hours.</w:t>
      </w:r>
    </w:p>
    <w:p w14:paraId="0ACCA26A" w14:textId="77777777" w:rsidR="0029774E" w:rsidRPr="004A4C9B" w:rsidRDefault="0029774E" w:rsidP="00982611">
      <w:pPr>
        <w:pStyle w:val="ListParagraph"/>
        <w:spacing w:line="480" w:lineRule="auto"/>
        <w:ind w:firstLine="0"/>
      </w:pPr>
    </w:p>
    <w:p w14:paraId="6CE10C1E" w14:textId="00A8F40A" w:rsidR="00516C75" w:rsidRDefault="00EF4A1F" w:rsidP="00982611">
      <w:pPr>
        <w:pStyle w:val="ListParagraph"/>
        <w:keepNext/>
        <w:spacing w:after="120" w:line="480" w:lineRule="auto"/>
        <w:ind w:left="0" w:firstLine="0"/>
        <w:jc w:val="center"/>
      </w:pPr>
      <w:r>
        <w:object w:dxaOrig="9120" w:dyaOrig="11055" w14:anchorId="5BDE7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554pt" o:ole="">
            <v:imagedata r:id="rId8" o:title=""/>
          </v:shape>
          <o:OLEObject Type="Embed" ProgID="Visio.Drawing.15" ShapeID="_x0000_i1025" DrawAspect="Content" ObjectID="_1592290450" r:id="rId9"/>
        </w:object>
      </w:r>
    </w:p>
    <w:p w14:paraId="48D61F70" w14:textId="551708D3" w:rsidR="00B81BCA" w:rsidRDefault="00516C75" w:rsidP="00982611">
      <w:pPr>
        <w:pStyle w:val="Caption"/>
        <w:spacing w:line="480" w:lineRule="auto"/>
        <w:jc w:val="center"/>
      </w:pPr>
      <w:bookmarkStart w:id="2" w:name="_Ref493163796"/>
      <w:r>
        <w:t xml:space="preserve">Figure </w:t>
      </w:r>
      <w:fldSimple w:instr=" SEQ Figure \* ARABIC ">
        <w:r w:rsidR="00E0161A">
          <w:rPr>
            <w:noProof/>
          </w:rPr>
          <w:t>1</w:t>
        </w:r>
      </w:fldSimple>
      <w:bookmarkEnd w:id="2"/>
      <w:r>
        <w:t xml:space="preserve">: </w:t>
      </w:r>
      <w:r w:rsidR="00EF4A1F">
        <w:t>E</w:t>
      </w:r>
      <w:r>
        <w:t>vents in the simulation model</w:t>
      </w:r>
    </w:p>
    <w:p w14:paraId="166ACF26" w14:textId="50232329" w:rsidR="00AA7513" w:rsidRDefault="00AA7513" w:rsidP="00982611">
      <w:pPr>
        <w:pStyle w:val="Heading2"/>
        <w:spacing w:line="480" w:lineRule="auto"/>
      </w:pPr>
      <w:r>
        <w:lastRenderedPageBreak/>
        <w:t>4.</w:t>
      </w:r>
      <w:r w:rsidR="0005166B">
        <w:t>5. Model verification</w:t>
      </w:r>
    </w:p>
    <w:p w14:paraId="414FA777" w14:textId="32F1D1A7" w:rsidR="00437B15" w:rsidRDefault="00C059B3" w:rsidP="00982611">
      <w:pPr>
        <w:spacing w:line="480" w:lineRule="auto"/>
        <w:ind w:firstLine="0"/>
      </w:pPr>
      <w:r>
        <w:t xml:space="preserve">Verification </w:t>
      </w:r>
      <w:r w:rsidR="00AA7733">
        <w:t>refers to</w:t>
      </w:r>
      <w:r>
        <w:t xml:space="preserve"> debugging of the </w:t>
      </w:r>
      <w:r w:rsidR="00AA7733">
        <w:t>simulation model and en</w:t>
      </w:r>
      <w:r w:rsidR="0005166B">
        <w:t>suring it functions as intended</w:t>
      </w:r>
      <w:r w:rsidR="00AA7733">
        <w:t xml:space="preserve"> </w:t>
      </w:r>
      <w:r w:rsidR="00AB4753">
        <w:fldChar w:fldCharType="begin"/>
      </w:r>
      <w:r w:rsidR="008D2908">
        <w:instrText xml:space="preserve"> ADDIN EN.CITE &lt;EndNote&gt;&lt;Cite&gt;&lt;Author&gt;Kleijnen&lt;/Author&gt;&lt;Year&gt;1995&lt;/Year&gt;&lt;RecNum&gt;581&lt;/RecNum&gt;&lt;DisplayText&gt;(Kleijnen, 1995)&lt;/DisplayText&gt;&lt;record&gt;&lt;rec-number&gt;581&lt;/rec-number&gt;&lt;foreign-keys&gt;&lt;key app="EN" db-id="ft9rwfe99vp0fnet259vr9wns25s05drxsd2" timestamp="1477047621"&gt;581&lt;/key&gt;&lt;/foreign-keys&gt;&lt;ref-type name="Journal Article"&gt;17&lt;/ref-type&gt;&lt;contributors&gt;&lt;authors&gt;&lt;author&gt;Kleijnen, Jack PC&lt;/author&gt;&lt;/authors&gt;&lt;/contributors&gt;&lt;titles&gt;&lt;title&gt;Verification and validation of simulation models&lt;/title&gt;&lt;secondary-title&gt;European journal of operational research&lt;/secondary-title&gt;&lt;/titles&gt;&lt;periodical&gt;&lt;full-title&gt;European Journal of Operational Research&lt;/full-title&gt;&lt;/periodical&gt;&lt;pages&gt;145-162&lt;/pages&gt;&lt;volume&gt;82&lt;/volume&gt;&lt;number&gt;1&lt;/number&gt;&lt;dates&gt;&lt;year&gt;1995&lt;/year&gt;&lt;/dates&gt;&lt;isbn&gt;0377-2217&lt;/isbn&gt;&lt;urls&gt;&lt;/urls&gt;&lt;/record&gt;&lt;/Cite&gt;&lt;/EndNote&gt;</w:instrText>
      </w:r>
      <w:r w:rsidR="00AB4753">
        <w:fldChar w:fldCharType="separate"/>
      </w:r>
      <w:r w:rsidR="008D2908">
        <w:rPr>
          <w:noProof/>
        </w:rPr>
        <w:t>(Kleijnen, 1995)</w:t>
      </w:r>
      <w:r w:rsidR="00AB4753">
        <w:fldChar w:fldCharType="end"/>
      </w:r>
      <w:r w:rsidR="00AA7733">
        <w:t xml:space="preserve">. </w:t>
      </w:r>
      <w:r w:rsidR="00A71ECC">
        <w:t>T</w:t>
      </w:r>
      <w:r w:rsidR="00892F8D">
        <w:t xml:space="preserve">he tactic of ‘verification through intermediate calculations’ has been used, i.e. intermediate results in the simulation model (e.g. inventory level after receiving orders and satisfying demand) has first manually been calculated and then compared with the results from the simulation model </w:t>
      </w:r>
      <w:r w:rsidR="00AB4753">
        <w:fldChar w:fldCharType="begin"/>
      </w:r>
      <w:r w:rsidR="008D2908">
        <w:instrText xml:space="preserve"> ADDIN EN.CITE &lt;EndNote&gt;&lt;Cite&gt;&lt;Author&gt;Kleijnen&lt;/Author&gt;&lt;Year&gt;1995&lt;/Year&gt;&lt;RecNum&gt;581&lt;/RecNum&gt;&lt;DisplayText&gt;(Kleijnen, 1995)&lt;/DisplayText&gt;&lt;record&gt;&lt;rec-number&gt;581&lt;/rec-number&gt;&lt;foreign-keys&gt;&lt;key app="EN" db-id="ft9rwfe99vp0fnet259vr9wns25s05drxsd2" timestamp="1477047621"&gt;581&lt;/key&gt;&lt;/foreign-keys&gt;&lt;ref-type name="Journal Article"&gt;17&lt;/ref-type&gt;&lt;contributors&gt;&lt;authors&gt;&lt;author&gt;Kleijnen, Jack PC&lt;/author&gt;&lt;/authors&gt;&lt;/contributors&gt;&lt;titles&gt;&lt;title&gt;Verification and validation of simulation models&lt;/title&gt;&lt;secondary-title&gt;European journal of operational research&lt;/secondary-title&gt;&lt;/titles&gt;&lt;periodical&gt;&lt;full-title&gt;European Journal of Operational Research&lt;/full-title&gt;&lt;/periodical&gt;&lt;pages&gt;145-162&lt;/pages&gt;&lt;volume&gt;82&lt;/volume&gt;&lt;number&gt;1&lt;/number&gt;&lt;dates&gt;&lt;year&gt;1995&lt;/year&gt;&lt;/dates&gt;&lt;isbn&gt;0377-2217&lt;/isbn&gt;&lt;urls&gt;&lt;/urls&gt;&lt;/record&gt;&lt;/Cite&gt;&lt;/EndNote&gt;</w:instrText>
      </w:r>
      <w:r w:rsidR="00AB4753">
        <w:fldChar w:fldCharType="separate"/>
      </w:r>
      <w:r w:rsidR="008D2908">
        <w:rPr>
          <w:noProof/>
        </w:rPr>
        <w:t>(Kleijnen, 1995)</w:t>
      </w:r>
      <w:r w:rsidR="00AB4753">
        <w:fldChar w:fldCharType="end"/>
      </w:r>
      <w:r w:rsidR="00892F8D">
        <w:t xml:space="preserve">. If any discrepancies the model was </w:t>
      </w:r>
      <w:r w:rsidR="00AB0C20">
        <w:t>corrected</w:t>
      </w:r>
      <w:r w:rsidR="00892F8D">
        <w:t xml:space="preserve"> accordingly. </w:t>
      </w:r>
    </w:p>
    <w:p w14:paraId="40456F51" w14:textId="77777777" w:rsidR="005D272B" w:rsidRPr="004A4C9B" w:rsidRDefault="005D272B" w:rsidP="00982611">
      <w:pPr>
        <w:spacing w:line="480" w:lineRule="auto"/>
        <w:ind w:firstLine="0"/>
      </w:pPr>
    </w:p>
    <w:p w14:paraId="34ECD9DC" w14:textId="12E51E8F" w:rsidR="00781763" w:rsidRPr="004A4C9B" w:rsidRDefault="00F95A29" w:rsidP="00982611">
      <w:pPr>
        <w:pStyle w:val="Heading1"/>
        <w:spacing w:line="480" w:lineRule="auto"/>
      </w:pPr>
      <w:r>
        <w:t>Numerical r</w:t>
      </w:r>
      <w:r w:rsidR="002E59E6" w:rsidRPr="004A4C9B">
        <w:t>esults</w:t>
      </w:r>
    </w:p>
    <w:p w14:paraId="5AC3FEB0" w14:textId="2B6502BF" w:rsidR="00AE27AB" w:rsidRDefault="00F85D9C" w:rsidP="00982611">
      <w:pPr>
        <w:spacing w:line="480" w:lineRule="auto"/>
        <w:ind w:firstLine="0"/>
      </w:pPr>
      <w:r>
        <w:t>To evaluate the applicability and performance of the EWA and EWA</w:t>
      </w:r>
      <w:r w:rsidRPr="00F85D9C">
        <w:rPr>
          <w:vertAlign w:val="subscript"/>
        </w:rPr>
        <w:t>SS</w:t>
      </w:r>
      <w:r>
        <w:t xml:space="preserve"> policy three main scenarios</w:t>
      </w:r>
      <w:r w:rsidR="005668DE">
        <w:t xml:space="preserve"> with different replenishment policies between the stores and the warehouse</w:t>
      </w:r>
      <w:r>
        <w:t xml:space="preserve"> were establis</w:t>
      </w:r>
      <w:r w:rsidR="00654457">
        <w:t>hed: (1) Baseline scenario</w:t>
      </w:r>
      <w:r>
        <w:t>, (2) EWA policy, and (3) EWA</w:t>
      </w:r>
      <w:r w:rsidRPr="00F85D9C">
        <w:rPr>
          <w:vertAlign w:val="subscript"/>
        </w:rPr>
        <w:t>SS</w:t>
      </w:r>
      <w:r>
        <w:t xml:space="preserve"> policy. </w:t>
      </w:r>
      <w:r w:rsidR="00AE27AB">
        <w:t xml:space="preserve">The simulations </w:t>
      </w:r>
      <w:r w:rsidR="004E36AC">
        <w:t>were</w:t>
      </w:r>
      <w:r w:rsidR="00654457">
        <w:t xml:space="preserve"> run for one year</w:t>
      </w:r>
      <w:r w:rsidR="00AE27AB">
        <w:t xml:space="preserve"> (plus 4 </w:t>
      </w:r>
      <w:proofErr w:type="gramStart"/>
      <w:r w:rsidR="00AE27AB">
        <w:t>months</w:t>
      </w:r>
      <w:proofErr w:type="gramEnd"/>
      <w:r w:rsidR="00AE27AB">
        <w:t xml:space="preserve"> warm-up period for the forecasting procedure) </w:t>
      </w:r>
      <w:r w:rsidR="00654457">
        <w:t xml:space="preserve">and </w:t>
      </w:r>
      <w:r w:rsidR="00AE27AB">
        <w:t xml:space="preserve">for each scenario </w:t>
      </w:r>
      <w:r w:rsidR="00654457">
        <w:t xml:space="preserve">the shelf life of the product was gradually increased (with 1 day) from 4 days of shelf life to 20 days of shelf life. </w:t>
      </w:r>
      <w:r w:rsidR="006B6617">
        <w:t>These limits were made b</w:t>
      </w:r>
      <w:r w:rsidR="00654457">
        <w:t>ecause the total lead</w:t>
      </w:r>
      <w:r w:rsidR="006B6617">
        <w:t xml:space="preserve"> time through the supply chain is </w:t>
      </w:r>
      <w:r w:rsidR="00654457">
        <w:t>at least 2 x 38 hours</w:t>
      </w:r>
      <w:r w:rsidR="006B6617">
        <w:t xml:space="preserve"> and</w:t>
      </w:r>
      <w:r w:rsidR="00654457">
        <w:t xml:space="preserve"> products with a shelf life less than four days would have expired </w:t>
      </w:r>
      <w:r w:rsidR="006B6617">
        <w:t>before they reached the stores. Additionally,</w:t>
      </w:r>
      <w:r w:rsidR="00654457">
        <w:t xml:space="preserve"> no changes </w:t>
      </w:r>
      <w:proofErr w:type="gramStart"/>
      <w:r w:rsidR="00654457">
        <w:t>was</w:t>
      </w:r>
      <w:proofErr w:type="gramEnd"/>
      <w:r w:rsidR="00654457">
        <w:t xml:space="preserve"> observed with a shelf life above 20 days. </w:t>
      </w:r>
    </w:p>
    <w:p w14:paraId="075C5DB6" w14:textId="0CE1E2A3" w:rsidR="003D444E" w:rsidRDefault="00F85D9C" w:rsidP="00982611">
      <w:pPr>
        <w:spacing w:line="480" w:lineRule="auto"/>
      </w:pPr>
      <w:r>
        <w:t xml:space="preserve">To make the simulations closer to reality a mix between FIFO and LIFO depletion was implemented. </w:t>
      </w:r>
      <w:r w:rsidR="009A3C50">
        <w:t>A small pilot study with 3 stores revealed that on average 9.5% of the products are picked from the back (LIFO)</w:t>
      </w:r>
      <w:r w:rsidR="004E36AC">
        <w:t>. T</w:t>
      </w:r>
      <w:r w:rsidR="009A3C50">
        <w:t>hus</w:t>
      </w:r>
      <w:r w:rsidR="004E36AC">
        <w:t>,</w:t>
      </w:r>
      <w:r w:rsidR="008B30A6">
        <w:t xml:space="preserve"> a</w:t>
      </w:r>
      <w:r w:rsidR="004E36AC">
        <w:t>s a round number</w:t>
      </w:r>
      <w:r w:rsidR="009A3C50">
        <w:t xml:space="preserve"> 90% / 10% depletion </w:t>
      </w:r>
      <w:r w:rsidR="008B30A6">
        <w:t xml:space="preserve">was </w:t>
      </w:r>
      <w:r w:rsidR="009A3C50">
        <w:t>selected</w:t>
      </w:r>
      <w:r w:rsidR="004E36AC">
        <w:t xml:space="preserve"> for this study, m</w:t>
      </w:r>
      <w:r w:rsidR="008B30A6">
        <w:t>eaning</w:t>
      </w:r>
      <w:r>
        <w:t xml:space="preserve"> 90 % of the demand in the stores was depleted following FIFO and the remaining 10 % following LIFO. </w:t>
      </w:r>
      <w:r w:rsidR="008B30A6">
        <w:t>Symbolizing</w:t>
      </w:r>
      <w:r>
        <w:t xml:space="preserve"> that 90 % of the consumer will pick the products in front, while 10 % will search for products at the back of the shelf with a longer r</w:t>
      </w:r>
      <w:r w:rsidR="008B30A6">
        <w:t>emaining shelf life</w:t>
      </w:r>
      <w:r w:rsidR="009A3C50">
        <w:t xml:space="preserve">. </w:t>
      </w:r>
      <w:r w:rsidR="003D444E">
        <w:t>A</w:t>
      </w:r>
      <w:r w:rsidR="000D6E3F">
        <w:t>dditionally, a batch size</w:t>
      </w:r>
      <w:r w:rsidR="003D444E">
        <w:t xml:space="preserve"> between the warehouse and the stores of 9 SKUs to one batch was used.</w:t>
      </w:r>
      <w:r w:rsidR="006B6617">
        <w:t xml:space="preserve"> A sensitivity analysis of the FIFO depletion percentage and the batch size is </w:t>
      </w:r>
      <w:proofErr w:type="gramStart"/>
      <w:r w:rsidR="006B6617">
        <w:t>include</w:t>
      </w:r>
      <w:proofErr w:type="gramEnd"/>
      <w:r w:rsidR="006B6617">
        <w:t xml:space="preserve"> in the end.</w:t>
      </w:r>
    </w:p>
    <w:p w14:paraId="4070C392" w14:textId="59BE8949" w:rsidR="006B6617" w:rsidRDefault="001929A9" w:rsidP="00982611">
      <w:pPr>
        <w:spacing w:line="480" w:lineRule="auto"/>
      </w:pPr>
      <w:r>
        <w:t xml:space="preserve">To ensure a comprehensive evaluation </w:t>
      </w:r>
      <w:r w:rsidR="006B6617">
        <w:t>of the scenarios relevant performance measures are selected. Several comprehensive per</w:t>
      </w:r>
      <w:r w:rsidR="004E36AC">
        <w:t>formance measurement systems have</w:t>
      </w:r>
      <w:r w:rsidR="006B6617">
        <w:t xml:space="preserve"> been proposed for food and grocery supply </w:t>
      </w:r>
      <w:r w:rsidR="006B6617">
        <w:lastRenderedPageBreak/>
        <w:t xml:space="preserve">chains encompassing various levels (supply chain, organization, process) and dimensions (e.g. availability, quality, cost) </w:t>
      </w:r>
      <w:r w:rsidR="006B6617">
        <w:fldChar w:fldCharType="begin"/>
      </w:r>
      <w:r w:rsidR="008D2908">
        <w:instrText xml:space="preserve"> ADDIN EN.CITE &lt;EndNote&gt;&lt;Cite&gt;&lt;Author&gt;Van Der Vorst&lt;/Author&gt;&lt;Year&gt;2006&lt;/Year&gt;&lt;RecNum&gt;497&lt;/RecNum&gt;&lt;DisplayText&gt;(Manikas and Terry, 2009; Van Der Vorst, 2006)&lt;/DisplayText&gt;&lt;record&gt;&lt;rec-number&gt;497&lt;/rec-number&gt;&lt;foreign-keys&gt;&lt;key app="EN" db-id="ft9rwfe99vp0fnet259vr9wns25s05drxsd2" timestamp="1467977457"&gt;497&lt;/key&gt;&lt;/foreign-keys&gt;&lt;ref-type name="Book Section"&gt;5&lt;/ref-type&gt;&lt;contributors&gt;&lt;authors&gt;&lt;author&gt;Van Der Vorst, Jack GAJ&lt;/author&gt;&lt;/authors&gt;&lt;secondary-authors&gt;&lt;author&gt;Ondersteijn, C.J.&lt;/author&gt;&lt;author&gt;Wijnands, J.H.&lt;/author&gt;&lt;author&gt;Huirne, R.B. &lt;/author&gt;&lt;author&gt;van Kooten, O.&lt;/author&gt;&lt;/secondary-authors&gt;&lt;/contributors&gt;&lt;titles&gt;&lt;title&gt;Performance measurement in agri-food supply-chain networks&lt;/title&gt;&lt;secondary-title&gt;Quantifying the agri-food supply chain&lt;/secondary-title&gt;&lt;/titles&gt;&lt;pages&gt;15-26&lt;/pages&gt;&lt;dates&gt;&lt;year&gt;2006&lt;/year&gt;&lt;/dates&gt;&lt;publisher&gt;Springer&lt;/publisher&gt;&lt;urls&gt;&lt;/urls&gt;&lt;/record&gt;&lt;/Cite&gt;&lt;Cite&gt;&lt;Author&gt;Manikas&lt;/Author&gt;&lt;Year&gt;2009&lt;/Year&gt;&lt;RecNum&gt;726&lt;/RecNum&gt;&lt;record&gt;&lt;rec-number&gt;726&lt;/rec-number&gt;&lt;foreign-keys&gt;&lt;key app="EN" db-id="ft9rwfe99vp0fnet259vr9wns25s05drxsd2" timestamp="1506685439"&gt;726&lt;/key&gt;&lt;/foreign-keys&gt;&lt;ref-type name="Journal Article"&gt;17&lt;/ref-type&gt;&lt;contributors&gt;&lt;authors&gt;&lt;author&gt;Manikas, Ioannis&lt;/author&gt;&lt;author&gt;Terry, Leon A&lt;/author&gt;&lt;/authors&gt;&lt;/contributors&gt;&lt;titles&gt;&lt;title&gt;A case study assessment of the operational performance of a multiple fresh produce distribution centre in the UK&lt;/title&gt;&lt;secondary-title&gt;British Food Journal&lt;/secondary-title&gt;&lt;/titles&gt;&lt;periodical&gt;&lt;full-title&gt;British Food Journal&lt;/full-title&gt;&lt;/periodical&gt;&lt;pages&gt;421-435&lt;/pages&gt;&lt;volume&gt;111&lt;/volume&gt;&lt;number&gt;5&lt;/number&gt;&lt;dates&gt;&lt;year&gt;2009&lt;/year&gt;&lt;/dates&gt;&lt;isbn&gt;0007-070X&lt;/isbn&gt;&lt;urls&gt;&lt;/urls&gt;&lt;/record&gt;&lt;/Cite&gt;&lt;/EndNote&gt;</w:instrText>
      </w:r>
      <w:r w:rsidR="006B6617">
        <w:fldChar w:fldCharType="separate"/>
      </w:r>
      <w:r w:rsidR="008D2908">
        <w:rPr>
          <w:noProof/>
        </w:rPr>
        <w:t>(Manikas and Terry, 2009; Van Der Vorst, 2006)</w:t>
      </w:r>
      <w:r w:rsidR="006B6617">
        <w:fldChar w:fldCharType="end"/>
      </w:r>
      <w:r w:rsidR="006B6617">
        <w:t>. Here, the most frequently used and recommend measures for grocery retailing is selecte</w:t>
      </w:r>
      <w:r w:rsidR="00D01698">
        <w:t>d</w:t>
      </w:r>
      <w:r w:rsidR="008815D2">
        <w:t xml:space="preserve">: availability (fill rate), waste, number of deliveries, and </w:t>
      </w:r>
      <w:r w:rsidR="00AE27AB">
        <w:t xml:space="preserve">average </w:t>
      </w:r>
      <w:r w:rsidR="008815D2">
        <w:t>inventory level</w:t>
      </w:r>
      <w:r>
        <w:t xml:space="preserve"> </w:t>
      </w:r>
      <w:r w:rsidR="008C2F87">
        <w:fldChar w:fldCharType="begin">
          <w:fldData xml:space="preserve">PEVuZE5vdGU+PENpdGU+PEF1dGhvcj5Iw7xibmVyPC9BdXRob3I+PFllYXI+MjAxMzwvWWVhcj48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</w:fldData>
        </w:fldChar>
      </w:r>
      <w:r w:rsidR="008D2908">
        <w:instrText xml:space="preserve"> ADDIN EN.CITE </w:instrText>
      </w:r>
      <w:r w:rsidR="008D2908">
        <w:fldChar w:fldCharType="begin">
          <w:fldData xml:space="preserve">PEVuZE5vdGU+PENpdGU+PEF1dGhvcj5Iw7xibmVyPC9BdXRob3I+PFllYXI+MjAxMzwvWWVhcj48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</w:fldData>
        </w:fldChar>
      </w:r>
      <w:r w:rsidR="008D2908">
        <w:instrText xml:space="preserve"> ADDIN EN.CITE.DATA </w:instrText>
      </w:r>
      <w:r w:rsidR="008D2908">
        <w:fldChar w:fldCharType="end"/>
      </w:r>
      <w:r w:rsidR="008C2F87">
        <w:fldChar w:fldCharType="separate"/>
      </w:r>
      <w:r w:rsidR="008D2908">
        <w:rPr>
          <w:noProof/>
        </w:rPr>
        <w:t>(Broekmeulen and van Donselaar, 2009; Hübner et al., 2013; Kaipia et al., 2013; Van Der Vorst, 2006)</w:t>
      </w:r>
      <w:r w:rsidR="008C2F87">
        <w:fldChar w:fldCharType="end"/>
      </w:r>
      <w:r>
        <w:t>.</w:t>
      </w:r>
      <w:r w:rsidR="006B6617">
        <w:t xml:space="preserve"> The “moment of truth” for grocery retailers is when the consumers enter the stores and reach for the products on the shelves </w:t>
      </w:r>
      <w:r w:rsidR="006B6617">
        <w:fldChar w:fldCharType="begin"/>
      </w:r>
      <w:r w:rsidR="008D2908">
        <w:instrText xml:space="preserve"> ADDIN EN.CITE &lt;EndNote&gt;&lt;Cite&gt;&lt;Author&gt;Hübner&lt;/Author&gt;&lt;Year&gt;2013&lt;/Year&gt;&lt;RecNum&gt;116&lt;/RecNum&gt;&lt;DisplayText&gt;(Hübner et al., 2013)&lt;/DisplayText&gt;&lt;record&gt;&lt;rec-number&gt;116&lt;/rec-number&gt;&lt;foreign-keys&gt;&lt;key app="EN" db-id="ft9rwfe99vp0fnet259vr9wns25s05drxsd2" timestamp="1443444001"&gt;116&lt;/key&gt;&lt;key app="ENWeb" db-id=""&gt;0&lt;/key&gt;&lt;/foreign-keys&gt;&lt;ref-type name="Journal Article"&gt;17&lt;/ref-type&gt;&lt;contributors&gt;&lt;authors&gt;&lt;author&gt;Hübner, Alexander H&lt;/author&gt;&lt;author&gt;Kuhn, Heinrich&lt;/author&gt;&lt;author&gt;Sternbeck, Michael G&lt;/author&gt;&lt;/authors&gt;&lt;/contributors&gt;&lt;titles&gt;&lt;title&gt;Demand and supply chain planning in grocery retail: an operations planning framework&lt;/title&gt;&lt;secondary-title&gt;International Journal of Retail &amp;amp; Distribution Management&lt;/secondary-title&gt;&lt;/titles&gt;&lt;periodical&gt;&lt;full-title&gt;International Journal of Retail &amp;amp; Distribution Management&lt;/full-title&gt;&lt;/periodical&gt;&lt;pages&gt;512-530&lt;/pages&gt;&lt;volume&gt;41&lt;/volume&gt;&lt;number&gt;7&lt;/number&gt;&lt;dates&gt;&lt;year&gt;2013&lt;/year&gt;&lt;/dates&gt;&lt;isbn&gt;0959-0552&lt;/isbn&gt;&lt;urls&gt;&lt;/urls&gt;&lt;/record&gt;&lt;/Cite&gt;&lt;/EndNote&gt;</w:instrText>
      </w:r>
      <w:r w:rsidR="006B6617">
        <w:fldChar w:fldCharType="separate"/>
      </w:r>
      <w:r w:rsidR="008D2908">
        <w:rPr>
          <w:noProof/>
        </w:rPr>
        <w:t>(Hübner et al., 2013)</w:t>
      </w:r>
      <w:r w:rsidR="006B6617">
        <w:fldChar w:fldCharType="end"/>
      </w:r>
      <w:r w:rsidR="006B6617">
        <w:t>.</w:t>
      </w:r>
      <w:r w:rsidR="00AE27AB">
        <w:t xml:space="preserve"> A low fill rate indicate</w:t>
      </w:r>
      <w:r w:rsidR="004E36AC">
        <w:t>s</w:t>
      </w:r>
      <w:r w:rsidR="00AE27AB">
        <w:t xml:space="preserve"> a lack of supply to the stores while high waste might indicate an oversupply to the stores – thus, these two performance measures are useful to </w:t>
      </w:r>
      <w:r w:rsidR="004E36AC">
        <w:t>compare</w:t>
      </w:r>
      <w:r w:rsidR="00AE27AB">
        <w:t xml:space="preserve"> </w:t>
      </w:r>
      <w:r w:rsidR="008B3AE3">
        <w:t>side by side</w:t>
      </w:r>
      <w:r w:rsidR="00AE27AB">
        <w:t xml:space="preserve">. </w:t>
      </w:r>
      <w:r w:rsidR="005A3A29">
        <w:t xml:space="preserve">The number of deliveries are included to represent the transport and handling cost, while the average inventory level represents the tied-up capital. </w:t>
      </w:r>
    </w:p>
    <w:p w14:paraId="35262349" w14:textId="06A24919" w:rsidR="001F7AAE" w:rsidRDefault="005A3A29" w:rsidP="00982611">
      <w:pPr>
        <w:spacing w:line="480" w:lineRule="auto"/>
      </w:pPr>
      <w:r>
        <w:t xml:space="preserve">In </w:t>
      </w:r>
      <w:r>
        <w:fldChar w:fldCharType="begin"/>
      </w:r>
      <w:r>
        <w:instrText xml:space="preserve"> REF _Ref491085429 \h </w:instrText>
      </w:r>
      <w:r w:rsidR="00982611">
        <w:instrText xml:space="preserve"> \* MERGEFORMAT </w:instrText>
      </w:r>
      <w:r>
        <w:fldChar w:fldCharType="separate"/>
      </w:r>
      <w:r w:rsidR="00E0161A">
        <w:t xml:space="preserve">Figure </w:t>
      </w:r>
      <w:r w:rsidR="00E0161A">
        <w:rPr>
          <w:noProof/>
        </w:rPr>
        <w:t>2</w:t>
      </w:r>
      <w:r>
        <w:fldChar w:fldCharType="end"/>
      </w:r>
      <w:r>
        <w:t xml:space="preserve"> the fill rate and the waste is compared and the numbers refers to the shelf life, e.g. for the scenario with a product of eight </w:t>
      </w:r>
      <w:proofErr w:type="gramStart"/>
      <w:r>
        <w:t>days</w:t>
      </w:r>
      <w:proofErr w:type="gramEnd"/>
      <w:r>
        <w:t xml:space="preserve"> shelf life the baseline scenario resulted a fill rate of 8</w:t>
      </w:r>
      <w:r w:rsidR="00D01698">
        <w:t>8% with 23</w:t>
      </w:r>
      <w:r>
        <w:t>% waste.</w:t>
      </w:r>
    </w:p>
    <w:p w14:paraId="1324760C" w14:textId="7779E3A9" w:rsidR="001F7AAE" w:rsidRDefault="001F7AAE" w:rsidP="00982611">
      <w:pPr>
        <w:keepNext/>
        <w:spacing w:line="480" w:lineRule="auto"/>
        <w:ind w:firstLine="0"/>
        <w:jc w:val="center"/>
      </w:pPr>
      <w:r>
        <w:rPr>
          <w:noProof/>
        </w:rPr>
        <w:drawing>
          <wp:inline distT="0" distB="0" distL="0" distR="0" wp14:anchorId="2168F302" wp14:editId="3B224B87">
            <wp:extent cx="5867400" cy="2909199"/>
            <wp:effectExtent l="0" t="0" r="0" b="571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2499" cy="2911727"/>
                    </a:xfrm>
                    <a:prstGeom prst="rect">
                      <a:avLst/>
                    </a:prstGeom>
                    <a:noFill/>
                  </pic:spPr>
                </pic:pic>
              </a:graphicData>
            </a:graphic>
          </wp:inline>
        </w:drawing>
      </w:r>
    </w:p>
    <w:p w14:paraId="2A7664AE" w14:textId="042D0A2A" w:rsidR="005668DE" w:rsidRDefault="005668DE" w:rsidP="00982611">
      <w:pPr>
        <w:pStyle w:val="Caption"/>
        <w:spacing w:line="480" w:lineRule="auto"/>
        <w:jc w:val="center"/>
      </w:pPr>
      <w:bookmarkStart w:id="3" w:name="_Ref491085429"/>
      <w:r>
        <w:t xml:space="preserve">Figure </w:t>
      </w:r>
      <w:fldSimple w:instr=" SEQ Figure \* ARABIC ">
        <w:r w:rsidR="00E0161A">
          <w:rPr>
            <w:noProof/>
          </w:rPr>
          <w:t>2</w:t>
        </w:r>
      </w:fldSimple>
      <w:bookmarkEnd w:id="3"/>
      <w:r w:rsidR="00870778">
        <w:t xml:space="preserve">: One year average waste </w:t>
      </w:r>
      <w:r>
        <w:t>across all stores</w:t>
      </w:r>
      <w:r w:rsidR="00D01698">
        <w:t xml:space="preserve"> and warehouse</w:t>
      </w:r>
      <w:r w:rsidR="00870778">
        <w:t xml:space="preserve"> and fill rate across stores</w:t>
      </w:r>
    </w:p>
    <w:p w14:paraId="4D672270" w14:textId="7DC62A44" w:rsidR="007261C5" w:rsidRDefault="007261C5" w:rsidP="00982611">
      <w:pPr>
        <w:spacing w:line="480" w:lineRule="auto"/>
        <w:ind w:firstLine="0"/>
      </w:pPr>
      <w:r>
        <w:t xml:space="preserve">From </w:t>
      </w:r>
      <w:r>
        <w:fldChar w:fldCharType="begin"/>
      </w:r>
      <w:r>
        <w:instrText xml:space="preserve"> REF _Ref491085429 \h </w:instrText>
      </w:r>
      <w:r w:rsidR="00982611">
        <w:instrText xml:space="preserve"> \* MERGEFORMAT </w:instrText>
      </w:r>
      <w:r>
        <w:fldChar w:fldCharType="separate"/>
      </w:r>
      <w:r w:rsidR="00E0161A">
        <w:t xml:space="preserve">Figure </w:t>
      </w:r>
      <w:r w:rsidR="00E0161A">
        <w:rPr>
          <w:noProof/>
        </w:rPr>
        <w:t>2</w:t>
      </w:r>
      <w:r>
        <w:fldChar w:fldCharType="end"/>
      </w:r>
      <w:r>
        <w:t xml:space="preserve"> it can be observed that the EWA policy outpe</w:t>
      </w:r>
      <w:r w:rsidR="008B3AE3">
        <w:t>rforms the two other policies with</w:t>
      </w:r>
      <w:r>
        <w:t xml:space="preserve"> regards to fill rate when the shelf life is less than 1</w:t>
      </w:r>
      <w:r w:rsidR="00D01698">
        <w:t>1</w:t>
      </w:r>
      <w:r>
        <w:t xml:space="preserve"> days. This is expected as the total buffer size in the EWA policy is bigger than the EWA</w:t>
      </w:r>
      <w:r w:rsidRPr="00F85D9C">
        <w:rPr>
          <w:vertAlign w:val="subscript"/>
        </w:rPr>
        <w:t>SS</w:t>
      </w:r>
      <w:r>
        <w:t xml:space="preserve">. However, if the corresponding waste levels are considered it is </w:t>
      </w:r>
      <w:r w:rsidR="00D01698">
        <w:t>observed</w:t>
      </w:r>
      <w:r>
        <w:t xml:space="preserve"> that the </w:t>
      </w:r>
      <w:r>
        <w:lastRenderedPageBreak/>
        <w:t xml:space="preserve">EWA policy obtains the higher fill rate </w:t>
      </w:r>
      <w:r w:rsidR="00D01698">
        <w:t>by wasting more products compared to the EWA</w:t>
      </w:r>
      <w:r w:rsidR="00D01698" w:rsidRPr="00D01698">
        <w:rPr>
          <w:vertAlign w:val="subscript"/>
        </w:rPr>
        <w:t>SS</w:t>
      </w:r>
      <w:r w:rsidR="00D01698">
        <w:t xml:space="preserve"> policy</w:t>
      </w:r>
      <w:r>
        <w:t>.</w:t>
      </w:r>
      <w:r w:rsidR="00C13F75">
        <w:t xml:space="preserve"> C</w:t>
      </w:r>
      <w:r>
        <w:t>ompared to the baseline scenario the EWA po</w:t>
      </w:r>
      <w:r w:rsidR="00C13F75">
        <w:t xml:space="preserve">licy increases fill rate with </w:t>
      </w:r>
      <w:r w:rsidR="00D01698">
        <w:t>17.7</w:t>
      </w:r>
      <w:r>
        <w:t xml:space="preserve">% </w:t>
      </w:r>
      <w:r w:rsidR="00C13F75">
        <w:t xml:space="preserve">on </w:t>
      </w:r>
      <w:r>
        <w:t xml:space="preserve">average, </w:t>
      </w:r>
      <w:r w:rsidR="00D01698">
        <w:t>and</w:t>
      </w:r>
      <w:r>
        <w:t xml:space="preserve"> </w:t>
      </w:r>
      <w:r w:rsidR="00D01698">
        <w:t>reduced</w:t>
      </w:r>
      <w:r w:rsidR="00C13F75">
        <w:t xml:space="preserve"> waste with </w:t>
      </w:r>
      <w:r w:rsidR="00D01698">
        <w:t xml:space="preserve">3.4% </w:t>
      </w:r>
      <w:r>
        <w:t>for products with a shelf life between 4 and 1</w:t>
      </w:r>
      <w:r w:rsidR="00D01698">
        <w:t>1</w:t>
      </w:r>
      <w:r>
        <w:t xml:space="preserve"> day</w:t>
      </w:r>
      <w:r w:rsidR="00D01698">
        <w:t>s</w:t>
      </w:r>
      <w:r>
        <w:t>. In contrast, compared to the baseline scenario, the EWA</w:t>
      </w:r>
      <w:r w:rsidRPr="00F85D9C">
        <w:rPr>
          <w:vertAlign w:val="subscript"/>
        </w:rPr>
        <w:t>SS</w:t>
      </w:r>
      <w:r>
        <w:rPr>
          <w:vertAlign w:val="subscript"/>
        </w:rPr>
        <w:t xml:space="preserve"> </w:t>
      </w:r>
      <w:r>
        <w:t xml:space="preserve">policy </w:t>
      </w:r>
      <w:r w:rsidR="00D01698">
        <w:t xml:space="preserve">balances the </w:t>
      </w:r>
      <w:r>
        <w:t xml:space="preserve">increase </w:t>
      </w:r>
      <w:r w:rsidR="00D01698">
        <w:t xml:space="preserve">in </w:t>
      </w:r>
      <w:r>
        <w:t>fill rate</w:t>
      </w:r>
      <w:r w:rsidR="00D01698">
        <w:t xml:space="preserve"> and</w:t>
      </w:r>
      <w:r w:rsidR="00C13F75">
        <w:t xml:space="preserve"> </w:t>
      </w:r>
      <w:r>
        <w:t>decrease waste</w:t>
      </w:r>
      <w:r w:rsidR="00D01698">
        <w:t xml:space="preserve"> more evenly</w:t>
      </w:r>
      <w:r>
        <w:t>. Specifically, the fill r</w:t>
      </w:r>
      <w:r w:rsidR="00D01698">
        <w:t>ate increases on average with 10.3</w:t>
      </w:r>
      <w:r>
        <w:t xml:space="preserve">% and waste reduces with </w:t>
      </w:r>
      <w:r w:rsidR="00D01698">
        <w:t xml:space="preserve">10.7% </w:t>
      </w:r>
      <w:r>
        <w:t>for products wi</w:t>
      </w:r>
      <w:r w:rsidR="00D01698">
        <w:t>th a shelf life between 4 and 11</w:t>
      </w:r>
      <w:r>
        <w:t xml:space="preserve"> days. </w:t>
      </w:r>
    </w:p>
    <w:p w14:paraId="2A654968" w14:textId="77777777" w:rsidR="005823DB" w:rsidRDefault="005823DB" w:rsidP="00982611">
      <w:pPr>
        <w:spacing w:line="480" w:lineRule="auto"/>
        <w:ind w:firstLine="0"/>
      </w:pPr>
    </w:p>
    <w:p w14:paraId="5B8E79AA" w14:textId="6372E899" w:rsidR="004742DC" w:rsidRDefault="00A30CC2" w:rsidP="00982611">
      <w:pPr>
        <w:spacing w:line="480" w:lineRule="auto"/>
        <w:ind w:firstLine="0"/>
        <w:jc w:val="left"/>
      </w:pPr>
      <w:r w:rsidRPr="00A30CC2">
        <w:rPr>
          <w:noProof/>
        </w:rPr>
        <w:drawing>
          <wp:inline distT="0" distB="0" distL="0" distR="0" wp14:anchorId="04C470AA" wp14:editId="66F399EF">
            <wp:extent cx="5972175" cy="2914650"/>
            <wp:effectExtent l="0" t="0" r="9525" b="0"/>
            <wp:docPr id="303" name="Picture 303" descr="C:\Users\kasperki\Dropbox\Work\(1) retail 2020 &amp; phd\papers\sim. model\result figures\replenishment\del,9-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sperki\Dropbox\Work\(1) retail 2020 &amp; phd\papers\sim. model\result figures\replenishment\del,9-09.jpeg"/>
                    <pic:cNvPicPr>
                      <a:picLocks noChangeAspect="1" noChangeArrowheads="1"/>
                    </pic:cNvPicPr>
                  </pic:nvPicPr>
                  <pic:blipFill rotWithShape="1">
                    <a:blip r:embed="rId11">
                      <a:extLst>
                        <a:ext uri="{28A0092B-C50C-407E-A947-70E740481C1C}">
                          <a14:useLocalDpi xmlns:a14="http://schemas.microsoft.com/office/drawing/2010/main" val="0"/>
                        </a:ext>
                      </a:extLst>
                    </a:blip>
                    <a:srcRect t="12217" b="2807"/>
                    <a:stretch/>
                  </pic:blipFill>
                  <pic:spPr bwMode="auto">
                    <a:xfrm>
                      <a:off x="0" y="0"/>
                      <a:ext cx="5972810" cy="2914960"/>
                    </a:xfrm>
                    <a:prstGeom prst="rect">
                      <a:avLst/>
                    </a:prstGeom>
                    <a:noFill/>
                    <a:ln>
                      <a:noFill/>
                    </a:ln>
                    <a:extLst>
                      <a:ext uri="{53640926-AAD7-44D8-BBD7-CCE9431645EC}">
                        <a14:shadowObscured xmlns:a14="http://schemas.microsoft.com/office/drawing/2010/main"/>
                      </a:ext>
                    </a:extLst>
                  </pic:spPr>
                </pic:pic>
              </a:graphicData>
            </a:graphic>
          </wp:inline>
        </w:drawing>
      </w:r>
    </w:p>
    <w:p w14:paraId="453E3A7C" w14:textId="25D3C009" w:rsidR="005668DE" w:rsidRDefault="005668DE" w:rsidP="00982611">
      <w:pPr>
        <w:keepNext/>
        <w:spacing w:line="480" w:lineRule="auto"/>
        <w:ind w:firstLine="0"/>
        <w:jc w:val="center"/>
      </w:pPr>
    </w:p>
    <w:p w14:paraId="1B7B0B0C" w14:textId="3DD62C19" w:rsidR="00917020" w:rsidRDefault="005668DE" w:rsidP="00982611">
      <w:pPr>
        <w:pStyle w:val="Caption"/>
        <w:spacing w:after="120" w:line="480" w:lineRule="auto"/>
        <w:jc w:val="center"/>
      </w:pPr>
      <w:bookmarkStart w:id="4" w:name="_Ref491086925"/>
      <w:r>
        <w:t xml:space="preserve">Figure </w:t>
      </w:r>
      <w:fldSimple w:instr=" SEQ Figure \* ARABIC ">
        <w:r w:rsidR="00E0161A">
          <w:rPr>
            <w:noProof/>
          </w:rPr>
          <w:t>3</w:t>
        </w:r>
      </w:fldSimple>
      <w:bookmarkEnd w:id="4"/>
      <w:r>
        <w:t>: Total number of deliveries for one year for all stores and warehouse</w:t>
      </w:r>
    </w:p>
    <w:p w14:paraId="24F8874E" w14:textId="33114C87" w:rsidR="00B97164" w:rsidRDefault="00B97164" w:rsidP="00982611">
      <w:pPr>
        <w:spacing w:line="480" w:lineRule="auto"/>
        <w:ind w:firstLine="0"/>
      </w:pPr>
      <w:r>
        <w:fldChar w:fldCharType="begin"/>
      </w:r>
      <w:r>
        <w:instrText xml:space="preserve"> REF _Ref491086925 \h </w:instrText>
      </w:r>
      <w:r w:rsidR="00982611">
        <w:instrText xml:space="preserve"> \* MERGEFORMAT </w:instrText>
      </w:r>
      <w:r>
        <w:fldChar w:fldCharType="separate"/>
      </w:r>
      <w:r w:rsidR="00E0161A">
        <w:t xml:space="preserve">Figure </w:t>
      </w:r>
      <w:r w:rsidR="00E0161A">
        <w:rPr>
          <w:noProof/>
        </w:rPr>
        <w:t>3</w:t>
      </w:r>
      <w:r>
        <w:fldChar w:fldCharType="end"/>
      </w:r>
      <w:r>
        <w:t xml:space="preserve"> depicts the number of deliveries to all 232 stores and the warehouse during the 1 year of simulation with the three different replenishment policies</w:t>
      </w:r>
      <w:r w:rsidR="009C75C2">
        <w:t xml:space="preserve"> and with the products shelf life ranging from 4 to 20 days</w:t>
      </w:r>
      <w:r>
        <w:t>. The EWA</w:t>
      </w:r>
      <w:r w:rsidRPr="00F85D9C">
        <w:rPr>
          <w:vertAlign w:val="subscript"/>
        </w:rPr>
        <w:t>SS</w:t>
      </w:r>
      <w:r>
        <w:rPr>
          <w:vertAlign w:val="subscript"/>
        </w:rPr>
        <w:t xml:space="preserve"> </w:t>
      </w:r>
      <w:r>
        <w:t xml:space="preserve">policy uses less deliveries than the EWA policy, </w:t>
      </w:r>
      <w:r w:rsidR="00D01698">
        <w:t>and they both use</w:t>
      </w:r>
      <w:r>
        <w:t xml:space="preserve"> more than the baseline scenario. This is coherent with the findings from </w:t>
      </w:r>
      <w:r>
        <w:fldChar w:fldCharType="begin"/>
      </w:r>
      <w:r>
        <w:instrText xml:space="preserve"> REF _Ref491085429 \h </w:instrText>
      </w:r>
      <w:r w:rsidR="00982611">
        <w:instrText xml:space="preserve"> \* MERGEFORMAT </w:instrText>
      </w:r>
      <w:r>
        <w:fldChar w:fldCharType="separate"/>
      </w:r>
      <w:r w:rsidR="00E0161A">
        <w:t xml:space="preserve">Figure </w:t>
      </w:r>
      <w:r w:rsidR="00E0161A">
        <w:rPr>
          <w:noProof/>
        </w:rPr>
        <w:t>2</w:t>
      </w:r>
      <w:r>
        <w:fldChar w:fldCharType="end"/>
      </w:r>
      <w:r w:rsidR="008B3AE3">
        <w:t>. If the fill rate has</w:t>
      </w:r>
      <w:r>
        <w:t xml:space="preserve"> to improve the stores need to make use of more frequent deliveries, as the</w:t>
      </w:r>
      <w:r w:rsidR="008B3AE3">
        <w:t>y</w:t>
      </w:r>
      <w:r>
        <w:t xml:space="preserve"> </w:t>
      </w:r>
      <w:proofErr w:type="spellStart"/>
      <w:r>
        <w:t>can not</w:t>
      </w:r>
      <w:proofErr w:type="spellEnd"/>
      <w:r>
        <w:t xml:space="preserve"> </w:t>
      </w:r>
      <w:r w:rsidR="008B3AE3">
        <w:t>build</w:t>
      </w:r>
      <w:r>
        <w:t xml:space="preserve"> inventory for e.g. a whole </w:t>
      </w:r>
      <w:proofErr w:type="gramStart"/>
      <w:r>
        <w:t>weeks</w:t>
      </w:r>
      <w:proofErr w:type="gramEnd"/>
      <w:r>
        <w:t xml:space="preserve"> sales as the will expire before the week is over. Thus, it is expected that the EWA and EWA</w:t>
      </w:r>
      <w:r w:rsidRPr="00F85D9C">
        <w:rPr>
          <w:vertAlign w:val="subscript"/>
        </w:rPr>
        <w:t>SS</w:t>
      </w:r>
      <w:r>
        <w:rPr>
          <w:vertAlign w:val="subscript"/>
        </w:rPr>
        <w:t xml:space="preserve"> </w:t>
      </w:r>
      <w:r>
        <w:t>policy will have more deliveries than the baseline. On the other hand, the EWA</w:t>
      </w:r>
      <w:r w:rsidRPr="00F85D9C">
        <w:rPr>
          <w:vertAlign w:val="subscript"/>
        </w:rPr>
        <w:t>SS</w:t>
      </w:r>
      <w:r>
        <w:rPr>
          <w:vertAlign w:val="subscript"/>
        </w:rPr>
        <w:t xml:space="preserve"> </w:t>
      </w:r>
      <w:r>
        <w:t xml:space="preserve">policy is able to align supply and demand more </w:t>
      </w:r>
      <w:r w:rsidR="00D46796">
        <w:lastRenderedPageBreak/>
        <w:t>evenly than</w:t>
      </w:r>
      <w:r>
        <w:t xml:space="preserve"> the EWA policy (higher fill rate and lower waste), </w:t>
      </w:r>
      <w:r w:rsidR="00D46796">
        <w:t>which results in a lower</w:t>
      </w:r>
      <w:r>
        <w:t xml:space="preserve"> number of deliveries. It could be argued that the EWA policy “oversupplies”</w:t>
      </w:r>
      <w:r w:rsidR="008B3AE3">
        <w:t xml:space="preserve"> the stores by constantly pushing</w:t>
      </w:r>
      <w:r>
        <w:t xml:space="preserve"> new products out to the stores (due to the bigger buffer), which will require more deliveries and result in more waste</w:t>
      </w:r>
      <w:r w:rsidR="00D01698">
        <w:t xml:space="preserve"> compared to the EWA</w:t>
      </w:r>
      <w:r w:rsidR="00D01698" w:rsidRPr="00D01698">
        <w:rPr>
          <w:vertAlign w:val="subscript"/>
        </w:rPr>
        <w:t>SS</w:t>
      </w:r>
      <w:r w:rsidR="00D01698">
        <w:t xml:space="preserve"> policy</w:t>
      </w:r>
      <w:r>
        <w:t>.</w:t>
      </w:r>
    </w:p>
    <w:p w14:paraId="6D6B9134" w14:textId="6E75F5CF" w:rsidR="00B97164" w:rsidRDefault="00B97164" w:rsidP="00982611">
      <w:pPr>
        <w:spacing w:line="480" w:lineRule="auto"/>
      </w:pPr>
      <w:r>
        <w:t>For product</w:t>
      </w:r>
      <w:r w:rsidR="00D01698">
        <w:t>s with a shelf life between 4 and</w:t>
      </w:r>
      <w:r>
        <w:t xml:space="preserve"> 1</w:t>
      </w:r>
      <w:r w:rsidR="00D01698">
        <w:t>1 days the EWA policies uses 28</w:t>
      </w:r>
      <w:r>
        <w:t>% more deliveries compared to the baseline scenario, whereas the EWA</w:t>
      </w:r>
      <w:r w:rsidRPr="00F85D9C">
        <w:rPr>
          <w:vertAlign w:val="subscript"/>
        </w:rPr>
        <w:t>SS</w:t>
      </w:r>
      <w:r>
        <w:rPr>
          <w:vertAlign w:val="subscript"/>
        </w:rPr>
        <w:t xml:space="preserve"> </w:t>
      </w:r>
      <w:r w:rsidR="005025E3">
        <w:t>policy uses 1</w:t>
      </w:r>
      <w:r w:rsidR="00D01698">
        <w:t>8</w:t>
      </w:r>
      <w:r>
        <w:t xml:space="preserve">% more deliveries. It should be noticed that in all scenarios the allowed number of ordering days </w:t>
      </w:r>
      <w:r w:rsidR="00D46796">
        <w:t>follows</w:t>
      </w:r>
      <w:r>
        <w:t xml:space="preserve"> the specifications from </w:t>
      </w:r>
      <w:r>
        <w:fldChar w:fldCharType="begin"/>
      </w:r>
      <w:r>
        <w:instrText xml:space="preserve"> REF _Ref482880379 \h </w:instrText>
      </w:r>
      <w:r w:rsidR="00982611">
        <w:instrText xml:space="preserve"> \* MERGEFORMAT </w:instrText>
      </w:r>
      <w:r>
        <w:fldChar w:fldCharType="separate"/>
      </w:r>
      <w:r w:rsidR="00E0161A" w:rsidRPr="004A4C9B">
        <w:t xml:space="preserve">Table </w:t>
      </w:r>
      <w:r w:rsidR="00E0161A">
        <w:rPr>
          <w:noProof/>
        </w:rPr>
        <w:t>1</w:t>
      </w:r>
      <w:r>
        <w:fldChar w:fldCharType="end"/>
      </w:r>
      <w:r w:rsidR="008B3AE3">
        <w:t>. Thus, the differences are there</w:t>
      </w:r>
      <w:r>
        <w:t xml:space="preserve"> simply because the stores (i.e. the replenishment policy) did not make use of all allowed ordering days in the baseline scenario. Also, in a practical context the stores in e.g. subgroup </w:t>
      </w:r>
      <w:r w:rsidRPr="001C5AFC">
        <w:rPr>
          <w:i/>
        </w:rPr>
        <w:t>a-x</w:t>
      </w:r>
      <w:r>
        <w:t xml:space="preserve"> would place orders both Tuesday and Saturday for their entire product range, but not necessarily place an order for this particular product. Therefore, a high number of deliveries does not necessarily require more physical transportation, merely</w:t>
      </w:r>
      <w:r w:rsidR="009C75C2">
        <w:t>,</w:t>
      </w:r>
      <w:r>
        <w:t xml:space="preserve"> an increased amount of </w:t>
      </w:r>
      <w:r w:rsidR="00D46796">
        <w:t>activities</w:t>
      </w:r>
      <w:r>
        <w:t xml:space="preserve"> at the warehouse </w:t>
      </w:r>
      <w:r w:rsidR="009C75C2">
        <w:t>for picking and packing products and the stores for restocking the shelves</w:t>
      </w:r>
      <w:r w:rsidR="002C3DEA">
        <w:t xml:space="preserve"> </w:t>
      </w:r>
      <w:r w:rsidR="002C3DEA">
        <w:fldChar w:fldCharType="begin"/>
      </w:r>
      <w:r w:rsidR="008D2908">
        <w:instrText xml:space="preserve"> ADDIN EN.CITE &lt;EndNote&gt;&lt;Cite&gt;&lt;Author&gt;Kotzab&lt;/Author&gt;&lt;Year&gt;2005&lt;/Year&gt;&lt;RecNum&gt;416&lt;/RecNum&gt;&lt;DisplayText&gt;(Kotzab and Teller, 2005)&lt;/DisplayText&gt;&lt;record&gt;&lt;rec-number&gt;416&lt;/rec-number&gt;&lt;foreign-keys&gt;&lt;key app="EN" db-id="ft9rwfe99vp0fnet259vr9wns25s05drxsd2" timestamp="1460447614"&gt;416&lt;/key&gt;&lt;key app="ENWeb" db-id=""&gt;0&lt;/key&gt;&lt;/foreign-keys&gt;&lt;ref-type name="Journal Article"&gt;17&lt;/ref-type&gt;&lt;contributors&gt;&lt;authors&gt;&lt;author&gt;Kotzab, Herbert&lt;/author&gt;&lt;author&gt;Teller, Christoph&lt;/author&gt;&lt;/authors&gt;&lt;/contributors&gt;&lt;titles&gt;&lt;title&gt;Development and empirical test of a grocery retail instore logistics model&lt;/title&gt;&lt;secondary-title&gt;British Food Journal&lt;/secondary-title&gt;&lt;/titles&gt;&lt;periodical&gt;&lt;full-title&gt;British Food Journal&lt;/full-title&gt;&lt;/periodical&gt;&lt;pages&gt;594-605&lt;/pages&gt;&lt;volume&gt;107&lt;/volume&gt;&lt;number&gt;8&lt;/number&gt;&lt;dates&gt;&lt;year&gt;2005&lt;/year&gt;&lt;/dates&gt;&lt;isbn&gt;0007-070X&lt;/isbn&gt;&lt;urls&gt;&lt;/urls&gt;&lt;/record&gt;&lt;/Cite&gt;&lt;/EndNote&gt;</w:instrText>
      </w:r>
      <w:r w:rsidR="002C3DEA">
        <w:fldChar w:fldCharType="separate"/>
      </w:r>
      <w:r w:rsidR="008D2908">
        <w:rPr>
          <w:noProof/>
        </w:rPr>
        <w:t>(Kotzab and Teller, 2005)</w:t>
      </w:r>
      <w:r w:rsidR="002C3DEA">
        <w:fldChar w:fldCharType="end"/>
      </w:r>
      <w:r w:rsidR="009C75C2">
        <w:t>.</w:t>
      </w:r>
    </w:p>
    <w:p w14:paraId="178C13DA" w14:textId="77902E30" w:rsidR="005668DE" w:rsidRDefault="00A30CC2" w:rsidP="00982611">
      <w:pPr>
        <w:spacing w:line="480" w:lineRule="auto"/>
        <w:ind w:firstLine="0"/>
      </w:pPr>
      <w:r w:rsidRPr="00A30CC2">
        <w:rPr>
          <w:noProof/>
        </w:rPr>
        <w:drawing>
          <wp:inline distT="0" distB="0" distL="0" distR="0" wp14:anchorId="5C3CA863" wp14:editId="750452CA">
            <wp:extent cx="5972706" cy="3154045"/>
            <wp:effectExtent l="0" t="0" r="9525" b="8255"/>
            <wp:docPr id="302" name="Picture 302" descr="C:\Users\kasperki\Dropbox\Work\(1) retail 2020 &amp; phd\papers\sim. model\result figures\replenishment\Inv,9-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sperki\Dropbox\Work\(1) retail 2020 &amp; phd\papers\sim. model\result figures\replenishment\Inv,9-09.jpeg"/>
                    <pic:cNvPicPr>
                      <a:picLocks noChangeAspect="1" noChangeArrowheads="1"/>
                    </pic:cNvPicPr>
                  </pic:nvPicPr>
                  <pic:blipFill rotWithShape="1">
                    <a:blip r:embed="rId12">
                      <a:extLst>
                        <a:ext uri="{28A0092B-C50C-407E-A947-70E740481C1C}">
                          <a14:useLocalDpi xmlns:a14="http://schemas.microsoft.com/office/drawing/2010/main" val="0"/>
                        </a:ext>
                      </a:extLst>
                    </a:blip>
                    <a:srcRect t="8053"/>
                    <a:stretch/>
                  </pic:blipFill>
                  <pic:spPr bwMode="auto">
                    <a:xfrm>
                      <a:off x="0" y="0"/>
                      <a:ext cx="5972706" cy="3154045"/>
                    </a:xfrm>
                    <a:prstGeom prst="rect">
                      <a:avLst/>
                    </a:prstGeom>
                    <a:noFill/>
                    <a:ln>
                      <a:noFill/>
                    </a:ln>
                    <a:extLst>
                      <a:ext uri="{53640926-AAD7-44D8-BBD7-CCE9431645EC}">
                        <a14:shadowObscured xmlns:a14="http://schemas.microsoft.com/office/drawing/2010/main"/>
                      </a:ext>
                    </a:extLst>
                  </pic:spPr>
                </pic:pic>
              </a:graphicData>
            </a:graphic>
          </wp:inline>
        </w:drawing>
      </w:r>
    </w:p>
    <w:p w14:paraId="1CC74838" w14:textId="3A363E14" w:rsidR="005668DE" w:rsidRDefault="005668DE" w:rsidP="00982611">
      <w:pPr>
        <w:pStyle w:val="Caption"/>
        <w:spacing w:line="480" w:lineRule="auto"/>
        <w:jc w:val="center"/>
      </w:pPr>
      <w:bookmarkStart w:id="5" w:name="_Ref491085434"/>
      <w:r>
        <w:t xml:space="preserve">Figure </w:t>
      </w:r>
      <w:fldSimple w:instr=" SEQ Figure \* ARABIC ">
        <w:r w:rsidR="00E0161A">
          <w:rPr>
            <w:noProof/>
          </w:rPr>
          <w:t>4</w:t>
        </w:r>
      </w:fldSimple>
      <w:bookmarkEnd w:id="5"/>
      <w:r>
        <w:t>: Average inventory level for one year across all stores and warehouse</w:t>
      </w:r>
    </w:p>
    <w:p w14:paraId="4E6C3292" w14:textId="24E3C514" w:rsidR="00D46796" w:rsidRDefault="000B03F8" w:rsidP="00982611">
      <w:pPr>
        <w:spacing w:line="480" w:lineRule="auto"/>
        <w:ind w:firstLine="0"/>
      </w:pPr>
      <w:r>
        <w:lastRenderedPageBreak/>
        <w:t>Compared to the EWA policy,</w:t>
      </w:r>
      <w:r w:rsidR="005025E3">
        <w:t xml:space="preserve"> an improved </w:t>
      </w:r>
      <w:r w:rsidR="00B97164">
        <w:t>alignment of supply and demand with the EWA</w:t>
      </w:r>
      <w:r w:rsidR="00B97164" w:rsidRPr="00F85D9C">
        <w:rPr>
          <w:vertAlign w:val="subscript"/>
        </w:rPr>
        <w:t>SS</w:t>
      </w:r>
      <w:r w:rsidR="00B97164">
        <w:rPr>
          <w:vertAlign w:val="subscript"/>
        </w:rPr>
        <w:t xml:space="preserve"> </w:t>
      </w:r>
      <w:r w:rsidR="00B97164">
        <w:t xml:space="preserve">policy is also reflected by a lower average inventory level as shown in </w:t>
      </w:r>
      <w:r w:rsidR="00B97164">
        <w:fldChar w:fldCharType="begin"/>
      </w:r>
      <w:r w:rsidR="00B97164">
        <w:instrText xml:space="preserve"> REF _Ref491085434 \h </w:instrText>
      </w:r>
      <w:r w:rsidR="00982611">
        <w:instrText xml:space="preserve"> \* MERGEFORMAT </w:instrText>
      </w:r>
      <w:r w:rsidR="00B97164">
        <w:fldChar w:fldCharType="separate"/>
      </w:r>
      <w:r w:rsidR="00E0161A">
        <w:t xml:space="preserve">Figure </w:t>
      </w:r>
      <w:r w:rsidR="00E0161A">
        <w:rPr>
          <w:noProof/>
        </w:rPr>
        <w:t>4</w:t>
      </w:r>
      <w:r w:rsidR="00B97164">
        <w:fldChar w:fldCharType="end"/>
      </w:r>
      <w:r w:rsidR="00B97164">
        <w:t>.</w:t>
      </w:r>
      <w:r>
        <w:t xml:space="preserve"> T</w:t>
      </w:r>
      <w:r w:rsidR="00B97164">
        <w:t xml:space="preserve">he EWA policy pushes more products to the stores and creates a higher inventory level compared to the </w:t>
      </w:r>
      <w:r>
        <w:t>EWA</w:t>
      </w:r>
      <w:r w:rsidRPr="00F85D9C">
        <w:rPr>
          <w:vertAlign w:val="subscript"/>
        </w:rPr>
        <w:t>SS</w:t>
      </w:r>
      <w:r>
        <w:rPr>
          <w:vertAlign w:val="subscript"/>
        </w:rPr>
        <w:t xml:space="preserve"> </w:t>
      </w:r>
      <w:r>
        <w:t xml:space="preserve">policy and </w:t>
      </w:r>
      <w:r w:rsidR="00B97164">
        <w:t>baseline</w:t>
      </w:r>
      <w:r>
        <w:t xml:space="preserve"> scenario.</w:t>
      </w:r>
      <w:r w:rsidR="00B97164">
        <w:t xml:space="preserve"> For products w</w:t>
      </w:r>
      <w:r w:rsidR="00D01698">
        <w:t>ith a shelf life between 4 to 11</w:t>
      </w:r>
      <w:r w:rsidR="00B97164">
        <w:t xml:space="preserve"> days the average inventory level is </w:t>
      </w:r>
      <w:r w:rsidR="00D01698">
        <w:t>17.8</w:t>
      </w:r>
      <w:r w:rsidR="00B97164">
        <w:t xml:space="preserve">% </w:t>
      </w:r>
      <w:r w:rsidR="00D46796">
        <w:t xml:space="preserve">(1307 units) </w:t>
      </w:r>
      <w:r w:rsidR="00B97164">
        <w:t>higher for the EWA policy compared to the baseline scenario. This obviously requires more capital to be tied up in inventory. For comparison, the EWA</w:t>
      </w:r>
      <w:r w:rsidR="00B97164" w:rsidRPr="00F85D9C">
        <w:rPr>
          <w:vertAlign w:val="subscript"/>
        </w:rPr>
        <w:t>SS</w:t>
      </w:r>
      <w:r w:rsidR="00B97164">
        <w:rPr>
          <w:vertAlign w:val="subscript"/>
        </w:rPr>
        <w:t xml:space="preserve"> </w:t>
      </w:r>
      <w:r w:rsidR="00B97164">
        <w:t xml:space="preserve">policy has an average inventory level which is </w:t>
      </w:r>
      <w:r w:rsidR="00D46796">
        <w:t>-0.3</w:t>
      </w:r>
      <w:r w:rsidR="00B97164">
        <w:t xml:space="preserve">% </w:t>
      </w:r>
      <w:r w:rsidR="00D46796">
        <w:t>l</w:t>
      </w:r>
      <w:r w:rsidR="00280B9F">
        <w:t>ower than the baseline scenario.</w:t>
      </w:r>
    </w:p>
    <w:p w14:paraId="1EE98A39" w14:textId="00A2448F" w:rsidR="000B03F8" w:rsidRDefault="000B03F8" w:rsidP="00982611">
      <w:pPr>
        <w:spacing w:line="480" w:lineRule="auto"/>
      </w:pPr>
      <w:r>
        <w:t xml:space="preserve">To evaluate the </w:t>
      </w:r>
      <w:r w:rsidR="008E29DF">
        <w:t xml:space="preserve">robustness of the results two sensitivity analyses were made. First, all three scenarios were run with an 80% and 100% FIFO depletion in the stores. The results showed that all performance measures were similar, and only a </w:t>
      </w:r>
      <w:proofErr w:type="gramStart"/>
      <w:r w:rsidR="001F092E">
        <w:t>0.3% point</w:t>
      </w:r>
      <w:proofErr w:type="gramEnd"/>
      <w:r w:rsidR="008E29DF">
        <w:t xml:space="preserve"> reduction in waste was observed as the d</w:t>
      </w:r>
      <w:r w:rsidR="00095797">
        <w:t xml:space="preserve">epletion </w:t>
      </w:r>
      <w:r w:rsidR="001F092E">
        <w:t xml:space="preserve">decreased to 80%. </w:t>
      </w:r>
      <w:r w:rsidR="00095797">
        <w:t>In the s</w:t>
      </w:r>
      <w:r w:rsidR="008E29DF">
        <w:t>econd</w:t>
      </w:r>
      <w:r w:rsidR="00095797">
        <w:t xml:space="preserve"> sensitivity </w:t>
      </w:r>
      <w:proofErr w:type="gramStart"/>
      <w:r w:rsidR="00095797">
        <w:t>analysis</w:t>
      </w:r>
      <w:proofErr w:type="gramEnd"/>
      <w:r w:rsidR="008E29DF">
        <w:t xml:space="preserve"> all three scenarios were run with a batch size of 6 and 12. </w:t>
      </w:r>
      <w:r w:rsidR="008657EC">
        <w:t>Not surprisingly</w:t>
      </w:r>
      <w:r w:rsidR="00CD68C2">
        <w:t xml:space="preserve"> the results indicates that lower batch sizes results in lower inventory levels</w:t>
      </w:r>
      <w:r w:rsidR="008657EC">
        <w:t xml:space="preserve"> </w:t>
      </w:r>
      <w:r w:rsidR="00CD68C2">
        <w:t>and increased deliveries. A smaller batch size also slightly reduces waste</w:t>
      </w:r>
      <w:r w:rsidR="008657EC">
        <w:t>, with approximately 0.7</w:t>
      </w:r>
      <w:r w:rsidR="00095797">
        <w:t xml:space="preserve">% point for </w:t>
      </w:r>
      <w:r w:rsidR="008657EC">
        <w:t xml:space="preserve">both </w:t>
      </w:r>
      <w:r w:rsidR="00095797">
        <w:t>the EWA</w:t>
      </w:r>
      <w:r w:rsidR="00095797" w:rsidRPr="00095797">
        <w:rPr>
          <w:vertAlign w:val="subscript"/>
        </w:rPr>
        <w:t>SS</w:t>
      </w:r>
      <w:r w:rsidR="00095797">
        <w:t xml:space="preserve"> policy and 0.8% EWA policy</w:t>
      </w:r>
      <w:r w:rsidR="00CD68C2">
        <w:t xml:space="preserve">, which is coherent with previous findings </w:t>
      </w:r>
      <w:r w:rsidR="00CD68C2">
        <w:fldChar w:fldCharType="begin"/>
      </w:r>
      <w:r w:rsidR="008D2908">
        <w:instrText xml:space="preserve"> ADDIN EN.CITE &lt;EndNote&gt;&lt;Cite&gt;&lt;Author&gt;Eriksson&lt;/Author&gt;&lt;Year&gt;2014&lt;/Year&gt;&lt;RecNum&gt;500&lt;/RecNum&gt;&lt;DisplayText&gt;(Eriksson et al., 2014)&lt;/DisplayText&gt;&lt;record&gt;&lt;rec-number&gt;500&lt;/rec-number&gt;&lt;foreign-keys&gt;&lt;key app="EN" db-id="ft9rwfe99vp0fnet259vr9wns25s05drxsd2" timestamp="1468069503"&gt;500&lt;/key&gt;&lt;/foreign-keys&gt;&lt;ref-type name="Journal Article"&gt;17&lt;/ref-type&gt;&lt;contributors&gt;&lt;authors&gt;&lt;author&gt;Eriksson, Mattias&lt;/author&gt;&lt;author&gt;Strid, Ingrid&lt;/author&gt;&lt;author&gt;Hansson, Per-Anders&lt;/author&gt;&lt;/authors&gt;&lt;/contributors&gt;&lt;titles&gt;&lt;title&gt;Waste of organic and conventional meat and dairy products—A case study from Swedish retail&lt;/title&gt;&lt;secondary-title&gt;Resources, Conservation and Recycling&lt;/secondary-title&gt;&lt;/titles&gt;&lt;periodical&gt;&lt;full-title&gt;Resources, Conservation and Recycling&lt;/full-title&gt;&lt;/periodical&gt;&lt;pages&gt;44-52&lt;/pages&gt;&lt;volume&gt;83&lt;/volume&gt;&lt;dates&gt;&lt;year&gt;2014&lt;/year&gt;&lt;/dates&gt;&lt;isbn&gt;0921-3449&lt;/isbn&gt;&lt;urls&gt;&lt;/urls&gt;&lt;/record&gt;&lt;/Cite&gt;&lt;/EndNote&gt;</w:instrText>
      </w:r>
      <w:r w:rsidR="00CD68C2">
        <w:fldChar w:fldCharType="separate"/>
      </w:r>
      <w:r w:rsidR="008D2908">
        <w:rPr>
          <w:noProof/>
        </w:rPr>
        <w:t>(Eriksson et al., 2014)</w:t>
      </w:r>
      <w:r w:rsidR="00CD68C2">
        <w:fldChar w:fldCharType="end"/>
      </w:r>
      <w:r w:rsidR="00CD68C2">
        <w:t xml:space="preserve">. </w:t>
      </w:r>
    </w:p>
    <w:p w14:paraId="6E79C647" w14:textId="77777777" w:rsidR="00613B5A" w:rsidRPr="004A4C9B" w:rsidRDefault="00613B5A" w:rsidP="00982611">
      <w:pPr>
        <w:spacing w:line="480" w:lineRule="auto"/>
        <w:ind w:firstLine="0"/>
      </w:pPr>
    </w:p>
    <w:p w14:paraId="50B88482" w14:textId="7273325F" w:rsidR="00941526" w:rsidRPr="004A4C9B" w:rsidRDefault="00941526" w:rsidP="00982611">
      <w:pPr>
        <w:pStyle w:val="Heading1"/>
        <w:spacing w:line="480" w:lineRule="auto"/>
      </w:pPr>
      <w:r w:rsidRPr="004A4C9B">
        <w:t>Discussion and conclusion</w:t>
      </w:r>
    </w:p>
    <w:p w14:paraId="6EC543F1" w14:textId="774CD701" w:rsidR="00CA3CCE" w:rsidRDefault="00D846FF" w:rsidP="00982611">
      <w:pPr>
        <w:spacing w:line="480" w:lineRule="auto"/>
        <w:ind w:firstLine="0"/>
      </w:pPr>
      <w:r>
        <w:t xml:space="preserve">The purpose of this paper </w:t>
      </w:r>
      <w:r w:rsidR="000F1029">
        <w:t>i</w:t>
      </w:r>
      <w:r>
        <w:t xml:space="preserve">s to investigate the impact of utilizing remaining shelf life information from </w:t>
      </w:r>
      <w:r w:rsidR="00F75AB4">
        <w:t xml:space="preserve">grocery retail </w:t>
      </w:r>
      <w:r>
        <w:t xml:space="preserve">stores for the replenishment </w:t>
      </w:r>
      <w:r w:rsidR="00F75AB4">
        <w:t>of perishables</w:t>
      </w:r>
      <w:r>
        <w:t xml:space="preserve">. </w:t>
      </w:r>
      <w:r w:rsidR="00F75AB4">
        <w:t>A</w:t>
      </w:r>
      <w:r>
        <w:t xml:space="preserve"> discrete event simulation model </w:t>
      </w:r>
      <w:r w:rsidR="00F75AB4">
        <w:t xml:space="preserve">has been developed involving </w:t>
      </w:r>
      <w:r>
        <w:t>one warehouse, one product, 232 stores, mixed FIFO and LIFO depletion, differentiated service levels</w:t>
      </w:r>
      <w:r w:rsidR="00F75AB4">
        <w:t>, batch size constraints</w:t>
      </w:r>
      <w:r>
        <w:t xml:space="preserve"> and ordering frequencies</w:t>
      </w:r>
      <w:r w:rsidR="00F75AB4">
        <w:t>. T</w:t>
      </w:r>
      <w:r>
        <w:t>wo age-based replenishment policies were evaluated based on</w:t>
      </w:r>
      <w:r w:rsidR="000263FD">
        <w:t xml:space="preserve"> one year</w:t>
      </w:r>
      <w:r>
        <w:t xml:space="preserve"> POS-data</w:t>
      </w:r>
      <w:r w:rsidR="00F83CE1">
        <w:t xml:space="preserve"> from one of Norway’s largest grocery retailer</w:t>
      </w:r>
      <w:r w:rsidR="00F75AB4">
        <w:t>s</w:t>
      </w:r>
      <w:r>
        <w:t xml:space="preserve">. </w:t>
      </w:r>
    </w:p>
    <w:p w14:paraId="6625D7F4" w14:textId="55897422" w:rsidR="00D846FF" w:rsidRDefault="00F75AB4" w:rsidP="00982611">
      <w:pPr>
        <w:spacing w:line="480" w:lineRule="auto"/>
        <w:ind w:firstLine="0"/>
      </w:pPr>
      <w:r>
        <w:t>T</w:t>
      </w:r>
      <w:r w:rsidR="000263FD">
        <w:t>he findings indicate</w:t>
      </w:r>
      <w:r w:rsidR="00F95A29">
        <w:t xml:space="preserve"> a potential improvement in availability </w:t>
      </w:r>
      <w:r w:rsidR="00CC4C3C">
        <w:t>and waste for products with a shelf of 11</w:t>
      </w:r>
      <w:r w:rsidR="00F95A29">
        <w:t xml:space="preserve"> days or below</w:t>
      </w:r>
      <w:r>
        <w:t xml:space="preserve"> if remaining shelf life information is utilized in the replenishment decision</w:t>
      </w:r>
      <w:r w:rsidR="00F95A29">
        <w:t xml:space="preserve">. </w:t>
      </w:r>
      <w:r w:rsidR="00CA3CCE" w:rsidRPr="00CA3CCE">
        <w:t xml:space="preserve">Both the EWA and </w:t>
      </w:r>
      <w:proofErr w:type="spellStart"/>
      <w:r w:rsidR="00CA3CCE" w:rsidRPr="00CA3CCE">
        <w:t>EWAss</w:t>
      </w:r>
      <w:proofErr w:type="spellEnd"/>
      <w:r w:rsidR="00CA3CCE" w:rsidRPr="00CA3CCE">
        <w:t xml:space="preserve"> policy pushes more products to the stores compared to the basic </w:t>
      </w:r>
      <w:proofErr w:type="spellStart"/>
      <w:r w:rsidR="00CA3CCE" w:rsidRPr="00CA3CCE">
        <w:t>RsnQ</w:t>
      </w:r>
      <w:proofErr w:type="spellEnd"/>
      <w:r w:rsidR="00CA3CCE" w:rsidRPr="00CA3CCE">
        <w:t xml:space="preserve"> logic as it tries to </w:t>
      </w:r>
      <w:proofErr w:type="gramStart"/>
      <w:r w:rsidR="00CA3CCE" w:rsidRPr="00CA3CCE">
        <w:t>add ”the</w:t>
      </w:r>
      <w:proofErr w:type="gramEnd"/>
      <w:r w:rsidR="00CA3CCE" w:rsidRPr="00CA3CCE">
        <w:t xml:space="preserve"> number of products outdating” to the order. However, it could be argued that the </w:t>
      </w:r>
      <w:proofErr w:type="spellStart"/>
      <w:r w:rsidR="00CA3CCE" w:rsidRPr="00CA3CCE">
        <w:t>RsnQ</w:t>
      </w:r>
      <w:proofErr w:type="spellEnd"/>
      <w:r w:rsidR="00CA3CCE" w:rsidRPr="00CA3CCE">
        <w:t xml:space="preserve"> logic pushes too few </w:t>
      </w:r>
      <w:r w:rsidR="005E53F2">
        <w:t xml:space="preserve">products </w:t>
      </w:r>
      <w:r w:rsidR="00CA3CCE" w:rsidRPr="00CA3CCE">
        <w:t xml:space="preserve">and the EWA model pushes too many (because of the total buffer size), while the </w:t>
      </w:r>
      <w:proofErr w:type="spellStart"/>
      <w:r w:rsidR="00CA3CCE" w:rsidRPr="00CA3CCE">
        <w:t>EWAss</w:t>
      </w:r>
      <w:proofErr w:type="spellEnd"/>
      <w:r w:rsidR="00CA3CCE" w:rsidRPr="00CA3CCE">
        <w:t xml:space="preserve"> model </w:t>
      </w:r>
      <w:r w:rsidR="005E53F2">
        <w:lastRenderedPageBreak/>
        <w:t xml:space="preserve">represents </w:t>
      </w:r>
      <w:r w:rsidR="00CA3CCE" w:rsidRPr="00CA3CCE">
        <w:t xml:space="preserve">a </w:t>
      </w:r>
      <w:r w:rsidR="005E53F2">
        <w:t>balance</w:t>
      </w:r>
      <w:r w:rsidR="00CA3CCE" w:rsidRPr="00CA3CCE">
        <w:t xml:space="preserve"> between those two. </w:t>
      </w:r>
      <w:r w:rsidR="00F95A29">
        <w:t>The remaining discussion and conclusion is centered around three subsections: theoretical contributions, practical implications, and limitation and future research.</w:t>
      </w:r>
    </w:p>
    <w:p w14:paraId="30CE0893" w14:textId="77777777" w:rsidR="00D46796" w:rsidRDefault="00D46796" w:rsidP="00982611">
      <w:pPr>
        <w:spacing w:line="480" w:lineRule="auto"/>
        <w:ind w:firstLine="0"/>
      </w:pPr>
    </w:p>
    <w:p w14:paraId="577FB286" w14:textId="168C9A63" w:rsidR="00D846FF" w:rsidRDefault="000263FD" w:rsidP="00982611">
      <w:pPr>
        <w:pStyle w:val="Heading2"/>
        <w:spacing w:line="480" w:lineRule="auto"/>
      </w:pPr>
      <w:r>
        <w:t>6</w:t>
      </w:r>
      <w:r w:rsidR="00D846FF">
        <w:t>.1. Contributions to theory</w:t>
      </w:r>
    </w:p>
    <w:p w14:paraId="5AC0425B" w14:textId="6383FEF7" w:rsidR="008A5970" w:rsidRDefault="00C81FC0" w:rsidP="00982611">
      <w:pPr>
        <w:spacing w:line="480" w:lineRule="auto"/>
        <w:ind w:firstLine="0"/>
      </w:pPr>
      <w:r>
        <w:t xml:space="preserve">This study makes two primary contributions to theory. Firstly, the EWA policy by </w:t>
      </w:r>
      <w:r>
        <w:fldChar w:fldCharType="begin"/>
      </w:r>
      <w:r>
        <w:instrText xml:space="preserve"> ADDIN EN.CITE &lt;EndNote&gt;&lt;Cite AuthorYear="1"&gt;&lt;Author&gt;Broekmeulen&lt;/Author&gt;&lt;Year&gt;2009&lt;/Year&gt;&lt;RecNum&gt;493&lt;/RecNum&gt;&lt;DisplayText&gt;Broekmeulen and van Donselaar (2009)&lt;/DisplayText&gt;&lt;record&gt;&lt;rec-number&gt;493&lt;/rec-number&gt;&lt;foreign-keys&gt;&lt;key app="EN" db-id="ft9rwfe99vp0fnet259vr9wns25s05drxsd2" timestamp="1467973300"&gt;493&lt;/key&gt;&lt;key app="ENWeb" db-id=""&gt;0&lt;/key&gt;&lt;/foreign-keys&gt;&lt;ref-type name="Journal Article"&gt;17&lt;/ref-type&gt;&lt;contributors&gt;&lt;authors&gt;&lt;author&gt;Broekmeulen, Rob ACM&lt;/author&gt;&lt;author&gt;van Donselaar, Karel H&lt;/author&gt;&lt;/authors&gt;&lt;/contributors&gt;&lt;titles&gt;&lt;title&gt;A heuristic to manage perishable inventory with batch ordering, positive lead-times, and time-varying demand&lt;/title&gt;&lt;secondary-title&gt;Computers &amp;amp; Operations Research&lt;/secondary-title&gt;&lt;/titles&gt;&lt;periodical&gt;&lt;full-title&gt;Computers &amp;amp; Operations Research&lt;/full-title&gt;&lt;/periodical&gt;&lt;pages&gt;3013-3018&lt;/pages&gt;&lt;volume&gt;36&lt;/volume&gt;&lt;number&gt;11&lt;/number&gt;&lt;dates&gt;&lt;year&gt;2009&lt;/year&gt;&lt;/dates&gt;&lt;isbn&gt;0305-0548&lt;/isbn&gt;&lt;urls&gt;&lt;/urls&gt;&lt;/record&gt;&lt;/Cite&gt;&lt;/EndNote&gt;</w:instrText>
      </w:r>
      <w:r>
        <w:fldChar w:fldCharType="separate"/>
      </w:r>
      <w:r>
        <w:rPr>
          <w:noProof/>
        </w:rPr>
        <w:t>Broekmeulen and van Donselaar (2009)</w:t>
      </w:r>
      <w:r>
        <w:fldChar w:fldCharType="end"/>
      </w:r>
      <w:r>
        <w:t xml:space="preserve"> has been evaluated in a divergent supply chain</w:t>
      </w:r>
      <w:r w:rsidR="008A5970">
        <w:t xml:space="preserve">. The results indicate an average </w:t>
      </w:r>
      <w:r>
        <w:t>i</w:t>
      </w:r>
      <w:r w:rsidR="00FA7CFE">
        <w:t>ncrease of 17.7</w:t>
      </w:r>
      <w:r>
        <w:t xml:space="preserve">% </w:t>
      </w:r>
      <w:r w:rsidR="008A5970">
        <w:t>in fill rate, for products w</w:t>
      </w:r>
      <w:r w:rsidR="00FA7CFE">
        <w:t>ith a shelf life between 4 to 11</w:t>
      </w:r>
      <w:r w:rsidR="008A5970">
        <w:t xml:space="preserve"> days across all 232 stores. Even though the fill rate is not reported separately this increase is similar to the cost improvement reported by </w:t>
      </w:r>
      <w:r w:rsidR="008A5970">
        <w:fldChar w:fldCharType="begin"/>
      </w:r>
      <w:r w:rsidR="008A5970">
        <w:instrText xml:space="preserve"> ADDIN EN.CITE &lt;EndNote&gt;&lt;Cite AuthorYear="1"&gt;&lt;Author&gt;Broekmeulen&lt;/Author&gt;&lt;Year&gt;2009&lt;/Year&gt;&lt;RecNum&gt;493&lt;/RecNum&gt;&lt;DisplayText&gt;Broekmeulen and van Donselaar (2009)&lt;/DisplayText&gt;&lt;record&gt;&lt;rec-number&gt;493&lt;/rec-number&gt;&lt;foreign-keys&gt;&lt;key app="EN" db-id="ft9rwfe99vp0fnet259vr9wns25s05drxsd2" timestamp="1467973300"&gt;493&lt;/key&gt;&lt;key app="ENWeb" db-id=""&gt;0&lt;/key&gt;&lt;/foreign-keys&gt;&lt;ref-type name="Journal Article"&gt;17&lt;/ref-type&gt;&lt;contributors&gt;&lt;authors&gt;&lt;author&gt;Broekmeulen, Rob ACM&lt;/author&gt;&lt;author&gt;van Donselaar, Karel H&lt;/author&gt;&lt;/authors&gt;&lt;/contributors&gt;&lt;titles&gt;&lt;title&gt;A heuristic to manage perishable inventory with batch ordering, positive lead-times, and time-varying demand&lt;/title&gt;&lt;secondary-title&gt;Computers &amp;amp; Operations Research&lt;/secondary-title&gt;&lt;/titles&gt;&lt;periodical&gt;&lt;full-title&gt;Computers &amp;amp; Operations Research&lt;/full-title&gt;&lt;/periodical&gt;&lt;pages&gt;3013-3018&lt;/pages&gt;&lt;volume&gt;36&lt;/volume&gt;&lt;number&gt;11&lt;/number&gt;&lt;dates&gt;&lt;year&gt;2009&lt;/year&gt;&lt;/dates&gt;&lt;isbn&gt;0305-0548&lt;/isbn&gt;&lt;urls&gt;&lt;/urls&gt;&lt;/record&gt;&lt;/Cite&gt;&lt;/EndNote&gt;</w:instrText>
      </w:r>
      <w:r w:rsidR="008A5970">
        <w:fldChar w:fldCharType="separate"/>
      </w:r>
      <w:r w:rsidR="008A5970">
        <w:rPr>
          <w:noProof/>
        </w:rPr>
        <w:t>Broekmeulen and van Donselaar (2009)</w:t>
      </w:r>
      <w:r w:rsidR="008A5970">
        <w:fldChar w:fldCharType="end"/>
      </w:r>
      <w:r w:rsidR="008A5970">
        <w:t xml:space="preserve">. However, the findings </w:t>
      </w:r>
      <w:r w:rsidR="004757C4">
        <w:t>indicate</w:t>
      </w:r>
      <w:r w:rsidR="008A5970">
        <w:t xml:space="preserve"> that the EWA policy </w:t>
      </w:r>
      <w:r w:rsidR="004757C4">
        <w:t xml:space="preserve">only reduces waste levels slightly but leads to </w:t>
      </w:r>
      <w:r w:rsidR="008A5970">
        <w:t>high</w:t>
      </w:r>
      <w:r w:rsidR="004757C4">
        <w:t>er</w:t>
      </w:r>
      <w:r w:rsidR="00B4466E">
        <w:t xml:space="preserve"> inventory </w:t>
      </w:r>
      <w:r w:rsidR="004757C4">
        <w:t xml:space="preserve">levels </w:t>
      </w:r>
      <w:r w:rsidR="008A5970">
        <w:t xml:space="preserve">, which could be </w:t>
      </w:r>
      <w:r w:rsidR="004757C4">
        <w:t xml:space="preserve">explained </w:t>
      </w:r>
      <w:r w:rsidR="008A5970">
        <w:t xml:space="preserve">by high buffers for demand uncertainty and the risk of expiration </w:t>
      </w:r>
      <w:r w:rsidR="008A5970">
        <w:fldChar w:fldCharType="begin"/>
      </w:r>
      <w:r w:rsidR="008D2908">
        <w:instrText xml:space="preserve"> ADDIN EN.CITE &lt;EndNote&gt;&lt;Cite&gt;&lt;Author&gt;Van Donselaar&lt;/Author&gt;&lt;Year&gt;2012&lt;/Year&gt;&lt;RecNum&gt;639&lt;/RecNum&gt;&lt;DisplayText&gt;(Van Donselaar and Broekmeulen, 2012)&lt;/DisplayText&gt;&lt;record&gt;&lt;rec-number&gt;639&lt;/rec-number&gt;&lt;foreign-keys&gt;&lt;key app="EN" db-id="ft9rwfe99vp0fnet259vr9wns25s05drxsd2" timestamp="1495552696"&gt;639&lt;/key&gt;&lt;key app="ENWeb" db-id=""&gt;0&lt;/key&gt;&lt;/foreign-keys&gt;&lt;ref-type name="Journal Article"&gt;17&lt;/ref-type&gt;&lt;contributors&gt;&lt;authors&gt;&lt;author&gt;Van Donselaar, Karel H&lt;/author&gt;&lt;author&gt;Broekmeulen, Rob ACM&lt;/author&gt;&lt;/authors&gt;&lt;/contributors&gt;&lt;titles&gt;&lt;title&gt;Approximations for the relative outdating of perishable products by combining stochastic modeling, simulation and regression modeling&lt;/title&gt;&lt;secondary-title&gt;International Journal of Production Economics&lt;/secondary-title&gt;&lt;/titles&gt;&lt;periodical&gt;&lt;full-title&gt;International Journal of Production Economics&lt;/full-title&gt;&lt;/periodical&gt;&lt;pages&gt;660-669&lt;/pages&gt;&lt;volume&gt;140&lt;/volume&gt;&lt;number&gt;2&lt;/number&gt;&lt;dates&gt;&lt;year&gt;2012&lt;/year&gt;&lt;/dates&gt;&lt;isbn&gt;0925-5273&lt;/isbn&gt;&lt;urls&gt;&lt;/urls&gt;&lt;/record&gt;&lt;/Cite&gt;&lt;/EndNote&gt;</w:instrText>
      </w:r>
      <w:r w:rsidR="008A5970">
        <w:fldChar w:fldCharType="separate"/>
      </w:r>
      <w:r w:rsidR="008D2908">
        <w:rPr>
          <w:noProof/>
        </w:rPr>
        <w:t>(Van Donselaar and Broekmeulen, 2012)</w:t>
      </w:r>
      <w:r w:rsidR="008A5970">
        <w:fldChar w:fldCharType="end"/>
      </w:r>
      <w:r w:rsidR="008A5970">
        <w:t xml:space="preserve">. </w:t>
      </w:r>
      <w:r w:rsidR="004757C4">
        <w:t>To reduce the</w:t>
      </w:r>
      <w:r w:rsidR="008A5970">
        <w:t xml:space="preserve"> waste</w:t>
      </w:r>
      <w:r w:rsidR="00FA7CFE">
        <w:t xml:space="preserve"> and inventory levels</w:t>
      </w:r>
      <w:r w:rsidR="008A5970">
        <w:t xml:space="preserve"> a modification to the EWA policy, EWA</w:t>
      </w:r>
      <w:r w:rsidR="008A5970" w:rsidRPr="008A5970">
        <w:rPr>
          <w:vertAlign w:val="subscript"/>
        </w:rPr>
        <w:t>SS</w:t>
      </w:r>
      <w:r w:rsidR="008A5970">
        <w:t>, is proposed and evaluated. The EWA</w:t>
      </w:r>
      <w:r w:rsidR="008A5970" w:rsidRPr="00F85D9C">
        <w:rPr>
          <w:vertAlign w:val="subscript"/>
        </w:rPr>
        <w:t>SS</w:t>
      </w:r>
      <w:r w:rsidR="008A5970">
        <w:rPr>
          <w:vertAlign w:val="subscript"/>
        </w:rPr>
        <w:t xml:space="preserve"> </w:t>
      </w:r>
      <w:r w:rsidR="008A5970">
        <w:t>policy demonstrates a more balanced performance of fill rate</w:t>
      </w:r>
      <w:r w:rsidR="00FA7CFE">
        <w:t xml:space="preserve"> (+10.3%)</w:t>
      </w:r>
      <w:r w:rsidR="008A5970">
        <w:t xml:space="preserve"> and waste</w:t>
      </w:r>
      <w:r w:rsidR="004757C4">
        <w:t xml:space="preserve"> level</w:t>
      </w:r>
      <w:r w:rsidR="00FA7CFE">
        <w:t xml:space="preserve"> (-10.7%)</w:t>
      </w:r>
      <w:r w:rsidR="008A5970">
        <w:t xml:space="preserve"> by improving both parameters </w:t>
      </w:r>
      <w:r w:rsidR="00FA7CFE">
        <w:t xml:space="preserve">without </w:t>
      </w:r>
      <w:r w:rsidR="004757C4">
        <w:t>increasing</w:t>
      </w:r>
      <w:r w:rsidR="00C12F19">
        <w:t xml:space="preserve"> the average inventory level.</w:t>
      </w:r>
    </w:p>
    <w:p w14:paraId="671BFF0C" w14:textId="77777777" w:rsidR="00373FF1" w:rsidRPr="00D846FF" w:rsidRDefault="00373FF1" w:rsidP="00982611">
      <w:pPr>
        <w:spacing w:line="480" w:lineRule="auto"/>
      </w:pPr>
    </w:p>
    <w:p w14:paraId="58F097C5" w14:textId="73D320FA" w:rsidR="00D846FF" w:rsidRDefault="000263FD" w:rsidP="00982611">
      <w:pPr>
        <w:pStyle w:val="Heading2"/>
        <w:spacing w:line="480" w:lineRule="auto"/>
      </w:pPr>
      <w:r>
        <w:t>6</w:t>
      </w:r>
      <w:r w:rsidR="00D846FF">
        <w:t>.2. Implications for practitioners</w:t>
      </w:r>
    </w:p>
    <w:p w14:paraId="69CA9AEC" w14:textId="1CE121A6" w:rsidR="00772344" w:rsidRDefault="00772344" w:rsidP="00982611">
      <w:pPr>
        <w:spacing w:line="480" w:lineRule="auto"/>
        <w:ind w:firstLine="0"/>
      </w:pPr>
      <w:r>
        <w:t xml:space="preserve">The findings clearly </w:t>
      </w:r>
      <w:proofErr w:type="gramStart"/>
      <w:r>
        <w:t>demonstrates</w:t>
      </w:r>
      <w:proofErr w:type="gramEnd"/>
      <w:r>
        <w:t xml:space="preserve"> that the value of sharing and utilizing information is dependent of the shelf life of the product</w:t>
      </w:r>
      <w:r w:rsidR="004757C4">
        <w:t xml:space="preserve"> as illustrated in </w:t>
      </w:r>
      <w:r w:rsidR="004757C4">
        <w:fldChar w:fldCharType="begin"/>
      </w:r>
      <w:r w:rsidR="004757C4">
        <w:instrText xml:space="preserve"> REF _Ref491085429 \h  \* MERGEFORMAT </w:instrText>
      </w:r>
      <w:r w:rsidR="004757C4">
        <w:fldChar w:fldCharType="separate"/>
      </w:r>
      <w:r w:rsidR="00E0161A">
        <w:t xml:space="preserve">Figure </w:t>
      </w:r>
      <w:r w:rsidR="00E0161A">
        <w:rPr>
          <w:noProof/>
        </w:rPr>
        <w:t>2</w:t>
      </w:r>
      <w:r w:rsidR="004757C4">
        <w:fldChar w:fldCharType="end"/>
      </w:r>
      <w:r w:rsidR="004757C4">
        <w:t xml:space="preserve"> to </w:t>
      </w:r>
      <w:r w:rsidR="004757C4">
        <w:fldChar w:fldCharType="begin"/>
      </w:r>
      <w:r w:rsidR="004757C4">
        <w:instrText xml:space="preserve"> REF _Ref491085434 \h  \* MERGEFORMAT </w:instrText>
      </w:r>
      <w:r w:rsidR="004757C4">
        <w:fldChar w:fldCharType="separate"/>
      </w:r>
      <w:r w:rsidR="00E0161A">
        <w:t xml:space="preserve">Figure </w:t>
      </w:r>
      <w:r w:rsidR="00E0161A">
        <w:rPr>
          <w:noProof/>
        </w:rPr>
        <w:t>4</w:t>
      </w:r>
      <w:r w:rsidR="004757C4">
        <w:fldChar w:fldCharType="end"/>
      </w:r>
      <w:r>
        <w:t>. Thus, for practitioners the findings indicate that differentiated information sharing and replenishment policies are useful for managing a broad range of products. The shelf life is an important characteristic for establishing this differentiation, and for perishables the remaining shelf life information from the sto</w:t>
      </w:r>
      <w:r w:rsidR="00D85E14">
        <w:t>re can be beneficial to utilize – especially for pro</w:t>
      </w:r>
      <w:r w:rsidR="002001F1">
        <w:t>ducts with a shelf life around 6</w:t>
      </w:r>
      <w:r w:rsidR="00D85E14">
        <w:t xml:space="preserve"> to 1</w:t>
      </w:r>
      <w:r w:rsidR="002001F1">
        <w:t>1</w:t>
      </w:r>
      <w:r w:rsidR="00D85E14">
        <w:t xml:space="preserve"> days based on </w:t>
      </w:r>
      <w:r w:rsidR="00D85E14">
        <w:fldChar w:fldCharType="begin"/>
      </w:r>
      <w:r w:rsidR="00D85E14">
        <w:instrText xml:space="preserve"> REF _Ref491085429 \h </w:instrText>
      </w:r>
      <w:r w:rsidR="00982611">
        <w:instrText xml:space="preserve"> \* MERGEFORMAT </w:instrText>
      </w:r>
      <w:r w:rsidR="00D85E14">
        <w:fldChar w:fldCharType="separate"/>
      </w:r>
      <w:r w:rsidR="00E0161A">
        <w:t xml:space="preserve">Figure </w:t>
      </w:r>
      <w:r w:rsidR="00E0161A">
        <w:rPr>
          <w:noProof/>
        </w:rPr>
        <w:t>2</w:t>
      </w:r>
      <w:r w:rsidR="00D85E14">
        <w:fldChar w:fldCharType="end"/>
      </w:r>
      <w:r w:rsidR="00D85E14">
        <w:t>.</w:t>
      </w:r>
      <w:r>
        <w:t xml:space="preserve"> On the other hand, as the shelf life increase</w:t>
      </w:r>
      <w:r w:rsidR="008B3AE3">
        <w:t>s</w:t>
      </w:r>
      <w:r>
        <w:t xml:space="preserve">, using only POS and waste data (how many </w:t>
      </w:r>
      <w:r w:rsidR="008B3AE3">
        <w:t>products</w:t>
      </w:r>
      <w:r>
        <w:t xml:space="preserve"> that are wasted each day) provide a satisfactory performance.</w:t>
      </w:r>
      <w:r w:rsidR="00D85E14">
        <w:t xml:space="preserve"> </w:t>
      </w:r>
    </w:p>
    <w:p w14:paraId="7E950739" w14:textId="17CBC708" w:rsidR="00772344" w:rsidRDefault="00772344" w:rsidP="00982611">
      <w:pPr>
        <w:spacing w:line="480" w:lineRule="auto"/>
      </w:pPr>
      <w:r>
        <w:t xml:space="preserve">Even though the findings show an improvement in performance </w:t>
      </w:r>
      <w:r w:rsidR="00596C15">
        <w:t xml:space="preserve">the </w:t>
      </w:r>
      <w:r>
        <w:t>grocery retailers</w:t>
      </w:r>
      <w:r w:rsidR="00FA7CFE">
        <w:t xml:space="preserve"> </w:t>
      </w:r>
      <w:r>
        <w:t>need to evaluate if they can accept the (still high) waste levels.</w:t>
      </w:r>
      <w:r w:rsidR="00FA7CFE">
        <w:t xml:space="preserve"> If so, the findings indicate that it will be possible to automate the replenishment process for perishable products by utilizing remaining shelf life information.</w:t>
      </w:r>
      <w:r>
        <w:t xml:space="preserve"> Additional </w:t>
      </w:r>
      <w:r>
        <w:lastRenderedPageBreak/>
        <w:t>initiati</w:t>
      </w:r>
      <w:r w:rsidR="003215B2">
        <w:t>ves could also be combined with so</w:t>
      </w:r>
      <w:r w:rsidR="00FA7CFE">
        <w:t>phisticated replenishment policies</w:t>
      </w:r>
      <w:r w:rsidR="003215B2">
        <w:t xml:space="preserve"> and information sharing</w:t>
      </w:r>
      <w:r w:rsidR="00596C15">
        <w:t xml:space="preserve"> such as </w:t>
      </w:r>
      <w:r w:rsidR="003215B2">
        <w:t xml:space="preserve">using cross-docking </w:t>
      </w:r>
      <w:r w:rsidR="00596C15">
        <w:t>to</w:t>
      </w:r>
      <w:r w:rsidR="003215B2">
        <w:t xml:space="preserve"> reduce the time spent </w:t>
      </w:r>
      <w:r w:rsidR="00596C15">
        <w:t>i</w:t>
      </w:r>
      <w:r w:rsidR="003215B2">
        <w:t xml:space="preserve">n the warehouse and reducing the batch size </w:t>
      </w:r>
      <w:proofErr w:type="gramStart"/>
      <w:r w:rsidR="003215B2">
        <w:t xml:space="preserve">to  </w:t>
      </w:r>
      <w:r w:rsidR="00596C15">
        <w:t>reduce</w:t>
      </w:r>
      <w:proofErr w:type="gramEnd"/>
      <w:r w:rsidR="00596C15">
        <w:t xml:space="preserve"> </w:t>
      </w:r>
      <w:r w:rsidR="003215B2">
        <w:t>wast</w:t>
      </w:r>
      <w:r w:rsidR="00596C15">
        <w:t>e</w:t>
      </w:r>
      <w:r w:rsidR="003215B2">
        <w:t xml:space="preserve"> stores with a low turnover.</w:t>
      </w:r>
    </w:p>
    <w:p w14:paraId="59E1E237" w14:textId="1FF3E9AA" w:rsidR="00270FEC" w:rsidRDefault="008C3AD0" w:rsidP="00270FEC">
      <w:pPr>
        <w:spacing w:line="480" w:lineRule="auto"/>
      </w:pPr>
      <w:r>
        <w:t>The fact</w:t>
      </w:r>
      <w:r w:rsidR="00270FEC">
        <w:t xml:space="preserve"> that some stores (group B) on average might only sell up 36 units a week indicates that e.g. 1% lower waste </w:t>
      </w:r>
      <w:r>
        <w:t>would</w:t>
      </w:r>
      <w:r w:rsidR="00270FEC">
        <w:t xml:space="preserve"> bring a </w:t>
      </w:r>
      <w:r>
        <w:t xml:space="preserve">more </w:t>
      </w:r>
      <w:r w:rsidR="00270FEC">
        <w:t>saving</w:t>
      </w:r>
      <w:r>
        <w:t>s</w:t>
      </w:r>
      <w:r w:rsidR="00270FEC">
        <w:t xml:space="preserve"> than 1% increased sales brings in </w:t>
      </w:r>
      <w:r>
        <w:t xml:space="preserve">profit. In this </w:t>
      </w:r>
      <w:proofErr w:type="gramStart"/>
      <w:r>
        <w:t>consideration</w:t>
      </w:r>
      <w:proofErr w:type="gramEnd"/>
      <w:r>
        <w:t xml:space="preserve"> it would also be necessary to consider the chance of selling a substitute product as </w:t>
      </w:r>
      <w:r w:rsidR="00A10920">
        <w:t>discussed in the coming section.</w:t>
      </w:r>
    </w:p>
    <w:p w14:paraId="414E5058" w14:textId="77777777" w:rsidR="00D846FF" w:rsidRPr="00D846FF" w:rsidRDefault="00D846FF" w:rsidP="00982611">
      <w:pPr>
        <w:spacing w:line="480" w:lineRule="auto"/>
      </w:pPr>
    </w:p>
    <w:p w14:paraId="60D15B64" w14:textId="27F5A400" w:rsidR="00D846FF" w:rsidRDefault="000263FD" w:rsidP="00982611">
      <w:pPr>
        <w:pStyle w:val="Heading2"/>
        <w:spacing w:line="480" w:lineRule="auto"/>
      </w:pPr>
      <w:r>
        <w:t>6</w:t>
      </w:r>
      <w:r w:rsidR="00D846FF">
        <w:t xml:space="preserve">.3. Limitations and future research </w:t>
      </w:r>
    </w:p>
    <w:p w14:paraId="347CC818" w14:textId="00A3A49C" w:rsidR="000263FD" w:rsidRDefault="00AF06A7" w:rsidP="00982611">
      <w:pPr>
        <w:spacing w:line="480" w:lineRule="auto"/>
        <w:ind w:firstLine="0"/>
      </w:pPr>
      <w:r>
        <w:t xml:space="preserve">The study </w:t>
      </w:r>
      <w:r w:rsidR="00596C15">
        <w:t xml:space="preserve">is based on actual POS data from </w:t>
      </w:r>
      <w:r>
        <w:t>one product</w:t>
      </w:r>
      <w:r w:rsidR="00596C15">
        <w:t>. By studying</w:t>
      </w:r>
      <w:r>
        <w:t xml:space="preserve"> a whole product group the effects of product substitution could be included and incorporated into the replenishment decision as well </w:t>
      </w:r>
      <w:r>
        <w:fldChar w:fldCharType="begin"/>
      </w:r>
      <w:r w:rsidR="008D2908">
        <w:instrText xml:space="preserve"> ADDIN EN.CITE &lt;EndNote&gt;&lt;Cite&gt;&lt;Author&gt;Van Donselaar&lt;/Author&gt;&lt;Year&gt;2006&lt;/Year&gt;&lt;RecNum&gt;398&lt;/RecNum&gt;&lt;DisplayText&gt;(Van Donselaar et al., 2006)&lt;/DisplayText&gt;&lt;record&gt;&lt;rec-number&gt;398&lt;/rec-number&gt;&lt;foreign-keys&gt;&lt;key app="EN" db-id="ft9rwfe99vp0fnet259vr9wns25s05drxsd2" timestamp="1459492136"&gt;398&lt;/key&gt;&lt;key app="ENWeb" db-id=""&gt;0&lt;/key&gt;&lt;/foreign-keys&gt;&lt;ref-type name="Journal Article"&gt;17&lt;/ref-type&gt;&lt;contributors&gt;&lt;authors&gt;&lt;author&gt;Van Donselaar, K&lt;/author&gt;&lt;author&gt;van Woensel, Tom&lt;/author&gt;&lt;author&gt;Broekmeulen, RACM&lt;/author&gt;&lt;author&gt;Fransoo, J&lt;/author&gt;&lt;/authors&gt;&lt;/contributors&gt;&lt;titles&gt;&lt;title&gt;Inventory control of perishables in supermarkets&lt;/title&gt;&lt;secondary-title&gt;International Journal of Production Economics&lt;/secondary-title&gt;&lt;/titles&gt;&lt;periodical&gt;&lt;full-title&gt;International Journal of Production Economics&lt;/full-title&gt;&lt;/periodical&gt;&lt;pages&gt;462-472&lt;/pages&gt;&lt;volume&gt;104&lt;/volume&gt;&lt;number&gt;2&lt;/number&gt;&lt;dates&gt;&lt;year&gt;2006&lt;/year&gt;&lt;/dates&gt;&lt;isbn&gt;0925-5273&lt;/isbn&gt;&lt;urls&gt;&lt;/urls&gt;&lt;/record&gt;&lt;/Cite&gt;&lt;/EndNote&gt;</w:instrText>
      </w:r>
      <w:r>
        <w:fldChar w:fldCharType="separate"/>
      </w:r>
      <w:r w:rsidR="008D2908">
        <w:rPr>
          <w:noProof/>
        </w:rPr>
        <w:t>(Van Donselaar et al., 2006)</w:t>
      </w:r>
      <w:r>
        <w:fldChar w:fldCharType="end"/>
      </w:r>
      <w:r>
        <w:t xml:space="preserve">. </w:t>
      </w:r>
      <w:r w:rsidR="00596C15">
        <w:t>T</w:t>
      </w:r>
      <w:r>
        <w:t xml:space="preserve">o evaluate age-based replenishment polices with substitution. </w:t>
      </w:r>
      <w:r w:rsidR="00927042">
        <w:t>A</w:t>
      </w:r>
      <w:r>
        <w:t xml:space="preserve">ccess to real performance data </w:t>
      </w:r>
      <w:r w:rsidR="0014711D">
        <w:t>is encouraged</w:t>
      </w:r>
      <w:r>
        <w:t xml:space="preserve"> to account for the various uncertainties and particularities that are not included in a simulation model.</w:t>
      </w:r>
      <w:r w:rsidR="005E53F2" w:rsidRPr="005E53F2">
        <w:rPr>
          <w:color w:val="FF0000"/>
          <w:lang w:val="en-GB"/>
        </w:rPr>
        <w:t xml:space="preserve"> </w:t>
      </w:r>
      <w:r w:rsidR="005E53F2" w:rsidRPr="008C3AD0">
        <w:rPr>
          <w:lang w:val="en-GB"/>
        </w:rPr>
        <w:t xml:space="preserve">The performance of the </w:t>
      </w:r>
      <w:proofErr w:type="spellStart"/>
      <w:r w:rsidR="005E53F2" w:rsidRPr="008C3AD0">
        <w:rPr>
          <w:lang w:val="en-GB"/>
        </w:rPr>
        <w:t>EWAss</w:t>
      </w:r>
      <w:proofErr w:type="spellEnd"/>
      <w:r w:rsidR="005E53F2" w:rsidRPr="008C3AD0">
        <w:rPr>
          <w:lang w:val="en-GB"/>
        </w:rPr>
        <w:t xml:space="preserve"> policy may be even further improved if a </w:t>
      </w:r>
      <w:proofErr w:type="spellStart"/>
      <w:r w:rsidR="005E53F2" w:rsidRPr="008C3AD0">
        <w:rPr>
          <w:lang w:val="en-GB"/>
        </w:rPr>
        <w:t>Qmin</w:t>
      </w:r>
      <w:proofErr w:type="spellEnd"/>
      <w:r w:rsidR="005E53F2" w:rsidRPr="008C3AD0">
        <w:rPr>
          <w:lang w:val="en-GB"/>
        </w:rPr>
        <w:t xml:space="preserve"> is introduced. Estimating the actual value of </w:t>
      </w:r>
      <w:proofErr w:type="spellStart"/>
      <w:r w:rsidR="005E53F2" w:rsidRPr="008C3AD0">
        <w:rPr>
          <w:lang w:val="en-GB"/>
        </w:rPr>
        <w:t>Qmin</w:t>
      </w:r>
      <w:proofErr w:type="spellEnd"/>
      <w:r w:rsidR="005E53F2" w:rsidRPr="008C3AD0">
        <w:rPr>
          <w:lang w:val="en-GB"/>
        </w:rPr>
        <w:t xml:space="preserve"> is therefore highly relevant for future research.  </w:t>
      </w:r>
    </w:p>
    <w:p w14:paraId="1AACE307" w14:textId="729A5DBD" w:rsidR="00AF06A7" w:rsidRDefault="00D85E14" w:rsidP="00982611">
      <w:pPr>
        <w:spacing w:line="480" w:lineRule="auto"/>
      </w:pPr>
      <w:r>
        <w:t>B</w:t>
      </w:r>
      <w:r w:rsidR="0035267B">
        <w:t>oth the EWA and the EWA</w:t>
      </w:r>
      <w:r w:rsidR="0035267B" w:rsidRPr="008A5970">
        <w:rPr>
          <w:vertAlign w:val="subscript"/>
        </w:rPr>
        <w:t>SS</w:t>
      </w:r>
      <w:r w:rsidR="0035267B">
        <w:t xml:space="preserve"> policy assumes that remaining shelf life information is collected and shared from the grocery stores. Future research could investigate if it would be possible to estimate this type of information based on (1) the remaining shelf life when the products </w:t>
      </w:r>
      <w:r w:rsidR="00FA7CFE">
        <w:t>leave the warehouse</w:t>
      </w:r>
      <w:r w:rsidR="0035267B">
        <w:t xml:space="preserve">, (2) the </w:t>
      </w:r>
      <w:proofErr w:type="gramStart"/>
      <w:r w:rsidR="0035267B">
        <w:t>amount</w:t>
      </w:r>
      <w:proofErr w:type="gramEnd"/>
      <w:r w:rsidR="0035267B">
        <w:t xml:space="preserve"> of products wasted and sold each day in the stores, and (3) estimates of the FIFO depletion rate in the stores. If reasonable estimates are possible the EWA and EWA</w:t>
      </w:r>
      <w:r w:rsidR="0035267B" w:rsidRPr="008A5970">
        <w:rPr>
          <w:vertAlign w:val="subscript"/>
        </w:rPr>
        <w:t>SS</w:t>
      </w:r>
      <w:r w:rsidR="0035267B">
        <w:t xml:space="preserve"> policy could be implemented without </w:t>
      </w:r>
      <w:r w:rsidR="00927042">
        <w:t>the relatively high investments needed in the supply ch</w:t>
      </w:r>
      <w:r w:rsidR="00CC4C3C">
        <w:t>ain to trace remaining shelf lif</w:t>
      </w:r>
      <w:r w:rsidR="00927042">
        <w:t>e of products</w:t>
      </w:r>
      <w:r w:rsidR="0035267B">
        <w:t>.</w:t>
      </w:r>
    </w:p>
    <w:p w14:paraId="4E789EBF" w14:textId="77777777" w:rsidR="00580659" w:rsidRPr="004A4C9B" w:rsidRDefault="00580659" w:rsidP="00982611">
      <w:pPr>
        <w:spacing w:line="480" w:lineRule="auto"/>
      </w:pPr>
    </w:p>
    <w:p w14:paraId="462944DF" w14:textId="4860606B" w:rsidR="005670B1" w:rsidRPr="008C2F87" w:rsidRDefault="0051496D" w:rsidP="00982611">
      <w:pPr>
        <w:pStyle w:val="Heading1"/>
        <w:numPr>
          <w:ilvl w:val="0"/>
          <w:numId w:val="0"/>
        </w:numPr>
        <w:spacing w:line="480" w:lineRule="auto"/>
        <w:ind w:left="284" w:hanging="284"/>
      </w:pPr>
      <w:r w:rsidRPr="004A4C9B">
        <w:t>References</w:t>
      </w:r>
    </w:p>
    <w:p w14:paraId="3B1EAA95" w14:textId="77777777" w:rsidR="00DC657A" w:rsidRPr="00DC657A" w:rsidRDefault="005670B1" w:rsidP="00982611">
      <w:pPr>
        <w:pStyle w:val="EndNoteBibliography"/>
        <w:spacing w:line="480" w:lineRule="auto"/>
        <w:ind w:left="720" w:hanging="720"/>
        <w:rPr>
          <w:noProof/>
        </w:rPr>
      </w:pPr>
      <w:r>
        <w:fldChar w:fldCharType="begin"/>
      </w:r>
      <w:r>
        <w:instrText xml:space="preserve"> ADDIN EN.REFLIST </w:instrText>
      </w:r>
      <w:r>
        <w:fldChar w:fldCharType="separate"/>
      </w:r>
      <w:r w:rsidR="00DC657A" w:rsidRPr="00DC657A">
        <w:rPr>
          <w:noProof/>
        </w:rPr>
        <w:t xml:space="preserve">Aastrup, J., &amp; Kotzab, H. (2010). Forty years of out-of-stock research–and shelves are still empty. </w:t>
      </w:r>
      <w:r w:rsidR="00DC657A" w:rsidRPr="00DC657A">
        <w:rPr>
          <w:i/>
          <w:noProof/>
        </w:rPr>
        <w:t>The International Review of Retail, Distribution and Consumer Research, 20</w:t>
      </w:r>
      <w:r w:rsidR="00DC657A" w:rsidRPr="00DC657A">
        <w:rPr>
          <w:noProof/>
        </w:rPr>
        <w:t>(1), 147-164.</w:t>
      </w:r>
    </w:p>
    <w:p w14:paraId="2D3408CB" w14:textId="77777777" w:rsidR="00DC657A" w:rsidRPr="00DC657A" w:rsidRDefault="00DC657A" w:rsidP="00982611">
      <w:pPr>
        <w:pStyle w:val="EndNoteBibliography"/>
        <w:spacing w:line="480" w:lineRule="auto"/>
        <w:ind w:left="720" w:hanging="720"/>
        <w:rPr>
          <w:noProof/>
        </w:rPr>
      </w:pPr>
      <w:r w:rsidRPr="00DC657A">
        <w:rPr>
          <w:noProof/>
        </w:rPr>
        <w:lastRenderedPageBreak/>
        <w:t xml:space="preserve">Broekmeulen, R. A., &amp; van Donselaar, K. H. (2009). A heuristic to manage perishable inventory with batch ordering, positive lead-times, and time-varying demand. </w:t>
      </w:r>
      <w:r w:rsidRPr="00DC657A">
        <w:rPr>
          <w:i/>
          <w:noProof/>
        </w:rPr>
        <w:t>Computers &amp; Operations Research, 36</w:t>
      </w:r>
      <w:r w:rsidRPr="00DC657A">
        <w:rPr>
          <w:noProof/>
        </w:rPr>
        <w:t>(11), 3013-3018.</w:t>
      </w:r>
    </w:p>
    <w:p w14:paraId="5568A39D" w14:textId="77777777" w:rsidR="00DC657A" w:rsidRPr="00DC657A" w:rsidRDefault="00DC657A" w:rsidP="00982611">
      <w:pPr>
        <w:pStyle w:val="EndNoteBibliography"/>
        <w:spacing w:line="480" w:lineRule="auto"/>
        <w:ind w:left="720" w:hanging="720"/>
        <w:rPr>
          <w:noProof/>
        </w:rPr>
      </w:pPr>
      <w:r w:rsidRPr="00DC657A">
        <w:rPr>
          <w:noProof/>
        </w:rPr>
        <w:t xml:space="preserve">Chiu, H. N. (1995). A heuristic (R, T) periodic review perishable inventory model with lead times. </w:t>
      </w:r>
      <w:r w:rsidRPr="00DC657A">
        <w:rPr>
          <w:i/>
          <w:noProof/>
        </w:rPr>
        <w:t>International Journal of Production Economics, 42</w:t>
      </w:r>
      <w:r w:rsidRPr="00DC657A">
        <w:rPr>
          <w:noProof/>
        </w:rPr>
        <w:t>(1), 1-15.</w:t>
      </w:r>
    </w:p>
    <w:p w14:paraId="4D23BB84" w14:textId="77777777" w:rsidR="00DC657A" w:rsidRPr="00DC657A" w:rsidRDefault="00DC657A" w:rsidP="00982611">
      <w:pPr>
        <w:pStyle w:val="EndNoteBibliography"/>
        <w:spacing w:line="480" w:lineRule="auto"/>
        <w:ind w:left="720" w:hanging="720"/>
        <w:rPr>
          <w:noProof/>
        </w:rPr>
      </w:pPr>
      <w:r w:rsidRPr="00DC657A">
        <w:rPr>
          <w:noProof/>
        </w:rPr>
        <w:t xml:space="preserve">Croom, S. (2009). Introduction to research methodology in operations management. In C. Karlsson (Ed.), </w:t>
      </w:r>
      <w:r w:rsidRPr="00DC657A">
        <w:rPr>
          <w:i/>
          <w:noProof/>
        </w:rPr>
        <w:t>Researching operations management</w:t>
      </w:r>
      <w:r w:rsidRPr="00DC657A">
        <w:rPr>
          <w:noProof/>
        </w:rPr>
        <w:t xml:space="preserve"> (pp. 43-83): Routledge.</w:t>
      </w:r>
    </w:p>
    <w:p w14:paraId="15550C2C" w14:textId="77777777" w:rsidR="00DC657A" w:rsidRPr="00DC657A" w:rsidRDefault="00DC657A" w:rsidP="00982611">
      <w:pPr>
        <w:pStyle w:val="EndNoteBibliography"/>
        <w:spacing w:line="480" w:lineRule="auto"/>
        <w:ind w:left="720" w:hanging="720"/>
        <w:rPr>
          <w:noProof/>
        </w:rPr>
      </w:pPr>
      <w:r w:rsidRPr="00DC657A">
        <w:rPr>
          <w:noProof/>
        </w:rPr>
        <w:t xml:space="preserve">Duan, Q., &amp; Liao, T. W. (2013). A new age-based replenishment policy for supply chain inventory optimization of highly perishable products. </w:t>
      </w:r>
      <w:r w:rsidRPr="00DC657A">
        <w:rPr>
          <w:i/>
          <w:noProof/>
        </w:rPr>
        <w:t>International Journal of Production Economics, 145</w:t>
      </w:r>
      <w:r w:rsidRPr="00DC657A">
        <w:rPr>
          <w:noProof/>
        </w:rPr>
        <w:t>(2), 658-671.</w:t>
      </w:r>
    </w:p>
    <w:p w14:paraId="15CD6D88" w14:textId="77777777" w:rsidR="00DC657A" w:rsidRPr="00DC657A" w:rsidRDefault="00DC657A" w:rsidP="00982611">
      <w:pPr>
        <w:pStyle w:val="EndNoteBibliography"/>
        <w:spacing w:line="480" w:lineRule="auto"/>
        <w:ind w:left="720" w:hanging="720"/>
        <w:rPr>
          <w:noProof/>
        </w:rPr>
      </w:pPr>
      <w:r w:rsidRPr="00DC657A">
        <w:rPr>
          <w:noProof/>
        </w:rPr>
        <w:t xml:space="preserve">Eriksson, M., Strid, I., &amp; Hansson, P.-A. (2014). Waste of organic and conventional meat and dairy products—A case study from Swedish retail. </w:t>
      </w:r>
      <w:r w:rsidRPr="00DC657A">
        <w:rPr>
          <w:i/>
          <w:noProof/>
        </w:rPr>
        <w:t>Resources, Conservation and Recycling, 83</w:t>
      </w:r>
      <w:r w:rsidRPr="00DC657A">
        <w:rPr>
          <w:noProof/>
        </w:rPr>
        <w:t>, 44-52.</w:t>
      </w:r>
    </w:p>
    <w:p w14:paraId="747B1AB5" w14:textId="77777777" w:rsidR="00DC657A" w:rsidRPr="00DC657A" w:rsidRDefault="00DC657A" w:rsidP="00982611">
      <w:pPr>
        <w:pStyle w:val="EndNoteBibliography"/>
        <w:spacing w:line="480" w:lineRule="auto"/>
        <w:ind w:left="720" w:hanging="720"/>
        <w:rPr>
          <w:noProof/>
        </w:rPr>
      </w:pPr>
      <w:r w:rsidRPr="00DC657A">
        <w:rPr>
          <w:noProof/>
        </w:rPr>
        <w:t xml:space="preserve">Huang, G. Q., Lau, J. S., &amp; Mak, K. (2003). The impacts of sharing production information on supply chain dynamics: a review of the literature. </w:t>
      </w:r>
      <w:r w:rsidRPr="00DC657A">
        <w:rPr>
          <w:i/>
          <w:noProof/>
        </w:rPr>
        <w:t>International Journal of Production Research, 41</w:t>
      </w:r>
      <w:r w:rsidRPr="00DC657A">
        <w:rPr>
          <w:noProof/>
        </w:rPr>
        <w:t>(7), 1483-1517.</w:t>
      </w:r>
    </w:p>
    <w:p w14:paraId="1CBB80C9" w14:textId="77777777" w:rsidR="00DC657A" w:rsidRPr="00DC657A" w:rsidRDefault="00DC657A" w:rsidP="00982611">
      <w:pPr>
        <w:pStyle w:val="EndNoteBibliography"/>
        <w:spacing w:line="480" w:lineRule="auto"/>
        <w:ind w:left="720" w:hanging="720"/>
        <w:rPr>
          <w:noProof/>
        </w:rPr>
      </w:pPr>
      <w:r w:rsidRPr="00DC657A">
        <w:rPr>
          <w:noProof/>
        </w:rPr>
        <w:t xml:space="preserve">Hübner, A. H., Kuhn, H., &amp; Sternbeck, M. G. (2013). Demand and supply chain planning in grocery retail: an operations planning framework. </w:t>
      </w:r>
      <w:r w:rsidRPr="00DC657A">
        <w:rPr>
          <w:i/>
          <w:noProof/>
        </w:rPr>
        <w:t>International Journal of Retail &amp; Distribution Management, 41</w:t>
      </w:r>
      <w:r w:rsidRPr="00DC657A">
        <w:rPr>
          <w:noProof/>
        </w:rPr>
        <w:t>(7), 512-530.</w:t>
      </w:r>
    </w:p>
    <w:p w14:paraId="54EA3D45" w14:textId="77777777" w:rsidR="00DC657A" w:rsidRPr="00DC657A" w:rsidRDefault="00DC657A" w:rsidP="00982611">
      <w:pPr>
        <w:pStyle w:val="EndNoteBibliography"/>
        <w:spacing w:line="480" w:lineRule="auto"/>
        <w:ind w:left="720" w:hanging="720"/>
        <w:rPr>
          <w:noProof/>
        </w:rPr>
      </w:pPr>
      <w:r w:rsidRPr="00DC657A">
        <w:rPr>
          <w:noProof/>
        </w:rPr>
        <w:t xml:space="preserve">Janssen, L., Claus, T., &amp; Sauer, J. (2016). Literature review of deteriorating inventory models by key topics from 2012 to 2015. </w:t>
      </w:r>
      <w:r w:rsidRPr="00DC657A">
        <w:rPr>
          <w:i/>
          <w:noProof/>
        </w:rPr>
        <w:t>International Journal of Production Economics, 182</w:t>
      </w:r>
      <w:r w:rsidRPr="00DC657A">
        <w:rPr>
          <w:noProof/>
        </w:rPr>
        <w:t>, 86-112.</w:t>
      </w:r>
    </w:p>
    <w:p w14:paraId="032B7559" w14:textId="77777777" w:rsidR="00DC657A" w:rsidRPr="00DC657A" w:rsidRDefault="00DC657A" w:rsidP="00982611">
      <w:pPr>
        <w:pStyle w:val="EndNoteBibliography"/>
        <w:spacing w:line="480" w:lineRule="auto"/>
        <w:ind w:left="720" w:hanging="720"/>
        <w:rPr>
          <w:noProof/>
        </w:rPr>
      </w:pPr>
      <w:r w:rsidRPr="00DC657A">
        <w:rPr>
          <w:noProof/>
        </w:rPr>
        <w:t xml:space="preserve">Kaipia, R., Dukovska-Popovska, I., &amp; Loikkanen, L. (2013). Creating sustainable fresh food supply chains through waste reduction. </w:t>
      </w:r>
      <w:r w:rsidRPr="00DC657A">
        <w:rPr>
          <w:i/>
          <w:noProof/>
        </w:rPr>
        <w:t>International Journal of Physical Distribution &amp; Logistics Management, 43</w:t>
      </w:r>
      <w:r w:rsidRPr="00DC657A">
        <w:rPr>
          <w:noProof/>
        </w:rPr>
        <w:t>(3), 262-276.</w:t>
      </w:r>
    </w:p>
    <w:p w14:paraId="09CC930F" w14:textId="77777777" w:rsidR="00DC657A" w:rsidRPr="00DC657A" w:rsidRDefault="00DC657A" w:rsidP="00982611">
      <w:pPr>
        <w:pStyle w:val="EndNoteBibliography"/>
        <w:spacing w:line="480" w:lineRule="auto"/>
        <w:ind w:left="720" w:hanging="720"/>
        <w:rPr>
          <w:noProof/>
        </w:rPr>
      </w:pPr>
      <w:r w:rsidRPr="00DC657A">
        <w:rPr>
          <w:noProof/>
        </w:rPr>
        <w:t xml:space="preserve">Karaesmen, I. Z., Scheller–Wolf, A., &amp; Deniz, B. (2011). Managing perishable and aging inventories: review and future research directions </w:t>
      </w:r>
      <w:r w:rsidRPr="00DC657A">
        <w:rPr>
          <w:i/>
          <w:noProof/>
        </w:rPr>
        <w:t>Planning production and inventories in the extended enterprise</w:t>
      </w:r>
      <w:r w:rsidRPr="00DC657A">
        <w:rPr>
          <w:noProof/>
        </w:rPr>
        <w:t xml:space="preserve"> (pp. 393-436): Springer.</w:t>
      </w:r>
    </w:p>
    <w:p w14:paraId="6BB63EA5" w14:textId="77777777" w:rsidR="00DC657A" w:rsidRPr="00DC657A" w:rsidRDefault="00DC657A" w:rsidP="00982611">
      <w:pPr>
        <w:pStyle w:val="EndNoteBibliography"/>
        <w:spacing w:line="480" w:lineRule="auto"/>
        <w:ind w:left="720" w:hanging="720"/>
        <w:rPr>
          <w:noProof/>
        </w:rPr>
      </w:pPr>
      <w:r w:rsidRPr="00DC657A">
        <w:rPr>
          <w:noProof/>
        </w:rPr>
        <w:lastRenderedPageBreak/>
        <w:t xml:space="preserve">Kleijnen, J. P. (1995). Verification and validation of simulation models. </w:t>
      </w:r>
      <w:r w:rsidRPr="00DC657A">
        <w:rPr>
          <w:i/>
          <w:noProof/>
        </w:rPr>
        <w:t>European Journal of Operational Research, 82</w:t>
      </w:r>
      <w:r w:rsidRPr="00DC657A">
        <w:rPr>
          <w:noProof/>
        </w:rPr>
        <w:t>(1), 145-162.</w:t>
      </w:r>
    </w:p>
    <w:p w14:paraId="70CB3276" w14:textId="77777777" w:rsidR="00DC657A" w:rsidRDefault="00DC657A" w:rsidP="00982611">
      <w:pPr>
        <w:pStyle w:val="EndNoteBibliography"/>
        <w:spacing w:line="480" w:lineRule="auto"/>
        <w:ind w:left="720" w:hanging="720"/>
        <w:rPr>
          <w:noProof/>
        </w:rPr>
      </w:pPr>
      <w:r w:rsidRPr="00DC657A">
        <w:rPr>
          <w:noProof/>
        </w:rPr>
        <w:t xml:space="preserve">Kotzab, H., &amp; Teller, C. (2005). Development and empirical test of a grocery retail instore logistics model. </w:t>
      </w:r>
      <w:r w:rsidRPr="00DC657A">
        <w:rPr>
          <w:i/>
          <w:noProof/>
        </w:rPr>
        <w:t>British Food Journal, 107</w:t>
      </w:r>
      <w:r w:rsidRPr="00DC657A">
        <w:rPr>
          <w:noProof/>
        </w:rPr>
        <w:t>(8), 594-605.</w:t>
      </w:r>
    </w:p>
    <w:p w14:paraId="08ECCA94" w14:textId="22EB4DE7" w:rsidR="00AC3FCA" w:rsidRDefault="00AC3FCA" w:rsidP="00982611">
      <w:pPr>
        <w:pStyle w:val="EndNoteBibliography"/>
        <w:spacing w:line="480" w:lineRule="auto"/>
        <w:ind w:left="720" w:hanging="720"/>
        <w:rPr>
          <w:noProof/>
        </w:rPr>
      </w:pPr>
      <w:r w:rsidRPr="00AC3FCA">
        <w:rPr>
          <w:noProof/>
        </w:rPr>
        <w:t>Kouki, C., Babai, M. Z., Jemai, Z., &amp; Minner, S. (2016). A coordinated multi-item inventory system for perishables with random lifetime.</w:t>
      </w:r>
      <w:r w:rsidRPr="00AC3FCA">
        <w:rPr>
          <w:i/>
          <w:noProof/>
        </w:rPr>
        <w:t xml:space="preserve"> International Journal of Production Economics</w:t>
      </w:r>
      <w:r w:rsidRPr="00AC3FCA">
        <w:rPr>
          <w:noProof/>
        </w:rPr>
        <w:t>, 181</w:t>
      </w:r>
      <w:r>
        <w:rPr>
          <w:noProof/>
        </w:rPr>
        <w:t>(A)</w:t>
      </w:r>
      <w:r w:rsidRPr="00AC3FCA">
        <w:rPr>
          <w:noProof/>
        </w:rPr>
        <w:t>, 226-237.</w:t>
      </w:r>
    </w:p>
    <w:p w14:paraId="013DA206" w14:textId="29788EDB" w:rsidR="00EB4E0D" w:rsidRPr="00DC657A" w:rsidRDefault="00606382" w:rsidP="00BA39E1">
      <w:pPr>
        <w:pStyle w:val="EndNoteBibliography"/>
        <w:spacing w:line="480" w:lineRule="auto"/>
        <w:ind w:left="720" w:hanging="720"/>
        <w:rPr>
          <w:noProof/>
        </w:rPr>
      </w:pPr>
      <w:r w:rsidRPr="00606382">
        <w:rPr>
          <w:noProof/>
        </w:rPr>
        <w:t>Kouki, C., Jemaï, Z., &amp; Minner, S. (2015). A lost sales (r, Q) inventory control model for perishables with fixed lifetime and lead time. International Journal of Production Economics, 168, 143-157.</w:t>
      </w:r>
    </w:p>
    <w:p w14:paraId="30E5F5C4" w14:textId="77777777" w:rsidR="00DC657A" w:rsidRPr="00DC657A" w:rsidRDefault="00DC657A" w:rsidP="00982611">
      <w:pPr>
        <w:pStyle w:val="EndNoteBibliography"/>
        <w:spacing w:line="480" w:lineRule="auto"/>
        <w:ind w:left="720" w:hanging="720"/>
        <w:rPr>
          <w:noProof/>
        </w:rPr>
      </w:pPr>
      <w:r w:rsidRPr="00DC657A">
        <w:rPr>
          <w:noProof/>
        </w:rPr>
        <w:t xml:space="preserve">Kuhn, H., &amp; Sternbeck, M. G. (2013). Integrative retail logistics: an exploratory study. </w:t>
      </w:r>
      <w:r w:rsidRPr="00DC657A">
        <w:rPr>
          <w:i/>
          <w:noProof/>
        </w:rPr>
        <w:t>Operations Management Research, 6</w:t>
      </w:r>
      <w:r w:rsidRPr="00DC657A">
        <w:rPr>
          <w:noProof/>
        </w:rPr>
        <w:t>(1-2), 2-18.</w:t>
      </w:r>
    </w:p>
    <w:p w14:paraId="31DF59F7" w14:textId="77777777" w:rsidR="00DC657A" w:rsidRPr="00DC657A" w:rsidRDefault="00DC657A" w:rsidP="00982611">
      <w:pPr>
        <w:pStyle w:val="EndNoteBibliography"/>
        <w:spacing w:line="480" w:lineRule="auto"/>
        <w:ind w:left="720" w:hanging="720"/>
        <w:rPr>
          <w:noProof/>
        </w:rPr>
      </w:pPr>
      <w:r w:rsidRPr="00DC657A">
        <w:rPr>
          <w:noProof/>
        </w:rPr>
        <w:t>Lowalekar, H., &amp; Ravichandran, N. (2015). A combined age</w:t>
      </w:r>
      <w:r w:rsidRPr="00DC657A">
        <w:rPr>
          <w:rFonts w:ascii="Cambria Math" w:hAnsi="Cambria Math" w:cs="Cambria Math"/>
          <w:noProof/>
        </w:rPr>
        <w:t>‐</w:t>
      </w:r>
      <w:r w:rsidRPr="00DC657A">
        <w:rPr>
          <w:noProof/>
        </w:rPr>
        <w:t>and</w:t>
      </w:r>
      <w:r w:rsidRPr="00DC657A">
        <w:rPr>
          <w:rFonts w:ascii="Cambria Math" w:hAnsi="Cambria Math" w:cs="Cambria Math"/>
          <w:noProof/>
        </w:rPr>
        <w:t>‐</w:t>
      </w:r>
      <w:r w:rsidRPr="00DC657A">
        <w:rPr>
          <w:noProof/>
        </w:rPr>
        <w:t>stock</w:t>
      </w:r>
      <w:r w:rsidRPr="00DC657A">
        <w:rPr>
          <w:rFonts w:ascii="Cambria Math" w:hAnsi="Cambria Math" w:cs="Cambria Math"/>
          <w:noProof/>
        </w:rPr>
        <w:t>‐</w:t>
      </w:r>
      <w:r w:rsidRPr="00DC657A">
        <w:rPr>
          <w:noProof/>
        </w:rPr>
        <w:t xml:space="preserve">based policy for ordering blood units in hospital blood banks. </w:t>
      </w:r>
      <w:r w:rsidRPr="00DC657A">
        <w:rPr>
          <w:i/>
          <w:noProof/>
        </w:rPr>
        <w:t>International Transactions in Operational Research</w:t>
      </w:r>
      <w:r w:rsidRPr="00DC657A">
        <w:rPr>
          <w:noProof/>
        </w:rPr>
        <w:t>.</w:t>
      </w:r>
    </w:p>
    <w:p w14:paraId="62FF5A4B" w14:textId="77777777" w:rsidR="00DC657A" w:rsidRPr="00DC657A" w:rsidRDefault="00DC657A" w:rsidP="00982611">
      <w:pPr>
        <w:pStyle w:val="EndNoteBibliography"/>
        <w:spacing w:line="480" w:lineRule="auto"/>
        <w:ind w:left="720" w:hanging="720"/>
        <w:rPr>
          <w:noProof/>
        </w:rPr>
      </w:pPr>
      <w:r w:rsidRPr="00DC657A">
        <w:rPr>
          <w:noProof/>
        </w:rPr>
        <w:t xml:space="preserve">Manikas, I., &amp; Terry, L. A. (2009). A case study assessment of the operational performance of a multiple fresh produce distribution centre in the UK. </w:t>
      </w:r>
      <w:r w:rsidRPr="00DC657A">
        <w:rPr>
          <w:i/>
          <w:noProof/>
        </w:rPr>
        <w:t>British Food Journal, 111</w:t>
      </w:r>
      <w:r w:rsidRPr="00DC657A">
        <w:rPr>
          <w:noProof/>
        </w:rPr>
        <w:t>(5), 421-435.</w:t>
      </w:r>
    </w:p>
    <w:p w14:paraId="1EEC3430" w14:textId="77777777" w:rsidR="00DC657A" w:rsidRPr="00DC657A" w:rsidRDefault="00DC657A" w:rsidP="00982611">
      <w:pPr>
        <w:pStyle w:val="EndNoteBibliography"/>
        <w:spacing w:line="480" w:lineRule="auto"/>
        <w:ind w:left="720" w:hanging="720"/>
        <w:rPr>
          <w:noProof/>
        </w:rPr>
      </w:pPr>
      <w:r w:rsidRPr="00DC657A">
        <w:rPr>
          <w:noProof/>
        </w:rPr>
        <w:t xml:space="preserve">Mena, C., Terry, L. A., Williams, A., &amp; Ellram, L. (2014). Causes of waste across multi-tier supply networks: Cases in the UK food sector. </w:t>
      </w:r>
      <w:r w:rsidRPr="00DC657A">
        <w:rPr>
          <w:i/>
          <w:noProof/>
        </w:rPr>
        <w:t>International Journal of Production Economics, 152</w:t>
      </w:r>
      <w:r w:rsidRPr="00DC657A">
        <w:rPr>
          <w:noProof/>
        </w:rPr>
        <w:t>, 144-158.</w:t>
      </w:r>
    </w:p>
    <w:p w14:paraId="5F535A0D" w14:textId="77777777" w:rsidR="00DC657A" w:rsidRPr="00DC657A" w:rsidRDefault="00DC657A" w:rsidP="00982611">
      <w:pPr>
        <w:pStyle w:val="EndNoteBibliography"/>
        <w:spacing w:line="480" w:lineRule="auto"/>
        <w:ind w:left="720" w:hanging="720"/>
        <w:rPr>
          <w:noProof/>
        </w:rPr>
      </w:pPr>
      <w:r w:rsidRPr="00DC657A">
        <w:rPr>
          <w:noProof/>
        </w:rPr>
        <w:t xml:space="preserve">Minner, S., &amp; Transchel, S. (2010). Periodic review inventory-control for perishable products under service-level constraints. </w:t>
      </w:r>
      <w:r w:rsidRPr="00DC657A">
        <w:rPr>
          <w:i/>
          <w:noProof/>
        </w:rPr>
        <w:t>Or Spectrum, 32</w:t>
      </w:r>
      <w:r w:rsidRPr="00DC657A">
        <w:rPr>
          <w:noProof/>
        </w:rPr>
        <w:t>(4), 979-996.</w:t>
      </w:r>
    </w:p>
    <w:p w14:paraId="6A04CE7A" w14:textId="77777777" w:rsidR="00DC657A" w:rsidRPr="00DC657A" w:rsidRDefault="00DC657A" w:rsidP="00982611">
      <w:pPr>
        <w:pStyle w:val="EndNoteBibliography"/>
        <w:spacing w:line="480" w:lineRule="auto"/>
        <w:ind w:left="720" w:hanging="720"/>
        <w:rPr>
          <w:noProof/>
        </w:rPr>
      </w:pPr>
      <w:r w:rsidRPr="00DC657A">
        <w:rPr>
          <w:noProof/>
        </w:rPr>
        <w:t xml:space="preserve">Nahmias, S., &amp; Pierskalla, W. P. (1973). Optimal ordering policies for a product that perishes in two periods subject to stochastic demand. </w:t>
      </w:r>
      <w:r w:rsidRPr="00DC657A">
        <w:rPr>
          <w:i/>
          <w:noProof/>
        </w:rPr>
        <w:t>Naval Research Logistics (NRL), 20</w:t>
      </w:r>
      <w:r w:rsidRPr="00DC657A">
        <w:rPr>
          <w:noProof/>
        </w:rPr>
        <w:t>(2), 207-229.</w:t>
      </w:r>
    </w:p>
    <w:p w14:paraId="36A8D9B0" w14:textId="0492747A" w:rsidR="00DC657A" w:rsidRPr="00DC657A" w:rsidRDefault="00DC657A" w:rsidP="00982611">
      <w:pPr>
        <w:pStyle w:val="EndNoteBibliography"/>
        <w:spacing w:line="480" w:lineRule="auto"/>
        <w:ind w:left="720" w:hanging="720"/>
        <w:rPr>
          <w:noProof/>
        </w:rPr>
      </w:pPr>
      <w:r w:rsidRPr="00DC657A">
        <w:rPr>
          <w:noProof/>
        </w:rPr>
        <w:t xml:space="preserve">Nielsen, A. C. (2016). </w:t>
      </w:r>
      <w:r w:rsidRPr="00DC657A">
        <w:rPr>
          <w:i/>
          <w:noProof/>
        </w:rPr>
        <w:t>Western Eurpean FMCG Report Q4 2016</w:t>
      </w:r>
      <w:r w:rsidRPr="00DC657A">
        <w:rPr>
          <w:noProof/>
        </w:rPr>
        <w:t xml:space="preserve">. Retrieved from </w:t>
      </w:r>
      <w:hyperlink r:id="rId13" w:history="1">
        <w:r w:rsidRPr="00DC657A">
          <w:rPr>
            <w:rStyle w:val="Hyperlink"/>
            <w:noProof/>
          </w:rPr>
          <w:t>http://www.nielsen.com/content/dam/nielsenglobal/eu/docs/reports/nielsen-european-trends-report-Q4-2016.pdf</w:t>
        </w:r>
      </w:hyperlink>
    </w:p>
    <w:p w14:paraId="455FB1B0" w14:textId="77777777" w:rsidR="00DC657A" w:rsidRPr="00DC657A" w:rsidRDefault="00DC657A" w:rsidP="00982611">
      <w:pPr>
        <w:pStyle w:val="EndNoteBibliography"/>
        <w:spacing w:line="480" w:lineRule="auto"/>
        <w:ind w:left="720" w:hanging="720"/>
        <w:rPr>
          <w:noProof/>
        </w:rPr>
      </w:pPr>
      <w:r w:rsidRPr="00DC657A">
        <w:rPr>
          <w:noProof/>
        </w:rPr>
        <w:lastRenderedPageBreak/>
        <w:t xml:space="preserve">Patton, M. Q. (2002). </w:t>
      </w:r>
      <w:r w:rsidRPr="00DC657A">
        <w:rPr>
          <w:i/>
          <w:noProof/>
        </w:rPr>
        <w:t>Qualitative Research &amp; Evaluation Methods</w:t>
      </w:r>
      <w:r w:rsidRPr="00DC657A">
        <w:rPr>
          <w:noProof/>
        </w:rPr>
        <w:t xml:space="preserve"> (Vol. 3rd Edition): SAGE Publications, Inc.</w:t>
      </w:r>
    </w:p>
    <w:p w14:paraId="17DC47C9" w14:textId="77777777" w:rsidR="00DC657A" w:rsidRPr="00DC657A" w:rsidRDefault="00DC657A" w:rsidP="00982611">
      <w:pPr>
        <w:pStyle w:val="EndNoteBibliography"/>
        <w:spacing w:line="480" w:lineRule="auto"/>
        <w:ind w:left="720" w:hanging="720"/>
        <w:rPr>
          <w:noProof/>
        </w:rPr>
      </w:pPr>
      <w:r w:rsidRPr="00DC657A">
        <w:rPr>
          <w:noProof/>
        </w:rPr>
        <w:t xml:space="preserve">Potter, A., &amp; Disney, S. M. (2010). </w:t>
      </w:r>
      <w:r w:rsidRPr="00DC657A">
        <w:rPr>
          <w:i/>
          <w:noProof/>
        </w:rPr>
        <w:t>Removing bullwhip from the Tesco supply chain.</w:t>
      </w:r>
      <w:r w:rsidRPr="00DC657A">
        <w:rPr>
          <w:noProof/>
        </w:rPr>
        <w:t xml:space="preserve"> Paper presented at the Production and Operations Management Society Annual Conference.</w:t>
      </w:r>
    </w:p>
    <w:p w14:paraId="3C21043E" w14:textId="77777777" w:rsidR="00DC657A" w:rsidRPr="00DC657A" w:rsidRDefault="00DC657A" w:rsidP="00982611">
      <w:pPr>
        <w:pStyle w:val="EndNoteBibliography"/>
        <w:spacing w:line="480" w:lineRule="auto"/>
        <w:ind w:left="720" w:hanging="720"/>
        <w:rPr>
          <w:noProof/>
        </w:rPr>
      </w:pPr>
      <w:r w:rsidRPr="000F1029">
        <w:rPr>
          <w:noProof/>
          <w:lang w:val="da-DK"/>
        </w:rPr>
        <w:t xml:space="preserve">Silver, E. A., Pyke, D. F., &amp; Peterson, R. (1998). </w:t>
      </w:r>
      <w:r w:rsidRPr="00DC657A">
        <w:rPr>
          <w:i/>
          <w:noProof/>
        </w:rPr>
        <w:t>Inventory management and production planning and scheduling</w:t>
      </w:r>
      <w:r w:rsidRPr="00DC657A">
        <w:rPr>
          <w:noProof/>
        </w:rPr>
        <w:t xml:space="preserve"> (Vol. 3): Wiley New York.</w:t>
      </w:r>
    </w:p>
    <w:p w14:paraId="4D72188D" w14:textId="77777777" w:rsidR="00DC657A" w:rsidRPr="00DC657A" w:rsidRDefault="00DC657A" w:rsidP="00982611">
      <w:pPr>
        <w:pStyle w:val="EndNoteBibliography"/>
        <w:spacing w:line="480" w:lineRule="auto"/>
        <w:ind w:left="720" w:hanging="720"/>
        <w:rPr>
          <w:noProof/>
        </w:rPr>
      </w:pPr>
      <w:r w:rsidRPr="000F1029">
        <w:rPr>
          <w:noProof/>
          <w:lang w:val="da-DK"/>
        </w:rPr>
        <w:t xml:space="preserve">Van Der Vorst, J. G. (2006). </w:t>
      </w:r>
      <w:r w:rsidRPr="00DC657A">
        <w:rPr>
          <w:noProof/>
        </w:rPr>
        <w:t xml:space="preserve">Performance measurement in agri-food supply-chain networks. In C. J. Ondersteijn, J. H. Wijnands, R. B. Huirne, &amp; O. van Kooten (Eds.), </w:t>
      </w:r>
      <w:r w:rsidRPr="00DC657A">
        <w:rPr>
          <w:i/>
          <w:noProof/>
        </w:rPr>
        <w:t>Quantifying the agri-food supply chain</w:t>
      </w:r>
      <w:r w:rsidRPr="00DC657A">
        <w:rPr>
          <w:noProof/>
        </w:rPr>
        <w:t xml:space="preserve"> (pp. 15-26): Springer.</w:t>
      </w:r>
    </w:p>
    <w:p w14:paraId="68100134" w14:textId="77777777" w:rsidR="00DC657A" w:rsidRPr="00DC657A" w:rsidRDefault="00DC657A" w:rsidP="00982611">
      <w:pPr>
        <w:pStyle w:val="EndNoteBibliography"/>
        <w:spacing w:line="480" w:lineRule="auto"/>
        <w:ind w:left="720" w:hanging="720"/>
        <w:rPr>
          <w:noProof/>
        </w:rPr>
      </w:pPr>
      <w:r w:rsidRPr="000F1029">
        <w:rPr>
          <w:noProof/>
          <w:lang w:val="da-DK"/>
        </w:rPr>
        <w:t xml:space="preserve">van Donk, D. P., Akkerman, R., &amp; Van der Vaart, T. (2008). </w:t>
      </w:r>
      <w:r w:rsidRPr="00DC657A">
        <w:rPr>
          <w:noProof/>
        </w:rPr>
        <w:t xml:space="preserve">Opportunities and realities of supply chain integration: the case of food manufacturers. </w:t>
      </w:r>
      <w:r w:rsidRPr="00DC657A">
        <w:rPr>
          <w:i/>
          <w:noProof/>
        </w:rPr>
        <w:t>British Food Journal, 110</w:t>
      </w:r>
      <w:r w:rsidRPr="00DC657A">
        <w:rPr>
          <w:noProof/>
        </w:rPr>
        <w:t>(2), 218-235.</w:t>
      </w:r>
    </w:p>
    <w:p w14:paraId="7597EE46" w14:textId="77777777" w:rsidR="00DC657A" w:rsidRPr="00DC657A" w:rsidRDefault="00DC657A" w:rsidP="00982611">
      <w:pPr>
        <w:pStyle w:val="EndNoteBibliography"/>
        <w:spacing w:line="480" w:lineRule="auto"/>
        <w:ind w:left="720" w:hanging="720"/>
        <w:rPr>
          <w:noProof/>
        </w:rPr>
      </w:pPr>
      <w:r w:rsidRPr="00DC657A">
        <w:rPr>
          <w:noProof/>
        </w:rPr>
        <w:t xml:space="preserve">Van Donselaar, K., van Woensel, T., Broekmeulen, R., &amp; Fransoo, J. (2006). Inventory control of perishables in supermarkets. </w:t>
      </w:r>
      <w:r w:rsidRPr="00DC657A">
        <w:rPr>
          <w:i/>
          <w:noProof/>
        </w:rPr>
        <w:t>International Journal of Production Economics, 104</w:t>
      </w:r>
      <w:r w:rsidRPr="00DC657A">
        <w:rPr>
          <w:noProof/>
        </w:rPr>
        <w:t>(2), 462-472.</w:t>
      </w:r>
    </w:p>
    <w:p w14:paraId="0E7A04D7" w14:textId="77777777" w:rsidR="00DC657A" w:rsidRPr="00DC657A" w:rsidRDefault="00DC657A" w:rsidP="00982611">
      <w:pPr>
        <w:pStyle w:val="EndNoteBibliography"/>
        <w:spacing w:line="480" w:lineRule="auto"/>
        <w:ind w:left="720" w:hanging="720"/>
        <w:rPr>
          <w:noProof/>
        </w:rPr>
      </w:pPr>
      <w:r w:rsidRPr="00DC657A">
        <w:rPr>
          <w:noProof/>
        </w:rPr>
        <w:t xml:space="preserve">Van Donselaar, K. H., &amp; Broekmeulen, R. A. (2012). Approximations for the relative outdating of perishable products by combining stochastic modeling, simulation and regression modeling. </w:t>
      </w:r>
      <w:r w:rsidRPr="00DC657A">
        <w:rPr>
          <w:i/>
          <w:noProof/>
        </w:rPr>
        <w:t>International Journal of Production Economics, 140</w:t>
      </w:r>
      <w:r w:rsidRPr="00DC657A">
        <w:rPr>
          <w:noProof/>
        </w:rPr>
        <w:t>(2), 660-669.</w:t>
      </w:r>
    </w:p>
    <w:p w14:paraId="4FC2ACB7" w14:textId="00DF3828" w:rsidR="001258D9" w:rsidRPr="004A4C9B" w:rsidRDefault="005670B1" w:rsidP="00982611">
      <w:pPr>
        <w:spacing w:line="480" w:lineRule="auto"/>
      </w:pPr>
      <w:r>
        <w:fldChar w:fldCharType="end"/>
      </w:r>
    </w:p>
    <w:sectPr w:rsidR="001258D9" w:rsidRPr="004A4C9B" w:rsidSect="0034458A">
      <w:footerReference w:type="even" r:id="rId14"/>
      <w:footerReference w:type="default" r:id="rId1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62580" w14:textId="77777777" w:rsidR="00DF698C" w:rsidRDefault="00DF698C" w:rsidP="006A205B">
      <w:pPr>
        <w:spacing w:line="240" w:lineRule="auto"/>
      </w:pPr>
      <w:r>
        <w:separator/>
      </w:r>
    </w:p>
  </w:endnote>
  <w:endnote w:type="continuationSeparator" w:id="0">
    <w:p w14:paraId="25F04540" w14:textId="77777777" w:rsidR="00DF698C" w:rsidRDefault="00DF698C" w:rsidP="006A2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F6A9" w14:textId="77777777" w:rsidR="002F6832" w:rsidRDefault="002F6832" w:rsidP="000667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F95ECFF" w14:textId="77777777" w:rsidR="002F6832" w:rsidRDefault="002F68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4BFEC" w14:textId="0C7AAA22" w:rsidR="002F6832" w:rsidRDefault="002F6832" w:rsidP="000667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1537">
      <w:rPr>
        <w:rStyle w:val="PageNumber"/>
        <w:noProof/>
      </w:rPr>
      <w:t>2</w:t>
    </w:r>
    <w:r>
      <w:rPr>
        <w:rStyle w:val="PageNumber"/>
      </w:rPr>
      <w:fldChar w:fldCharType="end"/>
    </w:r>
  </w:p>
  <w:p w14:paraId="384ACAD9" w14:textId="77777777" w:rsidR="002F6832" w:rsidRDefault="002F68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8C7C0" w14:textId="77777777" w:rsidR="00DF698C" w:rsidRDefault="00DF698C" w:rsidP="006A205B">
      <w:pPr>
        <w:spacing w:line="240" w:lineRule="auto"/>
      </w:pPr>
      <w:r>
        <w:separator/>
      </w:r>
    </w:p>
  </w:footnote>
  <w:footnote w:type="continuationSeparator" w:id="0">
    <w:p w14:paraId="7A195BE6" w14:textId="77777777" w:rsidR="00DF698C" w:rsidRDefault="00DF698C" w:rsidP="006A205B">
      <w:pPr>
        <w:spacing w:line="240" w:lineRule="auto"/>
      </w:pPr>
      <w:r>
        <w:continuationSeparator/>
      </w:r>
    </w:p>
  </w:footnote>
  <w:footnote w:id="1">
    <w:p w14:paraId="572F1B4A" w14:textId="3701BE62" w:rsidR="002F6832" w:rsidRPr="00077A9F" w:rsidRDefault="002F6832">
      <w:pPr>
        <w:pStyle w:val="FootnoteText"/>
      </w:pPr>
      <w:r w:rsidRPr="00077A9F">
        <w:rPr>
          <w:rStyle w:val="FootnoteReference"/>
        </w:rPr>
        <w:footnoteRef/>
      </w:r>
      <w:r w:rsidRPr="00077A9F">
        <w:t xml:space="preserve"> </w:t>
      </w:r>
      <w:r w:rsidRPr="00077A9F">
        <w:rPr>
          <w:sz w:val="20"/>
        </w:rPr>
        <w:t xml:space="preserve">If the current inventory level is very high compared to the amount needed, Eq. 2a and 2b can produce a negative order quantity. In that case it should be raised to 0 to avoid transshipment, which is why the </w:t>
      </w:r>
      <w:proofErr w:type="gramStart"/>
      <w:r w:rsidRPr="00077A9F">
        <w:rPr>
          <w:sz w:val="20"/>
        </w:rPr>
        <w:t>max(</w:t>
      </w:r>
      <w:proofErr w:type="gramEnd"/>
      <w:r w:rsidRPr="00077A9F">
        <w:rPr>
          <w:sz w:val="20"/>
        </w:rPr>
        <w:t>) function is used.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5EBE"/>
    <w:multiLevelType w:val="hybridMultilevel"/>
    <w:tmpl w:val="E7E4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E2D42"/>
    <w:multiLevelType w:val="multilevel"/>
    <w:tmpl w:val="EB20C4D2"/>
    <w:lvl w:ilvl="0">
      <w:start w:val="1"/>
      <w:numFmt w:val="decimal"/>
      <w:lvlText w:val="%1."/>
      <w:lvlJc w:val="left"/>
      <w:pPr>
        <w:ind w:left="1004" w:hanging="360"/>
      </w:pPr>
      <w:rPr>
        <w:rFonts w:ascii="Times New Roman" w:hAnsi="Times New Roman" w:hint="default"/>
        <w:b w:val="0"/>
        <w:i/>
        <w:sz w:val="22"/>
      </w:rPr>
    </w:lvl>
    <w:lvl w:ilvl="1">
      <w:start w:val="1"/>
      <w:numFmt w:val="decimal"/>
      <w:isLgl/>
      <w:lvlText w:val="%1.%2."/>
      <w:lvlJc w:val="left"/>
      <w:pPr>
        <w:ind w:left="1440" w:hanging="360"/>
      </w:pPr>
      <w:rPr>
        <w:rFonts w:ascii="Times New Roman" w:hAnsi="Times New Roman" w:hint="default"/>
        <w:b w:val="0"/>
        <w:i/>
        <w:sz w:val="22"/>
      </w:rPr>
    </w:lvl>
    <w:lvl w:ilvl="2">
      <w:start w:val="1"/>
      <w:numFmt w:val="lowerRoman"/>
      <w:lvlText w:val="%2%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BE86B44"/>
    <w:multiLevelType w:val="multilevel"/>
    <w:tmpl w:val="3FAC02B0"/>
    <w:lvl w:ilvl="0">
      <w:start w:val="1"/>
      <w:numFmt w:val="decimal"/>
      <w:lvlText w:val="%1."/>
      <w:lvlJc w:val="left"/>
      <w:pPr>
        <w:ind w:left="1004" w:hanging="360"/>
      </w:pPr>
      <w:rPr>
        <w:rFonts w:ascii="Times New Roman" w:hAnsi="Times New Roman" w:hint="default"/>
        <w:b w:val="0"/>
        <w:i/>
        <w:sz w:val="22"/>
      </w:rPr>
    </w:lvl>
    <w:lvl w:ilvl="1">
      <w:start w:val="1"/>
      <w:numFmt w:val="decimal"/>
      <w:isLgl/>
      <w:lvlText w:val="%1.%2."/>
      <w:lvlJc w:val="left"/>
      <w:pPr>
        <w:ind w:left="1440" w:hanging="360"/>
      </w:pPr>
      <w:rPr>
        <w:rFonts w:ascii="Times New Roman" w:hAnsi="Times New Roman" w:hint="default"/>
        <w:b w:val="0"/>
        <w:i/>
        <w:sz w:val="22"/>
      </w:rPr>
    </w:lvl>
    <w:lvl w:ilvl="2">
      <w:start w:val="1"/>
      <w:numFmt w:val="lowerRoman"/>
      <w:lvlText w:val="%2%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8F06F55"/>
    <w:multiLevelType w:val="hybridMultilevel"/>
    <w:tmpl w:val="B608C24C"/>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4">
    <w:nsid w:val="23EA7BFB"/>
    <w:multiLevelType w:val="hybridMultilevel"/>
    <w:tmpl w:val="5EDA2532"/>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5">
    <w:nsid w:val="27680C43"/>
    <w:multiLevelType w:val="hybridMultilevel"/>
    <w:tmpl w:val="9624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06679"/>
    <w:multiLevelType w:val="hybridMultilevel"/>
    <w:tmpl w:val="F272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730FD"/>
    <w:multiLevelType w:val="hybridMultilevel"/>
    <w:tmpl w:val="3AE8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51EDB"/>
    <w:multiLevelType w:val="hybridMultilevel"/>
    <w:tmpl w:val="FE967488"/>
    <w:lvl w:ilvl="0" w:tplc="305E07D2">
      <w:start w:val="1"/>
      <w:numFmt w:val="decimal"/>
      <w:pStyle w:val="Heading1"/>
      <w:lvlText w:val="%1."/>
      <w:lvlJc w:val="left"/>
      <w:pPr>
        <w:ind w:left="720" w:hanging="360"/>
      </w:pPr>
      <w:rPr>
        <w:rFonts w:ascii="Times New Roman" w:hAnsi="Times New Roman" w:hint="default"/>
        <w:b/>
        <w:i w:val="0"/>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79B529B"/>
    <w:multiLevelType w:val="hybridMultilevel"/>
    <w:tmpl w:val="8ADA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6C6674"/>
    <w:multiLevelType w:val="hybridMultilevel"/>
    <w:tmpl w:val="6CB61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C07EE4"/>
    <w:multiLevelType w:val="hybridMultilevel"/>
    <w:tmpl w:val="A0209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7B17CC"/>
    <w:multiLevelType w:val="hybridMultilevel"/>
    <w:tmpl w:val="34168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A2ED3"/>
    <w:multiLevelType w:val="hybridMultilevel"/>
    <w:tmpl w:val="5BEE2A86"/>
    <w:lvl w:ilvl="0" w:tplc="930E27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6673D0C"/>
    <w:multiLevelType w:val="hybridMultilevel"/>
    <w:tmpl w:val="4D9E0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52003"/>
    <w:multiLevelType w:val="hybridMultilevel"/>
    <w:tmpl w:val="951E0B9A"/>
    <w:lvl w:ilvl="0" w:tplc="F3DE1C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5"/>
  </w:num>
  <w:num w:numId="4">
    <w:abstractNumId w:val="11"/>
  </w:num>
  <w:num w:numId="5">
    <w:abstractNumId w:val="5"/>
  </w:num>
  <w:num w:numId="6">
    <w:abstractNumId w:val="0"/>
  </w:num>
  <w:num w:numId="7">
    <w:abstractNumId w:val="7"/>
  </w:num>
  <w:num w:numId="8">
    <w:abstractNumId w:val="4"/>
  </w:num>
  <w:num w:numId="9">
    <w:abstractNumId w:val="3"/>
  </w:num>
  <w:num w:numId="10">
    <w:abstractNumId w:val="6"/>
  </w:num>
  <w:num w:numId="11">
    <w:abstractNumId w:val="12"/>
  </w:num>
  <w:num w:numId="12">
    <w:abstractNumId w:val="10"/>
  </w:num>
  <w:num w:numId="13">
    <w:abstractNumId w:val="8"/>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6" w:nlCheck="1" w:checkStyle="0"/>
  <w:activeWritingStyle w:appName="MSWord" w:lang="en-US" w:vendorID="64" w:dllVersion="6" w:nlCheck="1" w:checkStyle="0"/>
  <w:activeWritingStyle w:appName="MSWord" w:lang="nb-NO" w:vendorID="64" w:dllVersion="6" w:nlCheck="1" w:checkStyle="0"/>
  <w:activeWritingStyle w:appName="MSWord" w:lang="en-US" w:vendorID="64" w:dllVersion="0" w:nlCheck="1" w:checkStyle="0"/>
  <w:activeWritingStyle w:appName="MSWord" w:lang="en-GB" w:vendorID="64" w:dllVersion="0" w:nlCheck="1" w:checkStyle="0"/>
  <w:activeWritingStyle w:appName="MSWord" w:lang="da-DK" w:vendorID="64" w:dllVersion="0" w:nlCheck="1" w:checkStyle="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9rwfe99vp0fnet259vr9wns25s05drxsd2&quot;&gt;Kasper Kiil EndNote Library-Saved-Saved-Saved-Saved&lt;record-ids&gt;&lt;item&gt;110&lt;/item&gt;&lt;item&gt;116&lt;/item&gt;&lt;item&gt;126&lt;/item&gt;&lt;item&gt;163&lt;/item&gt;&lt;item&gt;173&lt;/item&gt;&lt;item&gt;398&lt;/item&gt;&lt;item&gt;416&lt;/item&gt;&lt;item&gt;493&lt;/item&gt;&lt;item&gt;497&lt;/item&gt;&lt;item&gt;500&lt;/item&gt;&lt;item&gt;558&lt;/item&gt;&lt;item&gt;560&lt;/item&gt;&lt;item&gt;581&lt;/item&gt;&lt;item&gt;588&lt;/item&gt;&lt;item&gt;619&lt;/item&gt;&lt;item&gt;623&lt;/item&gt;&lt;item&gt;639&lt;/item&gt;&lt;item&gt;640&lt;/item&gt;&lt;item&gt;644&lt;/item&gt;&lt;item&gt;652&lt;/item&gt;&lt;item&gt;662&lt;/item&gt;&lt;item&gt;674&lt;/item&gt;&lt;item&gt;707&lt;/item&gt;&lt;item&gt;711&lt;/item&gt;&lt;item&gt;718&lt;/item&gt;&lt;item&gt;720&lt;/item&gt;&lt;item&gt;726&lt;/item&gt;&lt;/record-ids&gt;&lt;/item&gt;&lt;/Libraries&gt;"/>
  </w:docVars>
  <w:rsids>
    <w:rsidRoot w:val="00E65B3B"/>
    <w:rsid w:val="00003B2D"/>
    <w:rsid w:val="00005F3F"/>
    <w:rsid w:val="00016671"/>
    <w:rsid w:val="000239D4"/>
    <w:rsid w:val="000263FD"/>
    <w:rsid w:val="00031BBB"/>
    <w:rsid w:val="000325A6"/>
    <w:rsid w:val="00035909"/>
    <w:rsid w:val="00040746"/>
    <w:rsid w:val="0004083A"/>
    <w:rsid w:val="0004586B"/>
    <w:rsid w:val="00045A62"/>
    <w:rsid w:val="00050639"/>
    <w:rsid w:val="0005166B"/>
    <w:rsid w:val="00053DF0"/>
    <w:rsid w:val="0005605F"/>
    <w:rsid w:val="0006675E"/>
    <w:rsid w:val="000667B4"/>
    <w:rsid w:val="00070A56"/>
    <w:rsid w:val="000740B2"/>
    <w:rsid w:val="00074131"/>
    <w:rsid w:val="000753C6"/>
    <w:rsid w:val="00076E9F"/>
    <w:rsid w:val="00077A9F"/>
    <w:rsid w:val="00077B15"/>
    <w:rsid w:val="00083533"/>
    <w:rsid w:val="000944DB"/>
    <w:rsid w:val="00095797"/>
    <w:rsid w:val="000A21FC"/>
    <w:rsid w:val="000A3E83"/>
    <w:rsid w:val="000B03F8"/>
    <w:rsid w:val="000B12AC"/>
    <w:rsid w:val="000B15BF"/>
    <w:rsid w:val="000B5B33"/>
    <w:rsid w:val="000B714E"/>
    <w:rsid w:val="000C095B"/>
    <w:rsid w:val="000C3A76"/>
    <w:rsid w:val="000C49B0"/>
    <w:rsid w:val="000D09A7"/>
    <w:rsid w:val="000D6E3F"/>
    <w:rsid w:val="000D790D"/>
    <w:rsid w:val="000F01C6"/>
    <w:rsid w:val="000F0743"/>
    <w:rsid w:val="000F1029"/>
    <w:rsid w:val="00100B89"/>
    <w:rsid w:val="001027A8"/>
    <w:rsid w:val="001038EE"/>
    <w:rsid w:val="001104CA"/>
    <w:rsid w:val="001147ED"/>
    <w:rsid w:val="00115C1C"/>
    <w:rsid w:val="00125326"/>
    <w:rsid w:val="001258D9"/>
    <w:rsid w:val="001338D4"/>
    <w:rsid w:val="001437E5"/>
    <w:rsid w:val="00146424"/>
    <w:rsid w:val="0014711D"/>
    <w:rsid w:val="001571B2"/>
    <w:rsid w:val="00157205"/>
    <w:rsid w:val="00161F29"/>
    <w:rsid w:val="001745E5"/>
    <w:rsid w:val="00183EFA"/>
    <w:rsid w:val="00184DDB"/>
    <w:rsid w:val="001902AC"/>
    <w:rsid w:val="00191CC4"/>
    <w:rsid w:val="001929A9"/>
    <w:rsid w:val="00193A21"/>
    <w:rsid w:val="00194620"/>
    <w:rsid w:val="00196130"/>
    <w:rsid w:val="001A3747"/>
    <w:rsid w:val="001A680A"/>
    <w:rsid w:val="001B419B"/>
    <w:rsid w:val="001B55BE"/>
    <w:rsid w:val="001C5AFC"/>
    <w:rsid w:val="001D3596"/>
    <w:rsid w:val="001E14F9"/>
    <w:rsid w:val="001E2778"/>
    <w:rsid w:val="001E2F26"/>
    <w:rsid w:val="001E4684"/>
    <w:rsid w:val="001E5A80"/>
    <w:rsid w:val="001E6AD0"/>
    <w:rsid w:val="001E73BF"/>
    <w:rsid w:val="001F092E"/>
    <w:rsid w:val="001F1E7E"/>
    <w:rsid w:val="001F6DDF"/>
    <w:rsid w:val="001F79DD"/>
    <w:rsid w:val="001F7AAE"/>
    <w:rsid w:val="002001F1"/>
    <w:rsid w:val="002013AA"/>
    <w:rsid w:val="00212235"/>
    <w:rsid w:val="00234749"/>
    <w:rsid w:val="002452B3"/>
    <w:rsid w:val="0026638A"/>
    <w:rsid w:val="00270C94"/>
    <w:rsid w:val="00270FEC"/>
    <w:rsid w:val="002724FD"/>
    <w:rsid w:val="002805F5"/>
    <w:rsid w:val="00280B9F"/>
    <w:rsid w:val="00281E8A"/>
    <w:rsid w:val="002834E4"/>
    <w:rsid w:val="002844CD"/>
    <w:rsid w:val="0028525E"/>
    <w:rsid w:val="002916EC"/>
    <w:rsid w:val="00293215"/>
    <w:rsid w:val="0029481E"/>
    <w:rsid w:val="0029774E"/>
    <w:rsid w:val="002A09D6"/>
    <w:rsid w:val="002A0AE2"/>
    <w:rsid w:val="002A6709"/>
    <w:rsid w:val="002A743A"/>
    <w:rsid w:val="002B61BC"/>
    <w:rsid w:val="002C3DEA"/>
    <w:rsid w:val="002C78D8"/>
    <w:rsid w:val="002D6B4B"/>
    <w:rsid w:val="002D7B4D"/>
    <w:rsid w:val="002E59E6"/>
    <w:rsid w:val="002F2F2D"/>
    <w:rsid w:val="002F3F0E"/>
    <w:rsid w:val="002F4F49"/>
    <w:rsid w:val="002F5E35"/>
    <w:rsid w:val="002F6832"/>
    <w:rsid w:val="00303A9B"/>
    <w:rsid w:val="00305C57"/>
    <w:rsid w:val="003156BD"/>
    <w:rsid w:val="00315CCE"/>
    <w:rsid w:val="003215B2"/>
    <w:rsid w:val="00327EFF"/>
    <w:rsid w:val="00330192"/>
    <w:rsid w:val="003404A5"/>
    <w:rsid w:val="0034458A"/>
    <w:rsid w:val="0034555B"/>
    <w:rsid w:val="00350862"/>
    <w:rsid w:val="0035217B"/>
    <w:rsid w:val="0035267B"/>
    <w:rsid w:val="003562AD"/>
    <w:rsid w:val="00365065"/>
    <w:rsid w:val="003665A5"/>
    <w:rsid w:val="00373FF1"/>
    <w:rsid w:val="00376FAA"/>
    <w:rsid w:val="0039637D"/>
    <w:rsid w:val="003A1067"/>
    <w:rsid w:val="003A6347"/>
    <w:rsid w:val="003B20BF"/>
    <w:rsid w:val="003B417D"/>
    <w:rsid w:val="003C0B71"/>
    <w:rsid w:val="003C0F96"/>
    <w:rsid w:val="003D444E"/>
    <w:rsid w:val="003E25E1"/>
    <w:rsid w:val="003E6DF4"/>
    <w:rsid w:val="003F0CEB"/>
    <w:rsid w:val="0040772E"/>
    <w:rsid w:val="0041139A"/>
    <w:rsid w:val="00415260"/>
    <w:rsid w:val="00420E3F"/>
    <w:rsid w:val="00426330"/>
    <w:rsid w:val="004266CA"/>
    <w:rsid w:val="004267CA"/>
    <w:rsid w:val="004278F6"/>
    <w:rsid w:val="00437B15"/>
    <w:rsid w:val="0044179C"/>
    <w:rsid w:val="0044277B"/>
    <w:rsid w:val="00443D5F"/>
    <w:rsid w:val="00444C2C"/>
    <w:rsid w:val="00460D32"/>
    <w:rsid w:val="004617E5"/>
    <w:rsid w:val="00462FF5"/>
    <w:rsid w:val="00465B68"/>
    <w:rsid w:val="004733AA"/>
    <w:rsid w:val="004742DC"/>
    <w:rsid w:val="004757C4"/>
    <w:rsid w:val="00483A9B"/>
    <w:rsid w:val="00485E33"/>
    <w:rsid w:val="0048780B"/>
    <w:rsid w:val="00496EE2"/>
    <w:rsid w:val="004A3CB7"/>
    <w:rsid w:val="004A4C9B"/>
    <w:rsid w:val="004B22B4"/>
    <w:rsid w:val="004B7D64"/>
    <w:rsid w:val="004C1E8C"/>
    <w:rsid w:val="004C749F"/>
    <w:rsid w:val="004E36AC"/>
    <w:rsid w:val="004F007A"/>
    <w:rsid w:val="004F58DD"/>
    <w:rsid w:val="004F67EE"/>
    <w:rsid w:val="004F6B0B"/>
    <w:rsid w:val="004F73D9"/>
    <w:rsid w:val="00501537"/>
    <w:rsid w:val="005025E3"/>
    <w:rsid w:val="00506461"/>
    <w:rsid w:val="0051496D"/>
    <w:rsid w:val="00515864"/>
    <w:rsid w:val="00516C75"/>
    <w:rsid w:val="0052667E"/>
    <w:rsid w:val="00526A9A"/>
    <w:rsid w:val="00542716"/>
    <w:rsid w:val="0054422F"/>
    <w:rsid w:val="00557046"/>
    <w:rsid w:val="0056544A"/>
    <w:rsid w:val="005667B5"/>
    <w:rsid w:val="005668DE"/>
    <w:rsid w:val="005670B1"/>
    <w:rsid w:val="005678B1"/>
    <w:rsid w:val="00570E01"/>
    <w:rsid w:val="00574F76"/>
    <w:rsid w:val="00580659"/>
    <w:rsid w:val="005823DB"/>
    <w:rsid w:val="00592EFD"/>
    <w:rsid w:val="0059545E"/>
    <w:rsid w:val="00595E1A"/>
    <w:rsid w:val="00595F32"/>
    <w:rsid w:val="00596695"/>
    <w:rsid w:val="00596C15"/>
    <w:rsid w:val="00596D57"/>
    <w:rsid w:val="005A3A29"/>
    <w:rsid w:val="005A41EA"/>
    <w:rsid w:val="005A5CB9"/>
    <w:rsid w:val="005B0901"/>
    <w:rsid w:val="005B704C"/>
    <w:rsid w:val="005C19A0"/>
    <w:rsid w:val="005C505D"/>
    <w:rsid w:val="005C5937"/>
    <w:rsid w:val="005D272B"/>
    <w:rsid w:val="005E18D8"/>
    <w:rsid w:val="005E53F2"/>
    <w:rsid w:val="005F757D"/>
    <w:rsid w:val="00606382"/>
    <w:rsid w:val="006066E4"/>
    <w:rsid w:val="00607CB2"/>
    <w:rsid w:val="006103B9"/>
    <w:rsid w:val="00612737"/>
    <w:rsid w:val="0061375F"/>
    <w:rsid w:val="00613B5A"/>
    <w:rsid w:val="00620E7F"/>
    <w:rsid w:val="00625DC5"/>
    <w:rsid w:val="006410C2"/>
    <w:rsid w:val="006447CC"/>
    <w:rsid w:val="00650AE3"/>
    <w:rsid w:val="00650B85"/>
    <w:rsid w:val="00654457"/>
    <w:rsid w:val="00657FC9"/>
    <w:rsid w:val="0067042F"/>
    <w:rsid w:val="00671A72"/>
    <w:rsid w:val="00675262"/>
    <w:rsid w:val="00682F3F"/>
    <w:rsid w:val="00690479"/>
    <w:rsid w:val="00693066"/>
    <w:rsid w:val="00696A65"/>
    <w:rsid w:val="006A0F13"/>
    <w:rsid w:val="006A0F64"/>
    <w:rsid w:val="006A205B"/>
    <w:rsid w:val="006A3F65"/>
    <w:rsid w:val="006A4991"/>
    <w:rsid w:val="006A4DFF"/>
    <w:rsid w:val="006B6617"/>
    <w:rsid w:val="006B6CB8"/>
    <w:rsid w:val="006B7906"/>
    <w:rsid w:val="006C0FB3"/>
    <w:rsid w:val="006C42EF"/>
    <w:rsid w:val="006C51FE"/>
    <w:rsid w:val="006E3EE8"/>
    <w:rsid w:val="006E4AB4"/>
    <w:rsid w:val="006F4625"/>
    <w:rsid w:val="006F6A9F"/>
    <w:rsid w:val="006F7C8B"/>
    <w:rsid w:val="0070323E"/>
    <w:rsid w:val="007068B3"/>
    <w:rsid w:val="00710699"/>
    <w:rsid w:val="00710E60"/>
    <w:rsid w:val="00714844"/>
    <w:rsid w:val="00714C52"/>
    <w:rsid w:val="00720BDF"/>
    <w:rsid w:val="00721176"/>
    <w:rsid w:val="00724665"/>
    <w:rsid w:val="007261C5"/>
    <w:rsid w:val="00727274"/>
    <w:rsid w:val="00737240"/>
    <w:rsid w:val="00747BF5"/>
    <w:rsid w:val="0075088B"/>
    <w:rsid w:val="007609D6"/>
    <w:rsid w:val="00765D01"/>
    <w:rsid w:val="00767BBE"/>
    <w:rsid w:val="007709C8"/>
    <w:rsid w:val="00772344"/>
    <w:rsid w:val="00772AEB"/>
    <w:rsid w:val="00777264"/>
    <w:rsid w:val="00781763"/>
    <w:rsid w:val="00783CF3"/>
    <w:rsid w:val="007873B2"/>
    <w:rsid w:val="00790A09"/>
    <w:rsid w:val="007914A1"/>
    <w:rsid w:val="007916DD"/>
    <w:rsid w:val="00791C71"/>
    <w:rsid w:val="007A1915"/>
    <w:rsid w:val="007A32C1"/>
    <w:rsid w:val="007B5B67"/>
    <w:rsid w:val="007B6088"/>
    <w:rsid w:val="007B735C"/>
    <w:rsid w:val="007C122D"/>
    <w:rsid w:val="007C5434"/>
    <w:rsid w:val="007E0D25"/>
    <w:rsid w:val="007E4C28"/>
    <w:rsid w:val="00806A82"/>
    <w:rsid w:val="00815E96"/>
    <w:rsid w:val="00816823"/>
    <w:rsid w:val="0082545D"/>
    <w:rsid w:val="008305F2"/>
    <w:rsid w:val="00835476"/>
    <w:rsid w:val="00840980"/>
    <w:rsid w:val="00851752"/>
    <w:rsid w:val="008519A6"/>
    <w:rsid w:val="00864A73"/>
    <w:rsid w:val="008657EC"/>
    <w:rsid w:val="00870778"/>
    <w:rsid w:val="008711B4"/>
    <w:rsid w:val="00875F86"/>
    <w:rsid w:val="00880464"/>
    <w:rsid w:val="008815D2"/>
    <w:rsid w:val="00883E5E"/>
    <w:rsid w:val="008925B9"/>
    <w:rsid w:val="00892F8D"/>
    <w:rsid w:val="008A4536"/>
    <w:rsid w:val="008A52EE"/>
    <w:rsid w:val="008A5970"/>
    <w:rsid w:val="008A619D"/>
    <w:rsid w:val="008B16C3"/>
    <w:rsid w:val="008B30A6"/>
    <w:rsid w:val="008B3AE3"/>
    <w:rsid w:val="008B6389"/>
    <w:rsid w:val="008C2F43"/>
    <w:rsid w:val="008C2F87"/>
    <w:rsid w:val="008C3AD0"/>
    <w:rsid w:val="008D2908"/>
    <w:rsid w:val="008D450F"/>
    <w:rsid w:val="008D5EB6"/>
    <w:rsid w:val="008E29DF"/>
    <w:rsid w:val="008E4BA6"/>
    <w:rsid w:val="008F23EF"/>
    <w:rsid w:val="008F2A38"/>
    <w:rsid w:val="008F5507"/>
    <w:rsid w:val="0090155F"/>
    <w:rsid w:val="0091465A"/>
    <w:rsid w:val="00917020"/>
    <w:rsid w:val="00923B87"/>
    <w:rsid w:val="00923D90"/>
    <w:rsid w:val="00927042"/>
    <w:rsid w:val="00933858"/>
    <w:rsid w:val="009363B6"/>
    <w:rsid w:val="00940054"/>
    <w:rsid w:val="00941526"/>
    <w:rsid w:val="00946773"/>
    <w:rsid w:val="00961A03"/>
    <w:rsid w:val="00971DD3"/>
    <w:rsid w:val="00982611"/>
    <w:rsid w:val="00993428"/>
    <w:rsid w:val="00995089"/>
    <w:rsid w:val="009A0922"/>
    <w:rsid w:val="009A34B9"/>
    <w:rsid w:val="009A3C50"/>
    <w:rsid w:val="009B0B22"/>
    <w:rsid w:val="009B54DB"/>
    <w:rsid w:val="009C741D"/>
    <w:rsid w:val="009C75C2"/>
    <w:rsid w:val="009D1AC7"/>
    <w:rsid w:val="009D7142"/>
    <w:rsid w:val="009E076B"/>
    <w:rsid w:val="009E22BE"/>
    <w:rsid w:val="009E344D"/>
    <w:rsid w:val="009E7AD6"/>
    <w:rsid w:val="009F0BB0"/>
    <w:rsid w:val="00A05E58"/>
    <w:rsid w:val="00A079F7"/>
    <w:rsid w:val="00A10920"/>
    <w:rsid w:val="00A10DF6"/>
    <w:rsid w:val="00A1687F"/>
    <w:rsid w:val="00A2489D"/>
    <w:rsid w:val="00A26C35"/>
    <w:rsid w:val="00A273A3"/>
    <w:rsid w:val="00A302A3"/>
    <w:rsid w:val="00A302FD"/>
    <w:rsid w:val="00A30CC2"/>
    <w:rsid w:val="00A32438"/>
    <w:rsid w:val="00A37D2B"/>
    <w:rsid w:val="00A42F29"/>
    <w:rsid w:val="00A530EA"/>
    <w:rsid w:val="00A56B4F"/>
    <w:rsid w:val="00A57166"/>
    <w:rsid w:val="00A6751F"/>
    <w:rsid w:val="00A71654"/>
    <w:rsid w:val="00A71ECC"/>
    <w:rsid w:val="00A721F8"/>
    <w:rsid w:val="00A733F0"/>
    <w:rsid w:val="00A73AB4"/>
    <w:rsid w:val="00A73C35"/>
    <w:rsid w:val="00A73DC1"/>
    <w:rsid w:val="00A74656"/>
    <w:rsid w:val="00A82940"/>
    <w:rsid w:val="00A8638E"/>
    <w:rsid w:val="00A87CC9"/>
    <w:rsid w:val="00A90C19"/>
    <w:rsid w:val="00AA2E66"/>
    <w:rsid w:val="00AA7513"/>
    <w:rsid w:val="00AA7733"/>
    <w:rsid w:val="00AB0C20"/>
    <w:rsid w:val="00AB1F5F"/>
    <w:rsid w:val="00AB4753"/>
    <w:rsid w:val="00AB51CA"/>
    <w:rsid w:val="00AB5ECC"/>
    <w:rsid w:val="00AB63ED"/>
    <w:rsid w:val="00AC1227"/>
    <w:rsid w:val="00AC20BF"/>
    <w:rsid w:val="00AC37E7"/>
    <w:rsid w:val="00AC3FCA"/>
    <w:rsid w:val="00AC60DC"/>
    <w:rsid w:val="00AC6467"/>
    <w:rsid w:val="00AD3696"/>
    <w:rsid w:val="00AD47FD"/>
    <w:rsid w:val="00AD781B"/>
    <w:rsid w:val="00AE051B"/>
    <w:rsid w:val="00AE27AB"/>
    <w:rsid w:val="00AE2EC1"/>
    <w:rsid w:val="00AF06A7"/>
    <w:rsid w:val="00AF2865"/>
    <w:rsid w:val="00AF71DD"/>
    <w:rsid w:val="00B020E4"/>
    <w:rsid w:val="00B06958"/>
    <w:rsid w:val="00B07749"/>
    <w:rsid w:val="00B14414"/>
    <w:rsid w:val="00B15DEE"/>
    <w:rsid w:val="00B2655F"/>
    <w:rsid w:val="00B3322A"/>
    <w:rsid w:val="00B34D85"/>
    <w:rsid w:val="00B37246"/>
    <w:rsid w:val="00B41643"/>
    <w:rsid w:val="00B4466E"/>
    <w:rsid w:val="00B51649"/>
    <w:rsid w:val="00B54CF0"/>
    <w:rsid w:val="00B66E9C"/>
    <w:rsid w:val="00B706E7"/>
    <w:rsid w:val="00B774AE"/>
    <w:rsid w:val="00B8089A"/>
    <w:rsid w:val="00B81BCA"/>
    <w:rsid w:val="00B943B1"/>
    <w:rsid w:val="00B97164"/>
    <w:rsid w:val="00BA36C0"/>
    <w:rsid w:val="00BA39E1"/>
    <w:rsid w:val="00BA5451"/>
    <w:rsid w:val="00BB3BBA"/>
    <w:rsid w:val="00BB4B2B"/>
    <w:rsid w:val="00BB7248"/>
    <w:rsid w:val="00BC0C03"/>
    <w:rsid w:val="00BC7CCE"/>
    <w:rsid w:val="00BE3CEA"/>
    <w:rsid w:val="00BF6C77"/>
    <w:rsid w:val="00C00A1F"/>
    <w:rsid w:val="00C02709"/>
    <w:rsid w:val="00C029E9"/>
    <w:rsid w:val="00C059B3"/>
    <w:rsid w:val="00C1213A"/>
    <w:rsid w:val="00C12F19"/>
    <w:rsid w:val="00C13F75"/>
    <w:rsid w:val="00C177CF"/>
    <w:rsid w:val="00C249C3"/>
    <w:rsid w:val="00C45274"/>
    <w:rsid w:val="00C522A3"/>
    <w:rsid w:val="00C53FAA"/>
    <w:rsid w:val="00C54238"/>
    <w:rsid w:val="00C54B2A"/>
    <w:rsid w:val="00C6060C"/>
    <w:rsid w:val="00C7042E"/>
    <w:rsid w:val="00C7263E"/>
    <w:rsid w:val="00C81FC0"/>
    <w:rsid w:val="00C84E72"/>
    <w:rsid w:val="00C97261"/>
    <w:rsid w:val="00CA08A4"/>
    <w:rsid w:val="00CA314B"/>
    <w:rsid w:val="00CA3CCE"/>
    <w:rsid w:val="00CB0E8F"/>
    <w:rsid w:val="00CB3ADC"/>
    <w:rsid w:val="00CB3F06"/>
    <w:rsid w:val="00CC4C3C"/>
    <w:rsid w:val="00CD0372"/>
    <w:rsid w:val="00CD68C2"/>
    <w:rsid w:val="00CF5178"/>
    <w:rsid w:val="00D01698"/>
    <w:rsid w:val="00D028AF"/>
    <w:rsid w:val="00D108D0"/>
    <w:rsid w:val="00D109CD"/>
    <w:rsid w:val="00D13EAB"/>
    <w:rsid w:val="00D24073"/>
    <w:rsid w:val="00D46796"/>
    <w:rsid w:val="00D46DC7"/>
    <w:rsid w:val="00D46F17"/>
    <w:rsid w:val="00D47A48"/>
    <w:rsid w:val="00D52FCB"/>
    <w:rsid w:val="00D53509"/>
    <w:rsid w:val="00D56D8B"/>
    <w:rsid w:val="00D6027F"/>
    <w:rsid w:val="00D61D97"/>
    <w:rsid w:val="00D6382D"/>
    <w:rsid w:val="00D641EF"/>
    <w:rsid w:val="00D656D1"/>
    <w:rsid w:val="00D70133"/>
    <w:rsid w:val="00D71B5E"/>
    <w:rsid w:val="00D720E8"/>
    <w:rsid w:val="00D77C3D"/>
    <w:rsid w:val="00D817D0"/>
    <w:rsid w:val="00D846FF"/>
    <w:rsid w:val="00D85E14"/>
    <w:rsid w:val="00D86D7C"/>
    <w:rsid w:val="00D87B9C"/>
    <w:rsid w:val="00D9120B"/>
    <w:rsid w:val="00D92DAB"/>
    <w:rsid w:val="00DA1C23"/>
    <w:rsid w:val="00DA35FD"/>
    <w:rsid w:val="00DA394E"/>
    <w:rsid w:val="00DA4493"/>
    <w:rsid w:val="00DA6706"/>
    <w:rsid w:val="00DA7062"/>
    <w:rsid w:val="00DB090E"/>
    <w:rsid w:val="00DB1158"/>
    <w:rsid w:val="00DB2C59"/>
    <w:rsid w:val="00DB316F"/>
    <w:rsid w:val="00DC657A"/>
    <w:rsid w:val="00DC74E1"/>
    <w:rsid w:val="00DD05C0"/>
    <w:rsid w:val="00DE069E"/>
    <w:rsid w:val="00DE4AA9"/>
    <w:rsid w:val="00DE6693"/>
    <w:rsid w:val="00DF698C"/>
    <w:rsid w:val="00DF6B01"/>
    <w:rsid w:val="00E0161A"/>
    <w:rsid w:val="00E059DE"/>
    <w:rsid w:val="00E06FB5"/>
    <w:rsid w:val="00E144FD"/>
    <w:rsid w:val="00E20822"/>
    <w:rsid w:val="00E230C3"/>
    <w:rsid w:val="00E3007C"/>
    <w:rsid w:val="00E300C1"/>
    <w:rsid w:val="00E3349A"/>
    <w:rsid w:val="00E34A39"/>
    <w:rsid w:val="00E35C85"/>
    <w:rsid w:val="00E37D97"/>
    <w:rsid w:val="00E40810"/>
    <w:rsid w:val="00E45281"/>
    <w:rsid w:val="00E4573F"/>
    <w:rsid w:val="00E45E07"/>
    <w:rsid w:val="00E51BDB"/>
    <w:rsid w:val="00E55391"/>
    <w:rsid w:val="00E55D30"/>
    <w:rsid w:val="00E65B3B"/>
    <w:rsid w:val="00E75155"/>
    <w:rsid w:val="00E80289"/>
    <w:rsid w:val="00E80CB8"/>
    <w:rsid w:val="00E9272D"/>
    <w:rsid w:val="00E9312A"/>
    <w:rsid w:val="00E959F4"/>
    <w:rsid w:val="00EA04DB"/>
    <w:rsid w:val="00EA5480"/>
    <w:rsid w:val="00EB0620"/>
    <w:rsid w:val="00EB4E0D"/>
    <w:rsid w:val="00EB5CDC"/>
    <w:rsid w:val="00EC09C1"/>
    <w:rsid w:val="00ED1432"/>
    <w:rsid w:val="00ED24DC"/>
    <w:rsid w:val="00ED6EE0"/>
    <w:rsid w:val="00EE661E"/>
    <w:rsid w:val="00EF0A61"/>
    <w:rsid w:val="00EF3EB5"/>
    <w:rsid w:val="00EF4A1F"/>
    <w:rsid w:val="00EF4CCE"/>
    <w:rsid w:val="00F06590"/>
    <w:rsid w:val="00F14E40"/>
    <w:rsid w:val="00F16278"/>
    <w:rsid w:val="00F248DA"/>
    <w:rsid w:val="00F26460"/>
    <w:rsid w:val="00F30786"/>
    <w:rsid w:val="00F30C3B"/>
    <w:rsid w:val="00F548F6"/>
    <w:rsid w:val="00F66C0D"/>
    <w:rsid w:val="00F74C1B"/>
    <w:rsid w:val="00F75AB4"/>
    <w:rsid w:val="00F76058"/>
    <w:rsid w:val="00F81AC6"/>
    <w:rsid w:val="00F8296E"/>
    <w:rsid w:val="00F834AA"/>
    <w:rsid w:val="00F83CE1"/>
    <w:rsid w:val="00F85D9C"/>
    <w:rsid w:val="00F95A29"/>
    <w:rsid w:val="00FA7898"/>
    <w:rsid w:val="00FA7CFE"/>
    <w:rsid w:val="00FB2301"/>
    <w:rsid w:val="00FB2E97"/>
    <w:rsid w:val="00FC4325"/>
    <w:rsid w:val="00FC44DA"/>
    <w:rsid w:val="00FE17E0"/>
    <w:rsid w:val="00FE1F53"/>
    <w:rsid w:val="00FE5867"/>
    <w:rsid w:val="00FF504D"/>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F2118"/>
  <w15:chartTrackingRefBased/>
  <w15:docId w15:val="{7CBF72A9-6CEA-4472-BE95-D145081E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704C"/>
    <w:pPr>
      <w:spacing w:after="0"/>
      <w:ind w:firstLine="284"/>
      <w:jc w:val="both"/>
    </w:pPr>
    <w:rPr>
      <w:rFonts w:ascii="Times New Roman"/>
    </w:rPr>
  </w:style>
  <w:style w:type="paragraph" w:styleId="Heading1">
    <w:name w:val="heading 1"/>
    <w:basedOn w:val="Normal"/>
    <w:next w:val="Normal"/>
    <w:link w:val="Heading1Char"/>
    <w:uiPriority w:val="9"/>
    <w:qFormat/>
    <w:rsid w:val="003F0CEB"/>
    <w:pPr>
      <w:keepNext/>
      <w:keepLines/>
      <w:numPr>
        <w:numId w:val="13"/>
      </w:numPr>
      <w:ind w:left="284" w:hanging="284"/>
      <w:jc w:val="left"/>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EA5480"/>
    <w:pPr>
      <w:keepNext/>
      <w:keepLines/>
      <w:spacing w:before="40"/>
      <w:ind w:firstLine="0"/>
      <w:outlineLvl w:val="1"/>
    </w:pPr>
    <w:rPr>
      <w:rFonts w:eastAsiaTheme="majorEastAsia" w:cstheme="majorBidi"/>
      <w:i/>
      <w:color w:val="000000" w:themeColor="text1"/>
      <w:szCs w:val="26"/>
    </w:rPr>
  </w:style>
  <w:style w:type="paragraph" w:styleId="Heading3">
    <w:name w:val="heading 3"/>
    <w:basedOn w:val="Normal"/>
    <w:next w:val="Normal"/>
    <w:link w:val="Heading3Char"/>
    <w:uiPriority w:val="9"/>
    <w:semiHidden/>
    <w:unhideWhenUsed/>
    <w:qFormat/>
    <w:rsid w:val="001147E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FE17E0"/>
    <w:pPr>
      <w:overflowPunct w:val="0"/>
      <w:autoSpaceDE w:val="0"/>
      <w:autoSpaceDN w:val="0"/>
      <w:adjustRightInd w:val="0"/>
      <w:spacing w:before="240" w:line="240" w:lineRule="atLeast"/>
      <w:textAlignment w:val="baseline"/>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526"/>
    <w:pPr>
      <w:ind w:left="720"/>
      <w:contextualSpacing/>
    </w:pPr>
  </w:style>
  <w:style w:type="character" w:styleId="CommentReference">
    <w:name w:val="annotation reference"/>
    <w:basedOn w:val="DefaultParagraphFont"/>
    <w:uiPriority w:val="99"/>
    <w:semiHidden/>
    <w:unhideWhenUsed/>
    <w:rsid w:val="0054422F"/>
    <w:rPr>
      <w:sz w:val="16"/>
      <w:szCs w:val="16"/>
    </w:rPr>
  </w:style>
  <w:style w:type="paragraph" w:styleId="CommentText">
    <w:name w:val="annotation text"/>
    <w:basedOn w:val="Normal"/>
    <w:link w:val="CommentTextChar"/>
    <w:uiPriority w:val="99"/>
    <w:unhideWhenUsed/>
    <w:rsid w:val="0054422F"/>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54422F"/>
    <w:rPr>
      <w:rFonts w:ascii="Calibri" w:hAnsi="Calibri"/>
      <w:sz w:val="20"/>
      <w:szCs w:val="20"/>
    </w:rPr>
  </w:style>
  <w:style w:type="paragraph" w:styleId="BalloonText">
    <w:name w:val="Balloon Text"/>
    <w:basedOn w:val="Normal"/>
    <w:link w:val="BalloonTextChar"/>
    <w:uiPriority w:val="99"/>
    <w:semiHidden/>
    <w:unhideWhenUsed/>
    <w:rsid w:val="005442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22F"/>
    <w:rPr>
      <w:rFonts w:ascii="Segoe UI" w:hAnsi="Segoe UI" w:cs="Segoe UI"/>
      <w:sz w:val="18"/>
      <w:szCs w:val="18"/>
    </w:rPr>
  </w:style>
  <w:style w:type="table" w:styleId="TableGrid">
    <w:name w:val="Table Grid"/>
    <w:basedOn w:val="TableNormal"/>
    <w:uiPriority w:val="39"/>
    <w:rsid w:val="00670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0CEB"/>
    <w:rPr>
      <w:rFonts w:ascii="Times New Roman" w:eastAsiaTheme="majorEastAsia" w:cstheme="majorBidi"/>
      <w:b/>
      <w:color w:val="000000" w:themeColor="text1"/>
      <w:szCs w:val="32"/>
    </w:rPr>
  </w:style>
  <w:style w:type="character" w:customStyle="1" w:styleId="Heading2Char">
    <w:name w:val="Heading 2 Char"/>
    <w:basedOn w:val="DefaultParagraphFont"/>
    <w:link w:val="Heading2"/>
    <w:uiPriority w:val="9"/>
    <w:rsid w:val="00EA5480"/>
    <w:rPr>
      <w:rFonts w:ascii="Times New Roman" w:eastAsiaTheme="majorEastAsia" w:cstheme="majorBidi"/>
      <w:i/>
      <w:color w:val="000000" w:themeColor="text1"/>
      <w:szCs w:val="26"/>
    </w:rPr>
  </w:style>
  <w:style w:type="paragraph" w:styleId="BodyText">
    <w:name w:val="Body Text"/>
    <w:basedOn w:val="Normal"/>
    <w:link w:val="BodyTextChar"/>
    <w:uiPriority w:val="99"/>
    <w:unhideWhenUsed/>
    <w:rsid w:val="00625DC5"/>
    <w:pPr>
      <w:spacing w:after="120"/>
    </w:pPr>
  </w:style>
  <w:style w:type="character" w:customStyle="1" w:styleId="BodyTextChar">
    <w:name w:val="Body Text Char"/>
    <w:basedOn w:val="DefaultParagraphFont"/>
    <w:link w:val="BodyText"/>
    <w:uiPriority w:val="99"/>
    <w:rsid w:val="00625DC5"/>
  </w:style>
  <w:style w:type="paragraph" w:styleId="Caption">
    <w:name w:val="caption"/>
    <w:basedOn w:val="Normal"/>
    <w:next w:val="Normal"/>
    <w:uiPriority w:val="35"/>
    <w:unhideWhenUsed/>
    <w:qFormat/>
    <w:rsid w:val="008815D2"/>
    <w:pPr>
      <w:spacing w:after="200" w:line="240" w:lineRule="auto"/>
    </w:pPr>
    <w:rPr>
      <w:i/>
      <w:iCs/>
      <w:color w:val="000000" w:themeColor="text1"/>
      <w:sz w:val="18"/>
      <w:szCs w:val="18"/>
    </w:rPr>
  </w:style>
  <w:style w:type="character" w:styleId="PlaceholderText">
    <w:name w:val="Placeholder Text"/>
    <w:basedOn w:val="DefaultParagraphFont"/>
    <w:uiPriority w:val="99"/>
    <w:semiHidden/>
    <w:rsid w:val="0075088B"/>
    <w:rPr>
      <w:color w:val="808080"/>
    </w:rPr>
  </w:style>
  <w:style w:type="character" w:customStyle="1" w:styleId="Heading4Char">
    <w:name w:val="Heading 4 Char"/>
    <w:basedOn w:val="DefaultParagraphFont"/>
    <w:link w:val="Heading4"/>
    <w:rsid w:val="00FE17E0"/>
    <w:rPr>
      <w:rFonts w:ascii="Times New Roman"/>
      <w:sz w:val="20"/>
      <w:szCs w:val="20"/>
    </w:rPr>
  </w:style>
  <w:style w:type="paragraph" w:customStyle="1" w:styleId="equation">
    <w:name w:val="equation"/>
    <w:basedOn w:val="Normal"/>
    <w:next w:val="Normal"/>
    <w:rsid w:val="00FE17E0"/>
    <w:pPr>
      <w:tabs>
        <w:tab w:val="center" w:pos="3289"/>
        <w:tab w:val="right" w:pos="6917"/>
      </w:tabs>
      <w:overflowPunct w:val="0"/>
      <w:autoSpaceDE w:val="0"/>
      <w:autoSpaceDN w:val="0"/>
      <w:adjustRightInd w:val="0"/>
      <w:spacing w:before="160" w:line="240" w:lineRule="atLeast"/>
      <w:textAlignment w:val="baseline"/>
    </w:pPr>
    <w:rPr>
      <w:sz w:val="20"/>
      <w:szCs w:val="20"/>
    </w:rPr>
  </w:style>
  <w:style w:type="character" w:customStyle="1" w:styleId="heading40">
    <w:name w:val="heading4"/>
    <w:basedOn w:val="DefaultParagraphFont"/>
    <w:rsid w:val="00FE17E0"/>
    <w:rPr>
      <w:i/>
    </w:rPr>
  </w:style>
  <w:style w:type="character" w:customStyle="1" w:styleId="Heading3Char">
    <w:name w:val="Heading 3 Char"/>
    <w:basedOn w:val="DefaultParagraphFont"/>
    <w:link w:val="Heading3"/>
    <w:uiPriority w:val="9"/>
    <w:semiHidden/>
    <w:rsid w:val="001147E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94620"/>
    <w:rPr>
      <w:color w:val="0563C1" w:themeColor="hyperlink"/>
      <w:u w:val="single"/>
    </w:rPr>
  </w:style>
  <w:style w:type="character" w:customStyle="1" w:styleId="Nvner1">
    <w:name w:val="Nævner1"/>
    <w:basedOn w:val="DefaultParagraphFont"/>
    <w:uiPriority w:val="99"/>
    <w:semiHidden/>
    <w:unhideWhenUsed/>
    <w:rsid w:val="00194620"/>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0740B2"/>
    <w:pPr>
      <w:spacing w:after="160"/>
    </w:pPr>
    <w:rPr>
      <w:rFonts w:asciiTheme="minorHAnsi" w:hAnsi="Times New Roman"/>
      <w:b/>
      <w:bCs/>
    </w:rPr>
  </w:style>
  <w:style w:type="character" w:customStyle="1" w:styleId="CommentSubjectChar">
    <w:name w:val="Comment Subject Char"/>
    <w:basedOn w:val="CommentTextChar"/>
    <w:link w:val="CommentSubject"/>
    <w:uiPriority w:val="99"/>
    <w:semiHidden/>
    <w:rsid w:val="000740B2"/>
    <w:rPr>
      <w:rFonts w:ascii="Calibri" w:hAnsi="Calibri"/>
      <w:b/>
      <w:bCs/>
      <w:sz w:val="20"/>
      <w:szCs w:val="20"/>
    </w:rPr>
  </w:style>
  <w:style w:type="paragraph" w:styleId="Footer">
    <w:name w:val="footer"/>
    <w:basedOn w:val="Normal"/>
    <w:link w:val="FooterChar"/>
    <w:uiPriority w:val="99"/>
    <w:unhideWhenUsed/>
    <w:rsid w:val="006A205B"/>
    <w:pPr>
      <w:tabs>
        <w:tab w:val="center" w:pos="4819"/>
        <w:tab w:val="right" w:pos="9638"/>
      </w:tabs>
      <w:spacing w:line="240" w:lineRule="auto"/>
    </w:pPr>
  </w:style>
  <w:style w:type="character" w:customStyle="1" w:styleId="FooterChar">
    <w:name w:val="Footer Char"/>
    <w:basedOn w:val="DefaultParagraphFont"/>
    <w:link w:val="Footer"/>
    <w:uiPriority w:val="99"/>
    <w:rsid w:val="006A205B"/>
    <w:rPr>
      <w:rFonts w:ascii="Times New Roman"/>
    </w:rPr>
  </w:style>
  <w:style w:type="character" w:styleId="PageNumber">
    <w:name w:val="page number"/>
    <w:basedOn w:val="DefaultParagraphFont"/>
    <w:uiPriority w:val="99"/>
    <w:semiHidden/>
    <w:unhideWhenUsed/>
    <w:rsid w:val="006A205B"/>
  </w:style>
  <w:style w:type="paragraph" w:customStyle="1" w:styleId="EndNoteBibliographyTitle">
    <w:name w:val="EndNote Bibliography Title"/>
    <w:basedOn w:val="Normal"/>
    <w:rsid w:val="005670B1"/>
    <w:pPr>
      <w:jc w:val="center"/>
    </w:pPr>
  </w:style>
  <w:style w:type="paragraph" w:customStyle="1" w:styleId="EndNoteBibliography">
    <w:name w:val="EndNote Bibliography"/>
    <w:basedOn w:val="Normal"/>
    <w:rsid w:val="005670B1"/>
    <w:pPr>
      <w:spacing w:line="240" w:lineRule="auto"/>
    </w:pPr>
  </w:style>
  <w:style w:type="paragraph" w:styleId="NormalWeb">
    <w:name w:val="Normal (Web)"/>
    <w:basedOn w:val="Normal"/>
    <w:uiPriority w:val="99"/>
    <w:semiHidden/>
    <w:unhideWhenUsed/>
    <w:rsid w:val="001F7AAE"/>
    <w:pPr>
      <w:spacing w:before="100" w:beforeAutospacing="1" w:after="100" w:afterAutospacing="1" w:line="240" w:lineRule="auto"/>
      <w:ind w:firstLine="0"/>
      <w:jc w:val="left"/>
    </w:pPr>
    <w:rPr>
      <w:rFonts w:eastAsiaTheme="minorEastAsia"/>
      <w:sz w:val="24"/>
      <w:szCs w:val="24"/>
    </w:rPr>
  </w:style>
  <w:style w:type="character" w:styleId="LineNumber">
    <w:name w:val="line number"/>
    <w:basedOn w:val="DefaultParagraphFont"/>
    <w:uiPriority w:val="99"/>
    <w:semiHidden/>
    <w:unhideWhenUsed/>
    <w:rsid w:val="0034458A"/>
  </w:style>
  <w:style w:type="paragraph" w:styleId="FootnoteText">
    <w:name w:val="footnote text"/>
    <w:basedOn w:val="Normal"/>
    <w:link w:val="FootnoteTextChar"/>
    <w:uiPriority w:val="99"/>
    <w:unhideWhenUsed/>
    <w:rsid w:val="00940054"/>
    <w:pPr>
      <w:spacing w:line="240" w:lineRule="auto"/>
    </w:pPr>
    <w:rPr>
      <w:sz w:val="24"/>
      <w:szCs w:val="24"/>
    </w:rPr>
  </w:style>
  <w:style w:type="character" w:customStyle="1" w:styleId="FootnoteTextChar">
    <w:name w:val="Footnote Text Char"/>
    <w:basedOn w:val="DefaultParagraphFont"/>
    <w:link w:val="FootnoteText"/>
    <w:uiPriority w:val="99"/>
    <w:rsid w:val="00940054"/>
    <w:rPr>
      <w:rFonts w:ascii="Times New Roman"/>
      <w:sz w:val="24"/>
      <w:szCs w:val="24"/>
    </w:rPr>
  </w:style>
  <w:style w:type="character" w:styleId="FootnoteReference">
    <w:name w:val="footnote reference"/>
    <w:basedOn w:val="DefaultParagraphFont"/>
    <w:uiPriority w:val="99"/>
    <w:unhideWhenUsed/>
    <w:rsid w:val="00940054"/>
    <w:rPr>
      <w:vertAlign w:val="superscript"/>
    </w:rPr>
  </w:style>
  <w:style w:type="paragraph" w:styleId="Revision">
    <w:name w:val="Revision"/>
    <w:hidden/>
    <w:uiPriority w:val="99"/>
    <w:semiHidden/>
    <w:rsid w:val="00816823"/>
    <w:pPr>
      <w:spacing w:after="0" w:line="240" w:lineRule="auto"/>
    </w:pPr>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31863">
      <w:bodyDiv w:val="1"/>
      <w:marLeft w:val="0"/>
      <w:marRight w:val="0"/>
      <w:marTop w:val="0"/>
      <w:marBottom w:val="0"/>
      <w:divBdr>
        <w:top w:val="none" w:sz="0" w:space="0" w:color="auto"/>
        <w:left w:val="none" w:sz="0" w:space="0" w:color="auto"/>
        <w:bottom w:val="none" w:sz="0" w:space="0" w:color="auto"/>
        <w:right w:val="none" w:sz="0" w:space="0" w:color="auto"/>
      </w:divBdr>
    </w:div>
    <w:div w:id="351609689">
      <w:bodyDiv w:val="1"/>
      <w:marLeft w:val="0"/>
      <w:marRight w:val="0"/>
      <w:marTop w:val="0"/>
      <w:marBottom w:val="0"/>
      <w:divBdr>
        <w:top w:val="none" w:sz="0" w:space="0" w:color="auto"/>
        <w:left w:val="none" w:sz="0" w:space="0" w:color="auto"/>
        <w:bottom w:val="none" w:sz="0" w:space="0" w:color="auto"/>
        <w:right w:val="none" w:sz="0" w:space="0" w:color="auto"/>
      </w:divBdr>
    </w:div>
    <w:div w:id="610434428">
      <w:bodyDiv w:val="1"/>
      <w:marLeft w:val="0"/>
      <w:marRight w:val="0"/>
      <w:marTop w:val="0"/>
      <w:marBottom w:val="0"/>
      <w:divBdr>
        <w:top w:val="none" w:sz="0" w:space="0" w:color="auto"/>
        <w:left w:val="none" w:sz="0" w:space="0" w:color="auto"/>
        <w:bottom w:val="none" w:sz="0" w:space="0" w:color="auto"/>
        <w:right w:val="none" w:sz="0" w:space="0" w:color="auto"/>
      </w:divBdr>
    </w:div>
    <w:div w:id="1497070324">
      <w:bodyDiv w:val="1"/>
      <w:marLeft w:val="0"/>
      <w:marRight w:val="0"/>
      <w:marTop w:val="0"/>
      <w:marBottom w:val="0"/>
      <w:divBdr>
        <w:top w:val="none" w:sz="0" w:space="0" w:color="auto"/>
        <w:left w:val="none" w:sz="0" w:space="0" w:color="auto"/>
        <w:bottom w:val="none" w:sz="0" w:space="0" w:color="auto"/>
        <w:right w:val="none" w:sz="0" w:space="0" w:color="auto"/>
      </w:divBdr>
    </w:div>
    <w:div w:id="1710718114">
      <w:bodyDiv w:val="1"/>
      <w:marLeft w:val="0"/>
      <w:marRight w:val="0"/>
      <w:marTop w:val="0"/>
      <w:marBottom w:val="0"/>
      <w:divBdr>
        <w:top w:val="none" w:sz="0" w:space="0" w:color="auto"/>
        <w:left w:val="none" w:sz="0" w:space="0" w:color="auto"/>
        <w:bottom w:val="none" w:sz="0" w:space="0" w:color="auto"/>
        <w:right w:val="none" w:sz="0" w:space="0" w:color="auto"/>
      </w:divBdr>
    </w:div>
    <w:div w:id="1786774972">
      <w:bodyDiv w:val="1"/>
      <w:marLeft w:val="0"/>
      <w:marRight w:val="0"/>
      <w:marTop w:val="0"/>
      <w:marBottom w:val="0"/>
      <w:divBdr>
        <w:top w:val="none" w:sz="0" w:space="0" w:color="auto"/>
        <w:left w:val="none" w:sz="0" w:space="0" w:color="auto"/>
        <w:bottom w:val="none" w:sz="0" w:space="0" w:color="auto"/>
        <w:right w:val="none" w:sz="0" w:space="0" w:color="auto"/>
      </w:divBdr>
    </w:div>
    <w:div w:id="19782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nielsen.com/content/dam/nielsenglobal/eu/docs/reports/nielsen-european-trends-report-Q4-2016.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package" Target="embeddings/Microsoft_Visio-tegning111111.vsdx"/><Relationship Id="rId10"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DA91-7F90-A845-BBF3-DF7FBBE0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11620</Words>
  <Characters>69837</Characters>
  <Application>Microsoft Macintosh Word</Application>
  <DocSecurity>0</DocSecurity>
  <Lines>1837</Lines>
  <Paragraphs>857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Kiil</dc:creator>
  <cp:keywords/>
  <dc:description/>
  <cp:lastModifiedBy>Heidi Carin Dreyer</cp:lastModifiedBy>
  <cp:revision>2</cp:revision>
  <cp:lastPrinted>2018-03-16T06:16:00Z</cp:lastPrinted>
  <dcterms:created xsi:type="dcterms:W3CDTF">2018-07-05T08:04:00Z</dcterms:created>
  <dcterms:modified xsi:type="dcterms:W3CDTF">2018-07-05T08:04:00Z</dcterms:modified>
</cp:coreProperties>
</file>