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8BEB1" w14:textId="1A1F78E3" w:rsidR="000E711C" w:rsidRPr="009613E3" w:rsidRDefault="000E711C" w:rsidP="008A61EB">
      <w:pPr>
        <w:pStyle w:val="Title"/>
        <w:jc w:val="center"/>
        <w:rPr>
          <w:rStyle w:val="BookTitle"/>
        </w:rPr>
      </w:pPr>
      <w:bookmarkStart w:id="0" w:name="_GoBack"/>
      <w:bookmarkEnd w:id="0"/>
      <w:r w:rsidRPr="009613E3">
        <w:rPr>
          <w:rStyle w:val="BookTitle"/>
        </w:rPr>
        <w:t>Norway</w:t>
      </w:r>
      <w:r w:rsidR="004D2A0A" w:rsidRPr="009613E3">
        <w:rPr>
          <w:rStyle w:val="BookTitle"/>
        </w:rPr>
        <w:t>’s Role</w:t>
      </w:r>
      <w:r w:rsidR="000C07EF" w:rsidRPr="009613E3">
        <w:rPr>
          <w:rStyle w:val="BookTitle"/>
        </w:rPr>
        <w:t xml:space="preserve"> </w:t>
      </w:r>
      <w:r w:rsidRPr="009613E3">
        <w:rPr>
          <w:rStyle w:val="BookTitle"/>
        </w:rPr>
        <w:t>in the E</w:t>
      </w:r>
      <w:r w:rsidR="00706A9B" w:rsidRPr="009613E3">
        <w:rPr>
          <w:rStyle w:val="BookTitle"/>
        </w:rPr>
        <w:t xml:space="preserve">uropean </w:t>
      </w:r>
      <w:r w:rsidR="0050170D" w:rsidRPr="009613E3">
        <w:rPr>
          <w:rStyle w:val="BookTitle"/>
        </w:rPr>
        <w:t>Energy Transition</w:t>
      </w:r>
    </w:p>
    <w:p w14:paraId="42289712" w14:textId="77777777" w:rsidR="000E711C" w:rsidRPr="0024181B" w:rsidRDefault="000E711C" w:rsidP="005912B7">
      <w:pPr>
        <w:spacing w:before="80" w:after="80"/>
        <w:jc w:val="center"/>
      </w:pPr>
      <w:r w:rsidRPr="0024181B">
        <w:t xml:space="preserve">Ruud Egging </w:t>
      </w:r>
      <w:proofErr w:type="spellStart"/>
      <w:r w:rsidRPr="0024181B">
        <w:rPr>
          <w:vertAlign w:val="superscript"/>
        </w:rPr>
        <w:t>a</w:t>
      </w:r>
      <w:proofErr w:type="gramStart"/>
      <w:r w:rsidRPr="0024181B">
        <w:rPr>
          <w:vertAlign w:val="superscript"/>
        </w:rPr>
        <w:t>,b,c</w:t>
      </w:r>
      <w:proofErr w:type="spellEnd"/>
      <w:proofErr w:type="gramEnd"/>
      <w:r w:rsidR="009549F3">
        <w:t xml:space="preserve"> and </w:t>
      </w:r>
      <w:r w:rsidRPr="0024181B">
        <w:t xml:space="preserve">Asgeir Tomasgard </w:t>
      </w:r>
      <w:proofErr w:type="spellStart"/>
      <w:r w:rsidRPr="0024181B">
        <w:rPr>
          <w:vertAlign w:val="superscript"/>
        </w:rPr>
        <w:t>a,d</w:t>
      </w:r>
      <w:proofErr w:type="spellEnd"/>
    </w:p>
    <w:p w14:paraId="2A385BD7" w14:textId="77777777" w:rsidR="000E711C" w:rsidRPr="0011178E" w:rsidRDefault="000E711C" w:rsidP="0011178E">
      <w:pPr>
        <w:rPr>
          <w:sz w:val="20"/>
        </w:rPr>
      </w:pPr>
      <w:proofErr w:type="spellStart"/>
      <w:proofErr w:type="gramStart"/>
      <w:r w:rsidRPr="0011178E">
        <w:rPr>
          <w:sz w:val="20"/>
        </w:rPr>
        <w:t>a</w:t>
      </w:r>
      <w:proofErr w:type="spellEnd"/>
      <w:proofErr w:type="gramEnd"/>
      <w:r w:rsidRPr="0011178E">
        <w:rPr>
          <w:sz w:val="20"/>
        </w:rPr>
        <w:t xml:space="preserve"> Industrial Economics and Technology Management, </w:t>
      </w:r>
      <w:r w:rsidR="0040034B" w:rsidRPr="0011178E">
        <w:rPr>
          <w:sz w:val="20"/>
        </w:rPr>
        <w:t>NTNU, NO-7491 Trondheim, Norway</w:t>
      </w:r>
      <w:r w:rsidRPr="0011178E">
        <w:rPr>
          <w:sz w:val="20"/>
        </w:rPr>
        <w:t xml:space="preserve">, (F) +47 735 91 045 </w:t>
      </w:r>
    </w:p>
    <w:p w14:paraId="4F2819D3" w14:textId="77777777" w:rsidR="000E711C" w:rsidRPr="0011178E" w:rsidRDefault="000E711C" w:rsidP="0011178E">
      <w:pPr>
        <w:rPr>
          <w:sz w:val="20"/>
        </w:rPr>
      </w:pPr>
      <w:proofErr w:type="gramStart"/>
      <w:r w:rsidRPr="0011178E">
        <w:rPr>
          <w:sz w:val="20"/>
        </w:rPr>
        <w:t>b</w:t>
      </w:r>
      <w:proofErr w:type="gramEnd"/>
      <w:r w:rsidRPr="0011178E">
        <w:rPr>
          <w:sz w:val="20"/>
        </w:rPr>
        <w:t xml:space="preserve"> Associate Editor Energy Strategy Reviews</w:t>
      </w:r>
    </w:p>
    <w:p w14:paraId="5073A1DF" w14:textId="77777777" w:rsidR="000E711C" w:rsidRPr="0011178E" w:rsidRDefault="000E711C" w:rsidP="0011178E">
      <w:pPr>
        <w:rPr>
          <w:sz w:val="20"/>
        </w:rPr>
      </w:pPr>
      <w:proofErr w:type="gramStart"/>
      <w:r w:rsidRPr="0011178E">
        <w:rPr>
          <w:sz w:val="20"/>
        </w:rPr>
        <w:t>c</w:t>
      </w:r>
      <w:proofErr w:type="gramEnd"/>
      <w:r w:rsidRPr="0011178E">
        <w:rPr>
          <w:sz w:val="20"/>
        </w:rPr>
        <w:t xml:space="preserve"> Corresponding editor: ruude-at-ntnu.no</w:t>
      </w:r>
      <w:r w:rsidR="00812807" w:rsidRPr="0011178E">
        <w:rPr>
          <w:sz w:val="20"/>
        </w:rPr>
        <w:t>, (T) +47 735 97 612</w:t>
      </w:r>
    </w:p>
    <w:p w14:paraId="7F15C944" w14:textId="77777777" w:rsidR="000E711C" w:rsidRPr="0011178E" w:rsidRDefault="000E711C" w:rsidP="0011178E">
      <w:pPr>
        <w:rPr>
          <w:sz w:val="20"/>
        </w:rPr>
      </w:pPr>
      <w:proofErr w:type="gramStart"/>
      <w:r w:rsidRPr="0011178E">
        <w:rPr>
          <w:sz w:val="20"/>
        </w:rPr>
        <w:t>d</w:t>
      </w:r>
      <w:proofErr w:type="gramEnd"/>
      <w:r w:rsidRPr="0011178E">
        <w:rPr>
          <w:sz w:val="20"/>
        </w:rPr>
        <w:t xml:space="preserve"> Director of national research </w:t>
      </w:r>
      <w:r w:rsidR="0024181B" w:rsidRPr="0011178E">
        <w:rPr>
          <w:sz w:val="20"/>
        </w:rPr>
        <w:t>center</w:t>
      </w:r>
      <w:r w:rsidRPr="0011178E">
        <w:rPr>
          <w:sz w:val="20"/>
        </w:rPr>
        <w:t xml:space="preserve"> for environment-friendly energy research </w:t>
      </w:r>
      <w:proofErr w:type="spellStart"/>
      <w:r w:rsidRPr="0011178E">
        <w:rPr>
          <w:sz w:val="20"/>
        </w:rPr>
        <w:t>CenSES</w:t>
      </w:r>
      <w:proofErr w:type="spellEnd"/>
      <w:r w:rsidRPr="0011178E">
        <w:rPr>
          <w:sz w:val="20"/>
        </w:rPr>
        <w:t xml:space="preserve"> – Center for Sustainable Energy Studies. </w:t>
      </w:r>
      <w:proofErr w:type="gramStart"/>
      <w:r w:rsidRPr="0011178E">
        <w:rPr>
          <w:sz w:val="20"/>
        </w:rPr>
        <w:t>asgeir.tomasgard-at-ntnu.no</w:t>
      </w:r>
      <w:proofErr w:type="gramEnd"/>
      <w:r w:rsidR="00812807" w:rsidRPr="0011178E">
        <w:rPr>
          <w:sz w:val="20"/>
        </w:rPr>
        <w:t>, (T) +47 735 9</w:t>
      </w:r>
      <w:r w:rsidR="009A3889" w:rsidRPr="0011178E">
        <w:rPr>
          <w:sz w:val="20"/>
        </w:rPr>
        <w:t>1</w:t>
      </w:r>
      <w:r w:rsidR="00812807" w:rsidRPr="0011178E">
        <w:rPr>
          <w:sz w:val="20"/>
        </w:rPr>
        <w:t xml:space="preserve"> </w:t>
      </w:r>
      <w:r w:rsidR="009A3889" w:rsidRPr="0011178E">
        <w:rPr>
          <w:sz w:val="20"/>
        </w:rPr>
        <w:t>267</w:t>
      </w:r>
    </w:p>
    <w:p w14:paraId="01D72D11" w14:textId="77777777" w:rsidR="000E711C" w:rsidRPr="00F337B4" w:rsidRDefault="000E711C" w:rsidP="008A61EB">
      <w:pPr>
        <w:pStyle w:val="Heading1"/>
      </w:pPr>
      <w:r w:rsidRPr="00F337B4">
        <w:t>Abstract</w:t>
      </w:r>
    </w:p>
    <w:p w14:paraId="36E8A64A" w14:textId="2EFBAFAE" w:rsidR="00C16801" w:rsidRPr="0024181B" w:rsidRDefault="00C16801" w:rsidP="0011178E">
      <w:r w:rsidRPr="0024181B">
        <w:t xml:space="preserve">The EU has high ambitions </w:t>
      </w:r>
      <w:r w:rsidR="003F2345">
        <w:t>for</w:t>
      </w:r>
      <w:r w:rsidRPr="0024181B">
        <w:t xml:space="preserve"> its clean energy transition. Reducing </w:t>
      </w:r>
      <w:r w:rsidR="00306CB3">
        <w:t>yearly</w:t>
      </w:r>
      <w:r w:rsidR="00306CB3" w:rsidRPr="0024181B">
        <w:t xml:space="preserve"> </w:t>
      </w:r>
      <w:r w:rsidRPr="0024181B">
        <w:t>CO</w:t>
      </w:r>
      <w:r w:rsidRPr="00226F32">
        <w:rPr>
          <w:vertAlign w:val="subscript"/>
        </w:rPr>
        <w:t>2</w:t>
      </w:r>
      <w:r w:rsidRPr="0024181B">
        <w:t xml:space="preserve"> emissions by 80% </w:t>
      </w:r>
      <w:r w:rsidR="00306CB3">
        <w:t>until</w:t>
      </w:r>
      <w:r w:rsidRPr="0024181B">
        <w:t xml:space="preserve"> 2050 requires large-scale implementation of renewable energy </w:t>
      </w:r>
      <w:r w:rsidR="0024181B">
        <w:t>technologies</w:t>
      </w:r>
      <w:r w:rsidR="0050170D">
        <w:t xml:space="preserve"> and </w:t>
      </w:r>
      <w:r w:rsidR="00134EC4">
        <w:t>like</w:t>
      </w:r>
      <w:r w:rsidR="00AE7D96">
        <w:t>l</w:t>
      </w:r>
      <w:r w:rsidR="00134EC4">
        <w:t>y</w:t>
      </w:r>
      <w:r w:rsidR="00134EC4" w:rsidRPr="0024181B">
        <w:t xml:space="preserve"> </w:t>
      </w:r>
      <w:r w:rsidRPr="0024181B">
        <w:t>a large-scale electrification of non-energy sectors such as transport</w:t>
      </w:r>
      <w:r w:rsidR="0050170D">
        <w:t>ation</w:t>
      </w:r>
      <w:r w:rsidRPr="0024181B">
        <w:t xml:space="preserve">. A major challenge imposed by renewable energy supply is the </w:t>
      </w:r>
      <w:r w:rsidR="0024181B">
        <w:t xml:space="preserve">uncontrollable </w:t>
      </w:r>
      <w:r w:rsidR="009F60E3">
        <w:t xml:space="preserve">and </w:t>
      </w:r>
      <w:r w:rsidRPr="0024181B">
        <w:t>intermittent nature of generation</w:t>
      </w:r>
      <w:r w:rsidR="0024181B">
        <w:t xml:space="preserve">. </w:t>
      </w:r>
      <w:r w:rsidR="00280534">
        <w:t xml:space="preserve">Large flexibility volumes and capacities </w:t>
      </w:r>
      <w:proofErr w:type="gramStart"/>
      <w:r w:rsidR="00280534">
        <w:t>are needed</w:t>
      </w:r>
      <w:proofErr w:type="gramEnd"/>
      <w:r w:rsidR="00280534">
        <w:t xml:space="preserve"> t</w:t>
      </w:r>
      <w:r w:rsidR="009A0A40">
        <w:t>o manage an energy system with high shares of renewables</w:t>
      </w:r>
      <w:r w:rsidR="00280534">
        <w:t>. Norway, w</w:t>
      </w:r>
      <w:r w:rsidR="0024181B" w:rsidRPr="0024181B">
        <w:t xml:space="preserve">ith </w:t>
      </w:r>
      <w:r w:rsidR="00DF617C">
        <w:t>a</w:t>
      </w:r>
      <w:r w:rsidR="00DF617C" w:rsidRPr="0024181B">
        <w:t xml:space="preserve"> </w:t>
      </w:r>
      <w:r w:rsidRPr="0024181B">
        <w:t xml:space="preserve">large hydropower base and </w:t>
      </w:r>
      <w:r w:rsidR="008911AF">
        <w:t xml:space="preserve">flexibility potential in its offshore natural gas transmission </w:t>
      </w:r>
      <w:r w:rsidR="009B33A2">
        <w:t>grid</w:t>
      </w:r>
      <w:r w:rsidR="0050170D">
        <w:t>,</w:t>
      </w:r>
      <w:r w:rsidR="0024181B" w:rsidRPr="0024181B">
        <w:t xml:space="preserve"> can support the EU clean energy transition by providing </w:t>
      </w:r>
      <w:r w:rsidR="008911AF">
        <w:t>much</w:t>
      </w:r>
      <w:r w:rsidR="001028FC">
        <w:t xml:space="preserve"> needed </w:t>
      </w:r>
      <w:r w:rsidR="0024181B" w:rsidRPr="0024181B">
        <w:t>f</w:t>
      </w:r>
      <w:r w:rsidRPr="0024181B">
        <w:t>lexibility and controllability</w:t>
      </w:r>
      <w:r w:rsidR="0024181B">
        <w:t>.</w:t>
      </w:r>
      <w:r w:rsidR="0050170D">
        <w:t xml:space="preserve"> </w:t>
      </w:r>
      <w:r w:rsidR="00A03D50">
        <w:t>This will require expansion</w:t>
      </w:r>
      <w:r w:rsidR="00280534">
        <w:t xml:space="preserve"> of</w:t>
      </w:r>
      <w:r w:rsidR="00A03D50">
        <w:t xml:space="preserve"> hydropower production and transmission capacity a</w:t>
      </w:r>
      <w:r w:rsidR="00D308CF">
        <w:t>s well as</w:t>
      </w:r>
      <w:r w:rsidR="00A03D50">
        <w:t xml:space="preserve"> </w:t>
      </w:r>
      <w:r w:rsidR="00D04FA6">
        <w:t xml:space="preserve">altered </w:t>
      </w:r>
      <w:r w:rsidR="00D308CF">
        <w:t xml:space="preserve">management of </w:t>
      </w:r>
      <w:r w:rsidR="00A03D50">
        <w:t xml:space="preserve">gas </w:t>
      </w:r>
      <w:r w:rsidR="00951D74">
        <w:t>export pipelines</w:t>
      </w:r>
      <w:r w:rsidR="00A03D50">
        <w:t xml:space="preserve">. </w:t>
      </w:r>
      <w:r w:rsidR="0050170D">
        <w:t>T</w:t>
      </w:r>
      <w:r w:rsidR="00E51631">
        <w:t xml:space="preserve">o </w:t>
      </w:r>
      <w:r w:rsidR="0011178E">
        <w:t>make these</w:t>
      </w:r>
      <w:r w:rsidR="00A03D50">
        <w:t xml:space="preserve"> </w:t>
      </w:r>
      <w:r w:rsidR="00E51631">
        <w:t xml:space="preserve">flexibility </w:t>
      </w:r>
      <w:r w:rsidR="00A03D50">
        <w:t>options available</w:t>
      </w:r>
      <w:r w:rsidR="00E51631">
        <w:t xml:space="preserve">, </w:t>
      </w:r>
      <w:r w:rsidR="009613E3">
        <w:t xml:space="preserve">market </w:t>
      </w:r>
      <w:r w:rsidR="002D40C8">
        <w:t>participant</w:t>
      </w:r>
      <w:r w:rsidR="009613E3">
        <w:t xml:space="preserve">s </w:t>
      </w:r>
      <w:proofErr w:type="gramStart"/>
      <w:r w:rsidR="0050170D">
        <w:t>must b</w:t>
      </w:r>
      <w:r w:rsidR="00280534">
        <w:t>e</w:t>
      </w:r>
      <w:r w:rsidR="0050170D">
        <w:t xml:space="preserve"> incentivized</w:t>
      </w:r>
      <w:proofErr w:type="gramEnd"/>
      <w:r w:rsidR="0050170D">
        <w:t xml:space="preserve"> by new market </w:t>
      </w:r>
      <w:r w:rsidR="00E51631">
        <w:t xml:space="preserve">designs </w:t>
      </w:r>
      <w:r w:rsidR="0050170D">
        <w:t>and instruments</w:t>
      </w:r>
      <w:r w:rsidR="00E51631">
        <w:t xml:space="preserve"> that</w:t>
      </w:r>
      <w:r w:rsidR="0050170D">
        <w:t xml:space="preserve"> </w:t>
      </w:r>
      <w:r w:rsidR="00280534">
        <w:t xml:space="preserve">place higher </w:t>
      </w:r>
      <w:r w:rsidR="0050170D">
        <w:t>valu</w:t>
      </w:r>
      <w:r w:rsidR="00E51631">
        <w:t>e</w:t>
      </w:r>
      <w:r w:rsidR="0050170D">
        <w:t xml:space="preserve"> </w:t>
      </w:r>
      <w:r w:rsidR="00280534">
        <w:t xml:space="preserve">on </w:t>
      </w:r>
      <w:r w:rsidR="0050170D" w:rsidRPr="0024181B">
        <w:t>flexibility and controllability</w:t>
      </w:r>
      <w:r w:rsidR="0050170D">
        <w:t>.</w:t>
      </w:r>
    </w:p>
    <w:p w14:paraId="164038CF" w14:textId="77777777" w:rsidR="000E711C" w:rsidRPr="008A61EB" w:rsidRDefault="000E711C" w:rsidP="008A61EB">
      <w:pPr>
        <w:pStyle w:val="Heading2"/>
        <w:rPr>
          <w:sz w:val="22"/>
        </w:rPr>
      </w:pPr>
      <w:r w:rsidRPr="008A61EB">
        <w:rPr>
          <w:sz w:val="22"/>
        </w:rPr>
        <w:t>Keywords</w:t>
      </w:r>
    </w:p>
    <w:p w14:paraId="38D01219" w14:textId="77777777" w:rsidR="000C07EF" w:rsidRPr="0024181B" w:rsidRDefault="00AE0503" w:rsidP="0011178E">
      <w:proofErr w:type="gramStart"/>
      <w:r>
        <w:t>energy</w:t>
      </w:r>
      <w:proofErr w:type="gramEnd"/>
      <w:r>
        <w:t xml:space="preserve"> transition; renewable intermittency; Norway-EU relations; hydropower; natural gas line-pack</w:t>
      </w:r>
    </w:p>
    <w:p w14:paraId="21532C11" w14:textId="77777777" w:rsidR="000C07EF" w:rsidRPr="00F337B4" w:rsidRDefault="000C07EF" w:rsidP="008A61EB">
      <w:pPr>
        <w:pStyle w:val="Heading1"/>
      </w:pPr>
      <w:r w:rsidRPr="00F337B4">
        <w:t>Introduction</w:t>
      </w:r>
    </w:p>
    <w:p w14:paraId="0ECE39A2" w14:textId="0F04C3F1" w:rsidR="00343BD4" w:rsidRPr="0024181B" w:rsidRDefault="00FA7AC2" w:rsidP="0011178E">
      <w:r w:rsidRPr="0024181B">
        <w:t xml:space="preserve">Norway </w:t>
      </w:r>
      <w:proofErr w:type="gramStart"/>
      <w:r w:rsidRPr="0024181B">
        <w:t xml:space="preserve">is </w:t>
      </w:r>
      <w:r w:rsidR="0050170D">
        <w:t xml:space="preserve">well </w:t>
      </w:r>
      <w:r w:rsidRPr="0024181B">
        <w:t>position</w:t>
      </w:r>
      <w:r w:rsidR="0050170D">
        <w:t>ed</w:t>
      </w:r>
      <w:proofErr w:type="gramEnd"/>
      <w:r w:rsidRPr="0024181B">
        <w:t xml:space="preserve"> to facilitate and support </w:t>
      </w:r>
      <w:r w:rsidR="002D3EB2" w:rsidRPr="0024181B">
        <w:t>Europe´s tra</w:t>
      </w:r>
      <w:r w:rsidR="00C36F89" w:rsidRPr="0024181B">
        <w:t>nsition</w:t>
      </w:r>
      <w:r w:rsidR="002D3EB2" w:rsidRPr="0024181B">
        <w:t xml:space="preserve"> to a sustainable energy future. </w:t>
      </w:r>
      <w:r w:rsidR="00343BD4" w:rsidRPr="0024181B">
        <w:t xml:space="preserve">In contrast to most </w:t>
      </w:r>
      <w:r w:rsidR="0050170D">
        <w:t xml:space="preserve">other </w:t>
      </w:r>
      <w:r w:rsidR="00343BD4" w:rsidRPr="0024181B">
        <w:t>countries in Europe, Norway is a net exporter of energy and its domestic</w:t>
      </w:r>
      <w:r w:rsidRPr="0024181B">
        <w:t xml:space="preserve"> </w:t>
      </w:r>
      <w:r w:rsidR="00343BD4" w:rsidRPr="0024181B">
        <w:t>electric</w:t>
      </w:r>
      <w:r w:rsidRPr="0024181B">
        <w:t xml:space="preserve"> power system </w:t>
      </w:r>
      <w:proofErr w:type="gramStart"/>
      <w:r w:rsidR="00343BD4" w:rsidRPr="0024181B">
        <w:t>is largely</w:t>
      </w:r>
      <w:r w:rsidR="00840A89">
        <w:t xml:space="preserve"> based</w:t>
      </w:r>
      <w:proofErr w:type="gramEnd"/>
      <w:r w:rsidR="00840A89">
        <w:t xml:space="preserve"> in</w:t>
      </w:r>
      <w:r w:rsidR="00343BD4" w:rsidRPr="0024181B">
        <w:t xml:space="preserve"> renewable</w:t>
      </w:r>
      <w:r w:rsidRPr="0024181B">
        <w:t>s</w:t>
      </w:r>
      <w:r w:rsidR="00343BD4" w:rsidRPr="0024181B">
        <w:t xml:space="preserve">. The characteristics of </w:t>
      </w:r>
      <w:r w:rsidR="00DB0832" w:rsidRPr="0024181B">
        <w:t>Norway</w:t>
      </w:r>
      <w:r w:rsidR="00F7094B">
        <w:t>’s</w:t>
      </w:r>
      <w:r w:rsidR="00DB0832" w:rsidRPr="0024181B">
        <w:t xml:space="preserve"> energy supply system allow it to be a valuable </w:t>
      </w:r>
      <w:r w:rsidR="0050170D">
        <w:t xml:space="preserve">and reliable </w:t>
      </w:r>
      <w:r w:rsidR="00DB0832" w:rsidRPr="0024181B">
        <w:t xml:space="preserve">partner </w:t>
      </w:r>
      <w:r w:rsidR="00C74817">
        <w:t>in</w:t>
      </w:r>
      <w:r w:rsidR="00C74817" w:rsidRPr="0024181B">
        <w:t xml:space="preserve"> </w:t>
      </w:r>
      <w:r w:rsidR="00DB0832" w:rsidRPr="0024181B">
        <w:t>meet</w:t>
      </w:r>
      <w:r w:rsidR="00FB3654">
        <w:t>ing</w:t>
      </w:r>
      <w:r w:rsidR="00DB0832" w:rsidRPr="0024181B">
        <w:t xml:space="preserve"> the EU's long-term energy and climate goals, specifically </w:t>
      </w:r>
      <w:r w:rsidR="00FB3654">
        <w:t>in</w:t>
      </w:r>
      <w:r w:rsidR="00DB0832" w:rsidRPr="0024181B">
        <w:t xml:space="preserve"> development of a clean, secure</w:t>
      </w:r>
      <w:r w:rsidR="00FB3654">
        <w:t>,</w:t>
      </w:r>
      <w:r w:rsidR="00DB0832" w:rsidRPr="0024181B">
        <w:t xml:space="preserve"> and efficient energy system.</w:t>
      </w:r>
    </w:p>
    <w:p w14:paraId="1885AAD6" w14:textId="630B58E1" w:rsidR="009A3889" w:rsidRDefault="002D3EB2" w:rsidP="0011178E">
      <w:r w:rsidRPr="0024181B">
        <w:t>Norway</w:t>
      </w:r>
      <w:r w:rsidR="0050170D">
        <w:t>'s</w:t>
      </w:r>
      <w:r w:rsidRPr="0024181B">
        <w:t xml:space="preserve"> special situation </w:t>
      </w:r>
      <w:r w:rsidR="0050170D">
        <w:t xml:space="preserve">is due to its </w:t>
      </w:r>
      <w:r w:rsidRPr="0024181B">
        <w:t xml:space="preserve">abundant energy resources in </w:t>
      </w:r>
      <w:r w:rsidR="000D6FF6" w:rsidRPr="0024181B">
        <w:t>hydropower</w:t>
      </w:r>
      <w:r w:rsidR="0050170D">
        <w:t xml:space="preserve"> and</w:t>
      </w:r>
      <w:r w:rsidRPr="0024181B">
        <w:t xml:space="preserve"> petroleum, and </w:t>
      </w:r>
      <w:r w:rsidR="009A1699">
        <w:t xml:space="preserve">its </w:t>
      </w:r>
      <w:r w:rsidRPr="0024181B">
        <w:t xml:space="preserve">excellent conditions for wind energy. </w:t>
      </w:r>
      <w:r w:rsidR="0050170D">
        <w:t>I</w:t>
      </w:r>
      <w:r w:rsidR="00DB0832" w:rsidRPr="0024181B">
        <w:t>n an average year</w:t>
      </w:r>
      <w:r w:rsidR="00951D74">
        <w:t>,</w:t>
      </w:r>
      <w:r w:rsidR="00DB0832" w:rsidRPr="0024181B">
        <w:t xml:space="preserve"> over </w:t>
      </w:r>
      <w:r w:rsidRPr="0024181B">
        <w:t>99% of Norwegian electricity production is renewable</w:t>
      </w:r>
      <w:r w:rsidR="00DB0832" w:rsidRPr="0024181B">
        <w:t>. T</w:t>
      </w:r>
      <w:r w:rsidRPr="0024181B">
        <w:t xml:space="preserve">he renewable </w:t>
      </w:r>
      <w:r w:rsidR="00590748">
        <w:t xml:space="preserve">supply </w:t>
      </w:r>
      <w:r w:rsidRPr="0024181B">
        <w:t xml:space="preserve">share in </w:t>
      </w:r>
      <w:r w:rsidR="00590748">
        <w:t xml:space="preserve">Norway </w:t>
      </w:r>
      <w:r w:rsidRPr="0024181B">
        <w:t>is close to 67</w:t>
      </w:r>
      <w:r w:rsidR="000D6FF6" w:rsidRPr="0024181B">
        <w:t>.</w:t>
      </w:r>
      <w:r w:rsidRPr="0024181B">
        <w:t>5%</w:t>
      </w:r>
      <w:r w:rsidR="00590748">
        <w:t xml:space="preserve"> of </w:t>
      </w:r>
      <w:r w:rsidR="00590748" w:rsidRPr="00590748">
        <w:t>gross final energy consumption</w:t>
      </w:r>
      <w:r w:rsidRPr="0024181B">
        <w:t xml:space="preserve">, which </w:t>
      </w:r>
      <w:r w:rsidR="009C4BD0">
        <w:t>meets</w:t>
      </w:r>
      <w:r w:rsidR="009C4BD0" w:rsidRPr="0024181B">
        <w:t xml:space="preserve"> </w:t>
      </w:r>
      <w:r w:rsidR="00C36F89" w:rsidRPr="0024181B">
        <w:t xml:space="preserve">Norway's </w:t>
      </w:r>
      <w:r w:rsidR="009C4BD0">
        <w:t xml:space="preserve">2020 </w:t>
      </w:r>
      <w:r w:rsidRPr="0024181B">
        <w:t>target</w:t>
      </w:r>
      <w:r w:rsidR="009C4BD0">
        <w:t xml:space="preserve"> </w:t>
      </w:r>
      <w:r w:rsidR="009A3889">
        <w:t xml:space="preserve">according to </w:t>
      </w:r>
      <w:r w:rsidRPr="0024181B">
        <w:t xml:space="preserve">the RES directive. </w:t>
      </w:r>
    </w:p>
    <w:p w14:paraId="5AF782F2" w14:textId="3FFF8233" w:rsidR="002D3EB2" w:rsidRPr="0024181B" w:rsidRDefault="009A3889" w:rsidP="0011178E">
      <w:r>
        <w:t>Seemingly well positioned to adhere to climate and emission reduction commitments,</w:t>
      </w:r>
      <w:r w:rsidR="002D3EB2" w:rsidRPr="0024181B">
        <w:t xml:space="preserve"> </w:t>
      </w:r>
      <w:r w:rsidR="00224F31" w:rsidRPr="0024181B">
        <w:t xml:space="preserve">Norway faces challenges and opportunities </w:t>
      </w:r>
      <w:r w:rsidR="002D3EB2" w:rsidRPr="0024181B">
        <w:t>as part of the global transition to a low carbon future.</w:t>
      </w:r>
    </w:p>
    <w:p w14:paraId="64676863" w14:textId="77777777" w:rsidR="002D3EB2" w:rsidRDefault="0011178E" w:rsidP="0011178E">
      <w:pPr>
        <w:pStyle w:val="ListParagraph"/>
        <w:numPr>
          <w:ilvl w:val="0"/>
          <w:numId w:val="3"/>
        </w:numPr>
      </w:pPr>
      <w:r w:rsidRPr="0024181B">
        <w:t xml:space="preserve">Gas </w:t>
      </w:r>
      <w:r w:rsidR="002D3EB2" w:rsidRPr="0024181B">
        <w:t xml:space="preserve">production </w:t>
      </w:r>
      <w:r w:rsidR="00951D74">
        <w:t xml:space="preserve">after 2050 </w:t>
      </w:r>
      <w:r w:rsidR="002D3EB2" w:rsidRPr="0024181B">
        <w:t xml:space="preserve">will depend on Carbon Capture and Storage </w:t>
      </w:r>
      <w:r w:rsidR="0024181B">
        <w:t xml:space="preserve">(CCS) </w:t>
      </w:r>
      <w:r w:rsidR="000D6FF6" w:rsidRPr="0024181B">
        <w:t>becoming</w:t>
      </w:r>
      <w:r w:rsidR="002D3EB2" w:rsidRPr="0024181B">
        <w:t xml:space="preserve"> a success</w:t>
      </w:r>
      <w:r w:rsidR="009F60E3">
        <w:t>.</w:t>
      </w:r>
      <w:r w:rsidR="00951D74">
        <w:t xml:space="preserve"> </w:t>
      </w:r>
    </w:p>
    <w:p w14:paraId="6E1C7C13" w14:textId="148DD595" w:rsidR="00951D74" w:rsidRPr="0024181B" w:rsidRDefault="00946A45" w:rsidP="0011178E">
      <w:pPr>
        <w:pStyle w:val="ListParagraph"/>
        <w:numPr>
          <w:ilvl w:val="0"/>
          <w:numId w:val="3"/>
        </w:numPr>
      </w:pPr>
      <w:r>
        <w:t xml:space="preserve">Until </w:t>
      </w:r>
      <w:r w:rsidR="00951D74">
        <w:t>2050, gas may have</w:t>
      </w:r>
      <w:r w:rsidR="00285416">
        <w:t xml:space="preserve"> a</w:t>
      </w:r>
      <w:r w:rsidR="00951D74">
        <w:t xml:space="preserve"> role </w:t>
      </w:r>
      <w:r w:rsidR="0011178E">
        <w:t xml:space="preserve">regardless of </w:t>
      </w:r>
      <w:r w:rsidR="00951D74">
        <w:t>CCS, because it provides flexibility to the system.</w:t>
      </w:r>
    </w:p>
    <w:p w14:paraId="55D0C423" w14:textId="77777777" w:rsidR="002D3EB2" w:rsidRPr="0024181B" w:rsidRDefault="002D3EB2" w:rsidP="0011178E">
      <w:pPr>
        <w:pStyle w:val="ListParagraph"/>
        <w:numPr>
          <w:ilvl w:val="0"/>
          <w:numId w:val="3"/>
        </w:numPr>
      </w:pPr>
      <w:r w:rsidRPr="0024181B">
        <w:t xml:space="preserve">Average electricity prices in Europe </w:t>
      </w:r>
      <w:r w:rsidR="0024181B">
        <w:t xml:space="preserve">have been </w:t>
      </w:r>
      <w:r w:rsidR="009F60E3">
        <w:t>low</w:t>
      </w:r>
      <w:r w:rsidR="0024181B">
        <w:t xml:space="preserve"> </w:t>
      </w:r>
      <w:proofErr w:type="gramStart"/>
      <w:r w:rsidRPr="0024181B">
        <w:t>as a consequence</w:t>
      </w:r>
      <w:proofErr w:type="gramEnd"/>
      <w:r w:rsidRPr="0024181B">
        <w:t xml:space="preserve"> of RES subsidies and low EU-</w:t>
      </w:r>
      <w:r w:rsidR="001C605A" w:rsidRPr="0024181B">
        <w:t>Emission Trading System (</w:t>
      </w:r>
      <w:r w:rsidRPr="0024181B">
        <w:t>ETS</w:t>
      </w:r>
      <w:r w:rsidR="001C605A" w:rsidRPr="0024181B">
        <w:t>)</w:t>
      </w:r>
      <w:r w:rsidRPr="0024181B">
        <w:t xml:space="preserve"> price</w:t>
      </w:r>
      <w:r w:rsidR="001C605A" w:rsidRPr="0024181B">
        <w:t>s</w:t>
      </w:r>
      <w:r w:rsidRPr="0024181B">
        <w:t xml:space="preserve">. This </w:t>
      </w:r>
      <w:r w:rsidR="0024181B">
        <w:t xml:space="preserve">has </w:t>
      </w:r>
      <w:r w:rsidRPr="0024181B">
        <w:t xml:space="preserve">reduced incentives to invest in new </w:t>
      </w:r>
      <w:r w:rsidR="0024181B">
        <w:t xml:space="preserve">(renewable) </w:t>
      </w:r>
      <w:r w:rsidRPr="0024181B">
        <w:t>generation capacity</w:t>
      </w:r>
      <w:r w:rsidR="0024181B">
        <w:t xml:space="preserve"> and has deterred investment in CCS technology and pilot projects.</w:t>
      </w:r>
    </w:p>
    <w:p w14:paraId="45014775" w14:textId="2715760B" w:rsidR="002D3EB2" w:rsidRPr="0024181B" w:rsidRDefault="0050170D" w:rsidP="0011178E">
      <w:pPr>
        <w:pStyle w:val="ListParagraph"/>
        <w:numPr>
          <w:ilvl w:val="0"/>
          <w:numId w:val="3"/>
        </w:numPr>
      </w:pPr>
      <w:r>
        <w:t xml:space="preserve">Most of </w:t>
      </w:r>
      <w:r w:rsidR="002D3EB2" w:rsidRPr="0024181B">
        <w:t xml:space="preserve">Norwegian </w:t>
      </w:r>
      <w:r w:rsidR="0024181B" w:rsidRPr="0024181B">
        <w:t>hydropower</w:t>
      </w:r>
      <w:r w:rsidR="002D3EB2" w:rsidRPr="0024181B">
        <w:t xml:space="preserve"> and natural gas </w:t>
      </w:r>
      <w:r>
        <w:t xml:space="preserve">exports </w:t>
      </w:r>
      <w:proofErr w:type="gramStart"/>
      <w:r w:rsidR="00862313">
        <w:t>are</w:t>
      </w:r>
      <w:r w:rsidR="00862313" w:rsidRPr="0024181B">
        <w:t xml:space="preserve"> </w:t>
      </w:r>
      <w:r w:rsidR="002D3EB2" w:rsidRPr="0024181B">
        <w:t>sold</w:t>
      </w:r>
      <w:proofErr w:type="gramEnd"/>
      <w:r w:rsidR="002D3EB2" w:rsidRPr="0024181B">
        <w:t xml:space="preserve"> in </w:t>
      </w:r>
      <w:r w:rsidR="002D3EB2" w:rsidRPr="0024181B">
        <w:rPr>
          <w:i/>
        </w:rPr>
        <w:t>energy only</w:t>
      </w:r>
      <w:r w:rsidR="002D3EB2" w:rsidRPr="0024181B">
        <w:t xml:space="preserve"> markets, while </w:t>
      </w:r>
      <w:r w:rsidR="005F3C2C">
        <w:t xml:space="preserve">the supply chains of </w:t>
      </w:r>
      <w:r w:rsidR="002D3EB2" w:rsidRPr="0024181B">
        <w:t xml:space="preserve">both </w:t>
      </w:r>
      <w:r w:rsidR="005F3C2C">
        <w:t xml:space="preserve">energy carriers </w:t>
      </w:r>
      <w:r w:rsidR="002D3EB2" w:rsidRPr="0024181B">
        <w:t>ha</w:t>
      </w:r>
      <w:r w:rsidR="001C605A" w:rsidRPr="0024181B">
        <w:t>ve</w:t>
      </w:r>
      <w:r w:rsidR="002D3EB2" w:rsidRPr="0024181B">
        <w:t xml:space="preserve"> </w:t>
      </w:r>
      <w:r w:rsidR="009F60E3">
        <w:t xml:space="preserve">great intrinsic </w:t>
      </w:r>
      <w:r w:rsidR="002D3EB2" w:rsidRPr="0050170D">
        <w:rPr>
          <w:i/>
        </w:rPr>
        <w:t>flexibility</w:t>
      </w:r>
      <w:r w:rsidR="009F60E3">
        <w:t>,</w:t>
      </w:r>
      <w:r w:rsidR="002D3EB2" w:rsidRPr="0024181B">
        <w:t xml:space="preserve"> </w:t>
      </w:r>
      <w:r w:rsidR="005F3C2C">
        <w:t xml:space="preserve">which </w:t>
      </w:r>
      <w:r w:rsidR="009F60E3">
        <w:t>c</w:t>
      </w:r>
      <w:r>
        <w:t>ould</w:t>
      </w:r>
      <w:r w:rsidR="009F60E3">
        <w:t xml:space="preserve"> </w:t>
      </w:r>
      <w:r w:rsidR="005F3C2C">
        <w:t xml:space="preserve">be of much </w:t>
      </w:r>
      <w:r w:rsidR="002D3EB2" w:rsidRPr="0024181B">
        <w:t xml:space="preserve">higher value both to the European </w:t>
      </w:r>
      <w:r w:rsidR="005F3C2C">
        <w:t xml:space="preserve">energy </w:t>
      </w:r>
      <w:r w:rsidR="002D3EB2" w:rsidRPr="0024181B">
        <w:t xml:space="preserve">system and to </w:t>
      </w:r>
      <w:r w:rsidR="005F3C2C">
        <w:t xml:space="preserve">Norwegian </w:t>
      </w:r>
      <w:r>
        <w:t>market participants</w:t>
      </w:r>
      <w:r w:rsidR="002D3EB2" w:rsidRPr="0024181B">
        <w:t>.</w:t>
      </w:r>
    </w:p>
    <w:p w14:paraId="5D1F3E0D" w14:textId="0DEB7C31" w:rsidR="002D3EB2" w:rsidRPr="0024181B" w:rsidRDefault="004E6678" w:rsidP="0011178E">
      <w:r>
        <w:t>In the upcoming sections, w</w:t>
      </w:r>
      <w:r w:rsidR="0050170D">
        <w:t>e</w:t>
      </w:r>
      <w:r w:rsidR="005F3C2C">
        <w:t xml:space="preserve"> provide a context for Norway's role in the </w:t>
      </w:r>
      <w:r w:rsidR="009A3889">
        <w:t xml:space="preserve">European </w:t>
      </w:r>
      <w:r w:rsidR="005F3C2C">
        <w:t xml:space="preserve">energy transition </w:t>
      </w:r>
      <w:r w:rsidR="0050170D">
        <w:t xml:space="preserve">by </w:t>
      </w:r>
      <w:r w:rsidR="002D3EB2" w:rsidRPr="0024181B">
        <w:t>discuss</w:t>
      </w:r>
      <w:r w:rsidR="0050170D">
        <w:t>ing</w:t>
      </w:r>
      <w:r w:rsidR="002D3EB2" w:rsidRPr="0024181B">
        <w:t xml:space="preserve"> </w:t>
      </w:r>
      <w:r w:rsidR="005F3C2C">
        <w:t xml:space="preserve">main drivers of </w:t>
      </w:r>
      <w:r w:rsidR="002D3EB2" w:rsidRPr="0024181B">
        <w:t xml:space="preserve">the </w:t>
      </w:r>
      <w:proofErr w:type="gramStart"/>
      <w:r w:rsidR="002D3EB2" w:rsidRPr="0024181B">
        <w:t>transition,</w:t>
      </w:r>
      <w:proofErr w:type="gramEnd"/>
      <w:r w:rsidR="002D3EB2" w:rsidRPr="0024181B">
        <w:t xml:space="preserve"> </w:t>
      </w:r>
      <w:r w:rsidR="00361FFB">
        <w:t xml:space="preserve">we then </w:t>
      </w:r>
      <w:r w:rsidR="002D3EB2" w:rsidRPr="0024181B">
        <w:t>suggest potential role</w:t>
      </w:r>
      <w:r w:rsidR="009F60E3">
        <w:t>s</w:t>
      </w:r>
      <w:r w:rsidR="002D3EB2" w:rsidRPr="0024181B">
        <w:t xml:space="preserve"> </w:t>
      </w:r>
      <w:r w:rsidR="00361FFB">
        <w:t>for</w:t>
      </w:r>
      <w:r w:rsidR="00361FFB" w:rsidRPr="0024181B">
        <w:t xml:space="preserve"> </w:t>
      </w:r>
      <w:r w:rsidR="002D3EB2" w:rsidRPr="0024181B">
        <w:t>Norway in this transition</w:t>
      </w:r>
      <w:r w:rsidR="005F3C2C">
        <w:t xml:space="preserve"> and provid</w:t>
      </w:r>
      <w:r w:rsidR="009F60E3">
        <w:t>e</w:t>
      </w:r>
      <w:r w:rsidR="005F3C2C">
        <w:t xml:space="preserve"> recommendations </w:t>
      </w:r>
      <w:r w:rsidR="00361FFB">
        <w:t xml:space="preserve">on </w:t>
      </w:r>
      <w:r w:rsidR="005F3C2C">
        <w:t>how th</w:t>
      </w:r>
      <w:r w:rsidR="00585596">
        <w:t>e</w:t>
      </w:r>
      <w:r w:rsidR="005F3C2C">
        <w:t>s</w:t>
      </w:r>
      <w:r w:rsidR="00585596">
        <w:t>e</w:t>
      </w:r>
      <w:r w:rsidR="005F3C2C">
        <w:t xml:space="preserve"> role</w:t>
      </w:r>
      <w:r w:rsidR="00585596">
        <w:t>s</w:t>
      </w:r>
      <w:r w:rsidR="005F3C2C">
        <w:t xml:space="preserve"> could be facilitated</w:t>
      </w:r>
      <w:r w:rsidR="002D3EB2" w:rsidRPr="0024181B">
        <w:t>.</w:t>
      </w:r>
    </w:p>
    <w:p w14:paraId="129C5DCE" w14:textId="77777777" w:rsidR="002D3EB2" w:rsidRPr="00F337B4" w:rsidRDefault="002D3EB2" w:rsidP="008A61EB">
      <w:pPr>
        <w:pStyle w:val="Heading1"/>
      </w:pPr>
      <w:r w:rsidRPr="00F337B4">
        <w:t xml:space="preserve">Drivers in the European </w:t>
      </w:r>
      <w:r w:rsidR="00FD5425" w:rsidRPr="00F337B4">
        <w:t xml:space="preserve">clean energy </w:t>
      </w:r>
      <w:r w:rsidRPr="00F337B4">
        <w:t>transition</w:t>
      </w:r>
    </w:p>
    <w:p w14:paraId="13C75C97" w14:textId="7DB47F93" w:rsidR="002D3EB2" w:rsidRPr="0024181B" w:rsidRDefault="002D3EB2" w:rsidP="0011178E">
      <w:r w:rsidRPr="0024181B">
        <w:t xml:space="preserve">The electricity sector plays a major role in the transition of the European </w:t>
      </w:r>
      <w:r w:rsidR="009F60E3">
        <w:t>energy system</w:t>
      </w:r>
      <w:r w:rsidRPr="0024181B">
        <w:t>. A key factor in th</w:t>
      </w:r>
      <w:r w:rsidR="00F06B95">
        <w:t>is</w:t>
      </w:r>
      <w:r w:rsidRPr="0024181B">
        <w:t xml:space="preserve"> transition is</w:t>
      </w:r>
      <w:r w:rsidR="00F06B95">
        <w:t xml:space="preserve"> the</w:t>
      </w:r>
      <w:r w:rsidRPr="0024181B">
        <w:t xml:space="preserve"> substit</w:t>
      </w:r>
      <w:r w:rsidR="00F06B95">
        <w:t>ution of</w:t>
      </w:r>
      <w:r w:rsidRPr="0024181B">
        <w:t xml:space="preserve"> polluting fuels </w:t>
      </w:r>
      <w:r w:rsidR="00DB0832" w:rsidRPr="0024181B">
        <w:t xml:space="preserve">in </w:t>
      </w:r>
      <w:r w:rsidRPr="0024181B">
        <w:t>industry, transport, power production</w:t>
      </w:r>
      <w:r w:rsidR="00C12F88">
        <w:t>,</w:t>
      </w:r>
      <w:r w:rsidRPr="0024181B">
        <w:t xml:space="preserve"> and </w:t>
      </w:r>
      <w:r w:rsidRPr="0024181B">
        <w:lastRenderedPageBreak/>
        <w:t xml:space="preserve">heating </w:t>
      </w:r>
      <w:r w:rsidR="00DB0832" w:rsidRPr="0024181B">
        <w:t xml:space="preserve">sectors </w:t>
      </w:r>
      <w:r w:rsidR="00C12F88">
        <w:t>with</w:t>
      </w:r>
      <w:r w:rsidR="00C12F88" w:rsidRPr="0024181B">
        <w:t xml:space="preserve"> </w:t>
      </w:r>
      <w:r w:rsidR="00DB0832" w:rsidRPr="0024181B">
        <w:t xml:space="preserve">carbon-free </w:t>
      </w:r>
      <w:r w:rsidRPr="0024181B">
        <w:t xml:space="preserve">electricity. </w:t>
      </w:r>
      <w:r w:rsidR="00DB0832" w:rsidRPr="0024181B">
        <w:t xml:space="preserve">Electrification of all these sectors puts upward pressure on the total </w:t>
      </w:r>
      <w:r w:rsidRPr="0024181B">
        <w:t xml:space="preserve">demand for electricity, </w:t>
      </w:r>
      <w:r w:rsidR="001C605A" w:rsidRPr="0024181B">
        <w:t xml:space="preserve">while </w:t>
      </w:r>
      <w:r w:rsidR="00DB0832" w:rsidRPr="0024181B">
        <w:t>at the same time</w:t>
      </w:r>
      <w:r w:rsidR="005F72F3">
        <w:t>,</w:t>
      </w:r>
      <w:r w:rsidR="00DB0832" w:rsidRPr="0024181B">
        <w:t xml:space="preserve"> </w:t>
      </w:r>
      <w:r w:rsidRPr="0024181B">
        <w:t>emission</w:t>
      </w:r>
      <w:r w:rsidR="001C605A" w:rsidRPr="0024181B">
        <w:t xml:space="preserve">s </w:t>
      </w:r>
      <w:r w:rsidRPr="0024181B">
        <w:t xml:space="preserve">linked to its generation </w:t>
      </w:r>
      <w:proofErr w:type="gramStart"/>
      <w:r w:rsidR="00DB0832" w:rsidRPr="0024181B">
        <w:t>should be reduced</w:t>
      </w:r>
      <w:proofErr w:type="gramEnd"/>
      <w:r w:rsidR="00DB0832" w:rsidRPr="0024181B">
        <w:t xml:space="preserve"> to virtually zero over the period until 2050. </w:t>
      </w:r>
      <w:r w:rsidR="005F3C2C">
        <w:t>Although challenging, t</w:t>
      </w:r>
      <w:r w:rsidRPr="0024181B">
        <w:t xml:space="preserve">his </w:t>
      </w:r>
      <w:r w:rsidR="00DB0832" w:rsidRPr="0024181B">
        <w:t xml:space="preserve">transition </w:t>
      </w:r>
      <w:r w:rsidRPr="0024181B">
        <w:t xml:space="preserve">is likely to succeed </w:t>
      </w:r>
      <w:proofErr w:type="gramStart"/>
      <w:r w:rsidRPr="0024181B">
        <w:t>because</w:t>
      </w:r>
      <w:r w:rsidR="00A809D1">
        <w:t xml:space="preserve"> of</w:t>
      </w:r>
      <w:proofErr w:type="gramEnd"/>
      <w:r w:rsidRPr="0024181B">
        <w:t>:</w:t>
      </w:r>
      <w:r w:rsidR="00FA7AC2" w:rsidRPr="0024181B">
        <w:t xml:space="preserve"> </w:t>
      </w:r>
    </w:p>
    <w:p w14:paraId="6237BB89" w14:textId="1D412375" w:rsidR="002D3EB2" w:rsidRPr="0024181B" w:rsidRDefault="001C605A" w:rsidP="0011178E">
      <w:pPr>
        <w:pStyle w:val="ListParagraph"/>
        <w:numPr>
          <w:ilvl w:val="0"/>
          <w:numId w:val="3"/>
        </w:numPr>
      </w:pPr>
      <w:r w:rsidRPr="0024181B">
        <w:t xml:space="preserve">The </w:t>
      </w:r>
      <w:r w:rsidR="00B65DEF" w:rsidRPr="0024181B">
        <w:t>increasing</w:t>
      </w:r>
      <w:r w:rsidR="00B65DEF">
        <w:t xml:space="preserve"> </w:t>
      </w:r>
      <w:r w:rsidR="002D3EB2" w:rsidRPr="0024181B">
        <w:t xml:space="preserve">RES share, providing clean energy </w:t>
      </w:r>
      <w:r w:rsidR="00FD5425" w:rsidRPr="0024181B">
        <w:t xml:space="preserve">at </w:t>
      </w:r>
      <w:r w:rsidR="00F723F8">
        <w:t xml:space="preserve">a </w:t>
      </w:r>
      <w:r w:rsidR="0050170D">
        <w:t xml:space="preserve">very </w:t>
      </w:r>
      <w:r w:rsidR="002D3EB2" w:rsidRPr="0024181B">
        <w:t>low marginal cost</w:t>
      </w:r>
      <w:r w:rsidR="00FD5425" w:rsidRPr="0024181B">
        <w:t xml:space="preserve"> (albeit </w:t>
      </w:r>
      <w:r w:rsidR="0050170D">
        <w:t xml:space="preserve">wind and solar have low </w:t>
      </w:r>
      <w:r w:rsidR="002D3EB2" w:rsidRPr="0024181B">
        <w:t>controllability of generation</w:t>
      </w:r>
      <w:r w:rsidR="009A3889">
        <w:t xml:space="preserve"> </w:t>
      </w:r>
      <w:r w:rsidR="0050170D">
        <w:t xml:space="preserve">in contrast </w:t>
      </w:r>
      <w:r w:rsidR="009A3889">
        <w:t xml:space="preserve">to </w:t>
      </w:r>
      <w:r w:rsidR="0050170D">
        <w:t xml:space="preserve">hydropower, </w:t>
      </w:r>
      <w:r w:rsidR="009A3889">
        <w:t>fossil</w:t>
      </w:r>
      <w:r w:rsidR="008A2984">
        <w:t>,</w:t>
      </w:r>
      <w:r w:rsidR="009A3889">
        <w:t xml:space="preserve"> and nuclear</w:t>
      </w:r>
      <w:r w:rsidR="0050170D">
        <w:t xml:space="preserve"> generation</w:t>
      </w:r>
      <w:r w:rsidR="00FD5425" w:rsidRPr="0024181B">
        <w:t>)</w:t>
      </w:r>
      <w:r w:rsidR="00196AC7">
        <w:t>.</w:t>
      </w:r>
    </w:p>
    <w:p w14:paraId="0F2256D5" w14:textId="3CBDA08F" w:rsidR="002D3EB2" w:rsidRPr="0024181B" w:rsidRDefault="002D3EB2" w:rsidP="0011178E">
      <w:pPr>
        <w:pStyle w:val="ListParagraph"/>
        <w:numPr>
          <w:ilvl w:val="0"/>
          <w:numId w:val="3"/>
        </w:numPr>
      </w:pPr>
      <w:r w:rsidRPr="0024181B">
        <w:t>Energy efficiency</w:t>
      </w:r>
      <w:r w:rsidR="00FD5425" w:rsidRPr="0024181B">
        <w:t xml:space="preserve"> improvements, </w:t>
      </w:r>
      <w:r w:rsidRPr="0024181B">
        <w:t xml:space="preserve">zero emission </w:t>
      </w:r>
      <w:r w:rsidR="005F3C2C" w:rsidRPr="0024181B">
        <w:t>neighborhoods</w:t>
      </w:r>
      <w:r w:rsidR="00A53F29">
        <w:t>,</w:t>
      </w:r>
      <w:r w:rsidRPr="0024181B">
        <w:t xml:space="preserve"> </w:t>
      </w:r>
      <w:r w:rsidR="00FD5425" w:rsidRPr="0024181B">
        <w:t xml:space="preserve">and </w:t>
      </w:r>
      <w:r w:rsidRPr="0024181B">
        <w:t>zero energy buildings</w:t>
      </w:r>
      <w:r w:rsidR="00DD0801">
        <w:t>,</w:t>
      </w:r>
      <w:r w:rsidRPr="0024181B">
        <w:t xml:space="preserve"> all</w:t>
      </w:r>
      <w:r w:rsidR="00A53F29">
        <w:t xml:space="preserve"> of which</w:t>
      </w:r>
      <w:r w:rsidRPr="0024181B">
        <w:t xml:space="preserve"> drive towards </w:t>
      </w:r>
      <w:r w:rsidR="00DB0832" w:rsidRPr="0024181B">
        <w:t xml:space="preserve">lower </w:t>
      </w:r>
      <w:r w:rsidRPr="0024181B">
        <w:t xml:space="preserve">energy </w:t>
      </w:r>
      <w:r w:rsidR="005F3C2C">
        <w:t xml:space="preserve">needs </w:t>
      </w:r>
      <w:r w:rsidRPr="0024181B">
        <w:t xml:space="preserve">to provide the same </w:t>
      </w:r>
      <w:r w:rsidR="005F3C2C">
        <w:t xml:space="preserve">level of </w:t>
      </w:r>
      <w:r w:rsidRPr="0024181B">
        <w:t xml:space="preserve">services to households and </w:t>
      </w:r>
      <w:r w:rsidR="009F60E3">
        <w:t xml:space="preserve">other </w:t>
      </w:r>
      <w:r w:rsidRPr="0024181B">
        <w:t>sector</w:t>
      </w:r>
      <w:r w:rsidR="009F60E3">
        <w:t>s</w:t>
      </w:r>
      <w:r w:rsidRPr="0024181B">
        <w:t xml:space="preserve">. </w:t>
      </w:r>
      <w:r w:rsidR="00FD5425" w:rsidRPr="0024181B">
        <w:t>Therefore,</w:t>
      </w:r>
      <w:r w:rsidRPr="0024181B">
        <w:t xml:space="preserve"> </w:t>
      </w:r>
      <w:r w:rsidR="007B5A3E">
        <w:t xml:space="preserve">both </w:t>
      </w:r>
      <w:r w:rsidR="00FD5425" w:rsidRPr="0024181B">
        <w:t xml:space="preserve">total </w:t>
      </w:r>
      <w:r w:rsidR="005F3C2C">
        <w:t xml:space="preserve">energy </w:t>
      </w:r>
      <w:r w:rsidRPr="0024181B">
        <w:t xml:space="preserve">demand </w:t>
      </w:r>
      <w:r w:rsidR="007B5A3E">
        <w:t xml:space="preserve">and </w:t>
      </w:r>
      <w:r w:rsidRPr="0024181B">
        <w:t>peak</w:t>
      </w:r>
      <w:r w:rsidR="00FD5425" w:rsidRPr="0024181B">
        <w:t xml:space="preserve"> demand levels</w:t>
      </w:r>
      <w:r w:rsidR="007B5A3E">
        <w:t xml:space="preserve"> </w:t>
      </w:r>
      <w:proofErr w:type="gramStart"/>
      <w:r w:rsidR="00007A2B">
        <w:t xml:space="preserve">will be </w:t>
      </w:r>
      <w:r w:rsidR="007B5A3E">
        <w:t>reduced</w:t>
      </w:r>
      <w:proofErr w:type="gramEnd"/>
      <w:r w:rsidR="005F3C2C">
        <w:t>,</w:t>
      </w:r>
      <w:r w:rsidRPr="0024181B">
        <w:t xml:space="preserve"> </w:t>
      </w:r>
      <w:r w:rsidR="005F3C2C">
        <w:t xml:space="preserve">which </w:t>
      </w:r>
      <w:r w:rsidR="007B5A3E">
        <w:t xml:space="preserve">in turn </w:t>
      </w:r>
      <w:r w:rsidR="005F3C2C">
        <w:t xml:space="preserve">decreases </w:t>
      </w:r>
      <w:r w:rsidRPr="0024181B">
        <w:t xml:space="preserve">the need for </w:t>
      </w:r>
      <w:r w:rsidR="005F3C2C">
        <w:t xml:space="preserve">capacity in the </w:t>
      </w:r>
      <w:r w:rsidR="00D308CF">
        <w:t xml:space="preserve">power </w:t>
      </w:r>
      <w:r w:rsidR="005F3C2C" w:rsidRPr="0024181B">
        <w:t xml:space="preserve">transmission </w:t>
      </w:r>
      <w:r w:rsidRPr="0024181B">
        <w:t xml:space="preserve">grids. </w:t>
      </w:r>
      <w:r w:rsidR="00FD5425" w:rsidRPr="0024181B">
        <w:t xml:space="preserve">Future electricity </w:t>
      </w:r>
      <w:r w:rsidRPr="0024181B">
        <w:t xml:space="preserve">systems </w:t>
      </w:r>
      <w:r w:rsidR="007B5A3E">
        <w:t xml:space="preserve">will </w:t>
      </w:r>
      <w:r w:rsidRPr="0024181B">
        <w:t>tend more towards distributed</w:t>
      </w:r>
      <w:r w:rsidR="00FD5425" w:rsidRPr="0024181B">
        <w:t xml:space="preserve"> generation and usage rather than the traditional large-scale centralized generation and transmission </w:t>
      </w:r>
      <w:r w:rsidR="009B33A2">
        <w:t>grid</w:t>
      </w:r>
      <w:r w:rsidR="00FD5425" w:rsidRPr="0024181B">
        <w:t>s</w:t>
      </w:r>
      <w:r w:rsidRPr="0024181B">
        <w:t>.</w:t>
      </w:r>
    </w:p>
    <w:p w14:paraId="3369D79C" w14:textId="7DE403BB" w:rsidR="002D3EB2" w:rsidRPr="0024181B" w:rsidRDefault="00007A2B" w:rsidP="0011178E">
      <w:pPr>
        <w:pStyle w:val="ListParagraph"/>
        <w:numPr>
          <w:ilvl w:val="0"/>
          <w:numId w:val="3"/>
        </w:numPr>
      </w:pPr>
      <w:r>
        <w:t>Renewed focus on the c</w:t>
      </w:r>
      <w:r w:rsidR="002D3EB2" w:rsidRPr="0024181B">
        <w:t>ustomer</w:t>
      </w:r>
      <w:r>
        <w:t xml:space="preserve">. </w:t>
      </w:r>
      <w:r w:rsidR="002D3EB2" w:rsidRPr="0024181B">
        <w:t xml:space="preserve">As a direct consequence of the high penetration of uncontrollable RES, a renewed focus </w:t>
      </w:r>
      <w:proofErr w:type="gramStart"/>
      <w:r w:rsidR="002D3EB2" w:rsidRPr="0024181B">
        <w:t>has been put</w:t>
      </w:r>
      <w:proofErr w:type="gramEnd"/>
      <w:r w:rsidR="002D3EB2" w:rsidRPr="0024181B">
        <w:t xml:space="preserve"> on consumer flexibility and measures to allow consumers </w:t>
      </w:r>
      <w:r w:rsidR="007B5A3E">
        <w:t xml:space="preserve">to </w:t>
      </w:r>
      <w:r w:rsidR="002D3EB2" w:rsidRPr="0024181B">
        <w:t>active</w:t>
      </w:r>
      <w:r w:rsidR="007B5A3E">
        <w:t>ly</w:t>
      </w:r>
      <w:r w:rsidR="002D3EB2" w:rsidRPr="0024181B">
        <w:t xml:space="preserve"> part</w:t>
      </w:r>
      <w:r w:rsidR="007B5A3E">
        <w:t>icipate</w:t>
      </w:r>
      <w:r w:rsidR="002D3EB2" w:rsidRPr="0024181B">
        <w:t xml:space="preserve"> in the market and balancing of resources</w:t>
      </w:r>
      <w:r w:rsidR="00FA7AC2" w:rsidRPr="0024181B">
        <w:t xml:space="preserve"> (</w:t>
      </w:r>
      <w:r w:rsidR="007B5A3E">
        <w:t xml:space="preserve">c.f., </w:t>
      </w:r>
      <w:r w:rsidR="00FA7AC2" w:rsidRPr="0024181B">
        <w:t>the EU</w:t>
      </w:r>
      <w:r w:rsidR="002D3EB2" w:rsidRPr="0024181B">
        <w:t xml:space="preserve"> </w:t>
      </w:r>
      <w:r w:rsidR="00FA7AC2" w:rsidRPr="0024181B">
        <w:t>winter package</w:t>
      </w:r>
      <w:r>
        <w:t xml:space="preserve"> of </w:t>
      </w:r>
      <w:r w:rsidR="00FA7AC2" w:rsidRPr="0024181B">
        <w:t>Nov 2016)</w:t>
      </w:r>
      <w:r w:rsidR="002D3EB2" w:rsidRPr="0024181B">
        <w:t>. Again</w:t>
      </w:r>
      <w:r w:rsidR="00FD5425" w:rsidRPr="0024181B">
        <w:t>,</w:t>
      </w:r>
      <w:r w:rsidR="002D3EB2" w:rsidRPr="0024181B">
        <w:t xml:space="preserve"> less centralization and more distributed control is in focus. Still</w:t>
      </w:r>
      <w:r w:rsidR="00FD5425" w:rsidRPr="0024181B">
        <w:t>,</w:t>
      </w:r>
      <w:r w:rsidR="002D3EB2" w:rsidRPr="0024181B">
        <w:t xml:space="preserve"> current </w:t>
      </w:r>
      <w:r w:rsidR="00A4421F">
        <w:t xml:space="preserve">policy and </w:t>
      </w:r>
      <w:r w:rsidR="002D3EB2" w:rsidRPr="0024181B">
        <w:t xml:space="preserve">market structures focusing on </w:t>
      </w:r>
      <w:r w:rsidR="002D3EB2" w:rsidRPr="00A809D1">
        <w:rPr>
          <w:i/>
        </w:rPr>
        <w:t>energy only</w:t>
      </w:r>
      <w:r w:rsidR="002D3EB2" w:rsidRPr="0024181B">
        <w:t xml:space="preserve"> </w:t>
      </w:r>
      <w:r w:rsidR="006C04A6">
        <w:t xml:space="preserve">pricing and </w:t>
      </w:r>
      <w:r w:rsidR="002D3EB2" w:rsidRPr="0024181B">
        <w:t xml:space="preserve">centralized systems </w:t>
      </w:r>
      <w:r w:rsidR="00A4421F">
        <w:t xml:space="preserve">(e.g., capacity payments; TSO-managed </w:t>
      </w:r>
      <w:r w:rsidR="00A4421F" w:rsidRPr="00A4421F">
        <w:t>primary, secondary</w:t>
      </w:r>
      <w:r w:rsidR="00EF373B">
        <w:t>,</w:t>
      </w:r>
      <w:r w:rsidR="00A4421F" w:rsidRPr="00A4421F">
        <w:t xml:space="preserve"> and tertiary reserve</w:t>
      </w:r>
      <w:r w:rsidR="00A4421F">
        <w:t xml:space="preserve">s) </w:t>
      </w:r>
      <w:r w:rsidR="002D3EB2" w:rsidRPr="0024181B">
        <w:t xml:space="preserve">do not adequately </w:t>
      </w:r>
      <w:r w:rsidR="007B5A3E" w:rsidRPr="0024181B">
        <w:t>incentivize</w:t>
      </w:r>
      <w:r w:rsidR="002D3EB2" w:rsidRPr="0024181B">
        <w:t xml:space="preserve"> </w:t>
      </w:r>
      <w:r w:rsidR="009E12BD">
        <w:t xml:space="preserve">prosumers, </w:t>
      </w:r>
      <w:r w:rsidR="002D3EB2" w:rsidRPr="0024181B">
        <w:t xml:space="preserve">active consumers </w:t>
      </w:r>
      <w:r w:rsidR="009E12BD">
        <w:t>who self-generate and/or store,</w:t>
      </w:r>
      <w:r w:rsidR="007B45E2">
        <w:t xml:space="preserve"> and</w:t>
      </w:r>
      <w:r w:rsidR="009E12BD">
        <w:t xml:space="preserve"> </w:t>
      </w:r>
      <w:r w:rsidR="002D3EB2" w:rsidRPr="0024181B">
        <w:t>deliver local flexibility.</w:t>
      </w:r>
    </w:p>
    <w:p w14:paraId="7E815848" w14:textId="27A6A79F" w:rsidR="002D3EB2" w:rsidRPr="0024181B" w:rsidRDefault="00BD7169" w:rsidP="0011178E">
      <w:pPr>
        <w:pStyle w:val="ListParagraph"/>
        <w:numPr>
          <w:ilvl w:val="0"/>
          <w:numId w:val="3"/>
        </w:numPr>
      </w:pPr>
      <w:r>
        <w:t>The phase out of f</w:t>
      </w:r>
      <w:r w:rsidR="002D3EB2" w:rsidRPr="0024181B">
        <w:t>ossil fuels</w:t>
      </w:r>
      <w:r w:rsidR="007B5A3E">
        <w:t xml:space="preserve">, which </w:t>
      </w:r>
      <w:r w:rsidR="002D3EB2" w:rsidRPr="0024181B">
        <w:t xml:space="preserve">is a direct consequence of the EU-ETS quotas and subsidies for renewables. Low average electricity prices combined with a moderate </w:t>
      </w:r>
      <w:r w:rsidR="00226F32" w:rsidRPr="0024181B">
        <w:t>CO</w:t>
      </w:r>
      <w:r w:rsidR="00226F32" w:rsidRPr="00226F32">
        <w:rPr>
          <w:vertAlign w:val="subscript"/>
        </w:rPr>
        <w:t>2</w:t>
      </w:r>
      <w:r w:rsidR="002D3EB2" w:rsidRPr="0024181B">
        <w:t xml:space="preserve"> price </w:t>
      </w:r>
      <w:r w:rsidR="00A163B3">
        <w:t xml:space="preserve">has </w:t>
      </w:r>
      <w:r w:rsidR="00FC46D9" w:rsidRPr="0024181B">
        <w:t>part</w:t>
      </w:r>
      <w:r w:rsidR="00A163B3">
        <w:t>iall</w:t>
      </w:r>
      <w:r w:rsidR="00FC46D9" w:rsidRPr="0024181B">
        <w:t xml:space="preserve">y </w:t>
      </w:r>
      <w:r w:rsidR="002D3EB2" w:rsidRPr="0024181B">
        <w:t>crowd</w:t>
      </w:r>
      <w:r w:rsidR="00A163B3">
        <w:t>ed</w:t>
      </w:r>
      <w:r w:rsidR="002D3EB2" w:rsidRPr="0024181B">
        <w:t xml:space="preserve"> out </w:t>
      </w:r>
      <w:r w:rsidR="00A163B3" w:rsidRPr="0024181B">
        <w:t>fossil fuel-based electricity</w:t>
      </w:r>
      <w:r w:rsidR="002D3EB2" w:rsidRPr="0024181B">
        <w:t>. A</w:t>
      </w:r>
      <w:r w:rsidR="001C605A" w:rsidRPr="0024181B">
        <w:t>s</w:t>
      </w:r>
      <w:r w:rsidR="002D3EB2" w:rsidRPr="0024181B">
        <w:t xml:space="preserve"> </w:t>
      </w:r>
      <w:r w:rsidR="00226F32" w:rsidRPr="0024181B">
        <w:t>CO</w:t>
      </w:r>
      <w:r w:rsidR="00226F32" w:rsidRPr="00226F32">
        <w:rPr>
          <w:vertAlign w:val="subscript"/>
        </w:rPr>
        <w:t>2</w:t>
      </w:r>
      <w:r w:rsidR="002D3EB2" w:rsidRPr="0024181B">
        <w:t xml:space="preserve"> prices </w:t>
      </w:r>
      <w:r w:rsidR="00FD5425" w:rsidRPr="0024181B">
        <w:t>rise</w:t>
      </w:r>
      <w:r w:rsidR="00B65DEF">
        <w:t xml:space="preserve"> - </w:t>
      </w:r>
      <w:r w:rsidR="007B5A3E">
        <w:t>which</w:t>
      </w:r>
      <w:r w:rsidR="00B65DEF">
        <w:t xml:space="preserve"> </w:t>
      </w:r>
      <w:r w:rsidR="00084F15">
        <w:t>must occur</w:t>
      </w:r>
      <w:r w:rsidR="007B5A3E">
        <w:t xml:space="preserve"> in a </w:t>
      </w:r>
      <w:r w:rsidR="00A809D1">
        <w:t>cost-efficient</w:t>
      </w:r>
      <w:r w:rsidR="007B5A3E">
        <w:t xml:space="preserve"> policy environment</w:t>
      </w:r>
      <w:r w:rsidR="00B65DEF">
        <w:t xml:space="preserve"> - </w:t>
      </w:r>
      <w:r w:rsidR="002D3EB2" w:rsidRPr="0024181B">
        <w:t xml:space="preserve">this </w:t>
      </w:r>
      <w:r w:rsidR="007B5A3E">
        <w:t xml:space="preserve">crowding-out </w:t>
      </w:r>
      <w:r w:rsidR="002D3EB2" w:rsidRPr="0024181B">
        <w:t>effect will continue. A</w:t>
      </w:r>
      <w:r w:rsidR="00196AC7">
        <w:t xml:space="preserve"> </w:t>
      </w:r>
      <w:r w:rsidR="00227940">
        <w:t xml:space="preserve">critical </w:t>
      </w:r>
      <w:r w:rsidR="002D3EB2" w:rsidRPr="0024181B">
        <w:t>question</w:t>
      </w:r>
      <w:r w:rsidR="00D11A16">
        <w:t xml:space="preserve"> however, </w:t>
      </w:r>
      <w:r w:rsidR="002D3EB2" w:rsidRPr="0024181B">
        <w:t xml:space="preserve">is </w:t>
      </w:r>
      <w:r w:rsidR="002B02F3">
        <w:t>whether</w:t>
      </w:r>
      <w:r w:rsidR="002B02F3" w:rsidRPr="0024181B">
        <w:t xml:space="preserve"> </w:t>
      </w:r>
      <w:r w:rsidR="002D3EB2" w:rsidRPr="0024181B">
        <w:t xml:space="preserve">active consumers and </w:t>
      </w:r>
      <w:r w:rsidR="00196AC7">
        <w:t xml:space="preserve">(local) </w:t>
      </w:r>
      <w:r w:rsidR="002D3EB2" w:rsidRPr="0024181B">
        <w:t xml:space="preserve">storage alone can substitute the </w:t>
      </w:r>
      <w:r w:rsidR="002B02F3">
        <w:t>positive</w:t>
      </w:r>
      <w:r w:rsidR="002B02F3" w:rsidRPr="0024181B">
        <w:t xml:space="preserve"> </w:t>
      </w:r>
      <w:r w:rsidR="002D3EB2" w:rsidRPr="0024181B">
        <w:t>feature</w:t>
      </w:r>
      <w:r w:rsidR="001C45BA">
        <w:t>s</w:t>
      </w:r>
      <w:r w:rsidR="002D3EB2" w:rsidRPr="0024181B">
        <w:t xml:space="preserve"> of coal and gas</w:t>
      </w:r>
      <w:r w:rsidR="001C605A" w:rsidRPr="0024181B">
        <w:t>-based electricity generation</w:t>
      </w:r>
      <w:r w:rsidR="00FD5425" w:rsidRPr="0024181B">
        <w:t xml:space="preserve">. </w:t>
      </w:r>
      <w:r w:rsidR="00196AC7">
        <w:t xml:space="preserve">These types of </w:t>
      </w:r>
      <w:r w:rsidR="00FD5425" w:rsidRPr="0024181B">
        <w:t xml:space="preserve">power generation </w:t>
      </w:r>
      <w:proofErr w:type="gramStart"/>
      <w:r w:rsidR="002D3EB2" w:rsidRPr="0024181B">
        <w:t>can be planned and controlled</w:t>
      </w:r>
      <w:r w:rsidR="001C605A" w:rsidRPr="0024181B">
        <w:t>,</w:t>
      </w:r>
      <w:proofErr w:type="gramEnd"/>
      <w:r w:rsidR="001C605A" w:rsidRPr="0024181B">
        <w:t xml:space="preserve"> and </w:t>
      </w:r>
      <w:r w:rsidR="00D11A16">
        <w:t xml:space="preserve">in particular, </w:t>
      </w:r>
      <w:r w:rsidR="001C605A" w:rsidRPr="0024181B">
        <w:t xml:space="preserve">gas-fired generation can be </w:t>
      </w:r>
      <w:r w:rsidR="00E63B8E">
        <w:t xml:space="preserve">up or down </w:t>
      </w:r>
      <w:r w:rsidR="001C605A" w:rsidRPr="0024181B">
        <w:t xml:space="preserve">regulated very </w:t>
      </w:r>
      <w:r w:rsidR="00E63B8E">
        <w:t>rapidly</w:t>
      </w:r>
      <w:r w:rsidR="00196AC7">
        <w:t>, providing great flexibility to the electricity system at large</w:t>
      </w:r>
      <w:r w:rsidR="002D3EB2" w:rsidRPr="0024181B">
        <w:t>.</w:t>
      </w:r>
    </w:p>
    <w:p w14:paraId="4324AF7A" w14:textId="576F8DA9" w:rsidR="003C3FC9" w:rsidRDefault="002D3EB2" w:rsidP="0011178E">
      <w:pPr>
        <w:pStyle w:val="ListParagraph"/>
        <w:numPr>
          <w:ilvl w:val="0"/>
          <w:numId w:val="3"/>
        </w:numPr>
      </w:pPr>
      <w:r w:rsidRPr="0024181B">
        <w:t xml:space="preserve">More dynamic </w:t>
      </w:r>
      <w:r w:rsidR="00FD5425" w:rsidRPr="0024181B">
        <w:t xml:space="preserve">and integrated </w:t>
      </w:r>
      <w:r w:rsidRPr="0024181B">
        <w:t>management of energy carriers</w:t>
      </w:r>
      <w:r w:rsidR="001C605A" w:rsidRPr="0024181B">
        <w:t>,</w:t>
      </w:r>
      <w:r w:rsidRPr="0024181B">
        <w:t xml:space="preserve"> and substitution between the</w:t>
      </w:r>
      <w:r w:rsidR="00916237">
        <w:t>m</w:t>
      </w:r>
      <w:r w:rsidRPr="0024181B">
        <w:t>, to provide flexibility. This is a distribut</w:t>
      </w:r>
      <w:r w:rsidR="00216961">
        <w:t>ion</w:t>
      </w:r>
      <w:r w:rsidRPr="0024181B">
        <w:t xml:space="preserve"> aspect, </w:t>
      </w:r>
      <w:r w:rsidR="00196AC7">
        <w:t xml:space="preserve">since </w:t>
      </w:r>
      <w:r w:rsidRPr="0024181B">
        <w:t xml:space="preserve">heat </w:t>
      </w:r>
      <w:proofErr w:type="gramStart"/>
      <w:r w:rsidRPr="0024181B">
        <w:t xml:space="preserve">is </w:t>
      </w:r>
      <w:r w:rsidR="00FD5425" w:rsidRPr="0024181B">
        <w:t xml:space="preserve">produced and </w:t>
      </w:r>
      <w:r w:rsidRPr="0024181B">
        <w:t>managed locally,</w:t>
      </w:r>
      <w:proofErr w:type="gramEnd"/>
      <w:r w:rsidRPr="0024181B">
        <w:t xml:space="preserve"> but</w:t>
      </w:r>
      <w:r w:rsidR="000A6E0A">
        <w:t xml:space="preserve"> it</w:t>
      </w:r>
      <w:r w:rsidRPr="0024181B">
        <w:t xml:space="preserve"> </w:t>
      </w:r>
      <w:r w:rsidR="00916237">
        <w:t xml:space="preserve">is often </w:t>
      </w:r>
      <w:r w:rsidRPr="0024181B">
        <w:t>linked to natural gas and electricity infrastructure with both central an</w:t>
      </w:r>
      <w:r w:rsidR="001C605A" w:rsidRPr="0024181B">
        <w:t>d</w:t>
      </w:r>
      <w:r w:rsidRPr="0024181B">
        <w:t xml:space="preserve"> local relevance.</w:t>
      </w:r>
      <w:r w:rsidR="003C3FC9">
        <w:t xml:space="preserve"> </w:t>
      </w:r>
    </w:p>
    <w:p w14:paraId="716CB5C2" w14:textId="1B756980" w:rsidR="002D3EB2" w:rsidRPr="0024181B" w:rsidRDefault="003C3FC9" w:rsidP="0011178E">
      <w:pPr>
        <w:pStyle w:val="ListParagraph"/>
        <w:numPr>
          <w:ilvl w:val="0"/>
          <w:numId w:val="3"/>
        </w:numPr>
      </w:pPr>
      <w:r>
        <w:t xml:space="preserve">Heating based on </w:t>
      </w:r>
      <w:proofErr w:type="gramStart"/>
      <w:r>
        <w:t>hydrogen</w:t>
      </w:r>
      <w:r w:rsidR="0011178E">
        <w:t>,</w:t>
      </w:r>
      <w:proofErr w:type="gramEnd"/>
      <w:r w:rsidR="0011178E">
        <w:t xml:space="preserve"> possibly</w:t>
      </w:r>
      <w:r>
        <w:t xml:space="preserve"> mixed with natural gas</w:t>
      </w:r>
      <w:r w:rsidR="008615F8">
        <w:t>. This</w:t>
      </w:r>
      <w:r>
        <w:t xml:space="preserve"> also links the local and central energy systems and makes energy system integration more important.</w:t>
      </w:r>
    </w:p>
    <w:p w14:paraId="7285B687" w14:textId="115C45EC" w:rsidR="002D3EB2" w:rsidRPr="0024181B" w:rsidRDefault="00916237" w:rsidP="0011178E">
      <w:pPr>
        <w:pStyle w:val="ListParagraph"/>
        <w:numPr>
          <w:ilvl w:val="0"/>
          <w:numId w:val="3"/>
        </w:numPr>
      </w:pPr>
      <w:r>
        <w:t>Low / z</w:t>
      </w:r>
      <w:r w:rsidR="002D3EB2" w:rsidRPr="0024181B">
        <w:t>ero emission transport</w:t>
      </w:r>
      <w:r w:rsidR="00ED4B4C">
        <w:t>.</w:t>
      </w:r>
      <w:r w:rsidR="002D3EB2" w:rsidRPr="0024181B">
        <w:t xml:space="preserve"> The non</w:t>
      </w:r>
      <w:r w:rsidR="001C605A" w:rsidRPr="0024181B">
        <w:t>-</w:t>
      </w:r>
      <w:r w:rsidR="002D3EB2" w:rsidRPr="0024181B">
        <w:t>quota sector</w:t>
      </w:r>
      <w:r w:rsidR="001C605A" w:rsidRPr="0024181B">
        <w:t>s (sectors not included in the ETS)</w:t>
      </w:r>
      <w:r w:rsidR="002D3EB2" w:rsidRPr="0024181B">
        <w:t xml:space="preserve"> </w:t>
      </w:r>
      <w:r w:rsidR="00834374" w:rsidRPr="0024181B">
        <w:t xml:space="preserve">have </w:t>
      </w:r>
      <w:r w:rsidR="002D3EB2" w:rsidRPr="0024181B">
        <w:t xml:space="preserve">to reduce emissions by 30% </w:t>
      </w:r>
      <w:r w:rsidR="00834374" w:rsidRPr="0024181B">
        <w:t xml:space="preserve">by </w:t>
      </w:r>
      <w:r w:rsidR="002D3EB2" w:rsidRPr="0024181B">
        <w:t xml:space="preserve">2030 </w:t>
      </w:r>
      <w:r w:rsidR="00834374" w:rsidRPr="0024181B">
        <w:t xml:space="preserve">according to </w:t>
      </w:r>
      <w:r w:rsidR="002D3EB2" w:rsidRPr="0024181B">
        <w:t>EU policy. T</w:t>
      </w:r>
      <w:r w:rsidR="002D40C8">
        <w:t>he t</w:t>
      </w:r>
      <w:r w:rsidR="002D3EB2" w:rsidRPr="0024181B">
        <w:t xml:space="preserve">ransport </w:t>
      </w:r>
      <w:r w:rsidR="002D40C8">
        <w:t xml:space="preserve">sector </w:t>
      </w:r>
      <w:r w:rsidR="002D3EB2" w:rsidRPr="0024181B">
        <w:t xml:space="preserve">is likely to </w:t>
      </w:r>
      <w:r w:rsidR="00834374" w:rsidRPr="0024181B">
        <w:t xml:space="preserve">account for </w:t>
      </w:r>
      <w:r w:rsidR="002D3EB2" w:rsidRPr="0024181B">
        <w:t>a major part of that</w:t>
      </w:r>
      <w:r w:rsidR="00834374" w:rsidRPr="0024181B">
        <w:t xml:space="preserve"> reduction</w:t>
      </w:r>
      <w:r w:rsidR="002D3EB2" w:rsidRPr="0024181B">
        <w:t xml:space="preserve">. </w:t>
      </w:r>
      <w:r w:rsidR="00834374" w:rsidRPr="0024181B">
        <w:t xml:space="preserve">It </w:t>
      </w:r>
      <w:proofErr w:type="gramStart"/>
      <w:r w:rsidR="00834374" w:rsidRPr="0024181B">
        <w:t>is expected</w:t>
      </w:r>
      <w:proofErr w:type="gramEnd"/>
      <w:r w:rsidR="00834374" w:rsidRPr="0024181B">
        <w:t xml:space="preserve"> that a mixture of h</w:t>
      </w:r>
      <w:r w:rsidR="002D3EB2" w:rsidRPr="0024181B">
        <w:t>ydrogen, electricity</w:t>
      </w:r>
      <w:r w:rsidR="007F7B32">
        <w:t>,</w:t>
      </w:r>
      <w:r w:rsidR="002D3EB2" w:rsidRPr="0024181B">
        <w:t xml:space="preserve"> </w:t>
      </w:r>
      <w:r w:rsidR="00834374" w:rsidRPr="0024181B">
        <w:t xml:space="preserve">and </w:t>
      </w:r>
      <w:r w:rsidR="002D3EB2" w:rsidRPr="0024181B">
        <w:t>biofuels</w:t>
      </w:r>
      <w:r w:rsidR="00834374" w:rsidRPr="0024181B">
        <w:t xml:space="preserve"> will enable this. For personal cars, electrification is promising</w:t>
      </w:r>
      <w:r w:rsidR="00196AC7">
        <w:t xml:space="preserve"> </w:t>
      </w:r>
      <w:r w:rsidR="00385340">
        <w:t xml:space="preserve">(although </w:t>
      </w:r>
      <w:r w:rsidR="00196AC7">
        <w:t>not the only option</w:t>
      </w:r>
      <w:r w:rsidR="00385340">
        <w:t>)</w:t>
      </w:r>
      <w:proofErr w:type="gramStart"/>
      <w:r w:rsidR="007F7B32">
        <w:t>;</w:t>
      </w:r>
      <w:proofErr w:type="gramEnd"/>
      <w:r w:rsidR="00834374" w:rsidRPr="0024181B">
        <w:t xml:space="preserve"> whereas</w:t>
      </w:r>
      <w:r w:rsidR="007F7B32">
        <w:t>,</w:t>
      </w:r>
      <w:r w:rsidR="00834374" w:rsidRPr="0024181B">
        <w:t xml:space="preserve"> for large commercial vehicles, ships</w:t>
      </w:r>
      <w:r w:rsidR="007F7B32">
        <w:t>,</w:t>
      </w:r>
      <w:r w:rsidR="00834374" w:rsidRPr="0024181B">
        <w:t xml:space="preserve"> and aircraft</w:t>
      </w:r>
      <w:r w:rsidR="00291B83">
        <w:t>,</w:t>
      </w:r>
      <w:r w:rsidR="00834374" w:rsidRPr="0024181B">
        <w:t xml:space="preserve"> </w:t>
      </w:r>
      <w:r w:rsidR="00FA7AC2" w:rsidRPr="0024181B">
        <w:t xml:space="preserve">a major role for hydrogen and biofuels is very likely. </w:t>
      </w:r>
      <w:r w:rsidR="00385340">
        <w:t>(</w:t>
      </w:r>
      <w:r w:rsidR="007F7B32">
        <w:t xml:space="preserve">This </w:t>
      </w:r>
      <w:r w:rsidR="007F7B32" w:rsidRPr="0024181B">
        <w:t>connect</w:t>
      </w:r>
      <w:r w:rsidR="007F7B32">
        <w:t>s</w:t>
      </w:r>
      <w:r w:rsidR="007F7B32" w:rsidRPr="0024181B">
        <w:t xml:space="preserve"> </w:t>
      </w:r>
      <w:r w:rsidR="007F7B32">
        <w:t xml:space="preserve">several </w:t>
      </w:r>
      <w:r w:rsidR="007F7B32" w:rsidRPr="0024181B">
        <w:t>sectors and options</w:t>
      </w:r>
      <w:r w:rsidR="007F7B32">
        <w:t xml:space="preserve"> a</w:t>
      </w:r>
      <w:r w:rsidR="00385340">
        <w:t>s h</w:t>
      </w:r>
      <w:r w:rsidR="00FA7AC2" w:rsidRPr="0024181B">
        <w:t xml:space="preserve">ydrogen </w:t>
      </w:r>
      <w:proofErr w:type="gramStart"/>
      <w:r w:rsidR="00FA7AC2" w:rsidRPr="0024181B">
        <w:t>can be produced</w:t>
      </w:r>
      <w:proofErr w:type="gramEnd"/>
      <w:r w:rsidR="00FA7AC2" w:rsidRPr="0024181B">
        <w:t xml:space="preserve"> via electrolysis with (clean) electricity</w:t>
      </w:r>
      <w:r w:rsidR="00385340">
        <w:t xml:space="preserve"> </w:t>
      </w:r>
      <w:r w:rsidR="00A809D1">
        <w:t xml:space="preserve">but also </w:t>
      </w:r>
      <w:r w:rsidR="007F7B32">
        <w:t>with</w:t>
      </w:r>
      <w:r w:rsidR="00FA7AC2" w:rsidRPr="0024181B">
        <w:t xml:space="preserve"> biofuels </w:t>
      </w:r>
      <w:r w:rsidR="00385340">
        <w:t xml:space="preserve">or </w:t>
      </w:r>
      <w:r w:rsidR="00FA7AC2" w:rsidRPr="0024181B">
        <w:t>natural gas</w:t>
      </w:r>
      <w:r w:rsidR="00385340">
        <w:t xml:space="preserve"> with CCS</w:t>
      </w:r>
      <w:r w:rsidR="00A809D1">
        <w:t>)</w:t>
      </w:r>
      <w:r w:rsidR="00FA7AC2" w:rsidRPr="0024181B">
        <w:t>.</w:t>
      </w:r>
    </w:p>
    <w:p w14:paraId="0EB85E58" w14:textId="410082C6" w:rsidR="009A3889" w:rsidRDefault="002D3EB2" w:rsidP="0011178E">
      <w:pPr>
        <w:pStyle w:val="ListParagraph"/>
        <w:numPr>
          <w:ilvl w:val="0"/>
          <w:numId w:val="3"/>
        </w:numPr>
      </w:pPr>
      <w:r w:rsidRPr="0024181B">
        <w:t>Carbon capture and storage</w:t>
      </w:r>
      <w:r w:rsidR="00385340">
        <w:t>. I</w:t>
      </w:r>
      <w:r w:rsidRPr="0024181B">
        <w:t xml:space="preserve">n the future </w:t>
      </w:r>
      <w:r w:rsidR="00385340">
        <w:t xml:space="preserve">energy </w:t>
      </w:r>
      <w:r w:rsidRPr="0024181B">
        <w:t>system</w:t>
      </w:r>
      <w:r w:rsidR="00385340">
        <w:t>,</w:t>
      </w:r>
      <w:r w:rsidRPr="0024181B">
        <w:t xml:space="preserve"> CCS</w:t>
      </w:r>
      <w:r w:rsidR="00385340">
        <w:t xml:space="preserve"> can </w:t>
      </w:r>
      <w:r w:rsidR="006E1843">
        <w:t>have a large role</w:t>
      </w:r>
      <w:r w:rsidRPr="0024181B">
        <w:t>. If success</w:t>
      </w:r>
      <w:r w:rsidR="00707A76">
        <w:t>ful</w:t>
      </w:r>
      <w:r w:rsidR="00FA7AC2" w:rsidRPr="0024181B">
        <w:t>,</w:t>
      </w:r>
      <w:r w:rsidRPr="0024181B">
        <w:t xml:space="preserve"> in terms of acceptance, costs</w:t>
      </w:r>
      <w:r w:rsidR="00707A76">
        <w:t>,</w:t>
      </w:r>
      <w:r w:rsidRPr="0024181B">
        <w:t xml:space="preserve"> and </w:t>
      </w:r>
      <w:r w:rsidR="00196AC7" w:rsidRPr="0024181B">
        <w:t>commercializ</w:t>
      </w:r>
      <w:r w:rsidR="00A809D1">
        <w:t>ing</w:t>
      </w:r>
      <w:r w:rsidRPr="0024181B">
        <w:t xml:space="preserve"> infrastructure, it will </w:t>
      </w:r>
      <w:r w:rsidR="00585596">
        <w:t>enable</w:t>
      </w:r>
      <w:r w:rsidRPr="0024181B">
        <w:t xml:space="preserve"> </w:t>
      </w:r>
      <w:r w:rsidR="00196AC7" w:rsidRPr="0024181B">
        <w:t>centralized</w:t>
      </w:r>
      <w:r w:rsidRPr="0024181B">
        <w:t xml:space="preserve"> </w:t>
      </w:r>
      <w:r w:rsidR="00FA7AC2" w:rsidRPr="0024181B">
        <w:t xml:space="preserve">generation </w:t>
      </w:r>
      <w:r w:rsidRPr="0024181B">
        <w:t xml:space="preserve">infrastructure to </w:t>
      </w:r>
      <w:r w:rsidR="00FA7AC2" w:rsidRPr="0024181B">
        <w:t xml:space="preserve">continue to </w:t>
      </w:r>
      <w:r w:rsidRPr="0024181B">
        <w:t>play a role in a</w:t>
      </w:r>
      <w:r w:rsidR="00FA7AC2" w:rsidRPr="0024181B">
        <w:t>n electricity</w:t>
      </w:r>
      <w:r w:rsidRPr="0024181B">
        <w:t xml:space="preserve"> system with a more distributed nature, providing flexibility and controllability.</w:t>
      </w:r>
      <w:r w:rsidR="00196AC7">
        <w:t xml:space="preserve"> In some industry sectors (</w:t>
      </w:r>
      <w:r w:rsidR="00185CE6">
        <w:t xml:space="preserve">such as </w:t>
      </w:r>
      <w:r w:rsidR="00196AC7">
        <w:t>metal smelting</w:t>
      </w:r>
      <w:r w:rsidR="00185CE6">
        <w:t xml:space="preserve"> and </w:t>
      </w:r>
      <w:r w:rsidR="00196AC7">
        <w:t xml:space="preserve">cement production) CCS </w:t>
      </w:r>
      <w:r w:rsidR="00385340">
        <w:t xml:space="preserve">is </w:t>
      </w:r>
      <w:r w:rsidR="00196AC7">
        <w:t xml:space="preserve">the only option for preventing </w:t>
      </w:r>
      <w:r w:rsidR="00226F32" w:rsidRPr="0024181B">
        <w:t>CO</w:t>
      </w:r>
      <w:r w:rsidR="00226F32" w:rsidRPr="00226F32">
        <w:rPr>
          <w:vertAlign w:val="subscript"/>
        </w:rPr>
        <w:t>2</w:t>
      </w:r>
      <w:r w:rsidR="00196AC7">
        <w:t xml:space="preserve"> emissions, which </w:t>
      </w:r>
      <w:r w:rsidR="00385340">
        <w:t xml:space="preserve">increases </w:t>
      </w:r>
      <w:r w:rsidR="00196AC7">
        <w:t xml:space="preserve">the </w:t>
      </w:r>
      <w:r w:rsidR="00385340">
        <w:t>likelihood</w:t>
      </w:r>
      <w:r w:rsidR="00196AC7">
        <w:t xml:space="preserve"> </w:t>
      </w:r>
      <w:r w:rsidR="00A809D1">
        <w:t xml:space="preserve">that CCS technology </w:t>
      </w:r>
      <w:proofErr w:type="gramStart"/>
      <w:r w:rsidR="00A809D1">
        <w:t xml:space="preserve">will be </w:t>
      </w:r>
      <w:r w:rsidR="00196AC7">
        <w:t>develop</w:t>
      </w:r>
      <w:r w:rsidR="00A809D1">
        <w:t>ed</w:t>
      </w:r>
      <w:proofErr w:type="gramEnd"/>
      <w:r w:rsidR="00196AC7">
        <w:t>.</w:t>
      </w:r>
    </w:p>
    <w:p w14:paraId="52080ED7" w14:textId="77777777" w:rsidR="002D3EB2" w:rsidRPr="0024181B" w:rsidRDefault="00385340" w:rsidP="0011178E">
      <w:pPr>
        <w:pStyle w:val="ListParagraph"/>
        <w:numPr>
          <w:ilvl w:val="0"/>
          <w:numId w:val="3"/>
        </w:numPr>
      </w:pPr>
      <w:r>
        <w:t>T</w:t>
      </w:r>
      <w:r w:rsidR="009A3889">
        <w:t>he Paris Agreement</w:t>
      </w:r>
      <w:r>
        <w:t xml:space="preserve">. Signed and ratified </w:t>
      </w:r>
      <w:r w:rsidR="00147D0B">
        <w:t xml:space="preserve">by a </w:t>
      </w:r>
      <w:r w:rsidR="00A809D1">
        <w:t xml:space="preserve">large </w:t>
      </w:r>
      <w:r w:rsidR="00147D0B">
        <w:t xml:space="preserve">majority of the </w:t>
      </w:r>
      <w:r w:rsidR="009A3889">
        <w:t xml:space="preserve">countries in the world </w:t>
      </w:r>
      <w:r w:rsidR="00147D0B">
        <w:t>underpinning the international commit</w:t>
      </w:r>
      <w:r>
        <w:t>ment</w:t>
      </w:r>
      <w:r w:rsidR="00147D0B">
        <w:t xml:space="preserve"> to reduce </w:t>
      </w:r>
      <w:r w:rsidR="009A3889">
        <w:t>Greenhouse Gas emission</w:t>
      </w:r>
      <w:r>
        <w:t>s</w:t>
      </w:r>
      <w:r w:rsidR="00147D0B">
        <w:t>.</w:t>
      </w:r>
    </w:p>
    <w:p w14:paraId="1A2E22C7" w14:textId="0A6057AC" w:rsidR="002D3EB2" w:rsidRPr="00F337B4" w:rsidRDefault="00196AC7" w:rsidP="008A61EB">
      <w:pPr>
        <w:pStyle w:val="Heading1"/>
      </w:pPr>
      <w:r w:rsidRPr="00F337B4">
        <w:lastRenderedPageBreak/>
        <w:t xml:space="preserve">Norway´s possible role </w:t>
      </w:r>
      <w:r w:rsidR="002D3EB2" w:rsidRPr="00F337B4">
        <w:t>in the European energy transition</w:t>
      </w:r>
    </w:p>
    <w:p w14:paraId="76F8E982" w14:textId="3BA6080F" w:rsidR="00550AC0" w:rsidRDefault="00550AC0" w:rsidP="0011178E">
      <w:r>
        <w:t>Norway's hydropower reservoirs are very flexible and clean energy resource</w:t>
      </w:r>
      <w:r w:rsidR="008D7089">
        <w:t>s</w:t>
      </w:r>
      <w:r>
        <w:t xml:space="preserve"> that can facilitate both the transition to and the operation of a European-wide clean energy system. </w:t>
      </w:r>
      <w:r w:rsidR="00147D0B">
        <w:t xml:space="preserve">The same </w:t>
      </w:r>
      <w:r w:rsidR="00A809D1">
        <w:t xml:space="preserve">is true </w:t>
      </w:r>
      <w:r w:rsidR="00147D0B">
        <w:t xml:space="preserve">for </w:t>
      </w:r>
      <w:r>
        <w:t>Norw</w:t>
      </w:r>
      <w:r w:rsidR="00147D0B">
        <w:t xml:space="preserve">egian natural gas </w:t>
      </w:r>
      <w:r>
        <w:t>resource</w:t>
      </w:r>
      <w:r w:rsidR="0040631C">
        <w:t>s</w:t>
      </w:r>
      <w:r w:rsidR="00FC46D9">
        <w:t xml:space="preserve"> and </w:t>
      </w:r>
      <w:r w:rsidR="00361F18">
        <w:t xml:space="preserve">its </w:t>
      </w:r>
      <w:r w:rsidR="00FC46D9">
        <w:t xml:space="preserve">offshore transmission </w:t>
      </w:r>
      <w:r w:rsidR="00585596">
        <w:t>grid</w:t>
      </w:r>
      <w:r w:rsidR="00AE2BDB">
        <w:t xml:space="preserve">, </w:t>
      </w:r>
      <w:r w:rsidR="00585596">
        <w:t>which</w:t>
      </w:r>
      <w:r w:rsidR="008B295E">
        <w:t>,</w:t>
      </w:r>
      <w:r w:rsidR="00585596">
        <w:t xml:space="preserve"> </w:t>
      </w:r>
      <w:r w:rsidR="00147D0B">
        <w:t xml:space="preserve">when </w:t>
      </w:r>
      <w:r>
        <w:t>combined with CCS</w:t>
      </w:r>
      <w:r w:rsidR="008B295E">
        <w:t>,</w:t>
      </w:r>
      <w:r w:rsidR="00585596">
        <w:t xml:space="preserve"> can continue providing clean base-load energy supply while a modified operation of the offshore gas grid would open up a large controllable flexibility source</w:t>
      </w:r>
      <w:r w:rsidR="00147D0B">
        <w:t>.</w:t>
      </w:r>
      <w:r w:rsidR="00284F37">
        <w:t xml:space="preserve"> </w:t>
      </w:r>
    </w:p>
    <w:p w14:paraId="4623096D" w14:textId="7EE6C7D5" w:rsidR="00474FD4" w:rsidRDefault="00AE2BDB" w:rsidP="0011178E">
      <w:r>
        <w:t>Considering h</w:t>
      </w:r>
      <w:r w:rsidR="00FA7AC2" w:rsidRPr="0024181B">
        <w:t>ydro</w:t>
      </w:r>
      <w:r w:rsidR="002D3EB2" w:rsidRPr="0024181B">
        <w:t xml:space="preserve">power: </w:t>
      </w:r>
      <w:r w:rsidR="00185CE6">
        <w:t xml:space="preserve">Yearly average </w:t>
      </w:r>
      <w:r w:rsidR="002D3EB2" w:rsidRPr="0024181B">
        <w:t>Norw</w:t>
      </w:r>
      <w:r>
        <w:t>egian hydropower</w:t>
      </w:r>
      <w:r w:rsidR="00185CE6">
        <w:t xml:space="preserve"> generation</w:t>
      </w:r>
      <w:r>
        <w:t xml:space="preserve"> </w:t>
      </w:r>
      <w:r w:rsidR="00B80F07">
        <w:t xml:space="preserve">of </w:t>
      </w:r>
      <w:r w:rsidR="00474FD4">
        <w:t>about 13</w:t>
      </w:r>
      <w:r w:rsidR="0040631C">
        <w:t>5</w:t>
      </w:r>
      <w:r w:rsidR="00474FD4">
        <w:t xml:space="preserve"> </w:t>
      </w:r>
      <w:proofErr w:type="spellStart"/>
      <w:r w:rsidR="00474FD4">
        <w:t>TWh</w:t>
      </w:r>
      <w:proofErr w:type="spellEnd"/>
      <w:r w:rsidR="00474FD4">
        <w:t xml:space="preserve"> </w:t>
      </w:r>
      <w:r>
        <w:t>is</w:t>
      </w:r>
      <w:r w:rsidR="00A809D1">
        <w:t xml:space="preserve"> </w:t>
      </w:r>
      <w:r w:rsidR="00185CE6">
        <w:t xml:space="preserve">larger than average </w:t>
      </w:r>
      <w:r>
        <w:t xml:space="preserve">domestic </w:t>
      </w:r>
      <w:r w:rsidR="00843258">
        <w:t xml:space="preserve">electricity </w:t>
      </w:r>
      <w:r>
        <w:t xml:space="preserve">consumption. </w:t>
      </w:r>
      <w:r w:rsidR="00843258">
        <w:t xml:space="preserve">Although </w:t>
      </w:r>
      <w:r w:rsidR="003C3FC9">
        <w:t xml:space="preserve">future </w:t>
      </w:r>
      <w:r w:rsidR="00843258">
        <w:t xml:space="preserve">generation surpluses </w:t>
      </w:r>
      <w:r w:rsidR="00474FD4">
        <w:t xml:space="preserve">(from hydro and </w:t>
      </w:r>
      <w:r w:rsidR="003C3FC9">
        <w:t xml:space="preserve">new wind power </w:t>
      </w:r>
      <w:r w:rsidR="00474FD4">
        <w:t xml:space="preserve">generation) </w:t>
      </w:r>
      <w:r w:rsidR="003C3FC9">
        <w:t xml:space="preserve">will </w:t>
      </w:r>
      <w:r w:rsidR="00843258">
        <w:t xml:space="preserve">allow for significant exports, </w:t>
      </w:r>
      <w:r w:rsidR="003C3FC9">
        <w:t xml:space="preserve">the </w:t>
      </w:r>
      <w:r w:rsidR="00B80F07">
        <w:t xml:space="preserve">transmission </w:t>
      </w:r>
      <w:r w:rsidR="003C3FC9">
        <w:t xml:space="preserve">cables </w:t>
      </w:r>
      <w:proofErr w:type="gramStart"/>
      <w:r w:rsidR="003C3FC9">
        <w:t>will be used</w:t>
      </w:r>
      <w:proofErr w:type="gramEnd"/>
      <w:r w:rsidR="003C3FC9">
        <w:t xml:space="preserve"> to exploit price differences in the energy markets </w:t>
      </w:r>
      <w:r w:rsidR="00B80F07" w:rsidRPr="00E16D88">
        <w:rPr>
          <w:i/>
        </w:rPr>
        <w:t>in both directions</w:t>
      </w:r>
      <w:r w:rsidR="00E16D88">
        <w:rPr>
          <w:i/>
        </w:rPr>
        <w:t>;</w:t>
      </w:r>
      <w:r w:rsidR="00B80F07">
        <w:t xml:space="preserve"> </w:t>
      </w:r>
      <w:r w:rsidR="00843258">
        <w:t xml:space="preserve">major imports </w:t>
      </w:r>
      <w:r w:rsidR="00E16D88">
        <w:t xml:space="preserve">will </w:t>
      </w:r>
      <w:r w:rsidR="00843258">
        <w:t>occur</w:t>
      </w:r>
      <w:r w:rsidR="00474FD4">
        <w:t xml:space="preserve"> frequently</w:t>
      </w:r>
      <w:r w:rsidR="00843258">
        <w:t>. This is mostly due to t</w:t>
      </w:r>
      <w:r w:rsidR="002D3EB2" w:rsidRPr="0024181B">
        <w:t xml:space="preserve">he main strength of the Norwegian </w:t>
      </w:r>
      <w:r w:rsidR="00A809D1">
        <w:t xml:space="preserve">power </w:t>
      </w:r>
      <w:r w:rsidR="002D3EB2" w:rsidRPr="0024181B">
        <w:t>system</w:t>
      </w:r>
      <w:r w:rsidR="0040631C">
        <w:t>:</w:t>
      </w:r>
      <w:r w:rsidR="002D3EB2" w:rsidRPr="0024181B">
        <w:t xml:space="preserve"> </w:t>
      </w:r>
      <w:r w:rsidR="00843258">
        <w:t xml:space="preserve">its </w:t>
      </w:r>
      <w:r w:rsidR="002D3EB2" w:rsidRPr="0024181B">
        <w:t>flexibility</w:t>
      </w:r>
      <w:r w:rsidR="00843258">
        <w:t>.</w:t>
      </w:r>
      <w:r w:rsidR="00474FD4">
        <w:t xml:space="preserve"> </w:t>
      </w:r>
      <w:r w:rsidR="00760922">
        <w:t>In contrast to most other power generation technologies, h</w:t>
      </w:r>
      <w:r w:rsidR="00474FD4">
        <w:t xml:space="preserve">ydropower generators </w:t>
      </w:r>
      <w:proofErr w:type="gramStart"/>
      <w:r w:rsidR="00474FD4">
        <w:t>can be</w:t>
      </w:r>
      <w:r w:rsidR="00E614F0">
        <w:t xml:space="preserve"> rapidly up and down</w:t>
      </w:r>
      <w:r w:rsidR="00474FD4">
        <w:t xml:space="preserve"> regulated</w:t>
      </w:r>
      <w:proofErr w:type="gramEnd"/>
      <w:r w:rsidR="00A809D1">
        <w:t xml:space="preserve"> at </w:t>
      </w:r>
      <w:r w:rsidR="00E614F0">
        <w:t xml:space="preserve">a </w:t>
      </w:r>
      <w:r w:rsidR="00A809D1">
        <w:t>low cost</w:t>
      </w:r>
      <w:r w:rsidR="00474FD4">
        <w:t xml:space="preserve">. </w:t>
      </w:r>
      <w:r w:rsidR="00ED6A54">
        <w:t>For</w:t>
      </w:r>
      <w:r w:rsidR="00885184">
        <w:t xml:space="preserve"> example, </w:t>
      </w:r>
      <w:r w:rsidR="00474FD4">
        <w:t xml:space="preserve">in </w:t>
      </w:r>
      <w:r w:rsidR="0040631C">
        <w:t xml:space="preserve">low demand </w:t>
      </w:r>
      <w:r w:rsidR="00474FD4">
        <w:t xml:space="preserve">periods </w:t>
      </w:r>
      <w:r w:rsidR="005D2088">
        <w:t xml:space="preserve">consisting of </w:t>
      </w:r>
      <w:r w:rsidR="0040631C">
        <w:t xml:space="preserve">a few </w:t>
      </w:r>
      <w:r w:rsidR="00474FD4">
        <w:t>hours</w:t>
      </w:r>
      <w:r w:rsidR="005D2088">
        <w:t>,</w:t>
      </w:r>
      <w:r w:rsidR="00474FD4">
        <w:t xml:space="preserve"> Sweden may </w:t>
      </w:r>
      <w:r w:rsidR="005D2088">
        <w:t xml:space="preserve">prefer </w:t>
      </w:r>
      <w:r w:rsidR="00474FD4">
        <w:t xml:space="preserve">not </w:t>
      </w:r>
      <w:r w:rsidR="005D2088">
        <w:t xml:space="preserve">to </w:t>
      </w:r>
      <w:r w:rsidR="00474FD4">
        <w:t xml:space="preserve">turn off thermal or nuclear production, but </w:t>
      </w:r>
      <w:r w:rsidR="005D2088">
        <w:t xml:space="preserve">rather </w:t>
      </w:r>
      <w:r w:rsidR="00474FD4">
        <w:t>export its surplus to Norway. Similarly, in periods of high wind-power generation, Denmark can export its surplus to Norway. In opposite situations the</w:t>
      </w:r>
      <w:r w:rsidR="0040631C">
        <w:t xml:space="preserve">y </w:t>
      </w:r>
      <w:r w:rsidR="00474FD4">
        <w:t xml:space="preserve">can </w:t>
      </w:r>
      <w:r w:rsidR="00C74B41">
        <w:t xml:space="preserve">both </w:t>
      </w:r>
      <w:r w:rsidR="00474FD4">
        <w:t xml:space="preserve">import from Norway </w:t>
      </w:r>
      <w:proofErr w:type="gramStart"/>
      <w:r w:rsidR="00474FD4">
        <w:t>to cost-efficiently balance</w:t>
      </w:r>
      <w:proofErr w:type="gramEnd"/>
      <w:r w:rsidR="00474FD4">
        <w:t xml:space="preserve"> their domestic markets.</w:t>
      </w:r>
    </w:p>
    <w:p w14:paraId="492D7556" w14:textId="112009E4" w:rsidR="00ED0393" w:rsidRDefault="00474FD4" w:rsidP="00E16D88">
      <w:r>
        <w:t xml:space="preserve">In </w:t>
      </w:r>
      <w:r w:rsidR="00450B3D">
        <w:t>today's</w:t>
      </w:r>
      <w:r>
        <w:t xml:space="preserve"> </w:t>
      </w:r>
      <w:r w:rsidR="0042535B">
        <w:t xml:space="preserve">power </w:t>
      </w:r>
      <w:r>
        <w:t xml:space="preserve">markets, </w:t>
      </w:r>
      <w:r w:rsidR="002D3EB2" w:rsidRPr="0024181B">
        <w:t xml:space="preserve">most of </w:t>
      </w:r>
      <w:r w:rsidR="00A926B0">
        <w:t xml:space="preserve">such </w:t>
      </w:r>
      <w:r w:rsidR="00FA7AC2" w:rsidRPr="0024181B">
        <w:t xml:space="preserve">international </w:t>
      </w:r>
      <w:r w:rsidR="002D3EB2" w:rsidRPr="0024181B">
        <w:t xml:space="preserve">exchange </w:t>
      </w:r>
      <w:proofErr w:type="gramStart"/>
      <w:r w:rsidR="002D3EB2" w:rsidRPr="0024181B">
        <w:t xml:space="preserve">is </w:t>
      </w:r>
      <w:r>
        <w:t>based</w:t>
      </w:r>
      <w:proofErr w:type="gramEnd"/>
      <w:r>
        <w:t xml:space="preserve"> on </w:t>
      </w:r>
      <w:r w:rsidR="002D3EB2" w:rsidRPr="0024181B">
        <w:t>hourly price differences</w:t>
      </w:r>
      <w:r>
        <w:t xml:space="preserve"> only</w:t>
      </w:r>
      <w:r w:rsidR="002D3EB2" w:rsidRPr="0024181B">
        <w:t xml:space="preserve">. </w:t>
      </w:r>
      <w:r>
        <w:t>This</w:t>
      </w:r>
      <w:r w:rsidR="00450B3D">
        <w:t xml:space="preserve"> does not </w:t>
      </w:r>
      <w:r w:rsidR="00A926B0">
        <w:t xml:space="preserve">reflect </w:t>
      </w:r>
      <w:r w:rsidR="00450B3D">
        <w:t xml:space="preserve">the inherent value of the flexibility </w:t>
      </w:r>
      <w:r w:rsidR="006F6B78">
        <w:t>provided in period</w:t>
      </w:r>
      <w:r w:rsidR="00E16D88">
        <w:t>s</w:t>
      </w:r>
      <w:r w:rsidR="006F6B78">
        <w:t xml:space="preserve"> with low power generation in Europe.</w:t>
      </w:r>
      <w:r w:rsidR="0042535B">
        <w:t xml:space="preserve"> </w:t>
      </w:r>
      <w:r w:rsidR="00A926B0">
        <w:t xml:space="preserve">Going </w:t>
      </w:r>
      <w:r w:rsidR="00885184">
        <w:t>forward</w:t>
      </w:r>
      <w:r w:rsidR="00A926B0">
        <w:t>, t</w:t>
      </w:r>
      <w:r w:rsidR="00ED0393">
        <w:t xml:space="preserve">he </w:t>
      </w:r>
      <w:r w:rsidR="00ED0393" w:rsidRPr="00ED0393">
        <w:t>Norwegian Water Resources and Energy Directorate</w:t>
      </w:r>
      <w:r w:rsidR="00ED0393">
        <w:t xml:space="preserve"> has estimated </w:t>
      </w:r>
      <w:r w:rsidR="00A8359D">
        <w:t xml:space="preserve">that </w:t>
      </w:r>
      <w:r w:rsidR="002D3EB2" w:rsidRPr="0024181B">
        <w:t>Norway</w:t>
      </w:r>
      <w:r w:rsidR="00A8359D">
        <w:t xml:space="preserve"> has the</w:t>
      </w:r>
      <w:r w:rsidR="002D3EB2" w:rsidRPr="0024181B">
        <w:t xml:space="preserve"> potential to provide </w:t>
      </w:r>
      <w:r w:rsidR="00ED0393">
        <w:t xml:space="preserve">additional balancing </w:t>
      </w:r>
      <w:r w:rsidR="002D3EB2" w:rsidRPr="0024181B">
        <w:t xml:space="preserve">capacity </w:t>
      </w:r>
      <w:r w:rsidR="00ED0393">
        <w:t xml:space="preserve">of 20 </w:t>
      </w:r>
      <w:r w:rsidR="00FE484E">
        <w:t>G</w:t>
      </w:r>
      <w:r w:rsidR="00ED0393">
        <w:t>W by 2030.</w:t>
      </w:r>
      <w:r w:rsidR="00A926B0">
        <w:t xml:space="preserve"> (Which is </w:t>
      </w:r>
      <w:r w:rsidR="00885184">
        <w:t xml:space="preserve">in the order of </w:t>
      </w:r>
      <w:r w:rsidR="00A926B0">
        <w:t xml:space="preserve">10% of the EU-wide needs </w:t>
      </w:r>
      <w:r w:rsidR="00A926B0" w:rsidRPr="00BB2ACC">
        <w:rPr>
          <w:i/>
        </w:rPr>
        <w:t>by 2050</w:t>
      </w:r>
      <w:r w:rsidR="00885184" w:rsidRPr="00BB2ACC">
        <w:t>.</w:t>
      </w:r>
      <w:r w:rsidR="00A926B0">
        <w:t>)</w:t>
      </w:r>
      <w:r w:rsidR="00ED0393">
        <w:t xml:space="preserve"> Th</w:t>
      </w:r>
      <w:r w:rsidR="00E16D88">
        <w:t xml:space="preserve">e needed </w:t>
      </w:r>
      <w:r w:rsidR="00ED0393">
        <w:t xml:space="preserve">increase </w:t>
      </w:r>
      <w:r w:rsidR="00E16D88">
        <w:t xml:space="preserve">in </w:t>
      </w:r>
      <w:r w:rsidR="00ED0393">
        <w:t xml:space="preserve">Norwegian production capacity </w:t>
      </w:r>
      <w:r w:rsidR="00216961">
        <w:t xml:space="preserve">is </w:t>
      </w:r>
      <w:r w:rsidR="00ED0393">
        <w:t xml:space="preserve">about 65%, </w:t>
      </w:r>
      <w:r w:rsidR="00216961">
        <w:t xml:space="preserve">which will </w:t>
      </w:r>
      <w:r w:rsidR="00ED0393">
        <w:t xml:space="preserve">cover a significant part </w:t>
      </w:r>
      <w:r w:rsidR="00216961">
        <w:t xml:space="preserve">the </w:t>
      </w:r>
      <w:r w:rsidR="00ED0393">
        <w:t>EU</w:t>
      </w:r>
      <w:r w:rsidR="00216961">
        <w:t>’s</w:t>
      </w:r>
      <w:r w:rsidR="00ED0393">
        <w:t xml:space="preserve"> balancing needs in the future renewables-based energy system. Unfortunately, </w:t>
      </w:r>
      <w:r w:rsidR="00ED0393" w:rsidRPr="0024181B">
        <w:t>today</w:t>
      </w:r>
      <w:r w:rsidR="00FE484E">
        <w:t>’</w:t>
      </w:r>
      <w:r w:rsidR="00ED0393" w:rsidRPr="0024181B">
        <w:t>s market</w:t>
      </w:r>
      <w:r w:rsidR="00ED0393">
        <w:t>s do no</w:t>
      </w:r>
      <w:r w:rsidR="00261302">
        <w:t>t</w:t>
      </w:r>
      <w:r w:rsidR="00ED0393">
        <w:t xml:space="preserve"> </w:t>
      </w:r>
      <w:r w:rsidR="00ED0393" w:rsidRPr="0024181B">
        <w:t xml:space="preserve">incentivize </w:t>
      </w:r>
      <w:r w:rsidR="002D3EB2" w:rsidRPr="0024181B">
        <w:t xml:space="preserve">investments </w:t>
      </w:r>
      <w:r w:rsidR="00885184" w:rsidRPr="007F2FC9">
        <w:t xml:space="preserve">in </w:t>
      </w:r>
      <w:r w:rsidR="00ED0393" w:rsidRPr="007F2FC9">
        <w:t>capacity extensions</w:t>
      </w:r>
      <w:r w:rsidR="00A926B0" w:rsidRPr="007F2FC9">
        <w:t xml:space="preserve"> </w:t>
      </w:r>
      <w:r w:rsidR="00261302">
        <w:t xml:space="preserve">needed </w:t>
      </w:r>
      <w:r w:rsidR="00A926B0" w:rsidRPr="007F2FC9">
        <w:t>in</w:t>
      </w:r>
      <w:r w:rsidR="00261302">
        <w:t xml:space="preserve"> the</w:t>
      </w:r>
      <w:r w:rsidR="00A926B0" w:rsidRPr="007F2FC9">
        <w:t xml:space="preserve"> generation</w:t>
      </w:r>
      <w:r w:rsidR="00A926B0">
        <w:t xml:space="preserve"> and transmission grids.</w:t>
      </w:r>
      <w:r w:rsidR="002D3EB2" w:rsidRPr="0024181B">
        <w:t xml:space="preserve"> </w:t>
      </w:r>
      <w:r w:rsidR="00ED0393">
        <w:t xml:space="preserve">Given that </w:t>
      </w:r>
      <w:r w:rsidR="002D3EB2" w:rsidRPr="0024181B">
        <w:t xml:space="preserve">energy prices </w:t>
      </w:r>
      <w:proofErr w:type="gramStart"/>
      <w:r w:rsidR="00C16801" w:rsidRPr="0024181B">
        <w:t>are</w:t>
      </w:r>
      <w:r w:rsidR="002D3EB2" w:rsidRPr="0024181B">
        <w:t xml:space="preserve"> </w:t>
      </w:r>
      <w:r w:rsidR="00ED0393">
        <w:t>expected</w:t>
      </w:r>
      <w:proofErr w:type="gramEnd"/>
      <w:r w:rsidR="00ED0393">
        <w:t xml:space="preserve"> to remain </w:t>
      </w:r>
      <w:r w:rsidR="002D3EB2" w:rsidRPr="0024181B">
        <w:t xml:space="preserve">low, </w:t>
      </w:r>
      <w:r w:rsidR="00274F58">
        <w:t xml:space="preserve">there is a </w:t>
      </w:r>
      <w:r w:rsidR="00ED0393">
        <w:t>need to</w:t>
      </w:r>
    </w:p>
    <w:p w14:paraId="6FFB3CCE" w14:textId="4A3543B9" w:rsidR="00ED0393" w:rsidRDefault="00FE484E" w:rsidP="0011178E">
      <w:pPr>
        <w:pStyle w:val="ListParagraph"/>
        <w:numPr>
          <w:ilvl w:val="0"/>
          <w:numId w:val="4"/>
        </w:numPr>
      </w:pPr>
      <w:r>
        <w:t>(</w:t>
      </w:r>
      <w:r w:rsidR="006E1843" w:rsidRPr="006E1843">
        <w:t>continue to</w:t>
      </w:r>
      <w:r>
        <w:t>)</w:t>
      </w:r>
      <w:r w:rsidR="006E1843" w:rsidRPr="006E1843">
        <w:t xml:space="preserve"> </w:t>
      </w:r>
      <w:r w:rsidR="00ED0393">
        <w:t xml:space="preserve">develop </w:t>
      </w:r>
      <w:r w:rsidR="002D3EB2" w:rsidRPr="0024181B">
        <w:t>cross border capacity markets</w:t>
      </w:r>
      <w:r>
        <w:t xml:space="preserve"> in </w:t>
      </w:r>
      <w:r w:rsidR="0042535B">
        <w:t>the power sector</w:t>
      </w:r>
      <w:r w:rsidR="00885184">
        <w:t>,</w:t>
      </w:r>
      <w:r>
        <w:t xml:space="preserve"> </w:t>
      </w:r>
      <w:r w:rsidR="0042535B">
        <w:t>incentivizing long term capacity expansion and reducing long-term risk for investors</w:t>
      </w:r>
      <w:r w:rsidR="00AF210A">
        <w:t>;</w:t>
      </w:r>
    </w:p>
    <w:p w14:paraId="14589F81" w14:textId="06D4BFFB" w:rsidR="0042535B" w:rsidRDefault="0042535B" w:rsidP="0011178E">
      <w:pPr>
        <w:pStyle w:val="ListParagraph"/>
        <w:numPr>
          <w:ilvl w:val="0"/>
          <w:numId w:val="4"/>
        </w:numPr>
      </w:pPr>
      <w:r>
        <w:t>(continue to) develop cross border balancing products and markets for these, providing price signals that both lead to more efficient resource utilization in the short run and incentives for capacity expansion</w:t>
      </w:r>
      <w:r w:rsidR="00AF210A">
        <w:t>;</w:t>
      </w:r>
    </w:p>
    <w:p w14:paraId="26EBC44C" w14:textId="30ABD9AB" w:rsidR="0042535B" w:rsidRDefault="0042535B" w:rsidP="0011178E">
      <w:pPr>
        <w:pStyle w:val="ListParagraph"/>
        <w:numPr>
          <w:ilvl w:val="0"/>
          <w:numId w:val="4"/>
        </w:numPr>
      </w:pPr>
      <w:proofErr w:type="gramStart"/>
      <w:r>
        <w:t>introduc</w:t>
      </w:r>
      <w:r w:rsidR="00415F64">
        <w:t>e</w:t>
      </w:r>
      <w:proofErr w:type="gramEnd"/>
      <w:r>
        <w:t xml:space="preserve"> </w:t>
      </w:r>
      <w:r w:rsidRPr="0024181B">
        <w:t xml:space="preserve">long term </w:t>
      </w:r>
      <w:r w:rsidRPr="00ED0393">
        <w:t>contracts for flexibility</w:t>
      </w:r>
      <w:r>
        <w:t xml:space="preserve">, that would deviate from capacity markets in that they explicitly </w:t>
      </w:r>
      <w:r w:rsidR="00BB2ACC">
        <w:t xml:space="preserve">regulate </w:t>
      </w:r>
      <w:r>
        <w:t>flexibility provision</w:t>
      </w:r>
      <w:r w:rsidR="00AF210A">
        <w:t>s</w:t>
      </w:r>
      <w:r>
        <w:t>. Th</w:t>
      </w:r>
      <w:r w:rsidR="00BB2ACC">
        <w:t>is</w:t>
      </w:r>
      <w:r>
        <w:t xml:space="preserve"> would reduce investment risk</w:t>
      </w:r>
      <w:r w:rsidR="00415F64">
        <w:t xml:space="preserve"> and </w:t>
      </w:r>
      <w:r>
        <w:t xml:space="preserve">incentivize </w:t>
      </w:r>
      <w:r w:rsidR="00674755">
        <w:t xml:space="preserve">the </w:t>
      </w:r>
      <w:r>
        <w:t xml:space="preserve">building </w:t>
      </w:r>
      <w:r w:rsidR="00674755">
        <w:t xml:space="preserve">of </w:t>
      </w:r>
      <w:r>
        <w:t xml:space="preserve">hydroelectric production capacity and power transmission </w:t>
      </w:r>
      <w:r w:rsidRPr="0024181B">
        <w:t>cables</w:t>
      </w:r>
      <w:r w:rsidR="00415F64">
        <w:t>.</w:t>
      </w:r>
    </w:p>
    <w:p w14:paraId="3DD6666F" w14:textId="55683428" w:rsidR="0042535B" w:rsidRDefault="0042535B" w:rsidP="0011178E">
      <w:r w:rsidRPr="0024181B">
        <w:t xml:space="preserve">With </w:t>
      </w:r>
      <w:r>
        <w:t>such</w:t>
      </w:r>
      <w:r w:rsidRPr="0024181B">
        <w:t xml:space="preserve"> incentives, </w:t>
      </w:r>
      <w:r>
        <w:t xml:space="preserve">additional balancing </w:t>
      </w:r>
      <w:r w:rsidRPr="0024181B">
        <w:t>capacity</w:t>
      </w:r>
      <w:r>
        <w:t xml:space="preserve"> </w:t>
      </w:r>
      <w:proofErr w:type="gramStart"/>
      <w:r>
        <w:t>w</w:t>
      </w:r>
      <w:r w:rsidRPr="0024181B">
        <w:t xml:space="preserve">ould be </w:t>
      </w:r>
      <w:r>
        <w:t>invested</w:t>
      </w:r>
      <w:proofErr w:type="gramEnd"/>
      <w:r>
        <w:t xml:space="preserve"> to </w:t>
      </w:r>
      <w:r w:rsidRPr="0024181B">
        <w:t>facilitat</w:t>
      </w:r>
      <w:r>
        <w:t>e</w:t>
      </w:r>
      <w:r w:rsidRPr="0024181B">
        <w:t xml:space="preserve"> </w:t>
      </w:r>
      <w:r>
        <w:t xml:space="preserve">much higher </w:t>
      </w:r>
      <w:r w:rsidRPr="0024181B">
        <w:t xml:space="preserve">RES penetration in Europe by </w:t>
      </w:r>
      <w:r>
        <w:t xml:space="preserve">making a large amount of </w:t>
      </w:r>
      <w:r w:rsidRPr="0024181B">
        <w:t>flexibility and controllability</w:t>
      </w:r>
      <w:r w:rsidR="000C7178">
        <w:t xml:space="preserve"> available</w:t>
      </w:r>
      <w:r w:rsidRPr="0024181B">
        <w:t>.</w:t>
      </w:r>
    </w:p>
    <w:p w14:paraId="19A5C8E3" w14:textId="77777777" w:rsidR="00BB2ACC" w:rsidRPr="0024181B" w:rsidRDefault="00BB2ACC" w:rsidP="0011178E"/>
    <w:p w14:paraId="65248D75" w14:textId="5CFE21CA" w:rsidR="00415F64" w:rsidRDefault="0042535B" w:rsidP="0011178E">
      <w:r>
        <w:t>Considering natural gas, i</w:t>
      </w:r>
      <w:r w:rsidRPr="0024181B">
        <w:t>n a transition phase</w:t>
      </w:r>
      <w:r w:rsidR="00CC4FA8">
        <w:t>,</w:t>
      </w:r>
      <w:r w:rsidRPr="0024181B">
        <w:t xml:space="preserve"> </w:t>
      </w:r>
      <w:r>
        <w:t xml:space="preserve">the Norwegian supply system </w:t>
      </w:r>
      <w:r w:rsidRPr="0024181B">
        <w:t>could provide the same type of flexibility and controllability</w:t>
      </w:r>
      <w:r>
        <w:t xml:space="preserve"> as the hydropower system, facilitating the phasing out of coal-based power generation </w:t>
      </w:r>
      <w:r w:rsidR="001028DB">
        <w:t xml:space="preserve">in </w:t>
      </w:r>
      <w:r>
        <w:t>the continent and providing the flexibility to manage the intermittent RES</w:t>
      </w:r>
      <w:r w:rsidRPr="0024181B">
        <w:t>.</w:t>
      </w:r>
    </w:p>
    <w:p w14:paraId="14F63D0B" w14:textId="1ECA63D2" w:rsidR="002D3EB2" w:rsidRPr="0011178E" w:rsidRDefault="00134B02" w:rsidP="0011178E">
      <w:r>
        <w:t xml:space="preserve">In present day markets, </w:t>
      </w:r>
      <w:r w:rsidR="002D3EB2" w:rsidRPr="0024181B">
        <w:t xml:space="preserve">Norwegian </w:t>
      </w:r>
      <w:r w:rsidR="00885184">
        <w:t xml:space="preserve">gas </w:t>
      </w:r>
      <w:r w:rsidR="002D3EB2" w:rsidRPr="0024181B">
        <w:t>export</w:t>
      </w:r>
      <w:r w:rsidR="00D308CF">
        <w:t>s</w:t>
      </w:r>
      <w:r w:rsidR="002D3EB2" w:rsidRPr="0024181B">
        <w:t xml:space="preserve"> </w:t>
      </w:r>
      <w:r w:rsidR="00287195">
        <w:t xml:space="preserve">to </w:t>
      </w:r>
      <w:r w:rsidR="00F26DAD">
        <w:t xml:space="preserve">the </w:t>
      </w:r>
      <w:r w:rsidR="00287195">
        <w:t>United Kingdom, Germany, Netherlands, Belgium</w:t>
      </w:r>
      <w:r w:rsidR="00F26DAD">
        <w:t>,</w:t>
      </w:r>
      <w:r w:rsidR="00287195">
        <w:t xml:space="preserve"> and France </w:t>
      </w:r>
      <w:proofErr w:type="gramStart"/>
      <w:r w:rsidR="002D3EB2" w:rsidRPr="0024181B">
        <w:t xml:space="preserve">are used </w:t>
      </w:r>
      <w:r w:rsidR="00D308CF">
        <w:t xml:space="preserve">and priced as </w:t>
      </w:r>
      <w:r w:rsidR="002D3EB2" w:rsidRPr="00F337B4">
        <w:rPr>
          <w:i/>
        </w:rPr>
        <w:t>energy deliveries</w:t>
      </w:r>
      <w:proofErr w:type="gramEnd"/>
      <w:r w:rsidR="002D3EB2" w:rsidRPr="0024181B">
        <w:t xml:space="preserve">. </w:t>
      </w:r>
      <w:r w:rsidR="00F20915">
        <w:t xml:space="preserve">We suggest </w:t>
      </w:r>
      <w:r w:rsidR="00864E99">
        <w:t>that</w:t>
      </w:r>
      <w:r w:rsidR="00F20915">
        <w:t xml:space="preserve"> gas </w:t>
      </w:r>
      <w:r w:rsidR="00F20915" w:rsidRPr="0024181B">
        <w:t xml:space="preserve">market </w:t>
      </w:r>
      <w:r w:rsidR="00F20915">
        <w:t xml:space="preserve">designs and products that explicitly value </w:t>
      </w:r>
      <w:r w:rsidR="00F20915" w:rsidRPr="0024181B">
        <w:t>flexib</w:t>
      </w:r>
      <w:r w:rsidR="00F20915">
        <w:t>i</w:t>
      </w:r>
      <w:r w:rsidR="00F20915" w:rsidRPr="0024181B">
        <w:t>l</w:t>
      </w:r>
      <w:r w:rsidR="00F20915">
        <w:t>ity</w:t>
      </w:r>
      <w:r w:rsidR="00F20915" w:rsidRPr="0024181B">
        <w:t xml:space="preserve"> and controllab</w:t>
      </w:r>
      <w:r w:rsidR="00F20915">
        <w:t>ility rather than energy content</w:t>
      </w:r>
      <w:r w:rsidR="00864E99">
        <w:t xml:space="preserve"> </w:t>
      </w:r>
      <w:proofErr w:type="gramStart"/>
      <w:r w:rsidR="00864E99">
        <w:t>be established</w:t>
      </w:r>
      <w:proofErr w:type="gramEnd"/>
      <w:r w:rsidR="00F20915" w:rsidRPr="0024181B">
        <w:t>.</w:t>
      </w:r>
      <w:r w:rsidR="00F20915">
        <w:t xml:space="preserve"> </w:t>
      </w:r>
      <w:r w:rsidR="002D3EB2" w:rsidRPr="0024181B">
        <w:t xml:space="preserve">In </w:t>
      </w:r>
      <w:r w:rsidR="00A926B0">
        <w:t xml:space="preserve">fact, </w:t>
      </w:r>
      <w:r w:rsidR="00C16801" w:rsidRPr="0024181B">
        <w:t xml:space="preserve">natural gas </w:t>
      </w:r>
      <w:r w:rsidR="002D3EB2" w:rsidRPr="0024181B">
        <w:t xml:space="preserve">pipelines </w:t>
      </w:r>
      <w:r w:rsidR="00A926B0">
        <w:t xml:space="preserve">can offer </w:t>
      </w:r>
      <w:r w:rsidR="002D3EB2" w:rsidRPr="0024181B">
        <w:t xml:space="preserve">a lot of </w:t>
      </w:r>
      <w:r w:rsidR="002D3EB2" w:rsidRPr="00F337B4">
        <w:rPr>
          <w:i/>
        </w:rPr>
        <w:t>flexibility</w:t>
      </w:r>
      <w:r>
        <w:t xml:space="preserve"> using different pressure levels to vary the </w:t>
      </w:r>
      <w:r w:rsidRPr="00134B02">
        <w:rPr>
          <w:i/>
        </w:rPr>
        <w:t>line-pack</w:t>
      </w:r>
      <w:r>
        <w:t xml:space="preserve">, the actual amount of gas in the pipelines. This means </w:t>
      </w:r>
      <w:r w:rsidR="00C16801" w:rsidRPr="0024181B">
        <w:t xml:space="preserve">that </w:t>
      </w:r>
      <w:r w:rsidR="00A926B0">
        <w:t xml:space="preserve">pipelines can </w:t>
      </w:r>
      <w:r w:rsidR="002D3EB2" w:rsidRPr="0024181B">
        <w:t>in practice function as storage</w:t>
      </w:r>
      <w:r w:rsidR="00A926B0">
        <w:t xml:space="preserve"> </w:t>
      </w:r>
      <w:r w:rsidR="002D3EB2" w:rsidRPr="0024181B">
        <w:t>to balance supply and demand in</w:t>
      </w:r>
      <w:r w:rsidR="00287195">
        <w:t xml:space="preserve"> relatively short</w:t>
      </w:r>
      <w:r w:rsidR="002D3EB2" w:rsidRPr="0024181B">
        <w:t xml:space="preserve"> horizons from hours to a few weeks. </w:t>
      </w:r>
      <w:proofErr w:type="gramStart"/>
      <w:r w:rsidR="00287195">
        <w:t>This matches</w:t>
      </w:r>
      <w:proofErr w:type="gramEnd"/>
      <w:r w:rsidR="00287195">
        <w:t xml:space="preserve"> very well with the flexibility needs to manage short-term load variation and intermittency in solar and wind. </w:t>
      </w:r>
      <w:r w:rsidR="00A926B0">
        <w:t>To sketch the potential, t</w:t>
      </w:r>
      <w:r w:rsidR="002D3EB2" w:rsidRPr="0024181B">
        <w:t>he capacit</w:t>
      </w:r>
      <w:r w:rsidR="00BD4C2E">
        <w:t>ies</w:t>
      </w:r>
      <w:r w:rsidR="002D3EB2" w:rsidRPr="0024181B">
        <w:t xml:space="preserve"> of </w:t>
      </w:r>
      <w:r w:rsidR="00BD4C2E">
        <w:t xml:space="preserve">the six Norwegian gas export </w:t>
      </w:r>
      <w:r w:rsidR="002D3EB2" w:rsidRPr="0024181B">
        <w:t>pipeline</w:t>
      </w:r>
      <w:r w:rsidR="00BD4C2E">
        <w:t xml:space="preserve">s </w:t>
      </w:r>
      <w:r w:rsidR="00885184">
        <w:t xml:space="preserve">are </w:t>
      </w:r>
      <w:r w:rsidR="00885184">
        <w:lastRenderedPageBreak/>
        <w:t xml:space="preserve">between </w:t>
      </w:r>
      <w:r w:rsidR="00BD4C2E">
        <w:t>20</w:t>
      </w:r>
      <w:r w:rsidR="00274F58">
        <w:t xml:space="preserve"> </w:t>
      </w:r>
      <w:r w:rsidR="00885184">
        <w:t xml:space="preserve">and </w:t>
      </w:r>
      <w:r w:rsidR="00BD4C2E">
        <w:t>41</w:t>
      </w:r>
      <w:r w:rsidR="00274F58">
        <w:t xml:space="preserve"> G</w:t>
      </w:r>
      <w:r w:rsidR="00BD4C2E">
        <w:t>W and sum up to 178</w:t>
      </w:r>
      <w:r w:rsidR="00274F58">
        <w:t xml:space="preserve"> G</w:t>
      </w:r>
      <w:r w:rsidR="00BD4C2E">
        <w:t xml:space="preserve">W. Anticipating that future base-load flows will be significantly lower than today, the line-pack in the total pipeline system provides an enormous, </w:t>
      </w:r>
      <w:r w:rsidR="00E96C82">
        <w:t xml:space="preserve">and </w:t>
      </w:r>
      <w:r w:rsidR="00BD4C2E">
        <w:t>as of today</w:t>
      </w:r>
      <w:r w:rsidR="00E96C82">
        <w:t>,</w:t>
      </w:r>
      <w:r w:rsidR="00BD4C2E">
        <w:t xml:space="preserve"> un</w:t>
      </w:r>
      <w:r w:rsidR="00D308CF">
        <w:t>tapped</w:t>
      </w:r>
      <w:r w:rsidR="00BD4C2E">
        <w:t xml:space="preserve"> flexibility potential</w:t>
      </w:r>
      <w:r w:rsidR="00C3494F">
        <w:t xml:space="preserve"> in the same order of magnitude as the </w:t>
      </w:r>
      <w:r w:rsidR="00216961">
        <w:t>future</w:t>
      </w:r>
      <w:r w:rsidR="00C3494F">
        <w:t xml:space="preserve"> EU market need</w:t>
      </w:r>
      <w:r w:rsidR="00BB2ACC">
        <w:t>s</w:t>
      </w:r>
      <w:r w:rsidR="00C3494F">
        <w:t>.</w:t>
      </w:r>
      <w:r w:rsidR="009B33A2">
        <w:t xml:space="preserve"> Currently the Norwegian TSO lacks the incentives to move away from a purely gas grid security focused management to a broader value-based management of the gas grid.</w:t>
      </w:r>
    </w:p>
    <w:p w14:paraId="45908758" w14:textId="68C0C8D5" w:rsidR="002D3EB2" w:rsidRDefault="002D3EB2" w:rsidP="0011178E">
      <w:r w:rsidRPr="0024181B">
        <w:t>For natural gas to be a sustainable fuel</w:t>
      </w:r>
      <w:r w:rsidR="00284F37">
        <w:t xml:space="preserve"> that can contribute to electricity generation in the future energy system</w:t>
      </w:r>
      <w:r w:rsidRPr="0024181B">
        <w:t>, CCS needs to come in</w:t>
      </w:r>
      <w:r w:rsidR="001F2967">
        <w:t>to</w:t>
      </w:r>
      <w:r w:rsidRPr="0024181B">
        <w:t xml:space="preserve"> </w:t>
      </w:r>
      <w:r w:rsidR="0030695A">
        <w:t>play</w:t>
      </w:r>
      <w:r w:rsidRPr="0024181B">
        <w:t xml:space="preserve">. </w:t>
      </w:r>
      <w:r w:rsidR="008E7350">
        <w:t>Studies by the International Energy Agency and the Norwegian Zero Emission</w:t>
      </w:r>
      <w:r w:rsidR="00885184">
        <w:t>s</w:t>
      </w:r>
      <w:r w:rsidR="008E7350">
        <w:t xml:space="preserve"> Platform show that </w:t>
      </w:r>
      <w:r w:rsidR="00BB2ACC">
        <w:t>developing</w:t>
      </w:r>
      <w:r w:rsidR="009613E3">
        <w:t xml:space="preserve"> </w:t>
      </w:r>
      <w:r w:rsidR="008E7350">
        <w:t xml:space="preserve">CCS can save billions of dollars. </w:t>
      </w:r>
      <w:r w:rsidR="00284F37">
        <w:t xml:space="preserve">Thus </w:t>
      </w:r>
      <w:r w:rsidRPr="0024181B">
        <w:t>far</w:t>
      </w:r>
      <w:r w:rsidR="00C3494F">
        <w:t>,</w:t>
      </w:r>
      <w:r w:rsidRPr="0024181B">
        <w:t xml:space="preserve"> the main </w:t>
      </w:r>
      <w:r w:rsidR="001A4922">
        <w:t xml:space="preserve">hurdles </w:t>
      </w:r>
      <w:r w:rsidR="00284F37">
        <w:t xml:space="preserve">for CCS to succeed have </w:t>
      </w:r>
      <w:r w:rsidRPr="0024181B">
        <w:t>been</w:t>
      </w:r>
      <w:r w:rsidR="00197B2C">
        <w:t xml:space="preserve"> </w:t>
      </w:r>
      <w:r w:rsidR="009613E3" w:rsidRPr="0024181B">
        <w:t>technology</w:t>
      </w:r>
      <w:r w:rsidR="009613E3">
        <w:t xml:space="preserve"> </w:t>
      </w:r>
      <w:r w:rsidRPr="0024181B">
        <w:t xml:space="preserve">cost and </w:t>
      </w:r>
      <w:r w:rsidR="00284F37">
        <w:t xml:space="preserve">social and political </w:t>
      </w:r>
      <w:r w:rsidRPr="0024181B">
        <w:t xml:space="preserve">acceptance. Norway </w:t>
      </w:r>
      <w:r w:rsidR="00C3494F">
        <w:t xml:space="preserve">has </w:t>
      </w:r>
      <w:r w:rsidR="00284F37">
        <w:t xml:space="preserve">a lead role in CCS technology development. It has a rather stringent </w:t>
      </w:r>
      <w:r w:rsidR="00226F32" w:rsidRPr="0024181B">
        <w:t>CO</w:t>
      </w:r>
      <w:r w:rsidR="00226F32" w:rsidRPr="00226F32">
        <w:rPr>
          <w:vertAlign w:val="subscript"/>
        </w:rPr>
        <w:t>2</w:t>
      </w:r>
      <w:r w:rsidR="00284F37">
        <w:t xml:space="preserve"> policy, especially on the continental shelf, which incentivizes </w:t>
      </w:r>
      <w:r w:rsidR="00C3494F">
        <w:t>CCS</w:t>
      </w:r>
      <w:r w:rsidR="00284F37">
        <w:t xml:space="preserve">. </w:t>
      </w:r>
      <w:r w:rsidR="001A4922">
        <w:t>More than 1.5 million ton</w:t>
      </w:r>
      <w:r w:rsidR="00684480">
        <w:t>s of</w:t>
      </w:r>
      <w:r w:rsidR="001A4922">
        <w:t xml:space="preserve"> </w:t>
      </w:r>
      <w:r w:rsidR="00226F32" w:rsidRPr="0024181B">
        <w:t>CO</w:t>
      </w:r>
      <w:r w:rsidR="00226F32" w:rsidRPr="00226F32">
        <w:rPr>
          <w:vertAlign w:val="subscript"/>
        </w:rPr>
        <w:t>2</w:t>
      </w:r>
      <w:r w:rsidR="001A4922">
        <w:t xml:space="preserve"> </w:t>
      </w:r>
      <w:r w:rsidR="00684480">
        <w:t xml:space="preserve">are </w:t>
      </w:r>
      <w:r w:rsidR="001A4922">
        <w:t xml:space="preserve">annually stored in connection to three oil and gas production fields. Additionally, Norway </w:t>
      </w:r>
      <w:r w:rsidRPr="0024181B">
        <w:t xml:space="preserve">is putting in place a value chain for capturing and storing </w:t>
      </w:r>
      <w:r w:rsidR="00C3494F">
        <w:t xml:space="preserve">an additional one </w:t>
      </w:r>
      <w:r w:rsidRPr="0024181B">
        <w:t>million ton</w:t>
      </w:r>
      <w:r w:rsidR="00624B8C">
        <w:t>s</w:t>
      </w:r>
      <w:r w:rsidRPr="0024181B">
        <w:t xml:space="preserve"> per year </w:t>
      </w:r>
      <w:r w:rsidR="00684480">
        <w:t>by</w:t>
      </w:r>
      <w:r w:rsidR="00684480" w:rsidRPr="0024181B">
        <w:t xml:space="preserve"> </w:t>
      </w:r>
      <w:r w:rsidRPr="0024181B">
        <w:t xml:space="preserve">2020. </w:t>
      </w:r>
      <w:r w:rsidR="008E7350">
        <w:t>As part of this, t</w:t>
      </w:r>
      <w:r w:rsidR="00284F37">
        <w:t xml:space="preserve">hree large industries </w:t>
      </w:r>
      <w:r w:rsidR="00C3494F">
        <w:t xml:space="preserve">will </w:t>
      </w:r>
      <w:r w:rsidR="001A4922">
        <w:t xml:space="preserve">develop </w:t>
      </w:r>
      <w:r w:rsidR="00284F37">
        <w:t xml:space="preserve">large-scale CCS facilities. </w:t>
      </w:r>
      <w:r w:rsidR="00C3494F">
        <w:t>A</w:t>
      </w:r>
      <w:r w:rsidR="001A4922">
        <w:t xml:space="preserve">nother development </w:t>
      </w:r>
      <w:proofErr w:type="gramStart"/>
      <w:r w:rsidR="00FE484E">
        <w:t>was announced</w:t>
      </w:r>
      <w:proofErr w:type="gramEnd"/>
      <w:r w:rsidR="00732BC3">
        <w:t xml:space="preserve"> in</w:t>
      </w:r>
      <w:r w:rsidR="00FE484E">
        <w:t xml:space="preserve"> </w:t>
      </w:r>
      <w:r w:rsidR="00BD4C2E">
        <w:t>July 2017</w:t>
      </w:r>
      <w:r w:rsidR="00FE484E">
        <w:t xml:space="preserve">. </w:t>
      </w:r>
      <w:proofErr w:type="spellStart"/>
      <w:r w:rsidR="00BD4C2E" w:rsidRPr="00BD4C2E">
        <w:t>Nuon</w:t>
      </w:r>
      <w:proofErr w:type="spellEnd"/>
      <w:r w:rsidR="00BD4C2E" w:rsidRPr="00BD4C2E">
        <w:t xml:space="preserve">, </w:t>
      </w:r>
      <w:proofErr w:type="spellStart"/>
      <w:r w:rsidR="00BD4C2E" w:rsidRPr="00BD4C2E">
        <w:t>Gasunie</w:t>
      </w:r>
      <w:proofErr w:type="spellEnd"/>
      <w:r w:rsidR="004E4762">
        <w:t>,</w:t>
      </w:r>
      <w:r w:rsidR="00BD4C2E" w:rsidRPr="00BD4C2E">
        <w:t xml:space="preserve"> and </w:t>
      </w:r>
      <w:r w:rsidR="00C3494F">
        <w:t>Statoil</w:t>
      </w:r>
      <w:r w:rsidR="00FE484E">
        <w:t xml:space="preserve"> </w:t>
      </w:r>
      <w:r w:rsidR="009613E3">
        <w:t xml:space="preserve">intend using </w:t>
      </w:r>
      <w:r w:rsidR="00BD4C2E" w:rsidRPr="00BD4C2E">
        <w:t xml:space="preserve">hydrogen as </w:t>
      </w:r>
      <w:r w:rsidR="00BD4C2E">
        <w:t xml:space="preserve">an input </w:t>
      </w:r>
      <w:r w:rsidR="00BD4C2E" w:rsidRPr="00BD4C2E">
        <w:t xml:space="preserve">fuel for </w:t>
      </w:r>
      <w:r w:rsidR="00BD4C2E">
        <w:t xml:space="preserve">a </w:t>
      </w:r>
      <w:r w:rsidR="00BD4C2E" w:rsidRPr="00BD4C2E">
        <w:t xml:space="preserve">power plant in </w:t>
      </w:r>
      <w:r w:rsidR="00BD4C2E">
        <w:t xml:space="preserve">the Netherlands. </w:t>
      </w:r>
      <w:r w:rsidR="000217A7">
        <w:t>R</w:t>
      </w:r>
      <w:r w:rsidR="008E7350">
        <w:t xml:space="preserve">emoving </w:t>
      </w:r>
      <w:r w:rsidR="00FE484E">
        <w:t xml:space="preserve">and storing </w:t>
      </w:r>
      <w:r w:rsidR="00226F32" w:rsidRPr="0024181B">
        <w:t>CO</w:t>
      </w:r>
      <w:r w:rsidR="00226F32" w:rsidRPr="00226F32">
        <w:rPr>
          <w:vertAlign w:val="subscript"/>
        </w:rPr>
        <w:t>2</w:t>
      </w:r>
      <w:r w:rsidR="008E7350">
        <w:t xml:space="preserve"> from natural gas at the production location, </w:t>
      </w:r>
      <w:r w:rsidR="00C3494F">
        <w:t xml:space="preserve">and transporting pure hydrogen to the power plant, </w:t>
      </w:r>
      <w:r w:rsidR="000217A7">
        <w:t xml:space="preserve">will establish </w:t>
      </w:r>
      <w:r w:rsidR="00284F37">
        <w:t>a near zero-emission</w:t>
      </w:r>
      <w:r w:rsidR="00BD4C2E" w:rsidRPr="00BD4C2E">
        <w:t xml:space="preserve"> </w:t>
      </w:r>
      <w:r w:rsidR="008E7350">
        <w:t>electric</w:t>
      </w:r>
      <w:r w:rsidR="00C3494F">
        <w:t>ity</w:t>
      </w:r>
      <w:r w:rsidR="008E7350">
        <w:t xml:space="preserve"> </w:t>
      </w:r>
      <w:r w:rsidR="00284F37">
        <w:t xml:space="preserve">value chain. </w:t>
      </w:r>
      <w:r w:rsidRPr="0024181B">
        <w:t>If</w:t>
      </w:r>
      <w:r w:rsidR="008E7350">
        <w:t xml:space="preserve"> these </w:t>
      </w:r>
      <w:r w:rsidR="00FE484E">
        <w:t>efforts</w:t>
      </w:r>
      <w:r w:rsidR="008E7350">
        <w:t xml:space="preserve"> s</w:t>
      </w:r>
      <w:r w:rsidRPr="0024181B">
        <w:t>ucce</w:t>
      </w:r>
      <w:r w:rsidR="008E7350">
        <w:t xml:space="preserve">ed, a </w:t>
      </w:r>
      <w:r w:rsidRPr="0024181B">
        <w:t xml:space="preserve">next step will be </w:t>
      </w:r>
      <w:r w:rsidR="008E7350">
        <w:t xml:space="preserve">to develop </w:t>
      </w:r>
      <w:r w:rsidRPr="0024181B">
        <w:t>a</w:t>
      </w:r>
      <w:r w:rsidR="008E7350">
        <w:t xml:space="preserve"> wider </w:t>
      </w:r>
      <w:r w:rsidRPr="0024181B">
        <w:t>European infrastructure for CCS.</w:t>
      </w:r>
    </w:p>
    <w:p w14:paraId="54A50539" w14:textId="77777777" w:rsidR="002D3EB2" w:rsidRPr="00F337B4" w:rsidRDefault="00C16801" w:rsidP="008A61EB">
      <w:pPr>
        <w:pStyle w:val="Heading1"/>
      </w:pPr>
      <w:r w:rsidRPr="00F337B4">
        <w:t>Conclusion</w:t>
      </w:r>
    </w:p>
    <w:p w14:paraId="16C9B6A2" w14:textId="77777777" w:rsidR="00624B8C" w:rsidRDefault="008E7350" w:rsidP="00D3185D">
      <w:r>
        <w:t>Managing intermittency and uncontrollability are two main challenges for the future energy system</w:t>
      </w:r>
      <w:r w:rsidR="001A4922">
        <w:t>s</w:t>
      </w:r>
      <w:r>
        <w:t xml:space="preserve"> with high levels of RES. Norway can greatly support the transition to and operation of the future clean European energy system using its hydropower and natural gas </w:t>
      </w:r>
      <w:r w:rsidR="00FE484E">
        <w:t>resources</w:t>
      </w:r>
      <w:r>
        <w:t xml:space="preserve">. </w:t>
      </w:r>
      <w:r w:rsidR="00C3494F">
        <w:t>However, t</w:t>
      </w:r>
      <w:r>
        <w:t>oday</w:t>
      </w:r>
      <w:r w:rsidR="00C3494F">
        <w:t>'</w:t>
      </w:r>
      <w:r>
        <w:t xml:space="preserve">s markets do not value the flexibility and controllability aspects of Norwegian </w:t>
      </w:r>
      <w:proofErr w:type="gramStart"/>
      <w:r>
        <w:t>energy,</w:t>
      </w:r>
      <w:proofErr w:type="gramEnd"/>
      <w:r>
        <w:t xml:space="preserve"> they merely price the energy value. </w:t>
      </w:r>
    </w:p>
    <w:p w14:paraId="59C635C5" w14:textId="456A36EB" w:rsidR="001028FC" w:rsidRDefault="001028FC" w:rsidP="00D3185D">
      <w:r>
        <w:t>T</w:t>
      </w:r>
      <w:r w:rsidR="008E7350">
        <w:t xml:space="preserve">o incentivize investment </w:t>
      </w:r>
      <w:r>
        <w:t xml:space="preserve">in transmission </w:t>
      </w:r>
      <w:r w:rsidRPr="0024181B">
        <w:t>and generation</w:t>
      </w:r>
      <w:r w:rsidR="00274F58">
        <w:t xml:space="preserve"> and the willingness for market participants to </w:t>
      </w:r>
      <w:r w:rsidR="00E36557">
        <w:t xml:space="preserve">make </w:t>
      </w:r>
      <w:r w:rsidR="00274F58" w:rsidRPr="00274F58">
        <w:t xml:space="preserve">flexibility </w:t>
      </w:r>
      <w:r w:rsidR="00E36557">
        <w:t>services</w:t>
      </w:r>
      <w:r w:rsidR="008C10D6">
        <w:t xml:space="preserve"> available</w:t>
      </w:r>
      <w:r>
        <w:t xml:space="preserve"> so that Europe can optimally benefit from the Norwegian flexibility and balancing potential, measures </w:t>
      </w:r>
      <w:r w:rsidR="009549F3">
        <w:t xml:space="preserve">and market instruments </w:t>
      </w:r>
      <w:proofErr w:type="gramStart"/>
      <w:r>
        <w:t>are needed</w:t>
      </w:r>
      <w:proofErr w:type="gramEnd"/>
      <w:r w:rsidR="008C10D6">
        <w:t>. These</w:t>
      </w:r>
      <w:r w:rsidR="00C3494F">
        <w:t xml:space="preserve"> includ</w:t>
      </w:r>
      <w:r w:rsidR="008C10D6">
        <w:t>e</w:t>
      </w:r>
      <w:r>
        <w:t>:</w:t>
      </w:r>
    </w:p>
    <w:p w14:paraId="2409AD25" w14:textId="7D6CDBF3" w:rsidR="001028FC" w:rsidRDefault="001028FC" w:rsidP="00D3185D">
      <w:pPr>
        <w:pStyle w:val="ListParagraph"/>
        <w:numPr>
          <w:ilvl w:val="0"/>
          <w:numId w:val="7"/>
        </w:numPr>
      </w:pPr>
      <w:r>
        <w:t>(</w:t>
      </w:r>
      <w:r w:rsidR="002D3EB2" w:rsidRPr="0024181B">
        <w:t>cross</w:t>
      </w:r>
      <w:r>
        <w:t>-</w:t>
      </w:r>
      <w:r w:rsidR="002D3EB2" w:rsidRPr="0024181B">
        <w:t>border</w:t>
      </w:r>
      <w:r>
        <w:t>)</w:t>
      </w:r>
      <w:r w:rsidR="002D3EB2" w:rsidRPr="0024181B">
        <w:t xml:space="preserve"> </w:t>
      </w:r>
      <w:r w:rsidR="00F20915">
        <w:t xml:space="preserve">products, services, </w:t>
      </w:r>
      <w:r w:rsidR="002D3EB2" w:rsidRPr="0024181B">
        <w:t>markets</w:t>
      </w:r>
      <w:r w:rsidR="00F572FA">
        <w:t>,</w:t>
      </w:r>
      <w:r w:rsidR="002D3EB2" w:rsidRPr="0024181B">
        <w:t xml:space="preserve"> </w:t>
      </w:r>
      <w:r>
        <w:t xml:space="preserve">and contracts </w:t>
      </w:r>
      <w:r w:rsidR="002D3EB2" w:rsidRPr="0024181B">
        <w:t>for flexibility, balancing</w:t>
      </w:r>
      <w:r w:rsidR="00F572FA">
        <w:t>,</w:t>
      </w:r>
      <w:r w:rsidR="002D3EB2" w:rsidRPr="0024181B">
        <w:t xml:space="preserve"> </w:t>
      </w:r>
      <w:r w:rsidR="00F20915">
        <w:t>a</w:t>
      </w:r>
      <w:r w:rsidR="002D3EB2" w:rsidRPr="0024181B">
        <w:t>nd capacity</w:t>
      </w:r>
      <w:r w:rsidR="009549F3">
        <w:t>,</w:t>
      </w:r>
      <w:r w:rsidR="00F572FA">
        <w:t xml:space="preserve"> which</w:t>
      </w:r>
      <w:r w:rsidR="00F20915">
        <w:t xml:space="preserve"> provid</w:t>
      </w:r>
      <w:r w:rsidR="00F572FA">
        <w:t>e</w:t>
      </w:r>
      <w:r w:rsidR="00F20915">
        <w:t xml:space="preserve"> both long-term risk reduction, investment incentives</w:t>
      </w:r>
      <w:r w:rsidR="00F572FA">
        <w:t>,</w:t>
      </w:r>
      <w:r w:rsidR="00F20915">
        <w:t xml:space="preserve"> and short term efficient resource utilization and security of supply</w:t>
      </w:r>
      <w:r w:rsidR="008266E7">
        <w:t>;</w:t>
      </w:r>
    </w:p>
    <w:p w14:paraId="22443178" w14:textId="17BF1DD4" w:rsidR="002D3EB2" w:rsidRPr="0024181B" w:rsidRDefault="002D3EB2" w:rsidP="00D3185D">
      <w:pPr>
        <w:pStyle w:val="ListParagraph"/>
        <w:numPr>
          <w:ilvl w:val="0"/>
          <w:numId w:val="7"/>
        </w:numPr>
      </w:pPr>
      <w:r w:rsidRPr="0024181B">
        <w:t xml:space="preserve">a European infrastructure for CCS </w:t>
      </w:r>
      <w:r w:rsidR="001028FC">
        <w:t xml:space="preserve">(most probably </w:t>
      </w:r>
      <w:r w:rsidRPr="0024181B">
        <w:t xml:space="preserve">with </w:t>
      </w:r>
      <w:r w:rsidR="001028FC">
        <w:t xml:space="preserve">offshore </w:t>
      </w:r>
      <w:r w:rsidRPr="0024181B">
        <w:t>storage</w:t>
      </w:r>
      <w:r w:rsidR="001028FC">
        <w:t>,</w:t>
      </w:r>
      <w:r w:rsidRPr="0024181B">
        <w:t xml:space="preserve"> in the </w:t>
      </w:r>
      <w:r w:rsidR="001028FC">
        <w:t>N</w:t>
      </w:r>
      <w:r w:rsidRPr="0024181B">
        <w:t>orth sea</w:t>
      </w:r>
      <w:r w:rsidR="001028FC">
        <w:t>)</w:t>
      </w:r>
      <w:r w:rsidR="008266E7">
        <w:t>;</w:t>
      </w:r>
    </w:p>
    <w:p w14:paraId="2D2A97F2" w14:textId="64DEB695" w:rsidR="00A0601D" w:rsidRDefault="009549F3" w:rsidP="00D3185D">
      <w:pPr>
        <w:pStyle w:val="ListParagraph"/>
        <w:numPr>
          <w:ilvl w:val="0"/>
          <w:numId w:val="7"/>
        </w:numPr>
      </w:pPr>
      <w:r>
        <w:t>a</w:t>
      </w:r>
      <w:r w:rsidR="001028FC">
        <w:t xml:space="preserve">n integrated perspective on the </w:t>
      </w:r>
      <w:r w:rsidR="002D3EB2" w:rsidRPr="0024181B">
        <w:t xml:space="preserve">European </w:t>
      </w:r>
      <w:r w:rsidR="001028FC">
        <w:t xml:space="preserve">energy (not just </w:t>
      </w:r>
      <w:r w:rsidR="002D3EB2" w:rsidRPr="0024181B">
        <w:t>electricity</w:t>
      </w:r>
      <w:r w:rsidR="001028FC">
        <w:t xml:space="preserve">!) </w:t>
      </w:r>
      <w:r w:rsidR="002D3EB2" w:rsidRPr="0024181B">
        <w:t xml:space="preserve">system </w:t>
      </w:r>
      <w:r w:rsidR="001028FC" w:rsidRPr="0024181B">
        <w:t>recognizing</w:t>
      </w:r>
      <w:r w:rsidR="002D3EB2" w:rsidRPr="0024181B">
        <w:t xml:space="preserve"> the need for both distributed solutions like storage, demand response, energy substitution and </w:t>
      </w:r>
      <w:r w:rsidR="001028FC" w:rsidRPr="0024181B">
        <w:t>centralized</w:t>
      </w:r>
      <w:r w:rsidR="002D3EB2" w:rsidRPr="0024181B">
        <w:t xml:space="preserve"> solutions like hydro power, </w:t>
      </w:r>
      <w:r w:rsidR="001028FC">
        <w:t xml:space="preserve">transmission </w:t>
      </w:r>
      <w:r w:rsidR="002D3EB2" w:rsidRPr="0024181B">
        <w:t>grid, and natural gas</w:t>
      </w:r>
      <w:r w:rsidR="008266E7">
        <w:t>;</w:t>
      </w:r>
    </w:p>
    <w:p w14:paraId="5613E01A" w14:textId="77777777" w:rsidR="002D3EB2" w:rsidRPr="0024181B" w:rsidRDefault="009549F3" w:rsidP="00D3185D">
      <w:pPr>
        <w:pStyle w:val="ListParagraph"/>
        <w:numPr>
          <w:ilvl w:val="0"/>
          <w:numId w:val="7"/>
        </w:numPr>
      </w:pPr>
      <w:proofErr w:type="gramStart"/>
      <w:r>
        <w:t>a</w:t>
      </w:r>
      <w:proofErr w:type="gramEnd"/>
      <w:r w:rsidR="00A0601D">
        <w:t xml:space="preserve"> continued dialogue between the EU and Norway to align perspectives and coordinate activities concerning the design and operation of the future European clean energy system and the role of Norway therein.</w:t>
      </w:r>
      <w:r w:rsidR="002D3EB2" w:rsidRPr="0024181B">
        <w:t xml:space="preserve"> </w:t>
      </w:r>
    </w:p>
    <w:p w14:paraId="53892055" w14:textId="77777777" w:rsidR="00343BD4" w:rsidRPr="00F337B4" w:rsidRDefault="00343BD4" w:rsidP="008A61EB">
      <w:pPr>
        <w:pStyle w:val="Heading1"/>
      </w:pPr>
      <w:r w:rsidRPr="00F337B4">
        <w:t>Acknowledgements</w:t>
      </w:r>
    </w:p>
    <w:p w14:paraId="4EAA4361" w14:textId="4C7781BD" w:rsidR="00167D51" w:rsidRDefault="00343BD4" w:rsidP="00D3185D">
      <w:r w:rsidRPr="0024181B">
        <w:t xml:space="preserve">We gratefully acknowledge support from </w:t>
      </w:r>
      <w:r w:rsidR="009549F3">
        <w:t xml:space="preserve">the </w:t>
      </w:r>
      <w:r w:rsidRPr="0024181B">
        <w:t>EC</w:t>
      </w:r>
      <w:r w:rsidR="009549F3">
        <w:t>,</w:t>
      </w:r>
      <w:r w:rsidRPr="0024181B">
        <w:t xml:space="preserve"> grant 691843</w:t>
      </w:r>
      <w:r w:rsidR="009549F3">
        <w:t>,</w:t>
      </w:r>
      <w:r w:rsidRPr="0024181B">
        <w:t xml:space="preserve"> SET-</w:t>
      </w:r>
      <w:proofErr w:type="spellStart"/>
      <w:r w:rsidRPr="0024181B">
        <w:t>Nav</w:t>
      </w:r>
      <w:proofErr w:type="spellEnd"/>
      <w:r w:rsidRPr="0024181B">
        <w:t xml:space="preserve"> - Navigating the Roadmap for Clean, Secure and Efficient Energy Innovation (</w:t>
      </w:r>
      <w:hyperlink r:id="rId8" w:history="1">
        <w:r w:rsidRPr="0024181B">
          <w:rPr>
            <w:rStyle w:val="Hyperlink"/>
          </w:rPr>
          <w:t>www.set-nav.eu</w:t>
        </w:r>
      </w:hyperlink>
      <w:r w:rsidRPr="0024181B">
        <w:t>)</w:t>
      </w:r>
      <w:r w:rsidR="00F474EF">
        <w:t>,</w:t>
      </w:r>
      <w:r w:rsidRPr="0024181B">
        <w:t xml:space="preserve"> and </w:t>
      </w:r>
      <w:r w:rsidR="009549F3" w:rsidRPr="0024181B">
        <w:t>from the Research Council of Norway</w:t>
      </w:r>
      <w:r w:rsidR="009549F3">
        <w:t xml:space="preserve">, </w:t>
      </w:r>
      <w:r w:rsidR="009549F3" w:rsidRPr="0024181B">
        <w:t>grant 209697</w:t>
      </w:r>
      <w:r w:rsidR="009549F3">
        <w:t xml:space="preserve">, </w:t>
      </w:r>
      <w:r w:rsidRPr="0024181B">
        <w:t xml:space="preserve">the Centre for Sustainable Energy Studies - FME </w:t>
      </w:r>
      <w:proofErr w:type="spellStart"/>
      <w:r w:rsidRPr="0024181B">
        <w:t>CenSES</w:t>
      </w:r>
      <w:proofErr w:type="spellEnd"/>
      <w:r w:rsidRPr="0024181B">
        <w:t xml:space="preserve"> (</w:t>
      </w:r>
      <w:hyperlink r:id="rId9">
        <w:r w:rsidRPr="0024181B">
          <w:rPr>
            <w:rStyle w:val="Hyperlink"/>
          </w:rPr>
          <w:t>www.censes.no</w:t>
        </w:r>
      </w:hyperlink>
      <w:r w:rsidRPr="0024181B">
        <w:t>).</w:t>
      </w:r>
      <w:r w:rsidR="00EE64ED">
        <w:t xml:space="preserve"> We thank three anonymous reviewers for their comments on previous version</w:t>
      </w:r>
      <w:r w:rsidR="005912B7">
        <w:t>s</w:t>
      </w:r>
      <w:r w:rsidR="00EE64ED">
        <w:t xml:space="preserve"> of this article.</w:t>
      </w:r>
    </w:p>
    <w:sectPr w:rsidR="00167D51" w:rsidSect="0011178E">
      <w:footerReference w:type="default" r:id="rId10"/>
      <w:pgSz w:w="11906" w:h="16838" w:code="9"/>
      <w:pgMar w:top="1418" w:right="1418" w:bottom="1418" w:left="1418" w:header="709"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89C564" w16cid:durableId="1D0244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7E51E" w14:textId="77777777" w:rsidR="00E17C35" w:rsidRDefault="00E17C35" w:rsidP="0011178E">
      <w:r>
        <w:separator/>
      </w:r>
    </w:p>
  </w:endnote>
  <w:endnote w:type="continuationSeparator" w:id="0">
    <w:p w14:paraId="3B27F7D1" w14:textId="77777777" w:rsidR="00E17C35" w:rsidRDefault="00E17C35" w:rsidP="0011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716600"/>
      <w:docPartObj>
        <w:docPartGallery w:val="Page Numbers (Bottom of Page)"/>
        <w:docPartUnique/>
      </w:docPartObj>
    </w:sdtPr>
    <w:sdtEndPr>
      <w:rPr>
        <w:noProof/>
      </w:rPr>
    </w:sdtEndPr>
    <w:sdtContent>
      <w:p w14:paraId="2957ED54" w14:textId="46919514" w:rsidR="00427ED1" w:rsidRDefault="00427ED1" w:rsidP="00D3185D">
        <w:pPr>
          <w:pStyle w:val="Footer"/>
          <w:ind w:firstLine="720"/>
          <w:jc w:val="center"/>
        </w:pPr>
        <w:r>
          <w:fldChar w:fldCharType="begin"/>
        </w:r>
        <w:r>
          <w:instrText xml:space="preserve"> PAGE   \* MERGEFORMAT </w:instrText>
        </w:r>
        <w:r>
          <w:fldChar w:fldCharType="separate"/>
        </w:r>
        <w:r w:rsidR="008A61EB">
          <w:rPr>
            <w:noProof/>
          </w:rPr>
          <w:t>4</w:t>
        </w:r>
        <w:r>
          <w:rPr>
            <w:noProof/>
          </w:rPr>
          <w:fldChar w:fldCharType="end"/>
        </w:r>
      </w:p>
    </w:sdtContent>
  </w:sdt>
  <w:p w14:paraId="2D3865D8" w14:textId="77777777" w:rsidR="00427ED1" w:rsidRDefault="00427ED1" w:rsidP="00111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D9E8E" w14:textId="77777777" w:rsidR="00E17C35" w:rsidRDefault="00E17C35" w:rsidP="0011178E">
      <w:r>
        <w:separator/>
      </w:r>
    </w:p>
  </w:footnote>
  <w:footnote w:type="continuationSeparator" w:id="0">
    <w:p w14:paraId="5A42A02A" w14:textId="77777777" w:rsidR="00E17C35" w:rsidRDefault="00E17C35" w:rsidP="00111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317A"/>
    <w:multiLevelType w:val="hybridMultilevel"/>
    <w:tmpl w:val="879C093A"/>
    <w:lvl w:ilvl="0" w:tplc="FFFFFFFF">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A2785B"/>
    <w:multiLevelType w:val="hybridMultilevel"/>
    <w:tmpl w:val="1FE87030"/>
    <w:lvl w:ilvl="0" w:tplc="FFFFFFFF">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E2F1D"/>
    <w:multiLevelType w:val="hybridMultilevel"/>
    <w:tmpl w:val="94CE19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9E0DA4"/>
    <w:multiLevelType w:val="hybridMultilevel"/>
    <w:tmpl w:val="2140FD96"/>
    <w:lvl w:ilvl="0" w:tplc="FFFFFFFF">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C53F3A"/>
    <w:multiLevelType w:val="hybridMultilevel"/>
    <w:tmpl w:val="B8C262E4"/>
    <w:lvl w:ilvl="0" w:tplc="FFFFFFFF">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9D5F06"/>
    <w:multiLevelType w:val="hybridMultilevel"/>
    <w:tmpl w:val="77AC5E1A"/>
    <w:lvl w:ilvl="0" w:tplc="0520DBCA">
      <w:numFmt w:val="bullet"/>
      <w:lvlText w:val="-"/>
      <w:lvlJc w:val="left"/>
      <w:pPr>
        <w:ind w:left="288" w:hanging="288"/>
      </w:pPr>
      <w:rPr>
        <w:rFonts w:ascii="Calibri" w:eastAsiaTheme="minorEastAsia"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536035"/>
    <w:multiLevelType w:val="hybridMultilevel"/>
    <w:tmpl w:val="1A7C702C"/>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36"/>
    <w:rsid w:val="00007A2B"/>
    <w:rsid w:val="0001001E"/>
    <w:rsid w:val="00015AB6"/>
    <w:rsid w:val="00016ACE"/>
    <w:rsid w:val="0001767B"/>
    <w:rsid w:val="000217A7"/>
    <w:rsid w:val="00021ABA"/>
    <w:rsid w:val="000375BA"/>
    <w:rsid w:val="00084F15"/>
    <w:rsid w:val="000871EE"/>
    <w:rsid w:val="00087656"/>
    <w:rsid w:val="000928B0"/>
    <w:rsid w:val="000A6E0A"/>
    <w:rsid w:val="000C07EF"/>
    <w:rsid w:val="000C7178"/>
    <w:rsid w:val="000D6FF6"/>
    <w:rsid w:val="000E711C"/>
    <w:rsid w:val="000F2B79"/>
    <w:rsid w:val="001028DB"/>
    <w:rsid w:val="001028FC"/>
    <w:rsid w:val="0011178E"/>
    <w:rsid w:val="00134B02"/>
    <w:rsid w:val="00134EC4"/>
    <w:rsid w:val="00147D0B"/>
    <w:rsid w:val="001506A4"/>
    <w:rsid w:val="001679E8"/>
    <w:rsid w:val="00167D51"/>
    <w:rsid w:val="001859C9"/>
    <w:rsid w:val="00185CE6"/>
    <w:rsid w:val="00187F32"/>
    <w:rsid w:val="00196AC7"/>
    <w:rsid w:val="00197B2C"/>
    <w:rsid w:val="001A2358"/>
    <w:rsid w:val="001A4922"/>
    <w:rsid w:val="001B3E78"/>
    <w:rsid w:val="001B6C6B"/>
    <w:rsid w:val="001C371A"/>
    <w:rsid w:val="001C39E2"/>
    <w:rsid w:val="001C45BA"/>
    <w:rsid w:val="001C605A"/>
    <w:rsid w:val="001D2FB3"/>
    <w:rsid w:val="001F2967"/>
    <w:rsid w:val="00207866"/>
    <w:rsid w:val="00216961"/>
    <w:rsid w:val="00224F31"/>
    <w:rsid w:val="00226F32"/>
    <w:rsid w:val="00227940"/>
    <w:rsid w:val="00231DF4"/>
    <w:rsid w:val="00232B27"/>
    <w:rsid w:val="00234E7E"/>
    <w:rsid w:val="00240F04"/>
    <w:rsid w:val="0024181B"/>
    <w:rsid w:val="002431EF"/>
    <w:rsid w:val="00256032"/>
    <w:rsid w:val="00261302"/>
    <w:rsid w:val="00261E2B"/>
    <w:rsid w:val="002656BE"/>
    <w:rsid w:val="00274F58"/>
    <w:rsid w:val="00280534"/>
    <w:rsid w:val="00284F37"/>
    <w:rsid w:val="00285416"/>
    <w:rsid w:val="00287195"/>
    <w:rsid w:val="00291A51"/>
    <w:rsid w:val="00291B83"/>
    <w:rsid w:val="00294FC2"/>
    <w:rsid w:val="00295908"/>
    <w:rsid w:val="002A13AF"/>
    <w:rsid w:val="002A3436"/>
    <w:rsid w:val="002A3899"/>
    <w:rsid w:val="002B02F3"/>
    <w:rsid w:val="002B197C"/>
    <w:rsid w:val="002B26E5"/>
    <w:rsid w:val="002C74F0"/>
    <w:rsid w:val="002D3EB2"/>
    <w:rsid w:val="002D40C8"/>
    <w:rsid w:val="002E2595"/>
    <w:rsid w:val="002F082C"/>
    <w:rsid w:val="002F56AF"/>
    <w:rsid w:val="0030695A"/>
    <w:rsid w:val="00306CB3"/>
    <w:rsid w:val="00310AE8"/>
    <w:rsid w:val="003110F5"/>
    <w:rsid w:val="00311E52"/>
    <w:rsid w:val="00343BD4"/>
    <w:rsid w:val="00353C6B"/>
    <w:rsid w:val="003606FF"/>
    <w:rsid w:val="00361F18"/>
    <w:rsid w:val="00361FFB"/>
    <w:rsid w:val="003702CD"/>
    <w:rsid w:val="00376EB3"/>
    <w:rsid w:val="0038331B"/>
    <w:rsid w:val="00385340"/>
    <w:rsid w:val="00387DCA"/>
    <w:rsid w:val="003C14B6"/>
    <w:rsid w:val="003C3FC9"/>
    <w:rsid w:val="003C4E32"/>
    <w:rsid w:val="003E2DEB"/>
    <w:rsid w:val="003E39F3"/>
    <w:rsid w:val="003E7264"/>
    <w:rsid w:val="003F2345"/>
    <w:rsid w:val="003F41D5"/>
    <w:rsid w:val="003F4E22"/>
    <w:rsid w:val="003F6A61"/>
    <w:rsid w:val="0040034B"/>
    <w:rsid w:val="0040327A"/>
    <w:rsid w:val="0040631C"/>
    <w:rsid w:val="004154A6"/>
    <w:rsid w:val="00415F64"/>
    <w:rsid w:val="0042535B"/>
    <w:rsid w:val="00427ED1"/>
    <w:rsid w:val="00450B3D"/>
    <w:rsid w:val="00453039"/>
    <w:rsid w:val="00467C7A"/>
    <w:rsid w:val="00471968"/>
    <w:rsid w:val="00474FD4"/>
    <w:rsid w:val="004938C4"/>
    <w:rsid w:val="004A4702"/>
    <w:rsid w:val="004C66B5"/>
    <w:rsid w:val="004D2A0A"/>
    <w:rsid w:val="004E25E5"/>
    <w:rsid w:val="004E4762"/>
    <w:rsid w:val="004E6678"/>
    <w:rsid w:val="004F1108"/>
    <w:rsid w:val="00500845"/>
    <w:rsid w:val="0050170D"/>
    <w:rsid w:val="0051070E"/>
    <w:rsid w:val="00520A1F"/>
    <w:rsid w:val="00530819"/>
    <w:rsid w:val="00547121"/>
    <w:rsid w:val="00550AC0"/>
    <w:rsid w:val="00555682"/>
    <w:rsid w:val="00585596"/>
    <w:rsid w:val="00590748"/>
    <w:rsid w:val="005912B7"/>
    <w:rsid w:val="005A3EE9"/>
    <w:rsid w:val="005D1A2B"/>
    <w:rsid w:val="005D2088"/>
    <w:rsid w:val="005E0446"/>
    <w:rsid w:val="005E5569"/>
    <w:rsid w:val="005F04F0"/>
    <w:rsid w:val="005F3C2C"/>
    <w:rsid w:val="005F72F3"/>
    <w:rsid w:val="00600A37"/>
    <w:rsid w:val="006075D9"/>
    <w:rsid w:val="00610311"/>
    <w:rsid w:val="00617860"/>
    <w:rsid w:val="00624B8C"/>
    <w:rsid w:val="006262F0"/>
    <w:rsid w:val="00632596"/>
    <w:rsid w:val="006444D8"/>
    <w:rsid w:val="00653AA5"/>
    <w:rsid w:val="00674755"/>
    <w:rsid w:val="0067798E"/>
    <w:rsid w:val="00684480"/>
    <w:rsid w:val="006866BE"/>
    <w:rsid w:val="00691003"/>
    <w:rsid w:val="0069341A"/>
    <w:rsid w:val="006B4357"/>
    <w:rsid w:val="006C04A6"/>
    <w:rsid w:val="006C2B24"/>
    <w:rsid w:val="006C3691"/>
    <w:rsid w:val="006D114A"/>
    <w:rsid w:val="006D6B85"/>
    <w:rsid w:val="006E1843"/>
    <w:rsid w:val="006E26F2"/>
    <w:rsid w:val="006E51E2"/>
    <w:rsid w:val="006E7E83"/>
    <w:rsid w:val="006F4A39"/>
    <w:rsid w:val="006F6B78"/>
    <w:rsid w:val="006F6C3E"/>
    <w:rsid w:val="00706A9B"/>
    <w:rsid w:val="00707A76"/>
    <w:rsid w:val="007139EC"/>
    <w:rsid w:val="0072043C"/>
    <w:rsid w:val="007256A3"/>
    <w:rsid w:val="00732BC3"/>
    <w:rsid w:val="0073534A"/>
    <w:rsid w:val="00760922"/>
    <w:rsid w:val="00761614"/>
    <w:rsid w:val="00782B78"/>
    <w:rsid w:val="0078695A"/>
    <w:rsid w:val="0079349A"/>
    <w:rsid w:val="007B45E2"/>
    <w:rsid w:val="007B5A3E"/>
    <w:rsid w:val="007C5E63"/>
    <w:rsid w:val="007E3165"/>
    <w:rsid w:val="007F2FC9"/>
    <w:rsid w:val="007F7B32"/>
    <w:rsid w:val="00803A45"/>
    <w:rsid w:val="00812807"/>
    <w:rsid w:val="00823417"/>
    <w:rsid w:val="00824F1D"/>
    <w:rsid w:val="008259F1"/>
    <w:rsid w:val="008266E7"/>
    <w:rsid w:val="00834271"/>
    <w:rsid w:val="00834374"/>
    <w:rsid w:val="00840A89"/>
    <w:rsid w:val="008430AD"/>
    <w:rsid w:val="00843258"/>
    <w:rsid w:val="008615F8"/>
    <w:rsid w:val="00862313"/>
    <w:rsid w:val="00864E99"/>
    <w:rsid w:val="00885184"/>
    <w:rsid w:val="008911AF"/>
    <w:rsid w:val="008A2984"/>
    <w:rsid w:val="008A3413"/>
    <w:rsid w:val="008A61EB"/>
    <w:rsid w:val="008A6E04"/>
    <w:rsid w:val="008A77BF"/>
    <w:rsid w:val="008B295E"/>
    <w:rsid w:val="008C10D6"/>
    <w:rsid w:val="008C21AE"/>
    <w:rsid w:val="008D0731"/>
    <w:rsid w:val="008D7089"/>
    <w:rsid w:val="008E7350"/>
    <w:rsid w:val="00910897"/>
    <w:rsid w:val="00916237"/>
    <w:rsid w:val="0092235B"/>
    <w:rsid w:val="00932A12"/>
    <w:rsid w:val="00934E3A"/>
    <w:rsid w:val="00946A45"/>
    <w:rsid w:val="00951D74"/>
    <w:rsid w:val="009549F3"/>
    <w:rsid w:val="009569F9"/>
    <w:rsid w:val="009613E3"/>
    <w:rsid w:val="009628C7"/>
    <w:rsid w:val="009633AA"/>
    <w:rsid w:val="00967DC5"/>
    <w:rsid w:val="0098652B"/>
    <w:rsid w:val="009A0A40"/>
    <w:rsid w:val="009A1699"/>
    <w:rsid w:val="009A1D54"/>
    <w:rsid w:val="009A2076"/>
    <w:rsid w:val="009A3889"/>
    <w:rsid w:val="009B33A2"/>
    <w:rsid w:val="009B5376"/>
    <w:rsid w:val="009C09F9"/>
    <w:rsid w:val="009C0AA1"/>
    <w:rsid w:val="009C1984"/>
    <w:rsid w:val="009C4BD0"/>
    <w:rsid w:val="009D44B1"/>
    <w:rsid w:val="009D53AB"/>
    <w:rsid w:val="009E12BD"/>
    <w:rsid w:val="009F1C0B"/>
    <w:rsid w:val="009F60E3"/>
    <w:rsid w:val="00A03773"/>
    <w:rsid w:val="00A03D50"/>
    <w:rsid w:val="00A0601D"/>
    <w:rsid w:val="00A14A55"/>
    <w:rsid w:val="00A163B3"/>
    <w:rsid w:val="00A4421F"/>
    <w:rsid w:val="00A53F29"/>
    <w:rsid w:val="00A75833"/>
    <w:rsid w:val="00A809D1"/>
    <w:rsid w:val="00A8359D"/>
    <w:rsid w:val="00A926B0"/>
    <w:rsid w:val="00A94EDB"/>
    <w:rsid w:val="00AB5025"/>
    <w:rsid w:val="00AD0957"/>
    <w:rsid w:val="00AD36E3"/>
    <w:rsid w:val="00AE0503"/>
    <w:rsid w:val="00AE2BDB"/>
    <w:rsid w:val="00AE6455"/>
    <w:rsid w:val="00AE7D96"/>
    <w:rsid w:val="00AF210A"/>
    <w:rsid w:val="00AF2AD7"/>
    <w:rsid w:val="00AF510F"/>
    <w:rsid w:val="00AF619F"/>
    <w:rsid w:val="00B05B7A"/>
    <w:rsid w:val="00B250C6"/>
    <w:rsid w:val="00B33D3E"/>
    <w:rsid w:val="00B40A51"/>
    <w:rsid w:val="00B50B64"/>
    <w:rsid w:val="00B53FA6"/>
    <w:rsid w:val="00B60D87"/>
    <w:rsid w:val="00B629B0"/>
    <w:rsid w:val="00B65DEF"/>
    <w:rsid w:val="00B80F07"/>
    <w:rsid w:val="00B811F7"/>
    <w:rsid w:val="00B90D30"/>
    <w:rsid w:val="00B93250"/>
    <w:rsid w:val="00BB048F"/>
    <w:rsid w:val="00BB259A"/>
    <w:rsid w:val="00BB2ACC"/>
    <w:rsid w:val="00BD1B83"/>
    <w:rsid w:val="00BD4C2E"/>
    <w:rsid w:val="00BD7169"/>
    <w:rsid w:val="00C12F88"/>
    <w:rsid w:val="00C16801"/>
    <w:rsid w:val="00C21126"/>
    <w:rsid w:val="00C3423A"/>
    <w:rsid w:val="00C3494F"/>
    <w:rsid w:val="00C36F89"/>
    <w:rsid w:val="00C5686F"/>
    <w:rsid w:val="00C74817"/>
    <w:rsid w:val="00C74B41"/>
    <w:rsid w:val="00C773F2"/>
    <w:rsid w:val="00C842BB"/>
    <w:rsid w:val="00C91D20"/>
    <w:rsid w:val="00C94CFC"/>
    <w:rsid w:val="00CC14BF"/>
    <w:rsid w:val="00CC4FA8"/>
    <w:rsid w:val="00CC6722"/>
    <w:rsid w:val="00CD6622"/>
    <w:rsid w:val="00CE4B25"/>
    <w:rsid w:val="00CE4DBB"/>
    <w:rsid w:val="00CF2F90"/>
    <w:rsid w:val="00D04FA6"/>
    <w:rsid w:val="00D11A16"/>
    <w:rsid w:val="00D308CF"/>
    <w:rsid w:val="00D3185D"/>
    <w:rsid w:val="00D3331F"/>
    <w:rsid w:val="00D54388"/>
    <w:rsid w:val="00D62E93"/>
    <w:rsid w:val="00D75A65"/>
    <w:rsid w:val="00D81012"/>
    <w:rsid w:val="00D8227C"/>
    <w:rsid w:val="00D84E73"/>
    <w:rsid w:val="00D86853"/>
    <w:rsid w:val="00D960E9"/>
    <w:rsid w:val="00DB0832"/>
    <w:rsid w:val="00DC16AB"/>
    <w:rsid w:val="00DD0801"/>
    <w:rsid w:val="00DE39F5"/>
    <w:rsid w:val="00DE6958"/>
    <w:rsid w:val="00DF617C"/>
    <w:rsid w:val="00E16D88"/>
    <w:rsid w:val="00E17C35"/>
    <w:rsid w:val="00E23558"/>
    <w:rsid w:val="00E36557"/>
    <w:rsid w:val="00E37274"/>
    <w:rsid w:val="00E51631"/>
    <w:rsid w:val="00E60490"/>
    <w:rsid w:val="00E614F0"/>
    <w:rsid w:val="00E63B8E"/>
    <w:rsid w:val="00E63C28"/>
    <w:rsid w:val="00E73412"/>
    <w:rsid w:val="00E74393"/>
    <w:rsid w:val="00E74B4F"/>
    <w:rsid w:val="00E830E0"/>
    <w:rsid w:val="00E91659"/>
    <w:rsid w:val="00E96C82"/>
    <w:rsid w:val="00EA70E7"/>
    <w:rsid w:val="00EC7BFF"/>
    <w:rsid w:val="00ED0393"/>
    <w:rsid w:val="00ED4B4C"/>
    <w:rsid w:val="00ED6A54"/>
    <w:rsid w:val="00EE0B70"/>
    <w:rsid w:val="00EE64ED"/>
    <w:rsid w:val="00EF373B"/>
    <w:rsid w:val="00F05AB1"/>
    <w:rsid w:val="00F06B95"/>
    <w:rsid w:val="00F16114"/>
    <w:rsid w:val="00F20915"/>
    <w:rsid w:val="00F26DAD"/>
    <w:rsid w:val="00F337B4"/>
    <w:rsid w:val="00F36AA1"/>
    <w:rsid w:val="00F46A7B"/>
    <w:rsid w:val="00F474EF"/>
    <w:rsid w:val="00F572FA"/>
    <w:rsid w:val="00F610AF"/>
    <w:rsid w:val="00F7094B"/>
    <w:rsid w:val="00F723F8"/>
    <w:rsid w:val="00FA3610"/>
    <w:rsid w:val="00FA7AC2"/>
    <w:rsid w:val="00FB3654"/>
    <w:rsid w:val="00FB36C1"/>
    <w:rsid w:val="00FC40CE"/>
    <w:rsid w:val="00FC46D9"/>
    <w:rsid w:val="00FC75AC"/>
    <w:rsid w:val="00FD5425"/>
    <w:rsid w:val="00FE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57856"/>
  <w15:chartTrackingRefBased/>
  <w15:docId w15:val="{7F4F6B35-DE20-4615-80B5-A34E38C5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8E"/>
    <w:pPr>
      <w:spacing w:after="40"/>
      <w:contextualSpacing/>
      <w:jc w:val="both"/>
    </w:pPr>
  </w:style>
  <w:style w:type="paragraph" w:styleId="Heading1">
    <w:name w:val="heading 1"/>
    <w:basedOn w:val="Normal"/>
    <w:next w:val="Normal"/>
    <w:link w:val="Heading1Char"/>
    <w:autoRedefine/>
    <w:uiPriority w:val="9"/>
    <w:qFormat/>
    <w:rsid w:val="008A61EB"/>
    <w:pPr>
      <w:keepNext/>
      <w:keepLines/>
      <w:spacing w:before="60" w:after="0" w:line="240" w:lineRule="auto"/>
      <w:outlineLvl w:val="0"/>
    </w:pPr>
    <w:rPr>
      <w:rFonts w:ascii="Cambria" w:eastAsiaTheme="majorEastAsia" w:hAnsi="Cambria" w:cstheme="majorBidi"/>
      <w:b/>
      <w:color w:val="2E74B5" w:themeColor="accent1" w:themeShade="BF"/>
      <w:sz w:val="26"/>
      <w:szCs w:val="28"/>
    </w:rPr>
  </w:style>
  <w:style w:type="paragraph" w:styleId="Heading2">
    <w:name w:val="heading 2"/>
    <w:basedOn w:val="Normal"/>
    <w:next w:val="Normal"/>
    <w:link w:val="Heading2Char"/>
    <w:uiPriority w:val="9"/>
    <w:unhideWhenUsed/>
    <w:qFormat/>
    <w:rsid w:val="00CD6622"/>
    <w:pPr>
      <w:keepNext/>
      <w:keepLines/>
      <w:spacing w:before="40" w:after="0"/>
      <w:outlineLvl w:val="1"/>
    </w:pPr>
    <w:rPr>
      <w:rFonts w:ascii="Cambria" w:eastAsiaTheme="majorEastAsia" w:hAnsi="Cambria" w:cstheme="majorBidi"/>
      <w:b/>
      <w:color w:val="2E74B5" w:themeColor="accent1" w:themeShade="BF"/>
      <w:sz w:val="28"/>
      <w:szCs w:val="26"/>
    </w:rPr>
  </w:style>
  <w:style w:type="paragraph" w:styleId="Heading3">
    <w:name w:val="heading 3"/>
    <w:basedOn w:val="Normal"/>
    <w:next w:val="Normal"/>
    <w:link w:val="Heading3Char"/>
    <w:uiPriority w:val="9"/>
    <w:semiHidden/>
    <w:unhideWhenUsed/>
    <w:qFormat/>
    <w:rsid w:val="00CD6622"/>
    <w:pPr>
      <w:keepNext/>
      <w:keepLines/>
      <w:spacing w:before="40" w:after="0"/>
      <w:outlineLvl w:val="2"/>
    </w:pPr>
    <w:rPr>
      <w:rFonts w:ascii="Cambria" w:eastAsiaTheme="majorEastAsia" w:hAnsi="Cambria" w:cstheme="majorBidi"/>
      <w:b/>
      <w:color w:val="1F4D78"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1EB"/>
    <w:rPr>
      <w:rFonts w:ascii="Cambria" w:eastAsiaTheme="majorEastAsia" w:hAnsi="Cambria" w:cstheme="majorBidi"/>
      <w:b/>
      <w:color w:val="2E74B5" w:themeColor="accent1" w:themeShade="BF"/>
      <w:sz w:val="26"/>
      <w:szCs w:val="28"/>
    </w:rPr>
  </w:style>
  <w:style w:type="character" w:customStyle="1" w:styleId="Heading2Char">
    <w:name w:val="Heading 2 Char"/>
    <w:basedOn w:val="DefaultParagraphFont"/>
    <w:link w:val="Heading2"/>
    <w:uiPriority w:val="9"/>
    <w:rsid w:val="00CD6622"/>
    <w:rPr>
      <w:rFonts w:ascii="Cambria" w:eastAsiaTheme="majorEastAsia" w:hAnsi="Cambria" w:cstheme="majorBidi"/>
      <w:b/>
      <w:color w:val="2E74B5" w:themeColor="accent1" w:themeShade="BF"/>
      <w:sz w:val="28"/>
      <w:szCs w:val="26"/>
    </w:rPr>
  </w:style>
  <w:style w:type="character" w:customStyle="1" w:styleId="Heading3Char">
    <w:name w:val="Heading 3 Char"/>
    <w:basedOn w:val="DefaultParagraphFont"/>
    <w:link w:val="Heading3"/>
    <w:uiPriority w:val="9"/>
    <w:semiHidden/>
    <w:rsid w:val="00CD6622"/>
    <w:rPr>
      <w:rFonts w:ascii="Cambria" w:eastAsiaTheme="majorEastAsia" w:hAnsi="Cambria" w:cstheme="majorBidi"/>
      <w:b/>
      <w:color w:val="1F4D78" w:themeColor="accent1" w:themeShade="7F"/>
      <w:sz w:val="26"/>
      <w:szCs w:val="24"/>
    </w:rPr>
  </w:style>
  <w:style w:type="paragraph" w:customStyle="1" w:styleId="TOC-header">
    <w:name w:val="TOC-header"/>
    <w:basedOn w:val="Heading1"/>
    <w:link w:val="TOC-headerChar"/>
    <w:qFormat/>
    <w:rsid w:val="00691003"/>
  </w:style>
  <w:style w:type="character" w:customStyle="1" w:styleId="TOC-headerChar">
    <w:name w:val="TOC-header Char"/>
    <w:basedOn w:val="Heading1Char"/>
    <w:link w:val="TOC-header"/>
    <w:rsid w:val="00691003"/>
    <w:rPr>
      <w:rFonts w:ascii="Cambria" w:eastAsiaTheme="majorEastAsia" w:hAnsi="Cambria" w:cstheme="majorBidi"/>
      <w:b/>
      <w:color w:val="2E74B5" w:themeColor="accent1" w:themeShade="BF"/>
      <w:sz w:val="32"/>
      <w:szCs w:val="32"/>
    </w:rPr>
  </w:style>
  <w:style w:type="paragraph" w:styleId="Caption">
    <w:name w:val="caption"/>
    <w:basedOn w:val="Normal"/>
    <w:next w:val="Normal"/>
    <w:uiPriority w:val="35"/>
    <w:unhideWhenUsed/>
    <w:qFormat/>
    <w:rsid w:val="00691003"/>
    <w:pPr>
      <w:spacing w:after="200" w:line="240" w:lineRule="auto"/>
    </w:pPr>
    <w:rPr>
      <w:rFonts w:ascii="Arial" w:hAnsi="Arial"/>
      <w:b/>
      <w:iCs/>
      <w:sz w:val="18"/>
      <w:szCs w:val="18"/>
    </w:rPr>
  </w:style>
  <w:style w:type="paragraph" w:styleId="ListParagraph">
    <w:name w:val="List Paragraph"/>
    <w:basedOn w:val="Normal"/>
    <w:uiPriority w:val="34"/>
    <w:qFormat/>
    <w:rsid w:val="000E711C"/>
    <w:pPr>
      <w:ind w:left="720"/>
    </w:pPr>
  </w:style>
  <w:style w:type="character" w:styleId="CommentReference">
    <w:name w:val="annotation reference"/>
    <w:basedOn w:val="DefaultParagraphFont"/>
    <w:uiPriority w:val="99"/>
    <w:semiHidden/>
    <w:unhideWhenUsed/>
    <w:rsid w:val="00812807"/>
    <w:rPr>
      <w:sz w:val="16"/>
      <w:szCs w:val="16"/>
    </w:rPr>
  </w:style>
  <w:style w:type="paragraph" w:styleId="CommentText">
    <w:name w:val="annotation text"/>
    <w:basedOn w:val="Normal"/>
    <w:link w:val="CommentTextChar"/>
    <w:uiPriority w:val="99"/>
    <w:semiHidden/>
    <w:unhideWhenUsed/>
    <w:rsid w:val="00812807"/>
    <w:pPr>
      <w:spacing w:line="240" w:lineRule="auto"/>
    </w:pPr>
    <w:rPr>
      <w:sz w:val="20"/>
      <w:szCs w:val="20"/>
    </w:rPr>
  </w:style>
  <w:style w:type="character" w:customStyle="1" w:styleId="CommentTextChar">
    <w:name w:val="Comment Text Char"/>
    <w:basedOn w:val="DefaultParagraphFont"/>
    <w:link w:val="CommentText"/>
    <w:uiPriority w:val="99"/>
    <w:semiHidden/>
    <w:rsid w:val="00812807"/>
    <w:rPr>
      <w:sz w:val="20"/>
      <w:szCs w:val="20"/>
    </w:rPr>
  </w:style>
  <w:style w:type="paragraph" w:styleId="CommentSubject">
    <w:name w:val="annotation subject"/>
    <w:basedOn w:val="CommentText"/>
    <w:next w:val="CommentText"/>
    <w:link w:val="CommentSubjectChar"/>
    <w:uiPriority w:val="99"/>
    <w:semiHidden/>
    <w:unhideWhenUsed/>
    <w:rsid w:val="00812807"/>
    <w:rPr>
      <w:b/>
      <w:bCs/>
    </w:rPr>
  </w:style>
  <w:style w:type="character" w:customStyle="1" w:styleId="CommentSubjectChar">
    <w:name w:val="Comment Subject Char"/>
    <w:basedOn w:val="CommentTextChar"/>
    <w:link w:val="CommentSubject"/>
    <w:uiPriority w:val="99"/>
    <w:semiHidden/>
    <w:rsid w:val="00812807"/>
    <w:rPr>
      <w:b/>
      <w:bCs/>
      <w:sz w:val="20"/>
      <w:szCs w:val="20"/>
    </w:rPr>
  </w:style>
  <w:style w:type="paragraph" w:styleId="BalloonText">
    <w:name w:val="Balloon Text"/>
    <w:basedOn w:val="Normal"/>
    <w:link w:val="BalloonTextChar"/>
    <w:uiPriority w:val="99"/>
    <w:semiHidden/>
    <w:unhideWhenUsed/>
    <w:rsid w:val="00812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807"/>
    <w:rPr>
      <w:rFonts w:ascii="Segoe UI" w:hAnsi="Segoe UI" w:cs="Segoe UI"/>
      <w:sz w:val="18"/>
      <w:szCs w:val="18"/>
    </w:rPr>
  </w:style>
  <w:style w:type="character" w:styleId="Hyperlink">
    <w:name w:val="Hyperlink"/>
    <w:basedOn w:val="DefaultParagraphFont"/>
    <w:uiPriority w:val="99"/>
    <w:unhideWhenUsed/>
    <w:rsid w:val="00BD1B83"/>
    <w:rPr>
      <w:color w:val="0563C1" w:themeColor="hyperlink"/>
      <w:u w:val="single"/>
    </w:rPr>
  </w:style>
  <w:style w:type="character" w:styleId="BookTitle">
    <w:name w:val="Book Title"/>
    <w:basedOn w:val="DefaultParagraphFont"/>
    <w:uiPriority w:val="33"/>
    <w:qFormat/>
    <w:rsid w:val="000D6FF6"/>
    <w:rPr>
      <w:b/>
      <w:bCs/>
      <w:i/>
      <w:iCs/>
      <w:spacing w:val="5"/>
    </w:rPr>
  </w:style>
  <w:style w:type="table" w:styleId="TableGrid">
    <w:name w:val="Table Grid"/>
    <w:basedOn w:val="TableNormal"/>
    <w:uiPriority w:val="39"/>
    <w:rsid w:val="0034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ED1"/>
  </w:style>
  <w:style w:type="paragraph" w:styleId="Footer">
    <w:name w:val="footer"/>
    <w:basedOn w:val="Normal"/>
    <w:link w:val="FooterChar"/>
    <w:uiPriority w:val="99"/>
    <w:unhideWhenUsed/>
    <w:rsid w:val="0042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ED1"/>
  </w:style>
  <w:style w:type="paragraph" w:customStyle="1" w:styleId="PaperTitle">
    <w:name w:val="Paper Title"/>
    <w:basedOn w:val="Heading1"/>
    <w:link w:val="PaperTitleChar"/>
    <w:qFormat/>
    <w:rsid w:val="00F337B4"/>
  </w:style>
  <w:style w:type="character" w:customStyle="1" w:styleId="PaperTitleChar">
    <w:name w:val="Paper Title Char"/>
    <w:basedOn w:val="Heading1Char"/>
    <w:link w:val="PaperTitle"/>
    <w:rsid w:val="00F337B4"/>
    <w:rPr>
      <w:rFonts w:ascii="Cambria" w:eastAsiaTheme="majorEastAsia" w:hAnsi="Cambria" w:cstheme="majorBidi"/>
      <w:b/>
      <w:color w:val="2E74B5" w:themeColor="accent1" w:themeShade="BF"/>
      <w:sz w:val="28"/>
      <w:szCs w:val="28"/>
    </w:rPr>
  </w:style>
  <w:style w:type="paragraph" w:styleId="Title">
    <w:name w:val="Title"/>
    <w:basedOn w:val="PaperTitle"/>
    <w:next w:val="Normal"/>
    <w:link w:val="TitleChar"/>
    <w:uiPriority w:val="10"/>
    <w:qFormat/>
    <w:rsid w:val="0011178E"/>
    <w:rPr>
      <w:b w:val="0"/>
      <w:sz w:val="24"/>
    </w:rPr>
  </w:style>
  <w:style w:type="character" w:customStyle="1" w:styleId="TitleChar">
    <w:name w:val="Title Char"/>
    <w:basedOn w:val="DefaultParagraphFont"/>
    <w:link w:val="Title"/>
    <w:uiPriority w:val="10"/>
    <w:rsid w:val="0011178E"/>
    <w:rPr>
      <w:rFonts w:ascii="Cambria" w:eastAsiaTheme="majorEastAsia" w:hAnsi="Cambria" w:cstheme="majorBidi"/>
      <w:color w:val="2E74B5" w:themeColor="accent1" w:themeShade="B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3413">
      <w:bodyDiv w:val="1"/>
      <w:marLeft w:val="0"/>
      <w:marRight w:val="0"/>
      <w:marTop w:val="0"/>
      <w:marBottom w:val="0"/>
      <w:divBdr>
        <w:top w:val="none" w:sz="0" w:space="0" w:color="auto"/>
        <w:left w:val="none" w:sz="0" w:space="0" w:color="auto"/>
        <w:bottom w:val="none" w:sz="0" w:space="0" w:color="auto"/>
        <w:right w:val="none" w:sz="0" w:space="0" w:color="auto"/>
      </w:divBdr>
    </w:div>
    <w:div w:id="9441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nav.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nses.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15A4-4D62-4F68-B013-E8C4F1F6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2589</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IOT NTNU</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Egging</dc:creator>
  <cp:keywords/>
  <dc:description/>
  <cp:lastModifiedBy>Ruud Egging</cp:lastModifiedBy>
  <cp:revision>106</cp:revision>
  <cp:lastPrinted>2018-01-16T13:03:00Z</cp:lastPrinted>
  <dcterms:created xsi:type="dcterms:W3CDTF">2018-01-09T21:04:00Z</dcterms:created>
  <dcterms:modified xsi:type="dcterms:W3CDTF">2018-01-16T13:05:00Z</dcterms:modified>
</cp:coreProperties>
</file>