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4DB94" w14:textId="77777777" w:rsidR="00F4218E" w:rsidRPr="00545991" w:rsidRDefault="00F4218E" w:rsidP="00F4218E">
      <w:pPr>
        <w:jc w:val="center"/>
        <w:rPr>
          <w:rFonts w:ascii="Times New Roman" w:hAnsi="Times New Roman" w:cs="Times New Roman"/>
          <w:b/>
          <w:sz w:val="24"/>
          <w:szCs w:val="24"/>
          <w:lang w:val="nb-NO"/>
        </w:rPr>
      </w:pPr>
    </w:p>
    <w:p w14:paraId="50388E23" w14:textId="77777777" w:rsidR="00F4218E" w:rsidRPr="00545991" w:rsidRDefault="00F4218E" w:rsidP="00F4218E">
      <w:pPr>
        <w:jc w:val="center"/>
        <w:rPr>
          <w:rFonts w:ascii="Times New Roman" w:hAnsi="Times New Roman" w:cs="Times New Roman"/>
          <w:b/>
          <w:sz w:val="24"/>
          <w:szCs w:val="24"/>
          <w:lang w:val="nb-NO"/>
        </w:rPr>
      </w:pPr>
    </w:p>
    <w:p w14:paraId="24B1B899" w14:textId="77777777" w:rsidR="00F4218E" w:rsidRPr="00545991" w:rsidRDefault="00F4218E" w:rsidP="00F4218E">
      <w:pPr>
        <w:jc w:val="center"/>
        <w:rPr>
          <w:rFonts w:ascii="Times New Roman" w:hAnsi="Times New Roman" w:cs="Times New Roman"/>
          <w:b/>
          <w:sz w:val="24"/>
          <w:szCs w:val="24"/>
          <w:lang w:val="nb-NO"/>
        </w:rPr>
      </w:pPr>
    </w:p>
    <w:p w14:paraId="51037DED" w14:textId="002112D1" w:rsidR="00425D27" w:rsidRDefault="000A1E1D" w:rsidP="00F4218E">
      <w:pPr>
        <w:pStyle w:val="Overskrift1"/>
        <w:jc w:val="center"/>
        <w:rPr>
          <w:rFonts w:ascii="Times New Roman" w:hAnsi="Times New Roman" w:cs="Times New Roman"/>
          <w:lang w:val="nb-NO"/>
        </w:rPr>
      </w:pPr>
      <w:r>
        <w:rPr>
          <w:rFonts w:ascii="Times New Roman" w:hAnsi="Times New Roman" w:cs="Times New Roman"/>
          <w:lang w:val="nb-NO"/>
        </w:rPr>
        <w:t>Internasjonale a</w:t>
      </w:r>
      <w:r w:rsidR="00A01863">
        <w:rPr>
          <w:rFonts w:ascii="Times New Roman" w:hAnsi="Times New Roman" w:cs="Times New Roman"/>
          <w:lang w:val="nb-NO"/>
        </w:rPr>
        <w:t xml:space="preserve">rrangementer </w:t>
      </w:r>
      <w:r w:rsidR="000B7585">
        <w:rPr>
          <w:rFonts w:ascii="Times New Roman" w:hAnsi="Times New Roman" w:cs="Times New Roman"/>
          <w:lang w:val="nb-NO"/>
        </w:rPr>
        <w:t xml:space="preserve">- </w:t>
      </w:r>
      <w:r w:rsidR="00E65285">
        <w:rPr>
          <w:rFonts w:ascii="Times New Roman" w:hAnsi="Times New Roman" w:cs="Times New Roman"/>
          <w:lang w:val="nb-NO"/>
        </w:rPr>
        <w:t>i</w:t>
      </w:r>
      <w:r>
        <w:rPr>
          <w:rFonts w:ascii="Times New Roman" w:hAnsi="Times New Roman" w:cs="Times New Roman"/>
          <w:lang w:val="nb-NO"/>
        </w:rPr>
        <w:t xml:space="preserve">ngen automatisk </w:t>
      </w:r>
      <w:r w:rsidR="00A01863">
        <w:rPr>
          <w:rFonts w:ascii="Times New Roman" w:hAnsi="Times New Roman" w:cs="Times New Roman"/>
          <w:lang w:val="nb-NO"/>
        </w:rPr>
        <w:t>gullgruve for vertsbyene: En casestudie av Sjakk</w:t>
      </w:r>
      <w:r w:rsidR="00E65285">
        <w:rPr>
          <w:rFonts w:ascii="Times New Roman" w:hAnsi="Times New Roman" w:cs="Times New Roman"/>
          <w:lang w:val="nb-NO"/>
        </w:rPr>
        <w:t>-</w:t>
      </w:r>
      <w:r w:rsidR="00F4218E" w:rsidRPr="00545991">
        <w:rPr>
          <w:rFonts w:ascii="Times New Roman" w:hAnsi="Times New Roman" w:cs="Times New Roman"/>
          <w:lang w:val="nb-NO"/>
        </w:rPr>
        <w:t>OL</w:t>
      </w:r>
      <w:r w:rsidR="00D65878" w:rsidRPr="00545991">
        <w:rPr>
          <w:rFonts w:ascii="Times New Roman" w:hAnsi="Times New Roman" w:cs="Times New Roman"/>
          <w:lang w:val="nb-NO"/>
        </w:rPr>
        <w:t xml:space="preserve"> </w:t>
      </w:r>
      <w:r w:rsidR="00A01863">
        <w:rPr>
          <w:rFonts w:ascii="Times New Roman" w:hAnsi="Times New Roman" w:cs="Times New Roman"/>
          <w:lang w:val="nb-NO"/>
        </w:rPr>
        <w:t>i Tromsø 2014</w:t>
      </w:r>
    </w:p>
    <w:p w14:paraId="0E02DDB8" w14:textId="77777777" w:rsidR="00001D14" w:rsidRPr="00001D14" w:rsidRDefault="00001D14" w:rsidP="00001D14">
      <w:pPr>
        <w:rPr>
          <w:lang w:val="nb-NO"/>
        </w:rPr>
      </w:pPr>
    </w:p>
    <w:p w14:paraId="1F008F8C" w14:textId="77777777" w:rsidR="00001D14" w:rsidRDefault="00001D14" w:rsidP="00001D14">
      <w:pPr>
        <w:rPr>
          <w:lang w:val="nb-NO"/>
        </w:rPr>
      </w:pPr>
    </w:p>
    <w:p w14:paraId="738FAE12" w14:textId="77777777" w:rsidR="004972CA" w:rsidRDefault="00001D14" w:rsidP="00001D14">
      <w:pPr>
        <w:jc w:val="center"/>
        <w:rPr>
          <w:rFonts w:ascii="Times New Roman" w:hAnsi="Times New Roman" w:cs="Times New Roman"/>
          <w:sz w:val="28"/>
          <w:szCs w:val="28"/>
          <w:lang w:val="nb-NO"/>
        </w:rPr>
      </w:pPr>
      <w:r w:rsidRPr="00001D14">
        <w:rPr>
          <w:rFonts w:ascii="Times New Roman" w:hAnsi="Times New Roman" w:cs="Times New Roman"/>
          <w:sz w:val="28"/>
          <w:szCs w:val="28"/>
          <w:lang w:val="nb-NO"/>
        </w:rPr>
        <w:t xml:space="preserve">Jon Martin Denstadli, </w:t>
      </w:r>
      <w:r w:rsidR="004972CA">
        <w:rPr>
          <w:rFonts w:ascii="Times New Roman" w:hAnsi="Times New Roman" w:cs="Times New Roman"/>
          <w:sz w:val="28"/>
          <w:szCs w:val="28"/>
          <w:lang w:val="nb-NO"/>
        </w:rPr>
        <w:t>1. amanuensis</w:t>
      </w:r>
      <w:r w:rsidR="004972CA">
        <w:rPr>
          <w:rFonts w:ascii="Times New Roman" w:hAnsi="Times New Roman" w:cs="Times New Roman"/>
          <w:sz w:val="28"/>
          <w:szCs w:val="28"/>
          <w:lang w:val="nb-NO"/>
        </w:rPr>
        <w:br/>
      </w:r>
      <w:r w:rsidRPr="00001D14">
        <w:rPr>
          <w:rFonts w:ascii="Times New Roman" w:hAnsi="Times New Roman" w:cs="Times New Roman"/>
          <w:sz w:val="28"/>
          <w:szCs w:val="28"/>
          <w:lang w:val="nb-NO"/>
        </w:rPr>
        <w:t>NTNU Handelshøyskolen</w:t>
      </w:r>
      <w:r w:rsidR="004972CA">
        <w:rPr>
          <w:rFonts w:ascii="Times New Roman" w:hAnsi="Times New Roman" w:cs="Times New Roman"/>
          <w:sz w:val="28"/>
          <w:szCs w:val="28"/>
          <w:lang w:val="nb-NO"/>
        </w:rPr>
        <w:t>, 7491 Trondheim</w:t>
      </w:r>
    </w:p>
    <w:p w14:paraId="6A15DBED" w14:textId="77777777" w:rsidR="00001D14" w:rsidRDefault="00001D14" w:rsidP="00001D14">
      <w:pPr>
        <w:jc w:val="center"/>
        <w:rPr>
          <w:rFonts w:ascii="Times New Roman" w:hAnsi="Times New Roman" w:cs="Times New Roman"/>
          <w:sz w:val="28"/>
          <w:szCs w:val="28"/>
          <w:lang w:val="nb-NO"/>
        </w:rPr>
      </w:pPr>
      <w:r>
        <w:rPr>
          <w:rFonts w:ascii="Times New Roman" w:hAnsi="Times New Roman" w:cs="Times New Roman"/>
          <w:sz w:val="28"/>
          <w:szCs w:val="28"/>
          <w:lang w:val="nb-NO"/>
        </w:rPr>
        <w:t>&amp;</w:t>
      </w:r>
    </w:p>
    <w:p w14:paraId="63A308CF" w14:textId="77777777" w:rsidR="00C445A5" w:rsidRDefault="00001D14" w:rsidP="00001D14">
      <w:pPr>
        <w:jc w:val="center"/>
        <w:rPr>
          <w:rFonts w:ascii="Times New Roman" w:hAnsi="Times New Roman" w:cs="Times New Roman"/>
          <w:sz w:val="28"/>
          <w:szCs w:val="28"/>
          <w:lang w:val="nb-NO"/>
        </w:rPr>
      </w:pPr>
      <w:r>
        <w:rPr>
          <w:rFonts w:ascii="Times New Roman" w:hAnsi="Times New Roman" w:cs="Times New Roman"/>
          <w:sz w:val="28"/>
          <w:szCs w:val="28"/>
          <w:lang w:val="nb-NO"/>
        </w:rPr>
        <w:t xml:space="preserve">Harry Arne Solberg, </w:t>
      </w:r>
      <w:r w:rsidR="004972CA">
        <w:rPr>
          <w:rFonts w:ascii="Times New Roman" w:hAnsi="Times New Roman" w:cs="Times New Roman"/>
          <w:sz w:val="28"/>
          <w:szCs w:val="28"/>
          <w:lang w:val="nb-NO"/>
        </w:rPr>
        <w:t>Professor</w:t>
      </w:r>
      <w:r w:rsidR="004972CA">
        <w:rPr>
          <w:rFonts w:ascii="Times New Roman" w:hAnsi="Times New Roman" w:cs="Times New Roman"/>
          <w:sz w:val="28"/>
          <w:szCs w:val="28"/>
          <w:lang w:val="nb-NO"/>
        </w:rPr>
        <w:br/>
      </w:r>
      <w:r>
        <w:rPr>
          <w:rFonts w:ascii="Times New Roman" w:hAnsi="Times New Roman" w:cs="Times New Roman"/>
          <w:sz w:val="28"/>
          <w:szCs w:val="28"/>
          <w:lang w:val="nb-NO"/>
        </w:rPr>
        <w:t>NTNU Handelshøyskolen</w:t>
      </w:r>
      <w:r w:rsidR="004972CA">
        <w:rPr>
          <w:rFonts w:ascii="Times New Roman" w:hAnsi="Times New Roman" w:cs="Times New Roman"/>
          <w:sz w:val="28"/>
          <w:szCs w:val="28"/>
          <w:lang w:val="nb-NO"/>
        </w:rPr>
        <w:t>, 7491 Trondheim</w:t>
      </w:r>
    </w:p>
    <w:p w14:paraId="0095D4C1" w14:textId="77777777" w:rsidR="00C445A5" w:rsidRDefault="00C445A5" w:rsidP="00001D14">
      <w:pPr>
        <w:jc w:val="center"/>
        <w:rPr>
          <w:rFonts w:ascii="Times New Roman" w:hAnsi="Times New Roman" w:cs="Times New Roman"/>
          <w:sz w:val="28"/>
          <w:szCs w:val="28"/>
          <w:lang w:val="nb-NO"/>
        </w:rPr>
      </w:pPr>
    </w:p>
    <w:p w14:paraId="0F0FA4A4" w14:textId="77777777" w:rsidR="00C445A5" w:rsidRPr="00C445A5" w:rsidRDefault="00C445A5" w:rsidP="00C445A5">
      <w:pPr>
        <w:spacing w:after="120" w:line="240" w:lineRule="auto"/>
        <w:jc w:val="both"/>
        <w:rPr>
          <w:rFonts w:ascii="Times New Roman" w:hAnsi="Times New Roman" w:cs="Times New Roman"/>
          <w:b/>
          <w:sz w:val="24"/>
          <w:szCs w:val="24"/>
          <w:lang w:val="nb-NO"/>
        </w:rPr>
      </w:pPr>
      <w:r w:rsidRPr="00C445A5">
        <w:rPr>
          <w:rFonts w:ascii="Times New Roman" w:hAnsi="Times New Roman" w:cs="Times New Roman"/>
          <w:b/>
          <w:sz w:val="24"/>
          <w:szCs w:val="24"/>
          <w:lang w:val="nb-NO"/>
        </w:rPr>
        <w:t>Sammendrag</w:t>
      </w:r>
    </w:p>
    <w:p w14:paraId="662BE7B7" w14:textId="1D99353A" w:rsidR="00BC4EAE" w:rsidRDefault="00C445A5" w:rsidP="00BC3F27">
      <w:pPr>
        <w:spacing w:after="120" w:line="240" w:lineRule="auto"/>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Store idrettsarrangement skaper ofte forventninger om økonomiske gevinster for vertsregionen. Forskning viser </w:t>
      </w:r>
      <w:r w:rsidR="00264DB4">
        <w:rPr>
          <w:rFonts w:ascii="Times New Roman" w:hAnsi="Times New Roman" w:cs="Times New Roman"/>
          <w:sz w:val="24"/>
          <w:szCs w:val="24"/>
          <w:lang w:val="nb-NO"/>
        </w:rPr>
        <w:t xml:space="preserve">imidlertid </w:t>
      </w:r>
      <w:r>
        <w:rPr>
          <w:rFonts w:ascii="Times New Roman" w:hAnsi="Times New Roman" w:cs="Times New Roman"/>
          <w:sz w:val="24"/>
          <w:szCs w:val="24"/>
          <w:lang w:val="nb-NO"/>
        </w:rPr>
        <w:t xml:space="preserve">at dette ofte ikke slår til, og at virkeligheten kan være annerledes enn de </w:t>
      </w:r>
      <w:r w:rsidR="00264DB4">
        <w:rPr>
          <w:rFonts w:ascii="Times New Roman" w:hAnsi="Times New Roman" w:cs="Times New Roman"/>
          <w:sz w:val="24"/>
          <w:szCs w:val="24"/>
          <w:lang w:val="nb-NO"/>
        </w:rPr>
        <w:t xml:space="preserve">optimistiske anslagene som gjerne følger søknader om slike arrangement. </w:t>
      </w:r>
      <w:r w:rsidR="00F47779">
        <w:rPr>
          <w:rFonts w:ascii="Times New Roman" w:hAnsi="Times New Roman" w:cs="Times New Roman"/>
          <w:sz w:val="24"/>
          <w:szCs w:val="24"/>
          <w:lang w:val="nb-NO"/>
        </w:rPr>
        <w:t>Man overser ofte l</w:t>
      </w:r>
      <w:r w:rsidR="00264DB4">
        <w:rPr>
          <w:rFonts w:ascii="Times New Roman" w:hAnsi="Times New Roman" w:cs="Times New Roman"/>
          <w:sz w:val="24"/>
          <w:szCs w:val="24"/>
          <w:lang w:val="nb-NO"/>
        </w:rPr>
        <w:t>ekkasjer av midler</w:t>
      </w:r>
      <w:r w:rsidR="00F47779">
        <w:rPr>
          <w:rFonts w:ascii="Times New Roman" w:hAnsi="Times New Roman" w:cs="Times New Roman"/>
          <w:sz w:val="24"/>
          <w:szCs w:val="24"/>
          <w:lang w:val="nb-NO"/>
        </w:rPr>
        <w:t xml:space="preserve"> og </w:t>
      </w:r>
      <w:r w:rsidR="00264DB4">
        <w:rPr>
          <w:rFonts w:ascii="Times New Roman" w:hAnsi="Times New Roman" w:cs="Times New Roman"/>
          <w:sz w:val="24"/>
          <w:szCs w:val="24"/>
          <w:lang w:val="nb-NO"/>
        </w:rPr>
        <w:t xml:space="preserve">kapasitetsbegrensninger i den </w:t>
      </w:r>
      <w:r w:rsidR="00F47779">
        <w:rPr>
          <w:rFonts w:ascii="Times New Roman" w:hAnsi="Times New Roman" w:cs="Times New Roman"/>
          <w:sz w:val="24"/>
          <w:szCs w:val="24"/>
          <w:lang w:val="nb-NO"/>
        </w:rPr>
        <w:t>lokale økonomien, på samme tid som beregninger av etterspørselseffekter kan være i overkant positive. Formålet med denne artikkelen er å</w:t>
      </w:r>
      <w:r w:rsidR="00D27F08">
        <w:rPr>
          <w:rFonts w:ascii="Times New Roman" w:hAnsi="Times New Roman" w:cs="Times New Roman"/>
          <w:sz w:val="24"/>
          <w:szCs w:val="24"/>
          <w:lang w:val="nb-NO"/>
        </w:rPr>
        <w:t xml:space="preserve"> </w:t>
      </w:r>
      <w:r w:rsidR="00F47779">
        <w:rPr>
          <w:rFonts w:ascii="Times New Roman" w:hAnsi="Times New Roman" w:cs="Times New Roman"/>
          <w:sz w:val="24"/>
          <w:szCs w:val="24"/>
          <w:lang w:val="nb-NO"/>
        </w:rPr>
        <w:t xml:space="preserve">klargjøre noen </w:t>
      </w:r>
      <w:r w:rsidR="00F47779" w:rsidRPr="00545991">
        <w:rPr>
          <w:rFonts w:ascii="Times New Roman" w:hAnsi="Times New Roman" w:cs="Times New Roman"/>
          <w:sz w:val="24"/>
          <w:szCs w:val="24"/>
          <w:lang w:val="nb-NO"/>
        </w:rPr>
        <w:t>misforståelser</w:t>
      </w:r>
      <w:r w:rsidR="00F47779">
        <w:rPr>
          <w:rFonts w:ascii="Times New Roman" w:hAnsi="Times New Roman" w:cs="Times New Roman"/>
          <w:sz w:val="24"/>
          <w:szCs w:val="24"/>
          <w:lang w:val="nb-NO"/>
        </w:rPr>
        <w:t xml:space="preserve"> knyttet til beregning av økonomiske ring</w:t>
      </w:r>
      <w:r w:rsidR="00D27F08">
        <w:rPr>
          <w:rFonts w:ascii="Times New Roman" w:hAnsi="Times New Roman" w:cs="Times New Roman"/>
          <w:sz w:val="24"/>
          <w:szCs w:val="24"/>
          <w:lang w:val="nb-NO"/>
        </w:rPr>
        <w:softHyphen/>
      </w:r>
      <w:r w:rsidR="00F47779">
        <w:rPr>
          <w:rFonts w:ascii="Times New Roman" w:hAnsi="Times New Roman" w:cs="Times New Roman"/>
          <w:sz w:val="24"/>
          <w:szCs w:val="24"/>
          <w:lang w:val="nb-NO"/>
        </w:rPr>
        <w:t xml:space="preserve">virkninger av slike arrangement, </w:t>
      </w:r>
      <w:r w:rsidR="00F47779" w:rsidRPr="00545991">
        <w:rPr>
          <w:rFonts w:ascii="Times New Roman" w:hAnsi="Times New Roman" w:cs="Times New Roman"/>
          <w:sz w:val="24"/>
          <w:szCs w:val="24"/>
          <w:lang w:val="nb-NO"/>
        </w:rPr>
        <w:t xml:space="preserve">og dermed skape et mer realistisk bilde av hvilke gevinster </w:t>
      </w:r>
      <w:r w:rsidR="00F47779">
        <w:rPr>
          <w:rFonts w:ascii="Times New Roman" w:hAnsi="Times New Roman" w:cs="Times New Roman"/>
          <w:sz w:val="24"/>
          <w:szCs w:val="24"/>
          <w:lang w:val="nb-NO"/>
        </w:rPr>
        <w:t xml:space="preserve">de </w:t>
      </w:r>
      <w:r w:rsidR="00F47779" w:rsidRPr="00545991">
        <w:rPr>
          <w:rFonts w:ascii="Times New Roman" w:hAnsi="Times New Roman" w:cs="Times New Roman"/>
          <w:sz w:val="24"/>
          <w:szCs w:val="24"/>
          <w:lang w:val="nb-NO"/>
        </w:rPr>
        <w:t>kan skape for vertsbyene</w:t>
      </w:r>
      <w:r w:rsidR="00F47779">
        <w:rPr>
          <w:rFonts w:ascii="Times New Roman" w:hAnsi="Times New Roman" w:cs="Times New Roman"/>
          <w:sz w:val="24"/>
          <w:szCs w:val="24"/>
          <w:lang w:val="nb-NO"/>
        </w:rPr>
        <w:t xml:space="preserve">. </w:t>
      </w:r>
      <w:r w:rsidR="00F47779" w:rsidRPr="00545991">
        <w:rPr>
          <w:rFonts w:ascii="Times New Roman" w:hAnsi="Times New Roman" w:cs="Times New Roman"/>
          <w:sz w:val="24"/>
          <w:szCs w:val="24"/>
          <w:lang w:val="nb-NO"/>
        </w:rPr>
        <w:t>Som case bruke</w:t>
      </w:r>
      <w:r w:rsidR="00F47779">
        <w:rPr>
          <w:rFonts w:ascii="Times New Roman" w:hAnsi="Times New Roman" w:cs="Times New Roman"/>
          <w:sz w:val="24"/>
          <w:szCs w:val="24"/>
          <w:lang w:val="nb-NO"/>
        </w:rPr>
        <w:t>s</w:t>
      </w:r>
      <w:r w:rsidR="00F47779" w:rsidRPr="00545991">
        <w:rPr>
          <w:rFonts w:ascii="Times New Roman" w:hAnsi="Times New Roman" w:cs="Times New Roman"/>
          <w:sz w:val="24"/>
          <w:szCs w:val="24"/>
          <w:lang w:val="nb-NO"/>
        </w:rPr>
        <w:t xml:space="preserve"> den 41. Sjakkolympiaden som ble avholdt i Tromsø i august, 2014</w:t>
      </w:r>
      <w:r w:rsidR="00D27F08">
        <w:rPr>
          <w:rFonts w:ascii="Times New Roman" w:hAnsi="Times New Roman" w:cs="Times New Roman"/>
          <w:sz w:val="24"/>
          <w:szCs w:val="24"/>
          <w:lang w:val="nb-NO"/>
        </w:rPr>
        <w:t xml:space="preserve">. </w:t>
      </w:r>
      <w:r w:rsidR="00BC3F27">
        <w:rPr>
          <w:rFonts w:ascii="Times New Roman" w:hAnsi="Times New Roman" w:cs="Times New Roman"/>
          <w:sz w:val="24"/>
          <w:szCs w:val="24"/>
          <w:lang w:val="nb-NO"/>
        </w:rPr>
        <w:t>Basert på regnskapsdata fra arrangøren, omsetningsstatistikk for reiselivs</w:t>
      </w:r>
      <w:r w:rsidR="00BC3F27">
        <w:rPr>
          <w:rFonts w:ascii="Times New Roman" w:hAnsi="Times New Roman" w:cs="Times New Roman"/>
          <w:sz w:val="24"/>
          <w:szCs w:val="24"/>
          <w:lang w:val="nb-NO"/>
        </w:rPr>
        <w:softHyphen/>
        <w:t>næringene i regionen samt forbruksdata fra Innovasjon Norges turistundersøkelse, beregnes økonomiske virkninger av arrangementet og effekter av at det ordinære turistmarkedet ble fo</w:t>
      </w:r>
      <w:r w:rsidR="00BC4EAE">
        <w:rPr>
          <w:rFonts w:ascii="Times New Roman" w:hAnsi="Times New Roman" w:cs="Times New Roman"/>
          <w:sz w:val="24"/>
          <w:szCs w:val="24"/>
          <w:lang w:val="nb-NO"/>
        </w:rPr>
        <w:t>rtrengt i arrangementsperioden. Analysene viser at d</w:t>
      </w:r>
      <w:r w:rsidR="00BC3F27">
        <w:rPr>
          <w:rFonts w:ascii="Times New Roman" w:hAnsi="Times New Roman" w:cs="Times New Roman"/>
          <w:sz w:val="24"/>
          <w:szCs w:val="24"/>
          <w:lang w:val="nb-NO"/>
        </w:rPr>
        <w:t xml:space="preserve">e økonomiske virkningene fra </w:t>
      </w:r>
      <w:r w:rsidR="00BC3F27" w:rsidRPr="00545991">
        <w:rPr>
          <w:rFonts w:ascii="Times New Roman" w:hAnsi="Times New Roman" w:cs="Times New Roman"/>
          <w:sz w:val="24"/>
          <w:szCs w:val="24"/>
          <w:lang w:val="nb-NO"/>
        </w:rPr>
        <w:t xml:space="preserve">Sjakk-OL </w:t>
      </w:r>
      <w:r w:rsidR="00BC3F27">
        <w:rPr>
          <w:rFonts w:ascii="Times New Roman" w:hAnsi="Times New Roman" w:cs="Times New Roman"/>
          <w:sz w:val="24"/>
          <w:szCs w:val="24"/>
          <w:lang w:val="nb-NO"/>
        </w:rPr>
        <w:t xml:space="preserve">avvek fra hva </w:t>
      </w:r>
      <w:r w:rsidR="00BC3F27" w:rsidRPr="00545991">
        <w:rPr>
          <w:rFonts w:ascii="Times New Roman" w:hAnsi="Times New Roman" w:cs="Times New Roman"/>
          <w:sz w:val="24"/>
          <w:szCs w:val="24"/>
          <w:lang w:val="nb-NO"/>
        </w:rPr>
        <w:t>som er vanlig for internasjonale idrettsarrangement</w:t>
      </w:r>
      <w:r w:rsidR="00BC3F27">
        <w:rPr>
          <w:rFonts w:ascii="Times New Roman" w:hAnsi="Times New Roman" w:cs="Times New Roman"/>
          <w:sz w:val="24"/>
          <w:szCs w:val="24"/>
          <w:lang w:val="nb-NO"/>
        </w:rPr>
        <w:t xml:space="preserve">, hvor etterspørselen fra tilreisende tilskuere gjerne står for den viktigste tilførselen til regionen. </w:t>
      </w:r>
      <w:r w:rsidR="00BC4EAE">
        <w:rPr>
          <w:rFonts w:ascii="Times New Roman" w:hAnsi="Times New Roman" w:cs="Times New Roman"/>
          <w:sz w:val="24"/>
          <w:szCs w:val="24"/>
          <w:lang w:val="nb-NO"/>
        </w:rPr>
        <w:t xml:space="preserve">Sjakk-OL tiltrakk seg få tilskuere, og de tilreisende la igjen lite penger i regionen. </w:t>
      </w:r>
      <w:r w:rsidR="00BC4EAE" w:rsidRPr="00545991">
        <w:rPr>
          <w:rFonts w:ascii="Times New Roman" w:hAnsi="Times New Roman" w:cs="Times New Roman"/>
          <w:sz w:val="24"/>
          <w:szCs w:val="24"/>
          <w:lang w:val="nb-NO"/>
        </w:rPr>
        <w:t xml:space="preserve">Det som </w:t>
      </w:r>
      <w:r w:rsidR="00BC4EAE">
        <w:rPr>
          <w:rFonts w:ascii="Times New Roman" w:hAnsi="Times New Roman" w:cs="Times New Roman"/>
          <w:sz w:val="24"/>
          <w:szCs w:val="24"/>
          <w:lang w:val="nb-NO"/>
        </w:rPr>
        <w:t xml:space="preserve">berget arrangementet økonomisk </w:t>
      </w:r>
      <w:r w:rsidR="00BC4EAE" w:rsidRPr="00545991">
        <w:rPr>
          <w:rFonts w:ascii="Times New Roman" w:hAnsi="Times New Roman" w:cs="Times New Roman"/>
          <w:sz w:val="24"/>
          <w:szCs w:val="24"/>
          <w:lang w:val="nb-NO"/>
        </w:rPr>
        <w:t>var statstilskuddet fra K</w:t>
      </w:r>
      <w:r w:rsidR="00BC4EAE">
        <w:rPr>
          <w:rFonts w:ascii="Times New Roman" w:hAnsi="Times New Roman" w:cs="Times New Roman"/>
          <w:sz w:val="24"/>
          <w:szCs w:val="24"/>
          <w:lang w:val="nb-NO"/>
        </w:rPr>
        <w:t xml:space="preserve">ulturdepartementet </w:t>
      </w:r>
      <w:r w:rsidR="00BC4EAE" w:rsidRPr="00545991">
        <w:rPr>
          <w:rFonts w:ascii="Times New Roman" w:hAnsi="Times New Roman" w:cs="Times New Roman"/>
          <w:sz w:val="24"/>
          <w:szCs w:val="24"/>
          <w:lang w:val="nb-NO"/>
        </w:rPr>
        <w:t xml:space="preserve">på 87 millioner kroner. </w:t>
      </w:r>
      <w:r w:rsidR="00BC4EAE">
        <w:rPr>
          <w:rFonts w:ascii="Times New Roman" w:hAnsi="Times New Roman" w:cs="Times New Roman"/>
          <w:sz w:val="24"/>
          <w:szCs w:val="24"/>
          <w:lang w:val="nb-NO"/>
        </w:rPr>
        <w:t>Således kom mesteparten av tilførselen til Tromsø fra staten, ikke fra de tilreisende. Uten støtten fra K</w:t>
      </w:r>
      <w:r w:rsidR="00C962D8">
        <w:rPr>
          <w:rFonts w:ascii="Times New Roman" w:hAnsi="Times New Roman" w:cs="Times New Roman"/>
          <w:sz w:val="24"/>
          <w:szCs w:val="24"/>
          <w:lang w:val="nb-NO"/>
        </w:rPr>
        <w:t xml:space="preserve">ulturdepartementet </w:t>
      </w:r>
      <w:r w:rsidR="00BC4EAE">
        <w:rPr>
          <w:rFonts w:ascii="Times New Roman" w:hAnsi="Times New Roman" w:cs="Times New Roman"/>
          <w:sz w:val="24"/>
          <w:szCs w:val="24"/>
          <w:lang w:val="nb-NO"/>
        </w:rPr>
        <w:t>ville det regionaløkonomiske regnskapet sett langt verre ut.</w:t>
      </w:r>
    </w:p>
    <w:p w14:paraId="3D654F67" w14:textId="77777777" w:rsidR="00BC4EAE" w:rsidRDefault="00BC4EAE" w:rsidP="00BC3F27">
      <w:pPr>
        <w:spacing w:after="120" w:line="240" w:lineRule="auto"/>
        <w:jc w:val="both"/>
        <w:rPr>
          <w:rFonts w:ascii="Times New Roman" w:hAnsi="Times New Roman" w:cs="Times New Roman"/>
          <w:sz w:val="24"/>
          <w:szCs w:val="24"/>
          <w:lang w:val="nb-NO"/>
        </w:rPr>
      </w:pPr>
    </w:p>
    <w:p w14:paraId="72A40492" w14:textId="77777777" w:rsidR="00F4218E" w:rsidRDefault="00F4218E" w:rsidP="00C445A5">
      <w:pPr>
        <w:rPr>
          <w:rFonts w:ascii="Times New Roman" w:hAnsi="Times New Roman" w:cs="Times New Roman"/>
          <w:sz w:val="28"/>
          <w:szCs w:val="28"/>
          <w:lang w:val="nb-NO"/>
        </w:rPr>
      </w:pPr>
    </w:p>
    <w:p w14:paraId="1950534C" w14:textId="77777777" w:rsidR="00BC4EAE" w:rsidRPr="00001D14" w:rsidRDefault="00BC4EAE" w:rsidP="00C445A5">
      <w:pPr>
        <w:rPr>
          <w:rFonts w:ascii="Times New Roman" w:hAnsi="Times New Roman" w:cs="Times New Roman"/>
          <w:sz w:val="28"/>
          <w:szCs w:val="28"/>
          <w:lang w:val="nb-NO"/>
        </w:rPr>
      </w:pPr>
    </w:p>
    <w:p w14:paraId="399840A2" w14:textId="77777777" w:rsidR="00F4218E" w:rsidRPr="00545991" w:rsidRDefault="00F4218E" w:rsidP="00197DFD">
      <w:pPr>
        <w:pStyle w:val="Overskrift1"/>
        <w:numPr>
          <w:ilvl w:val="0"/>
          <w:numId w:val="6"/>
        </w:numPr>
        <w:spacing w:line="360" w:lineRule="auto"/>
        <w:ind w:left="360"/>
        <w:rPr>
          <w:lang w:val="nb-NO"/>
        </w:rPr>
      </w:pPr>
      <w:r w:rsidRPr="00545991">
        <w:rPr>
          <w:lang w:val="nb-NO"/>
        </w:rPr>
        <w:lastRenderedPageBreak/>
        <w:t>Innledning</w:t>
      </w:r>
    </w:p>
    <w:p w14:paraId="20F45F45" w14:textId="3B862AF1" w:rsidR="00D44690" w:rsidRPr="00545991" w:rsidRDefault="003439D3" w:rsidP="00D44690">
      <w:pPr>
        <w:spacing w:line="360" w:lineRule="auto"/>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By</w:t>
      </w:r>
      <w:r w:rsidR="00F4218E" w:rsidRPr="00545991">
        <w:rPr>
          <w:rFonts w:ascii="Times New Roman" w:hAnsi="Times New Roman" w:cs="Times New Roman"/>
          <w:sz w:val="24"/>
          <w:szCs w:val="24"/>
          <w:lang w:val="nb-NO"/>
        </w:rPr>
        <w:t xml:space="preserve">er som </w:t>
      </w:r>
      <w:r w:rsidR="00C515A6" w:rsidRPr="00545991">
        <w:rPr>
          <w:rFonts w:ascii="Times New Roman" w:hAnsi="Times New Roman" w:cs="Times New Roman"/>
          <w:sz w:val="24"/>
          <w:szCs w:val="24"/>
          <w:lang w:val="nb-NO"/>
        </w:rPr>
        <w:t>søker</w:t>
      </w:r>
      <w:r w:rsidR="00DC20FF" w:rsidRPr="00545991">
        <w:rPr>
          <w:rFonts w:ascii="Times New Roman" w:hAnsi="Times New Roman" w:cs="Times New Roman"/>
          <w:sz w:val="24"/>
          <w:szCs w:val="24"/>
          <w:lang w:val="nb-NO"/>
        </w:rPr>
        <w:t xml:space="preserve"> </w:t>
      </w:r>
      <w:r w:rsidR="00952FE4">
        <w:rPr>
          <w:rFonts w:ascii="Times New Roman" w:hAnsi="Times New Roman" w:cs="Times New Roman"/>
          <w:sz w:val="24"/>
          <w:szCs w:val="24"/>
          <w:lang w:val="nb-NO"/>
        </w:rPr>
        <w:t xml:space="preserve">store </w:t>
      </w:r>
      <w:r w:rsidR="00F4218E" w:rsidRPr="00545991">
        <w:rPr>
          <w:rFonts w:ascii="Times New Roman" w:hAnsi="Times New Roman" w:cs="Times New Roman"/>
          <w:sz w:val="24"/>
          <w:szCs w:val="24"/>
          <w:lang w:val="nb-NO"/>
        </w:rPr>
        <w:t xml:space="preserve">idrettsarrangementer </w:t>
      </w:r>
      <w:r w:rsidR="00A563B3" w:rsidRPr="00545991">
        <w:rPr>
          <w:rFonts w:ascii="Times New Roman" w:hAnsi="Times New Roman" w:cs="Times New Roman"/>
          <w:sz w:val="24"/>
          <w:szCs w:val="24"/>
          <w:lang w:val="nb-NO"/>
        </w:rPr>
        <w:t xml:space="preserve">forventer </w:t>
      </w:r>
      <w:r w:rsidRPr="00545991">
        <w:rPr>
          <w:rFonts w:ascii="Times New Roman" w:hAnsi="Times New Roman" w:cs="Times New Roman"/>
          <w:sz w:val="24"/>
          <w:szCs w:val="24"/>
          <w:lang w:val="nb-NO"/>
        </w:rPr>
        <w:t xml:space="preserve">gjerne </w:t>
      </w:r>
      <w:r w:rsidR="00F4218E" w:rsidRPr="00545991">
        <w:rPr>
          <w:rFonts w:ascii="Times New Roman" w:hAnsi="Times New Roman" w:cs="Times New Roman"/>
          <w:sz w:val="24"/>
          <w:szCs w:val="24"/>
          <w:lang w:val="nb-NO"/>
        </w:rPr>
        <w:t xml:space="preserve">at </w:t>
      </w:r>
      <w:r w:rsidR="0095743A" w:rsidRPr="00545991">
        <w:rPr>
          <w:rFonts w:ascii="Times New Roman" w:hAnsi="Times New Roman" w:cs="Times New Roman"/>
          <w:sz w:val="24"/>
          <w:szCs w:val="24"/>
          <w:lang w:val="nb-NO"/>
        </w:rPr>
        <w:t>arrangemente</w:t>
      </w:r>
      <w:r w:rsidR="00922181">
        <w:rPr>
          <w:rFonts w:ascii="Times New Roman" w:hAnsi="Times New Roman" w:cs="Times New Roman"/>
          <w:sz w:val="24"/>
          <w:szCs w:val="24"/>
          <w:lang w:val="nb-NO"/>
        </w:rPr>
        <w:t>t</w:t>
      </w:r>
      <w:r w:rsidR="0095743A" w:rsidRPr="00545991">
        <w:rPr>
          <w:rFonts w:ascii="Times New Roman" w:hAnsi="Times New Roman" w:cs="Times New Roman"/>
          <w:sz w:val="24"/>
          <w:szCs w:val="24"/>
          <w:lang w:val="nb-NO"/>
        </w:rPr>
        <w:t xml:space="preserve"> </w:t>
      </w:r>
      <w:r w:rsidR="00F4218E" w:rsidRPr="00545991">
        <w:rPr>
          <w:rFonts w:ascii="Times New Roman" w:hAnsi="Times New Roman" w:cs="Times New Roman"/>
          <w:sz w:val="24"/>
          <w:szCs w:val="24"/>
          <w:lang w:val="nb-NO"/>
        </w:rPr>
        <w:t>skal skape økonomiske gevinster</w:t>
      </w:r>
      <w:r w:rsidR="00C515A6" w:rsidRPr="00545991">
        <w:rPr>
          <w:rFonts w:ascii="Times New Roman" w:hAnsi="Times New Roman" w:cs="Times New Roman"/>
          <w:sz w:val="24"/>
          <w:szCs w:val="24"/>
          <w:lang w:val="nb-NO"/>
        </w:rPr>
        <w:t>, eksempelvis i form av</w:t>
      </w:r>
      <w:r w:rsidR="00922181">
        <w:rPr>
          <w:rFonts w:ascii="Times New Roman" w:hAnsi="Times New Roman" w:cs="Times New Roman"/>
          <w:sz w:val="24"/>
          <w:szCs w:val="24"/>
          <w:lang w:val="nb-NO"/>
        </w:rPr>
        <w:t xml:space="preserve"> </w:t>
      </w:r>
      <w:r w:rsidR="00952FE4">
        <w:rPr>
          <w:rFonts w:ascii="Times New Roman" w:hAnsi="Times New Roman" w:cs="Times New Roman"/>
          <w:sz w:val="24"/>
          <w:szCs w:val="24"/>
          <w:lang w:val="nb-NO"/>
        </w:rPr>
        <w:t xml:space="preserve">sponsorinntekter eller </w:t>
      </w:r>
      <w:r w:rsidR="00922181">
        <w:rPr>
          <w:rFonts w:ascii="Times New Roman" w:hAnsi="Times New Roman" w:cs="Times New Roman"/>
          <w:sz w:val="24"/>
          <w:szCs w:val="24"/>
          <w:lang w:val="nb-NO"/>
        </w:rPr>
        <w:t>økt</w:t>
      </w:r>
      <w:r w:rsidR="00C515A6" w:rsidRPr="00545991">
        <w:rPr>
          <w:rFonts w:ascii="Times New Roman" w:hAnsi="Times New Roman" w:cs="Times New Roman"/>
          <w:sz w:val="24"/>
          <w:szCs w:val="24"/>
          <w:lang w:val="nb-NO"/>
        </w:rPr>
        <w:t xml:space="preserve"> </w:t>
      </w:r>
      <w:r w:rsidR="00F4218E" w:rsidRPr="00545991">
        <w:rPr>
          <w:rFonts w:ascii="Times New Roman" w:hAnsi="Times New Roman" w:cs="Times New Roman"/>
          <w:sz w:val="24"/>
          <w:szCs w:val="24"/>
          <w:lang w:val="nb-NO"/>
        </w:rPr>
        <w:t>turist</w:t>
      </w:r>
      <w:r w:rsidR="00922181">
        <w:rPr>
          <w:rFonts w:ascii="Times New Roman" w:hAnsi="Times New Roman" w:cs="Times New Roman"/>
          <w:sz w:val="24"/>
          <w:szCs w:val="24"/>
          <w:lang w:val="nb-NO"/>
        </w:rPr>
        <w:t>tilstrømning</w:t>
      </w:r>
      <w:r w:rsidR="0095743A" w:rsidRPr="00545991">
        <w:rPr>
          <w:rFonts w:ascii="Times New Roman" w:hAnsi="Times New Roman" w:cs="Times New Roman"/>
          <w:sz w:val="24"/>
          <w:szCs w:val="24"/>
          <w:lang w:val="nb-NO"/>
        </w:rPr>
        <w:t xml:space="preserve">. </w:t>
      </w:r>
      <w:r w:rsidR="00F4218E" w:rsidRPr="00545991">
        <w:rPr>
          <w:rFonts w:ascii="Times New Roman" w:hAnsi="Times New Roman" w:cs="Times New Roman"/>
          <w:sz w:val="24"/>
          <w:szCs w:val="24"/>
          <w:lang w:val="nb-NO"/>
        </w:rPr>
        <w:t xml:space="preserve">Den akademiske forskningen har </w:t>
      </w:r>
      <w:r w:rsidR="00E859CB" w:rsidRPr="00545991">
        <w:rPr>
          <w:rFonts w:ascii="Times New Roman" w:hAnsi="Times New Roman" w:cs="Times New Roman"/>
          <w:sz w:val="24"/>
          <w:szCs w:val="24"/>
          <w:lang w:val="nb-NO"/>
        </w:rPr>
        <w:t xml:space="preserve">imidlertid </w:t>
      </w:r>
      <w:r w:rsidR="00F4218E" w:rsidRPr="00545991">
        <w:rPr>
          <w:rFonts w:ascii="Times New Roman" w:hAnsi="Times New Roman" w:cs="Times New Roman"/>
          <w:sz w:val="24"/>
          <w:szCs w:val="24"/>
          <w:lang w:val="nb-NO"/>
        </w:rPr>
        <w:t xml:space="preserve">dokumentert at </w:t>
      </w:r>
      <w:r w:rsidR="00C515A6" w:rsidRPr="00545991">
        <w:rPr>
          <w:rFonts w:ascii="Times New Roman" w:hAnsi="Times New Roman" w:cs="Times New Roman"/>
          <w:sz w:val="24"/>
          <w:szCs w:val="24"/>
          <w:lang w:val="nb-NO"/>
        </w:rPr>
        <w:t xml:space="preserve">inntektene </w:t>
      </w:r>
      <w:r w:rsidR="00922181">
        <w:rPr>
          <w:rFonts w:ascii="Times New Roman" w:hAnsi="Times New Roman" w:cs="Times New Roman"/>
          <w:sz w:val="24"/>
          <w:szCs w:val="24"/>
          <w:lang w:val="nb-NO"/>
        </w:rPr>
        <w:t xml:space="preserve">fra slike arrangement </w:t>
      </w:r>
      <w:r w:rsidR="00A10277" w:rsidRPr="00545991">
        <w:rPr>
          <w:rFonts w:ascii="Times New Roman" w:hAnsi="Times New Roman" w:cs="Times New Roman"/>
          <w:sz w:val="24"/>
          <w:szCs w:val="24"/>
          <w:lang w:val="nb-NO"/>
        </w:rPr>
        <w:t xml:space="preserve">ofte </w:t>
      </w:r>
      <w:r w:rsidR="00A563B3" w:rsidRPr="00545991">
        <w:rPr>
          <w:rFonts w:ascii="Times New Roman" w:hAnsi="Times New Roman" w:cs="Times New Roman"/>
          <w:sz w:val="24"/>
          <w:szCs w:val="24"/>
          <w:lang w:val="nb-NO"/>
        </w:rPr>
        <w:t>bli</w:t>
      </w:r>
      <w:r w:rsidR="00A10277" w:rsidRPr="00545991">
        <w:rPr>
          <w:rFonts w:ascii="Times New Roman" w:hAnsi="Times New Roman" w:cs="Times New Roman"/>
          <w:sz w:val="24"/>
          <w:szCs w:val="24"/>
          <w:lang w:val="nb-NO"/>
        </w:rPr>
        <w:t xml:space="preserve">r </w:t>
      </w:r>
      <w:r w:rsidR="00C515A6" w:rsidRPr="00545991">
        <w:rPr>
          <w:rFonts w:ascii="Times New Roman" w:hAnsi="Times New Roman" w:cs="Times New Roman"/>
          <w:sz w:val="24"/>
          <w:szCs w:val="24"/>
          <w:lang w:val="nb-NO"/>
        </w:rPr>
        <w:t>mindre enn forventet</w:t>
      </w:r>
      <w:r w:rsidR="008C1CCF" w:rsidRPr="00545991">
        <w:rPr>
          <w:rFonts w:ascii="Times New Roman" w:hAnsi="Times New Roman" w:cs="Times New Roman"/>
          <w:sz w:val="24"/>
          <w:szCs w:val="24"/>
          <w:lang w:val="nb-NO"/>
        </w:rPr>
        <w:t>,</w:t>
      </w:r>
      <w:r w:rsidR="001F031D" w:rsidRPr="00545991">
        <w:rPr>
          <w:rFonts w:ascii="Times New Roman" w:hAnsi="Times New Roman" w:cs="Times New Roman"/>
          <w:sz w:val="24"/>
          <w:szCs w:val="24"/>
          <w:lang w:val="nb-NO"/>
        </w:rPr>
        <w:t xml:space="preserve"> eller at </w:t>
      </w:r>
      <w:r w:rsidR="00C515A6" w:rsidRPr="00545991">
        <w:rPr>
          <w:rFonts w:ascii="Times New Roman" w:hAnsi="Times New Roman" w:cs="Times New Roman"/>
          <w:sz w:val="24"/>
          <w:szCs w:val="24"/>
          <w:lang w:val="nb-NO"/>
        </w:rPr>
        <w:t>kostnadene bl</w:t>
      </w:r>
      <w:r w:rsidR="00A10277" w:rsidRPr="00545991">
        <w:rPr>
          <w:rFonts w:ascii="Times New Roman" w:hAnsi="Times New Roman" w:cs="Times New Roman"/>
          <w:sz w:val="24"/>
          <w:szCs w:val="24"/>
          <w:lang w:val="nb-NO"/>
        </w:rPr>
        <w:t xml:space="preserve">ir </w:t>
      </w:r>
      <w:r w:rsidR="00C515A6" w:rsidRPr="00545991">
        <w:rPr>
          <w:rFonts w:ascii="Times New Roman" w:hAnsi="Times New Roman" w:cs="Times New Roman"/>
          <w:sz w:val="24"/>
          <w:szCs w:val="24"/>
          <w:lang w:val="nb-NO"/>
        </w:rPr>
        <w:t xml:space="preserve">større enn </w:t>
      </w:r>
      <w:r w:rsidR="00FE5574" w:rsidRPr="00545991">
        <w:rPr>
          <w:rFonts w:ascii="Times New Roman" w:hAnsi="Times New Roman" w:cs="Times New Roman"/>
          <w:sz w:val="24"/>
          <w:szCs w:val="24"/>
          <w:lang w:val="nb-NO"/>
        </w:rPr>
        <w:t xml:space="preserve">hva </w:t>
      </w:r>
      <w:r w:rsidR="00A10277" w:rsidRPr="00545991">
        <w:rPr>
          <w:rFonts w:ascii="Times New Roman" w:hAnsi="Times New Roman" w:cs="Times New Roman"/>
          <w:sz w:val="24"/>
          <w:szCs w:val="24"/>
          <w:lang w:val="nb-NO"/>
        </w:rPr>
        <w:t>de første budsjettene</w:t>
      </w:r>
      <w:r w:rsidR="00FE5574" w:rsidRPr="00545991">
        <w:rPr>
          <w:rFonts w:ascii="Times New Roman" w:hAnsi="Times New Roman" w:cs="Times New Roman"/>
          <w:sz w:val="24"/>
          <w:szCs w:val="24"/>
          <w:lang w:val="nb-NO"/>
        </w:rPr>
        <w:t xml:space="preserve"> viser</w:t>
      </w:r>
      <w:r w:rsidRPr="00545991">
        <w:rPr>
          <w:rFonts w:ascii="Times New Roman" w:hAnsi="Times New Roman" w:cs="Times New Roman"/>
          <w:sz w:val="24"/>
          <w:szCs w:val="24"/>
          <w:lang w:val="nb-NO"/>
        </w:rPr>
        <w:t xml:space="preserve">. </w:t>
      </w:r>
      <w:r w:rsidR="00D65878" w:rsidRPr="00545991">
        <w:rPr>
          <w:rFonts w:ascii="Times New Roman" w:hAnsi="Times New Roman" w:cs="Times New Roman"/>
          <w:sz w:val="24"/>
          <w:szCs w:val="24"/>
          <w:lang w:val="nb-NO"/>
        </w:rPr>
        <w:t xml:space="preserve">Dette </w:t>
      </w:r>
      <w:r w:rsidR="00E859CB" w:rsidRPr="00545991">
        <w:rPr>
          <w:rFonts w:ascii="Times New Roman" w:hAnsi="Times New Roman" w:cs="Times New Roman"/>
          <w:sz w:val="24"/>
          <w:szCs w:val="24"/>
          <w:lang w:val="nb-NO"/>
        </w:rPr>
        <w:t xml:space="preserve">samsvarer som regel ikke </w:t>
      </w:r>
      <w:r w:rsidR="00E64F35" w:rsidRPr="00545991">
        <w:rPr>
          <w:rFonts w:ascii="Times New Roman" w:hAnsi="Times New Roman" w:cs="Times New Roman"/>
          <w:sz w:val="24"/>
          <w:szCs w:val="24"/>
          <w:lang w:val="nb-NO"/>
        </w:rPr>
        <w:t xml:space="preserve">med </w:t>
      </w:r>
      <w:r w:rsidR="00D65878" w:rsidRPr="00545991">
        <w:rPr>
          <w:rFonts w:ascii="Times New Roman" w:hAnsi="Times New Roman" w:cs="Times New Roman"/>
          <w:sz w:val="24"/>
          <w:szCs w:val="24"/>
          <w:lang w:val="nb-NO"/>
        </w:rPr>
        <w:t xml:space="preserve">konsulentrapporter som gjerne tegner et mer positivt bilde av </w:t>
      </w:r>
      <w:r w:rsidR="008C1CCF" w:rsidRPr="00545991">
        <w:rPr>
          <w:rFonts w:ascii="Times New Roman" w:hAnsi="Times New Roman" w:cs="Times New Roman"/>
          <w:sz w:val="24"/>
          <w:szCs w:val="24"/>
          <w:lang w:val="nb-NO"/>
        </w:rPr>
        <w:t xml:space="preserve">de økonomiske </w:t>
      </w:r>
      <w:r w:rsidR="00A01863">
        <w:rPr>
          <w:rFonts w:ascii="Times New Roman" w:hAnsi="Times New Roman" w:cs="Times New Roman"/>
          <w:sz w:val="24"/>
          <w:szCs w:val="24"/>
          <w:lang w:val="nb-NO"/>
        </w:rPr>
        <w:t xml:space="preserve">virkningene </w:t>
      </w:r>
      <w:r w:rsidRPr="00545991">
        <w:rPr>
          <w:rFonts w:ascii="Times New Roman" w:hAnsi="Times New Roman" w:cs="Times New Roman"/>
          <w:sz w:val="24"/>
          <w:szCs w:val="24"/>
          <w:lang w:val="nb-NO"/>
        </w:rPr>
        <w:t>(Andreff, 2012; Solberg &amp; Preuss, 2015, Zimbalist 2015).</w:t>
      </w:r>
      <w:r w:rsidR="001F031D" w:rsidRPr="00545991">
        <w:rPr>
          <w:rFonts w:ascii="Times New Roman" w:hAnsi="Times New Roman" w:cs="Times New Roman"/>
          <w:sz w:val="24"/>
          <w:szCs w:val="24"/>
          <w:lang w:val="nb-NO"/>
        </w:rPr>
        <w:t xml:space="preserve"> </w:t>
      </w:r>
      <w:r w:rsidRPr="00545991">
        <w:rPr>
          <w:rFonts w:ascii="Times New Roman" w:hAnsi="Times New Roman" w:cs="Times New Roman"/>
          <w:sz w:val="24"/>
          <w:szCs w:val="24"/>
          <w:lang w:val="nb-NO"/>
        </w:rPr>
        <w:t xml:space="preserve">En årsak </w:t>
      </w:r>
      <w:r w:rsidR="00922181">
        <w:rPr>
          <w:rFonts w:ascii="Times New Roman" w:hAnsi="Times New Roman" w:cs="Times New Roman"/>
          <w:sz w:val="24"/>
          <w:szCs w:val="24"/>
          <w:lang w:val="nb-NO"/>
        </w:rPr>
        <w:t xml:space="preserve">til dette </w:t>
      </w:r>
      <w:r w:rsidRPr="00545991">
        <w:rPr>
          <w:rFonts w:ascii="Times New Roman" w:hAnsi="Times New Roman" w:cs="Times New Roman"/>
          <w:sz w:val="24"/>
          <w:szCs w:val="24"/>
          <w:lang w:val="nb-NO"/>
        </w:rPr>
        <w:t xml:space="preserve">kan være at formålet med </w:t>
      </w:r>
      <w:r w:rsidR="00A563B3" w:rsidRPr="00545991">
        <w:rPr>
          <w:rFonts w:ascii="Times New Roman" w:hAnsi="Times New Roman" w:cs="Times New Roman"/>
          <w:sz w:val="24"/>
          <w:szCs w:val="24"/>
          <w:lang w:val="nb-NO"/>
        </w:rPr>
        <w:t xml:space="preserve">konsulentrapportene </w:t>
      </w:r>
      <w:r w:rsidRPr="00545991">
        <w:rPr>
          <w:rFonts w:ascii="Times New Roman" w:hAnsi="Times New Roman" w:cs="Times New Roman"/>
          <w:sz w:val="24"/>
          <w:szCs w:val="24"/>
          <w:lang w:val="nb-NO"/>
        </w:rPr>
        <w:t xml:space="preserve">ofte er </w:t>
      </w:r>
      <w:r w:rsidR="00A563B3" w:rsidRPr="00545991">
        <w:rPr>
          <w:rFonts w:ascii="Times New Roman" w:hAnsi="Times New Roman" w:cs="Times New Roman"/>
          <w:sz w:val="24"/>
          <w:szCs w:val="24"/>
          <w:lang w:val="nb-NO"/>
        </w:rPr>
        <w:t xml:space="preserve">å overtale politikere til å støtte arrangementene økonomisk. </w:t>
      </w:r>
      <w:r w:rsidR="00952FE4">
        <w:rPr>
          <w:rFonts w:ascii="Times New Roman" w:hAnsi="Times New Roman" w:cs="Times New Roman"/>
          <w:sz w:val="24"/>
          <w:szCs w:val="24"/>
          <w:lang w:val="nb-NO"/>
        </w:rPr>
        <w:t>Men d</w:t>
      </w:r>
      <w:r w:rsidR="00A563B3" w:rsidRPr="00545991">
        <w:rPr>
          <w:rFonts w:ascii="Times New Roman" w:hAnsi="Times New Roman" w:cs="Times New Roman"/>
          <w:sz w:val="24"/>
          <w:szCs w:val="24"/>
          <w:lang w:val="nb-NO"/>
        </w:rPr>
        <w:t xml:space="preserve">en akademiske forskningen har også påvist at </w:t>
      </w:r>
      <w:r w:rsidR="00C21FBA">
        <w:rPr>
          <w:rFonts w:ascii="Times New Roman" w:hAnsi="Times New Roman" w:cs="Times New Roman"/>
          <w:sz w:val="24"/>
          <w:szCs w:val="24"/>
          <w:lang w:val="nb-NO"/>
        </w:rPr>
        <w:t xml:space="preserve">upresis </w:t>
      </w:r>
      <w:r w:rsidR="00A563B3" w:rsidRPr="00545991">
        <w:rPr>
          <w:rFonts w:ascii="Times New Roman" w:hAnsi="Times New Roman" w:cs="Times New Roman"/>
          <w:sz w:val="24"/>
          <w:szCs w:val="24"/>
          <w:lang w:val="nb-NO"/>
        </w:rPr>
        <w:t xml:space="preserve">metodebruk kan </w:t>
      </w:r>
      <w:r w:rsidR="003147E6" w:rsidRPr="00545991">
        <w:rPr>
          <w:rFonts w:ascii="Times New Roman" w:hAnsi="Times New Roman" w:cs="Times New Roman"/>
          <w:sz w:val="24"/>
          <w:szCs w:val="24"/>
          <w:lang w:val="nb-NO"/>
        </w:rPr>
        <w:t xml:space="preserve">bidra til misforståelser om </w:t>
      </w:r>
      <w:r w:rsidR="00FE5574" w:rsidRPr="00545991">
        <w:rPr>
          <w:rFonts w:ascii="Times New Roman" w:hAnsi="Times New Roman" w:cs="Times New Roman"/>
          <w:sz w:val="24"/>
          <w:szCs w:val="24"/>
          <w:lang w:val="nb-NO"/>
        </w:rPr>
        <w:t xml:space="preserve">hvorvidt </w:t>
      </w:r>
      <w:r w:rsidR="00A563B3" w:rsidRPr="00545991">
        <w:rPr>
          <w:rFonts w:ascii="Times New Roman" w:hAnsi="Times New Roman" w:cs="Times New Roman"/>
          <w:sz w:val="24"/>
          <w:szCs w:val="24"/>
          <w:lang w:val="nb-NO"/>
        </w:rPr>
        <w:t>effekte</w:t>
      </w:r>
      <w:r w:rsidR="00197DFD">
        <w:rPr>
          <w:rFonts w:ascii="Times New Roman" w:hAnsi="Times New Roman" w:cs="Times New Roman"/>
          <w:sz w:val="24"/>
          <w:szCs w:val="24"/>
          <w:lang w:val="nb-NO"/>
        </w:rPr>
        <w:t>r</w:t>
      </w:r>
      <w:r w:rsidR="00A563B3" w:rsidRPr="00545991">
        <w:rPr>
          <w:rFonts w:ascii="Times New Roman" w:hAnsi="Times New Roman" w:cs="Times New Roman"/>
          <w:sz w:val="24"/>
          <w:szCs w:val="24"/>
          <w:lang w:val="nb-NO"/>
        </w:rPr>
        <w:t xml:space="preserve"> </w:t>
      </w:r>
      <w:r w:rsidR="003147E6" w:rsidRPr="00545991">
        <w:rPr>
          <w:rFonts w:ascii="Times New Roman" w:hAnsi="Times New Roman" w:cs="Times New Roman"/>
          <w:sz w:val="24"/>
          <w:szCs w:val="24"/>
          <w:lang w:val="nb-NO"/>
        </w:rPr>
        <w:t xml:space="preserve">skyldes </w:t>
      </w:r>
      <w:r w:rsidR="00A563B3" w:rsidRPr="00545991">
        <w:rPr>
          <w:rFonts w:ascii="Times New Roman" w:hAnsi="Times New Roman" w:cs="Times New Roman"/>
          <w:sz w:val="24"/>
          <w:szCs w:val="24"/>
          <w:lang w:val="nb-NO"/>
        </w:rPr>
        <w:t>arrangemente</w:t>
      </w:r>
      <w:r w:rsidR="00FE5574" w:rsidRPr="00545991">
        <w:rPr>
          <w:rFonts w:ascii="Times New Roman" w:hAnsi="Times New Roman" w:cs="Times New Roman"/>
          <w:sz w:val="24"/>
          <w:szCs w:val="24"/>
          <w:lang w:val="nb-NO"/>
        </w:rPr>
        <w:t>t</w:t>
      </w:r>
      <w:r w:rsidR="003147E6" w:rsidRPr="00545991">
        <w:rPr>
          <w:rFonts w:ascii="Times New Roman" w:hAnsi="Times New Roman" w:cs="Times New Roman"/>
          <w:sz w:val="24"/>
          <w:szCs w:val="24"/>
          <w:lang w:val="nb-NO"/>
        </w:rPr>
        <w:t xml:space="preserve"> eller har andre årsaker</w:t>
      </w:r>
      <w:r w:rsidR="00A563B3" w:rsidRPr="00545991">
        <w:rPr>
          <w:rFonts w:ascii="Times New Roman" w:hAnsi="Times New Roman" w:cs="Times New Roman"/>
          <w:sz w:val="24"/>
          <w:szCs w:val="24"/>
          <w:lang w:val="nb-NO"/>
        </w:rPr>
        <w:t xml:space="preserve"> (Crompton, 1995; Preuss, 2005). </w:t>
      </w:r>
    </w:p>
    <w:p w14:paraId="59F79A6E" w14:textId="62DC3B05" w:rsidR="00BE6331" w:rsidRPr="00545991" w:rsidRDefault="00D44690" w:rsidP="00AF6572">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S</w:t>
      </w:r>
      <w:r w:rsidR="00863656" w:rsidRPr="00545991">
        <w:rPr>
          <w:rFonts w:ascii="Times New Roman" w:hAnsi="Times New Roman" w:cs="Times New Roman"/>
          <w:sz w:val="24"/>
          <w:szCs w:val="24"/>
          <w:lang w:val="nb-NO"/>
        </w:rPr>
        <w:t xml:space="preserve">tore </w:t>
      </w:r>
      <w:r w:rsidR="001549F3">
        <w:rPr>
          <w:rFonts w:ascii="Times New Roman" w:hAnsi="Times New Roman" w:cs="Times New Roman"/>
          <w:sz w:val="24"/>
          <w:szCs w:val="24"/>
          <w:lang w:val="nb-NO"/>
        </w:rPr>
        <w:t>idretts</w:t>
      </w:r>
      <w:r w:rsidR="003439D3" w:rsidRPr="00545991">
        <w:rPr>
          <w:rFonts w:ascii="Times New Roman" w:hAnsi="Times New Roman" w:cs="Times New Roman"/>
          <w:sz w:val="24"/>
          <w:szCs w:val="24"/>
          <w:lang w:val="nb-NO"/>
        </w:rPr>
        <w:t>arrangemente</w:t>
      </w:r>
      <w:r w:rsidRPr="00545991">
        <w:rPr>
          <w:rFonts w:ascii="Times New Roman" w:hAnsi="Times New Roman" w:cs="Times New Roman"/>
          <w:sz w:val="24"/>
          <w:szCs w:val="24"/>
          <w:lang w:val="nb-NO"/>
        </w:rPr>
        <w:t>r</w:t>
      </w:r>
      <w:r w:rsidR="00863656" w:rsidRPr="00545991">
        <w:rPr>
          <w:rFonts w:ascii="Times New Roman" w:hAnsi="Times New Roman" w:cs="Times New Roman"/>
          <w:sz w:val="24"/>
          <w:szCs w:val="24"/>
          <w:lang w:val="nb-NO"/>
        </w:rPr>
        <w:t xml:space="preserve"> </w:t>
      </w:r>
      <w:r w:rsidR="001549F3">
        <w:rPr>
          <w:rFonts w:ascii="Times New Roman" w:hAnsi="Times New Roman" w:cs="Times New Roman"/>
          <w:sz w:val="24"/>
          <w:szCs w:val="24"/>
          <w:lang w:val="nb-NO"/>
        </w:rPr>
        <w:t>kan skape</w:t>
      </w:r>
      <w:r w:rsidR="00BC5DA7" w:rsidRPr="00545991">
        <w:rPr>
          <w:rFonts w:ascii="Times New Roman" w:hAnsi="Times New Roman" w:cs="Times New Roman"/>
          <w:sz w:val="24"/>
          <w:szCs w:val="24"/>
          <w:lang w:val="nb-NO"/>
        </w:rPr>
        <w:t xml:space="preserve"> etterspørsel </w:t>
      </w:r>
      <w:r w:rsidRPr="00545991">
        <w:rPr>
          <w:rFonts w:ascii="Times New Roman" w:hAnsi="Times New Roman" w:cs="Times New Roman"/>
          <w:sz w:val="24"/>
          <w:szCs w:val="24"/>
          <w:lang w:val="nb-NO"/>
        </w:rPr>
        <w:t xml:space="preserve">utover </w:t>
      </w:r>
      <w:r w:rsidR="00A54BF2" w:rsidRPr="00545991">
        <w:rPr>
          <w:rFonts w:ascii="Times New Roman" w:hAnsi="Times New Roman" w:cs="Times New Roman"/>
          <w:sz w:val="24"/>
          <w:szCs w:val="24"/>
          <w:lang w:val="nb-NO"/>
        </w:rPr>
        <w:t>kapasiteten til d</w:t>
      </w:r>
      <w:r w:rsidRPr="00545991">
        <w:rPr>
          <w:rFonts w:ascii="Times New Roman" w:hAnsi="Times New Roman" w:cs="Times New Roman"/>
          <w:sz w:val="24"/>
          <w:szCs w:val="24"/>
          <w:lang w:val="nb-NO"/>
        </w:rPr>
        <w:t xml:space="preserve">e </w:t>
      </w:r>
      <w:r w:rsidR="00BC5DA7" w:rsidRPr="00545991">
        <w:rPr>
          <w:rFonts w:ascii="Times New Roman" w:hAnsi="Times New Roman" w:cs="Times New Roman"/>
          <w:sz w:val="24"/>
          <w:szCs w:val="24"/>
          <w:lang w:val="nb-NO"/>
        </w:rPr>
        <w:t xml:space="preserve">lokale </w:t>
      </w:r>
      <w:r w:rsidRPr="00545991">
        <w:rPr>
          <w:rFonts w:ascii="Times New Roman" w:hAnsi="Times New Roman" w:cs="Times New Roman"/>
          <w:sz w:val="24"/>
          <w:szCs w:val="24"/>
          <w:lang w:val="nb-NO"/>
        </w:rPr>
        <w:t>produsentene</w:t>
      </w:r>
      <w:r w:rsidR="00BC5DA7" w:rsidRPr="00545991">
        <w:rPr>
          <w:rFonts w:ascii="Times New Roman" w:hAnsi="Times New Roman" w:cs="Times New Roman"/>
          <w:sz w:val="24"/>
          <w:szCs w:val="24"/>
          <w:lang w:val="nb-NO"/>
        </w:rPr>
        <w:t xml:space="preserve">, eksempelvis </w:t>
      </w:r>
      <w:r w:rsidR="00A10594" w:rsidRPr="00545991">
        <w:rPr>
          <w:rFonts w:ascii="Times New Roman" w:hAnsi="Times New Roman" w:cs="Times New Roman"/>
          <w:sz w:val="24"/>
          <w:szCs w:val="24"/>
          <w:lang w:val="nb-NO"/>
        </w:rPr>
        <w:t>i hotellnæringen</w:t>
      </w:r>
      <w:r w:rsidR="00BC5DA7" w:rsidRPr="00545991">
        <w:rPr>
          <w:rFonts w:ascii="Times New Roman" w:hAnsi="Times New Roman" w:cs="Times New Roman"/>
          <w:sz w:val="24"/>
          <w:szCs w:val="24"/>
          <w:lang w:val="nb-NO"/>
        </w:rPr>
        <w:t xml:space="preserve">. </w:t>
      </w:r>
      <w:r w:rsidR="00FE5574" w:rsidRPr="00545991">
        <w:rPr>
          <w:rFonts w:ascii="Times New Roman" w:hAnsi="Times New Roman" w:cs="Times New Roman"/>
          <w:sz w:val="24"/>
          <w:szCs w:val="24"/>
          <w:lang w:val="nb-NO"/>
        </w:rPr>
        <w:t>Begrensede overnattings</w:t>
      </w:r>
      <w:r w:rsidR="00FE5574" w:rsidRPr="00545991">
        <w:rPr>
          <w:rFonts w:ascii="Times New Roman" w:hAnsi="Times New Roman" w:cs="Times New Roman"/>
          <w:sz w:val="24"/>
          <w:szCs w:val="24"/>
          <w:lang w:val="nb-NO"/>
        </w:rPr>
        <w:softHyphen/>
        <w:t xml:space="preserve">muligheter, </w:t>
      </w:r>
      <w:r w:rsidRPr="00545991">
        <w:rPr>
          <w:rFonts w:ascii="Times New Roman" w:hAnsi="Times New Roman" w:cs="Times New Roman"/>
          <w:sz w:val="24"/>
          <w:szCs w:val="24"/>
          <w:lang w:val="nb-NO"/>
        </w:rPr>
        <w:t xml:space="preserve">kombinert med </w:t>
      </w:r>
      <w:r w:rsidR="00BC5DA7" w:rsidRPr="00545991">
        <w:rPr>
          <w:rFonts w:ascii="Times New Roman" w:hAnsi="Times New Roman" w:cs="Times New Roman"/>
          <w:sz w:val="24"/>
          <w:szCs w:val="24"/>
          <w:lang w:val="nb-NO"/>
        </w:rPr>
        <w:t>pris</w:t>
      </w:r>
      <w:r w:rsidR="00FE5574" w:rsidRPr="00545991">
        <w:rPr>
          <w:rFonts w:ascii="Times New Roman" w:hAnsi="Times New Roman" w:cs="Times New Roman"/>
          <w:sz w:val="24"/>
          <w:szCs w:val="24"/>
          <w:lang w:val="nb-NO"/>
        </w:rPr>
        <w:softHyphen/>
      </w:r>
      <w:r w:rsidR="00A54BF2" w:rsidRPr="00545991">
        <w:rPr>
          <w:rFonts w:ascii="Times New Roman" w:hAnsi="Times New Roman" w:cs="Times New Roman"/>
          <w:sz w:val="24"/>
          <w:szCs w:val="24"/>
          <w:lang w:val="nb-NO"/>
        </w:rPr>
        <w:t>økninger</w:t>
      </w:r>
      <w:r w:rsidR="00FE5574" w:rsidRPr="00545991">
        <w:rPr>
          <w:rFonts w:ascii="Times New Roman" w:hAnsi="Times New Roman" w:cs="Times New Roman"/>
          <w:sz w:val="24"/>
          <w:szCs w:val="24"/>
          <w:lang w:val="nb-NO"/>
        </w:rPr>
        <w:t>,</w:t>
      </w:r>
      <w:r w:rsidRPr="00545991">
        <w:rPr>
          <w:rFonts w:ascii="Times New Roman" w:hAnsi="Times New Roman" w:cs="Times New Roman"/>
          <w:sz w:val="24"/>
          <w:szCs w:val="24"/>
          <w:lang w:val="nb-NO"/>
        </w:rPr>
        <w:t xml:space="preserve"> kan f</w:t>
      </w:r>
      <w:r w:rsidR="00863656" w:rsidRPr="00545991">
        <w:rPr>
          <w:rFonts w:ascii="Times New Roman" w:hAnsi="Times New Roman" w:cs="Times New Roman"/>
          <w:sz w:val="24"/>
          <w:szCs w:val="24"/>
          <w:lang w:val="nb-NO"/>
        </w:rPr>
        <w:t xml:space="preserve">øre </w:t>
      </w:r>
      <w:r w:rsidR="00FE5574" w:rsidRPr="00545991">
        <w:rPr>
          <w:rFonts w:ascii="Times New Roman" w:hAnsi="Times New Roman" w:cs="Times New Roman"/>
          <w:sz w:val="24"/>
          <w:szCs w:val="24"/>
          <w:lang w:val="nb-NO"/>
        </w:rPr>
        <w:t xml:space="preserve">til </w:t>
      </w:r>
      <w:r w:rsidR="00863656" w:rsidRPr="00545991">
        <w:rPr>
          <w:rFonts w:ascii="Times New Roman" w:hAnsi="Times New Roman" w:cs="Times New Roman"/>
          <w:sz w:val="24"/>
          <w:szCs w:val="24"/>
          <w:lang w:val="nb-NO"/>
        </w:rPr>
        <w:t xml:space="preserve">at ordinære </w:t>
      </w:r>
      <w:r w:rsidR="00AF6572" w:rsidRPr="00545991">
        <w:rPr>
          <w:rFonts w:ascii="Times New Roman" w:hAnsi="Times New Roman" w:cs="Times New Roman"/>
          <w:sz w:val="24"/>
          <w:szCs w:val="24"/>
          <w:lang w:val="nb-NO"/>
        </w:rPr>
        <w:t xml:space="preserve">turister som ellers ville kommet </w:t>
      </w:r>
      <w:r w:rsidR="001549F3">
        <w:rPr>
          <w:rFonts w:ascii="Times New Roman" w:hAnsi="Times New Roman" w:cs="Times New Roman"/>
          <w:sz w:val="24"/>
          <w:szCs w:val="24"/>
          <w:lang w:val="nb-NO"/>
        </w:rPr>
        <w:t xml:space="preserve">til regionen </w:t>
      </w:r>
      <w:r w:rsidR="00C21FBA">
        <w:rPr>
          <w:rFonts w:ascii="Times New Roman" w:hAnsi="Times New Roman" w:cs="Times New Roman"/>
          <w:sz w:val="24"/>
          <w:szCs w:val="24"/>
          <w:lang w:val="nb-NO"/>
        </w:rPr>
        <w:t>fortrenges. Videre må det tas hensyn til lekkasjer, eksempelvis avgifter og inntekter som tilfaller eierne av arrangementet</w:t>
      </w:r>
      <w:r w:rsidR="001549F3">
        <w:rPr>
          <w:rFonts w:ascii="Times New Roman" w:hAnsi="Times New Roman" w:cs="Times New Roman"/>
          <w:sz w:val="24"/>
          <w:szCs w:val="24"/>
          <w:lang w:val="nb-NO"/>
        </w:rPr>
        <w:t>, som ofte er internasjonale særforbund</w:t>
      </w:r>
      <w:r w:rsidR="00C21FBA">
        <w:rPr>
          <w:rFonts w:ascii="Times New Roman" w:hAnsi="Times New Roman" w:cs="Times New Roman"/>
          <w:sz w:val="24"/>
          <w:szCs w:val="24"/>
          <w:lang w:val="nb-NO"/>
        </w:rPr>
        <w:t xml:space="preserve">. </w:t>
      </w:r>
      <w:r w:rsidR="00A52FAF" w:rsidRPr="00545991">
        <w:rPr>
          <w:rFonts w:ascii="Times New Roman" w:hAnsi="Times New Roman" w:cs="Times New Roman"/>
          <w:sz w:val="24"/>
          <w:szCs w:val="24"/>
          <w:lang w:val="nb-NO"/>
        </w:rPr>
        <w:t xml:space="preserve">Slike </w:t>
      </w:r>
      <w:r w:rsidRPr="00545991">
        <w:rPr>
          <w:rFonts w:ascii="Times New Roman" w:hAnsi="Times New Roman" w:cs="Times New Roman"/>
          <w:sz w:val="24"/>
          <w:szCs w:val="24"/>
          <w:lang w:val="nb-NO"/>
        </w:rPr>
        <w:t xml:space="preserve">forhold må det justeres for i </w:t>
      </w:r>
      <w:r w:rsidR="00863656" w:rsidRPr="00545991">
        <w:rPr>
          <w:rFonts w:ascii="Times New Roman" w:hAnsi="Times New Roman" w:cs="Times New Roman"/>
          <w:sz w:val="24"/>
          <w:szCs w:val="24"/>
          <w:lang w:val="nb-NO"/>
        </w:rPr>
        <w:t xml:space="preserve">regionaløkonomiske </w:t>
      </w:r>
      <w:r w:rsidR="00A52FAF" w:rsidRPr="00545991">
        <w:rPr>
          <w:rFonts w:ascii="Times New Roman" w:hAnsi="Times New Roman" w:cs="Times New Roman"/>
          <w:sz w:val="24"/>
          <w:szCs w:val="24"/>
          <w:lang w:val="nb-NO"/>
        </w:rPr>
        <w:t>ringvirknings</w:t>
      </w:r>
      <w:r w:rsidR="00103E58" w:rsidRPr="00545991">
        <w:rPr>
          <w:rFonts w:ascii="Times New Roman" w:hAnsi="Times New Roman" w:cs="Times New Roman"/>
          <w:sz w:val="24"/>
          <w:szCs w:val="24"/>
          <w:lang w:val="nb-NO"/>
        </w:rPr>
        <w:softHyphen/>
      </w:r>
      <w:r w:rsidR="00A52FAF" w:rsidRPr="00545991">
        <w:rPr>
          <w:rFonts w:ascii="Times New Roman" w:hAnsi="Times New Roman" w:cs="Times New Roman"/>
          <w:sz w:val="24"/>
          <w:szCs w:val="24"/>
          <w:lang w:val="nb-NO"/>
        </w:rPr>
        <w:t>studier</w:t>
      </w:r>
      <w:r w:rsidRPr="00545991">
        <w:rPr>
          <w:rFonts w:ascii="Times New Roman" w:hAnsi="Times New Roman" w:cs="Times New Roman"/>
          <w:sz w:val="24"/>
          <w:szCs w:val="24"/>
          <w:lang w:val="nb-NO"/>
        </w:rPr>
        <w:t xml:space="preserve">. Hvis ikke, vil </w:t>
      </w:r>
      <w:r w:rsidR="00322DD0" w:rsidRPr="00545991">
        <w:rPr>
          <w:rFonts w:ascii="Times New Roman" w:hAnsi="Times New Roman" w:cs="Times New Roman"/>
          <w:sz w:val="24"/>
          <w:szCs w:val="24"/>
          <w:lang w:val="nb-NO"/>
        </w:rPr>
        <w:t xml:space="preserve">de økonomiske </w:t>
      </w:r>
      <w:r w:rsidR="00967D26" w:rsidRPr="00545991">
        <w:rPr>
          <w:rFonts w:ascii="Times New Roman" w:hAnsi="Times New Roman" w:cs="Times New Roman"/>
          <w:sz w:val="24"/>
          <w:szCs w:val="24"/>
          <w:lang w:val="nb-NO"/>
        </w:rPr>
        <w:t xml:space="preserve">gevinstene </w:t>
      </w:r>
      <w:r w:rsidR="00863656" w:rsidRPr="00545991">
        <w:rPr>
          <w:rFonts w:ascii="Times New Roman" w:hAnsi="Times New Roman" w:cs="Times New Roman"/>
          <w:sz w:val="24"/>
          <w:szCs w:val="24"/>
          <w:lang w:val="nb-NO"/>
        </w:rPr>
        <w:t xml:space="preserve">av arrangementene </w:t>
      </w:r>
      <w:r w:rsidR="00BC5DA7" w:rsidRPr="00545991">
        <w:rPr>
          <w:rFonts w:ascii="Times New Roman" w:hAnsi="Times New Roman" w:cs="Times New Roman"/>
          <w:sz w:val="24"/>
          <w:szCs w:val="24"/>
          <w:lang w:val="nb-NO"/>
        </w:rPr>
        <w:t xml:space="preserve">bli </w:t>
      </w:r>
      <w:r w:rsidR="00967D26" w:rsidRPr="00545991">
        <w:rPr>
          <w:rFonts w:ascii="Times New Roman" w:hAnsi="Times New Roman" w:cs="Times New Roman"/>
          <w:sz w:val="24"/>
          <w:szCs w:val="24"/>
          <w:lang w:val="nb-NO"/>
        </w:rPr>
        <w:t>overvurder</w:t>
      </w:r>
      <w:r w:rsidR="00DA3A97" w:rsidRPr="00545991">
        <w:rPr>
          <w:rFonts w:ascii="Times New Roman" w:hAnsi="Times New Roman" w:cs="Times New Roman"/>
          <w:sz w:val="24"/>
          <w:szCs w:val="24"/>
          <w:lang w:val="nb-NO"/>
        </w:rPr>
        <w:t>t</w:t>
      </w:r>
      <w:r w:rsidR="00967D26" w:rsidRPr="00545991">
        <w:rPr>
          <w:rFonts w:ascii="Times New Roman" w:hAnsi="Times New Roman" w:cs="Times New Roman"/>
          <w:sz w:val="24"/>
          <w:szCs w:val="24"/>
          <w:lang w:val="nb-NO"/>
        </w:rPr>
        <w:t xml:space="preserve">. </w:t>
      </w:r>
      <w:r w:rsidR="00AF6572" w:rsidRPr="00545991">
        <w:rPr>
          <w:rFonts w:ascii="Times New Roman" w:hAnsi="Times New Roman" w:cs="Times New Roman"/>
          <w:sz w:val="24"/>
          <w:szCs w:val="24"/>
          <w:lang w:val="nb-NO"/>
        </w:rPr>
        <w:t xml:space="preserve">    </w:t>
      </w:r>
    </w:p>
    <w:p w14:paraId="0AEC48ED" w14:textId="0F15002A" w:rsidR="00DC20FF" w:rsidRPr="007D28CE" w:rsidRDefault="00E95D4F" w:rsidP="00C21FBA">
      <w:pPr>
        <w:spacing w:line="360" w:lineRule="auto"/>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ab/>
        <w:t xml:space="preserve">En viktig hensikt med denne artikkelen er å rydde opp i </w:t>
      </w:r>
      <w:r w:rsidR="00A10594" w:rsidRPr="00545991">
        <w:rPr>
          <w:rFonts w:ascii="Times New Roman" w:hAnsi="Times New Roman" w:cs="Times New Roman"/>
          <w:sz w:val="24"/>
          <w:szCs w:val="24"/>
          <w:lang w:val="nb-NO"/>
        </w:rPr>
        <w:t xml:space="preserve">slike </w:t>
      </w:r>
      <w:r w:rsidRPr="00545991">
        <w:rPr>
          <w:rFonts w:ascii="Times New Roman" w:hAnsi="Times New Roman" w:cs="Times New Roman"/>
          <w:sz w:val="24"/>
          <w:szCs w:val="24"/>
          <w:lang w:val="nb-NO"/>
        </w:rPr>
        <w:t xml:space="preserve">misforståelser, og </w:t>
      </w:r>
      <w:r w:rsidR="00A54BF2" w:rsidRPr="00545991">
        <w:rPr>
          <w:rFonts w:ascii="Times New Roman" w:hAnsi="Times New Roman" w:cs="Times New Roman"/>
          <w:sz w:val="24"/>
          <w:szCs w:val="24"/>
          <w:lang w:val="nb-NO"/>
        </w:rPr>
        <w:t>dermed</w:t>
      </w:r>
      <w:r w:rsidRPr="00545991">
        <w:rPr>
          <w:rFonts w:ascii="Times New Roman" w:hAnsi="Times New Roman" w:cs="Times New Roman"/>
          <w:sz w:val="24"/>
          <w:szCs w:val="24"/>
          <w:lang w:val="nb-NO"/>
        </w:rPr>
        <w:t xml:space="preserve"> skape </w:t>
      </w:r>
      <w:r w:rsidR="00A54BF2" w:rsidRPr="00545991">
        <w:rPr>
          <w:rFonts w:ascii="Times New Roman" w:hAnsi="Times New Roman" w:cs="Times New Roman"/>
          <w:sz w:val="24"/>
          <w:szCs w:val="24"/>
          <w:lang w:val="nb-NO"/>
        </w:rPr>
        <w:t xml:space="preserve">et mer realistisk </w:t>
      </w:r>
      <w:r w:rsidRPr="00545991">
        <w:rPr>
          <w:rFonts w:ascii="Times New Roman" w:hAnsi="Times New Roman" w:cs="Times New Roman"/>
          <w:sz w:val="24"/>
          <w:szCs w:val="24"/>
          <w:lang w:val="nb-NO"/>
        </w:rPr>
        <w:t xml:space="preserve">bilde av hvilke </w:t>
      </w:r>
      <w:r w:rsidR="00A10594" w:rsidRPr="00545991">
        <w:rPr>
          <w:rFonts w:ascii="Times New Roman" w:hAnsi="Times New Roman" w:cs="Times New Roman"/>
          <w:sz w:val="24"/>
          <w:szCs w:val="24"/>
          <w:lang w:val="nb-NO"/>
        </w:rPr>
        <w:t xml:space="preserve">gevinster </w:t>
      </w:r>
      <w:r w:rsidR="00322DD0" w:rsidRPr="00545991">
        <w:rPr>
          <w:rFonts w:ascii="Times New Roman" w:hAnsi="Times New Roman" w:cs="Times New Roman"/>
          <w:sz w:val="24"/>
          <w:szCs w:val="24"/>
          <w:lang w:val="nb-NO"/>
        </w:rPr>
        <w:t xml:space="preserve">store </w:t>
      </w:r>
      <w:r w:rsidR="001549F3">
        <w:rPr>
          <w:rFonts w:ascii="Times New Roman" w:hAnsi="Times New Roman" w:cs="Times New Roman"/>
          <w:sz w:val="24"/>
          <w:szCs w:val="24"/>
          <w:lang w:val="nb-NO"/>
        </w:rPr>
        <w:t>idretts</w:t>
      </w:r>
      <w:r w:rsidRPr="00545991">
        <w:rPr>
          <w:rFonts w:ascii="Times New Roman" w:hAnsi="Times New Roman" w:cs="Times New Roman"/>
          <w:sz w:val="24"/>
          <w:szCs w:val="24"/>
          <w:lang w:val="nb-NO"/>
        </w:rPr>
        <w:t>arrangemente</w:t>
      </w:r>
      <w:r w:rsidR="00322DD0" w:rsidRPr="00545991">
        <w:rPr>
          <w:rFonts w:ascii="Times New Roman" w:hAnsi="Times New Roman" w:cs="Times New Roman"/>
          <w:sz w:val="24"/>
          <w:szCs w:val="24"/>
          <w:lang w:val="nb-NO"/>
        </w:rPr>
        <w:t>r</w:t>
      </w:r>
      <w:r w:rsidRPr="00545991">
        <w:rPr>
          <w:rFonts w:ascii="Times New Roman" w:hAnsi="Times New Roman" w:cs="Times New Roman"/>
          <w:sz w:val="24"/>
          <w:szCs w:val="24"/>
          <w:lang w:val="nb-NO"/>
        </w:rPr>
        <w:t xml:space="preserve"> kan skape for </w:t>
      </w:r>
      <w:r w:rsidR="00A54BF2" w:rsidRPr="00545991">
        <w:rPr>
          <w:rFonts w:ascii="Times New Roman" w:hAnsi="Times New Roman" w:cs="Times New Roman"/>
          <w:sz w:val="24"/>
          <w:szCs w:val="24"/>
          <w:lang w:val="nb-NO"/>
        </w:rPr>
        <w:t xml:space="preserve">vertsbyene. </w:t>
      </w:r>
      <w:r w:rsidR="00BC5DA7" w:rsidRPr="00545991">
        <w:rPr>
          <w:rFonts w:ascii="Times New Roman" w:hAnsi="Times New Roman" w:cs="Times New Roman"/>
          <w:sz w:val="24"/>
          <w:szCs w:val="24"/>
          <w:lang w:val="nb-NO"/>
        </w:rPr>
        <w:t xml:space="preserve">Som case vil vi bruke </w:t>
      </w:r>
      <w:r w:rsidR="003C6ADA" w:rsidRPr="00545991">
        <w:rPr>
          <w:rFonts w:ascii="Times New Roman" w:hAnsi="Times New Roman" w:cs="Times New Roman"/>
          <w:sz w:val="24"/>
          <w:szCs w:val="24"/>
          <w:lang w:val="nb-NO"/>
        </w:rPr>
        <w:t>den 41. Sjakk</w:t>
      </w:r>
      <w:r w:rsidR="00322DD0" w:rsidRPr="00545991">
        <w:rPr>
          <w:rFonts w:ascii="Times New Roman" w:hAnsi="Times New Roman" w:cs="Times New Roman"/>
          <w:sz w:val="24"/>
          <w:szCs w:val="24"/>
          <w:lang w:val="nb-NO"/>
        </w:rPr>
        <w:t xml:space="preserve">olympiaden </w:t>
      </w:r>
      <w:r w:rsidR="003C6ADA" w:rsidRPr="00545991">
        <w:rPr>
          <w:rFonts w:ascii="Times New Roman" w:hAnsi="Times New Roman" w:cs="Times New Roman"/>
          <w:sz w:val="24"/>
          <w:szCs w:val="24"/>
          <w:lang w:val="nb-NO"/>
        </w:rPr>
        <w:t xml:space="preserve">som </w:t>
      </w:r>
      <w:r w:rsidR="008B7371" w:rsidRPr="00545991">
        <w:rPr>
          <w:rFonts w:ascii="Times New Roman" w:hAnsi="Times New Roman" w:cs="Times New Roman"/>
          <w:sz w:val="24"/>
          <w:szCs w:val="24"/>
          <w:lang w:val="nb-NO"/>
        </w:rPr>
        <w:t xml:space="preserve">ble avholdt i </w:t>
      </w:r>
      <w:r w:rsidR="003C6ADA" w:rsidRPr="00545991">
        <w:rPr>
          <w:rFonts w:ascii="Times New Roman" w:hAnsi="Times New Roman" w:cs="Times New Roman"/>
          <w:sz w:val="24"/>
          <w:szCs w:val="24"/>
          <w:lang w:val="nb-NO"/>
        </w:rPr>
        <w:t xml:space="preserve">Tromsø </w:t>
      </w:r>
      <w:r w:rsidR="00A54BF2" w:rsidRPr="00545991">
        <w:rPr>
          <w:rFonts w:ascii="Times New Roman" w:hAnsi="Times New Roman" w:cs="Times New Roman"/>
          <w:sz w:val="24"/>
          <w:szCs w:val="24"/>
          <w:lang w:val="nb-NO"/>
        </w:rPr>
        <w:t xml:space="preserve">i perioden </w:t>
      </w:r>
      <w:r w:rsidR="003C6ADA" w:rsidRPr="00545991">
        <w:rPr>
          <w:rFonts w:ascii="Times New Roman" w:hAnsi="Times New Roman" w:cs="Times New Roman"/>
          <w:sz w:val="24"/>
          <w:szCs w:val="24"/>
          <w:lang w:val="nb-NO"/>
        </w:rPr>
        <w:t>1</w:t>
      </w:r>
      <w:r w:rsidR="00F54186" w:rsidRPr="00545991">
        <w:rPr>
          <w:rFonts w:ascii="Times New Roman" w:hAnsi="Times New Roman" w:cs="Times New Roman"/>
          <w:sz w:val="24"/>
          <w:szCs w:val="24"/>
          <w:lang w:val="nb-NO"/>
        </w:rPr>
        <w:t>.</w:t>
      </w:r>
      <w:r w:rsidR="00A54BF2" w:rsidRPr="00545991">
        <w:rPr>
          <w:rFonts w:ascii="Times New Roman" w:hAnsi="Times New Roman" w:cs="Times New Roman"/>
          <w:sz w:val="24"/>
          <w:szCs w:val="24"/>
          <w:lang w:val="nb-NO"/>
        </w:rPr>
        <w:t>-</w:t>
      </w:r>
      <w:r w:rsidR="003C6ADA" w:rsidRPr="00545991">
        <w:rPr>
          <w:rFonts w:ascii="Times New Roman" w:hAnsi="Times New Roman" w:cs="Times New Roman"/>
          <w:sz w:val="24"/>
          <w:szCs w:val="24"/>
          <w:lang w:val="nb-NO"/>
        </w:rPr>
        <w:t>15</w:t>
      </w:r>
      <w:r w:rsidR="00F54186" w:rsidRPr="00545991">
        <w:rPr>
          <w:rFonts w:ascii="Times New Roman" w:hAnsi="Times New Roman" w:cs="Times New Roman"/>
          <w:sz w:val="24"/>
          <w:szCs w:val="24"/>
          <w:lang w:val="nb-NO"/>
        </w:rPr>
        <w:t>.</w:t>
      </w:r>
      <w:r w:rsidR="003C6ADA" w:rsidRPr="00545991">
        <w:rPr>
          <w:rFonts w:ascii="Times New Roman" w:hAnsi="Times New Roman" w:cs="Times New Roman"/>
          <w:sz w:val="24"/>
          <w:szCs w:val="24"/>
          <w:lang w:val="nb-NO"/>
        </w:rPr>
        <w:t xml:space="preserve"> august, 2014. </w:t>
      </w:r>
      <w:r w:rsidR="00981EC7" w:rsidRPr="00545991">
        <w:rPr>
          <w:rFonts w:ascii="Times New Roman" w:hAnsi="Times New Roman" w:cs="Times New Roman"/>
          <w:sz w:val="24"/>
          <w:szCs w:val="24"/>
          <w:lang w:val="nb-NO"/>
        </w:rPr>
        <w:t xml:space="preserve">Vi vil </w:t>
      </w:r>
      <w:r w:rsidR="00863656" w:rsidRPr="00545991">
        <w:rPr>
          <w:rFonts w:ascii="Times New Roman" w:hAnsi="Times New Roman" w:cs="Times New Roman"/>
          <w:sz w:val="24"/>
          <w:szCs w:val="24"/>
          <w:lang w:val="nb-NO"/>
        </w:rPr>
        <w:t xml:space="preserve">konsentrere oss om den </w:t>
      </w:r>
      <w:r w:rsidR="005533C3" w:rsidRPr="00545991">
        <w:rPr>
          <w:rFonts w:ascii="Times New Roman" w:hAnsi="Times New Roman" w:cs="Times New Roman"/>
          <w:sz w:val="24"/>
          <w:szCs w:val="24"/>
          <w:lang w:val="nb-NO"/>
        </w:rPr>
        <w:t>direkte</w:t>
      </w:r>
      <w:r w:rsidR="00981EC7" w:rsidRPr="00545991">
        <w:rPr>
          <w:rFonts w:ascii="Times New Roman" w:hAnsi="Times New Roman" w:cs="Times New Roman"/>
          <w:sz w:val="24"/>
          <w:szCs w:val="24"/>
          <w:lang w:val="nb-NO"/>
        </w:rPr>
        <w:t xml:space="preserve"> tilførselen </w:t>
      </w:r>
      <w:r w:rsidR="00C21FBA">
        <w:rPr>
          <w:rFonts w:ascii="Times New Roman" w:hAnsi="Times New Roman" w:cs="Times New Roman"/>
          <w:sz w:val="24"/>
          <w:szCs w:val="24"/>
          <w:lang w:val="nb-NO"/>
        </w:rPr>
        <w:t xml:space="preserve">til </w:t>
      </w:r>
      <w:r w:rsidR="00981EC7" w:rsidRPr="00545991">
        <w:rPr>
          <w:rFonts w:ascii="Times New Roman" w:hAnsi="Times New Roman" w:cs="Times New Roman"/>
          <w:sz w:val="24"/>
          <w:szCs w:val="24"/>
          <w:lang w:val="nb-NO"/>
        </w:rPr>
        <w:t>Tromsø</w:t>
      </w:r>
      <w:r w:rsidR="00863656" w:rsidRPr="00545991">
        <w:rPr>
          <w:rFonts w:ascii="Times New Roman" w:hAnsi="Times New Roman" w:cs="Times New Roman"/>
          <w:sz w:val="24"/>
          <w:szCs w:val="24"/>
          <w:lang w:val="nb-NO"/>
        </w:rPr>
        <w:t xml:space="preserve">. </w:t>
      </w:r>
      <w:r w:rsidR="00EF4329" w:rsidRPr="00545991">
        <w:rPr>
          <w:rFonts w:ascii="Times New Roman" w:hAnsi="Times New Roman" w:cs="Times New Roman"/>
          <w:sz w:val="24"/>
          <w:szCs w:val="24"/>
          <w:lang w:val="nb-NO"/>
        </w:rPr>
        <w:t>H</w:t>
      </w:r>
      <w:r w:rsidR="00863656" w:rsidRPr="00545991">
        <w:rPr>
          <w:rFonts w:ascii="Times New Roman" w:hAnsi="Times New Roman" w:cs="Times New Roman"/>
          <w:sz w:val="24"/>
          <w:szCs w:val="24"/>
          <w:lang w:val="nb-NO"/>
        </w:rPr>
        <w:t xml:space="preserve">vilke kilder </w:t>
      </w:r>
      <w:r w:rsidR="00322DD0" w:rsidRPr="00545991">
        <w:rPr>
          <w:rFonts w:ascii="Times New Roman" w:hAnsi="Times New Roman" w:cs="Times New Roman"/>
          <w:sz w:val="24"/>
          <w:szCs w:val="24"/>
          <w:lang w:val="nb-NO"/>
        </w:rPr>
        <w:t xml:space="preserve">kom </w:t>
      </w:r>
      <w:r w:rsidR="00C21FBA">
        <w:rPr>
          <w:rFonts w:ascii="Times New Roman" w:hAnsi="Times New Roman" w:cs="Times New Roman"/>
          <w:sz w:val="24"/>
          <w:szCs w:val="24"/>
          <w:lang w:val="nb-NO"/>
        </w:rPr>
        <w:t>midlene fra</w:t>
      </w:r>
      <w:r w:rsidR="00977DA2" w:rsidRPr="00545991">
        <w:rPr>
          <w:rFonts w:ascii="Times New Roman" w:hAnsi="Times New Roman" w:cs="Times New Roman"/>
          <w:sz w:val="24"/>
          <w:szCs w:val="24"/>
          <w:lang w:val="nb-NO"/>
        </w:rPr>
        <w:t>? H</w:t>
      </w:r>
      <w:r w:rsidR="00EF4329" w:rsidRPr="00545991">
        <w:rPr>
          <w:rFonts w:ascii="Times New Roman" w:hAnsi="Times New Roman" w:cs="Times New Roman"/>
          <w:sz w:val="24"/>
          <w:szCs w:val="24"/>
          <w:lang w:val="nb-NO"/>
        </w:rPr>
        <w:t xml:space="preserve">vilke </w:t>
      </w:r>
      <w:r w:rsidR="00863656" w:rsidRPr="00545991">
        <w:rPr>
          <w:rFonts w:ascii="Times New Roman" w:hAnsi="Times New Roman" w:cs="Times New Roman"/>
          <w:sz w:val="24"/>
          <w:szCs w:val="24"/>
          <w:lang w:val="nb-NO"/>
        </w:rPr>
        <w:t>lekkasje</w:t>
      </w:r>
      <w:r w:rsidR="00EF4329" w:rsidRPr="00545991">
        <w:rPr>
          <w:rFonts w:ascii="Times New Roman" w:hAnsi="Times New Roman" w:cs="Times New Roman"/>
          <w:sz w:val="24"/>
          <w:szCs w:val="24"/>
          <w:lang w:val="nb-NO"/>
        </w:rPr>
        <w:t>r</w:t>
      </w:r>
      <w:r w:rsidR="00863656" w:rsidRPr="00545991">
        <w:rPr>
          <w:rFonts w:ascii="Times New Roman" w:hAnsi="Times New Roman" w:cs="Times New Roman"/>
          <w:sz w:val="24"/>
          <w:szCs w:val="24"/>
          <w:lang w:val="nb-NO"/>
        </w:rPr>
        <w:t xml:space="preserve"> </w:t>
      </w:r>
      <w:r w:rsidR="00322DD0" w:rsidRPr="00545991">
        <w:rPr>
          <w:rFonts w:ascii="Times New Roman" w:hAnsi="Times New Roman" w:cs="Times New Roman"/>
          <w:sz w:val="24"/>
          <w:szCs w:val="24"/>
          <w:lang w:val="nb-NO"/>
        </w:rPr>
        <w:t>og eventuelle fortre</w:t>
      </w:r>
      <w:r w:rsidR="00545991">
        <w:rPr>
          <w:rFonts w:ascii="Times New Roman" w:hAnsi="Times New Roman" w:cs="Times New Roman"/>
          <w:sz w:val="24"/>
          <w:szCs w:val="24"/>
          <w:lang w:val="nb-NO"/>
        </w:rPr>
        <w:t>n</w:t>
      </w:r>
      <w:r w:rsidR="00322DD0" w:rsidRPr="00545991">
        <w:rPr>
          <w:rFonts w:ascii="Times New Roman" w:hAnsi="Times New Roman" w:cs="Times New Roman"/>
          <w:sz w:val="24"/>
          <w:szCs w:val="24"/>
          <w:lang w:val="nb-NO"/>
        </w:rPr>
        <w:t xml:space="preserve">gningseffekter </w:t>
      </w:r>
      <w:r w:rsidR="00863656" w:rsidRPr="00545991">
        <w:rPr>
          <w:rFonts w:ascii="Times New Roman" w:hAnsi="Times New Roman" w:cs="Times New Roman"/>
          <w:sz w:val="24"/>
          <w:szCs w:val="24"/>
          <w:lang w:val="nb-NO"/>
        </w:rPr>
        <w:t>oppsto</w:t>
      </w:r>
      <w:r w:rsidR="00322DD0" w:rsidRPr="00545991">
        <w:rPr>
          <w:rFonts w:ascii="Times New Roman" w:hAnsi="Times New Roman" w:cs="Times New Roman"/>
          <w:sz w:val="24"/>
          <w:szCs w:val="24"/>
          <w:lang w:val="nb-NO"/>
        </w:rPr>
        <w:t xml:space="preserve">, og </w:t>
      </w:r>
      <w:r w:rsidR="00977DA2" w:rsidRPr="00545991">
        <w:rPr>
          <w:rFonts w:ascii="Times New Roman" w:hAnsi="Times New Roman" w:cs="Times New Roman"/>
          <w:sz w:val="24"/>
          <w:szCs w:val="24"/>
          <w:lang w:val="nb-NO"/>
        </w:rPr>
        <w:t xml:space="preserve">i hvilken grad </w:t>
      </w:r>
      <w:r w:rsidR="00322DD0" w:rsidRPr="00545991">
        <w:rPr>
          <w:rFonts w:ascii="Times New Roman" w:hAnsi="Times New Roman" w:cs="Times New Roman"/>
          <w:sz w:val="24"/>
          <w:szCs w:val="24"/>
          <w:lang w:val="nb-NO"/>
        </w:rPr>
        <w:t xml:space="preserve">svekket </w:t>
      </w:r>
      <w:r w:rsidR="00A54BF2" w:rsidRPr="00545991">
        <w:rPr>
          <w:rFonts w:ascii="Times New Roman" w:hAnsi="Times New Roman" w:cs="Times New Roman"/>
          <w:sz w:val="24"/>
          <w:szCs w:val="24"/>
          <w:lang w:val="nb-NO"/>
        </w:rPr>
        <w:t xml:space="preserve">dette </w:t>
      </w:r>
      <w:r w:rsidR="00545991">
        <w:rPr>
          <w:rFonts w:ascii="Times New Roman" w:hAnsi="Times New Roman" w:cs="Times New Roman"/>
          <w:sz w:val="24"/>
          <w:szCs w:val="24"/>
          <w:lang w:val="nb-NO"/>
        </w:rPr>
        <w:t>de samlede økonomiske ringvirkningene av arrangementet</w:t>
      </w:r>
      <w:r w:rsidR="00977DA2" w:rsidRPr="00545991">
        <w:rPr>
          <w:rFonts w:ascii="Times New Roman" w:hAnsi="Times New Roman" w:cs="Times New Roman"/>
          <w:sz w:val="24"/>
          <w:szCs w:val="24"/>
          <w:lang w:val="nb-NO"/>
        </w:rPr>
        <w:t xml:space="preserve">? </w:t>
      </w:r>
      <w:r w:rsidR="00A01863" w:rsidRPr="007D28CE">
        <w:rPr>
          <w:rFonts w:ascii="Times New Roman" w:hAnsi="Times New Roman" w:cs="Times New Roman"/>
          <w:sz w:val="24"/>
          <w:szCs w:val="24"/>
          <w:lang w:val="nb-NO"/>
        </w:rPr>
        <w:t xml:space="preserve">Hensikten med artikkelen er å gjøre søkerbyer bedre kjent med faktorene som påvirker omfanget og retningen av de finansielle strømmene. Når man skal vurdere hvorvidt </w:t>
      </w:r>
      <w:r w:rsidR="00832528" w:rsidRPr="007D28CE">
        <w:rPr>
          <w:rFonts w:ascii="Times New Roman" w:hAnsi="Times New Roman" w:cs="Times New Roman"/>
          <w:sz w:val="24"/>
          <w:szCs w:val="24"/>
          <w:lang w:val="nb-NO"/>
        </w:rPr>
        <w:t xml:space="preserve">slike </w:t>
      </w:r>
      <w:r w:rsidR="00A01863" w:rsidRPr="007D28CE">
        <w:rPr>
          <w:rFonts w:ascii="Times New Roman" w:hAnsi="Times New Roman" w:cs="Times New Roman"/>
          <w:sz w:val="24"/>
          <w:szCs w:val="24"/>
          <w:lang w:val="nb-NO"/>
        </w:rPr>
        <w:t>arrangemente</w:t>
      </w:r>
      <w:r w:rsidR="00832528" w:rsidRPr="007D28CE">
        <w:rPr>
          <w:rFonts w:ascii="Times New Roman" w:hAnsi="Times New Roman" w:cs="Times New Roman"/>
          <w:sz w:val="24"/>
          <w:szCs w:val="24"/>
          <w:lang w:val="nb-NO"/>
        </w:rPr>
        <w:t>r er</w:t>
      </w:r>
      <w:r w:rsidR="00A01863" w:rsidRPr="007D28CE">
        <w:rPr>
          <w:rFonts w:ascii="Times New Roman" w:hAnsi="Times New Roman" w:cs="Times New Roman"/>
          <w:sz w:val="24"/>
          <w:szCs w:val="24"/>
          <w:lang w:val="nb-NO"/>
        </w:rPr>
        <w:t xml:space="preserve"> verdt pengene</w:t>
      </w:r>
      <w:r w:rsidR="00952FE4" w:rsidRPr="007D28CE">
        <w:rPr>
          <w:rFonts w:ascii="Times New Roman" w:hAnsi="Times New Roman" w:cs="Times New Roman"/>
          <w:sz w:val="24"/>
          <w:szCs w:val="24"/>
          <w:lang w:val="nb-NO"/>
        </w:rPr>
        <w:t>,</w:t>
      </w:r>
      <w:r w:rsidR="00A01863" w:rsidRPr="007D28CE">
        <w:rPr>
          <w:rFonts w:ascii="Times New Roman" w:hAnsi="Times New Roman" w:cs="Times New Roman"/>
          <w:sz w:val="24"/>
          <w:szCs w:val="24"/>
          <w:lang w:val="nb-NO"/>
        </w:rPr>
        <w:t xml:space="preserve"> må en også ta hensyn til de direkte inntektene og kostnadene for arrangørene. Derfor </w:t>
      </w:r>
      <w:r w:rsidR="007D28CE">
        <w:rPr>
          <w:rFonts w:ascii="Times New Roman" w:hAnsi="Times New Roman" w:cs="Times New Roman"/>
          <w:sz w:val="24"/>
          <w:szCs w:val="24"/>
          <w:lang w:val="nb-NO"/>
        </w:rPr>
        <w:t xml:space="preserve">presenteres også </w:t>
      </w:r>
      <w:r w:rsidR="006F32AA" w:rsidRPr="007D28CE">
        <w:rPr>
          <w:rFonts w:ascii="Times New Roman" w:hAnsi="Times New Roman" w:cs="Times New Roman"/>
          <w:sz w:val="24"/>
          <w:szCs w:val="24"/>
          <w:lang w:val="nb-NO"/>
        </w:rPr>
        <w:t xml:space="preserve">en </w:t>
      </w:r>
      <w:r w:rsidR="00A54BF2" w:rsidRPr="007D28CE">
        <w:rPr>
          <w:rFonts w:ascii="Times New Roman" w:hAnsi="Times New Roman" w:cs="Times New Roman"/>
          <w:sz w:val="24"/>
          <w:szCs w:val="24"/>
          <w:lang w:val="nb-NO"/>
        </w:rPr>
        <w:t xml:space="preserve">regnskapsoversikt for arrangementet.  </w:t>
      </w:r>
    </w:p>
    <w:p w14:paraId="25B67335" w14:textId="015037A5" w:rsidR="00F4218E" w:rsidRPr="00545991" w:rsidRDefault="003C6ADA" w:rsidP="003C6ADA">
      <w:pPr>
        <w:spacing w:line="360" w:lineRule="auto"/>
        <w:ind w:firstLine="708"/>
        <w:jc w:val="both"/>
        <w:rPr>
          <w:rFonts w:ascii="Times New Roman" w:hAnsi="Times New Roman" w:cs="Times New Roman"/>
          <w:sz w:val="24"/>
          <w:szCs w:val="24"/>
          <w:lang w:val="nb-NO"/>
        </w:rPr>
      </w:pPr>
      <w:r w:rsidRPr="007D28CE">
        <w:rPr>
          <w:rFonts w:ascii="Times New Roman" w:hAnsi="Times New Roman" w:cs="Times New Roman"/>
          <w:sz w:val="24"/>
          <w:szCs w:val="24"/>
          <w:lang w:val="nb-NO"/>
        </w:rPr>
        <w:t xml:space="preserve">Det neste avsnittet gir </w:t>
      </w:r>
      <w:r w:rsidR="007D28CE" w:rsidRPr="007D28CE">
        <w:rPr>
          <w:rFonts w:ascii="Times New Roman" w:hAnsi="Times New Roman" w:cs="Times New Roman"/>
          <w:sz w:val="24"/>
          <w:szCs w:val="24"/>
          <w:lang w:val="nb-NO"/>
        </w:rPr>
        <w:t xml:space="preserve">en kort </w:t>
      </w:r>
      <w:r w:rsidRPr="007D28CE">
        <w:rPr>
          <w:rFonts w:ascii="Times New Roman" w:hAnsi="Times New Roman" w:cs="Times New Roman"/>
          <w:sz w:val="24"/>
          <w:szCs w:val="24"/>
          <w:lang w:val="nb-NO"/>
        </w:rPr>
        <w:t xml:space="preserve">presentasjon av </w:t>
      </w:r>
      <w:r w:rsidR="00EF4329" w:rsidRPr="007D28CE">
        <w:rPr>
          <w:rFonts w:ascii="Times New Roman" w:hAnsi="Times New Roman" w:cs="Times New Roman"/>
          <w:sz w:val="24"/>
          <w:szCs w:val="24"/>
          <w:lang w:val="nb-NO"/>
        </w:rPr>
        <w:t>Sjakk</w:t>
      </w:r>
      <w:r w:rsidR="00F54186" w:rsidRPr="007D28CE">
        <w:rPr>
          <w:rFonts w:ascii="Times New Roman" w:hAnsi="Times New Roman" w:cs="Times New Roman"/>
          <w:sz w:val="24"/>
          <w:szCs w:val="24"/>
          <w:lang w:val="nb-NO"/>
        </w:rPr>
        <w:t>-</w:t>
      </w:r>
      <w:r w:rsidR="007D28CE" w:rsidRPr="007D28CE">
        <w:rPr>
          <w:rFonts w:ascii="Times New Roman" w:hAnsi="Times New Roman" w:cs="Times New Roman"/>
          <w:sz w:val="24"/>
          <w:szCs w:val="24"/>
          <w:lang w:val="nb-NO"/>
        </w:rPr>
        <w:t>OL og det</w:t>
      </w:r>
      <w:r w:rsidR="00EF4329" w:rsidRPr="007D28CE">
        <w:rPr>
          <w:rFonts w:ascii="Times New Roman" w:hAnsi="Times New Roman" w:cs="Times New Roman"/>
          <w:sz w:val="24"/>
          <w:szCs w:val="24"/>
          <w:lang w:val="nb-NO"/>
        </w:rPr>
        <w:t>s historie</w:t>
      </w:r>
      <w:r w:rsidR="00A52FAF" w:rsidRPr="007D28CE">
        <w:rPr>
          <w:rFonts w:ascii="Times New Roman" w:hAnsi="Times New Roman" w:cs="Times New Roman"/>
          <w:sz w:val="24"/>
          <w:szCs w:val="24"/>
          <w:lang w:val="nb-NO"/>
        </w:rPr>
        <w:t>.</w:t>
      </w:r>
      <w:r w:rsidR="00EF4329" w:rsidRPr="007D28CE">
        <w:rPr>
          <w:rFonts w:ascii="Times New Roman" w:hAnsi="Times New Roman" w:cs="Times New Roman"/>
          <w:sz w:val="24"/>
          <w:szCs w:val="24"/>
          <w:lang w:val="nb-NO"/>
        </w:rPr>
        <w:t xml:space="preserve"> </w:t>
      </w:r>
      <w:r w:rsidRPr="007D28CE">
        <w:rPr>
          <w:rFonts w:ascii="Times New Roman" w:hAnsi="Times New Roman" w:cs="Times New Roman"/>
          <w:sz w:val="24"/>
          <w:szCs w:val="24"/>
          <w:lang w:val="nb-NO"/>
        </w:rPr>
        <w:t>Deretter</w:t>
      </w:r>
      <w:r w:rsidR="00103E58" w:rsidRPr="007D28CE">
        <w:rPr>
          <w:rFonts w:ascii="Times New Roman" w:hAnsi="Times New Roman" w:cs="Times New Roman"/>
          <w:sz w:val="24"/>
          <w:szCs w:val="24"/>
          <w:lang w:val="nb-NO"/>
        </w:rPr>
        <w:t xml:space="preserve"> følger en </w:t>
      </w:r>
      <w:r w:rsidRPr="007D28CE">
        <w:rPr>
          <w:rFonts w:ascii="Times New Roman" w:hAnsi="Times New Roman" w:cs="Times New Roman"/>
          <w:sz w:val="24"/>
          <w:szCs w:val="24"/>
          <w:lang w:val="nb-NO"/>
        </w:rPr>
        <w:t xml:space="preserve">teoretisk drøfting </w:t>
      </w:r>
      <w:r w:rsidR="00545991" w:rsidRPr="007D28CE">
        <w:rPr>
          <w:rFonts w:ascii="Times New Roman" w:hAnsi="Times New Roman" w:cs="Times New Roman"/>
          <w:sz w:val="24"/>
          <w:szCs w:val="24"/>
          <w:lang w:val="nb-NO"/>
        </w:rPr>
        <w:t>av</w:t>
      </w:r>
      <w:r w:rsidR="00103E58" w:rsidRPr="007D28CE">
        <w:rPr>
          <w:rFonts w:ascii="Times New Roman" w:hAnsi="Times New Roman" w:cs="Times New Roman"/>
          <w:sz w:val="24"/>
          <w:szCs w:val="24"/>
          <w:lang w:val="nb-NO"/>
        </w:rPr>
        <w:t xml:space="preserve"> hvordan </w:t>
      </w:r>
      <w:r w:rsidR="007D28CE" w:rsidRPr="007D28CE">
        <w:rPr>
          <w:rFonts w:ascii="Times New Roman" w:hAnsi="Times New Roman" w:cs="Times New Roman"/>
          <w:sz w:val="24"/>
          <w:szCs w:val="24"/>
          <w:lang w:val="nb-NO"/>
        </w:rPr>
        <w:t>ø</w:t>
      </w:r>
      <w:r w:rsidR="00645BC5" w:rsidRPr="007D28CE">
        <w:rPr>
          <w:rFonts w:ascii="Times New Roman" w:hAnsi="Times New Roman" w:cs="Times New Roman"/>
          <w:sz w:val="24"/>
          <w:szCs w:val="24"/>
          <w:lang w:val="nb-NO"/>
        </w:rPr>
        <w:t xml:space="preserve">konomiske </w:t>
      </w:r>
      <w:r w:rsidR="00103E58" w:rsidRPr="007D28CE">
        <w:rPr>
          <w:rFonts w:ascii="Times New Roman" w:hAnsi="Times New Roman" w:cs="Times New Roman"/>
          <w:sz w:val="24"/>
          <w:szCs w:val="24"/>
          <w:lang w:val="nb-NO"/>
        </w:rPr>
        <w:t>ring</w:t>
      </w:r>
      <w:r w:rsidR="0084549C" w:rsidRPr="007D28CE">
        <w:rPr>
          <w:rFonts w:ascii="Times New Roman" w:hAnsi="Times New Roman" w:cs="Times New Roman"/>
          <w:sz w:val="24"/>
          <w:szCs w:val="24"/>
          <w:lang w:val="nb-NO"/>
        </w:rPr>
        <w:softHyphen/>
      </w:r>
      <w:r w:rsidR="00645BC5" w:rsidRPr="007D28CE">
        <w:rPr>
          <w:rFonts w:ascii="Times New Roman" w:hAnsi="Times New Roman" w:cs="Times New Roman"/>
          <w:sz w:val="24"/>
          <w:szCs w:val="24"/>
          <w:lang w:val="nb-NO"/>
        </w:rPr>
        <w:t>virkninge</w:t>
      </w:r>
      <w:r w:rsidR="0084549C" w:rsidRPr="007D28CE">
        <w:rPr>
          <w:rFonts w:ascii="Times New Roman" w:hAnsi="Times New Roman" w:cs="Times New Roman"/>
          <w:sz w:val="24"/>
          <w:szCs w:val="24"/>
          <w:lang w:val="nb-NO"/>
        </w:rPr>
        <w:t xml:space="preserve">r </w:t>
      </w:r>
      <w:r w:rsidR="007D28CE" w:rsidRPr="007D28CE">
        <w:rPr>
          <w:rFonts w:ascii="Times New Roman" w:hAnsi="Times New Roman" w:cs="Times New Roman"/>
          <w:sz w:val="24"/>
          <w:szCs w:val="24"/>
          <w:lang w:val="nb-NO"/>
        </w:rPr>
        <w:t xml:space="preserve">av slik </w:t>
      </w:r>
      <w:r w:rsidR="001E68D5" w:rsidRPr="007D28CE">
        <w:rPr>
          <w:rFonts w:ascii="Times New Roman" w:hAnsi="Times New Roman" w:cs="Times New Roman"/>
          <w:sz w:val="24"/>
          <w:szCs w:val="24"/>
          <w:lang w:val="nb-NO"/>
        </w:rPr>
        <w:t>arrangement</w:t>
      </w:r>
      <w:r w:rsidR="00103E58" w:rsidRPr="007D28CE">
        <w:rPr>
          <w:rFonts w:ascii="Times New Roman" w:hAnsi="Times New Roman" w:cs="Times New Roman"/>
          <w:sz w:val="24"/>
          <w:szCs w:val="24"/>
          <w:lang w:val="nb-NO"/>
        </w:rPr>
        <w:t xml:space="preserve"> </w:t>
      </w:r>
      <w:r w:rsidR="007D28CE" w:rsidRPr="007D28CE">
        <w:rPr>
          <w:rFonts w:ascii="Times New Roman" w:hAnsi="Times New Roman" w:cs="Times New Roman"/>
          <w:sz w:val="24"/>
          <w:szCs w:val="24"/>
          <w:lang w:val="nb-NO"/>
        </w:rPr>
        <w:t xml:space="preserve">bør måles, og en </w:t>
      </w:r>
      <w:r w:rsidR="001E68D5" w:rsidRPr="007D28CE">
        <w:rPr>
          <w:rFonts w:ascii="Times New Roman" w:hAnsi="Times New Roman" w:cs="Times New Roman"/>
          <w:sz w:val="24"/>
          <w:szCs w:val="24"/>
          <w:lang w:val="nb-NO"/>
        </w:rPr>
        <w:t xml:space="preserve">oversikt over datainnsamling og </w:t>
      </w:r>
      <w:r w:rsidR="00645BC5" w:rsidRPr="007D28CE">
        <w:rPr>
          <w:rFonts w:ascii="Times New Roman" w:hAnsi="Times New Roman" w:cs="Times New Roman"/>
          <w:sz w:val="24"/>
          <w:szCs w:val="24"/>
          <w:lang w:val="nb-NO"/>
        </w:rPr>
        <w:t>metoder</w:t>
      </w:r>
      <w:r w:rsidR="0084549C" w:rsidRPr="007D28CE">
        <w:rPr>
          <w:rFonts w:ascii="Times New Roman" w:hAnsi="Times New Roman" w:cs="Times New Roman"/>
          <w:sz w:val="24"/>
          <w:szCs w:val="24"/>
          <w:lang w:val="nb-NO"/>
        </w:rPr>
        <w:t xml:space="preserve"> som er benyttet i denne studien</w:t>
      </w:r>
      <w:r w:rsidR="00645BC5" w:rsidRPr="007D28CE">
        <w:rPr>
          <w:rFonts w:ascii="Times New Roman" w:hAnsi="Times New Roman" w:cs="Times New Roman"/>
          <w:sz w:val="24"/>
          <w:szCs w:val="24"/>
          <w:lang w:val="nb-NO"/>
        </w:rPr>
        <w:t xml:space="preserve">. </w:t>
      </w:r>
      <w:r w:rsidR="0084549C" w:rsidRPr="007D28CE">
        <w:rPr>
          <w:rFonts w:ascii="Times New Roman" w:hAnsi="Times New Roman" w:cs="Times New Roman"/>
          <w:sz w:val="24"/>
          <w:szCs w:val="24"/>
          <w:lang w:val="nb-NO"/>
        </w:rPr>
        <w:t>I</w:t>
      </w:r>
      <w:r w:rsidR="00545991" w:rsidRPr="007D28CE">
        <w:rPr>
          <w:rFonts w:ascii="Times New Roman" w:hAnsi="Times New Roman" w:cs="Times New Roman"/>
          <w:sz w:val="24"/>
          <w:szCs w:val="24"/>
          <w:lang w:val="nb-NO"/>
        </w:rPr>
        <w:t xml:space="preserve"> resultatkapittelet </w:t>
      </w:r>
      <w:r w:rsidR="00545991" w:rsidRPr="007D28CE">
        <w:rPr>
          <w:rFonts w:ascii="Times New Roman" w:hAnsi="Times New Roman" w:cs="Times New Roman"/>
          <w:sz w:val="24"/>
          <w:szCs w:val="24"/>
          <w:lang w:val="nb-NO"/>
        </w:rPr>
        <w:lastRenderedPageBreak/>
        <w:t>estimeres</w:t>
      </w:r>
      <w:r w:rsidR="0084549C" w:rsidRPr="007D28CE">
        <w:rPr>
          <w:rFonts w:ascii="Times New Roman" w:hAnsi="Times New Roman" w:cs="Times New Roman"/>
          <w:sz w:val="24"/>
          <w:szCs w:val="24"/>
          <w:lang w:val="nb-NO"/>
        </w:rPr>
        <w:t xml:space="preserve"> tilførsel</w:t>
      </w:r>
      <w:r w:rsidR="00545991" w:rsidRPr="007D28CE">
        <w:rPr>
          <w:rFonts w:ascii="Times New Roman" w:hAnsi="Times New Roman" w:cs="Times New Roman"/>
          <w:sz w:val="24"/>
          <w:szCs w:val="24"/>
          <w:lang w:val="nb-NO"/>
        </w:rPr>
        <w:t>en</w:t>
      </w:r>
      <w:r w:rsidR="0084549C" w:rsidRPr="007D28CE">
        <w:rPr>
          <w:rFonts w:ascii="Times New Roman" w:hAnsi="Times New Roman" w:cs="Times New Roman"/>
          <w:sz w:val="24"/>
          <w:szCs w:val="24"/>
          <w:lang w:val="nb-NO"/>
        </w:rPr>
        <w:t xml:space="preserve"> til Tromsø som følge av arrangementet</w:t>
      </w:r>
      <w:r w:rsidR="007D28CE" w:rsidRPr="007D28CE">
        <w:rPr>
          <w:rFonts w:ascii="Times New Roman" w:hAnsi="Times New Roman" w:cs="Times New Roman"/>
          <w:sz w:val="24"/>
          <w:szCs w:val="24"/>
          <w:lang w:val="nb-NO"/>
        </w:rPr>
        <w:t>, mens vi a</w:t>
      </w:r>
      <w:r w:rsidR="00832528" w:rsidRPr="007D28CE">
        <w:rPr>
          <w:rFonts w:ascii="Times New Roman" w:hAnsi="Times New Roman" w:cs="Times New Roman"/>
          <w:sz w:val="24"/>
          <w:szCs w:val="24"/>
          <w:lang w:val="nb-NO"/>
        </w:rPr>
        <w:t>vslutningsvis drøfte</w:t>
      </w:r>
      <w:r w:rsidR="007D28CE" w:rsidRPr="007D28CE">
        <w:rPr>
          <w:rFonts w:ascii="Times New Roman" w:hAnsi="Times New Roman" w:cs="Times New Roman"/>
          <w:sz w:val="24"/>
          <w:szCs w:val="24"/>
          <w:lang w:val="nb-NO"/>
        </w:rPr>
        <w:t>r</w:t>
      </w:r>
      <w:r w:rsidR="00832528" w:rsidRPr="007D28CE">
        <w:rPr>
          <w:rFonts w:ascii="Times New Roman" w:hAnsi="Times New Roman" w:cs="Times New Roman"/>
          <w:sz w:val="24"/>
          <w:szCs w:val="24"/>
          <w:lang w:val="nb-NO"/>
        </w:rPr>
        <w:t xml:space="preserve"> de økonomiske resultatene for vertsregionen. </w:t>
      </w:r>
    </w:p>
    <w:p w14:paraId="636E7A30" w14:textId="77777777" w:rsidR="00197DFD" w:rsidRDefault="00197DFD" w:rsidP="005C46D3">
      <w:pPr>
        <w:spacing w:line="360" w:lineRule="auto"/>
        <w:jc w:val="both"/>
        <w:rPr>
          <w:rFonts w:ascii="Times New Roman" w:hAnsi="Times New Roman" w:cs="Times New Roman"/>
          <w:sz w:val="24"/>
          <w:szCs w:val="24"/>
          <w:lang w:val="nb-NO"/>
        </w:rPr>
      </w:pPr>
    </w:p>
    <w:p w14:paraId="20527DA6" w14:textId="43E0DF8A" w:rsidR="0063040E" w:rsidRPr="00545991" w:rsidRDefault="00922181" w:rsidP="00197DFD">
      <w:pPr>
        <w:pStyle w:val="Overskrift1"/>
        <w:numPr>
          <w:ilvl w:val="0"/>
          <w:numId w:val="6"/>
        </w:numPr>
        <w:spacing w:line="360" w:lineRule="auto"/>
        <w:ind w:left="360"/>
        <w:rPr>
          <w:lang w:val="nb-NO"/>
        </w:rPr>
      </w:pPr>
      <w:r>
        <w:rPr>
          <w:lang w:val="nb-NO"/>
        </w:rPr>
        <w:t>Sjakk</w:t>
      </w:r>
      <w:r w:rsidR="00AB56E6">
        <w:rPr>
          <w:lang w:val="nb-NO"/>
        </w:rPr>
        <w:t>-OL</w:t>
      </w:r>
      <w:r w:rsidR="0027189C">
        <w:rPr>
          <w:lang w:val="nb-NO"/>
        </w:rPr>
        <w:t xml:space="preserve"> 2014</w:t>
      </w:r>
    </w:p>
    <w:p w14:paraId="17AB0699" w14:textId="24EC98B0" w:rsidR="00F44002" w:rsidRPr="00545991" w:rsidRDefault="000A002A" w:rsidP="00B871FF">
      <w:pPr>
        <w:spacing w:line="360" w:lineRule="auto"/>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Sjakk</w:t>
      </w:r>
      <w:r w:rsidR="00F54186" w:rsidRPr="00545991">
        <w:rPr>
          <w:rFonts w:ascii="Times New Roman" w:hAnsi="Times New Roman" w:cs="Times New Roman"/>
          <w:sz w:val="24"/>
          <w:szCs w:val="24"/>
          <w:lang w:val="nb-NO"/>
        </w:rPr>
        <w:t>-OL</w:t>
      </w:r>
      <w:r w:rsidR="000660D7" w:rsidRPr="00545991">
        <w:rPr>
          <w:rFonts w:ascii="Times New Roman" w:hAnsi="Times New Roman" w:cs="Times New Roman"/>
          <w:sz w:val="24"/>
          <w:szCs w:val="24"/>
          <w:lang w:val="nb-NO"/>
        </w:rPr>
        <w:t xml:space="preserve">, </w:t>
      </w:r>
      <w:r w:rsidR="00B871FF" w:rsidRPr="00545991">
        <w:rPr>
          <w:rFonts w:ascii="Times New Roman" w:hAnsi="Times New Roman" w:cs="Times New Roman"/>
          <w:sz w:val="24"/>
          <w:szCs w:val="24"/>
          <w:lang w:val="nb-NO"/>
        </w:rPr>
        <w:t>som er en lagturnering for nasjoner</w:t>
      </w:r>
      <w:r w:rsidR="000660D7" w:rsidRPr="00545991">
        <w:rPr>
          <w:rFonts w:ascii="Times New Roman" w:hAnsi="Times New Roman" w:cs="Times New Roman"/>
          <w:sz w:val="24"/>
          <w:szCs w:val="24"/>
          <w:lang w:val="nb-NO"/>
        </w:rPr>
        <w:t>,</w:t>
      </w:r>
      <w:r w:rsidR="00B871FF" w:rsidRPr="00545991">
        <w:rPr>
          <w:rFonts w:ascii="Times New Roman" w:hAnsi="Times New Roman" w:cs="Times New Roman"/>
          <w:sz w:val="24"/>
          <w:szCs w:val="24"/>
          <w:lang w:val="nb-NO"/>
        </w:rPr>
        <w:t xml:space="preserve"> </w:t>
      </w:r>
      <w:r w:rsidRPr="00545991">
        <w:rPr>
          <w:rFonts w:ascii="Times New Roman" w:hAnsi="Times New Roman" w:cs="Times New Roman"/>
          <w:sz w:val="24"/>
          <w:szCs w:val="24"/>
          <w:lang w:val="nb-NO"/>
        </w:rPr>
        <w:t>er v</w:t>
      </w:r>
      <w:r w:rsidR="003173A4" w:rsidRPr="00545991">
        <w:rPr>
          <w:rFonts w:ascii="Times New Roman" w:hAnsi="Times New Roman" w:cs="Times New Roman"/>
          <w:sz w:val="24"/>
          <w:szCs w:val="24"/>
          <w:lang w:val="nb-NO"/>
        </w:rPr>
        <w:t>erdens største sjakkturnering</w:t>
      </w:r>
      <w:r w:rsidR="00275478">
        <w:rPr>
          <w:rFonts w:ascii="Times New Roman" w:hAnsi="Times New Roman" w:cs="Times New Roman"/>
          <w:sz w:val="24"/>
          <w:szCs w:val="24"/>
          <w:lang w:val="nb-NO"/>
        </w:rPr>
        <w:t xml:space="preserve">. Den er </w:t>
      </w:r>
      <w:r w:rsidR="00AF5F01" w:rsidRPr="00545991">
        <w:rPr>
          <w:rFonts w:ascii="Times New Roman" w:hAnsi="Times New Roman" w:cs="Times New Roman"/>
          <w:sz w:val="24"/>
          <w:szCs w:val="24"/>
          <w:lang w:val="nb-NO"/>
        </w:rPr>
        <w:t>verdens fjerde største sportsarrangement målt i antall deltakende nasjoner</w:t>
      </w:r>
      <w:r w:rsidR="00AB56E6">
        <w:rPr>
          <w:rFonts w:ascii="Times New Roman" w:hAnsi="Times New Roman" w:cs="Times New Roman"/>
          <w:sz w:val="24"/>
          <w:szCs w:val="24"/>
          <w:lang w:val="nb-NO"/>
        </w:rPr>
        <w:t>,</w:t>
      </w:r>
      <w:r w:rsidR="00275478">
        <w:rPr>
          <w:rFonts w:ascii="Times New Roman" w:hAnsi="Times New Roman" w:cs="Times New Roman"/>
          <w:sz w:val="24"/>
          <w:szCs w:val="24"/>
          <w:lang w:val="nb-NO"/>
        </w:rPr>
        <w:t xml:space="preserve"> og</w:t>
      </w:r>
      <w:r w:rsidR="00AF5F01" w:rsidRPr="00545991">
        <w:rPr>
          <w:rFonts w:ascii="Times New Roman" w:hAnsi="Times New Roman" w:cs="Times New Roman"/>
          <w:sz w:val="24"/>
          <w:szCs w:val="24"/>
          <w:lang w:val="nb-NO"/>
        </w:rPr>
        <w:t xml:space="preserve"> </w:t>
      </w:r>
      <w:r w:rsidR="00275478" w:rsidRPr="00545991">
        <w:rPr>
          <w:rFonts w:ascii="Times New Roman" w:hAnsi="Times New Roman" w:cs="Times New Roman"/>
          <w:sz w:val="24"/>
          <w:szCs w:val="24"/>
          <w:lang w:val="nb-NO"/>
        </w:rPr>
        <w:t>avholdes hvert annet år</w:t>
      </w:r>
      <w:r w:rsidR="00275478">
        <w:rPr>
          <w:rFonts w:ascii="Times New Roman" w:hAnsi="Times New Roman" w:cs="Times New Roman"/>
          <w:sz w:val="24"/>
          <w:szCs w:val="24"/>
          <w:lang w:val="nb-NO"/>
        </w:rPr>
        <w:t xml:space="preserve">. </w:t>
      </w:r>
      <w:r w:rsidR="00AF5F01" w:rsidRPr="00545991">
        <w:rPr>
          <w:rFonts w:ascii="Times New Roman" w:hAnsi="Times New Roman" w:cs="Times New Roman"/>
          <w:sz w:val="24"/>
          <w:szCs w:val="24"/>
          <w:lang w:val="nb-NO"/>
        </w:rPr>
        <w:t>T</w:t>
      </w:r>
      <w:r w:rsidRPr="00545991">
        <w:rPr>
          <w:rFonts w:ascii="Times New Roman" w:hAnsi="Times New Roman" w:cs="Times New Roman"/>
          <w:sz w:val="24"/>
          <w:szCs w:val="24"/>
          <w:lang w:val="nb-NO"/>
        </w:rPr>
        <w:t xml:space="preserve">urneringen </w:t>
      </w:r>
      <w:r w:rsidR="003173A4" w:rsidRPr="00545991">
        <w:rPr>
          <w:rFonts w:ascii="Times New Roman" w:hAnsi="Times New Roman" w:cs="Times New Roman"/>
          <w:sz w:val="24"/>
          <w:szCs w:val="24"/>
          <w:lang w:val="nb-NO"/>
        </w:rPr>
        <w:t>i Tromsø</w:t>
      </w:r>
      <w:r w:rsidR="00C21FBA">
        <w:rPr>
          <w:rFonts w:ascii="Times New Roman" w:hAnsi="Times New Roman" w:cs="Times New Roman"/>
          <w:sz w:val="24"/>
          <w:szCs w:val="24"/>
          <w:lang w:val="nb-NO"/>
        </w:rPr>
        <w:t xml:space="preserve"> (</w:t>
      </w:r>
      <w:r w:rsidR="003173A4" w:rsidRPr="00545991">
        <w:rPr>
          <w:rFonts w:ascii="Times New Roman" w:hAnsi="Times New Roman" w:cs="Times New Roman"/>
          <w:sz w:val="24"/>
          <w:szCs w:val="24"/>
          <w:lang w:val="nb-NO"/>
        </w:rPr>
        <w:t>nummer 41 i rekken</w:t>
      </w:r>
      <w:r w:rsidR="00C21FBA">
        <w:rPr>
          <w:rFonts w:ascii="Times New Roman" w:hAnsi="Times New Roman" w:cs="Times New Roman"/>
          <w:sz w:val="24"/>
          <w:szCs w:val="24"/>
          <w:lang w:val="nb-NO"/>
        </w:rPr>
        <w:t>)</w:t>
      </w:r>
      <w:r w:rsidR="00F26340" w:rsidRPr="00545991">
        <w:rPr>
          <w:rFonts w:ascii="Times New Roman" w:hAnsi="Times New Roman" w:cs="Times New Roman"/>
          <w:sz w:val="24"/>
          <w:szCs w:val="24"/>
          <w:lang w:val="nb-NO"/>
        </w:rPr>
        <w:t xml:space="preserve"> var en </w:t>
      </w:r>
      <w:r w:rsidR="00B871FF" w:rsidRPr="00545991">
        <w:rPr>
          <w:rFonts w:ascii="Times New Roman" w:hAnsi="Times New Roman" w:cs="Times New Roman"/>
          <w:sz w:val="24"/>
          <w:szCs w:val="24"/>
          <w:lang w:val="nb-NO"/>
        </w:rPr>
        <w:t xml:space="preserve">del av </w:t>
      </w:r>
      <w:r w:rsidR="00932C66" w:rsidRPr="00545991">
        <w:rPr>
          <w:rFonts w:ascii="Times New Roman" w:hAnsi="Times New Roman" w:cs="Times New Roman"/>
          <w:sz w:val="24"/>
          <w:szCs w:val="24"/>
          <w:lang w:val="nb-NO"/>
        </w:rPr>
        <w:t xml:space="preserve">Norges Sjakkforbund (NSF) </w:t>
      </w:r>
      <w:r w:rsidR="00F26340" w:rsidRPr="00545991">
        <w:rPr>
          <w:rFonts w:ascii="Times New Roman" w:hAnsi="Times New Roman" w:cs="Times New Roman"/>
          <w:sz w:val="24"/>
          <w:szCs w:val="24"/>
          <w:lang w:val="nb-NO"/>
        </w:rPr>
        <w:t>si</w:t>
      </w:r>
      <w:r w:rsidR="006F32AA" w:rsidRPr="00545991">
        <w:rPr>
          <w:rFonts w:ascii="Times New Roman" w:hAnsi="Times New Roman" w:cs="Times New Roman"/>
          <w:sz w:val="24"/>
          <w:szCs w:val="24"/>
          <w:lang w:val="nb-NO"/>
        </w:rPr>
        <w:t xml:space="preserve">n </w:t>
      </w:r>
      <w:r w:rsidR="00F26340" w:rsidRPr="00545991">
        <w:rPr>
          <w:rFonts w:ascii="Times New Roman" w:hAnsi="Times New Roman" w:cs="Times New Roman"/>
          <w:sz w:val="24"/>
          <w:szCs w:val="24"/>
          <w:lang w:val="nb-NO"/>
        </w:rPr>
        <w:t>feiring a</w:t>
      </w:r>
      <w:r w:rsidR="006F32AA" w:rsidRPr="00545991">
        <w:rPr>
          <w:rFonts w:ascii="Times New Roman" w:hAnsi="Times New Roman" w:cs="Times New Roman"/>
          <w:sz w:val="24"/>
          <w:szCs w:val="24"/>
          <w:lang w:val="nb-NO"/>
        </w:rPr>
        <w:t>v</w:t>
      </w:r>
      <w:r w:rsidR="00F26340" w:rsidRPr="00545991">
        <w:rPr>
          <w:rFonts w:ascii="Times New Roman" w:hAnsi="Times New Roman" w:cs="Times New Roman"/>
          <w:sz w:val="24"/>
          <w:szCs w:val="24"/>
          <w:lang w:val="nb-NO"/>
        </w:rPr>
        <w:t xml:space="preserve"> </w:t>
      </w:r>
      <w:r w:rsidR="00932C66" w:rsidRPr="00545991">
        <w:rPr>
          <w:rFonts w:ascii="Times New Roman" w:hAnsi="Times New Roman" w:cs="Times New Roman"/>
          <w:sz w:val="24"/>
          <w:szCs w:val="24"/>
          <w:lang w:val="nb-NO"/>
        </w:rPr>
        <w:t>100</w:t>
      </w:r>
      <w:r w:rsidR="000660D7" w:rsidRPr="00545991">
        <w:rPr>
          <w:rFonts w:ascii="Times New Roman" w:hAnsi="Times New Roman" w:cs="Times New Roman"/>
          <w:sz w:val="24"/>
          <w:szCs w:val="24"/>
          <w:lang w:val="nb-NO"/>
        </w:rPr>
        <w:t>-</w:t>
      </w:r>
      <w:r w:rsidR="00932C66" w:rsidRPr="00545991">
        <w:rPr>
          <w:rFonts w:ascii="Times New Roman" w:hAnsi="Times New Roman" w:cs="Times New Roman"/>
          <w:sz w:val="24"/>
          <w:szCs w:val="24"/>
          <w:lang w:val="nb-NO"/>
        </w:rPr>
        <w:t xml:space="preserve">års </w:t>
      </w:r>
      <w:r w:rsidR="006F32AA" w:rsidRPr="00545991">
        <w:rPr>
          <w:rFonts w:ascii="Times New Roman" w:hAnsi="Times New Roman" w:cs="Times New Roman"/>
          <w:sz w:val="24"/>
          <w:szCs w:val="24"/>
          <w:lang w:val="nb-NO"/>
        </w:rPr>
        <w:t>jubileet</w:t>
      </w:r>
      <w:r w:rsidR="00932C66" w:rsidRPr="00545991">
        <w:rPr>
          <w:rFonts w:ascii="Times New Roman" w:hAnsi="Times New Roman" w:cs="Times New Roman"/>
          <w:sz w:val="24"/>
          <w:szCs w:val="24"/>
          <w:lang w:val="nb-NO"/>
        </w:rPr>
        <w:t xml:space="preserve"> i 2014. </w:t>
      </w:r>
      <w:r w:rsidR="00C21FBA">
        <w:rPr>
          <w:rFonts w:ascii="Times New Roman" w:hAnsi="Times New Roman" w:cs="Times New Roman"/>
          <w:sz w:val="24"/>
          <w:szCs w:val="24"/>
          <w:lang w:val="nb-NO"/>
        </w:rPr>
        <w:t xml:space="preserve">For </w:t>
      </w:r>
      <w:r w:rsidR="00F44002" w:rsidRPr="00545991">
        <w:rPr>
          <w:rFonts w:ascii="Times New Roman" w:hAnsi="Times New Roman" w:cs="Times New Roman"/>
          <w:sz w:val="24"/>
          <w:szCs w:val="24"/>
          <w:lang w:val="nb-NO"/>
        </w:rPr>
        <w:t xml:space="preserve">Tromsø </w:t>
      </w:r>
      <w:r w:rsidR="00AB56E6">
        <w:rPr>
          <w:rFonts w:ascii="Times New Roman" w:hAnsi="Times New Roman" w:cs="Times New Roman"/>
          <w:sz w:val="24"/>
          <w:szCs w:val="24"/>
          <w:lang w:val="nb-NO"/>
        </w:rPr>
        <w:t xml:space="preserve">by skulle turneringen være </w:t>
      </w:r>
      <w:r w:rsidR="00F26340" w:rsidRPr="00545991">
        <w:rPr>
          <w:rFonts w:ascii="Times New Roman" w:hAnsi="Times New Roman" w:cs="Times New Roman"/>
          <w:sz w:val="24"/>
          <w:szCs w:val="24"/>
          <w:lang w:val="nb-NO"/>
        </w:rPr>
        <w:t xml:space="preserve">en </w:t>
      </w:r>
      <w:r w:rsidR="00932C66" w:rsidRPr="00545991">
        <w:rPr>
          <w:rFonts w:ascii="Times New Roman" w:hAnsi="Times New Roman" w:cs="Times New Roman"/>
          <w:sz w:val="24"/>
          <w:szCs w:val="24"/>
          <w:lang w:val="nb-NO"/>
        </w:rPr>
        <w:t>del av forberedelsene mot å arrangere Vinter</w:t>
      </w:r>
      <w:r w:rsidR="000660D7" w:rsidRPr="00545991">
        <w:rPr>
          <w:rFonts w:ascii="Times New Roman" w:hAnsi="Times New Roman" w:cs="Times New Roman"/>
          <w:sz w:val="24"/>
          <w:szCs w:val="24"/>
          <w:lang w:val="nb-NO"/>
        </w:rPr>
        <w:t>-</w:t>
      </w:r>
      <w:r w:rsidR="00932C66" w:rsidRPr="00545991">
        <w:rPr>
          <w:rFonts w:ascii="Times New Roman" w:hAnsi="Times New Roman" w:cs="Times New Roman"/>
          <w:sz w:val="24"/>
          <w:szCs w:val="24"/>
          <w:lang w:val="nb-NO"/>
        </w:rPr>
        <w:t>OL i 2018</w:t>
      </w:r>
      <w:r w:rsidR="00B871FF" w:rsidRPr="00545991">
        <w:rPr>
          <w:rFonts w:ascii="Times New Roman" w:hAnsi="Times New Roman" w:cs="Times New Roman"/>
          <w:sz w:val="24"/>
          <w:szCs w:val="24"/>
          <w:lang w:val="nb-NO"/>
        </w:rPr>
        <w:t xml:space="preserve">, men disse planene ble </w:t>
      </w:r>
      <w:r w:rsidR="000660D7" w:rsidRPr="00545991">
        <w:rPr>
          <w:rFonts w:ascii="Times New Roman" w:hAnsi="Times New Roman" w:cs="Times New Roman"/>
          <w:sz w:val="24"/>
          <w:szCs w:val="24"/>
          <w:lang w:val="nb-NO"/>
        </w:rPr>
        <w:t xml:space="preserve">som kjent </w:t>
      </w:r>
      <w:r w:rsidR="00B871FF" w:rsidRPr="00545991">
        <w:rPr>
          <w:rFonts w:ascii="Times New Roman" w:hAnsi="Times New Roman" w:cs="Times New Roman"/>
          <w:sz w:val="24"/>
          <w:szCs w:val="24"/>
          <w:lang w:val="nb-NO"/>
        </w:rPr>
        <w:t>forkastet da s</w:t>
      </w:r>
      <w:r w:rsidR="00F44002" w:rsidRPr="00545991">
        <w:rPr>
          <w:rFonts w:ascii="Times New Roman" w:hAnsi="Times New Roman" w:cs="Times New Roman"/>
          <w:sz w:val="24"/>
          <w:szCs w:val="24"/>
          <w:lang w:val="nb-NO"/>
        </w:rPr>
        <w:t xml:space="preserve">tyret i Norges Idrettsforbund trakk </w:t>
      </w:r>
      <w:r w:rsidR="000660D7" w:rsidRPr="00545991">
        <w:rPr>
          <w:rFonts w:ascii="Times New Roman" w:hAnsi="Times New Roman" w:cs="Times New Roman"/>
          <w:sz w:val="24"/>
          <w:szCs w:val="24"/>
          <w:lang w:val="nb-NO"/>
        </w:rPr>
        <w:t>OL-</w:t>
      </w:r>
      <w:r w:rsidR="00F44002" w:rsidRPr="00545991">
        <w:rPr>
          <w:rFonts w:ascii="Times New Roman" w:hAnsi="Times New Roman" w:cs="Times New Roman"/>
          <w:sz w:val="24"/>
          <w:szCs w:val="24"/>
          <w:lang w:val="nb-NO"/>
        </w:rPr>
        <w:t>søknaden i oktober, 2008</w:t>
      </w:r>
      <w:r w:rsidR="00757A39" w:rsidRPr="00545991">
        <w:rPr>
          <w:rStyle w:val="Fotnotereferanse"/>
          <w:rFonts w:ascii="Times New Roman" w:hAnsi="Times New Roman" w:cs="Times New Roman"/>
          <w:sz w:val="24"/>
          <w:szCs w:val="24"/>
          <w:lang w:val="nb-NO"/>
        </w:rPr>
        <w:footnoteReference w:id="1"/>
      </w:r>
      <w:r w:rsidR="00B871FF" w:rsidRPr="00545991">
        <w:rPr>
          <w:rFonts w:ascii="Times New Roman" w:hAnsi="Times New Roman" w:cs="Times New Roman"/>
          <w:sz w:val="24"/>
          <w:szCs w:val="24"/>
          <w:lang w:val="nb-NO"/>
        </w:rPr>
        <w:t>.</w:t>
      </w:r>
      <w:r w:rsidR="00F44002" w:rsidRPr="00545991">
        <w:rPr>
          <w:rFonts w:ascii="Times New Roman" w:hAnsi="Times New Roman" w:cs="Times New Roman"/>
          <w:sz w:val="24"/>
          <w:szCs w:val="24"/>
          <w:lang w:val="nb-NO"/>
        </w:rPr>
        <w:t xml:space="preserve">  </w:t>
      </w:r>
    </w:p>
    <w:p w14:paraId="1728E564" w14:textId="68A55449" w:rsidR="004C7902" w:rsidRPr="00545991" w:rsidRDefault="00F26340" w:rsidP="00932C66">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I mai 2008 ble det etablert en arrangementsorganisasjon </w:t>
      </w:r>
      <w:r w:rsidR="00932C66" w:rsidRPr="00545991">
        <w:rPr>
          <w:rFonts w:ascii="Times New Roman" w:hAnsi="Times New Roman" w:cs="Times New Roman"/>
          <w:sz w:val="24"/>
          <w:szCs w:val="24"/>
          <w:lang w:val="nb-NO"/>
        </w:rPr>
        <w:t>(heretter kalt COT2014)</w:t>
      </w:r>
      <w:r w:rsidR="00B871FF" w:rsidRPr="00545991">
        <w:rPr>
          <w:rFonts w:ascii="Times New Roman" w:hAnsi="Times New Roman" w:cs="Times New Roman"/>
          <w:sz w:val="24"/>
          <w:szCs w:val="24"/>
          <w:lang w:val="nb-NO"/>
        </w:rPr>
        <w:t xml:space="preserve"> </w:t>
      </w:r>
      <w:r w:rsidR="00F44002" w:rsidRPr="00545991">
        <w:rPr>
          <w:rFonts w:ascii="Times New Roman" w:hAnsi="Times New Roman" w:cs="Times New Roman"/>
          <w:sz w:val="24"/>
          <w:szCs w:val="24"/>
          <w:lang w:val="nb-NO"/>
        </w:rPr>
        <w:t>med Tromsø kommune (90%) og Norges Sjakkforbund (10%) som eiere</w:t>
      </w:r>
      <w:r w:rsidR="00932C66" w:rsidRPr="00545991">
        <w:rPr>
          <w:rFonts w:ascii="Times New Roman" w:hAnsi="Times New Roman" w:cs="Times New Roman"/>
          <w:sz w:val="24"/>
          <w:szCs w:val="24"/>
          <w:lang w:val="nb-NO"/>
        </w:rPr>
        <w:t>.</w:t>
      </w:r>
      <w:r w:rsidR="000B0112" w:rsidRPr="00545991">
        <w:rPr>
          <w:rFonts w:ascii="Times New Roman" w:hAnsi="Times New Roman" w:cs="Times New Roman"/>
          <w:sz w:val="24"/>
          <w:szCs w:val="24"/>
          <w:lang w:val="nb-NO"/>
        </w:rPr>
        <w:t xml:space="preserve"> </w:t>
      </w:r>
      <w:r w:rsidR="00B871FF" w:rsidRPr="00545991">
        <w:rPr>
          <w:rFonts w:ascii="Times New Roman" w:hAnsi="Times New Roman" w:cs="Times New Roman"/>
          <w:caps/>
          <w:sz w:val="24"/>
          <w:szCs w:val="24"/>
          <w:lang w:val="nb-NO"/>
        </w:rPr>
        <w:t>A</w:t>
      </w:r>
      <w:r w:rsidR="00786C04" w:rsidRPr="00545991">
        <w:rPr>
          <w:rFonts w:ascii="Times New Roman" w:hAnsi="Times New Roman" w:cs="Times New Roman"/>
          <w:sz w:val="24"/>
          <w:szCs w:val="24"/>
          <w:lang w:val="nb-NO"/>
        </w:rPr>
        <w:t xml:space="preserve">rrangementet </w:t>
      </w:r>
      <w:r w:rsidR="000B0112" w:rsidRPr="00545991">
        <w:rPr>
          <w:rFonts w:ascii="Times New Roman" w:hAnsi="Times New Roman" w:cs="Times New Roman"/>
          <w:sz w:val="24"/>
          <w:szCs w:val="24"/>
          <w:lang w:val="nb-NO"/>
        </w:rPr>
        <w:t xml:space="preserve">var </w:t>
      </w:r>
      <w:r w:rsidR="006F32AA" w:rsidRPr="00545991">
        <w:rPr>
          <w:rFonts w:ascii="Times New Roman" w:hAnsi="Times New Roman" w:cs="Times New Roman"/>
          <w:sz w:val="24"/>
          <w:szCs w:val="24"/>
          <w:lang w:val="nb-NO"/>
        </w:rPr>
        <w:t xml:space="preserve">for </w:t>
      </w:r>
      <w:r w:rsidR="00F44002" w:rsidRPr="00545991">
        <w:rPr>
          <w:rFonts w:ascii="Times New Roman" w:hAnsi="Times New Roman" w:cs="Times New Roman"/>
          <w:sz w:val="24"/>
          <w:szCs w:val="24"/>
          <w:lang w:val="nb-NO"/>
        </w:rPr>
        <w:t>k</w:t>
      </w:r>
      <w:r w:rsidR="00786C04" w:rsidRPr="00545991">
        <w:rPr>
          <w:rFonts w:ascii="Times New Roman" w:hAnsi="Times New Roman" w:cs="Times New Roman"/>
          <w:sz w:val="24"/>
          <w:szCs w:val="24"/>
          <w:lang w:val="nb-NO"/>
        </w:rPr>
        <w:t xml:space="preserve">ostnadskrevende </w:t>
      </w:r>
      <w:r w:rsidR="006F32AA" w:rsidRPr="00545991">
        <w:rPr>
          <w:rFonts w:ascii="Times New Roman" w:hAnsi="Times New Roman" w:cs="Times New Roman"/>
          <w:sz w:val="24"/>
          <w:szCs w:val="24"/>
          <w:lang w:val="nb-NO"/>
        </w:rPr>
        <w:t xml:space="preserve">til at eierne kunne finansiere det, og derfor ble det </w:t>
      </w:r>
      <w:r w:rsidR="00F44002" w:rsidRPr="00545991">
        <w:rPr>
          <w:rFonts w:ascii="Times New Roman" w:hAnsi="Times New Roman" w:cs="Times New Roman"/>
          <w:sz w:val="24"/>
          <w:szCs w:val="24"/>
          <w:lang w:val="nb-NO"/>
        </w:rPr>
        <w:t>i mai</w:t>
      </w:r>
      <w:r w:rsidR="00932C66" w:rsidRPr="00545991">
        <w:rPr>
          <w:rFonts w:ascii="Times New Roman" w:hAnsi="Times New Roman" w:cs="Times New Roman"/>
          <w:sz w:val="24"/>
          <w:szCs w:val="24"/>
          <w:lang w:val="nb-NO"/>
        </w:rPr>
        <w:t xml:space="preserve"> 2009 søkt om tilskudd </w:t>
      </w:r>
      <w:r w:rsidR="00F44002" w:rsidRPr="00545991">
        <w:rPr>
          <w:rFonts w:ascii="Times New Roman" w:hAnsi="Times New Roman" w:cs="Times New Roman"/>
          <w:sz w:val="24"/>
          <w:szCs w:val="24"/>
          <w:lang w:val="nb-NO"/>
        </w:rPr>
        <w:t xml:space="preserve">på 70 millioner </w:t>
      </w:r>
      <w:r w:rsidR="000660D7" w:rsidRPr="00545991">
        <w:rPr>
          <w:rFonts w:ascii="Times New Roman" w:hAnsi="Times New Roman" w:cs="Times New Roman"/>
          <w:sz w:val="24"/>
          <w:szCs w:val="24"/>
          <w:lang w:val="nb-NO"/>
        </w:rPr>
        <w:t xml:space="preserve">kroner </w:t>
      </w:r>
      <w:r w:rsidR="00932C66" w:rsidRPr="00545991">
        <w:rPr>
          <w:rFonts w:ascii="Times New Roman" w:hAnsi="Times New Roman" w:cs="Times New Roman"/>
          <w:sz w:val="24"/>
          <w:szCs w:val="24"/>
          <w:lang w:val="nb-NO"/>
        </w:rPr>
        <w:t>fra Kulturdepartementet</w:t>
      </w:r>
      <w:r w:rsidR="000660D7" w:rsidRPr="00545991">
        <w:rPr>
          <w:rFonts w:ascii="Times New Roman" w:hAnsi="Times New Roman" w:cs="Times New Roman"/>
          <w:sz w:val="24"/>
          <w:szCs w:val="24"/>
          <w:lang w:val="nb-NO"/>
        </w:rPr>
        <w:t xml:space="preserve"> (KUD)</w:t>
      </w:r>
      <w:r w:rsidR="00F44002" w:rsidRPr="00545991">
        <w:rPr>
          <w:rFonts w:ascii="Times New Roman" w:hAnsi="Times New Roman" w:cs="Times New Roman"/>
          <w:sz w:val="24"/>
          <w:szCs w:val="24"/>
          <w:lang w:val="nb-NO"/>
        </w:rPr>
        <w:t xml:space="preserve">. </w:t>
      </w:r>
      <w:r w:rsidR="00786C04" w:rsidRPr="00545991">
        <w:rPr>
          <w:rFonts w:ascii="Times New Roman" w:hAnsi="Times New Roman" w:cs="Times New Roman"/>
          <w:sz w:val="24"/>
          <w:szCs w:val="24"/>
          <w:lang w:val="nb-NO"/>
        </w:rPr>
        <w:t>S</w:t>
      </w:r>
      <w:r w:rsidR="00932C66" w:rsidRPr="00545991">
        <w:rPr>
          <w:rFonts w:ascii="Times New Roman" w:hAnsi="Times New Roman" w:cs="Times New Roman"/>
          <w:sz w:val="24"/>
          <w:szCs w:val="24"/>
          <w:lang w:val="nb-NO"/>
        </w:rPr>
        <w:t>øknaden ble innvilget av Stortinget i juni, 2010</w:t>
      </w:r>
      <w:r w:rsidR="00F44002" w:rsidRPr="00545991">
        <w:rPr>
          <w:rFonts w:ascii="Times New Roman" w:hAnsi="Times New Roman" w:cs="Times New Roman"/>
          <w:sz w:val="24"/>
          <w:szCs w:val="24"/>
          <w:lang w:val="nb-NO"/>
        </w:rPr>
        <w:t>,</w:t>
      </w:r>
      <w:r w:rsidR="00786C04" w:rsidRPr="00545991">
        <w:rPr>
          <w:rFonts w:ascii="Times New Roman" w:hAnsi="Times New Roman" w:cs="Times New Roman"/>
          <w:sz w:val="24"/>
          <w:szCs w:val="24"/>
          <w:lang w:val="nb-NO"/>
        </w:rPr>
        <w:t xml:space="preserve"> og det ble senere </w:t>
      </w:r>
      <w:r w:rsidR="00932C66" w:rsidRPr="00545991">
        <w:rPr>
          <w:rFonts w:ascii="Times New Roman" w:hAnsi="Times New Roman" w:cs="Times New Roman"/>
          <w:sz w:val="24"/>
          <w:szCs w:val="24"/>
          <w:lang w:val="nb-NO"/>
        </w:rPr>
        <w:t xml:space="preserve">bevilget ytterligere 5 millioner </w:t>
      </w:r>
      <w:r w:rsidR="000660D7" w:rsidRPr="00545991">
        <w:rPr>
          <w:rFonts w:ascii="Times New Roman" w:hAnsi="Times New Roman" w:cs="Times New Roman"/>
          <w:sz w:val="24"/>
          <w:szCs w:val="24"/>
          <w:lang w:val="nb-NO"/>
        </w:rPr>
        <w:t xml:space="preserve">kroner </w:t>
      </w:r>
      <w:r w:rsidR="00932C66" w:rsidRPr="00545991">
        <w:rPr>
          <w:rFonts w:ascii="Times New Roman" w:hAnsi="Times New Roman" w:cs="Times New Roman"/>
          <w:sz w:val="24"/>
          <w:szCs w:val="24"/>
          <w:lang w:val="nb-NO"/>
        </w:rPr>
        <w:t xml:space="preserve">til seremonier og kulturarrangementer. </w:t>
      </w:r>
      <w:r w:rsidR="00B871FF" w:rsidRPr="00545991">
        <w:rPr>
          <w:rFonts w:ascii="Times New Roman" w:hAnsi="Times New Roman" w:cs="Times New Roman"/>
          <w:sz w:val="24"/>
          <w:szCs w:val="24"/>
          <w:lang w:val="nb-NO"/>
        </w:rPr>
        <w:t xml:space="preserve">Etter at </w:t>
      </w:r>
      <w:r w:rsidRPr="00545991">
        <w:rPr>
          <w:rFonts w:ascii="Times New Roman" w:hAnsi="Times New Roman" w:cs="Times New Roman"/>
          <w:sz w:val="24"/>
          <w:szCs w:val="24"/>
          <w:lang w:val="nb-NO"/>
        </w:rPr>
        <w:t>finansierings</w:t>
      </w:r>
      <w:r w:rsidR="00B871FF" w:rsidRPr="00545991">
        <w:rPr>
          <w:rFonts w:ascii="Times New Roman" w:hAnsi="Times New Roman" w:cs="Times New Roman"/>
          <w:sz w:val="24"/>
          <w:szCs w:val="24"/>
          <w:lang w:val="nb-NO"/>
        </w:rPr>
        <w:t xml:space="preserve">søknaden var </w:t>
      </w:r>
      <w:r w:rsidRPr="00545991">
        <w:rPr>
          <w:rFonts w:ascii="Times New Roman" w:hAnsi="Times New Roman" w:cs="Times New Roman"/>
          <w:sz w:val="24"/>
          <w:szCs w:val="24"/>
          <w:lang w:val="nb-NO"/>
        </w:rPr>
        <w:t>levert</w:t>
      </w:r>
      <w:r w:rsidR="006F32AA" w:rsidRPr="00545991">
        <w:rPr>
          <w:rFonts w:ascii="Times New Roman" w:hAnsi="Times New Roman" w:cs="Times New Roman"/>
          <w:sz w:val="24"/>
          <w:szCs w:val="24"/>
          <w:lang w:val="nb-NO"/>
        </w:rPr>
        <w:t xml:space="preserve">, men før </w:t>
      </w:r>
      <w:r w:rsidR="00275478">
        <w:rPr>
          <w:rFonts w:ascii="Times New Roman" w:hAnsi="Times New Roman" w:cs="Times New Roman"/>
          <w:sz w:val="24"/>
          <w:szCs w:val="24"/>
          <w:lang w:val="nb-NO"/>
        </w:rPr>
        <w:t xml:space="preserve">arrangementet ble </w:t>
      </w:r>
      <w:r w:rsidR="00C21FBA">
        <w:rPr>
          <w:rFonts w:ascii="Times New Roman" w:hAnsi="Times New Roman" w:cs="Times New Roman"/>
          <w:sz w:val="24"/>
          <w:szCs w:val="24"/>
          <w:lang w:val="nb-NO"/>
        </w:rPr>
        <w:t>tildel</w:t>
      </w:r>
      <w:r w:rsidR="00275478">
        <w:rPr>
          <w:rFonts w:ascii="Times New Roman" w:hAnsi="Times New Roman" w:cs="Times New Roman"/>
          <w:sz w:val="24"/>
          <w:szCs w:val="24"/>
          <w:lang w:val="nb-NO"/>
        </w:rPr>
        <w:t>t</w:t>
      </w:r>
      <w:r w:rsidR="00C21FBA">
        <w:rPr>
          <w:rFonts w:ascii="Times New Roman" w:hAnsi="Times New Roman" w:cs="Times New Roman"/>
          <w:sz w:val="24"/>
          <w:szCs w:val="24"/>
          <w:lang w:val="nb-NO"/>
        </w:rPr>
        <w:t xml:space="preserve">, </w:t>
      </w:r>
      <w:r w:rsidR="00B871FF" w:rsidRPr="00545991">
        <w:rPr>
          <w:rFonts w:ascii="Times New Roman" w:hAnsi="Times New Roman" w:cs="Times New Roman"/>
          <w:sz w:val="24"/>
          <w:szCs w:val="24"/>
          <w:lang w:val="nb-NO"/>
        </w:rPr>
        <w:t>best</w:t>
      </w:r>
      <w:r w:rsidR="00F44002" w:rsidRPr="00545991">
        <w:rPr>
          <w:rFonts w:ascii="Times New Roman" w:hAnsi="Times New Roman" w:cs="Times New Roman"/>
          <w:sz w:val="24"/>
          <w:szCs w:val="24"/>
          <w:lang w:val="nb-NO"/>
        </w:rPr>
        <w:t xml:space="preserve">emte </w:t>
      </w:r>
      <w:r w:rsidR="000660D7" w:rsidRPr="00545991">
        <w:rPr>
          <w:rFonts w:ascii="Times New Roman" w:hAnsi="Times New Roman" w:cs="Times New Roman"/>
          <w:sz w:val="24"/>
          <w:szCs w:val="24"/>
          <w:lang w:val="nb-NO"/>
        </w:rPr>
        <w:t>Det internasjonale sjakkforbundet (</w:t>
      </w:r>
      <w:r w:rsidR="000707BC" w:rsidRPr="00545991">
        <w:rPr>
          <w:rFonts w:ascii="Times New Roman" w:hAnsi="Times New Roman" w:cs="Times New Roman"/>
          <w:sz w:val="24"/>
          <w:szCs w:val="24"/>
          <w:lang w:val="nb-NO"/>
        </w:rPr>
        <w:t>FIDE</w:t>
      </w:r>
      <w:r w:rsidR="000660D7" w:rsidRPr="00545991">
        <w:rPr>
          <w:rFonts w:ascii="Times New Roman" w:hAnsi="Times New Roman" w:cs="Times New Roman"/>
          <w:sz w:val="24"/>
          <w:szCs w:val="24"/>
          <w:lang w:val="nb-NO"/>
        </w:rPr>
        <w:t>)</w:t>
      </w:r>
      <w:r w:rsidR="000707BC" w:rsidRPr="00545991">
        <w:rPr>
          <w:rFonts w:ascii="Times New Roman" w:hAnsi="Times New Roman" w:cs="Times New Roman"/>
          <w:sz w:val="24"/>
          <w:szCs w:val="24"/>
          <w:lang w:val="nb-NO"/>
        </w:rPr>
        <w:t xml:space="preserve"> at arrangøren av</w:t>
      </w:r>
      <w:r w:rsidR="000660D7" w:rsidRPr="00545991">
        <w:rPr>
          <w:rFonts w:ascii="Times New Roman" w:hAnsi="Times New Roman" w:cs="Times New Roman"/>
          <w:sz w:val="24"/>
          <w:szCs w:val="24"/>
          <w:lang w:val="nb-NO"/>
        </w:rPr>
        <w:t xml:space="preserve"> Sjakk-OL 2014 </w:t>
      </w:r>
      <w:r w:rsidR="000707BC" w:rsidRPr="00545991">
        <w:rPr>
          <w:rFonts w:ascii="Times New Roman" w:hAnsi="Times New Roman" w:cs="Times New Roman"/>
          <w:sz w:val="24"/>
          <w:szCs w:val="24"/>
          <w:lang w:val="nb-NO"/>
        </w:rPr>
        <w:t xml:space="preserve">også måtte avholde </w:t>
      </w:r>
      <w:r w:rsidR="009018FD" w:rsidRPr="00545991">
        <w:rPr>
          <w:rFonts w:ascii="Times New Roman" w:hAnsi="Times New Roman" w:cs="Times New Roman"/>
          <w:sz w:val="24"/>
          <w:szCs w:val="24"/>
          <w:lang w:val="nb-NO"/>
        </w:rPr>
        <w:t xml:space="preserve">FIDE </w:t>
      </w:r>
      <w:r w:rsidR="000707BC" w:rsidRPr="00545991">
        <w:rPr>
          <w:rFonts w:ascii="Times New Roman" w:hAnsi="Times New Roman" w:cs="Times New Roman"/>
          <w:sz w:val="24"/>
          <w:szCs w:val="24"/>
          <w:lang w:val="nb-NO"/>
        </w:rPr>
        <w:t xml:space="preserve">World </w:t>
      </w:r>
      <w:r w:rsidR="009018FD" w:rsidRPr="00545991">
        <w:rPr>
          <w:rFonts w:ascii="Times New Roman" w:hAnsi="Times New Roman" w:cs="Times New Roman"/>
          <w:sz w:val="24"/>
          <w:szCs w:val="24"/>
          <w:lang w:val="nb-NO"/>
        </w:rPr>
        <w:t>Chess C</w:t>
      </w:r>
      <w:r w:rsidR="000707BC" w:rsidRPr="00545991">
        <w:rPr>
          <w:rFonts w:ascii="Times New Roman" w:hAnsi="Times New Roman" w:cs="Times New Roman"/>
          <w:sz w:val="24"/>
          <w:szCs w:val="24"/>
          <w:lang w:val="nb-NO"/>
        </w:rPr>
        <w:t>up i 2013</w:t>
      </w:r>
      <w:r w:rsidR="006F32AA" w:rsidRPr="00545991">
        <w:rPr>
          <w:rFonts w:ascii="Times New Roman" w:hAnsi="Times New Roman" w:cs="Times New Roman"/>
          <w:sz w:val="24"/>
          <w:szCs w:val="24"/>
          <w:lang w:val="nb-NO"/>
        </w:rPr>
        <w:t xml:space="preserve">. </w:t>
      </w:r>
      <w:r w:rsidR="00E95D4F" w:rsidRPr="00545991">
        <w:rPr>
          <w:rFonts w:ascii="Times New Roman" w:hAnsi="Times New Roman" w:cs="Times New Roman"/>
          <w:sz w:val="24"/>
          <w:szCs w:val="24"/>
          <w:lang w:val="nb-NO"/>
        </w:rPr>
        <w:t>De</w:t>
      </w:r>
      <w:r w:rsidR="00C21FBA">
        <w:rPr>
          <w:rFonts w:ascii="Times New Roman" w:hAnsi="Times New Roman" w:cs="Times New Roman"/>
          <w:sz w:val="24"/>
          <w:szCs w:val="24"/>
          <w:lang w:val="nb-NO"/>
        </w:rPr>
        <w:t>t</w:t>
      </w:r>
      <w:r w:rsidR="00E95D4F" w:rsidRPr="00545991">
        <w:rPr>
          <w:rFonts w:ascii="Times New Roman" w:hAnsi="Times New Roman" w:cs="Times New Roman"/>
          <w:sz w:val="24"/>
          <w:szCs w:val="24"/>
          <w:lang w:val="nb-NO"/>
        </w:rPr>
        <w:t>t</w:t>
      </w:r>
      <w:r w:rsidR="00C21FBA">
        <w:rPr>
          <w:rFonts w:ascii="Times New Roman" w:hAnsi="Times New Roman" w:cs="Times New Roman"/>
          <w:sz w:val="24"/>
          <w:szCs w:val="24"/>
          <w:lang w:val="nb-NO"/>
        </w:rPr>
        <w:t>e</w:t>
      </w:r>
      <w:r w:rsidR="00E95D4F" w:rsidRPr="00545991">
        <w:rPr>
          <w:rFonts w:ascii="Times New Roman" w:hAnsi="Times New Roman" w:cs="Times New Roman"/>
          <w:sz w:val="24"/>
          <w:szCs w:val="24"/>
          <w:lang w:val="nb-NO"/>
        </w:rPr>
        <w:t xml:space="preserve"> var en kostnadskrevende turnering</w:t>
      </w:r>
      <w:r w:rsidR="00F01BA3" w:rsidRPr="00545991">
        <w:rPr>
          <w:rFonts w:ascii="Times New Roman" w:hAnsi="Times New Roman" w:cs="Times New Roman"/>
          <w:sz w:val="24"/>
          <w:szCs w:val="24"/>
          <w:lang w:val="nb-NO"/>
        </w:rPr>
        <w:t>, med pengepremier og avgifter til FIDE som de største enkeltpostene</w:t>
      </w:r>
      <w:r w:rsidR="006F32AA" w:rsidRPr="00545991">
        <w:rPr>
          <w:rFonts w:ascii="Times New Roman" w:hAnsi="Times New Roman" w:cs="Times New Roman"/>
          <w:sz w:val="24"/>
          <w:szCs w:val="24"/>
          <w:lang w:val="nb-NO"/>
        </w:rPr>
        <w:t>. I tillegg måtte man finansiere oppholdsutgiftene til spillerne. Inntektsmulighetene var be</w:t>
      </w:r>
      <w:r w:rsidR="00B871FF" w:rsidRPr="00545991">
        <w:rPr>
          <w:rFonts w:ascii="Times New Roman" w:hAnsi="Times New Roman" w:cs="Times New Roman"/>
          <w:sz w:val="24"/>
          <w:szCs w:val="24"/>
          <w:lang w:val="nb-NO"/>
        </w:rPr>
        <w:t>grense</w:t>
      </w:r>
      <w:r w:rsidR="006F32AA" w:rsidRPr="00545991">
        <w:rPr>
          <w:rFonts w:ascii="Times New Roman" w:hAnsi="Times New Roman" w:cs="Times New Roman"/>
          <w:sz w:val="24"/>
          <w:szCs w:val="24"/>
          <w:lang w:val="nb-NO"/>
        </w:rPr>
        <w:t xml:space="preserve">t, og derfor </w:t>
      </w:r>
      <w:r w:rsidR="00F01BA3" w:rsidRPr="00545991">
        <w:rPr>
          <w:rFonts w:ascii="Times New Roman" w:hAnsi="Times New Roman" w:cs="Times New Roman"/>
          <w:sz w:val="24"/>
          <w:szCs w:val="24"/>
          <w:lang w:val="nb-NO"/>
        </w:rPr>
        <w:t>ønsket</w:t>
      </w:r>
      <w:r w:rsidR="00B871FF" w:rsidRPr="00545991">
        <w:rPr>
          <w:rFonts w:ascii="Times New Roman" w:hAnsi="Times New Roman" w:cs="Times New Roman"/>
          <w:sz w:val="24"/>
          <w:szCs w:val="24"/>
          <w:lang w:val="nb-NO"/>
        </w:rPr>
        <w:t xml:space="preserve"> </w:t>
      </w:r>
      <w:r w:rsidR="000B4665" w:rsidRPr="00545991">
        <w:rPr>
          <w:rFonts w:ascii="Times New Roman" w:hAnsi="Times New Roman" w:cs="Times New Roman"/>
          <w:sz w:val="24"/>
          <w:szCs w:val="24"/>
          <w:lang w:val="nb-NO"/>
        </w:rPr>
        <w:t xml:space="preserve">COT2014 </w:t>
      </w:r>
      <w:r w:rsidR="006F32AA" w:rsidRPr="00545991">
        <w:rPr>
          <w:rFonts w:ascii="Times New Roman" w:hAnsi="Times New Roman" w:cs="Times New Roman"/>
          <w:sz w:val="24"/>
          <w:szCs w:val="24"/>
          <w:lang w:val="nb-NO"/>
        </w:rPr>
        <w:t xml:space="preserve">ikke </w:t>
      </w:r>
      <w:r w:rsidRPr="00545991">
        <w:rPr>
          <w:rFonts w:ascii="Times New Roman" w:hAnsi="Times New Roman" w:cs="Times New Roman"/>
          <w:sz w:val="24"/>
          <w:szCs w:val="24"/>
          <w:lang w:val="nb-NO"/>
        </w:rPr>
        <w:t xml:space="preserve">å </w:t>
      </w:r>
      <w:r w:rsidR="000B4665" w:rsidRPr="00545991">
        <w:rPr>
          <w:rFonts w:ascii="Times New Roman" w:hAnsi="Times New Roman" w:cs="Times New Roman"/>
          <w:sz w:val="24"/>
          <w:szCs w:val="24"/>
          <w:lang w:val="nb-NO"/>
        </w:rPr>
        <w:t>ta på seg dette arrangementet</w:t>
      </w:r>
      <w:r w:rsidRPr="00545991">
        <w:rPr>
          <w:rFonts w:ascii="Times New Roman" w:hAnsi="Times New Roman" w:cs="Times New Roman"/>
          <w:sz w:val="24"/>
          <w:szCs w:val="24"/>
          <w:lang w:val="nb-NO"/>
        </w:rPr>
        <w:t xml:space="preserve">. Siden FIDE </w:t>
      </w:r>
      <w:r w:rsidR="00C21FBA">
        <w:rPr>
          <w:rFonts w:ascii="Times New Roman" w:hAnsi="Times New Roman" w:cs="Times New Roman"/>
          <w:sz w:val="24"/>
          <w:szCs w:val="24"/>
          <w:lang w:val="nb-NO"/>
        </w:rPr>
        <w:t>presiserte at</w:t>
      </w:r>
      <w:r w:rsidRPr="00545991">
        <w:rPr>
          <w:rFonts w:ascii="Times New Roman" w:hAnsi="Times New Roman" w:cs="Times New Roman"/>
          <w:sz w:val="24"/>
          <w:szCs w:val="24"/>
          <w:lang w:val="nb-NO"/>
        </w:rPr>
        <w:t xml:space="preserve"> de ville preferere OL-søkere som var villige til å avholde World Cup turneringen</w:t>
      </w:r>
      <w:r w:rsidR="000B4665" w:rsidRPr="00545991">
        <w:rPr>
          <w:rFonts w:ascii="Times New Roman" w:hAnsi="Times New Roman" w:cs="Times New Roman"/>
          <w:sz w:val="24"/>
          <w:szCs w:val="24"/>
          <w:lang w:val="nb-NO"/>
        </w:rPr>
        <w:t xml:space="preserve">, følte </w:t>
      </w:r>
      <w:r w:rsidRPr="00545991">
        <w:rPr>
          <w:rFonts w:ascii="Times New Roman" w:hAnsi="Times New Roman" w:cs="Times New Roman"/>
          <w:sz w:val="24"/>
          <w:szCs w:val="24"/>
          <w:lang w:val="nb-NO"/>
        </w:rPr>
        <w:t xml:space="preserve">de </w:t>
      </w:r>
      <w:r w:rsidR="000B4665" w:rsidRPr="00545991">
        <w:rPr>
          <w:rFonts w:ascii="Times New Roman" w:hAnsi="Times New Roman" w:cs="Times New Roman"/>
          <w:sz w:val="24"/>
          <w:szCs w:val="24"/>
          <w:lang w:val="nb-NO"/>
        </w:rPr>
        <w:t xml:space="preserve">seg presset til å </w:t>
      </w:r>
      <w:r w:rsidRPr="00545991">
        <w:rPr>
          <w:rFonts w:ascii="Times New Roman" w:hAnsi="Times New Roman" w:cs="Times New Roman"/>
          <w:sz w:val="24"/>
          <w:szCs w:val="24"/>
          <w:lang w:val="nb-NO"/>
        </w:rPr>
        <w:t xml:space="preserve">akseptere </w:t>
      </w:r>
      <w:r w:rsidR="000660D7" w:rsidRPr="00545991">
        <w:rPr>
          <w:rFonts w:ascii="Times New Roman" w:hAnsi="Times New Roman" w:cs="Times New Roman"/>
          <w:sz w:val="24"/>
          <w:szCs w:val="24"/>
          <w:lang w:val="nb-NO"/>
        </w:rPr>
        <w:t>arrangementet</w:t>
      </w:r>
      <w:r w:rsidRPr="00545991">
        <w:rPr>
          <w:rFonts w:ascii="Times New Roman" w:hAnsi="Times New Roman" w:cs="Times New Roman"/>
          <w:sz w:val="24"/>
          <w:szCs w:val="24"/>
          <w:lang w:val="nb-NO"/>
        </w:rPr>
        <w:t xml:space="preserve">. </w:t>
      </w:r>
      <w:r w:rsidR="006F32AA" w:rsidRPr="00545991">
        <w:rPr>
          <w:rFonts w:ascii="Times New Roman" w:hAnsi="Times New Roman" w:cs="Times New Roman"/>
          <w:sz w:val="24"/>
          <w:szCs w:val="24"/>
          <w:lang w:val="nb-NO"/>
        </w:rPr>
        <w:t>D</w:t>
      </w:r>
      <w:r w:rsidR="00B71A10" w:rsidRPr="00545991">
        <w:rPr>
          <w:rFonts w:ascii="Times New Roman" w:hAnsi="Times New Roman" w:cs="Times New Roman"/>
          <w:sz w:val="24"/>
          <w:szCs w:val="24"/>
          <w:lang w:val="nb-NO"/>
        </w:rPr>
        <w:t>ette skapte økonomiske utford</w:t>
      </w:r>
      <w:r w:rsidR="000660D7" w:rsidRPr="00545991">
        <w:rPr>
          <w:rFonts w:ascii="Times New Roman" w:hAnsi="Times New Roman" w:cs="Times New Roman"/>
          <w:sz w:val="24"/>
          <w:szCs w:val="24"/>
          <w:lang w:val="nb-NO"/>
        </w:rPr>
        <w:t>r</w:t>
      </w:r>
      <w:r w:rsidR="00B71A10" w:rsidRPr="00545991">
        <w:rPr>
          <w:rFonts w:ascii="Times New Roman" w:hAnsi="Times New Roman" w:cs="Times New Roman"/>
          <w:sz w:val="24"/>
          <w:szCs w:val="24"/>
          <w:lang w:val="nb-NO"/>
        </w:rPr>
        <w:t xml:space="preserve">inger, og </w:t>
      </w:r>
      <w:r w:rsidRPr="00545991">
        <w:rPr>
          <w:rFonts w:ascii="Times New Roman" w:hAnsi="Times New Roman" w:cs="Times New Roman"/>
          <w:sz w:val="24"/>
          <w:szCs w:val="24"/>
          <w:lang w:val="nb-NO"/>
        </w:rPr>
        <w:t xml:space="preserve">det ble </w:t>
      </w:r>
      <w:r w:rsidR="00C21FBA">
        <w:rPr>
          <w:rFonts w:ascii="Times New Roman" w:hAnsi="Times New Roman" w:cs="Times New Roman"/>
          <w:sz w:val="24"/>
          <w:szCs w:val="24"/>
          <w:lang w:val="nb-NO"/>
        </w:rPr>
        <w:t xml:space="preserve">derfor </w:t>
      </w:r>
      <w:r w:rsidR="00B71A10" w:rsidRPr="00545991">
        <w:rPr>
          <w:rFonts w:ascii="Times New Roman" w:hAnsi="Times New Roman" w:cs="Times New Roman"/>
          <w:sz w:val="24"/>
          <w:szCs w:val="24"/>
          <w:lang w:val="nb-NO"/>
        </w:rPr>
        <w:t xml:space="preserve">søkt om ekstra tilskudd fra KUD på 15 millioner kroner. Søknaden ble først avslått, men etter lobbyvirksomhet fra </w:t>
      </w:r>
      <w:r w:rsidR="000B4665" w:rsidRPr="00545991">
        <w:rPr>
          <w:rFonts w:ascii="Times New Roman" w:hAnsi="Times New Roman" w:cs="Times New Roman"/>
          <w:sz w:val="24"/>
          <w:szCs w:val="24"/>
          <w:lang w:val="nb-NO"/>
        </w:rPr>
        <w:t xml:space="preserve">lokale politikere ble </w:t>
      </w:r>
      <w:r w:rsidR="00B71A10" w:rsidRPr="00545991">
        <w:rPr>
          <w:rFonts w:ascii="Times New Roman" w:hAnsi="Times New Roman" w:cs="Times New Roman"/>
          <w:sz w:val="24"/>
          <w:szCs w:val="24"/>
          <w:lang w:val="nb-NO"/>
        </w:rPr>
        <w:t>vedtaket omgjort</w:t>
      </w:r>
      <w:r w:rsidR="002775D4">
        <w:rPr>
          <w:rFonts w:ascii="Times New Roman" w:hAnsi="Times New Roman" w:cs="Times New Roman"/>
          <w:sz w:val="24"/>
          <w:szCs w:val="24"/>
          <w:lang w:val="nb-NO"/>
        </w:rPr>
        <w:t>,</w:t>
      </w:r>
      <w:r w:rsidR="00B71A10" w:rsidRPr="00545991">
        <w:rPr>
          <w:rFonts w:ascii="Times New Roman" w:hAnsi="Times New Roman" w:cs="Times New Roman"/>
          <w:sz w:val="24"/>
          <w:szCs w:val="24"/>
          <w:lang w:val="nb-NO"/>
        </w:rPr>
        <w:t xml:space="preserve"> </w:t>
      </w:r>
      <w:r w:rsidR="000B4665" w:rsidRPr="00545991">
        <w:rPr>
          <w:rFonts w:ascii="Times New Roman" w:hAnsi="Times New Roman" w:cs="Times New Roman"/>
          <w:sz w:val="24"/>
          <w:szCs w:val="24"/>
          <w:lang w:val="nb-NO"/>
        </w:rPr>
        <w:t xml:space="preserve">og </w:t>
      </w:r>
      <w:r w:rsidR="00B71A10" w:rsidRPr="00545991">
        <w:rPr>
          <w:rFonts w:ascii="Times New Roman" w:hAnsi="Times New Roman" w:cs="Times New Roman"/>
          <w:sz w:val="24"/>
          <w:szCs w:val="24"/>
          <w:lang w:val="nb-NO"/>
        </w:rPr>
        <w:t xml:space="preserve">det ble gitt en ekstrabevilgning på 12 millioner kroner. </w:t>
      </w:r>
      <w:r w:rsidR="000B4665" w:rsidRPr="00545991">
        <w:rPr>
          <w:rFonts w:ascii="Times New Roman" w:hAnsi="Times New Roman" w:cs="Times New Roman"/>
          <w:sz w:val="24"/>
          <w:szCs w:val="24"/>
          <w:lang w:val="nb-NO"/>
        </w:rPr>
        <w:t xml:space="preserve">Turneringen </w:t>
      </w:r>
      <w:r w:rsidR="00B71A10" w:rsidRPr="00545991">
        <w:rPr>
          <w:rFonts w:ascii="Times New Roman" w:hAnsi="Times New Roman" w:cs="Times New Roman"/>
          <w:sz w:val="24"/>
          <w:szCs w:val="24"/>
          <w:lang w:val="nb-NO"/>
        </w:rPr>
        <w:t xml:space="preserve">ble </w:t>
      </w:r>
      <w:r w:rsidR="001C29E1" w:rsidRPr="00545991">
        <w:rPr>
          <w:rFonts w:ascii="Times New Roman" w:hAnsi="Times New Roman" w:cs="Times New Roman"/>
          <w:sz w:val="24"/>
          <w:szCs w:val="24"/>
          <w:lang w:val="nb-NO"/>
        </w:rPr>
        <w:t>avviklet i perioden 10.</w:t>
      </w:r>
      <w:r w:rsidR="00CC68B2" w:rsidRPr="00545991">
        <w:rPr>
          <w:rFonts w:ascii="Times New Roman" w:hAnsi="Times New Roman" w:cs="Times New Roman"/>
          <w:sz w:val="24"/>
          <w:szCs w:val="24"/>
          <w:lang w:val="nb-NO"/>
        </w:rPr>
        <w:t xml:space="preserve"> </w:t>
      </w:r>
      <w:r w:rsidR="000660D7" w:rsidRPr="00545991">
        <w:rPr>
          <w:rFonts w:ascii="Times New Roman" w:hAnsi="Times New Roman" w:cs="Times New Roman"/>
          <w:sz w:val="24"/>
          <w:szCs w:val="24"/>
          <w:lang w:val="nb-NO"/>
        </w:rPr>
        <w:t xml:space="preserve">august til </w:t>
      </w:r>
      <w:r w:rsidR="001C29E1" w:rsidRPr="00545991">
        <w:rPr>
          <w:rFonts w:ascii="Times New Roman" w:hAnsi="Times New Roman" w:cs="Times New Roman"/>
          <w:sz w:val="24"/>
          <w:szCs w:val="24"/>
          <w:lang w:val="nb-NO"/>
        </w:rPr>
        <w:t>3.</w:t>
      </w:r>
      <w:r w:rsidR="000660D7" w:rsidRPr="00545991">
        <w:rPr>
          <w:rFonts w:ascii="Times New Roman" w:hAnsi="Times New Roman" w:cs="Times New Roman"/>
          <w:sz w:val="24"/>
          <w:szCs w:val="24"/>
          <w:lang w:val="nb-NO"/>
        </w:rPr>
        <w:t xml:space="preserve"> september, </w:t>
      </w:r>
      <w:r w:rsidR="001C29E1" w:rsidRPr="00545991">
        <w:rPr>
          <w:rFonts w:ascii="Times New Roman" w:hAnsi="Times New Roman" w:cs="Times New Roman"/>
          <w:sz w:val="24"/>
          <w:szCs w:val="24"/>
          <w:lang w:val="nb-NO"/>
        </w:rPr>
        <w:t>2013</w:t>
      </w:r>
      <w:r w:rsidR="009813E8" w:rsidRPr="00545991">
        <w:rPr>
          <w:rFonts w:ascii="Times New Roman" w:hAnsi="Times New Roman" w:cs="Times New Roman"/>
          <w:sz w:val="24"/>
          <w:szCs w:val="24"/>
          <w:lang w:val="nb-NO"/>
        </w:rPr>
        <w:t xml:space="preserve">, og kostnadene </w:t>
      </w:r>
      <w:r w:rsidR="00F01BA3" w:rsidRPr="00545991">
        <w:rPr>
          <w:rFonts w:ascii="Times New Roman" w:hAnsi="Times New Roman" w:cs="Times New Roman"/>
          <w:sz w:val="24"/>
          <w:szCs w:val="24"/>
          <w:lang w:val="nb-NO"/>
        </w:rPr>
        <w:t xml:space="preserve">kom til slutt på 13,5 millioner kroner. </w:t>
      </w:r>
      <w:r w:rsidR="004C7902" w:rsidRPr="00545991">
        <w:rPr>
          <w:rFonts w:ascii="Times New Roman" w:hAnsi="Times New Roman" w:cs="Times New Roman"/>
          <w:sz w:val="24"/>
          <w:szCs w:val="24"/>
          <w:lang w:val="nb-NO"/>
        </w:rPr>
        <w:t xml:space="preserve">I alt </w:t>
      </w:r>
      <w:r w:rsidR="00D42C2B">
        <w:rPr>
          <w:rFonts w:ascii="Times New Roman" w:hAnsi="Times New Roman" w:cs="Times New Roman"/>
          <w:sz w:val="24"/>
          <w:szCs w:val="24"/>
          <w:lang w:val="nb-NO"/>
        </w:rPr>
        <w:t xml:space="preserve">kom det </w:t>
      </w:r>
      <w:r w:rsidR="00275478">
        <w:rPr>
          <w:rFonts w:ascii="Times New Roman" w:hAnsi="Times New Roman" w:cs="Times New Roman"/>
          <w:sz w:val="24"/>
          <w:szCs w:val="24"/>
          <w:lang w:val="nb-NO"/>
        </w:rPr>
        <w:t>ca.</w:t>
      </w:r>
      <w:r w:rsidR="00D42C2B">
        <w:rPr>
          <w:rFonts w:ascii="Times New Roman" w:hAnsi="Times New Roman" w:cs="Times New Roman"/>
          <w:sz w:val="24"/>
          <w:szCs w:val="24"/>
          <w:lang w:val="nb-NO"/>
        </w:rPr>
        <w:t xml:space="preserve"> 300 tilreisende til arrangementet, </w:t>
      </w:r>
      <w:r w:rsidR="004C7902" w:rsidRPr="00545991">
        <w:rPr>
          <w:rFonts w:ascii="Times New Roman" w:hAnsi="Times New Roman" w:cs="Times New Roman"/>
          <w:sz w:val="24"/>
          <w:szCs w:val="24"/>
          <w:lang w:val="nb-NO"/>
        </w:rPr>
        <w:t xml:space="preserve">hvorav 128 spillere. </w:t>
      </w:r>
    </w:p>
    <w:p w14:paraId="16F4DD96" w14:textId="38553E40" w:rsidR="00226665" w:rsidRPr="00545991" w:rsidRDefault="009018FD" w:rsidP="00932C66">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lastRenderedPageBreak/>
        <w:t>Sjakk-O</w:t>
      </w:r>
      <w:r w:rsidR="00F54186" w:rsidRPr="00545991">
        <w:rPr>
          <w:rFonts w:ascii="Times New Roman" w:hAnsi="Times New Roman" w:cs="Times New Roman"/>
          <w:sz w:val="24"/>
          <w:szCs w:val="24"/>
          <w:lang w:val="nb-NO"/>
        </w:rPr>
        <w:t>L</w:t>
      </w:r>
      <w:r w:rsidRPr="00545991">
        <w:rPr>
          <w:rFonts w:ascii="Times New Roman" w:hAnsi="Times New Roman" w:cs="Times New Roman"/>
          <w:sz w:val="24"/>
          <w:szCs w:val="24"/>
          <w:lang w:val="nb-NO"/>
        </w:rPr>
        <w:t xml:space="preserve"> </w:t>
      </w:r>
      <w:r w:rsidR="00CD6A33">
        <w:rPr>
          <w:rFonts w:ascii="Times New Roman" w:hAnsi="Times New Roman" w:cs="Times New Roman"/>
          <w:sz w:val="24"/>
          <w:szCs w:val="24"/>
          <w:lang w:val="nb-NO"/>
        </w:rPr>
        <w:t>samlet</w:t>
      </w:r>
      <w:r w:rsidR="006F32AA" w:rsidRPr="00545991">
        <w:rPr>
          <w:rFonts w:ascii="Times New Roman" w:hAnsi="Times New Roman" w:cs="Times New Roman"/>
          <w:sz w:val="24"/>
          <w:szCs w:val="24"/>
          <w:lang w:val="nb-NO"/>
        </w:rPr>
        <w:t xml:space="preserve"> </w:t>
      </w:r>
      <w:r w:rsidR="00CD6A33">
        <w:rPr>
          <w:rFonts w:ascii="Times New Roman" w:hAnsi="Times New Roman" w:cs="Times New Roman"/>
          <w:sz w:val="24"/>
          <w:szCs w:val="24"/>
          <w:lang w:val="nb-NO"/>
        </w:rPr>
        <w:t>t</w:t>
      </w:r>
      <w:r w:rsidR="003173A4" w:rsidRPr="00545991">
        <w:rPr>
          <w:rFonts w:ascii="Times New Roman" w:hAnsi="Times New Roman" w:cs="Times New Roman"/>
          <w:sz w:val="24"/>
          <w:szCs w:val="24"/>
          <w:lang w:val="nb-NO"/>
        </w:rPr>
        <w:t xml:space="preserve">otalt </w:t>
      </w:r>
      <w:r w:rsidR="00C96858" w:rsidRPr="00545991">
        <w:rPr>
          <w:rFonts w:ascii="Times New Roman" w:hAnsi="Times New Roman" w:cs="Times New Roman"/>
          <w:sz w:val="24"/>
          <w:szCs w:val="24"/>
          <w:lang w:val="nb-NO"/>
        </w:rPr>
        <w:t>1</w:t>
      </w:r>
      <w:r w:rsidR="00CC68B2" w:rsidRPr="00545991">
        <w:rPr>
          <w:rFonts w:ascii="Times New Roman" w:hAnsi="Times New Roman" w:cs="Times New Roman"/>
          <w:sz w:val="24"/>
          <w:szCs w:val="24"/>
          <w:lang w:val="nb-NO"/>
        </w:rPr>
        <w:t xml:space="preserve"> </w:t>
      </w:r>
      <w:r w:rsidR="00C96858" w:rsidRPr="00545991">
        <w:rPr>
          <w:rFonts w:ascii="Times New Roman" w:hAnsi="Times New Roman" w:cs="Times New Roman"/>
          <w:sz w:val="24"/>
          <w:szCs w:val="24"/>
          <w:lang w:val="nb-NO"/>
        </w:rPr>
        <w:t>518 spillere</w:t>
      </w:r>
      <w:r w:rsidR="006F32AA" w:rsidRPr="00545991">
        <w:rPr>
          <w:rFonts w:ascii="Times New Roman" w:hAnsi="Times New Roman" w:cs="Times New Roman"/>
          <w:sz w:val="24"/>
          <w:szCs w:val="24"/>
          <w:lang w:val="nb-NO"/>
        </w:rPr>
        <w:t xml:space="preserve"> </w:t>
      </w:r>
      <w:r w:rsidR="00C96858" w:rsidRPr="00545991">
        <w:rPr>
          <w:rFonts w:ascii="Times New Roman" w:hAnsi="Times New Roman" w:cs="Times New Roman"/>
          <w:sz w:val="24"/>
          <w:szCs w:val="24"/>
          <w:lang w:val="nb-NO"/>
        </w:rPr>
        <w:t xml:space="preserve">fra </w:t>
      </w:r>
      <w:r w:rsidR="003173A4" w:rsidRPr="00545991">
        <w:rPr>
          <w:rFonts w:ascii="Times New Roman" w:hAnsi="Times New Roman" w:cs="Times New Roman"/>
          <w:sz w:val="24"/>
          <w:szCs w:val="24"/>
          <w:lang w:val="nb-NO"/>
        </w:rPr>
        <w:t>167 nasjoner</w:t>
      </w:r>
      <w:r w:rsidR="00E53EA3">
        <w:rPr>
          <w:rFonts w:ascii="Times New Roman" w:hAnsi="Times New Roman" w:cs="Times New Roman"/>
          <w:sz w:val="24"/>
          <w:szCs w:val="24"/>
          <w:lang w:val="nb-NO"/>
        </w:rPr>
        <w:t xml:space="preserve">, noe som var ny deltakerrekord. </w:t>
      </w:r>
      <w:r w:rsidR="000A002A" w:rsidRPr="00545991">
        <w:rPr>
          <w:rFonts w:ascii="Times New Roman" w:hAnsi="Times New Roman" w:cs="Times New Roman"/>
          <w:sz w:val="24"/>
          <w:szCs w:val="24"/>
          <w:lang w:val="nb-NO"/>
        </w:rPr>
        <w:t xml:space="preserve">I tillegg avholdt FIDE sin </w:t>
      </w:r>
      <w:r w:rsidR="00226665" w:rsidRPr="00545991">
        <w:rPr>
          <w:rFonts w:ascii="Times New Roman" w:hAnsi="Times New Roman" w:cs="Times New Roman"/>
          <w:sz w:val="24"/>
          <w:szCs w:val="24"/>
          <w:lang w:val="nb-NO"/>
        </w:rPr>
        <w:t xml:space="preserve">kongress </w:t>
      </w:r>
      <w:r w:rsidR="00E53EA3">
        <w:rPr>
          <w:rFonts w:ascii="Times New Roman" w:hAnsi="Times New Roman" w:cs="Times New Roman"/>
          <w:sz w:val="24"/>
          <w:szCs w:val="24"/>
          <w:lang w:val="nb-NO"/>
        </w:rPr>
        <w:t>under turneringen</w:t>
      </w:r>
      <w:r w:rsidR="00740381" w:rsidRPr="00545991">
        <w:rPr>
          <w:rFonts w:ascii="Times New Roman" w:hAnsi="Times New Roman" w:cs="Times New Roman"/>
          <w:sz w:val="24"/>
          <w:szCs w:val="24"/>
          <w:lang w:val="nb-NO"/>
        </w:rPr>
        <w:t xml:space="preserve">, </w:t>
      </w:r>
      <w:r w:rsidR="00E53EA3">
        <w:rPr>
          <w:rFonts w:ascii="Times New Roman" w:hAnsi="Times New Roman" w:cs="Times New Roman"/>
          <w:sz w:val="24"/>
          <w:szCs w:val="24"/>
          <w:lang w:val="nb-NO"/>
        </w:rPr>
        <w:t xml:space="preserve">også det </w:t>
      </w:r>
      <w:r w:rsidR="00740381" w:rsidRPr="00545991">
        <w:rPr>
          <w:rFonts w:ascii="Times New Roman" w:hAnsi="Times New Roman" w:cs="Times New Roman"/>
          <w:sz w:val="24"/>
          <w:szCs w:val="24"/>
          <w:lang w:val="nb-NO"/>
        </w:rPr>
        <w:t>med</w:t>
      </w:r>
      <w:r w:rsidR="00C96858" w:rsidRPr="00545991">
        <w:rPr>
          <w:rFonts w:ascii="Times New Roman" w:hAnsi="Times New Roman" w:cs="Times New Roman"/>
          <w:sz w:val="24"/>
          <w:szCs w:val="24"/>
          <w:lang w:val="nb-NO"/>
        </w:rPr>
        <w:t xml:space="preserve"> </w:t>
      </w:r>
      <w:r w:rsidR="00226665" w:rsidRPr="00545991">
        <w:rPr>
          <w:rFonts w:ascii="Times New Roman" w:hAnsi="Times New Roman" w:cs="Times New Roman"/>
          <w:sz w:val="24"/>
          <w:szCs w:val="24"/>
          <w:lang w:val="nb-NO"/>
        </w:rPr>
        <w:t>rekorddeltakelse</w:t>
      </w:r>
      <w:r w:rsidR="00C96858" w:rsidRPr="00545991">
        <w:rPr>
          <w:rFonts w:ascii="Times New Roman" w:hAnsi="Times New Roman" w:cs="Times New Roman"/>
          <w:sz w:val="24"/>
          <w:szCs w:val="24"/>
          <w:lang w:val="nb-NO"/>
        </w:rPr>
        <w:t xml:space="preserve"> </w:t>
      </w:r>
      <w:r w:rsidR="00E53EA3">
        <w:rPr>
          <w:rFonts w:ascii="Times New Roman" w:hAnsi="Times New Roman" w:cs="Times New Roman"/>
          <w:sz w:val="24"/>
          <w:szCs w:val="24"/>
          <w:lang w:val="nb-NO"/>
        </w:rPr>
        <w:t>(</w:t>
      </w:r>
      <w:r w:rsidR="00226665" w:rsidRPr="00545991">
        <w:rPr>
          <w:rFonts w:ascii="Times New Roman" w:hAnsi="Times New Roman" w:cs="Times New Roman"/>
          <w:sz w:val="24"/>
          <w:szCs w:val="24"/>
          <w:lang w:val="nb-NO"/>
        </w:rPr>
        <w:t>430 deltakere</w:t>
      </w:r>
      <w:r w:rsidR="00E53EA3">
        <w:rPr>
          <w:rFonts w:ascii="Times New Roman" w:hAnsi="Times New Roman" w:cs="Times New Roman"/>
          <w:sz w:val="24"/>
          <w:szCs w:val="24"/>
          <w:lang w:val="nb-NO"/>
        </w:rPr>
        <w:t>)</w:t>
      </w:r>
      <w:r w:rsidR="00226665" w:rsidRPr="00545991">
        <w:rPr>
          <w:rFonts w:ascii="Times New Roman" w:hAnsi="Times New Roman" w:cs="Times New Roman"/>
          <w:sz w:val="24"/>
          <w:szCs w:val="24"/>
          <w:lang w:val="nb-NO"/>
        </w:rPr>
        <w:t xml:space="preserve">. </w:t>
      </w:r>
      <w:r w:rsidR="000A002A" w:rsidRPr="00545991">
        <w:rPr>
          <w:rFonts w:ascii="Times New Roman" w:hAnsi="Times New Roman" w:cs="Times New Roman"/>
          <w:sz w:val="24"/>
          <w:szCs w:val="24"/>
          <w:lang w:val="nb-NO"/>
        </w:rPr>
        <w:t xml:space="preserve">Til sammen trakk de to arrangementene </w:t>
      </w:r>
      <w:r w:rsidR="00226665" w:rsidRPr="00545991">
        <w:rPr>
          <w:rFonts w:ascii="Times New Roman" w:hAnsi="Times New Roman" w:cs="Times New Roman"/>
          <w:sz w:val="24"/>
          <w:szCs w:val="24"/>
          <w:lang w:val="nb-NO"/>
        </w:rPr>
        <w:t>ca. 3</w:t>
      </w:r>
      <w:r w:rsidR="00CC68B2" w:rsidRPr="00545991">
        <w:rPr>
          <w:rFonts w:ascii="Times New Roman" w:hAnsi="Times New Roman" w:cs="Times New Roman"/>
          <w:sz w:val="24"/>
          <w:szCs w:val="24"/>
          <w:lang w:val="nb-NO"/>
        </w:rPr>
        <w:t xml:space="preserve"> </w:t>
      </w:r>
      <w:r w:rsidR="00226665" w:rsidRPr="00545991">
        <w:rPr>
          <w:rFonts w:ascii="Times New Roman" w:hAnsi="Times New Roman" w:cs="Times New Roman"/>
          <w:sz w:val="24"/>
          <w:szCs w:val="24"/>
          <w:lang w:val="nb-NO"/>
        </w:rPr>
        <w:t xml:space="preserve">250 </w:t>
      </w:r>
      <w:r w:rsidR="00CC68B2" w:rsidRPr="00545991">
        <w:rPr>
          <w:rFonts w:ascii="Times New Roman" w:hAnsi="Times New Roman" w:cs="Times New Roman"/>
          <w:sz w:val="24"/>
          <w:szCs w:val="24"/>
          <w:lang w:val="nb-NO"/>
        </w:rPr>
        <w:t>til</w:t>
      </w:r>
      <w:r w:rsidR="00226665" w:rsidRPr="00545991">
        <w:rPr>
          <w:rFonts w:ascii="Times New Roman" w:hAnsi="Times New Roman" w:cs="Times New Roman"/>
          <w:sz w:val="24"/>
          <w:szCs w:val="24"/>
          <w:lang w:val="nb-NO"/>
        </w:rPr>
        <w:t xml:space="preserve">reisende. </w:t>
      </w:r>
      <w:r w:rsidR="000A002A" w:rsidRPr="00545991">
        <w:rPr>
          <w:rFonts w:ascii="Times New Roman" w:hAnsi="Times New Roman" w:cs="Times New Roman"/>
          <w:sz w:val="24"/>
          <w:szCs w:val="24"/>
          <w:lang w:val="nb-NO"/>
        </w:rPr>
        <w:t xml:space="preserve">Dette </w:t>
      </w:r>
      <w:r w:rsidR="009813E8" w:rsidRPr="00545991">
        <w:rPr>
          <w:rFonts w:ascii="Times New Roman" w:hAnsi="Times New Roman" w:cs="Times New Roman"/>
          <w:sz w:val="24"/>
          <w:szCs w:val="24"/>
          <w:lang w:val="nb-NO"/>
        </w:rPr>
        <w:t xml:space="preserve">var </w:t>
      </w:r>
      <w:r w:rsidR="000A002A" w:rsidRPr="00545991">
        <w:rPr>
          <w:rFonts w:ascii="Times New Roman" w:hAnsi="Times New Roman" w:cs="Times New Roman"/>
          <w:sz w:val="24"/>
          <w:szCs w:val="24"/>
          <w:lang w:val="nb-NO"/>
        </w:rPr>
        <w:t>betydelig over byens hotellkapasitet</w:t>
      </w:r>
      <w:r w:rsidR="009813E8" w:rsidRPr="00545991">
        <w:rPr>
          <w:rFonts w:ascii="Times New Roman" w:hAnsi="Times New Roman" w:cs="Times New Roman"/>
          <w:sz w:val="24"/>
          <w:szCs w:val="24"/>
          <w:lang w:val="nb-NO"/>
        </w:rPr>
        <w:t xml:space="preserve"> som </w:t>
      </w:r>
      <w:r w:rsidR="000A002A" w:rsidRPr="00545991">
        <w:rPr>
          <w:rFonts w:ascii="Times New Roman" w:hAnsi="Times New Roman" w:cs="Times New Roman"/>
          <w:sz w:val="24"/>
          <w:szCs w:val="24"/>
          <w:lang w:val="nb-NO"/>
        </w:rPr>
        <w:t xml:space="preserve">var på </w:t>
      </w:r>
      <w:r w:rsidR="00CC68B2" w:rsidRPr="00545991">
        <w:rPr>
          <w:rFonts w:ascii="Times New Roman" w:hAnsi="Times New Roman" w:cs="Times New Roman"/>
          <w:sz w:val="24"/>
          <w:szCs w:val="24"/>
          <w:lang w:val="nb-NO"/>
        </w:rPr>
        <w:t>2 120</w:t>
      </w:r>
      <w:r w:rsidR="000A002A" w:rsidRPr="00545991">
        <w:rPr>
          <w:rFonts w:ascii="Times New Roman" w:hAnsi="Times New Roman" w:cs="Times New Roman"/>
          <w:sz w:val="24"/>
          <w:szCs w:val="24"/>
          <w:lang w:val="nb-NO"/>
        </w:rPr>
        <w:t xml:space="preserve"> rom</w:t>
      </w:r>
      <w:r w:rsidR="00D42C2B">
        <w:rPr>
          <w:rFonts w:ascii="Times New Roman" w:hAnsi="Times New Roman" w:cs="Times New Roman"/>
          <w:sz w:val="24"/>
          <w:szCs w:val="24"/>
          <w:lang w:val="nb-NO"/>
        </w:rPr>
        <w:t>, og a</w:t>
      </w:r>
      <w:r w:rsidR="000A002A" w:rsidRPr="00545991">
        <w:rPr>
          <w:rFonts w:ascii="Times New Roman" w:hAnsi="Times New Roman" w:cs="Times New Roman"/>
          <w:sz w:val="24"/>
          <w:szCs w:val="24"/>
          <w:lang w:val="nb-NO"/>
        </w:rPr>
        <w:t xml:space="preserve">rrangøren hadde </w:t>
      </w:r>
      <w:r w:rsidR="00C96858" w:rsidRPr="00545991">
        <w:rPr>
          <w:rFonts w:ascii="Times New Roman" w:hAnsi="Times New Roman" w:cs="Times New Roman"/>
          <w:sz w:val="24"/>
          <w:szCs w:val="24"/>
          <w:lang w:val="nb-NO"/>
        </w:rPr>
        <w:t>derfor l</w:t>
      </w:r>
      <w:r w:rsidR="00226665" w:rsidRPr="00545991">
        <w:rPr>
          <w:rFonts w:ascii="Times New Roman" w:hAnsi="Times New Roman" w:cs="Times New Roman"/>
          <w:sz w:val="24"/>
          <w:szCs w:val="24"/>
          <w:lang w:val="nb-NO"/>
        </w:rPr>
        <w:t>eid alle tilgjengelige hotellrom i Tromsø</w:t>
      </w:r>
      <w:r w:rsidR="00E53EA3">
        <w:rPr>
          <w:rFonts w:ascii="Times New Roman" w:hAnsi="Times New Roman" w:cs="Times New Roman"/>
          <w:sz w:val="24"/>
          <w:szCs w:val="24"/>
          <w:lang w:val="nb-NO"/>
        </w:rPr>
        <w:t xml:space="preserve"> og omegn</w:t>
      </w:r>
      <w:r w:rsidR="009813E8" w:rsidRPr="00545991">
        <w:rPr>
          <w:rFonts w:ascii="Times New Roman" w:hAnsi="Times New Roman" w:cs="Times New Roman"/>
          <w:sz w:val="24"/>
          <w:szCs w:val="24"/>
          <w:lang w:val="nb-NO"/>
        </w:rPr>
        <w:t xml:space="preserve">. </w:t>
      </w:r>
      <w:r w:rsidR="00A43A03" w:rsidRPr="00545991">
        <w:rPr>
          <w:rFonts w:ascii="Times New Roman" w:hAnsi="Times New Roman" w:cs="Times New Roman"/>
          <w:sz w:val="24"/>
          <w:szCs w:val="24"/>
          <w:lang w:val="nb-NO"/>
        </w:rPr>
        <w:t xml:space="preserve">I tillegg leide de </w:t>
      </w:r>
      <w:r w:rsidR="00226665" w:rsidRPr="00545991">
        <w:rPr>
          <w:rFonts w:ascii="Times New Roman" w:hAnsi="Times New Roman" w:cs="Times New Roman"/>
          <w:sz w:val="24"/>
          <w:szCs w:val="24"/>
          <w:lang w:val="nb-NO"/>
        </w:rPr>
        <w:t>40 private boliger</w:t>
      </w:r>
      <w:r w:rsidR="00CC68B2" w:rsidRPr="00545991">
        <w:rPr>
          <w:rFonts w:ascii="Times New Roman" w:hAnsi="Times New Roman" w:cs="Times New Roman"/>
          <w:sz w:val="24"/>
          <w:szCs w:val="24"/>
          <w:lang w:val="nb-NO"/>
        </w:rPr>
        <w:t>.</w:t>
      </w:r>
      <w:r w:rsidR="00226665" w:rsidRPr="00545991">
        <w:rPr>
          <w:rFonts w:ascii="Times New Roman" w:hAnsi="Times New Roman" w:cs="Times New Roman"/>
          <w:sz w:val="24"/>
          <w:szCs w:val="24"/>
          <w:lang w:val="nb-NO"/>
        </w:rPr>
        <w:t xml:space="preserve"> Arrangementet opptok i gjennomsnitt 2</w:t>
      </w:r>
      <w:r w:rsidR="00CC68B2" w:rsidRPr="00545991">
        <w:rPr>
          <w:rFonts w:ascii="Times New Roman" w:hAnsi="Times New Roman" w:cs="Times New Roman"/>
          <w:sz w:val="24"/>
          <w:szCs w:val="24"/>
          <w:lang w:val="nb-NO"/>
        </w:rPr>
        <w:t xml:space="preserve"> </w:t>
      </w:r>
      <w:r w:rsidR="00226665" w:rsidRPr="00545991">
        <w:rPr>
          <w:rFonts w:ascii="Times New Roman" w:hAnsi="Times New Roman" w:cs="Times New Roman"/>
          <w:sz w:val="24"/>
          <w:szCs w:val="24"/>
          <w:lang w:val="nb-NO"/>
        </w:rPr>
        <w:t>946 hotellsenger hver dag i arrangementsperiod</w:t>
      </w:r>
      <w:r w:rsidR="00A43A03" w:rsidRPr="00545991">
        <w:rPr>
          <w:rFonts w:ascii="Times New Roman" w:hAnsi="Times New Roman" w:cs="Times New Roman"/>
          <w:sz w:val="24"/>
          <w:szCs w:val="24"/>
          <w:lang w:val="nb-NO"/>
        </w:rPr>
        <w:t>e</w:t>
      </w:r>
      <w:r w:rsidR="00226665" w:rsidRPr="00545991">
        <w:rPr>
          <w:rFonts w:ascii="Times New Roman" w:hAnsi="Times New Roman" w:cs="Times New Roman"/>
          <w:sz w:val="24"/>
          <w:szCs w:val="24"/>
          <w:lang w:val="nb-NO"/>
        </w:rPr>
        <w:t xml:space="preserve">n. </w:t>
      </w:r>
      <w:r w:rsidR="00A43A03" w:rsidRPr="00545991">
        <w:rPr>
          <w:rFonts w:ascii="Times New Roman" w:hAnsi="Times New Roman" w:cs="Times New Roman"/>
          <w:sz w:val="24"/>
          <w:szCs w:val="24"/>
          <w:lang w:val="nb-NO"/>
        </w:rPr>
        <w:t>For hele perioden skapte det</w:t>
      </w:r>
      <w:r w:rsidR="00C96858" w:rsidRPr="00545991">
        <w:rPr>
          <w:rFonts w:ascii="Times New Roman" w:hAnsi="Times New Roman" w:cs="Times New Roman"/>
          <w:sz w:val="24"/>
          <w:szCs w:val="24"/>
          <w:lang w:val="nb-NO"/>
        </w:rPr>
        <w:t>te</w:t>
      </w:r>
      <w:r w:rsidR="00A43A03" w:rsidRPr="00545991">
        <w:rPr>
          <w:rFonts w:ascii="Times New Roman" w:hAnsi="Times New Roman" w:cs="Times New Roman"/>
          <w:sz w:val="24"/>
          <w:szCs w:val="24"/>
          <w:lang w:val="nb-NO"/>
        </w:rPr>
        <w:t xml:space="preserve"> 48</w:t>
      </w:r>
      <w:r w:rsidR="00CC68B2" w:rsidRPr="00545991">
        <w:rPr>
          <w:rFonts w:ascii="Times New Roman" w:hAnsi="Times New Roman" w:cs="Times New Roman"/>
          <w:sz w:val="24"/>
          <w:szCs w:val="24"/>
          <w:lang w:val="nb-NO"/>
        </w:rPr>
        <w:t xml:space="preserve"> </w:t>
      </w:r>
      <w:r w:rsidR="00A43A03" w:rsidRPr="00545991">
        <w:rPr>
          <w:rFonts w:ascii="Times New Roman" w:hAnsi="Times New Roman" w:cs="Times New Roman"/>
          <w:sz w:val="24"/>
          <w:szCs w:val="24"/>
          <w:lang w:val="nb-NO"/>
        </w:rPr>
        <w:t xml:space="preserve">979 </w:t>
      </w:r>
      <w:r w:rsidR="00C96858" w:rsidRPr="00545991">
        <w:rPr>
          <w:rFonts w:ascii="Times New Roman" w:hAnsi="Times New Roman" w:cs="Times New Roman"/>
          <w:sz w:val="24"/>
          <w:szCs w:val="24"/>
          <w:lang w:val="nb-NO"/>
        </w:rPr>
        <w:t>hotell</w:t>
      </w:r>
      <w:r w:rsidR="00226665" w:rsidRPr="00545991">
        <w:rPr>
          <w:rFonts w:ascii="Times New Roman" w:hAnsi="Times New Roman" w:cs="Times New Roman"/>
          <w:sz w:val="24"/>
          <w:szCs w:val="24"/>
          <w:lang w:val="nb-NO"/>
        </w:rPr>
        <w:t>overnattingsdøgn</w:t>
      </w:r>
      <w:r w:rsidR="00C96858" w:rsidRPr="00545991">
        <w:rPr>
          <w:rFonts w:ascii="Times New Roman" w:hAnsi="Times New Roman" w:cs="Times New Roman"/>
          <w:sz w:val="24"/>
          <w:szCs w:val="24"/>
          <w:lang w:val="nb-NO"/>
        </w:rPr>
        <w:t xml:space="preserve">. Arrangørene hadde også ansvaret for </w:t>
      </w:r>
      <w:r w:rsidR="00226665" w:rsidRPr="00545991">
        <w:rPr>
          <w:rFonts w:ascii="Times New Roman" w:hAnsi="Times New Roman" w:cs="Times New Roman"/>
          <w:sz w:val="24"/>
          <w:szCs w:val="24"/>
          <w:lang w:val="nb-NO"/>
        </w:rPr>
        <w:t>server</w:t>
      </w:r>
      <w:r w:rsidR="00C96858" w:rsidRPr="00545991">
        <w:rPr>
          <w:rFonts w:ascii="Times New Roman" w:hAnsi="Times New Roman" w:cs="Times New Roman"/>
          <w:sz w:val="24"/>
          <w:szCs w:val="24"/>
          <w:lang w:val="nb-NO"/>
        </w:rPr>
        <w:t xml:space="preserve">ing av </w:t>
      </w:r>
      <w:r w:rsidR="00226665" w:rsidRPr="00545991">
        <w:rPr>
          <w:rFonts w:ascii="Times New Roman" w:hAnsi="Times New Roman" w:cs="Times New Roman"/>
          <w:sz w:val="24"/>
          <w:szCs w:val="24"/>
          <w:lang w:val="nb-NO"/>
        </w:rPr>
        <w:t>mat</w:t>
      </w:r>
      <w:r w:rsidR="00C96858" w:rsidRPr="00545991">
        <w:rPr>
          <w:rFonts w:ascii="Times New Roman" w:hAnsi="Times New Roman" w:cs="Times New Roman"/>
          <w:sz w:val="24"/>
          <w:szCs w:val="24"/>
          <w:lang w:val="nb-NO"/>
        </w:rPr>
        <w:t xml:space="preserve"> til spillerne, noe som tilsammen utgjorde </w:t>
      </w:r>
      <w:r w:rsidR="00226665" w:rsidRPr="00545991">
        <w:rPr>
          <w:rFonts w:ascii="Times New Roman" w:hAnsi="Times New Roman" w:cs="Times New Roman"/>
          <w:sz w:val="24"/>
          <w:szCs w:val="24"/>
          <w:lang w:val="nb-NO"/>
        </w:rPr>
        <w:t xml:space="preserve">ca. 102 000 måltider. </w:t>
      </w:r>
    </w:p>
    <w:p w14:paraId="4AE57612" w14:textId="77777777" w:rsidR="00CC68B2" w:rsidRPr="00545991" w:rsidRDefault="00CC68B2" w:rsidP="00850197">
      <w:pPr>
        <w:spacing w:line="360" w:lineRule="auto"/>
        <w:jc w:val="both"/>
        <w:rPr>
          <w:rFonts w:ascii="Times New Roman" w:hAnsi="Times New Roman" w:cs="Times New Roman"/>
          <w:sz w:val="24"/>
          <w:szCs w:val="24"/>
          <w:lang w:val="nb-NO"/>
        </w:rPr>
      </w:pPr>
    </w:p>
    <w:p w14:paraId="5FEF5B51" w14:textId="77777777" w:rsidR="00EC06B3" w:rsidRPr="00545991" w:rsidRDefault="00E6741D" w:rsidP="002C7DDA">
      <w:pPr>
        <w:pStyle w:val="Overskrift1"/>
        <w:numPr>
          <w:ilvl w:val="0"/>
          <w:numId w:val="6"/>
        </w:numPr>
        <w:spacing w:line="360" w:lineRule="auto"/>
        <w:ind w:left="360"/>
        <w:rPr>
          <w:lang w:val="nb-NO"/>
        </w:rPr>
      </w:pPr>
      <w:r w:rsidRPr="00545991">
        <w:rPr>
          <w:lang w:val="nb-NO"/>
        </w:rPr>
        <w:t>Måling av t</w:t>
      </w:r>
      <w:r w:rsidR="00493647" w:rsidRPr="00545991">
        <w:rPr>
          <w:lang w:val="nb-NO"/>
        </w:rPr>
        <w:t xml:space="preserve">ilførselen </w:t>
      </w:r>
      <w:r w:rsidRPr="00545991">
        <w:rPr>
          <w:lang w:val="nb-NO"/>
        </w:rPr>
        <w:t>til regionen</w:t>
      </w:r>
      <w:r w:rsidR="00725F0F" w:rsidRPr="00545991">
        <w:rPr>
          <w:lang w:val="nb-NO"/>
        </w:rPr>
        <w:t xml:space="preserve">: </w:t>
      </w:r>
      <w:r w:rsidR="00AE2C70" w:rsidRPr="00545991">
        <w:rPr>
          <w:lang w:val="nb-NO"/>
        </w:rPr>
        <w:t>Teoretiske perspektiver</w:t>
      </w:r>
      <w:r w:rsidR="00725F0F" w:rsidRPr="00545991">
        <w:rPr>
          <w:lang w:val="nb-NO"/>
        </w:rPr>
        <w:t xml:space="preserve">  </w:t>
      </w:r>
    </w:p>
    <w:p w14:paraId="7C8F16E7" w14:textId="77777777" w:rsidR="00D42C2B" w:rsidRDefault="009813E8" w:rsidP="00850197">
      <w:pPr>
        <w:spacing w:line="360" w:lineRule="auto"/>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M</w:t>
      </w:r>
      <w:r w:rsidR="00786C04" w:rsidRPr="00545991">
        <w:rPr>
          <w:rFonts w:ascii="Times New Roman" w:hAnsi="Times New Roman" w:cs="Times New Roman"/>
          <w:sz w:val="24"/>
          <w:szCs w:val="24"/>
          <w:lang w:val="nb-NO"/>
        </w:rPr>
        <w:t xml:space="preserve">etoden </w:t>
      </w:r>
      <w:r w:rsidRPr="00545991">
        <w:rPr>
          <w:rFonts w:ascii="Times New Roman" w:hAnsi="Times New Roman" w:cs="Times New Roman"/>
          <w:sz w:val="24"/>
          <w:szCs w:val="24"/>
          <w:lang w:val="nb-NO"/>
        </w:rPr>
        <w:t xml:space="preserve">som brukes til å måle </w:t>
      </w:r>
      <w:r w:rsidR="00786C04" w:rsidRPr="00545991">
        <w:rPr>
          <w:rFonts w:ascii="Times New Roman" w:hAnsi="Times New Roman" w:cs="Times New Roman"/>
          <w:sz w:val="24"/>
          <w:szCs w:val="24"/>
          <w:lang w:val="nb-NO"/>
        </w:rPr>
        <w:t xml:space="preserve">tilførselen </w:t>
      </w:r>
      <w:r w:rsidR="00E53EA3">
        <w:rPr>
          <w:rFonts w:ascii="Times New Roman" w:hAnsi="Times New Roman" w:cs="Times New Roman"/>
          <w:sz w:val="24"/>
          <w:szCs w:val="24"/>
          <w:lang w:val="nb-NO"/>
        </w:rPr>
        <w:t xml:space="preserve">som </w:t>
      </w:r>
      <w:r w:rsidRPr="00545991">
        <w:rPr>
          <w:rFonts w:ascii="Times New Roman" w:hAnsi="Times New Roman" w:cs="Times New Roman"/>
          <w:sz w:val="24"/>
          <w:szCs w:val="24"/>
          <w:lang w:val="nb-NO"/>
        </w:rPr>
        <w:t xml:space="preserve">slike arrangementer skaper for </w:t>
      </w:r>
      <w:r w:rsidR="00786C04" w:rsidRPr="00545991">
        <w:rPr>
          <w:rFonts w:ascii="Times New Roman" w:hAnsi="Times New Roman" w:cs="Times New Roman"/>
          <w:sz w:val="24"/>
          <w:szCs w:val="24"/>
          <w:lang w:val="nb-NO"/>
        </w:rPr>
        <w:t xml:space="preserve">vertsregionen er </w:t>
      </w:r>
      <w:r w:rsidR="00500773" w:rsidRPr="00545991">
        <w:rPr>
          <w:rFonts w:ascii="Times New Roman" w:hAnsi="Times New Roman" w:cs="Times New Roman"/>
          <w:sz w:val="24"/>
          <w:szCs w:val="24"/>
          <w:lang w:val="nb-NO"/>
        </w:rPr>
        <w:t xml:space="preserve">i litteraturen </w:t>
      </w:r>
      <w:r w:rsidR="00786C04" w:rsidRPr="00545991">
        <w:rPr>
          <w:rFonts w:ascii="Times New Roman" w:hAnsi="Times New Roman" w:cs="Times New Roman"/>
          <w:sz w:val="24"/>
          <w:szCs w:val="24"/>
          <w:lang w:val="nb-NO"/>
        </w:rPr>
        <w:t>kjent som impact-studier</w:t>
      </w:r>
      <w:r w:rsidR="00275478">
        <w:rPr>
          <w:rFonts w:ascii="Times New Roman" w:hAnsi="Times New Roman" w:cs="Times New Roman"/>
          <w:sz w:val="24"/>
          <w:szCs w:val="24"/>
          <w:lang w:val="nb-NO"/>
        </w:rPr>
        <w:t xml:space="preserve"> (Crompton, 1995)</w:t>
      </w:r>
      <w:r w:rsidR="00316DB0" w:rsidRPr="00545991">
        <w:rPr>
          <w:rFonts w:ascii="Times New Roman" w:hAnsi="Times New Roman" w:cs="Times New Roman"/>
          <w:sz w:val="24"/>
          <w:szCs w:val="24"/>
          <w:lang w:val="nb-NO"/>
        </w:rPr>
        <w:t xml:space="preserve">. Hovedregelen er at en bare måler tilførselen </w:t>
      </w:r>
      <w:r w:rsidR="00CC68B2" w:rsidRPr="00545991">
        <w:rPr>
          <w:rFonts w:ascii="Times New Roman" w:hAnsi="Times New Roman" w:cs="Times New Roman"/>
          <w:sz w:val="24"/>
          <w:szCs w:val="24"/>
          <w:lang w:val="nb-NO"/>
        </w:rPr>
        <w:t xml:space="preserve">som </w:t>
      </w:r>
      <w:r w:rsidR="00467C6E" w:rsidRPr="00545991">
        <w:rPr>
          <w:rFonts w:ascii="Times New Roman" w:hAnsi="Times New Roman" w:cs="Times New Roman"/>
          <w:sz w:val="24"/>
          <w:szCs w:val="24"/>
          <w:lang w:val="nb-NO"/>
        </w:rPr>
        <w:t>arrangementet skaper. Dette kan være forbruket til de tilreisende</w:t>
      </w:r>
      <w:r w:rsidR="00CC68B2" w:rsidRPr="00545991">
        <w:rPr>
          <w:rFonts w:ascii="Times New Roman" w:hAnsi="Times New Roman" w:cs="Times New Roman"/>
          <w:sz w:val="24"/>
          <w:szCs w:val="24"/>
          <w:lang w:val="nb-NO"/>
        </w:rPr>
        <w:t xml:space="preserve"> eller </w:t>
      </w:r>
      <w:r w:rsidR="00467C6E" w:rsidRPr="00545991">
        <w:rPr>
          <w:rFonts w:ascii="Times New Roman" w:hAnsi="Times New Roman" w:cs="Times New Roman"/>
          <w:sz w:val="24"/>
          <w:szCs w:val="24"/>
          <w:lang w:val="nb-NO"/>
        </w:rPr>
        <w:t>støtte fra sponsorer og offentlige</w:t>
      </w:r>
      <w:r w:rsidR="00D42C2B">
        <w:rPr>
          <w:rFonts w:ascii="Times New Roman" w:hAnsi="Times New Roman" w:cs="Times New Roman"/>
          <w:sz w:val="24"/>
          <w:szCs w:val="24"/>
          <w:lang w:val="nb-NO"/>
        </w:rPr>
        <w:t xml:space="preserve"> myndigheter utenfor regionen</w:t>
      </w:r>
      <w:r w:rsidR="00467C6E" w:rsidRPr="00545991">
        <w:rPr>
          <w:rFonts w:ascii="Times New Roman" w:hAnsi="Times New Roman" w:cs="Times New Roman"/>
          <w:sz w:val="24"/>
          <w:szCs w:val="24"/>
          <w:lang w:val="nb-NO"/>
        </w:rPr>
        <w:t xml:space="preserve">. </w:t>
      </w:r>
      <w:r w:rsidR="00D42C2B">
        <w:rPr>
          <w:rFonts w:ascii="Times New Roman" w:hAnsi="Times New Roman" w:cs="Times New Roman"/>
          <w:sz w:val="24"/>
          <w:szCs w:val="24"/>
          <w:lang w:val="nb-NO"/>
        </w:rPr>
        <w:t>O</w:t>
      </w:r>
      <w:r w:rsidR="00ED5EF1" w:rsidRPr="00545991">
        <w:rPr>
          <w:rFonts w:ascii="Times New Roman" w:hAnsi="Times New Roman" w:cs="Times New Roman"/>
          <w:sz w:val="24"/>
          <w:szCs w:val="24"/>
          <w:lang w:val="nb-NO"/>
        </w:rPr>
        <w:t xml:space="preserve">verføringer fra </w:t>
      </w:r>
      <w:r w:rsidR="003F4DC1" w:rsidRPr="00545991">
        <w:rPr>
          <w:rFonts w:ascii="Times New Roman" w:hAnsi="Times New Roman" w:cs="Times New Roman"/>
          <w:sz w:val="24"/>
          <w:szCs w:val="24"/>
          <w:lang w:val="nb-NO"/>
        </w:rPr>
        <w:t>lokale</w:t>
      </w:r>
      <w:r w:rsidR="0000494D" w:rsidRPr="00545991">
        <w:rPr>
          <w:rFonts w:ascii="Times New Roman" w:hAnsi="Times New Roman" w:cs="Times New Roman"/>
          <w:sz w:val="24"/>
          <w:szCs w:val="24"/>
          <w:lang w:val="nb-NO"/>
        </w:rPr>
        <w:t xml:space="preserve"> sponsorer og den lokale offentlige sektoren </w:t>
      </w:r>
      <w:r w:rsidRPr="00545991">
        <w:rPr>
          <w:rFonts w:ascii="Times New Roman" w:hAnsi="Times New Roman" w:cs="Times New Roman"/>
          <w:sz w:val="24"/>
          <w:szCs w:val="24"/>
          <w:lang w:val="nb-NO"/>
        </w:rPr>
        <w:t xml:space="preserve">representerer </w:t>
      </w:r>
      <w:r w:rsidR="00D42C2B">
        <w:rPr>
          <w:rFonts w:ascii="Times New Roman" w:hAnsi="Times New Roman" w:cs="Times New Roman"/>
          <w:sz w:val="24"/>
          <w:szCs w:val="24"/>
          <w:lang w:val="nb-NO"/>
        </w:rPr>
        <w:t xml:space="preserve">på sin side </w:t>
      </w:r>
      <w:r w:rsidRPr="00545991">
        <w:rPr>
          <w:rFonts w:ascii="Times New Roman" w:hAnsi="Times New Roman" w:cs="Times New Roman"/>
          <w:sz w:val="24"/>
          <w:szCs w:val="24"/>
          <w:lang w:val="nb-NO"/>
        </w:rPr>
        <w:t xml:space="preserve">ingen tilførsel, </w:t>
      </w:r>
      <w:r w:rsidR="003F4DC1" w:rsidRPr="00545991">
        <w:rPr>
          <w:rFonts w:ascii="Times New Roman" w:hAnsi="Times New Roman" w:cs="Times New Roman"/>
          <w:sz w:val="24"/>
          <w:szCs w:val="24"/>
          <w:lang w:val="nb-NO"/>
        </w:rPr>
        <w:t>med mindre midlene alternativt ville blitt brukt utenfor regionen.</w:t>
      </w:r>
      <w:r w:rsidR="00AD4809" w:rsidRPr="00545991">
        <w:rPr>
          <w:rFonts w:ascii="Times New Roman" w:hAnsi="Times New Roman" w:cs="Times New Roman"/>
          <w:sz w:val="24"/>
          <w:szCs w:val="24"/>
          <w:lang w:val="nb-NO"/>
        </w:rPr>
        <w:t xml:space="preserve"> </w:t>
      </w:r>
      <w:r w:rsidR="00ED5EF1" w:rsidRPr="00545991">
        <w:rPr>
          <w:rFonts w:ascii="Times New Roman" w:hAnsi="Times New Roman" w:cs="Times New Roman"/>
          <w:sz w:val="24"/>
          <w:szCs w:val="24"/>
          <w:lang w:val="nb-NO"/>
        </w:rPr>
        <w:t xml:space="preserve">Tilsvarende vil </w:t>
      </w:r>
      <w:r w:rsidR="00AD4809" w:rsidRPr="00545991">
        <w:rPr>
          <w:rFonts w:ascii="Times New Roman" w:hAnsi="Times New Roman" w:cs="Times New Roman"/>
          <w:sz w:val="24"/>
          <w:szCs w:val="24"/>
          <w:lang w:val="nb-NO"/>
        </w:rPr>
        <w:t>oppholdsutgifte</w:t>
      </w:r>
      <w:r w:rsidRPr="00545991">
        <w:rPr>
          <w:rFonts w:ascii="Times New Roman" w:hAnsi="Times New Roman" w:cs="Times New Roman"/>
          <w:sz w:val="24"/>
          <w:szCs w:val="24"/>
          <w:lang w:val="nb-NO"/>
        </w:rPr>
        <w:t xml:space="preserve">r for </w:t>
      </w:r>
      <w:r w:rsidR="00ED5EF1" w:rsidRPr="00545991">
        <w:rPr>
          <w:rFonts w:ascii="Times New Roman" w:hAnsi="Times New Roman" w:cs="Times New Roman"/>
          <w:sz w:val="24"/>
          <w:szCs w:val="24"/>
          <w:lang w:val="nb-NO"/>
        </w:rPr>
        <w:t>tilreisende</w:t>
      </w:r>
      <w:r w:rsidR="00671C83">
        <w:rPr>
          <w:rFonts w:ascii="Times New Roman" w:hAnsi="Times New Roman" w:cs="Times New Roman"/>
          <w:sz w:val="24"/>
          <w:szCs w:val="24"/>
          <w:lang w:val="nb-NO"/>
        </w:rPr>
        <w:t>, men</w:t>
      </w:r>
      <w:r w:rsidR="00CC68B2" w:rsidRPr="00545991">
        <w:rPr>
          <w:rFonts w:ascii="Times New Roman" w:hAnsi="Times New Roman" w:cs="Times New Roman"/>
          <w:sz w:val="24"/>
          <w:szCs w:val="24"/>
          <w:lang w:val="nb-NO"/>
        </w:rPr>
        <w:t xml:space="preserve"> </w:t>
      </w:r>
      <w:r w:rsidRPr="00545991">
        <w:rPr>
          <w:rFonts w:ascii="Times New Roman" w:hAnsi="Times New Roman" w:cs="Times New Roman"/>
          <w:sz w:val="24"/>
          <w:szCs w:val="24"/>
          <w:lang w:val="nb-NO"/>
        </w:rPr>
        <w:t>som finansieres av l</w:t>
      </w:r>
      <w:r w:rsidR="00AD4809" w:rsidRPr="00545991">
        <w:rPr>
          <w:rFonts w:ascii="Times New Roman" w:hAnsi="Times New Roman" w:cs="Times New Roman"/>
          <w:sz w:val="24"/>
          <w:szCs w:val="24"/>
          <w:lang w:val="nb-NO"/>
        </w:rPr>
        <w:t>okale aktører</w:t>
      </w:r>
      <w:r w:rsidR="00E53EA3">
        <w:rPr>
          <w:rFonts w:ascii="Times New Roman" w:hAnsi="Times New Roman" w:cs="Times New Roman"/>
          <w:sz w:val="24"/>
          <w:szCs w:val="24"/>
          <w:lang w:val="nb-NO"/>
        </w:rPr>
        <w:t>,</w:t>
      </w:r>
      <w:r w:rsidR="00AD4809" w:rsidRPr="00545991">
        <w:rPr>
          <w:rFonts w:ascii="Times New Roman" w:hAnsi="Times New Roman" w:cs="Times New Roman"/>
          <w:sz w:val="24"/>
          <w:szCs w:val="24"/>
          <w:lang w:val="nb-NO"/>
        </w:rPr>
        <w:t xml:space="preserve"> </w:t>
      </w:r>
      <w:r w:rsidR="00ED5EF1" w:rsidRPr="00545991">
        <w:rPr>
          <w:rFonts w:ascii="Times New Roman" w:hAnsi="Times New Roman" w:cs="Times New Roman"/>
          <w:sz w:val="24"/>
          <w:szCs w:val="24"/>
          <w:lang w:val="nb-NO"/>
        </w:rPr>
        <w:t xml:space="preserve">ikke være en </w:t>
      </w:r>
      <w:r w:rsidRPr="00545991">
        <w:rPr>
          <w:rFonts w:ascii="Times New Roman" w:hAnsi="Times New Roman" w:cs="Times New Roman"/>
          <w:sz w:val="24"/>
          <w:szCs w:val="24"/>
          <w:lang w:val="nb-NO"/>
        </w:rPr>
        <w:t>tilførsel</w:t>
      </w:r>
      <w:r w:rsidR="00671C83">
        <w:rPr>
          <w:rFonts w:ascii="Times New Roman" w:hAnsi="Times New Roman" w:cs="Times New Roman"/>
          <w:sz w:val="24"/>
          <w:szCs w:val="24"/>
          <w:lang w:val="nb-NO"/>
        </w:rPr>
        <w:t xml:space="preserve">. Det samme gjelder for </w:t>
      </w:r>
      <w:r w:rsidR="0000494D" w:rsidRPr="00545991">
        <w:rPr>
          <w:rFonts w:ascii="Times New Roman" w:hAnsi="Times New Roman" w:cs="Times New Roman"/>
          <w:sz w:val="24"/>
          <w:szCs w:val="24"/>
          <w:lang w:val="nb-NO"/>
        </w:rPr>
        <w:t>mi</w:t>
      </w:r>
      <w:r w:rsidR="00CC68B2" w:rsidRPr="00545991">
        <w:rPr>
          <w:rFonts w:ascii="Times New Roman" w:hAnsi="Times New Roman" w:cs="Times New Roman"/>
          <w:sz w:val="24"/>
          <w:szCs w:val="24"/>
          <w:lang w:val="nb-NO"/>
        </w:rPr>
        <w:t>dler som tilføres utenfra og som ville kommet uavhengig av arrangementet</w:t>
      </w:r>
      <w:r w:rsidR="00671C83">
        <w:rPr>
          <w:rFonts w:ascii="Times New Roman" w:hAnsi="Times New Roman" w:cs="Times New Roman"/>
          <w:sz w:val="24"/>
          <w:szCs w:val="24"/>
          <w:lang w:val="nb-NO"/>
        </w:rPr>
        <w:t xml:space="preserve">. </w:t>
      </w:r>
      <w:r w:rsidR="00CC68B2" w:rsidRPr="00545991">
        <w:rPr>
          <w:rFonts w:ascii="Times New Roman" w:hAnsi="Times New Roman" w:cs="Times New Roman"/>
          <w:sz w:val="24"/>
          <w:szCs w:val="24"/>
          <w:lang w:val="nb-NO"/>
        </w:rPr>
        <w:t xml:space="preserve"> </w:t>
      </w:r>
    </w:p>
    <w:p w14:paraId="186E8C03" w14:textId="58242CE9" w:rsidR="00AE2C70" w:rsidRPr="00545991" w:rsidRDefault="00FC04F0" w:rsidP="00850197">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Hvis a</w:t>
      </w:r>
      <w:r w:rsidR="00500773" w:rsidRPr="00545991">
        <w:rPr>
          <w:rFonts w:ascii="Times New Roman" w:hAnsi="Times New Roman" w:cs="Times New Roman"/>
          <w:sz w:val="24"/>
          <w:szCs w:val="24"/>
          <w:lang w:val="nb-NO"/>
        </w:rPr>
        <w:t xml:space="preserve">rrangementer </w:t>
      </w:r>
      <w:r w:rsidRPr="00545991">
        <w:rPr>
          <w:rFonts w:ascii="Times New Roman" w:hAnsi="Times New Roman" w:cs="Times New Roman"/>
          <w:sz w:val="24"/>
          <w:szCs w:val="24"/>
          <w:lang w:val="nb-NO"/>
        </w:rPr>
        <w:t>l</w:t>
      </w:r>
      <w:r w:rsidR="00500773" w:rsidRPr="00545991">
        <w:rPr>
          <w:rFonts w:ascii="Times New Roman" w:hAnsi="Times New Roman" w:cs="Times New Roman"/>
          <w:sz w:val="24"/>
          <w:szCs w:val="24"/>
          <w:lang w:val="nb-NO"/>
        </w:rPr>
        <w:t>egger beslag på en stor del av overnattingskapasiteten kan</w:t>
      </w:r>
      <w:r w:rsidRPr="00545991">
        <w:rPr>
          <w:rFonts w:ascii="Times New Roman" w:hAnsi="Times New Roman" w:cs="Times New Roman"/>
          <w:sz w:val="24"/>
          <w:szCs w:val="24"/>
          <w:lang w:val="nb-NO"/>
        </w:rPr>
        <w:t xml:space="preserve"> dette</w:t>
      </w:r>
      <w:r w:rsidR="00500773" w:rsidRPr="00545991">
        <w:rPr>
          <w:rFonts w:ascii="Times New Roman" w:hAnsi="Times New Roman" w:cs="Times New Roman"/>
          <w:sz w:val="24"/>
          <w:szCs w:val="24"/>
          <w:lang w:val="nb-NO"/>
        </w:rPr>
        <w:t xml:space="preserve"> fortrenge an</w:t>
      </w:r>
      <w:r w:rsidRPr="00545991">
        <w:rPr>
          <w:rFonts w:ascii="Times New Roman" w:hAnsi="Times New Roman" w:cs="Times New Roman"/>
          <w:sz w:val="24"/>
          <w:szCs w:val="24"/>
          <w:lang w:val="nb-NO"/>
        </w:rPr>
        <w:t xml:space="preserve">nen turistvirksomhet i den aktuelle perioden. </w:t>
      </w:r>
      <w:r w:rsidR="00500773" w:rsidRPr="00545991">
        <w:rPr>
          <w:rFonts w:ascii="Times New Roman" w:hAnsi="Times New Roman" w:cs="Times New Roman"/>
          <w:sz w:val="24"/>
          <w:szCs w:val="24"/>
          <w:lang w:val="nb-NO"/>
        </w:rPr>
        <w:t xml:space="preserve">Noen </w:t>
      </w:r>
      <w:r w:rsidRPr="00545991">
        <w:rPr>
          <w:rFonts w:ascii="Times New Roman" w:hAnsi="Times New Roman" w:cs="Times New Roman"/>
          <w:sz w:val="24"/>
          <w:szCs w:val="24"/>
          <w:lang w:val="nb-NO"/>
        </w:rPr>
        <w:t xml:space="preserve">av de ordinære turistene vil </w:t>
      </w:r>
      <w:r w:rsidR="00C05F50" w:rsidRPr="00545991">
        <w:rPr>
          <w:rFonts w:ascii="Times New Roman" w:hAnsi="Times New Roman" w:cs="Times New Roman"/>
          <w:sz w:val="24"/>
          <w:szCs w:val="24"/>
          <w:lang w:val="nb-NO"/>
        </w:rPr>
        <w:t>kansellere</w:t>
      </w:r>
      <w:r w:rsidRPr="00545991">
        <w:rPr>
          <w:rFonts w:ascii="Times New Roman" w:hAnsi="Times New Roman" w:cs="Times New Roman"/>
          <w:sz w:val="24"/>
          <w:szCs w:val="24"/>
          <w:lang w:val="nb-NO"/>
        </w:rPr>
        <w:t xml:space="preserve"> besøket</w:t>
      </w:r>
      <w:r w:rsidR="00500773" w:rsidRPr="00545991">
        <w:rPr>
          <w:rFonts w:ascii="Times New Roman" w:hAnsi="Times New Roman" w:cs="Times New Roman"/>
          <w:sz w:val="24"/>
          <w:szCs w:val="24"/>
          <w:lang w:val="nb-NO"/>
        </w:rPr>
        <w:t xml:space="preserve">, mens andre </w:t>
      </w:r>
      <w:r w:rsidR="00D42C2B">
        <w:rPr>
          <w:rFonts w:ascii="Times New Roman" w:hAnsi="Times New Roman" w:cs="Times New Roman"/>
          <w:sz w:val="24"/>
          <w:szCs w:val="24"/>
          <w:lang w:val="nb-NO"/>
        </w:rPr>
        <w:t xml:space="preserve">kan </w:t>
      </w:r>
      <w:r w:rsidR="00135F70" w:rsidRPr="00545991">
        <w:rPr>
          <w:rFonts w:ascii="Times New Roman" w:hAnsi="Times New Roman" w:cs="Times New Roman"/>
          <w:sz w:val="24"/>
          <w:szCs w:val="24"/>
          <w:lang w:val="nb-NO"/>
        </w:rPr>
        <w:t xml:space="preserve">forskyve </w:t>
      </w:r>
      <w:r w:rsidRPr="00545991">
        <w:rPr>
          <w:rFonts w:ascii="Times New Roman" w:hAnsi="Times New Roman" w:cs="Times New Roman"/>
          <w:sz w:val="24"/>
          <w:szCs w:val="24"/>
          <w:lang w:val="nb-NO"/>
        </w:rPr>
        <w:t>det</w:t>
      </w:r>
      <w:r w:rsidR="00671C83">
        <w:rPr>
          <w:rFonts w:ascii="Times New Roman" w:hAnsi="Times New Roman" w:cs="Times New Roman"/>
          <w:sz w:val="24"/>
          <w:szCs w:val="24"/>
          <w:lang w:val="nb-NO"/>
        </w:rPr>
        <w:t xml:space="preserve"> framover eller bakover i tid. Når arrangementer er store relativt til vertsbyen</w:t>
      </w:r>
      <w:r w:rsidR="00E53EA3">
        <w:rPr>
          <w:rFonts w:ascii="Times New Roman" w:hAnsi="Times New Roman" w:cs="Times New Roman"/>
          <w:sz w:val="24"/>
          <w:szCs w:val="24"/>
          <w:lang w:val="nb-NO"/>
        </w:rPr>
        <w:t>s kapasitet</w:t>
      </w:r>
      <w:r w:rsidR="00671C83">
        <w:rPr>
          <w:rFonts w:ascii="Times New Roman" w:hAnsi="Times New Roman" w:cs="Times New Roman"/>
          <w:sz w:val="24"/>
          <w:szCs w:val="24"/>
          <w:lang w:val="nb-NO"/>
        </w:rPr>
        <w:t xml:space="preserve"> kan virkningene </w:t>
      </w:r>
      <w:r w:rsidR="002775D4">
        <w:rPr>
          <w:rFonts w:ascii="Times New Roman" w:hAnsi="Times New Roman" w:cs="Times New Roman"/>
          <w:sz w:val="24"/>
          <w:szCs w:val="24"/>
          <w:lang w:val="nb-NO"/>
        </w:rPr>
        <w:t xml:space="preserve">spre </w:t>
      </w:r>
      <w:r w:rsidR="00E53EA3">
        <w:rPr>
          <w:rFonts w:ascii="Times New Roman" w:hAnsi="Times New Roman" w:cs="Times New Roman"/>
          <w:sz w:val="24"/>
          <w:szCs w:val="24"/>
          <w:lang w:val="nb-NO"/>
        </w:rPr>
        <w:t xml:space="preserve">seg </w:t>
      </w:r>
      <w:r w:rsidR="00500773" w:rsidRPr="00545991">
        <w:rPr>
          <w:rFonts w:ascii="Times New Roman" w:hAnsi="Times New Roman" w:cs="Times New Roman"/>
          <w:sz w:val="24"/>
          <w:szCs w:val="24"/>
          <w:lang w:val="nb-NO"/>
        </w:rPr>
        <w:t xml:space="preserve">til andre regioner. </w:t>
      </w:r>
      <w:r w:rsidR="002775D4" w:rsidRPr="00545991">
        <w:rPr>
          <w:rFonts w:ascii="Times New Roman" w:hAnsi="Times New Roman" w:cs="Times New Roman"/>
          <w:sz w:val="24"/>
          <w:szCs w:val="24"/>
          <w:lang w:val="nb-NO"/>
        </w:rPr>
        <w:t xml:space="preserve">Dette må det justeres for </w:t>
      </w:r>
      <w:r w:rsidR="002775D4">
        <w:rPr>
          <w:rFonts w:ascii="Times New Roman" w:hAnsi="Times New Roman" w:cs="Times New Roman"/>
          <w:sz w:val="24"/>
          <w:szCs w:val="24"/>
          <w:lang w:val="nb-NO"/>
        </w:rPr>
        <w:t xml:space="preserve">når en måler </w:t>
      </w:r>
      <w:r w:rsidR="00671C83">
        <w:rPr>
          <w:rFonts w:ascii="Times New Roman" w:hAnsi="Times New Roman" w:cs="Times New Roman"/>
          <w:sz w:val="24"/>
          <w:szCs w:val="24"/>
          <w:lang w:val="nb-NO"/>
        </w:rPr>
        <w:t xml:space="preserve">de regionaløkonomiske virkningene. </w:t>
      </w:r>
      <w:r w:rsidR="00574F75">
        <w:rPr>
          <w:rFonts w:ascii="Times New Roman" w:hAnsi="Times New Roman" w:cs="Times New Roman"/>
          <w:sz w:val="24"/>
          <w:szCs w:val="24"/>
          <w:lang w:val="nb-NO"/>
        </w:rPr>
        <w:t>Disse f</w:t>
      </w:r>
      <w:r w:rsidRPr="00545991">
        <w:rPr>
          <w:rFonts w:ascii="Times New Roman" w:hAnsi="Times New Roman" w:cs="Times New Roman"/>
          <w:sz w:val="24"/>
          <w:szCs w:val="24"/>
          <w:lang w:val="nb-NO"/>
        </w:rPr>
        <w:t xml:space="preserve">orholdene </w:t>
      </w:r>
      <w:r w:rsidR="00E70380" w:rsidRPr="00545991">
        <w:rPr>
          <w:rFonts w:ascii="Times New Roman" w:hAnsi="Times New Roman" w:cs="Times New Roman"/>
          <w:sz w:val="24"/>
          <w:szCs w:val="24"/>
          <w:lang w:val="nb-NO"/>
        </w:rPr>
        <w:t xml:space="preserve">gjør det </w:t>
      </w:r>
      <w:r w:rsidR="00671C83">
        <w:rPr>
          <w:rFonts w:ascii="Times New Roman" w:hAnsi="Times New Roman" w:cs="Times New Roman"/>
          <w:sz w:val="24"/>
          <w:szCs w:val="24"/>
          <w:lang w:val="nb-NO"/>
        </w:rPr>
        <w:t xml:space="preserve">også </w:t>
      </w:r>
      <w:r w:rsidR="00E70380" w:rsidRPr="00545991">
        <w:rPr>
          <w:rFonts w:ascii="Times New Roman" w:hAnsi="Times New Roman" w:cs="Times New Roman"/>
          <w:sz w:val="24"/>
          <w:szCs w:val="24"/>
          <w:lang w:val="nb-NO"/>
        </w:rPr>
        <w:t xml:space="preserve">nødvendig </w:t>
      </w:r>
      <w:r w:rsidR="0000494D" w:rsidRPr="00545991">
        <w:rPr>
          <w:rFonts w:ascii="Times New Roman" w:hAnsi="Times New Roman" w:cs="Times New Roman"/>
          <w:sz w:val="24"/>
          <w:szCs w:val="24"/>
          <w:lang w:val="nb-NO"/>
        </w:rPr>
        <w:t xml:space="preserve">å </w:t>
      </w:r>
      <w:r w:rsidR="00E764F4" w:rsidRPr="00545991">
        <w:rPr>
          <w:rFonts w:ascii="Times New Roman" w:hAnsi="Times New Roman" w:cs="Times New Roman"/>
          <w:sz w:val="24"/>
          <w:szCs w:val="24"/>
          <w:lang w:val="nb-NO"/>
        </w:rPr>
        <w:t>avklar</w:t>
      </w:r>
      <w:r w:rsidR="00E70380" w:rsidRPr="00545991">
        <w:rPr>
          <w:rFonts w:ascii="Times New Roman" w:hAnsi="Times New Roman" w:cs="Times New Roman"/>
          <w:sz w:val="24"/>
          <w:szCs w:val="24"/>
          <w:lang w:val="nb-NO"/>
        </w:rPr>
        <w:t>e</w:t>
      </w:r>
      <w:r w:rsidR="00E764F4" w:rsidRPr="00545991">
        <w:rPr>
          <w:rFonts w:ascii="Times New Roman" w:hAnsi="Times New Roman" w:cs="Times New Roman"/>
          <w:sz w:val="24"/>
          <w:szCs w:val="24"/>
          <w:lang w:val="nb-NO"/>
        </w:rPr>
        <w:t xml:space="preserve"> </w:t>
      </w:r>
      <w:r w:rsidRPr="00545991">
        <w:rPr>
          <w:rFonts w:ascii="Times New Roman" w:hAnsi="Times New Roman" w:cs="Times New Roman"/>
          <w:sz w:val="24"/>
          <w:szCs w:val="24"/>
          <w:lang w:val="nb-NO"/>
        </w:rPr>
        <w:t xml:space="preserve">for </w:t>
      </w:r>
      <w:r w:rsidR="00AD4809" w:rsidRPr="00545991">
        <w:rPr>
          <w:rFonts w:ascii="Times New Roman" w:hAnsi="Times New Roman" w:cs="Times New Roman"/>
          <w:sz w:val="24"/>
          <w:szCs w:val="24"/>
          <w:lang w:val="nb-NO"/>
        </w:rPr>
        <w:t xml:space="preserve">hvilken region målingene foretas. </w:t>
      </w:r>
      <w:r w:rsidR="00E70380" w:rsidRPr="00545991">
        <w:rPr>
          <w:rFonts w:ascii="Times New Roman" w:hAnsi="Times New Roman" w:cs="Times New Roman"/>
          <w:sz w:val="24"/>
          <w:szCs w:val="24"/>
          <w:lang w:val="nb-NO"/>
        </w:rPr>
        <w:t>D</w:t>
      </w:r>
      <w:r w:rsidRPr="00545991">
        <w:rPr>
          <w:rFonts w:ascii="Times New Roman" w:hAnsi="Times New Roman" w:cs="Times New Roman"/>
          <w:sz w:val="24"/>
          <w:szCs w:val="24"/>
          <w:lang w:val="nb-NO"/>
        </w:rPr>
        <w:t xml:space="preserve">ess større regionen er, dess </w:t>
      </w:r>
      <w:r w:rsidR="00574F75">
        <w:rPr>
          <w:rFonts w:ascii="Times New Roman" w:hAnsi="Times New Roman" w:cs="Times New Roman"/>
          <w:sz w:val="24"/>
          <w:szCs w:val="24"/>
          <w:lang w:val="nb-NO"/>
        </w:rPr>
        <w:t xml:space="preserve">mer </w:t>
      </w:r>
      <w:r w:rsidRPr="00545991">
        <w:rPr>
          <w:rFonts w:ascii="Times New Roman" w:hAnsi="Times New Roman" w:cs="Times New Roman"/>
          <w:sz w:val="24"/>
          <w:szCs w:val="24"/>
          <w:lang w:val="nb-NO"/>
        </w:rPr>
        <w:t xml:space="preserve">selvforsyning og dess mindre </w:t>
      </w:r>
      <w:r w:rsidR="00E764F4" w:rsidRPr="00545991">
        <w:rPr>
          <w:rFonts w:ascii="Times New Roman" w:hAnsi="Times New Roman" w:cs="Times New Roman"/>
          <w:sz w:val="24"/>
          <w:szCs w:val="24"/>
          <w:lang w:val="nb-NO"/>
        </w:rPr>
        <w:t xml:space="preserve">lekkasjer. </w:t>
      </w:r>
      <w:r w:rsidR="00AD4809" w:rsidRPr="00545991">
        <w:rPr>
          <w:rFonts w:ascii="Times New Roman" w:hAnsi="Times New Roman" w:cs="Times New Roman"/>
          <w:sz w:val="24"/>
          <w:szCs w:val="24"/>
          <w:lang w:val="nb-NO"/>
        </w:rPr>
        <w:t xml:space="preserve">Hvis regionen </w:t>
      </w:r>
      <w:r w:rsidR="00671C83">
        <w:rPr>
          <w:rFonts w:ascii="Times New Roman" w:hAnsi="Times New Roman" w:cs="Times New Roman"/>
          <w:sz w:val="24"/>
          <w:szCs w:val="24"/>
          <w:lang w:val="nb-NO"/>
        </w:rPr>
        <w:t xml:space="preserve">omfatter </w:t>
      </w:r>
      <w:r w:rsidR="00AD4809" w:rsidRPr="00545991">
        <w:rPr>
          <w:rFonts w:ascii="Times New Roman" w:hAnsi="Times New Roman" w:cs="Times New Roman"/>
          <w:sz w:val="24"/>
          <w:szCs w:val="24"/>
          <w:lang w:val="nb-NO"/>
        </w:rPr>
        <w:t>hele landet</w:t>
      </w:r>
      <w:r w:rsidR="00574F75">
        <w:rPr>
          <w:rFonts w:ascii="Times New Roman" w:hAnsi="Times New Roman" w:cs="Times New Roman"/>
          <w:sz w:val="24"/>
          <w:szCs w:val="24"/>
          <w:lang w:val="nb-NO"/>
        </w:rPr>
        <w:t>,</w:t>
      </w:r>
      <w:r w:rsidR="00AD4809" w:rsidRPr="00545991">
        <w:rPr>
          <w:rFonts w:ascii="Times New Roman" w:hAnsi="Times New Roman" w:cs="Times New Roman"/>
          <w:sz w:val="24"/>
          <w:szCs w:val="24"/>
          <w:lang w:val="nb-NO"/>
        </w:rPr>
        <w:t xml:space="preserve"> vil andelen interne overføringer øke vesentlig. </w:t>
      </w:r>
      <w:r w:rsidR="004058B3">
        <w:rPr>
          <w:rFonts w:ascii="Times New Roman" w:hAnsi="Times New Roman" w:cs="Times New Roman"/>
          <w:sz w:val="24"/>
          <w:szCs w:val="24"/>
          <w:lang w:val="nb-NO"/>
        </w:rPr>
        <w:t>Det kan også</w:t>
      </w:r>
      <w:r w:rsidR="00671C83">
        <w:rPr>
          <w:rFonts w:ascii="Times New Roman" w:hAnsi="Times New Roman" w:cs="Times New Roman"/>
          <w:sz w:val="24"/>
          <w:szCs w:val="24"/>
          <w:lang w:val="nb-NO"/>
        </w:rPr>
        <w:t xml:space="preserve"> gjøres </w:t>
      </w:r>
      <w:r w:rsidR="00671C83" w:rsidRPr="00545991">
        <w:rPr>
          <w:rFonts w:ascii="Times New Roman" w:hAnsi="Times New Roman" w:cs="Times New Roman"/>
          <w:sz w:val="24"/>
          <w:szCs w:val="24"/>
          <w:lang w:val="nb-NO"/>
        </w:rPr>
        <w:t>midlertidige etableringer</w:t>
      </w:r>
      <w:r w:rsidR="004058B3">
        <w:rPr>
          <w:rFonts w:ascii="Times New Roman" w:hAnsi="Times New Roman" w:cs="Times New Roman"/>
          <w:sz w:val="24"/>
          <w:szCs w:val="24"/>
          <w:lang w:val="nb-NO"/>
        </w:rPr>
        <w:t xml:space="preserve"> i hotell- og serveringsbransjen</w:t>
      </w:r>
      <w:r w:rsidR="00671C83" w:rsidRPr="00545991">
        <w:rPr>
          <w:rFonts w:ascii="Times New Roman" w:hAnsi="Times New Roman" w:cs="Times New Roman"/>
          <w:sz w:val="24"/>
          <w:szCs w:val="24"/>
          <w:lang w:val="nb-NO"/>
        </w:rPr>
        <w:t xml:space="preserve">, eller at privatpersoner leier ut hus eller rom. Dette vil </w:t>
      </w:r>
      <w:r w:rsidR="00671C83">
        <w:rPr>
          <w:rFonts w:ascii="Times New Roman" w:hAnsi="Times New Roman" w:cs="Times New Roman"/>
          <w:sz w:val="24"/>
          <w:szCs w:val="24"/>
          <w:lang w:val="nb-NO"/>
        </w:rPr>
        <w:t xml:space="preserve">i så fall </w:t>
      </w:r>
      <w:r w:rsidR="00671C83" w:rsidRPr="00545991">
        <w:rPr>
          <w:rFonts w:ascii="Times New Roman" w:hAnsi="Times New Roman" w:cs="Times New Roman"/>
          <w:sz w:val="24"/>
          <w:szCs w:val="24"/>
          <w:lang w:val="nb-NO"/>
        </w:rPr>
        <w:t>være et supplement til den ordinære utleievirksomheten.</w:t>
      </w:r>
      <w:r w:rsidR="00671C83" w:rsidRPr="002775D4">
        <w:rPr>
          <w:rFonts w:ascii="Times New Roman" w:hAnsi="Times New Roman" w:cs="Times New Roman"/>
          <w:sz w:val="24"/>
          <w:szCs w:val="24"/>
          <w:lang w:val="nb-NO"/>
        </w:rPr>
        <w:t xml:space="preserve"> </w:t>
      </w:r>
      <w:r w:rsidR="00AD4809" w:rsidRPr="00545991">
        <w:rPr>
          <w:rFonts w:ascii="Times New Roman" w:hAnsi="Times New Roman" w:cs="Times New Roman"/>
          <w:sz w:val="24"/>
          <w:szCs w:val="24"/>
          <w:lang w:val="nb-NO"/>
        </w:rPr>
        <w:t xml:space="preserve">Se </w:t>
      </w:r>
      <w:r w:rsidR="00CD6A33">
        <w:rPr>
          <w:rFonts w:ascii="Times New Roman" w:hAnsi="Times New Roman" w:cs="Times New Roman"/>
          <w:sz w:val="24"/>
          <w:szCs w:val="24"/>
          <w:lang w:val="nb-NO"/>
        </w:rPr>
        <w:t xml:space="preserve">for øvrig </w:t>
      </w:r>
      <w:r w:rsidR="00AD4809" w:rsidRPr="00545991">
        <w:rPr>
          <w:rFonts w:ascii="Times New Roman" w:hAnsi="Times New Roman" w:cs="Times New Roman"/>
          <w:sz w:val="24"/>
          <w:szCs w:val="24"/>
          <w:lang w:val="nb-NO"/>
        </w:rPr>
        <w:t>Crompton (1995), Kwiatowski (2016) og Preuss (2005) for grundigere drøftinger om disse forholdene.</w:t>
      </w:r>
      <w:r w:rsidR="00E764F4" w:rsidRPr="00545991">
        <w:rPr>
          <w:rFonts w:ascii="Times New Roman" w:hAnsi="Times New Roman" w:cs="Times New Roman"/>
          <w:sz w:val="24"/>
          <w:szCs w:val="24"/>
          <w:lang w:val="nb-NO"/>
        </w:rPr>
        <w:t xml:space="preserve"> </w:t>
      </w:r>
    </w:p>
    <w:p w14:paraId="63FE1EBD" w14:textId="2FDAD0ED" w:rsidR="00E764F4" w:rsidRPr="00545991" w:rsidRDefault="00E764F4" w:rsidP="00482F98">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For arrangementer som har eksterne eiere, eksempelvis et internasjonalt forbund</w:t>
      </w:r>
      <w:r w:rsidR="00482F98" w:rsidRPr="00545991">
        <w:rPr>
          <w:rFonts w:ascii="Times New Roman" w:hAnsi="Times New Roman" w:cs="Times New Roman"/>
          <w:sz w:val="24"/>
          <w:szCs w:val="24"/>
          <w:lang w:val="nb-NO"/>
        </w:rPr>
        <w:t xml:space="preserve"> sli</w:t>
      </w:r>
      <w:r w:rsidR="00D42C2B">
        <w:rPr>
          <w:rFonts w:ascii="Times New Roman" w:hAnsi="Times New Roman" w:cs="Times New Roman"/>
          <w:sz w:val="24"/>
          <w:szCs w:val="24"/>
          <w:lang w:val="nb-NO"/>
        </w:rPr>
        <w:t>k</w:t>
      </w:r>
      <w:r w:rsidR="00E53EA3">
        <w:rPr>
          <w:rFonts w:ascii="Times New Roman" w:hAnsi="Times New Roman" w:cs="Times New Roman"/>
          <w:sz w:val="24"/>
          <w:szCs w:val="24"/>
          <w:lang w:val="nb-NO"/>
        </w:rPr>
        <w:t xml:space="preserve"> tilfellet er </w:t>
      </w:r>
      <w:r w:rsidR="00482F98" w:rsidRPr="00545991">
        <w:rPr>
          <w:rFonts w:ascii="Times New Roman" w:hAnsi="Times New Roman" w:cs="Times New Roman"/>
          <w:sz w:val="24"/>
          <w:szCs w:val="24"/>
          <w:lang w:val="nb-NO"/>
        </w:rPr>
        <w:t>for Sjakk-OL</w:t>
      </w:r>
      <w:r w:rsidRPr="00545991">
        <w:rPr>
          <w:rFonts w:ascii="Times New Roman" w:hAnsi="Times New Roman" w:cs="Times New Roman"/>
          <w:sz w:val="24"/>
          <w:szCs w:val="24"/>
          <w:lang w:val="nb-NO"/>
        </w:rPr>
        <w:t xml:space="preserve">, vil arrangørene som regel betale avgifter til eierne. I tillegg kan eierne </w:t>
      </w:r>
      <w:r w:rsidRPr="00545991">
        <w:rPr>
          <w:rFonts w:ascii="Times New Roman" w:hAnsi="Times New Roman" w:cs="Times New Roman"/>
          <w:sz w:val="24"/>
          <w:szCs w:val="24"/>
          <w:lang w:val="nb-NO"/>
        </w:rPr>
        <w:lastRenderedPageBreak/>
        <w:t>også ta en del av inntektene, eksempelvis fra sponsorer. I det regionaløkonomiske regnskapet vil slike overføringer være lekkasjer</w:t>
      </w:r>
      <w:r w:rsidR="00CD6A33">
        <w:rPr>
          <w:rFonts w:ascii="Times New Roman" w:hAnsi="Times New Roman" w:cs="Times New Roman"/>
          <w:sz w:val="24"/>
          <w:szCs w:val="24"/>
          <w:lang w:val="nb-NO"/>
        </w:rPr>
        <w:t xml:space="preserve">, noe som er </w:t>
      </w:r>
      <w:r w:rsidR="00482F98" w:rsidRPr="00545991">
        <w:rPr>
          <w:rFonts w:ascii="Times New Roman" w:hAnsi="Times New Roman" w:cs="Times New Roman"/>
          <w:sz w:val="24"/>
          <w:szCs w:val="24"/>
          <w:lang w:val="nb-NO"/>
        </w:rPr>
        <w:t>drøftet nedenfor.</w:t>
      </w:r>
    </w:p>
    <w:p w14:paraId="26EE15B9" w14:textId="77777777" w:rsidR="00850197" w:rsidRPr="00545991" w:rsidRDefault="00850197" w:rsidP="00850197">
      <w:pPr>
        <w:spacing w:line="360" w:lineRule="auto"/>
        <w:jc w:val="both"/>
        <w:rPr>
          <w:rFonts w:ascii="Times New Roman" w:hAnsi="Times New Roman" w:cs="Times New Roman"/>
          <w:sz w:val="24"/>
          <w:szCs w:val="24"/>
          <w:lang w:val="nb-NO"/>
        </w:rPr>
      </w:pPr>
    </w:p>
    <w:p w14:paraId="16C4249D" w14:textId="77777777" w:rsidR="003B2B01" w:rsidRPr="00545991" w:rsidRDefault="00505300" w:rsidP="001E4870">
      <w:pPr>
        <w:pStyle w:val="Overskrift1"/>
        <w:numPr>
          <w:ilvl w:val="0"/>
          <w:numId w:val="6"/>
        </w:numPr>
        <w:spacing w:line="360" w:lineRule="auto"/>
        <w:ind w:left="360"/>
        <w:rPr>
          <w:lang w:val="nb-NO"/>
        </w:rPr>
      </w:pPr>
      <w:r w:rsidRPr="00545991">
        <w:rPr>
          <w:lang w:val="nb-NO"/>
        </w:rPr>
        <w:t>Datainnsamling og metoder</w:t>
      </w:r>
    </w:p>
    <w:p w14:paraId="7DBD5CAB" w14:textId="69C15B65" w:rsidR="009D7ECE" w:rsidRPr="00545991" w:rsidRDefault="00E70380" w:rsidP="00850197">
      <w:pPr>
        <w:spacing w:line="360" w:lineRule="auto"/>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Når </w:t>
      </w:r>
      <w:r w:rsidR="00692913">
        <w:rPr>
          <w:rFonts w:ascii="Times New Roman" w:hAnsi="Times New Roman" w:cs="Times New Roman"/>
          <w:sz w:val="24"/>
          <w:szCs w:val="24"/>
          <w:lang w:val="nb-NO"/>
        </w:rPr>
        <w:t xml:space="preserve">en </w:t>
      </w:r>
      <w:r w:rsidRPr="00545991">
        <w:rPr>
          <w:rFonts w:ascii="Times New Roman" w:hAnsi="Times New Roman" w:cs="Times New Roman"/>
          <w:sz w:val="24"/>
          <w:szCs w:val="24"/>
          <w:lang w:val="nb-NO"/>
        </w:rPr>
        <w:t>saml</w:t>
      </w:r>
      <w:r w:rsidR="00692913">
        <w:rPr>
          <w:rFonts w:ascii="Times New Roman" w:hAnsi="Times New Roman" w:cs="Times New Roman"/>
          <w:sz w:val="24"/>
          <w:szCs w:val="24"/>
          <w:lang w:val="nb-NO"/>
        </w:rPr>
        <w:t xml:space="preserve">er inn data </w:t>
      </w:r>
      <w:r w:rsidR="00BD6966">
        <w:rPr>
          <w:rFonts w:ascii="Times New Roman" w:hAnsi="Times New Roman" w:cs="Times New Roman"/>
          <w:sz w:val="24"/>
          <w:szCs w:val="24"/>
          <w:lang w:val="nb-NO"/>
        </w:rPr>
        <w:t xml:space="preserve">over </w:t>
      </w:r>
      <w:r w:rsidR="009D7ECE" w:rsidRPr="00545991">
        <w:rPr>
          <w:rFonts w:ascii="Times New Roman" w:hAnsi="Times New Roman" w:cs="Times New Roman"/>
          <w:sz w:val="24"/>
          <w:szCs w:val="24"/>
          <w:lang w:val="nb-NO"/>
        </w:rPr>
        <w:t xml:space="preserve">etterspørselen </w:t>
      </w:r>
      <w:r w:rsidR="00692913">
        <w:rPr>
          <w:rFonts w:ascii="Times New Roman" w:hAnsi="Times New Roman" w:cs="Times New Roman"/>
          <w:sz w:val="24"/>
          <w:szCs w:val="24"/>
          <w:lang w:val="nb-NO"/>
        </w:rPr>
        <w:t xml:space="preserve">fra </w:t>
      </w:r>
      <w:r w:rsidR="009D7ECE" w:rsidRPr="00545991">
        <w:rPr>
          <w:rFonts w:ascii="Times New Roman" w:hAnsi="Times New Roman" w:cs="Times New Roman"/>
          <w:sz w:val="24"/>
          <w:szCs w:val="24"/>
          <w:lang w:val="nb-NO"/>
        </w:rPr>
        <w:t xml:space="preserve">tilreisende </w:t>
      </w:r>
      <w:r w:rsidR="00CD6A33">
        <w:rPr>
          <w:rFonts w:ascii="Times New Roman" w:hAnsi="Times New Roman" w:cs="Times New Roman"/>
          <w:sz w:val="24"/>
          <w:szCs w:val="24"/>
          <w:lang w:val="nb-NO"/>
        </w:rPr>
        <w:t xml:space="preserve">turister har man </w:t>
      </w:r>
      <w:r w:rsidRPr="00545991">
        <w:rPr>
          <w:rFonts w:ascii="Times New Roman" w:hAnsi="Times New Roman" w:cs="Times New Roman"/>
          <w:sz w:val="24"/>
          <w:szCs w:val="24"/>
          <w:lang w:val="nb-NO"/>
        </w:rPr>
        <w:t>to alternative</w:t>
      </w:r>
      <w:r w:rsidR="00CD6A33">
        <w:rPr>
          <w:rFonts w:ascii="Times New Roman" w:hAnsi="Times New Roman" w:cs="Times New Roman"/>
          <w:sz w:val="24"/>
          <w:szCs w:val="24"/>
          <w:lang w:val="nb-NO"/>
        </w:rPr>
        <w:t xml:space="preserve"> framgangsmåter</w:t>
      </w:r>
      <w:r w:rsidR="000C7260" w:rsidRPr="00545991">
        <w:rPr>
          <w:rFonts w:ascii="Times New Roman" w:hAnsi="Times New Roman" w:cs="Times New Roman"/>
          <w:sz w:val="24"/>
          <w:szCs w:val="24"/>
          <w:lang w:val="nb-NO"/>
        </w:rPr>
        <w:t xml:space="preserve">; </w:t>
      </w:r>
      <w:r w:rsidR="004F520D" w:rsidRPr="00545991">
        <w:rPr>
          <w:rFonts w:ascii="Times New Roman" w:hAnsi="Times New Roman" w:cs="Times New Roman"/>
          <w:sz w:val="24"/>
          <w:szCs w:val="24"/>
          <w:lang w:val="nb-NO"/>
        </w:rPr>
        <w:t xml:space="preserve">direkte og indirekte metoder. </w:t>
      </w:r>
      <w:r w:rsidR="00725F8A" w:rsidRPr="00545991">
        <w:rPr>
          <w:rFonts w:ascii="Times New Roman" w:hAnsi="Times New Roman" w:cs="Times New Roman"/>
          <w:sz w:val="24"/>
          <w:szCs w:val="24"/>
          <w:lang w:val="nb-NO"/>
        </w:rPr>
        <w:t>D</w:t>
      </w:r>
      <w:r w:rsidR="004F520D" w:rsidRPr="00545991">
        <w:rPr>
          <w:rFonts w:ascii="Times New Roman" w:hAnsi="Times New Roman" w:cs="Times New Roman"/>
          <w:sz w:val="24"/>
          <w:szCs w:val="24"/>
          <w:lang w:val="nb-NO"/>
        </w:rPr>
        <w:t>e direkte metodene baserer seg på intervjuer med et representativt utvalg av de besøkende</w:t>
      </w:r>
      <w:r w:rsidRPr="00545991">
        <w:rPr>
          <w:rFonts w:ascii="Times New Roman" w:hAnsi="Times New Roman" w:cs="Times New Roman"/>
          <w:sz w:val="24"/>
          <w:szCs w:val="24"/>
          <w:lang w:val="nb-NO"/>
        </w:rPr>
        <w:t xml:space="preserve">. </w:t>
      </w:r>
      <w:r w:rsidR="00BD6966">
        <w:rPr>
          <w:rFonts w:ascii="Times New Roman" w:hAnsi="Times New Roman" w:cs="Times New Roman"/>
          <w:sz w:val="24"/>
          <w:szCs w:val="24"/>
          <w:lang w:val="nb-NO"/>
        </w:rPr>
        <w:t xml:space="preserve">Dette kan gjøres mens arrangementet pågår, eller i etterkant. </w:t>
      </w:r>
      <w:r w:rsidR="009D7ECE" w:rsidRPr="00545991">
        <w:rPr>
          <w:rFonts w:ascii="Times New Roman" w:hAnsi="Times New Roman" w:cs="Times New Roman"/>
          <w:sz w:val="24"/>
          <w:szCs w:val="24"/>
          <w:lang w:val="nb-NO"/>
        </w:rPr>
        <w:t xml:space="preserve">Denne metoden </w:t>
      </w:r>
      <w:r w:rsidR="004F520D" w:rsidRPr="00545991">
        <w:rPr>
          <w:rFonts w:ascii="Times New Roman" w:hAnsi="Times New Roman" w:cs="Times New Roman"/>
          <w:sz w:val="24"/>
          <w:szCs w:val="24"/>
          <w:lang w:val="nb-NO"/>
        </w:rPr>
        <w:t xml:space="preserve">har </w:t>
      </w:r>
      <w:r w:rsidR="009D7ECE" w:rsidRPr="00545991">
        <w:rPr>
          <w:rFonts w:ascii="Times New Roman" w:hAnsi="Times New Roman" w:cs="Times New Roman"/>
          <w:sz w:val="24"/>
          <w:szCs w:val="24"/>
          <w:lang w:val="nb-NO"/>
        </w:rPr>
        <w:t>sine</w:t>
      </w:r>
      <w:r w:rsidR="004F520D" w:rsidRPr="00545991">
        <w:rPr>
          <w:rFonts w:ascii="Times New Roman" w:hAnsi="Times New Roman" w:cs="Times New Roman"/>
          <w:sz w:val="24"/>
          <w:szCs w:val="24"/>
          <w:lang w:val="nb-NO"/>
        </w:rPr>
        <w:t xml:space="preserve"> begrensninger dersom </w:t>
      </w:r>
      <w:r w:rsidR="00692913">
        <w:rPr>
          <w:rFonts w:ascii="Times New Roman" w:hAnsi="Times New Roman" w:cs="Times New Roman"/>
          <w:sz w:val="24"/>
          <w:szCs w:val="24"/>
          <w:lang w:val="nb-NO"/>
        </w:rPr>
        <w:t xml:space="preserve">forbruket helt eller delvis </w:t>
      </w:r>
      <w:r w:rsidR="004F520D" w:rsidRPr="00545991">
        <w:rPr>
          <w:rFonts w:ascii="Times New Roman" w:hAnsi="Times New Roman" w:cs="Times New Roman"/>
          <w:sz w:val="24"/>
          <w:szCs w:val="24"/>
          <w:lang w:val="nb-NO"/>
        </w:rPr>
        <w:t>dekke</w:t>
      </w:r>
      <w:r w:rsidR="0012469A" w:rsidRPr="00545991">
        <w:rPr>
          <w:rFonts w:ascii="Times New Roman" w:hAnsi="Times New Roman" w:cs="Times New Roman"/>
          <w:sz w:val="24"/>
          <w:szCs w:val="24"/>
          <w:lang w:val="nb-NO"/>
        </w:rPr>
        <w:t>s</w:t>
      </w:r>
      <w:r w:rsidR="004F520D" w:rsidRPr="00545991">
        <w:rPr>
          <w:rFonts w:ascii="Times New Roman" w:hAnsi="Times New Roman" w:cs="Times New Roman"/>
          <w:sz w:val="24"/>
          <w:szCs w:val="24"/>
          <w:lang w:val="nb-NO"/>
        </w:rPr>
        <w:t xml:space="preserve"> av andre</w:t>
      </w:r>
      <w:r w:rsidR="009D7ECE" w:rsidRPr="00545991">
        <w:rPr>
          <w:rFonts w:ascii="Times New Roman" w:hAnsi="Times New Roman" w:cs="Times New Roman"/>
          <w:sz w:val="24"/>
          <w:szCs w:val="24"/>
          <w:lang w:val="nb-NO"/>
        </w:rPr>
        <w:t>, noe som var tilfelle under Sjakk-OL</w:t>
      </w:r>
      <w:r w:rsidR="00BD01E2" w:rsidRPr="00545991">
        <w:rPr>
          <w:rFonts w:ascii="Times New Roman" w:hAnsi="Times New Roman" w:cs="Times New Roman"/>
          <w:sz w:val="24"/>
          <w:szCs w:val="24"/>
          <w:lang w:val="nb-NO"/>
        </w:rPr>
        <w:t xml:space="preserve">. COT2014 finansierte </w:t>
      </w:r>
      <w:r w:rsidR="00482F98" w:rsidRPr="00545991">
        <w:rPr>
          <w:rFonts w:ascii="Times New Roman" w:hAnsi="Times New Roman" w:cs="Times New Roman"/>
          <w:sz w:val="24"/>
          <w:szCs w:val="24"/>
          <w:lang w:val="nb-NO"/>
        </w:rPr>
        <w:t xml:space="preserve">mat og </w:t>
      </w:r>
      <w:r w:rsidR="00BD01E2" w:rsidRPr="00545991">
        <w:rPr>
          <w:rFonts w:ascii="Times New Roman" w:hAnsi="Times New Roman" w:cs="Times New Roman"/>
          <w:sz w:val="24"/>
          <w:szCs w:val="24"/>
          <w:lang w:val="nb-NO"/>
        </w:rPr>
        <w:t>overnatting for alle de 1</w:t>
      </w:r>
      <w:r w:rsidR="00482F98" w:rsidRPr="00545991">
        <w:rPr>
          <w:rFonts w:ascii="Times New Roman" w:hAnsi="Times New Roman" w:cs="Times New Roman"/>
          <w:sz w:val="24"/>
          <w:szCs w:val="24"/>
          <w:lang w:val="nb-NO"/>
        </w:rPr>
        <w:t xml:space="preserve"> </w:t>
      </w:r>
      <w:r w:rsidR="00BD01E2" w:rsidRPr="00545991">
        <w:rPr>
          <w:rFonts w:ascii="Times New Roman" w:hAnsi="Times New Roman" w:cs="Times New Roman"/>
          <w:sz w:val="24"/>
          <w:szCs w:val="24"/>
          <w:lang w:val="nb-NO"/>
        </w:rPr>
        <w:t xml:space="preserve">518 spillerne, </w:t>
      </w:r>
      <w:r w:rsidR="004F520D" w:rsidRPr="00545991">
        <w:rPr>
          <w:rFonts w:ascii="Times New Roman" w:hAnsi="Times New Roman" w:cs="Times New Roman"/>
          <w:sz w:val="24"/>
          <w:szCs w:val="24"/>
          <w:lang w:val="nb-NO"/>
        </w:rPr>
        <w:t>styremedlemmene i FIDE</w:t>
      </w:r>
      <w:r w:rsidR="009D7ECE" w:rsidRPr="00545991">
        <w:rPr>
          <w:rFonts w:ascii="Times New Roman" w:hAnsi="Times New Roman" w:cs="Times New Roman"/>
          <w:sz w:val="24"/>
          <w:szCs w:val="24"/>
          <w:lang w:val="nb-NO"/>
        </w:rPr>
        <w:t xml:space="preserve">, VIP-gjester, samt </w:t>
      </w:r>
      <w:r w:rsidR="008E15F4" w:rsidRPr="00545991">
        <w:rPr>
          <w:rFonts w:ascii="Times New Roman" w:hAnsi="Times New Roman" w:cs="Times New Roman"/>
          <w:sz w:val="24"/>
          <w:szCs w:val="24"/>
          <w:lang w:val="nb-NO"/>
        </w:rPr>
        <w:t>tilreisende funksjonærer</w:t>
      </w:r>
      <w:r w:rsidR="004F520D" w:rsidRPr="00545991">
        <w:rPr>
          <w:rFonts w:ascii="Times New Roman" w:hAnsi="Times New Roman" w:cs="Times New Roman"/>
          <w:sz w:val="24"/>
          <w:szCs w:val="24"/>
          <w:lang w:val="nb-NO"/>
        </w:rPr>
        <w:t>. Når andre betaler</w:t>
      </w:r>
      <w:r w:rsidR="00725F8A" w:rsidRPr="00545991">
        <w:rPr>
          <w:rFonts w:ascii="Times New Roman" w:hAnsi="Times New Roman" w:cs="Times New Roman"/>
          <w:sz w:val="24"/>
          <w:szCs w:val="24"/>
          <w:lang w:val="nb-NO"/>
        </w:rPr>
        <w:t xml:space="preserve"> har man </w:t>
      </w:r>
      <w:r w:rsidR="004F520D" w:rsidRPr="00545991">
        <w:rPr>
          <w:rFonts w:ascii="Times New Roman" w:hAnsi="Times New Roman" w:cs="Times New Roman"/>
          <w:sz w:val="24"/>
          <w:szCs w:val="24"/>
          <w:lang w:val="nb-NO"/>
        </w:rPr>
        <w:t xml:space="preserve">som regel </w:t>
      </w:r>
      <w:r w:rsidR="00725F8A" w:rsidRPr="00545991">
        <w:rPr>
          <w:rFonts w:ascii="Times New Roman" w:hAnsi="Times New Roman" w:cs="Times New Roman"/>
          <w:sz w:val="24"/>
          <w:szCs w:val="24"/>
          <w:lang w:val="nb-NO"/>
        </w:rPr>
        <w:t xml:space="preserve">ikke </w:t>
      </w:r>
      <w:r w:rsidR="004F520D" w:rsidRPr="00545991">
        <w:rPr>
          <w:rFonts w:ascii="Times New Roman" w:hAnsi="Times New Roman" w:cs="Times New Roman"/>
          <w:sz w:val="24"/>
          <w:szCs w:val="24"/>
          <w:lang w:val="nb-NO"/>
        </w:rPr>
        <w:t>kjennskap</w:t>
      </w:r>
      <w:r w:rsidR="00B61228" w:rsidRPr="00545991">
        <w:rPr>
          <w:rFonts w:ascii="Times New Roman" w:hAnsi="Times New Roman" w:cs="Times New Roman"/>
          <w:sz w:val="24"/>
          <w:szCs w:val="24"/>
          <w:lang w:val="nb-NO"/>
        </w:rPr>
        <w:t xml:space="preserve"> </w:t>
      </w:r>
      <w:r w:rsidR="0012469A" w:rsidRPr="00545991">
        <w:rPr>
          <w:rFonts w:ascii="Times New Roman" w:hAnsi="Times New Roman" w:cs="Times New Roman"/>
          <w:sz w:val="24"/>
          <w:szCs w:val="24"/>
          <w:lang w:val="nb-NO"/>
        </w:rPr>
        <w:t xml:space="preserve">til </w:t>
      </w:r>
      <w:r w:rsidR="00482F98" w:rsidRPr="00545991">
        <w:rPr>
          <w:rFonts w:ascii="Times New Roman" w:hAnsi="Times New Roman" w:cs="Times New Roman"/>
          <w:sz w:val="24"/>
          <w:szCs w:val="24"/>
          <w:lang w:val="nb-NO"/>
        </w:rPr>
        <w:t>de faktiske kostnadene</w:t>
      </w:r>
      <w:r w:rsidR="004F520D" w:rsidRPr="00545991">
        <w:rPr>
          <w:rFonts w:ascii="Times New Roman" w:hAnsi="Times New Roman" w:cs="Times New Roman"/>
          <w:sz w:val="24"/>
          <w:szCs w:val="24"/>
          <w:lang w:val="nb-NO"/>
        </w:rPr>
        <w:t>.</w:t>
      </w:r>
      <w:r w:rsidR="009D7ECE" w:rsidRPr="00545991">
        <w:rPr>
          <w:rFonts w:ascii="Times New Roman" w:hAnsi="Times New Roman" w:cs="Times New Roman"/>
          <w:sz w:val="24"/>
          <w:szCs w:val="24"/>
          <w:lang w:val="nb-NO"/>
        </w:rPr>
        <w:t xml:space="preserve"> I slike tilfeller kan det suppleres </w:t>
      </w:r>
      <w:r w:rsidR="0012469A" w:rsidRPr="00545991">
        <w:rPr>
          <w:rFonts w:ascii="Times New Roman" w:hAnsi="Times New Roman" w:cs="Times New Roman"/>
          <w:sz w:val="24"/>
          <w:szCs w:val="24"/>
          <w:lang w:val="nb-NO"/>
        </w:rPr>
        <w:t>med data</w:t>
      </w:r>
      <w:r w:rsidR="00692913">
        <w:rPr>
          <w:rFonts w:ascii="Times New Roman" w:hAnsi="Times New Roman" w:cs="Times New Roman"/>
          <w:sz w:val="24"/>
          <w:szCs w:val="24"/>
          <w:lang w:val="nb-NO"/>
        </w:rPr>
        <w:t xml:space="preserve"> </w:t>
      </w:r>
      <w:r w:rsidR="009D7ECE" w:rsidRPr="00545991">
        <w:rPr>
          <w:rFonts w:ascii="Times New Roman" w:hAnsi="Times New Roman" w:cs="Times New Roman"/>
          <w:sz w:val="24"/>
          <w:szCs w:val="24"/>
          <w:lang w:val="nb-NO"/>
        </w:rPr>
        <w:t>fra produsentene</w:t>
      </w:r>
      <w:r w:rsidR="0012469A" w:rsidRPr="00545991">
        <w:rPr>
          <w:rFonts w:ascii="Times New Roman" w:hAnsi="Times New Roman" w:cs="Times New Roman"/>
          <w:sz w:val="24"/>
          <w:szCs w:val="24"/>
          <w:lang w:val="nb-NO"/>
        </w:rPr>
        <w:t xml:space="preserve"> av de aktuelle tjenestene</w:t>
      </w:r>
      <w:r w:rsidR="009D7ECE" w:rsidRPr="00545991">
        <w:rPr>
          <w:rFonts w:ascii="Times New Roman" w:hAnsi="Times New Roman" w:cs="Times New Roman"/>
          <w:sz w:val="24"/>
          <w:szCs w:val="24"/>
          <w:lang w:val="nb-NO"/>
        </w:rPr>
        <w:t xml:space="preserve">, eksempelvis </w:t>
      </w:r>
      <w:r w:rsidR="0012469A" w:rsidRPr="00545991">
        <w:rPr>
          <w:rFonts w:ascii="Times New Roman" w:hAnsi="Times New Roman" w:cs="Times New Roman"/>
          <w:sz w:val="24"/>
          <w:szCs w:val="24"/>
          <w:lang w:val="nb-NO"/>
        </w:rPr>
        <w:t xml:space="preserve">for </w:t>
      </w:r>
      <w:r w:rsidR="009D7ECE" w:rsidRPr="00545991">
        <w:rPr>
          <w:rFonts w:ascii="Times New Roman" w:hAnsi="Times New Roman" w:cs="Times New Roman"/>
          <w:sz w:val="24"/>
          <w:szCs w:val="24"/>
          <w:lang w:val="nb-NO"/>
        </w:rPr>
        <w:t>overnatting</w:t>
      </w:r>
      <w:r w:rsidR="00482F98" w:rsidRPr="00545991">
        <w:rPr>
          <w:rFonts w:ascii="Times New Roman" w:hAnsi="Times New Roman" w:cs="Times New Roman"/>
          <w:sz w:val="24"/>
          <w:szCs w:val="24"/>
          <w:lang w:val="nb-NO"/>
        </w:rPr>
        <w:t>s-</w:t>
      </w:r>
      <w:r w:rsidR="009D7ECE" w:rsidRPr="00545991">
        <w:rPr>
          <w:rFonts w:ascii="Times New Roman" w:hAnsi="Times New Roman" w:cs="Times New Roman"/>
          <w:sz w:val="24"/>
          <w:szCs w:val="24"/>
          <w:lang w:val="nb-NO"/>
        </w:rPr>
        <w:t xml:space="preserve"> og servering</w:t>
      </w:r>
      <w:r w:rsidR="00482F98" w:rsidRPr="00545991">
        <w:rPr>
          <w:rFonts w:ascii="Times New Roman" w:hAnsi="Times New Roman" w:cs="Times New Roman"/>
          <w:sz w:val="24"/>
          <w:szCs w:val="24"/>
          <w:lang w:val="nb-NO"/>
        </w:rPr>
        <w:t>sbedrifter</w:t>
      </w:r>
      <w:r w:rsidR="009D7ECE" w:rsidRPr="00545991">
        <w:rPr>
          <w:rFonts w:ascii="Times New Roman" w:hAnsi="Times New Roman" w:cs="Times New Roman"/>
          <w:sz w:val="24"/>
          <w:szCs w:val="24"/>
          <w:lang w:val="nb-NO"/>
        </w:rPr>
        <w:t xml:space="preserve">. </w:t>
      </w:r>
    </w:p>
    <w:p w14:paraId="649910D1" w14:textId="10400ADA" w:rsidR="00E70380" w:rsidRPr="00545991" w:rsidRDefault="00692913" w:rsidP="009D7ECE">
      <w:pPr>
        <w:spacing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Indirekte målinger skjer ved at en </w:t>
      </w:r>
      <w:r w:rsidR="009D7ECE" w:rsidRPr="00545991">
        <w:rPr>
          <w:rFonts w:ascii="Times New Roman" w:hAnsi="Times New Roman" w:cs="Times New Roman"/>
          <w:sz w:val="24"/>
          <w:szCs w:val="24"/>
          <w:lang w:val="nb-NO"/>
        </w:rPr>
        <w:t>sammenlig</w:t>
      </w:r>
      <w:r w:rsidR="00A8133B" w:rsidRPr="00545991">
        <w:rPr>
          <w:rFonts w:ascii="Times New Roman" w:hAnsi="Times New Roman" w:cs="Times New Roman"/>
          <w:sz w:val="24"/>
          <w:szCs w:val="24"/>
          <w:lang w:val="nb-NO"/>
        </w:rPr>
        <w:t>n</w:t>
      </w:r>
      <w:r w:rsidR="009D7ECE" w:rsidRPr="00545991">
        <w:rPr>
          <w:rFonts w:ascii="Times New Roman" w:hAnsi="Times New Roman" w:cs="Times New Roman"/>
          <w:sz w:val="24"/>
          <w:szCs w:val="24"/>
          <w:lang w:val="nb-NO"/>
        </w:rPr>
        <w:t>e</w:t>
      </w:r>
      <w:r>
        <w:rPr>
          <w:rFonts w:ascii="Times New Roman" w:hAnsi="Times New Roman" w:cs="Times New Roman"/>
          <w:sz w:val="24"/>
          <w:szCs w:val="24"/>
          <w:lang w:val="nb-NO"/>
        </w:rPr>
        <w:t>r</w:t>
      </w:r>
      <w:r w:rsidR="009D7ECE" w:rsidRPr="00545991">
        <w:rPr>
          <w:rFonts w:ascii="Times New Roman" w:hAnsi="Times New Roman" w:cs="Times New Roman"/>
          <w:sz w:val="24"/>
          <w:szCs w:val="24"/>
          <w:lang w:val="nb-NO"/>
        </w:rPr>
        <w:t xml:space="preserve"> </w:t>
      </w:r>
      <w:r w:rsidR="004058B3">
        <w:rPr>
          <w:rFonts w:ascii="Times New Roman" w:hAnsi="Times New Roman" w:cs="Times New Roman"/>
          <w:sz w:val="24"/>
          <w:szCs w:val="24"/>
          <w:lang w:val="nb-NO"/>
        </w:rPr>
        <w:t xml:space="preserve">den økonomisk </w:t>
      </w:r>
      <w:r w:rsidR="009D7ECE" w:rsidRPr="00545991">
        <w:rPr>
          <w:rFonts w:ascii="Times New Roman" w:hAnsi="Times New Roman" w:cs="Times New Roman"/>
          <w:sz w:val="24"/>
          <w:szCs w:val="24"/>
          <w:lang w:val="nb-NO"/>
        </w:rPr>
        <w:t xml:space="preserve">aktiviteten </w:t>
      </w:r>
      <w:r w:rsidR="004058B3">
        <w:rPr>
          <w:rFonts w:ascii="Times New Roman" w:hAnsi="Times New Roman" w:cs="Times New Roman"/>
          <w:sz w:val="24"/>
          <w:szCs w:val="24"/>
          <w:lang w:val="nb-NO"/>
        </w:rPr>
        <w:t xml:space="preserve">i berørte næringer </w:t>
      </w:r>
      <w:r w:rsidR="009D7ECE" w:rsidRPr="00545991">
        <w:rPr>
          <w:rFonts w:ascii="Times New Roman" w:hAnsi="Times New Roman" w:cs="Times New Roman"/>
          <w:sz w:val="24"/>
          <w:szCs w:val="24"/>
          <w:lang w:val="nb-NO"/>
        </w:rPr>
        <w:t xml:space="preserve">i den aktuelle perioden med alternative perioder. </w:t>
      </w:r>
      <w:r w:rsidR="00F456ED" w:rsidRPr="00545991">
        <w:rPr>
          <w:rFonts w:ascii="Times New Roman" w:hAnsi="Times New Roman" w:cs="Times New Roman"/>
          <w:sz w:val="24"/>
          <w:szCs w:val="24"/>
          <w:lang w:val="nb-NO"/>
        </w:rPr>
        <w:t xml:space="preserve">Samtidig er det nødvendig å ta høyde for økonomiske svingninger. </w:t>
      </w:r>
      <w:r>
        <w:rPr>
          <w:rFonts w:ascii="Times New Roman" w:hAnsi="Times New Roman" w:cs="Times New Roman"/>
          <w:sz w:val="24"/>
          <w:szCs w:val="24"/>
          <w:lang w:val="nb-NO"/>
        </w:rPr>
        <w:t xml:space="preserve">Ideelt </w:t>
      </w:r>
      <w:r w:rsidR="004058B3">
        <w:rPr>
          <w:rFonts w:ascii="Times New Roman" w:hAnsi="Times New Roman" w:cs="Times New Roman"/>
          <w:sz w:val="24"/>
          <w:szCs w:val="24"/>
          <w:lang w:val="nb-NO"/>
        </w:rPr>
        <w:t xml:space="preserve">sett </w:t>
      </w:r>
      <w:r>
        <w:rPr>
          <w:rFonts w:ascii="Times New Roman" w:hAnsi="Times New Roman" w:cs="Times New Roman"/>
          <w:sz w:val="24"/>
          <w:szCs w:val="24"/>
          <w:lang w:val="nb-NO"/>
        </w:rPr>
        <w:t xml:space="preserve">bør </w:t>
      </w:r>
      <w:r w:rsidR="00F456ED" w:rsidRPr="00545991">
        <w:rPr>
          <w:rFonts w:ascii="Times New Roman" w:hAnsi="Times New Roman" w:cs="Times New Roman"/>
          <w:sz w:val="24"/>
          <w:szCs w:val="24"/>
          <w:lang w:val="nb-NO"/>
        </w:rPr>
        <w:t>aktiviteten</w:t>
      </w:r>
      <w:r w:rsidR="00C05DA5" w:rsidRPr="00545991">
        <w:rPr>
          <w:rFonts w:ascii="Times New Roman" w:hAnsi="Times New Roman" w:cs="Times New Roman"/>
          <w:sz w:val="24"/>
          <w:szCs w:val="24"/>
          <w:lang w:val="nb-NO"/>
        </w:rPr>
        <w:t xml:space="preserve"> i de aktuelle periodene </w:t>
      </w:r>
      <w:r>
        <w:rPr>
          <w:rFonts w:ascii="Times New Roman" w:hAnsi="Times New Roman" w:cs="Times New Roman"/>
          <w:sz w:val="24"/>
          <w:szCs w:val="24"/>
          <w:lang w:val="nb-NO"/>
        </w:rPr>
        <w:t xml:space="preserve">være </w:t>
      </w:r>
      <w:r w:rsidR="00C05DA5" w:rsidRPr="00545991">
        <w:rPr>
          <w:rFonts w:ascii="Times New Roman" w:hAnsi="Times New Roman" w:cs="Times New Roman"/>
          <w:sz w:val="24"/>
          <w:szCs w:val="24"/>
          <w:lang w:val="nb-NO"/>
        </w:rPr>
        <w:t>lik</w:t>
      </w:r>
      <w:r w:rsidR="00F456ED" w:rsidRPr="00545991">
        <w:rPr>
          <w:rFonts w:ascii="Times New Roman" w:hAnsi="Times New Roman" w:cs="Times New Roman"/>
          <w:sz w:val="24"/>
          <w:szCs w:val="24"/>
          <w:lang w:val="nb-NO"/>
        </w:rPr>
        <w:t xml:space="preserve">, med unntak av det aktuelle arrangementet. </w:t>
      </w:r>
      <w:r w:rsidR="00E70380" w:rsidRPr="00545991">
        <w:rPr>
          <w:rFonts w:ascii="Times New Roman" w:hAnsi="Times New Roman" w:cs="Times New Roman"/>
          <w:sz w:val="24"/>
          <w:szCs w:val="24"/>
          <w:lang w:val="nb-NO"/>
        </w:rPr>
        <w:t>I til</w:t>
      </w:r>
      <w:r w:rsidR="00070B06" w:rsidRPr="00545991">
        <w:rPr>
          <w:rFonts w:ascii="Times New Roman" w:hAnsi="Times New Roman" w:cs="Times New Roman"/>
          <w:sz w:val="24"/>
          <w:szCs w:val="24"/>
          <w:lang w:val="nb-NO"/>
        </w:rPr>
        <w:t xml:space="preserve">legg </w:t>
      </w:r>
      <w:r w:rsidR="00E70380" w:rsidRPr="00545991">
        <w:rPr>
          <w:rFonts w:ascii="Times New Roman" w:hAnsi="Times New Roman" w:cs="Times New Roman"/>
          <w:sz w:val="24"/>
          <w:szCs w:val="24"/>
          <w:lang w:val="nb-NO"/>
        </w:rPr>
        <w:t>kan det supplere</w:t>
      </w:r>
      <w:r>
        <w:rPr>
          <w:rFonts w:ascii="Times New Roman" w:hAnsi="Times New Roman" w:cs="Times New Roman"/>
          <w:sz w:val="24"/>
          <w:szCs w:val="24"/>
          <w:lang w:val="nb-NO"/>
        </w:rPr>
        <w:t>s</w:t>
      </w:r>
      <w:r w:rsidR="00E70380" w:rsidRPr="00545991">
        <w:rPr>
          <w:rFonts w:ascii="Times New Roman" w:hAnsi="Times New Roman" w:cs="Times New Roman"/>
          <w:sz w:val="24"/>
          <w:szCs w:val="24"/>
          <w:lang w:val="nb-NO"/>
        </w:rPr>
        <w:t xml:space="preserve"> med forbruksundersøkelser som viser dagsforbruket til spesielle segmenter av reisende. </w:t>
      </w:r>
      <w:r>
        <w:rPr>
          <w:rFonts w:ascii="Times New Roman" w:hAnsi="Times New Roman" w:cs="Times New Roman"/>
          <w:sz w:val="24"/>
          <w:szCs w:val="24"/>
          <w:lang w:val="nb-NO"/>
        </w:rPr>
        <w:t xml:space="preserve">Dette forutsetter at </w:t>
      </w:r>
      <w:r w:rsidR="00131AF5" w:rsidRPr="00545991">
        <w:rPr>
          <w:rFonts w:ascii="Times New Roman" w:hAnsi="Times New Roman" w:cs="Times New Roman"/>
          <w:sz w:val="24"/>
          <w:szCs w:val="24"/>
          <w:lang w:val="nb-NO"/>
        </w:rPr>
        <w:t xml:space="preserve">dataene som anvendes </w:t>
      </w:r>
      <w:r>
        <w:rPr>
          <w:rFonts w:ascii="Times New Roman" w:hAnsi="Times New Roman" w:cs="Times New Roman"/>
          <w:sz w:val="24"/>
          <w:szCs w:val="24"/>
          <w:lang w:val="nb-NO"/>
        </w:rPr>
        <w:t xml:space="preserve">er </w:t>
      </w:r>
      <w:r w:rsidR="00BC6546" w:rsidRPr="00545991">
        <w:rPr>
          <w:rFonts w:ascii="Times New Roman" w:hAnsi="Times New Roman" w:cs="Times New Roman"/>
          <w:sz w:val="24"/>
          <w:szCs w:val="24"/>
          <w:lang w:val="nb-NO"/>
        </w:rPr>
        <w:t xml:space="preserve">representative. </w:t>
      </w:r>
    </w:p>
    <w:p w14:paraId="5F271623" w14:textId="19BE1FFC" w:rsidR="00692913" w:rsidRDefault="000C7260" w:rsidP="00692913">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I denne studien </w:t>
      </w:r>
      <w:r w:rsidR="00BD6966">
        <w:rPr>
          <w:rFonts w:ascii="Times New Roman" w:hAnsi="Times New Roman" w:cs="Times New Roman"/>
          <w:sz w:val="24"/>
          <w:szCs w:val="24"/>
          <w:lang w:val="nb-NO"/>
        </w:rPr>
        <w:t xml:space="preserve">har </w:t>
      </w:r>
      <w:r w:rsidR="004058B3">
        <w:rPr>
          <w:rFonts w:ascii="Times New Roman" w:hAnsi="Times New Roman" w:cs="Times New Roman"/>
          <w:sz w:val="24"/>
          <w:szCs w:val="24"/>
          <w:lang w:val="nb-NO"/>
        </w:rPr>
        <w:t>v</w:t>
      </w:r>
      <w:r w:rsidR="00BD6966">
        <w:rPr>
          <w:rFonts w:ascii="Times New Roman" w:hAnsi="Times New Roman" w:cs="Times New Roman"/>
          <w:sz w:val="24"/>
          <w:szCs w:val="24"/>
          <w:lang w:val="nb-NO"/>
        </w:rPr>
        <w:t>i benyttet begge metodene</w:t>
      </w:r>
      <w:r w:rsidR="000216FB">
        <w:rPr>
          <w:rFonts w:ascii="Times New Roman" w:hAnsi="Times New Roman" w:cs="Times New Roman"/>
          <w:sz w:val="24"/>
          <w:szCs w:val="24"/>
          <w:lang w:val="nb-NO"/>
        </w:rPr>
        <w:t>.</w:t>
      </w:r>
      <w:r w:rsidR="004058B3">
        <w:rPr>
          <w:rFonts w:ascii="Times New Roman" w:hAnsi="Times New Roman" w:cs="Times New Roman"/>
          <w:sz w:val="24"/>
          <w:szCs w:val="24"/>
          <w:lang w:val="nb-NO"/>
        </w:rPr>
        <w:t xml:space="preserve"> Geografisk er analysene avgrenset til </w:t>
      </w:r>
      <w:r w:rsidR="001E288B" w:rsidRPr="00545991">
        <w:rPr>
          <w:rFonts w:ascii="Times New Roman" w:hAnsi="Times New Roman" w:cs="Times New Roman"/>
          <w:sz w:val="24"/>
          <w:szCs w:val="24"/>
          <w:lang w:val="nb-NO"/>
        </w:rPr>
        <w:t>Tromsø kommune</w:t>
      </w:r>
      <w:r w:rsidRPr="00545991">
        <w:rPr>
          <w:rFonts w:ascii="Times New Roman" w:hAnsi="Times New Roman" w:cs="Times New Roman"/>
          <w:sz w:val="24"/>
          <w:szCs w:val="24"/>
          <w:lang w:val="nb-NO"/>
        </w:rPr>
        <w:t xml:space="preserve">. </w:t>
      </w:r>
      <w:r w:rsidR="00692913">
        <w:rPr>
          <w:rFonts w:ascii="Times New Roman" w:hAnsi="Times New Roman" w:cs="Times New Roman"/>
          <w:sz w:val="24"/>
          <w:szCs w:val="24"/>
          <w:lang w:val="nb-NO"/>
        </w:rPr>
        <w:t xml:space="preserve">Arrangørenes </w:t>
      </w:r>
      <w:r w:rsidR="00692913" w:rsidRPr="00545991">
        <w:rPr>
          <w:rFonts w:ascii="Times New Roman" w:hAnsi="Times New Roman" w:cs="Times New Roman"/>
          <w:sz w:val="24"/>
          <w:szCs w:val="24"/>
          <w:lang w:val="nb-NO"/>
        </w:rPr>
        <w:t>«Sluttrapport for COT2014»</w:t>
      </w:r>
      <w:r w:rsidR="000216FB" w:rsidRPr="000216FB">
        <w:rPr>
          <w:rStyle w:val="Fotnotereferanse"/>
          <w:rFonts w:ascii="Times New Roman" w:hAnsi="Times New Roman" w:cs="Times New Roman"/>
          <w:b/>
          <w:sz w:val="24"/>
          <w:szCs w:val="24"/>
          <w:lang w:val="nb-NO"/>
        </w:rPr>
        <w:t xml:space="preserve"> </w:t>
      </w:r>
      <w:r w:rsidR="000216FB">
        <w:rPr>
          <w:rStyle w:val="Fotnotereferanse"/>
          <w:rFonts w:ascii="Times New Roman" w:hAnsi="Times New Roman" w:cs="Times New Roman"/>
          <w:b/>
          <w:sz w:val="24"/>
          <w:szCs w:val="24"/>
          <w:lang w:val="nb-NO"/>
        </w:rPr>
        <w:footnoteReference w:id="2"/>
      </w:r>
      <w:r w:rsidR="00692913" w:rsidRPr="00545991">
        <w:rPr>
          <w:rFonts w:ascii="Times New Roman" w:hAnsi="Times New Roman" w:cs="Times New Roman"/>
          <w:sz w:val="24"/>
          <w:szCs w:val="24"/>
          <w:lang w:val="nb-NO"/>
        </w:rPr>
        <w:t>, som viser regnskapstall for perioden 2008-2014</w:t>
      </w:r>
      <w:r w:rsidR="00692913">
        <w:rPr>
          <w:rFonts w:ascii="Times New Roman" w:hAnsi="Times New Roman" w:cs="Times New Roman"/>
          <w:sz w:val="24"/>
          <w:szCs w:val="24"/>
          <w:lang w:val="nb-NO"/>
        </w:rPr>
        <w:t xml:space="preserve"> har vært en sentral kilde. Det samme gjelder </w:t>
      </w:r>
      <w:r w:rsidR="00692913" w:rsidRPr="00545991">
        <w:rPr>
          <w:rFonts w:ascii="Times New Roman" w:hAnsi="Times New Roman" w:cs="Times New Roman"/>
          <w:sz w:val="24"/>
          <w:szCs w:val="24"/>
          <w:lang w:val="nb-NO"/>
        </w:rPr>
        <w:t>konsulentrapporten «Verdivurdering av Sjakk-OL i Tromsø»</w:t>
      </w:r>
      <w:r w:rsidR="000216FB" w:rsidRPr="000216FB">
        <w:rPr>
          <w:rStyle w:val="Fotnotereferanse"/>
          <w:rFonts w:ascii="Times New Roman" w:hAnsi="Times New Roman" w:cs="Times New Roman"/>
          <w:b/>
          <w:lang w:val="nb-NO"/>
        </w:rPr>
        <w:t xml:space="preserve"> </w:t>
      </w:r>
      <w:r w:rsidR="000216FB">
        <w:rPr>
          <w:rStyle w:val="Fotnotereferanse"/>
          <w:rFonts w:ascii="Times New Roman" w:hAnsi="Times New Roman" w:cs="Times New Roman"/>
          <w:b/>
          <w:lang w:val="nb-NO"/>
        </w:rPr>
        <w:footnoteReference w:id="3"/>
      </w:r>
      <w:r w:rsidR="00692913" w:rsidRPr="00545991">
        <w:rPr>
          <w:rFonts w:ascii="Times New Roman" w:hAnsi="Times New Roman" w:cs="Times New Roman"/>
          <w:sz w:val="24"/>
          <w:szCs w:val="24"/>
          <w:lang w:val="nb-NO"/>
        </w:rPr>
        <w:t>, som blant annet har beregnet verdiskaping</w:t>
      </w:r>
      <w:r w:rsidR="00692913">
        <w:rPr>
          <w:rFonts w:ascii="Times New Roman" w:hAnsi="Times New Roman" w:cs="Times New Roman"/>
          <w:sz w:val="24"/>
          <w:szCs w:val="24"/>
          <w:lang w:val="nb-NO"/>
        </w:rPr>
        <w:t>en</w:t>
      </w:r>
      <w:r w:rsidR="00692913" w:rsidRPr="00545991">
        <w:rPr>
          <w:rFonts w:ascii="Times New Roman" w:hAnsi="Times New Roman" w:cs="Times New Roman"/>
          <w:sz w:val="24"/>
          <w:szCs w:val="24"/>
          <w:lang w:val="nb-NO"/>
        </w:rPr>
        <w:t xml:space="preserve"> som arrangementet hadde for byen.  I denne rapporten gjengis også resultatene fra en forbruks</w:t>
      </w:r>
      <w:r w:rsidR="000216FB">
        <w:rPr>
          <w:rFonts w:ascii="Times New Roman" w:hAnsi="Times New Roman" w:cs="Times New Roman"/>
          <w:sz w:val="24"/>
          <w:szCs w:val="24"/>
          <w:lang w:val="nb-NO"/>
        </w:rPr>
        <w:softHyphen/>
      </w:r>
      <w:r w:rsidR="00692913" w:rsidRPr="00545991">
        <w:rPr>
          <w:rFonts w:ascii="Times New Roman" w:hAnsi="Times New Roman" w:cs="Times New Roman"/>
          <w:sz w:val="24"/>
          <w:szCs w:val="24"/>
          <w:lang w:val="nb-NO"/>
        </w:rPr>
        <w:t>undersøkelse som arrangøren gjennomførte blant de tilreisende til arrangementet.</w:t>
      </w:r>
    </w:p>
    <w:p w14:paraId="79893259" w14:textId="43FF2BB5" w:rsidR="004933F0" w:rsidRPr="00545991" w:rsidRDefault="00692913" w:rsidP="00232875">
      <w:pPr>
        <w:spacing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I tillegg har vi supplert med data fra </w:t>
      </w:r>
      <w:hyperlink r:id="rId8" w:history="1">
        <w:r w:rsidR="00A21099" w:rsidRPr="002A5253">
          <w:rPr>
            <w:rStyle w:val="Hyperkobling"/>
            <w:rFonts w:ascii="Times New Roman" w:hAnsi="Times New Roman" w:cs="Times New Roman"/>
            <w:sz w:val="24"/>
            <w:szCs w:val="24"/>
            <w:lang w:val="nb-NO"/>
          </w:rPr>
          <w:t>statistikknett.no</w:t>
        </w:r>
      </w:hyperlink>
      <w:r w:rsidR="004058B3">
        <w:rPr>
          <w:rStyle w:val="Hyperkobling"/>
          <w:rFonts w:ascii="Times New Roman" w:hAnsi="Times New Roman" w:cs="Times New Roman"/>
          <w:sz w:val="24"/>
          <w:szCs w:val="24"/>
          <w:lang w:val="nb-NO"/>
        </w:rPr>
        <w:t>,</w:t>
      </w:r>
      <w:r w:rsidR="00A21099">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som inneholder </w:t>
      </w:r>
      <w:r w:rsidR="000C7260" w:rsidRPr="00545991">
        <w:rPr>
          <w:rFonts w:ascii="Times New Roman" w:hAnsi="Times New Roman" w:cs="Times New Roman"/>
          <w:sz w:val="24"/>
          <w:szCs w:val="24"/>
          <w:lang w:val="nb-NO"/>
        </w:rPr>
        <w:t>månedlig</w:t>
      </w:r>
      <w:r>
        <w:rPr>
          <w:rFonts w:ascii="Times New Roman" w:hAnsi="Times New Roman" w:cs="Times New Roman"/>
          <w:sz w:val="24"/>
          <w:szCs w:val="24"/>
          <w:lang w:val="nb-NO"/>
        </w:rPr>
        <w:t>e</w:t>
      </w:r>
      <w:r w:rsidR="000C7260" w:rsidRPr="00545991">
        <w:rPr>
          <w:rFonts w:ascii="Times New Roman" w:hAnsi="Times New Roman" w:cs="Times New Roman"/>
          <w:sz w:val="24"/>
          <w:szCs w:val="24"/>
          <w:lang w:val="nb-NO"/>
        </w:rPr>
        <w:t xml:space="preserve"> omsetnings- og produksjonsdata</w:t>
      </w:r>
      <w:r w:rsidR="003E3CC9" w:rsidRPr="00545991">
        <w:rPr>
          <w:rFonts w:ascii="Times New Roman" w:hAnsi="Times New Roman" w:cs="Times New Roman"/>
          <w:sz w:val="24"/>
          <w:szCs w:val="24"/>
          <w:lang w:val="nb-NO"/>
        </w:rPr>
        <w:t xml:space="preserve"> </w:t>
      </w:r>
      <w:r w:rsidR="000216FB">
        <w:rPr>
          <w:rFonts w:ascii="Times New Roman" w:hAnsi="Times New Roman" w:cs="Times New Roman"/>
          <w:sz w:val="24"/>
          <w:szCs w:val="24"/>
          <w:lang w:val="nb-NO"/>
        </w:rPr>
        <w:t xml:space="preserve">for norsk reiseliv </w:t>
      </w:r>
      <w:r w:rsidR="003E3CC9" w:rsidRPr="00545991">
        <w:rPr>
          <w:rFonts w:ascii="Times New Roman" w:hAnsi="Times New Roman" w:cs="Times New Roman"/>
          <w:sz w:val="24"/>
          <w:szCs w:val="24"/>
          <w:lang w:val="nb-NO"/>
        </w:rPr>
        <w:t>på regionnivå</w:t>
      </w:r>
      <w:r w:rsidR="000216FB">
        <w:rPr>
          <w:rFonts w:ascii="Times New Roman" w:hAnsi="Times New Roman" w:cs="Times New Roman"/>
          <w:sz w:val="24"/>
          <w:szCs w:val="24"/>
          <w:lang w:val="nb-NO"/>
        </w:rPr>
        <w:t xml:space="preserve">. </w:t>
      </w:r>
      <w:r w:rsidR="003E3CC9" w:rsidRPr="00545991">
        <w:rPr>
          <w:rFonts w:ascii="Times New Roman" w:hAnsi="Times New Roman" w:cs="Times New Roman"/>
          <w:sz w:val="24"/>
          <w:szCs w:val="24"/>
          <w:lang w:val="nb-NO"/>
        </w:rPr>
        <w:t xml:space="preserve">Tromsø er </w:t>
      </w:r>
      <w:r w:rsidR="000216FB">
        <w:rPr>
          <w:rFonts w:ascii="Times New Roman" w:hAnsi="Times New Roman" w:cs="Times New Roman"/>
          <w:sz w:val="24"/>
          <w:szCs w:val="24"/>
          <w:lang w:val="nb-NO"/>
        </w:rPr>
        <w:t xml:space="preserve">her </w:t>
      </w:r>
      <w:r w:rsidR="003E3CC9" w:rsidRPr="00545991">
        <w:rPr>
          <w:rFonts w:ascii="Times New Roman" w:hAnsi="Times New Roman" w:cs="Times New Roman"/>
          <w:sz w:val="24"/>
          <w:szCs w:val="24"/>
          <w:lang w:val="nb-NO"/>
        </w:rPr>
        <w:t>definert som</w:t>
      </w:r>
      <w:r w:rsidR="000216FB">
        <w:rPr>
          <w:rFonts w:ascii="Times New Roman" w:hAnsi="Times New Roman" w:cs="Times New Roman"/>
          <w:sz w:val="24"/>
          <w:szCs w:val="24"/>
          <w:lang w:val="nb-NO"/>
        </w:rPr>
        <w:t xml:space="preserve"> en </w:t>
      </w:r>
      <w:r w:rsidR="003E3CC9" w:rsidRPr="00545991">
        <w:rPr>
          <w:rFonts w:ascii="Times New Roman" w:hAnsi="Times New Roman" w:cs="Times New Roman"/>
          <w:sz w:val="24"/>
          <w:szCs w:val="24"/>
          <w:lang w:val="nb-NO"/>
        </w:rPr>
        <w:t>egen region</w:t>
      </w:r>
      <w:r w:rsidR="000C7260" w:rsidRPr="00545991">
        <w:rPr>
          <w:rFonts w:ascii="Times New Roman" w:hAnsi="Times New Roman" w:cs="Times New Roman"/>
          <w:sz w:val="24"/>
          <w:szCs w:val="24"/>
          <w:lang w:val="nb-NO"/>
        </w:rPr>
        <w:t xml:space="preserve">. </w:t>
      </w:r>
      <w:r w:rsidR="00C330B6">
        <w:rPr>
          <w:rFonts w:ascii="Times New Roman" w:hAnsi="Times New Roman" w:cs="Times New Roman"/>
          <w:sz w:val="24"/>
          <w:szCs w:val="24"/>
          <w:lang w:val="nb-NO"/>
        </w:rPr>
        <w:t xml:space="preserve">Vi har også </w:t>
      </w:r>
      <w:r w:rsidR="000C7260" w:rsidRPr="00545991">
        <w:rPr>
          <w:rFonts w:ascii="Times New Roman" w:hAnsi="Times New Roman" w:cs="Times New Roman"/>
          <w:sz w:val="24"/>
          <w:szCs w:val="24"/>
          <w:lang w:val="nb-NO"/>
        </w:rPr>
        <w:t xml:space="preserve">fått </w:t>
      </w:r>
      <w:r w:rsidR="000216FB">
        <w:rPr>
          <w:rFonts w:ascii="Times New Roman" w:hAnsi="Times New Roman" w:cs="Times New Roman"/>
          <w:sz w:val="24"/>
          <w:szCs w:val="24"/>
          <w:lang w:val="nb-NO"/>
        </w:rPr>
        <w:t xml:space="preserve">tilgang til </w:t>
      </w:r>
      <w:r w:rsidR="000C7260" w:rsidRPr="00545991">
        <w:rPr>
          <w:rFonts w:ascii="Times New Roman" w:hAnsi="Times New Roman" w:cs="Times New Roman"/>
          <w:sz w:val="24"/>
          <w:szCs w:val="24"/>
          <w:lang w:val="nb-NO"/>
        </w:rPr>
        <w:t xml:space="preserve">daglige omsetningstall </w:t>
      </w:r>
      <w:r w:rsidR="003E3CC9" w:rsidRPr="00545991">
        <w:rPr>
          <w:rFonts w:ascii="Times New Roman" w:hAnsi="Times New Roman" w:cs="Times New Roman"/>
          <w:sz w:val="24"/>
          <w:szCs w:val="24"/>
          <w:lang w:val="nb-NO"/>
        </w:rPr>
        <w:t xml:space="preserve">for hotellene i Tromsø </w:t>
      </w:r>
      <w:r w:rsidR="000C7260" w:rsidRPr="00545991">
        <w:rPr>
          <w:rFonts w:ascii="Times New Roman" w:hAnsi="Times New Roman" w:cs="Times New Roman"/>
          <w:sz w:val="24"/>
          <w:szCs w:val="24"/>
          <w:lang w:val="nb-NO"/>
        </w:rPr>
        <w:t xml:space="preserve">for </w:t>
      </w:r>
      <w:r w:rsidR="000C7260" w:rsidRPr="00545991">
        <w:rPr>
          <w:rFonts w:ascii="Times New Roman" w:hAnsi="Times New Roman" w:cs="Times New Roman"/>
          <w:sz w:val="24"/>
          <w:szCs w:val="24"/>
          <w:lang w:val="nb-NO"/>
        </w:rPr>
        <w:lastRenderedPageBreak/>
        <w:t>arrangements</w:t>
      </w:r>
      <w:r w:rsidR="000216FB">
        <w:rPr>
          <w:rFonts w:ascii="Times New Roman" w:hAnsi="Times New Roman" w:cs="Times New Roman"/>
          <w:sz w:val="24"/>
          <w:szCs w:val="24"/>
          <w:lang w:val="nb-NO"/>
        </w:rPr>
        <w:softHyphen/>
      </w:r>
      <w:r w:rsidR="000C7260" w:rsidRPr="00545991">
        <w:rPr>
          <w:rFonts w:ascii="Times New Roman" w:hAnsi="Times New Roman" w:cs="Times New Roman"/>
          <w:sz w:val="24"/>
          <w:szCs w:val="24"/>
          <w:lang w:val="nb-NO"/>
        </w:rPr>
        <w:t xml:space="preserve">perioden </w:t>
      </w:r>
      <w:r w:rsidR="00131AF5" w:rsidRPr="00545991">
        <w:rPr>
          <w:rFonts w:ascii="Times New Roman" w:hAnsi="Times New Roman" w:cs="Times New Roman"/>
          <w:sz w:val="24"/>
          <w:szCs w:val="24"/>
          <w:lang w:val="nb-NO"/>
        </w:rPr>
        <w:t>for årene 2013-2015</w:t>
      </w:r>
      <w:r w:rsidR="000C7260" w:rsidRPr="00545991">
        <w:rPr>
          <w:rFonts w:ascii="Times New Roman" w:hAnsi="Times New Roman" w:cs="Times New Roman"/>
          <w:sz w:val="24"/>
          <w:szCs w:val="24"/>
          <w:lang w:val="nb-NO"/>
        </w:rPr>
        <w:t xml:space="preserve">. </w:t>
      </w:r>
      <w:r w:rsidR="003E3CC9" w:rsidRPr="00545991">
        <w:rPr>
          <w:rFonts w:ascii="Times New Roman" w:hAnsi="Times New Roman" w:cs="Times New Roman"/>
          <w:sz w:val="24"/>
          <w:szCs w:val="24"/>
          <w:lang w:val="nb-NO"/>
        </w:rPr>
        <w:t xml:space="preserve">Vi støtter oss også i noen grad på SSBs omsetningstall for varehandelen og serveringsbransjen, men disse produseres kun for terminer på to måneder og </w:t>
      </w:r>
      <w:r w:rsidR="00131AF5" w:rsidRPr="00545991">
        <w:rPr>
          <w:rFonts w:ascii="Times New Roman" w:hAnsi="Times New Roman" w:cs="Times New Roman"/>
          <w:sz w:val="24"/>
          <w:szCs w:val="24"/>
          <w:lang w:val="nb-NO"/>
        </w:rPr>
        <w:t xml:space="preserve">er </w:t>
      </w:r>
      <w:r w:rsidR="003E3CC9" w:rsidRPr="00545991">
        <w:rPr>
          <w:rFonts w:ascii="Times New Roman" w:hAnsi="Times New Roman" w:cs="Times New Roman"/>
          <w:sz w:val="24"/>
          <w:szCs w:val="24"/>
          <w:lang w:val="nb-NO"/>
        </w:rPr>
        <w:t>der</w:t>
      </w:r>
      <w:r w:rsidR="000216FB">
        <w:rPr>
          <w:rFonts w:ascii="Times New Roman" w:hAnsi="Times New Roman" w:cs="Times New Roman"/>
          <w:sz w:val="24"/>
          <w:szCs w:val="24"/>
          <w:lang w:val="nb-NO"/>
        </w:rPr>
        <w:t>for</w:t>
      </w:r>
      <w:r w:rsidR="003E3CC9" w:rsidRPr="00545991">
        <w:rPr>
          <w:rFonts w:ascii="Times New Roman" w:hAnsi="Times New Roman" w:cs="Times New Roman"/>
          <w:sz w:val="24"/>
          <w:szCs w:val="24"/>
          <w:lang w:val="nb-NO"/>
        </w:rPr>
        <w:t xml:space="preserve"> </w:t>
      </w:r>
      <w:r w:rsidR="00131AF5" w:rsidRPr="00545991">
        <w:rPr>
          <w:rFonts w:ascii="Times New Roman" w:hAnsi="Times New Roman" w:cs="Times New Roman"/>
          <w:sz w:val="24"/>
          <w:szCs w:val="24"/>
          <w:lang w:val="nb-NO"/>
        </w:rPr>
        <w:t>mindre egnet for å analysere en periode på</w:t>
      </w:r>
      <w:r w:rsidR="00C05DA5" w:rsidRPr="00545991">
        <w:rPr>
          <w:rFonts w:ascii="Times New Roman" w:hAnsi="Times New Roman" w:cs="Times New Roman"/>
          <w:sz w:val="24"/>
          <w:szCs w:val="24"/>
          <w:lang w:val="nb-NO"/>
        </w:rPr>
        <w:t xml:space="preserve"> 14 dager</w:t>
      </w:r>
      <w:r w:rsidR="00131AF5" w:rsidRPr="00545991">
        <w:rPr>
          <w:rFonts w:ascii="Times New Roman" w:hAnsi="Times New Roman" w:cs="Times New Roman"/>
          <w:sz w:val="24"/>
          <w:szCs w:val="24"/>
          <w:lang w:val="nb-NO"/>
        </w:rPr>
        <w:t>. Innovasjon Norge gjennomfører hvert år den såkalte «Turist</w:t>
      </w:r>
      <w:r w:rsidR="00A21099">
        <w:rPr>
          <w:rFonts w:ascii="Times New Roman" w:hAnsi="Times New Roman" w:cs="Times New Roman"/>
          <w:sz w:val="24"/>
          <w:szCs w:val="24"/>
          <w:lang w:val="nb-NO"/>
        </w:rPr>
        <w:softHyphen/>
      </w:r>
      <w:r w:rsidR="00131AF5" w:rsidRPr="00545991">
        <w:rPr>
          <w:rFonts w:ascii="Times New Roman" w:hAnsi="Times New Roman" w:cs="Times New Roman"/>
          <w:sz w:val="24"/>
          <w:szCs w:val="24"/>
          <w:lang w:val="nb-NO"/>
        </w:rPr>
        <w:t xml:space="preserve">undersøkelsen», som er </w:t>
      </w:r>
      <w:r w:rsidR="00C05DA5" w:rsidRPr="00545991">
        <w:rPr>
          <w:rFonts w:ascii="Times New Roman" w:hAnsi="Times New Roman" w:cs="Times New Roman"/>
          <w:sz w:val="24"/>
          <w:szCs w:val="24"/>
          <w:lang w:val="nb-NO"/>
        </w:rPr>
        <w:t xml:space="preserve">en </w:t>
      </w:r>
      <w:r w:rsidR="00131AF5" w:rsidRPr="00545991">
        <w:rPr>
          <w:rFonts w:ascii="Times New Roman" w:hAnsi="Times New Roman" w:cs="Times New Roman"/>
          <w:sz w:val="24"/>
          <w:szCs w:val="24"/>
          <w:lang w:val="nb-NO"/>
        </w:rPr>
        <w:t>intervju</w:t>
      </w:r>
      <w:r w:rsidR="000216FB">
        <w:rPr>
          <w:rFonts w:ascii="Times New Roman" w:hAnsi="Times New Roman" w:cs="Times New Roman"/>
          <w:sz w:val="24"/>
          <w:szCs w:val="24"/>
          <w:lang w:val="nb-NO"/>
        </w:rPr>
        <w:softHyphen/>
      </w:r>
      <w:r w:rsidR="00131AF5" w:rsidRPr="00545991">
        <w:rPr>
          <w:rFonts w:ascii="Times New Roman" w:hAnsi="Times New Roman" w:cs="Times New Roman"/>
          <w:sz w:val="24"/>
          <w:szCs w:val="24"/>
          <w:lang w:val="nb-NO"/>
        </w:rPr>
        <w:t>undersøkelse av norske og utenlandske turister i Norge</w:t>
      </w:r>
      <w:r w:rsidR="00232875" w:rsidRPr="00545991">
        <w:rPr>
          <w:rStyle w:val="Fotnotereferanse"/>
          <w:rFonts w:ascii="Times New Roman" w:hAnsi="Times New Roman" w:cs="Times New Roman"/>
          <w:sz w:val="24"/>
          <w:szCs w:val="24"/>
          <w:lang w:val="nb-NO"/>
        </w:rPr>
        <w:footnoteReference w:id="4"/>
      </w:r>
      <w:r w:rsidR="00131AF5" w:rsidRPr="00545991">
        <w:rPr>
          <w:rFonts w:ascii="Times New Roman" w:hAnsi="Times New Roman" w:cs="Times New Roman"/>
          <w:sz w:val="24"/>
          <w:szCs w:val="24"/>
          <w:lang w:val="nb-NO"/>
        </w:rPr>
        <w:t xml:space="preserve">. I denne </w:t>
      </w:r>
      <w:r w:rsidR="00047755">
        <w:rPr>
          <w:rFonts w:ascii="Times New Roman" w:hAnsi="Times New Roman" w:cs="Times New Roman"/>
          <w:sz w:val="24"/>
          <w:szCs w:val="24"/>
          <w:lang w:val="nb-NO"/>
        </w:rPr>
        <w:t xml:space="preserve">undersøkelsen </w:t>
      </w:r>
      <w:r w:rsidR="00131AF5" w:rsidRPr="00545991">
        <w:rPr>
          <w:rFonts w:ascii="Times New Roman" w:hAnsi="Times New Roman" w:cs="Times New Roman"/>
          <w:sz w:val="24"/>
          <w:szCs w:val="24"/>
          <w:lang w:val="nb-NO"/>
        </w:rPr>
        <w:t xml:space="preserve">samles det blant annet inn informasjon om turistenes forbruk på reisen. </w:t>
      </w:r>
      <w:r w:rsidR="00232875" w:rsidRPr="00545991">
        <w:rPr>
          <w:rFonts w:ascii="Times New Roman" w:hAnsi="Times New Roman" w:cs="Times New Roman"/>
          <w:sz w:val="24"/>
          <w:szCs w:val="24"/>
          <w:lang w:val="nb-NO"/>
        </w:rPr>
        <w:t>Respondentene skal oppgi reisefølgets forbruk på ulike varer, tjenester og aktiviteter på gårsdagen, dvs. dagen før man ble intervjuet. Hver persons dagsforbruk blir beregnet ved å fordele beløpene på antall personer i reisefølget. Ettersom man vet hvor respondenten oppholder seg på intervju</w:t>
      </w:r>
      <w:r w:rsidR="00A21099">
        <w:rPr>
          <w:rFonts w:ascii="Times New Roman" w:hAnsi="Times New Roman" w:cs="Times New Roman"/>
          <w:sz w:val="24"/>
          <w:szCs w:val="24"/>
          <w:lang w:val="nb-NO"/>
        </w:rPr>
        <w:softHyphen/>
      </w:r>
      <w:r w:rsidR="00232875" w:rsidRPr="00545991">
        <w:rPr>
          <w:rFonts w:ascii="Times New Roman" w:hAnsi="Times New Roman" w:cs="Times New Roman"/>
          <w:sz w:val="24"/>
          <w:szCs w:val="24"/>
          <w:lang w:val="nb-NO"/>
        </w:rPr>
        <w:t>tidspunktet, er det mulig å regionfeste forbruket. Dataene brukes for å dokumentere betydningen av reiselivs</w:t>
      </w:r>
      <w:r w:rsidR="000216FB">
        <w:rPr>
          <w:rFonts w:ascii="Times New Roman" w:hAnsi="Times New Roman" w:cs="Times New Roman"/>
          <w:sz w:val="24"/>
          <w:szCs w:val="24"/>
          <w:lang w:val="nb-NO"/>
        </w:rPr>
        <w:softHyphen/>
      </w:r>
      <w:r w:rsidR="00232875" w:rsidRPr="00545991">
        <w:rPr>
          <w:rFonts w:ascii="Times New Roman" w:hAnsi="Times New Roman" w:cs="Times New Roman"/>
          <w:sz w:val="24"/>
          <w:szCs w:val="24"/>
          <w:lang w:val="nb-NO"/>
        </w:rPr>
        <w:t>næringen for norsk økonomi, og inngår blant annet i Satellitt</w:t>
      </w:r>
      <w:r w:rsidR="00A21099">
        <w:rPr>
          <w:rFonts w:ascii="Times New Roman" w:hAnsi="Times New Roman" w:cs="Times New Roman"/>
          <w:sz w:val="24"/>
          <w:szCs w:val="24"/>
          <w:lang w:val="nb-NO"/>
        </w:rPr>
        <w:softHyphen/>
      </w:r>
      <w:r w:rsidR="00232875" w:rsidRPr="00545991">
        <w:rPr>
          <w:rFonts w:ascii="Times New Roman" w:hAnsi="Times New Roman" w:cs="Times New Roman"/>
          <w:sz w:val="24"/>
          <w:szCs w:val="24"/>
          <w:lang w:val="nb-NO"/>
        </w:rPr>
        <w:t xml:space="preserve">regnskapet for turisme som utføres av SSB. I vår studie har vi benyttet dataene </w:t>
      </w:r>
      <w:r w:rsidR="001E4870">
        <w:rPr>
          <w:rFonts w:ascii="Times New Roman" w:hAnsi="Times New Roman" w:cs="Times New Roman"/>
          <w:sz w:val="24"/>
          <w:szCs w:val="24"/>
          <w:lang w:val="nb-NO"/>
        </w:rPr>
        <w:t xml:space="preserve">i egne kjøringer </w:t>
      </w:r>
      <w:r w:rsidR="00232875" w:rsidRPr="00545991">
        <w:rPr>
          <w:rFonts w:ascii="Times New Roman" w:hAnsi="Times New Roman" w:cs="Times New Roman"/>
          <w:sz w:val="24"/>
          <w:szCs w:val="24"/>
          <w:lang w:val="nb-NO"/>
        </w:rPr>
        <w:t xml:space="preserve">for å </w:t>
      </w:r>
      <w:r w:rsidR="008A2B59" w:rsidRPr="00545991">
        <w:rPr>
          <w:rFonts w:ascii="Times New Roman" w:hAnsi="Times New Roman" w:cs="Times New Roman"/>
          <w:sz w:val="24"/>
          <w:szCs w:val="24"/>
          <w:lang w:val="nb-NO"/>
        </w:rPr>
        <w:t xml:space="preserve">estimere turismerelatert omsetning i Tromsø </w:t>
      </w:r>
      <w:r w:rsidR="00232875" w:rsidRPr="00545991">
        <w:rPr>
          <w:rFonts w:ascii="Times New Roman" w:hAnsi="Times New Roman" w:cs="Times New Roman"/>
          <w:sz w:val="24"/>
          <w:szCs w:val="24"/>
          <w:lang w:val="nb-NO"/>
        </w:rPr>
        <w:t xml:space="preserve">i </w:t>
      </w:r>
      <w:r w:rsidR="00A21099">
        <w:rPr>
          <w:rFonts w:ascii="Times New Roman" w:hAnsi="Times New Roman" w:cs="Times New Roman"/>
          <w:sz w:val="24"/>
          <w:szCs w:val="24"/>
          <w:lang w:val="nb-NO"/>
        </w:rPr>
        <w:t xml:space="preserve">perioden 1.-15. </w:t>
      </w:r>
      <w:r w:rsidR="00232875" w:rsidRPr="00545991">
        <w:rPr>
          <w:rFonts w:ascii="Times New Roman" w:hAnsi="Times New Roman" w:cs="Times New Roman"/>
          <w:sz w:val="24"/>
          <w:szCs w:val="24"/>
          <w:lang w:val="nb-NO"/>
        </w:rPr>
        <w:t>august 2014</w:t>
      </w:r>
      <w:r w:rsidR="000216FB">
        <w:rPr>
          <w:rFonts w:ascii="Times New Roman" w:hAnsi="Times New Roman" w:cs="Times New Roman"/>
          <w:sz w:val="24"/>
          <w:szCs w:val="24"/>
          <w:lang w:val="nb-NO"/>
        </w:rPr>
        <w:t>,</w:t>
      </w:r>
      <w:r w:rsidR="00232875" w:rsidRPr="00545991">
        <w:rPr>
          <w:rFonts w:ascii="Times New Roman" w:hAnsi="Times New Roman" w:cs="Times New Roman"/>
          <w:sz w:val="24"/>
          <w:szCs w:val="24"/>
          <w:lang w:val="nb-NO"/>
        </w:rPr>
        <w:t xml:space="preserve"> </w:t>
      </w:r>
      <w:r w:rsidR="008A2B59" w:rsidRPr="00545991">
        <w:rPr>
          <w:rFonts w:ascii="Times New Roman" w:hAnsi="Times New Roman" w:cs="Times New Roman"/>
          <w:sz w:val="24"/>
          <w:szCs w:val="24"/>
          <w:lang w:val="nb-NO"/>
        </w:rPr>
        <w:t>gitt at Sjakk-OL ikke var blitt</w:t>
      </w:r>
      <w:r w:rsidR="00232875" w:rsidRPr="00545991">
        <w:rPr>
          <w:rFonts w:ascii="Times New Roman" w:hAnsi="Times New Roman" w:cs="Times New Roman"/>
          <w:sz w:val="24"/>
          <w:szCs w:val="24"/>
          <w:lang w:val="nb-NO"/>
        </w:rPr>
        <w:t xml:space="preserve"> arrangert</w:t>
      </w:r>
      <w:r w:rsidR="008A2B59" w:rsidRPr="00545991">
        <w:rPr>
          <w:rFonts w:ascii="Times New Roman" w:hAnsi="Times New Roman" w:cs="Times New Roman"/>
          <w:sz w:val="24"/>
          <w:szCs w:val="24"/>
          <w:lang w:val="nb-NO"/>
        </w:rPr>
        <w:t xml:space="preserve">. </w:t>
      </w:r>
    </w:p>
    <w:p w14:paraId="1F5D8748" w14:textId="77777777" w:rsidR="004933F0" w:rsidRPr="00545991" w:rsidRDefault="004933F0" w:rsidP="004F520D">
      <w:pPr>
        <w:spacing w:line="360" w:lineRule="auto"/>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 </w:t>
      </w:r>
    </w:p>
    <w:p w14:paraId="621B8DE0" w14:textId="77777777" w:rsidR="00AE2C70" w:rsidRPr="00545991" w:rsidRDefault="008263A7" w:rsidP="001E4870">
      <w:pPr>
        <w:pStyle w:val="Overskrift1"/>
        <w:numPr>
          <w:ilvl w:val="0"/>
          <w:numId w:val="6"/>
        </w:numPr>
        <w:spacing w:line="360" w:lineRule="auto"/>
        <w:ind w:left="360"/>
        <w:rPr>
          <w:lang w:val="nb-NO"/>
        </w:rPr>
      </w:pPr>
      <w:r w:rsidRPr="00545991">
        <w:rPr>
          <w:lang w:val="nb-NO"/>
        </w:rPr>
        <w:t>R</w:t>
      </w:r>
      <w:r w:rsidR="00AE2C70" w:rsidRPr="00545991">
        <w:rPr>
          <w:lang w:val="nb-NO"/>
        </w:rPr>
        <w:t>esultater</w:t>
      </w:r>
    </w:p>
    <w:p w14:paraId="561EB778" w14:textId="77777777" w:rsidR="00BC6546" w:rsidRPr="00545991" w:rsidRDefault="001E4870" w:rsidP="00BC6546">
      <w:pPr>
        <w:pStyle w:val="Overskrift2"/>
        <w:spacing w:line="360" w:lineRule="auto"/>
        <w:rPr>
          <w:lang w:val="nb-NO"/>
        </w:rPr>
      </w:pPr>
      <w:r>
        <w:rPr>
          <w:lang w:val="nb-NO"/>
        </w:rPr>
        <w:t xml:space="preserve">5.1 </w:t>
      </w:r>
      <w:r w:rsidR="00BC6546" w:rsidRPr="00545991">
        <w:rPr>
          <w:lang w:val="nb-NO"/>
        </w:rPr>
        <w:t>Resultatregnskap for COT2014</w:t>
      </w:r>
    </w:p>
    <w:p w14:paraId="7371626A" w14:textId="30B5D7A8" w:rsidR="00E60469" w:rsidRPr="00545991" w:rsidRDefault="00A9761E" w:rsidP="00850197">
      <w:pPr>
        <w:spacing w:line="360" w:lineRule="auto"/>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Regnskapet viste </w:t>
      </w:r>
      <w:r w:rsidR="00132BB2">
        <w:rPr>
          <w:rFonts w:ascii="Times New Roman" w:hAnsi="Times New Roman" w:cs="Times New Roman"/>
          <w:sz w:val="24"/>
          <w:szCs w:val="24"/>
          <w:lang w:val="nb-NO"/>
        </w:rPr>
        <w:t xml:space="preserve">et </w:t>
      </w:r>
      <w:r>
        <w:rPr>
          <w:rFonts w:ascii="Times New Roman" w:hAnsi="Times New Roman" w:cs="Times New Roman"/>
          <w:sz w:val="24"/>
          <w:szCs w:val="24"/>
          <w:lang w:val="nb-NO"/>
        </w:rPr>
        <w:t xml:space="preserve">samlet </w:t>
      </w:r>
      <w:r w:rsidR="008263A7" w:rsidRPr="00545991">
        <w:rPr>
          <w:rFonts w:ascii="Times New Roman" w:hAnsi="Times New Roman" w:cs="Times New Roman"/>
          <w:sz w:val="24"/>
          <w:szCs w:val="24"/>
          <w:lang w:val="nb-NO"/>
        </w:rPr>
        <w:t xml:space="preserve">underskudd </w:t>
      </w:r>
      <w:r>
        <w:rPr>
          <w:rFonts w:ascii="Times New Roman" w:hAnsi="Times New Roman" w:cs="Times New Roman"/>
          <w:sz w:val="24"/>
          <w:szCs w:val="24"/>
          <w:lang w:val="nb-NO"/>
        </w:rPr>
        <w:t xml:space="preserve">for hele perioden </w:t>
      </w:r>
      <w:r w:rsidR="008263A7" w:rsidRPr="00545991">
        <w:rPr>
          <w:rFonts w:ascii="Times New Roman" w:hAnsi="Times New Roman" w:cs="Times New Roman"/>
          <w:sz w:val="24"/>
          <w:szCs w:val="24"/>
          <w:lang w:val="nb-NO"/>
        </w:rPr>
        <w:t xml:space="preserve">på </w:t>
      </w:r>
      <w:r>
        <w:rPr>
          <w:rFonts w:ascii="Times New Roman" w:hAnsi="Times New Roman" w:cs="Times New Roman"/>
          <w:sz w:val="24"/>
          <w:szCs w:val="24"/>
          <w:lang w:val="nb-NO"/>
        </w:rPr>
        <w:t xml:space="preserve">drøyt fire </w:t>
      </w:r>
      <w:r w:rsidR="008263A7" w:rsidRPr="00545991">
        <w:rPr>
          <w:rFonts w:ascii="Times New Roman" w:hAnsi="Times New Roman" w:cs="Times New Roman"/>
          <w:sz w:val="24"/>
          <w:szCs w:val="24"/>
          <w:lang w:val="nb-NO"/>
        </w:rPr>
        <w:t>millioner kroner</w:t>
      </w:r>
      <w:r w:rsidR="00132BB2">
        <w:rPr>
          <w:rFonts w:ascii="Times New Roman" w:hAnsi="Times New Roman" w:cs="Times New Roman"/>
          <w:sz w:val="24"/>
          <w:szCs w:val="24"/>
          <w:lang w:val="nb-NO"/>
        </w:rPr>
        <w:t xml:space="preserve"> (tabell 1)</w:t>
      </w:r>
      <w:r w:rsidR="00E60469" w:rsidRPr="00545991">
        <w:rPr>
          <w:rFonts w:ascii="Times New Roman" w:hAnsi="Times New Roman" w:cs="Times New Roman"/>
          <w:sz w:val="24"/>
          <w:szCs w:val="24"/>
          <w:lang w:val="nb-NO"/>
        </w:rPr>
        <w:t>. En års</w:t>
      </w:r>
      <w:r w:rsidR="008263A7" w:rsidRPr="00545991">
        <w:rPr>
          <w:rFonts w:ascii="Times New Roman" w:hAnsi="Times New Roman" w:cs="Times New Roman"/>
          <w:sz w:val="24"/>
          <w:szCs w:val="24"/>
          <w:lang w:val="nb-NO"/>
        </w:rPr>
        <w:t>ak</w:t>
      </w:r>
      <w:r w:rsidR="00E60469" w:rsidRPr="00545991">
        <w:rPr>
          <w:rFonts w:ascii="Times New Roman" w:hAnsi="Times New Roman" w:cs="Times New Roman"/>
          <w:sz w:val="24"/>
          <w:szCs w:val="24"/>
          <w:lang w:val="nb-NO"/>
        </w:rPr>
        <w:t xml:space="preserve"> </w:t>
      </w:r>
      <w:r w:rsidR="00132BB2">
        <w:rPr>
          <w:rFonts w:ascii="Times New Roman" w:hAnsi="Times New Roman" w:cs="Times New Roman"/>
          <w:sz w:val="24"/>
          <w:szCs w:val="24"/>
          <w:lang w:val="nb-NO"/>
        </w:rPr>
        <w:t xml:space="preserve">til underskuddet </w:t>
      </w:r>
      <w:r w:rsidR="00E60469" w:rsidRPr="00545991">
        <w:rPr>
          <w:rFonts w:ascii="Times New Roman" w:hAnsi="Times New Roman" w:cs="Times New Roman"/>
          <w:sz w:val="24"/>
          <w:szCs w:val="24"/>
          <w:lang w:val="nb-NO"/>
        </w:rPr>
        <w:t xml:space="preserve">var </w:t>
      </w:r>
      <w:r>
        <w:rPr>
          <w:rFonts w:ascii="Times New Roman" w:hAnsi="Times New Roman" w:cs="Times New Roman"/>
          <w:sz w:val="24"/>
          <w:szCs w:val="24"/>
          <w:lang w:val="nb-NO"/>
        </w:rPr>
        <w:t xml:space="preserve">at det ble vanskeligere å </w:t>
      </w:r>
      <w:r w:rsidR="008263A7" w:rsidRPr="00545991">
        <w:rPr>
          <w:rFonts w:ascii="Times New Roman" w:hAnsi="Times New Roman" w:cs="Times New Roman"/>
          <w:sz w:val="24"/>
          <w:szCs w:val="24"/>
          <w:lang w:val="nb-NO"/>
        </w:rPr>
        <w:t>skaffe sponsorinntekter</w:t>
      </w:r>
      <w:r>
        <w:rPr>
          <w:rFonts w:ascii="Times New Roman" w:hAnsi="Times New Roman" w:cs="Times New Roman"/>
          <w:sz w:val="24"/>
          <w:szCs w:val="24"/>
          <w:lang w:val="nb-NO"/>
        </w:rPr>
        <w:t xml:space="preserve"> enn hva man først antok</w:t>
      </w:r>
      <w:r w:rsidR="00AE13E6" w:rsidRPr="00545991">
        <w:rPr>
          <w:rFonts w:ascii="Times New Roman" w:hAnsi="Times New Roman" w:cs="Times New Roman"/>
          <w:sz w:val="24"/>
          <w:szCs w:val="24"/>
          <w:lang w:val="nb-NO"/>
        </w:rPr>
        <w:t xml:space="preserve">. </w:t>
      </w:r>
      <w:r w:rsidR="008263A7" w:rsidRPr="00545991">
        <w:rPr>
          <w:rFonts w:ascii="Times New Roman" w:hAnsi="Times New Roman" w:cs="Times New Roman"/>
          <w:sz w:val="24"/>
          <w:szCs w:val="24"/>
          <w:lang w:val="nb-NO"/>
        </w:rPr>
        <w:t>Det første anslaget på 50 millioner</w:t>
      </w:r>
      <w:r w:rsidR="001E288B" w:rsidRPr="00545991">
        <w:rPr>
          <w:rFonts w:ascii="Times New Roman" w:hAnsi="Times New Roman" w:cs="Times New Roman"/>
          <w:sz w:val="24"/>
          <w:szCs w:val="24"/>
          <w:lang w:val="nb-NO"/>
        </w:rPr>
        <w:t xml:space="preserve"> kroner</w:t>
      </w:r>
      <w:r w:rsidR="00371482">
        <w:rPr>
          <w:rFonts w:ascii="Times New Roman" w:hAnsi="Times New Roman" w:cs="Times New Roman"/>
          <w:sz w:val="24"/>
          <w:szCs w:val="24"/>
          <w:lang w:val="nb-NO"/>
        </w:rPr>
        <w:t xml:space="preserve"> </w:t>
      </w:r>
      <w:r w:rsidR="008263A7" w:rsidRPr="00545991">
        <w:rPr>
          <w:rFonts w:ascii="Times New Roman" w:hAnsi="Times New Roman" w:cs="Times New Roman"/>
          <w:sz w:val="24"/>
          <w:szCs w:val="24"/>
          <w:lang w:val="nb-NO"/>
        </w:rPr>
        <w:t>viste seg</w:t>
      </w:r>
      <w:r w:rsidR="00AE13E6" w:rsidRPr="00545991">
        <w:rPr>
          <w:rFonts w:ascii="Times New Roman" w:hAnsi="Times New Roman" w:cs="Times New Roman"/>
          <w:sz w:val="24"/>
          <w:szCs w:val="24"/>
          <w:lang w:val="nb-NO"/>
        </w:rPr>
        <w:t xml:space="preserve"> </w:t>
      </w:r>
      <w:r w:rsidR="00E60469" w:rsidRPr="00545991">
        <w:rPr>
          <w:rFonts w:ascii="Times New Roman" w:hAnsi="Times New Roman" w:cs="Times New Roman"/>
          <w:sz w:val="24"/>
          <w:szCs w:val="24"/>
          <w:lang w:val="nb-NO"/>
        </w:rPr>
        <w:t>raskt å være for høyt. Budsjettet ble gradvis nedjustert</w:t>
      </w:r>
      <w:r w:rsidR="00070B06" w:rsidRPr="00545991">
        <w:rPr>
          <w:rFonts w:ascii="Times New Roman" w:hAnsi="Times New Roman" w:cs="Times New Roman"/>
          <w:sz w:val="24"/>
          <w:szCs w:val="24"/>
          <w:lang w:val="nb-NO"/>
        </w:rPr>
        <w:t>,</w:t>
      </w:r>
      <w:r w:rsidR="00E60469" w:rsidRPr="00545991">
        <w:rPr>
          <w:rFonts w:ascii="Times New Roman" w:hAnsi="Times New Roman" w:cs="Times New Roman"/>
          <w:sz w:val="24"/>
          <w:szCs w:val="24"/>
          <w:lang w:val="nb-NO"/>
        </w:rPr>
        <w:t xml:space="preserve"> og </w:t>
      </w:r>
      <w:r w:rsidR="00EC01EF" w:rsidRPr="00545991">
        <w:rPr>
          <w:rFonts w:ascii="Times New Roman" w:hAnsi="Times New Roman" w:cs="Times New Roman"/>
          <w:sz w:val="24"/>
          <w:szCs w:val="24"/>
          <w:lang w:val="nb-NO"/>
        </w:rPr>
        <w:t>til slutt endte man opp med barteravtaler og direkte tilskudd tilsvarende 8,2 millioner</w:t>
      </w:r>
      <w:r w:rsidR="003B00C0" w:rsidRPr="00545991">
        <w:rPr>
          <w:rFonts w:ascii="Times New Roman" w:hAnsi="Times New Roman" w:cs="Times New Roman"/>
          <w:sz w:val="24"/>
          <w:szCs w:val="24"/>
          <w:lang w:val="nb-NO"/>
        </w:rPr>
        <w:t xml:space="preserve"> kroner</w:t>
      </w:r>
      <w:r w:rsidR="00EC01EF" w:rsidRPr="00545991">
        <w:rPr>
          <w:rFonts w:ascii="Times New Roman" w:hAnsi="Times New Roman" w:cs="Times New Roman"/>
          <w:sz w:val="24"/>
          <w:szCs w:val="24"/>
          <w:lang w:val="nb-NO"/>
        </w:rPr>
        <w:t xml:space="preserve">. I tillegg ble det avtalt reduksjoner i pris på mat og losji uten at dette gikk inn i regnskapet eller at kommersielle avtaler ble utformet. Hotellene prisjusterte heller ikke </w:t>
      </w:r>
      <w:r w:rsidR="003B00C0" w:rsidRPr="00545991">
        <w:rPr>
          <w:rFonts w:ascii="Times New Roman" w:hAnsi="Times New Roman" w:cs="Times New Roman"/>
          <w:sz w:val="24"/>
          <w:szCs w:val="24"/>
          <w:lang w:val="nb-NO"/>
        </w:rPr>
        <w:t>satsene</w:t>
      </w:r>
      <w:r w:rsidR="00EC01EF" w:rsidRPr="00545991">
        <w:rPr>
          <w:rFonts w:ascii="Times New Roman" w:hAnsi="Times New Roman" w:cs="Times New Roman"/>
          <w:sz w:val="24"/>
          <w:szCs w:val="24"/>
          <w:lang w:val="nb-NO"/>
        </w:rPr>
        <w:t xml:space="preserve"> i forhold til den generelle prisstigningen fra 2009 til 2014. Begge disse justeringene utgjorde millionbeløp. I regnskapet er den samlede verdien på sponsorstøtten anslått til 14,1 millioner</w:t>
      </w:r>
      <w:r w:rsidR="003B00C0" w:rsidRPr="00545991">
        <w:rPr>
          <w:rFonts w:ascii="Times New Roman" w:hAnsi="Times New Roman" w:cs="Times New Roman"/>
          <w:sz w:val="24"/>
          <w:szCs w:val="24"/>
          <w:lang w:val="nb-NO"/>
        </w:rPr>
        <w:t xml:space="preserve"> kroner</w:t>
      </w:r>
      <w:r w:rsidR="00EC01EF" w:rsidRPr="00545991">
        <w:rPr>
          <w:rFonts w:ascii="Times New Roman" w:hAnsi="Times New Roman" w:cs="Times New Roman"/>
          <w:sz w:val="24"/>
          <w:szCs w:val="24"/>
          <w:lang w:val="nb-NO"/>
        </w:rPr>
        <w:t xml:space="preserve">. </w:t>
      </w:r>
    </w:p>
    <w:p w14:paraId="5FD964F5" w14:textId="79757DDC" w:rsidR="00AE13E6" w:rsidRPr="00545991" w:rsidRDefault="00E60469" w:rsidP="00E60469">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En annen </w:t>
      </w:r>
      <w:r w:rsidR="00C71BE9" w:rsidRPr="00545991">
        <w:rPr>
          <w:rFonts w:ascii="Times New Roman" w:hAnsi="Times New Roman" w:cs="Times New Roman"/>
          <w:sz w:val="24"/>
          <w:szCs w:val="24"/>
          <w:lang w:val="nb-NO"/>
        </w:rPr>
        <w:t xml:space="preserve">årsak til underskuddet var </w:t>
      </w:r>
      <w:r w:rsidRPr="00545991">
        <w:rPr>
          <w:rFonts w:ascii="Times New Roman" w:hAnsi="Times New Roman" w:cs="Times New Roman"/>
          <w:sz w:val="24"/>
          <w:szCs w:val="24"/>
          <w:lang w:val="nb-NO"/>
        </w:rPr>
        <w:t xml:space="preserve">kostnadene for </w:t>
      </w:r>
      <w:r w:rsidR="00C71BE9" w:rsidRPr="00545991">
        <w:rPr>
          <w:rFonts w:ascii="Times New Roman" w:hAnsi="Times New Roman" w:cs="Times New Roman"/>
          <w:sz w:val="24"/>
          <w:szCs w:val="24"/>
          <w:lang w:val="nb-NO"/>
        </w:rPr>
        <w:t>World Cup turneringen i 2013</w:t>
      </w:r>
      <w:r w:rsidR="0032552F">
        <w:rPr>
          <w:rFonts w:ascii="Times New Roman" w:hAnsi="Times New Roman" w:cs="Times New Roman"/>
          <w:sz w:val="24"/>
          <w:szCs w:val="24"/>
          <w:lang w:val="nb-NO"/>
        </w:rPr>
        <w:t xml:space="preserve">. </w:t>
      </w:r>
      <w:r w:rsidR="00132BB2">
        <w:rPr>
          <w:rFonts w:ascii="Times New Roman" w:hAnsi="Times New Roman" w:cs="Times New Roman"/>
          <w:sz w:val="24"/>
          <w:szCs w:val="24"/>
          <w:lang w:val="nb-NO"/>
        </w:rPr>
        <w:t>Det</w:t>
      </w:r>
      <w:r w:rsidR="00070B06" w:rsidRPr="00545991">
        <w:rPr>
          <w:rFonts w:ascii="Times New Roman" w:hAnsi="Times New Roman" w:cs="Times New Roman"/>
          <w:sz w:val="24"/>
          <w:szCs w:val="24"/>
          <w:lang w:val="nb-NO"/>
        </w:rPr>
        <w:t xml:space="preserve"> påløp </w:t>
      </w:r>
      <w:r w:rsidR="00132BB2">
        <w:rPr>
          <w:rFonts w:ascii="Times New Roman" w:hAnsi="Times New Roman" w:cs="Times New Roman"/>
          <w:sz w:val="24"/>
          <w:szCs w:val="24"/>
          <w:lang w:val="nb-NO"/>
        </w:rPr>
        <w:t>også</w:t>
      </w:r>
      <w:r w:rsidR="00132BB2" w:rsidRPr="00545991">
        <w:rPr>
          <w:rFonts w:ascii="Times New Roman" w:hAnsi="Times New Roman" w:cs="Times New Roman"/>
          <w:sz w:val="24"/>
          <w:szCs w:val="24"/>
          <w:lang w:val="nb-NO"/>
        </w:rPr>
        <w:t xml:space="preserve"> </w:t>
      </w:r>
      <w:r w:rsidR="00070B06" w:rsidRPr="00545991">
        <w:rPr>
          <w:rFonts w:ascii="Times New Roman" w:hAnsi="Times New Roman" w:cs="Times New Roman"/>
          <w:sz w:val="24"/>
          <w:szCs w:val="24"/>
          <w:lang w:val="nb-NO"/>
        </w:rPr>
        <w:t xml:space="preserve">ekstraordinære kostnader fordi arrangørene aksepterte at det </w:t>
      </w:r>
      <w:r w:rsidR="00AE13E6" w:rsidRPr="00545991">
        <w:rPr>
          <w:rFonts w:ascii="Times New Roman" w:hAnsi="Times New Roman" w:cs="Times New Roman"/>
          <w:sz w:val="24"/>
          <w:szCs w:val="24"/>
          <w:lang w:val="nb-NO"/>
        </w:rPr>
        <w:t>russiske damelands</w:t>
      </w:r>
      <w:r w:rsidR="00371482">
        <w:rPr>
          <w:rFonts w:ascii="Times New Roman" w:hAnsi="Times New Roman" w:cs="Times New Roman"/>
          <w:sz w:val="24"/>
          <w:szCs w:val="24"/>
          <w:lang w:val="nb-NO"/>
        </w:rPr>
        <w:softHyphen/>
      </w:r>
      <w:r w:rsidR="00AE13E6" w:rsidRPr="00545991">
        <w:rPr>
          <w:rFonts w:ascii="Times New Roman" w:hAnsi="Times New Roman" w:cs="Times New Roman"/>
          <w:sz w:val="24"/>
          <w:szCs w:val="24"/>
          <w:lang w:val="nb-NO"/>
        </w:rPr>
        <w:t xml:space="preserve">laget </w:t>
      </w:r>
      <w:r w:rsidR="00070B06" w:rsidRPr="00545991">
        <w:rPr>
          <w:rFonts w:ascii="Times New Roman" w:hAnsi="Times New Roman" w:cs="Times New Roman"/>
          <w:sz w:val="24"/>
          <w:szCs w:val="24"/>
          <w:lang w:val="nb-NO"/>
        </w:rPr>
        <w:t xml:space="preserve">meldte seg på etter at fristen var gått ut. </w:t>
      </w:r>
      <w:r w:rsidR="004A1257" w:rsidRPr="00545991">
        <w:rPr>
          <w:rFonts w:ascii="Times New Roman" w:hAnsi="Times New Roman" w:cs="Times New Roman"/>
          <w:sz w:val="24"/>
          <w:szCs w:val="24"/>
          <w:lang w:val="nb-NO"/>
        </w:rPr>
        <w:t>Dette skapte tvist mellom COT2014 og det russiske sjakkforbundet</w:t>
      </w:r>
      <w:r w:rsidR="00A9761E">
        <w:rPr>
          <w:rFonts w:ascii="Times New Roman" w:hAnsi="Times New Roman" w:cs="Times New Roman"/>
          <w:sz w:val="24"/>
          <w:szCs w:val="24"/>
          <w:lang w:val="nb-NO"/>
        </w:rPr>
        <w:t xml:space="preserve">, som ble støttet av </w:t>
      </w:r>
      <w:r w:rsidR="004A1257" w:rsidRPr="00545991">
        <w:rPr>
          <w:rFonts w:ascii="Times New Roman" w:hAnsi="Times New Roman" w:cs="Times New Roman"/>
          <w:sz w:val="24"/>
          <w:szCs w:val="24"/>
          <w:lang w:val="nb-NO"/>
        </w:rPr>
        <w:t>FIDE</w:t>
      </w:r>
      <w:r w:rsidR="00A9761E">
        <w:rPr>
          <w:rFonts w:ascii="Times New Roman" w:hAnsi="Times New Roman" w:cs="Times New Roman"/>
          <w:sz w:val="24"/>
          <w:szCs w:val="24"/>
          <w:lang w:val="nb-NO"/>
        </w:rPr>
        <w:t xml:space="preserve">. Da FIDE truet med </w:t>
      </w:r>
      <w:r w:rsidR="004A1257" w:rsidRPr="00545991">
        <w:rPr>
          <w:rFonts w:ascii="Times New Roman" w:hAnsi="Times New Roman" w:cs="Times New Roman"/>
          <w:sz w:val="24"/>
          <w:szCs w:val="24"/>
          <w:lang w:val="nb-NO"/>
        </w:rPr>
        <w:t>å flytte turneringen til Sochi</w:t>
      </w:r>
      <w:r w:rsidR="00371482">
        <w:rPr>
          <w:rFonts w:ascii="Times New Roman" w:hAnsi="Times New Roman" w:cs="Times New Roman"/>
          <w:sz w:val="24"/>
          <w:szCs w:val="24"/>
          <w:lang w:val="nb-NO"/>
        </w:rPr>
        <w:t>,</w:t>
      </w:r>
      <w:r w:rsidR="004A1257" w:rsidRPr="00545991">
        <w:rPr>
          <w:rFonts w:ascii="Times New Roman" w:hAnsi="Times New Roman" w:cs="Times New Roman"/>
          <w:sz w:val="24"/>
          <w:szCs w:val="24"/>
          <w:lang w:val="nb-NO"/>
        </w:rPr>
        <w:t xml:space="preserve"> valgte </w:t>
      </w:r>
      <w:r w:rsidR="00A9761E">
        <w:rPr>
          <w:rFonts w:ascii="Times New Roman" w:hAnsi="Times New Roman" w:cs="Times New Roman"/>
          <w:sz w:val="24"/>
          <w:szCs w:val="24"/>
          <w:lang w:val="nb-NO"/>
        </w:rPr>
        <w:t xml:space="preserve">COT2014 </w:t>
      </w:r>
      <w:r w:rsidR="004A1257" w:rsidRPr="00545991">
        <w:rPr>
          <w:rFonts w:ascii="Times New Roman" w:hAnsi="Times New Roman" w:cs="Times New Roman"/>
          <w:sz w:val="24"/>
          <w:szCs w:val="24"/>
          <w:lang w:val="nb-NO"/>
        </w:rPr>
        <w:t>å gi etter. De</w:t>
      </w:r>
      <w:r w:rsidR="00A9761E">
        <w:rPr>
          <w:rFonts w:ascii="Times New Roman" w:hAnsi="Times New Roman" w:cs="Times New Roman"/>
          <w:sz w:val="24"/>
          <w:szCs w:val="24"/>
          <w:lang w:val="nb-NO"/>
        </w:rPr>
        <w:t xml:space="preserve">rmed måtte de </w:t>
      </w:r>
      <w:r w:rsidR="004A1257" w:rsidRPr="00545991">
        <w:rPr>
          <w:rFonts w:ascii="Times New Roman" w:hAnsi="Times New Roman" w:cs="Times New Roman"/>
          <w:sz w:val="24"/>
          <w:szCs w:val="24"/>
          <w:lang w:val="nb-NO"/>
        </w:rPr>
        <w:t xml:space="preserve">også </w:t>
      </w:r>
      <w:r w:rsidR="00AE13E6" w:rsidRPr="00545991">
        <w:rPr>
          <w:rFonts w:ascii="Times New Roman" w:hAnsi="Times New Roman" w:cs="Times New Roman"/>
          <w:sz w:val="24"/>
          <w:szCs w:val="24"/>
          <w:lang w:val="nb-NO"/>
        </w:rPr>
        <w:t xml:space="preserve">tillate etteranmeldinger fra andre lag, </w:t>
      </w:r>
      <w:r w:rsidR="00AE13E6" w:rsidRPr="00545991">
        <w:rPr>
          <w:rFonts w:ascii="Times New Roman" w:hAnsi="Times New Roman" w:cs="Times New Roman"/>
          <w:sz w:val="24"/>
          <w:szCs w:val="24"/>
          <w:lang w:val="nb-NO"/>
        </w:rPr>
        <w:lastRenderedPageBreak/>
        <w:t>noe som medførte ekstrakostnader på ca</w:t>
      </w:r>
      <w:r w:rsidR="001E288B" w:rsidRPr="00545991">
        <w:rPr>
          <w:rFonts w:ascii="Times New Roman" w:hAnsi="Times New Roman" w:cs="Times New Roman"/>
          <w:sz w:val="24"/>
          <w:szCs w:val="24"/>
          <w:lang w:val="nb-NO"/>
        </w:rPr>
        <w:t>.</w:t>
      </w:r>
      <w:r w:rsidR="00AE13E6" w:rsidRPr="00545991">
        <w:rPr>
          <w:rFonts w:ascii="Times New Roman" w:hAnsi="Times New Roman" w:cs="Times New Roman"/>
          <w:sz w:val="24"/>
          <w:szCs w:val="24"/>
          <w:lang w:val="nb-NO"/>
        </w:rPr>
        <w:t xml:space="preserve"> </w:t>
      </w:r>
      <w:r w:rsidR="00132BB2">
        <w:rPr>
          <w:rFonts w:ascii="Times New Roman" w:hAnsi="Times New Roman" w:cs="Times New Roman"/>
          <w:sz w:val="24"/>
          <w:szCs w:val="24"/>
          <w:lang w:val="nb-NO"/>
        </w:rPr>
        <w:t>én</w:t>
      </w:r>
      <w:r w:rsidR="00132BB2" w:rsidRPr="00545991">
        <w:rPr>
          <w:rFonts w:ascii="Times New Roman" w:hAnsi="Times New Roman" w:cs="Times New Roman"/>
          <w:sz w:val="24"/>
          <w:szCs w:val="24"/>
          <w:lang w:val="nb-NO"/>
        </w:rPr>
        <w:t xml:space="preserve"> </w:t>
      </w:r>
      <w:r w:rsidR="00AE13E6" w:rsidRPr="00545991">
        <w:rPr>
          <w:rFonts w:ascii="Times New Roman" w:hAnsi="Times New Roman" w:cs="Times New Roman"/>
          <w:sz w:val="24"/>
          <w:szCs w:val="24"/>
          <w:lang w:val="nb-NO"/>
        </w:rPr>
        <w:t xml:space="preserve">million kroner. Andre uforutsette kostnader var tap på fordringer </w:t>
      </w:r>
      <w:r w:rsidR="003B00C0" w:rsidRPr="00545991">
        <w:rPr>
          <w:rFonts w:ascii="Times New Roman" w:hAnsi="Times New Roman" w:cs="Times New Roman"/>
          <w:sz w:val="24"/>
          <w:szCs w:val="24"/>
          <w:lang w:val="nb-NO"/>
        </w:rPr>
        <w:t xml:space="preserve">på </w:t>
      </w:r>
      <w:r w:rsidR="00AE13E6" w:rsidRPr="00545991">
        <w:rPr>
          <w:rFonts w:ascii="Times New Roman" w:hAnsi="Times New Roman" w:cs="Times New Roman"/>
          <w:sz w:val="24"/>
          <w:szCs w:val="24"/>
          <w:lang w:val="nb-NO"/>
        </w:rPr>
        <w:t>924</w:t>
      </w:r>
      <w:r w:rsidR="003B00C0" w:rsidRPr="00545991">
        <w:rPr>
          <w:rFonts w:ascii="Times New Roman" w:hAnsi="Times New Roman" w:cs="Times New Roman"/>
          <w:sz w:val="24"/>
          <w:szCs w:val="24"/>
          <w:lang w:val="nb-NO"/>
        </w:rPr>
        <w:t xml:space="preserve"> </w:t>
      </w:r>
      <w:r w:rsidR="00AE13E6" w:rsidRPr="00545991">
        <w:rPr>
          <w:rFonts w:ascii="Times New Roman" w:hAnsi="Times New Roman" w:cs="Times New Roman"/>
          <w:sz w:val="24"/>
          <w:szCs w:val="24"/>
          <w:lang w:val="nb-NO"/>
        </w:rPr>
        <w:t>000</w:t>
      </w:r>
      <w:r w:rsidR="00234CEA" w:rsidRPr="00545991">
        <w:rPr>
          <w:rFonts w:ascii="Times New Roman" w:hAnsi="Times New Roman" w:cs="Times New Roman"/>
          <w:sz w:val="24"/>
          <w:szCs w:val="24"/>
          <w:lang w:val="nb-NO"/>
        </w:rPr>
        <w:t xml:space="preserve"> </w:t>
      </w:r>
      <w:r w:rsidR="001E288B" w:rsidRPr="00545991">
        <w:rPr>
          <w:rFonts w:ascii="Times New Roman" w:hAnsi="Times New Roman" w:cs="Times New Roman"/>
          <w:sz w:val="24"/>
          <w:szCs w:val="24"/>
          <w:lang w:val="nb-NO"/>
        </w:rPr>
        <w:t xml:space="preserve">kroner </w:t>
      </w:r>
      <w:r w:rsidR="00234CEA" w:rsidRPr="00545991">
        <w:rPr>
          <w:rFonts w:ascii="Times New Roman" w:hAnsi="Times New Roman" w:cs="Times New Roman"/>
          <w:sz w:val="24"/>
          <w:szCs w:val="24"/>
          <w:lang w:val="nb-NO"/>
        </w:rPr>
        <w:t xml:space="preserve">og </w:t>
      </w:r>
      <w:r w:rsidR="00406E7D" w:rsidRPr="00545991">
        <w:rPr>
          <w:rFonts w:ascii="Times New Roman" w:hAnsi="Times New Roman" w:cs="Times New Roman"/>
          <w:sz w:val="24"/>
          <w:szCs w:val="24"/>
          <w:lang w:val="nb-NO"/>
        </w:rPr>
        <w:t>ikke</w:t>
      </w:r>
      <w:r w:rsidR="00AE13E6" w:rsidRPr="00545991">
        <w:rPr>
          <w:rFonts w:ascii="Times New Roman" w:hAnsi="Times New Roman" w:cs="Times New Roman"/>
          <w:sz w:val="24"/>
          <w:szCs w:val="24"/>
          <w:lang w:val="nb-NO"/>
        </w:rPr>
        <w:t>-</w:t>
      </w:r>
      <w:r w:rsidR="00406E7D" w:rsidRPr="00545991">
        <w:rPr>
          <w:rFonts w:ascii="Times New Roman" w:hAnsi="Times New Roman" w:cs="Times New Roman"/>
          <w:sz w:val="24"/>
          <w:szCs w:val="24"/>
          <w:lang w:val="nb-NO"/>
        </w:rPr>
        <w:t xml:space="preserve">oppmøte </w:t>
      </w:r>
      <w:r w:rsidR="00AE13E6" w:rsidRPr="00545991">
        <w:rPr>
          <w:rFonts w:ascii="Times New Roman" w:hAnsi="Times New Roman" w:cs="Times New Roman"/>
          <w:sz w:val="24"/>
          <w:szCs w:val="24"/>
          <w:lang w:val="nb-NO"/>
        </w:rPr>
        <w:t>på hotellrom</w:t>
      </w:r>
      <w:r w:rsidR="00132BB2">
        <w:rPr>
          <w:rFonts w:ascii="Times New Roman" w:hAnsi="Times New Roman" w:cs="Times New Roman"/>
          <w:sz w:val="24"/>
          <w:szCs w:val="24"/>
          <w:lang w:val="nb-NO"/>
        </w:rPr>
        <w:t>, som kom</w:t>
      </w:r>
      <w:r w:rsidR="00AE13E6" w:rsidRPr="00545991">
        <w:rPr>
          <w:rFonts w:ascii="Times New Roman" w:hAnsi="Times New Roman" w:cs="Times New Roman"/>
          <w:sz w:val="24"/>
          <w:szCs w:val="24"/>
          <w:lang w:val="nb-NO"/>
        </w:rPr>
        <w:t xml:space="preserve"> </w:t>
      </w:r>
      <w:r w:rsidR="003B00C0" w:rsidRPr="00545991">
        <w:rPr>
          <w:rFonts w:ascii="Times New Roman" w:hAnsi="Times New Roman" w:cs="Times New Roman"/>
          <w:sz w:val="24"/>
          <w:szCs w:val="24"/>
          <w:lang w:val="nb-NO"/>
        </w:rPr>
        <w:t xml:space="preserve">på </w:t>
      </w:r>
      <w:r w:rsidR="00132BB2">
        <w:rPr>
          <w:rFonts w:ascii="Times New Roman" w:hAnsi="Times New Roman" w:cs="Times New Roman"/>
          <w:sz w:val="24"/>
          <w:szCs w:val="24"/>
          <w:lang w:val="nb-NO"/>
        </w:rPr>
        <w:t xml:space="preserve">ca. </w:t>
      </w:r>
      <w:r w:rsidR="00234CEA" w:rsidRPr="00545991">
        <w:rPr>
          <w:rFonts w:ascii="Times New Roman" w:hAnsi="Times New Roman" w:cs="Times New Roman"/>
          <w:sz w:val="24"/>
          <w:szCs w:val="24"/>
          <w:lang w:val="nb-NO"/>
        </w:rPr>
        <w:t>900</w:t>
      </w:r>
      <w:r w:rsidR="003B00C0" w:rsidRPr="00545991">
        <w:rPr>
          <w:rFonts w:ascii="Times New Roman" w:hAnsi="Times New Roman" w:cs="Times New Roman"/>
          <w:sz w:val="24"/>
          <w:szCs w:val="24"/>
          <w:lang w:val="nb-NO"/>
        </w:rPr>
        <w:t xml:space="preserve"> </w:t>
      </w:r>
      <w:r w:rsidR="00234CEA" w:rsidRPr="00545991">
        <w:rPr>
          <w:rFonts w:ascii="Times New Roman" w:hAnsi="Times New Roman" w:cs="Times New Roman"/>
          <w:sz w:val="24"/>
          <w:szCs w:val="24"/>
          <w:lang w:val="nb-NO"/>
        </w:rPr>
        <w:t>000</w:t>
      </w:r>
      <w:r w:rsidR="0032552F">
        <w:rPr>
          <w:rFonts w:ascii="Times New Roman" w:hAnsi="Times New Roman" w:cs="Times New Roman"/>
          <w:sz w:val="24"/>
          <w:szCs w:val="24"/>
          <w:lang w:val="nb-NO"/>
        </w:rPr>
        <w:t xml:space="preserve"> kroner</w:t>
      </w:r>
      <w:r w:rsidR="00234CEA" w:rsidRPr="00545991">
        <w:rPr>
          <w:rFonts w:ascii="Times New Roman" w:hAnsi="Times New Roman" w:cs="Times New Roman"/>
          <w:sz w:val="24"/>
          <w:szCs w:val="24"/>
          <w:lang w:val="nb-NO"/>
        </w:rPr>
        <w:t>. I tillegg trakk arrangementet færre tilskuere enn forventet, slik at billettinntektene ble 450</w:t>
      </w:r>
      <w:r w:rsidR="003B00C0" w:rsidRPr="00545991">
        <w:rPr>
          <w:rFonts w:ascii="Times New Roman" w:hAnsi="Times New Roman" w:cs="Times New Roman"/>
          <w:sz w:val="24"/>
          <w:szCs w:val="24"/>
          <w:lang w:val="nb-NO"/>
        </w:rPr>
        <w:t xml:space="preserve"> </w:t>
      </w:r>
      <w:r w:rsidR="00234CEA" w:rsidRPr="00545991">
        <w:rPr>
          <w:rFonts w:ascii="Times New Roman" w:hAnsi="Times New Roman" w:cs="Times New Roman"/>
          <w:sz w:val="24"/>
          <w:szCs w:val="24"/>
          <w:lang w:val="nb-NO"/>
        </w:rPr>
        <w:t xml:space="preserve">000 </w:t>
      </w:r>
      <w:r w:rsidR="001E288B" w:rsidRPr="00545991">
        <w:rPr>
          <w:rFonts w:ascii="Times New Roman" w:hAnsi="Times New Roman" w:cs="Times New Roman"/>
          <w:sz w:val="24"/>
          <w:szCs w:val="24"/>
          <w:lang w:val="nb-NO"/>
        </w:rPr>
        <w:t xml:space="preserve">kroner </w:t>
      </w:r>
      <w:r w:rsidR="00234CEA" w:rsidRPr="00545991">
        <w:rPr>
          <w:rFonts w:ascii="Times New Roman" w:hAnsi="Times New Roman" w:cs="Times New Roman"/>
          <w:sz w:val="24"/>
          <w:szCs w:val="24"/>
          <w:lang w:val="nb-NO"/>
        </w:rPr>
        <w:t>min</w:t>
      </w:r>
      <w:r w:rsidR="00BC6546" w:rsidRPr="00545991">
        <w:rPr>
          <w:rFonts w:ascii="Times New Roman" w:hAnsi="Times New Roman" w:cs="Times New Roman"/>
          <w:sz w:val="24"/>
          <w:szCs w:val="24"/>
          <w:lang w:val="nb-NO"/>
        </w:rPr>
        <w:t>d</w:t>
      </w:r>
      <w:r w:rsidR="00234CEA" w:rsidRPr="00545991">
        <w:rPr>
          <w:rFonts w:ascii="Times New Roman" w:hAnsi="Times New Roman" w:cs="Times New Roman"/>
          <w:sz w:val="24"/>
          <w:szCs w:val="24"/>
          <w:lang w:val="nb-NO"/>
        </w:rPr>
        <w:t>re enn budsjette</w:t>
      </w:r>
      <w:r w:rsidR="00D405C2">
        <w:rPr>
          <w:rFonts w:ascii="Times New Roman" w:hAnsi="Times New Roman" w:cs="Times New Roman"/>
          <w:sz w:val="24"/>
          <w:szCs w:val="24"/>
          <w:lang w:val="nb-NO"/>
        </w:rPr>
        <w:t>r</w:t>
      </w:r>
      <w:r w:rsidR="00234CEA" w:rsidRPr="00545991">
        <w:rPr>
          <w:rFonts w:ascii="Times New Roman" w:hAnsi="Times New Roman" w:cs="Times New Roman"/>
          <w:sz w:val="24"/>
          <w:szCs w:val="24"/>
          <w:lang w:val="nb-NO"/>
        </w:rPr>
        <w:t xml:space="preserve">t.  </w:t>
      </w:r>
      <w:r w:rsidR="00AE13E6" w:rsidRPr="00545991">
        <w:rPr>
          <w:rFonts w:ascii="Times New Roman" w:hAnsi="Times New Roman" w:cs="Times New Roman"/>
          <w:sz w:val="24"/>
          <w:szCs w:val="24"/>
          <w:lang w:val="nb-NO"/>
        </w:rPr>
        <w:t xml:space="preserve"> </w:t>
      </w:r>
    </w:p>
    <w:p w14:paraId="3202ECF0" w14:textId="72F4ABBC" w:rsidR="008A2F6B" w:rsidRPr="00E02540" w:rsidRDefault="009C2BAD" w:rsidP="00AE2C70">
      <w:pPr>
        <w:rPr>
          <w:rFonts w:ascii="Times New Roman" w:hAnsi="Times New Roman" w:cs="Times New Roman"/>
          <w:b/>
          <w:lang w:val="nb-NO"/>
        </w:rPr>
      </w:pPr>
      <w:r w:rsidRPr="00E02540">
        <w:rPr>
          <w:rFonts w:ascii="Times New Roman" w:hAnsi="Times New Roman" w:cs="Times New Roman"/>
          <w:b/>
          <w:lang w:val="nb-NO"/>
        </w:rPr>
        <w:t xml:space="preserve">Tabell 1: </w:t>
      </w:r>
      <w:r w:rsidR="007656BA" w:rsidRPr="00E02540">
        <w:rPr>
          <w:rFonts w:ascii="Times New Roman" w:hAnsi="Times New Roman" w:cs="Times New Roman"/>
          <w:b/>
          <w:lang w:val="nb-NO"/>
        </w:rPr>
        <w:t xml:space="preserve">Samlet </w:t>
      </w:r>
      <w:r w:rsidR="00727776" w:rsidRPr="00E02540">
        <w:rPr>
          <w:rFonts w:ascii="Times New Roman" w:hAnsi="Times New Roman" w:cs="Times New Roman"/>
          <w:b/>
          <w:lang w:val="nb-NO"/>
        </w:rPr>
        <w:t>regnskap</w:t>
      </w:r>
      <w:r w:rsidR="001E288B" w:rsidRPr="00E02540">
        <w:rPr>
          <w:rFonts w:ascii="Times New Roman" w:hAnsi="Times New Roman" w:cs="Times New Roman"/>
          <w:b/>
          <w:lang w:val="nb-NO"/>
        </w:rPr>
        <w:t xml:space="preserve"> </w:t>
      </w:r>
      <w:r w:rsidR="009A7B8F" w:rsidRPr="00E02540">
        <w:rPr>
          <w:rFonts w:ascii="Times New Roman" w:hAnsi="Times New Roman" w:cs="Times New Roman"/>
          <w:b/>
          <w:lang w:val="nb-NO"/>
        </w:rPr>
        <w:t xml:space="preserve">for Chess Olympiad Tromsø </w:t>
      </w:r>
      <w:r w:rsidR="001E288B" w:rsidRPr="00E02540">
        <w:rPr>
          <w:rFonts w:ascii="Times New Roman" w:hAnsi="Times New Roman" w:cs="Times New Roman"/>
          <w:b/>
          <w:lang w:val="nb-NO"/>
        </w:rPr>
        <w:t>(1000 kr)</w:t>
      </w:r>
      <w:r w:rsidR="00371482" w:rsidRPr="00E02540">
        <w:rPr>
          <w:rFonts w:ascii="Times New Roman" w:hAnsi="Times New Roman" w:cs="Times New Roman"/>
          <w:b/>
          <w:lang w:val="nb-NO"/>
        </w:rPr>
        <w:t>. Kilde: «Sluttrapport Chess Olympiad»</w:t>
      </w:r>
    </w:p>
    <w:tbl>
      <w:tblPr>
        <w:tblStyle w:val="Tabellrutenett"/>
        <w:tblW w:w="9102" w:type="dxa"/>
        <w:tblLook w:val="04A0" w:firstRow="1" w:lastRow="0" w:firstColumn="1" w:lastColumn="0" w:noHBand="0" w:noVBand="1"/>
      </w:tblPr>
      <w:tblGrid>
        <w:gridCol w:w="704"/>
        <w:gridCol w:w="1069"/>
        <w:gridCol w:w="1304"/>
        <w:gridCol w:w="876"/>
        <w:gridCol w:w="995"/>
        <w:gridCol w:w="993"/>
        <w:gridCol w:w="992"/>
        <w:gridCol w:w="1011"/>
        <w:gridCol w:w="1158"/>
      </w:tblGrid>
      <w:tr w:rsidR="009C2BAD" w:rsidRPr="00371482" w14:paraId="70F5BC17" w14:textId="77777777" w:rsidTr="00371482">
        <w:trPr>
          <w:trHeight w:val="288"/>
        </w:trPr>
        <w:tc>
          <w:tcPr>
            <w:tcW w:w="704" w:type="dxa"/>
            <w:noWrap/>
            <w:vAlign w:val="center"/>
          </w:tcPr>
          <w:p w14:paraId="3548762D" w14:textId="77777777" w:rsidR="008A2F6B" w:rsidRPr="00371482" w:rsidRDefault="008A2F6B" w:rsidP="00371482">
            <w:pPr>
              <w:jc w:val="center"/>
              <w:rPr>
                <w:rFonts w:ascii="Times New Roman" w:hAnsi="Times New Roman" w:cs="Times New Roman"/>
                <w:lang w:val="nb-NO"/>
              </w:rPr>
            </w:pPr>
          </w:p>
        </w:tc>
        <w:tc>
          <w:tcPr>
            <w:tcW w:w="1069" w:type="dxa"/>
            <w:noWrap/>
            <w:vAlign w:val="center"/>
            <w:hideMark/>
          </w:tcPr>
          <w:p w14:paraId="37EA5EA9" w14:textId="58945B16" w:rsidR="008A2F6B" w:rsidRPr="00371482" w:rsidRDefault="00371482" w:rsidP="00371482">
            <w:pPr>
              <w:jc w:val="center"/>
              <w:rPr>
                <w:rFonts w:ascii="Times New Roman" w:hAnsi="Times New Roman" w:cs="Times New Roman"/>
                <w:lang w:val="nb-NO"/>
              </w:rPr>
            </w:pPr>
            <w:r>
              <w:rPr>
                <w:rFonts w:ascii="Times New Roman" w:hAnsi="Times New Roman" w:cs="Times New Roman"/>
                <w:lang w:val="nb-NO"/>
              </w:rPr>
              <w:br/>
            </w:r>
            <w:r w:rsidR="008A2F6B" w:rsidRPr="00371482">
              <w:rPr>
                <w:rFonts w:ascii="Times New Roman" w:hAnsi="Times New Roman" w:cs="Times New Roman"/>
                <w:lang w:val="nb-NO"/>
              </w:rPr>
              <w:t>Inntekt</w:t>
            </w:r>
            <w:r w:rsidR="009C2BAD" w:rsidRPr="00371482">
              <w:rPr>
                <w:rFonts w:ascii="Times New Roman" w:hAnsi="Times New Roman" w:cs="Times New Roman"/>
                <w:lang w:val="nb-NO"/>
              </w:rPr>
              <w:t>er</w:t>
            </w:r>
          </w:p>
        </w:tc>
        <w:tc>
          <w:tcPr>
            <w:tcW w:w="1304" w:type="dxa"/>
            <w:noWrap/>
            <w:vAlign w:val="center"/>
            <w:hideMark/>
          </w:tcPr>
          <w:p w14:paraId="353E49B8" w14:textId="2FFC73BB" w:rsidR="008A2F6B" w:rsidRPr="00371482" w:rsidRDefault="008A2F6B" w:rsidP="00371482">
            <w:pPr>
              <w:jc w:val="center"/>
              <w:rPr>
                <w:rFonts w:ascii="Times New Roman" w:hAnsi="Times New Roman" w:cs="Times New Roman"/>
                <w:lang w:val="nb-NO"/>
              </w:rPr>
            </w:pPr>
            <w:r w:rsidRPr="00371482">
              <w:rPr>
                <w:rFonts w:ascii="Times New Roman" w:hAnsi="Times New Roman" w:cs="Times New Roman"/>
                <w:lang w:val="nb-NO"/>
              </w:rPr>
              <w:t>Kostn</w:t>
            </w:r>
            <w:r w:rsidR="009C2BAD" w:rsidRPr="00371482">
              <w:rPr>
                <w:rFonts w:ascii="Times New Roman" w:hAnsi="Times New Roman" w:cs="Times New Roman"/>
                <w:lang w:val="nb-NO"/>
              </w:rPr>
              <w:t>ader</w:t>
            </w:r>
          </w:p>
        </w:tc>
        <w:tc>
          <w:tcPr>
            <w:tcW w:w="876" w:type="dxa"/>
            <w:noWrap/>
            <w:vAlign w:val="center"/>
            <w:hideMark/>
          </w:tcPr>
          <w:p w14:paraId="319EE6E5" w14:textId="77777777" w:rsidR="008A2F6B" w:rsidRPr="00371482" w:rsidRDefault="008A2F6B" w:rsidP="00371482">
            <w:pPr>
              <w:jc w:val="center"/>
              <w:rPr>
                <w:rFonts w:ascii="Times New Roman" w:hAnsi="Times New Roman" w:cs="Times New Roman"/>
                <w:lang w:val="nb-NO"/>
              </w:rPr>
            </w:pPr>
            <w:r w:rsidRPr="00371482">
              <w:rPr>
                <w:rFonts w:ascii="Times New Roman" w:hAnsi="Times New Roman" w:cs="Times New Roman"/>
                <w:lang w:val="nb-NO"/>
              </w:rPr>
              <w:t>Finans</w:t>
            </w:r>
            <w:r w:rsidR="009C2BAD" w:rsidRPr="00371482">
              <w:rPr>
                <w:rFonts w:ascii="Times New Roman" w:hAnsi="Times New Roman" w:cs="Times New Roman"/>
                <w:lang w:val="nb-NO"/>
              </w:rPr>
              <w:t>-</w:t>
            </w:r>
            <w:r w:rsidRPr="00371482">
              <w:rPr>
                <w:rFonts w:ascii="Times New Roman" w:hAnsi="Times New Roman" w:cs="Times New Roman"/>
                <w:lang w:val="nb-NO"/>
              </w:rPr>
              <w:t>res</w:t>
            </w:r>
            <w:r w:rsidR="009C2BAD" w:rsidRPr="00371482">
              <w:rPr>
                <w:rFonts w:ascii="Times New Roman" w:hAnsi="Times New Roman" w:cs="Times New Roman"/>
                <w:lang w:val="nb-NO"/>
              </w:rPr>
              <w:t>ultat</w:t>
            </w:r>
          </w:p>
        </w:tc>
        <w:tc>
          <w:tcPr>
            <w:tcW w:w="995" w:type="dxa"/>
            <w:noWrap/>
            <w:vAlign w:val="center"/>
            <w:hideMark/>
          </w:tcPr>
          <w:p w14:paraId="380CAADF" w14:textId="77777777" w:rsidR="008A2F6B" w:rsidRPr="00371482" w:rsidRDefault="008A2F6B" w:rsidP="00371482">
            <w:pPr>
              <w:jc w:val="center"/>
              <w:rPr>
                <w:rFonts w:ascii="Times New Roman" w:hAnsi="Times New Roman" w:cs="Times New Roman"/>
                <w:lang w:val="nb-NO"/>
              </w:rPr>
            </w:pPr>
            <w:r w:rsidRPr="00371482">
              <w:rPr>
                <w:rFonts w:ascii="Times New Roman" w:hAnsi="Times New Roman" w:cs="Times New Roman"/>
                <w:lang w:val="nb-NO"/>
              </w:rPr>
              <w:t>Års</w:t>
            </w:r>
            <w:r w:rsidR="009C2BAD" w:rsidRPr="00371482">
              <w:rPr>
                <w:rFonts w:ascii="Times New Roman" w:hAnsi="Times New Roman" w:cs="Times New Roman"/>
                <w:lang w:val="nb-NO"/>
              </w:rPr>
              <w:t>-</w:t>
            </w:r>
            <w:r w:rsidRPr="00371482">
              <w:rPr>
                <w:rFonts w:ascii="Times New Roman" w:hAnsi="Times New Roman" w:cs="Times New Roman"/>
                <w:lang w:val="nb-NO"/>
              </w:rPr>
              <w:t>res</w:t>
            </w:r>
            <w:r w:rsidR="009C2BAD" w:rsidRPr="00371482">
              <w:rPr>
                <w:rFonts w:ascii="Times New Roman" w:hAnsi="Times New Roman" w:cs="Times New Roman"/>
                <w:lang w:val="nb-NO"/>
              </w:rPr>
              <w:t>ultat</w:t>
            </w:r>
          </w:p>
        </w:tc>
        <w:tc>
          <w:tcPr>
            <w:tcW w:w="993" w:type="dxa"/>
            <w:noWrap/>
            <w:vAlign w:val="center"/>
            <w:hideMark/>
          </w:tcPr>
          <w:p w14:paraId="5903F205" w14:textId="77777777" w:rsidR="008A2F6B" w:rsidRPr="00371482" w:rsidRDefault="008A2F6B" w:rsidP="00371482">
            <w:pPr>
              <w:jc w:val="center"/>
              <w:rPr>
                <w:rFonts w:ascii="Times New Roman" w:hAnsi="Times New Roman" w:cs="Times New Roman"/>
                <w:lang w:val="nb-NO"/>
              </w:rPr>
            </w:pPr>
            <w:r w:rsidRPr="00371482">
              <w:rPr>
                <w:rFonts w:ascii="Times New Roman" w:hAnsi="Times New Roman" w:cs="Times New Roman"/>
                <w:lang w:val="nb-NO"/>
              </w:rPr>
              <w:t>E</w:t>
            </w:r>
            <w:r w:rsidR="009C2BAD" w:rsidRPr="00371482">
              <w:rPr>
                <w:rFonts w:ascii="Times New Roman" w:hAnsi="Times New Roman" w:cs="Times New Roman"/>
                <w:lang w:val="nb-NO"/>
              </w:rPr>
              <w:t>gen-kapital</w:t>
            </w:r>
          </w:p>
        </w:tc>
        <w:tc>
          <w:tcPr>
            <w:tcW w:w="992" w:type="dxa"/>
            <w:noWrap/>
            <w:vAlign w:val="center"/>
            <w:hideMark/>
          </w:tcPr>
          <w:p w14:paraId="07688ED3" w14:textId="77777777" w:rsidR="008A2F6B" w:rsidRPr="00371482" w:rsidRDefault="008A2F6B" w:rsidP="00371482">
            <w:pPr>
              <w:jc w:val="center"/>
              <w:rPr>
                <w:rFonts w:ascii="Times New Roman" w:hAnsi="Times New Roman" w:cs="Times New Roman"/>
                <w:lang w:val="nb-NO"/>
              </w:rPr>
            </w:pPr>
            <w:r w:rsidRPr="00371482">
              <w:rPr>
                <w:rFonts w:ascii="Times New Roman" w:hAnsi="Times New Roman" w:cs="Times New Roman"/>
                <w:lang w:val="nb-NO"/>
              </w:rPr>
              <w:t>Stats</w:t>
            </w:r>
            <w:r w:rsidR="009C2BAD" w:rsidRPr="00371482">
              <w:rPr>
                <w:rFonts w:ascii="Times New Roman" w:hAnsi="Times New Roman" w:cs="Times New Roman"/>
                <w:lang w:val="nb-NO"/>
              </w:rPr>
              <w:t>-</w:t>
            </w:r>
            <w:r w:rsidRPr="00371482">
              <w:rPr>
                <w:rFonts w:ascii="Times New Roman" w:hAnsi="Times New Roman" w:cs="Times New Roman"/>
                <w:lang w:val="nb-NO"/>
              </w:rPr>
              <w:t>tilsk</w:t>
            </w:r>
            <w:r w:rsidR="009C2BAD" w:rsidRPr="00371482">
              <w:rPr>
                <w:rFonts w:ascii="Times New Roman" w:hAnsi="Times New Roman" w:cs="Times New Roman"/>
                <w:lang w:val="nb-NO"/>
              </w:rPr>
              <w:t>udd</w:t>
            </w:r>
          </w:p>
        </w:tc>
        <w:tc>
          <w:tcPr>
            <w:tcW w:w="1011" w:type="dxa"/>
            <w:noWrap/>
            <w:vAlign w:val="center"/>
            <w:hideMark/>
          </w:tcPr>
          <w:p w14:paraId="513BE26F" w14:textId="77777777" w:rsidR="008A2F6B" w:rsidRPr="00371482" w:rsidRDefault="008A2F6B" w:rsidP="00371482">
            <w:pPr>
              <w:jc w:val="center"/>
              <w:rPr>
                <w:rFonts w:ascii="Times New Roman" w:hAnsi="Times New Roman" w:cs="Times New Roman"/>
                <w:lang w:val="nb-NO"/>
              </w:rPr>
            </w:pPr>
            <w:r w:rsidRPr="00371482">
              <w:rPr>
                <w:rFonts w:ascii="Times New Roman" w:hAnsi="Times New Roman" w:cs="Times New Roman"/>
                <w:lang w:val="nb-NO"/>
              </w:rPr>
              <w:t>Sponsor</w:t>
            </w:r>
            <w:r w:rsidR="009C2BAD" w:rsidRPr="00371482">
              <w:rPr>
                <w:rFonts w:ascii="Times New Roman" w:hAnsi="Times New Roman" w:cs="Times New Roman"/>
                <w:lang w:val="nb-NO"/>
              </w:rPr>
              <w:t>-inntekter</w:t>
            </w:r>
          </w:p>
        </w:tc>
        <w:tc>
          <w:tcPr>
            <w:tcW w:w="1158" w:type="dxa"/>
            <w:noWrap/>
            <w:vAlign w:val="center"/>
            <w:hideMark/>
          </w:tcPr>
          <w:p w14:paraId="016A957E" w14:textId="77777777" w:rsidR="008A2F6B" w:rsidRPr="00371482" w:rsidRDefault="008A2F6B" w:rsidP="00371482">
            <w:pPr>
              <w:jc w:val="center"/>
              <w:rPr>
                <w:rFonts w:ascii="Times New Roman" w:hAnsi="Times New Roman" w:cs="Times New Roman"/>
                <w:lang w:val="nb-NO"/>
              </w:rPr>
            </w:pPr>
            <w:r w:rsidRPr="00371482">
              <w:rPr>
                <w:rFonts w:ascii="Times New Roman" w:hAnsi="Times New Roman" w:cs="Times New Roman"/>
                <w:lang w:val="nb-NO"/>
              </w:rPr>
              <w:t>Fylke</w:t>
            </w:r>
            <w:r w:rsidR="009C2BAD" w:rsidRPr="00371482">
              <w:rPr>
                <w:rFonts w:ascii="Times New Roman" w:hAnsi="Times New Roman" w:cs="Times New Roman"/>
                <w:lang w:val="nb-NO"/>
              </w:rPr>
              <w:t>s-kommunal støtte</w:t>
            </w:r>
          </w:p>
        </w:tc>
      </w:tr>
      <w:tr w:rsidR="009C2BAD" w:rsidRPr="00545991" w14:paraId="0A32D52C" w14:textId="77777777" w:rsidTr="00371482">
        <w:trPr>
          <w:trHeight w:val="288"/>
        </w:trPr>
        <w:tc>
          <w:tcPr>
            <w:tcW w:w="704" w:type="dxa"/>
            <w:noWrap/>
            <w:hideMark/>
          </w:tcPr>
          <w:p w14:paraId="1E3DBCD7" w14:textId="77777777" w:rsidR="008A2F6B" w:rsidRPr="00371482" w:rsidRDefault="008A2F6B" w:rsidP="008A2F6B">
            <w:pPr>
              <w:rPr>
                <w:rFonts w:ascii="Times New Roman" w:hAnsi="Times New Roman" w:cs="Times New Roman"/>
                <w:lang w:val="nb-NO"/>
              </w:rPr>
            </w:pPr>
            <w:r w:rsidRPr="00371482">
              <w:rPr>
                <w:rFonts w:ascii="Times New Roman" w:hAnsi="Times New Roman" w:cs="Times New Roman"/>
                <w:lang w:val="nb-NO"/>
              </w:rPr>
              <w:t>2008</w:t>
            </w:r>
          </w:p>
        </w:tc>
        <w:tc>
          <w:tcPr>
            <w:tcW w:w="1069" w:type="dxa"/>
            <w:noWrap/>
            <w:hideMark/>
          </w:tcPr>
          <w:p w14:paraId="41823422"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2</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710</w:t>
            </w:r>
          </w:p>
        </w:tc>
        <w:tc>
          <w:tcPr>
            <w:tcW w:w="1304" w:type="dxa"/>
            <w:noWrap/>
            <w:hideMark/>
          </w:tcPr>
          <w:p w14:paraId="3B16E6C0"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2</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721</w:t>
            </w:r>
          </w:p>
        </w:tc>
        <w:tc>
          <w:tcPr>
            <w:tcW w:w="876" w:type="dxa"/>
            <w:noWrap/>
            <w:hideMark/>
          </w:tcPr>
          <w:p w14:paraId="789F2AE3"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2</w:t>
            </w:r>
          </w:p>
        </w:tc>
        <w:tc>
          <w:tcPr>
            <w:tcW w:w="995" w:type="dxa"/>
            <w:noWrap/>
            <w:hideMark/>
          </w:tcPr>
          <w:p w14:paraId="0D3D5030"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-8</w:t>
            </w:r>
          </w:p>
        </w:tc>
        <w:tc>
          <w:tcPr>
            <w:tcW w:w="993" w:type="dxa"/>
            <w:noWrap/>
            <w:hideMark/>
          </w:tcPr>
          <w:p w14:paraId="0439EF86"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96</w:t>
            </w:r>
          </w:p>
        </w:tc>
        <w:tc>
          <w:tcPr>
            <w:tcW w:w="992" w:type="dxa"/>
            <w:noWrap/>
            <w:hideMark/>
          </w:tcPr>
          <w:p w14:paraId="3DA68FFE" w14:textId="77777777" w:rsidR="008A2F6B" w:rsidRPr="00371482" w:rsidRDefault="008A2F6B" w:rsidP="00727776">
            <w:pPr>
              <w:jc w:val="right"/>
              <w:rPr>
                <w:rFonts w:ascii="Times New Roman" w:hAnsi="Times New Roman" w:cs="Times New Roman"/>
                <w:lang w:val="nb-NO"/>
              </w:rPr>
            </w:pPr>
          </w:p>
        </w:tc>
        <w:tc>
          <w:tcPr>
            <w:tcW w:w="1011" w:type="dxa"/>
            <w:noWrap/>
            <w:hideMark/>
          </w:tcPr>
          <w:p w14:paraId="39EED279" w14:textId="77777777" w:rsidR="008A2F6B" w:rsidRPr="00371482" w:rsidRDefault="008A2F6B" w:rsidP="00727776">
            <w:pPr>
              <w:jc w:val="right"/>
              <w:rPr>
                <w:rFonts w:ascii="Times New Roman" w:hAnsi="Times New Roman" w:cs="Times New Roman"/>
                <w:lang w:val="nb-NO"/>
              </w:rPr>
            </w:pPr>
          </w:p>
        </w:tc>
        <w:tc>
          <w:tcPr>
            <w:tcW w:w="1158" w:type="dxa"/>
            <w:noWrap/>
            <w:hideMark/>
          </w:tcPr>
          <w:p w14:paraId="1A0D4593" w14:textId="77777777" w:rsidR="008A2F6B" w:rsidRPr="00371482" w:rsidRDefault="008A2F6B" w:rsidP="00727776">
            <w:pPr>
              <w:jc w:val="right"/>
              <w:rPr>
                <w:rFonts w:ascii="Times New Roman" w:hAnsi="Times New Roman" w:cs="Times New Roman"/>
                <w:lang w:val="nb-NO"/>
              </w:rPr>
            </w:pPr>
          </w:p>
        </w:tc>
      </w:tr>
      <w:tr w:rsidR="009C2BAD" w:rsidRPr="00545991" w14:paraId="247699E3" w14:textId="77777777" w:rsidTr="00371482">
        <w:trPr>
          <w:trHeight w:val="288"/>
        </w:trPr>
        <w:tc>
          <w:tcPr>
            <w:tcW w:w="704" w:type="dxa"/>
            <w:noWrap/>
            <w:hideMark/>
          </w:tcPr>
          <w:p w14:paraId="5B28B85F" w14:textId="77777777" w:rsidR="008A2F6B" w:rsidRPr="00371482" w:rsidRDefault="008A2F6B" w:rsidP="008A2F6B">
            <w:pPr>
              <w:rPr>
                <w:rFonts w:ascii="Times New Roman" w:hAnsi="Times New Roman" w:cs="Times New Roman"/>
                <w:lang w:val="nb-NO"/>
              </w:rPr>
            </w:pPr>
            <w:r w:rsidRPr="00371482">
              <w:rPr>
                <w:rFonts w:ascii="Times New Roman" w:hAnsi="Times New Roman" w:cs="Times New Roman"/>
                <w:lang w:val="nb-NO"/>
              </w:rPr>
              <w:t>2009</w:t>
            </w:r>
          </w:p>
        </w:tc>
        <w:tc>
          <w:tcPr>
            <w:tcW w:w="1069" w:type="dxa"/>
            <w:noWrap/>
            <w:hideMark/>
          </w:tcPr>
          <w:p w14:paraId="443607FA"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047</w:t>
            </w:r>
          </w:p>
        </w:tc>
        <w:tc>
          <w:tcPr>
            <w:tcW w:w="1304" w:type="dxa"/>
            <w:noWrap/>
            <w:hideMark/>
          </w:tcPr>
          <w:p w14:paraId="67DCD823"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119</w:t>
            </w:r>
          </w:p>
        </w:tc>
        <w:tc>
          <w:tcPr>
            <w:tcW w:w="876" w:type="dxa"/>
            <w:noWrap/>
            <w:hideMark/>
          </w:tcPr>
          <w:p w14:paraId="1E5C9A26"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4</w:t>
            </w:r>
          </w:p>
        </w:tc>
        <w:tc>
          <w:tcPr>
            <w:tcW w:w="995" w:type="dxa"/>
            <w:noWrap/>
            <w:hideMark/>
          </w:tcPr>
          <w:p w14:paraId="619258B4"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-76</w:t>
            </w:r>
          </w:p>
        </w:tc>
        <w:tc>
          <w:tcPr>
            <w:tcW w:w="993" w:type="dxa"/>
            <w:noWrap/>
            <w:hideMark/>
          </w:tcPr>
          <w:p w14:paraId="4661D45F"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18</w:t>
            </w:r>
          </w:p>
        </w:tc>
        <w:tc>
          <w:tcPr>
            <w:tcW w:w="992" w:type="dxa"/>
            <w:noWrap/>
            <w:hideMark/>
          </w:tcPr>
          <w:p w14:paraId="321D1854" w14:textId="77777777" w:rsidR="008A2F6B" w:rsidRPr="00371482" w:rsidRDefault="008A2F6B" w:rsidP="00727776">
            <w:pPr>
              <w:jc w:val="right"/>
              <w:rPr>
                <w:rFonts w:ascii="Times New Roman" w:hAnsi="Times New Roman" w:cs="Times New Roman"/>
                <w:lang w:val="nb-NO"/>
              </w:rPr>
            </w:pPr>
          </w:p>
        </w:tc>
        <w:tc>
          <w:tcPr>
            <w:tcW w:w="1011" w:type="dxa"/>
            <w:noWrap/>
            <w:hideMark/>
          </w:tcPr>
          <w:p w14:paraId="213B23DC" w14:textId="77777777" w:rsidR="008A2F6B" w:rsidRPr="00371482" w:rsidRDefault="008A2F6B" w:rsidP="00727776">
            <w:pPr>
              <w:jc w:val="right"/>
              <w:rPr>
                <w:rFonts w:ascii="Times New Roman" w:hAnsi="Times New Roman" w:cs="Times New Roman"/>
                <w:lang w:val="nb-NO"/>
              </w:rPr>
            </w:pPr>
          </w:p>
        </w:tc>
        <w:tc>
          <w:tcPr>
            <w:tcW w:w="1158" w:type="dxa"/>
            <w:noWrap/>
            <w:hideMark/>
          </w:tcPr>
          <w:p w14:paraId="74DB847D" w14:textId="77777777" w:rsidR="008A2F6B" w:rsidRPr="00371482" w:rsidRDefault="008A2F6B" w:rsidP="00727776">
            <w:pPr>
              <w:jc w:val="right"/>
              <w:rPr>
                <w:rFonts w:ascii="Times New Roman" w:hAnsi="Times New Roman" w:cs="Times New Roman"/>
                <w:lang w:val="nb-NO"/>
              </w:rPr>
            </w:pPr>
          </w:p>
        </w:tc>
      </w:tr>
      <w:tr w:rsidR="009C2BAD" w:rsidRPr="00545991" w14:paraId="35EC51ED" w14:textId="77777777" w:rsidTr="00371482">
        <w:trPr>
          <w:trHeight w:val="288"/>
        </w:trPr>
        <w:tc>
          <w:tcPr>
            <w:tcW w:w="704" w:type="dxa"/>
            <w:noWrap/>
            <w:hideMark/>
          </w:tcPr>
          <w:p w14:paraId="74FA5149" w14:textId="77777777" w:rsidR="008A2F6B" w:rsidRPr="00371482" w:rsidRDefault="008A2F6B" w:rsidP="008A2F6B">
            <w:pPr>
              <w:rPr>
                <w:rFonts w:ascii="Times New Roman" w:hAnsi="Times New Roman" w:cs="Times New Roman"/>
                <w:lang w:val="nb-NO"/>
              </w:rPr>
            </w:pPr>
            <w:r w:rsidRPr="00371482">
              <w:rPr>
                <w:rFonts w:ascii="Times New Roman" w:hAnsi="Times New Roman" w:cs="Times New Roman"/>
                <w:lang w:val="nb-NO"/>
              </w:rPr>
              <w:t>2010</w:t>
            </w:r>
          </w:p>
        </w:tc>
        <w:tc>
          <w:tcPr>
            <w:tcW w:w="1069" w:type="dxa"/>
            <w:noWrap/>
            <w:hideMark/>
          </w:tcPr>
          <w:p w14:paraId="420D43B9"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7</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724</w:t>
            </w:r>
          </w:p>
        </w:tc>
        <w:tc>
          <w:tcPr>
            <w:tcW w:w="1304" w:type="dxa"/>
            <w:noWrap/>
            <w:hideMark/>
          </w:tcPr>
          <w:p w14:paraId="11EBE0C2"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7</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521</w:t>
            </w:r>
          </w:p>
        </w:tc>
        <w:tc>
          <w:tcPr>
            <w:tcW w:w="876" w:type="dxa"/>
            <w:noWrap/>
            <w:hideMark/>
          </w:tcPr>
          <w:p w14:paraId="211A3012"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-32</w:t>
            </w:r>
          </w:p>
        </w:tc>
        <w:tc>
          <w:tcPr>
            <w:tcW w:w="995" w:type="dxa"/>
            <w:noWrap/>
            <w:hideMark/>
          </w:tcPr>
          <w:p w14:paraId="04B2E1DB"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172</w:t>
            </w:r>
          </w:p>
        </w:tc>
        <w:tc>
          <w:tcPr>
            <w:tcW w:w="993" w:type="dxa"/>
            <w:noWrap/>
            <w:hideMark/>
          </w:tcPr>
          <w:p w14:paraId="5D8F54B1"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192</w:t>
            </w:r>
          </w:p>
        </w:tc>
        <w:tc>
          <w:tcPr>
            <w:tcW w:w="992" w:type="dxa"/>
            <w:noWrap/>
            <w:hideMark/>
          </w:tcPr>
          <w:p w14:paraId="5EB0E4BD" w14:textId="77777777" w:rsidR="008A2F6B" w:rsidRPr="00371482" w:rsidRDefault="008A2F6B" w:rsidP="00727776">
            <w:pPr>
              <w:jc w:val="right"/>
              <w:rPr>
                <w:rFonts w:ascii="Times New Roman" w:hAnsi="Times New Roman" w:cs="Times New Roman"/>
                <w:lang w:val="nb-NO"/>
              </w:rPr>
            </w:pPr>
          </w:p>
        </w:tc>
        <w:tc>
          <w:tcPr>
            <w:tcW w:w="1011" w:type="dxa"/>
            <w:noWrap/>
            <w:hideMark/>
          </w:tcPr>
          <w:p w14:paraId="434409B7"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1 067</w:t>
            </w:r>
          </w:p>
        </w:tc>
        <w:tc>
          <w:tcPr>
            <w:tcW w:w="1158" w:type="dxa"/>
            <w:noWrap/>
            <w:hideMark/>
          </w:tcPr>
          <w:p w14:paraId="24359044" w14:textId="77777777" w:rsidR="008A2F6B" w:rsidRPr="00371482" w:rsidRDefault="008A2F6B" w:rsidP="00727776">
            <w:pPr>
              <w:jc w:val="right"/>
              <w:rPr>
                <w:rFonts w:ascii="Times New Roman" w:hAnsi="Times New Roman" w:cs="Times New Roman"/>
                <w:lang w:val="nb-NO"/>
              </w:rPr>
            </w:pPr>
          </w:p>
        </w:tc>
      </w:tr>
      <w:tr w:rsidR="009C2BAD" w:rsidRPr="00545991" w14:paraId="4643CD08" w14:textId="77777777" w:rsidTr="00371482">
        <w:trPr>
          <w:trHeight w:val="288"/>
        </w:trPr>
        <w:tc>
          <w:tcPr>
            <w:tcW w:w="704" w:type="dxa"/>
            <w:noWrap/>
            <w:hideMark/>
          </w:tcPr>
          <w:p w14:paraId="460FC70A" w14:textId="77777777" w:rsidR="008A2F6B" w:rsidRPr="00371482" w:rsidRDefault="008A2F6B" w:rsidP="008A2F6B">
            <w:pPr>
              <w:rPr>
                <w:rFonts w:ascii="Times New Roman" w:hAnsi="Times New Roman" w:cs="Times New Roman"/>
                <w:lang w:val="nb-NO"/>
              </w:rPr>
            </w:pPr>
            <w:r w:rsidRPr="00371482">
              <w:rPr>
                <w:rFonts w:ascii="Times New Roman" w:hAnsi="Times New Roman" w:cs="Times New Roman"/>
                <w:lang w:val="nb-NO"/>
              </w:rPr>
              <w:t>2011</w:t>
            </w:r>
          </w:p>
        </w:tc>
        <w:tc>
          <w:tcPr>
            <w:tcW w:w="1069" w:type="dxa"/>
            <w:noWrap/>
            <w:hideMark/>
          </w:tcPr>
          <w:p w14:paraId="6653B195"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227</w:t>
            </w:r>
          </w:p>
        </w:tc>
        <w:tc>
          <w:tcPr>
            <w:tcW w:w="1304" w:type="dxa"/>
            <w:noWrap/>
            <w:hideMark/>
          </w:tcPr>
          <w:p w14:paraId="33D090FF"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041</w:t>
            </w:r>
          </w:p>
        </w:tc>
        <w:tc>
          <w:tcPr>
            <w:tcW w:w="876" w:type="dxa"/>
            <w:noWrap/>
            <w:hideMark/>
          </w:tcPr>
          <w:p w14:paraId="635767BE"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-41</w:t>
            </w:r>
          </w:p>
        </w:tc>
        <w:tc>
          <w:tcPr>
            <w:tcW w:w="995" w:type="dxa"/>
            <w:noWrap/>
            <w:hideMark/>
          </w:tcPr>
          <w:p w14:paraId="2B33CD73"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145</w:t>
            </w:r>
          </w:p>
        </w:tc>
        <w:tc>
          <w:tcPr>
            <w:tcW w:w="993" w:type="dxa"/>
            <w:noWrap/>
            <w:hideMark/>
          </w:tcPr>
          <w:p w14:paraId="7D5D7E0E"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336</w:t>
            </w:r>
          </w:p>
        </w:tc>
        <w:tc>
          <w:tcPr>
            <w:tcW w:w="992" w:type="dxa"/>
            <w:noWrap/>
            <w:hideMark/>
          </w:tcPr>
          <w:p w14:paraId="06B9D1A8" w14:textId="77777777" w:rsidR="008A2F6B" w:rsidRPr="00371482" w:rsidRDefault="008A2F6B" w:rsidP="00727776">
            <w:pPr>
              <w:jc w:val="right"/>
              <w:rPr>
                <w:rFonts w:ascii="Times New Roman" w:hAnsi="Times New Roman" w:cs="Times New Roman"/>
                <w:lang w:val="nb-NO"/>
              </w:rPr>
            </w:pPr>
          </w:p>
        </w:tc>
        <w:tc>
          <w:tcPr>
            <w:tcW w:w="1011" w:type="dxa"/>
            <w:noWrap/>
            <w:hideMark/>
          </w:tcPr>
          <w:p w14:paraId="21ACC32B" w14:textId="77777777" w:rsidR="008A2F6B" w:rsidRPr="00371482" w:rsidRDefault="008A2F6B" w:rsidP="00727776">
            <w:pPr>
              <w:jc w:val="right"/>
              <w:rPr>
                <w:rFonts w:ascii="Times New Roman" w:hAnsi="Times New Roman" w:cs="Times New Roman"/>
                <w:lang w:val="nb-NO"/>
              </w:rPr>
            </w:pPr>
          </w:p>
        </w:tc>
        <w:tc>
          <w:tcPr>
            <w:tcW w:w="1158" w:type="dxa"/>
            <w:noWrap/>
            <w:hideMark/>
          </w:tcPr>
          <w:p w14:paraId="7BC817BE" w14:textId="77777777" w:rsidR="008A2F6B" w:rsidRPr="00371482" w:rsidRDefault="008A2F6B" w:rsidP="00727776">
            <w:pPr>
              <w:jc w:val="right"/>
              <w:rPr>
                <w:rFonts w:ascii="Times New Roman" w:hAnsi="Times New Roman" w:cs="Times New Roman"/>
                <w:lang w:val="nb-NO"/>
              </w:rPr>
            </w:pPr>
          </w:p>
        </w:tc>
      </w:tr>
      <w:tr w:rsidR="009C2BAD" w:rsidRPr="00545991" w14:paraId="79F2D082" w14:textId="77777777" w:rsidTr="00371482">
        <w:trPr>
          <w:trHeight w:val="288"/>
        </w:trPr>
        <w:tc>
          <w:tcPr>
            <w:tcW w:w="704" w:type="dxa"/>
            <w:noWrap/>
            <w:hideMark/>
          </w:tcPr>
          <w:p w14:paraId="321D933C" w14:textId="77777777" w:rsidR="008A2F6B" w:rsidRPr="00371482" w:rsidRDefault="008A2F6B" w:rsidP="008A2F6B">
            <w:pPr>
              <w:rPr>
                <w:rFonts w:ascii="Times New Roman" w:hAnsi="Times New Roman" w:cs="Times New Roman"/>
                <w:lang w:val="nb-NO"/>
              </w:rPr>
            </w:pPr>
            <w:r w:rsidRPr="00371482">
              <w:rPr>
                <w:rFonts w:ascii="Times New Roman" w:hAnsi="Times New Roman" w:cs="Times New Roman"/>
                <w:lang w:val="nb-NO"/>
              </w:rPr>
              <w:t>2012</w:t>
            </w:r>
          </w:p>
        </w:tc>
        <w:tc>
          <w:tcPr>
            <w:tcW w:w="1069" w:type="dxa"/>
            <w:noWrap/>
            <w:hideMark/>
          </w:tcPr>
          <w:p w14:paraId="33A62AC8"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5</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229</w:t>
            </w:r>
          </w:p>
        </w:tc>
        <w:tc>
          <w:tcPr>
            <w:tcW w:w="1304" w:type="dxa"/>
            <w:noWrap/>
            <w:hideMark/>
          </w:tcPr>
          <w:p w14:paraId="08C40729"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4</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970</w:t>
            </w:r>
          </w:p>
        </w:tc>
        <w:tc>
          <w:tcPr>
            <w:tcW w:w="876" w:type="dxa"/>
            <w:noWrap/>
            <w:hideMark/>
          </w:tcPr>
          <w:p w14:paraId="635374D4"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5</w:t>
            </w:r>
          </w:p>
        </w:tc>
        <w:tc>
          <w:tcPr>
            <w:tcW w:w="995" w:type="dxa"/>
            <w:noWrap/>
            <w:hideMark/>
          </w:tcPr>
          <w:p w14:paraId="13B5C70E"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264</w:t>
            </w:r>
          </w:p>
        </w:tc>
        <w:tc>
          <w:tcPr>
            <w:tcW w:w="993" w:type="dxa"/>
            <w:noWrap/>
            <w:hideMark/>
          </w:tcPr>
          <w:p w14:paraId="3FA215FD"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600</w:t>
            </w:r>
          </w:p>
        </w:tc>
        <w:tc>
          <w:tcPr>
            <w:tcW w:w="992" w:type="dxa"/>
            <w:noWrap/>
            <w:hideMark/>
          </w:tcPr>
          <w:p w14:paraId="483263B3" w14:textId="77777777" w:rsidR="008A2F6B" w:rsidRPr="00371482" w:rsidRDefault="008A2F6B" w:rsidP="00727776">
            <w:pPr>
              <w:jc w:val="right"/>
              <w:rPr>
                <w:rFonts w:ascii="Times New Roman" w:hAnsi="Times New Roman" w:cs="Times New Roman"/>
                <w:lang w:val="nb-NO"/>
              </w:rPr>
            </w:pPr>
          </w:p>
        </w:tc>
        <w:tc>
          <w:tcPr>
            <w:tcW w:w="1011" w:type="dxa"/>
            <w:noWrap/>
            <w:hideMark/>
          </w:tcPr>
          <w:p w14:paraId="5027AD3B"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1 000</w:t>
            </w:r>
          </w:p>
        </w:tc>
        <w:tc>
          <w:tcPr>
            <w:tcW w:w="1158" w:type="dxa"/>
            <w:noWrap/>
            <w:hideMark/>
          </w:tcPr>
          <w:p w14:paraId="1D2D9D28"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3 000</w:t>
            </w:r>
          </w:p>
        </w:tc>
      </w:tr>
      <w:tr w:rsidR="009C2BAD" w:rsidRPr="00545991" w14:paraId="12B03C69" w14:textId="77777777" w:rsidTr="00371482">
        <w:trPr>
          <w:trHeight w:val="288"/>
        </w:trPr>
        <w:tc>
          <w:tcPr>
            <w:tcW w:w="704" w:type="dxa"/>
            <w:noWrap/>
            <w:hideMark/>
          </w:tcPr>
          <w:p w14:paraId="73360847" w14:textId="77777777" w:rsidR="008A2F6B" w:rsidRPr="00371482" w:rsidRDefault="008A2F6B" w:rsidP="008A2F6B">
            <w:pPr>
              <w:rPr>
                <w:rFonts w:ascii="Times New Roman" w:hAnsi="Times New Roman" w:cs="Times New Roman"/>
                <w:lang w:val="nb-NO"/>
              </w:rPr>
            </w:pPr>
            <w:r w:rsidRPr="00371482">
              <w:rPr>
                <w:rFonts w:ascii="Times New Roman" w:hAnsi="Times New Roman" w:cs="Times New Roman"/>
                <w:lang w:val="nb-NO"/>
              </w:rPr>
              <w:t>2013</w:t>
            </w:r>
          </w:p>
        </w:tc>
        <w:tc>
          <w:tcPr>
            <w:tcW w:w="1069" w:type="dxa"/>
            <w:noWrap/>
            <w:hideMark/>
          </w:tcPr>
          <w:p w14:paraId="7AE89223"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15</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905</w:t>
            </w:r>
          </w:p>
        </w:tc>
        <w:tc>
          <w:tcPr>
            <w:tcW w:w="1304" w:type="dxa"/>
            <w:noWrap/>
            <w:hideMark/>
          </w:tcPr>
          <w:p w14:paraId="473B3CC7"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20</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184</w:t>
            </w:r>
          </w:p>
        </w:tc>
        <w:tc>
          <w:tcPr>
            <w:tcW w:w="876" w:type="dxa"/>
            <w:noWrap/>
            <w:hideMark/>
          </w:tcPr>
          <w:p w14:paraId="46978612"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117</w:t>
            </w:r>
          </w:p>
        </w:tc>
        <w:tc>
          <w:tcPr>
            <w:tcW w:w="995" w:type="dxa"/>
            <w:noWrap/>
            <w:hideMark/>
          </w:tcPr>
          <w:p w14:paraId="3DFF29F8"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-4</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162</w:t>
            </w:r>
          </w:p>
        </w:tc>
        <w:tc>
          <w:tcPr>
            <w:tcW w:w="993" w:type="dxa"/>
            <w:noWrap/>
            <w:hideMark/>
          </w:tcPr>
          <w:p w14:paraId="00F9E93D"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561</w:t>
            </w:r>
          </w:p>
        </w:tc>
        <w:tc>
          <w:tcPr>
            <w:tcW w:w="992" w:type="dxa"/>
            <w:noWrap/>
            <w:hideMark/>
          </w:tcPr>
          <w:p w14:paraId="0E7569FB"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10 000</w:t>
            </w:r>
          </w:p>
        </w:tc>
        <w:tc>
          <w:tcPr>
            <w:tcW w:w="1011" w:type="dxa"/>
            <w:noWrap/>
            <w:hideMark/>
          </w:tcPr>
          <w:p w14:paraId="496F8B17"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2 685</w:t>
            </w:r>
          </w:p>
        </w:tc>
        <w:tc>
          <w:tcPr>
            <w:tcW w:w="1158" w:type="dxa"/>
            <w:noWrap/>
            <w:hideMark/>
          </w:tcPr>
          <w:p w14:paraId="5737CC94"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1 500</w:t>
            </w:r>
          </w:p>
        </w:tc>
      </w:tr>
      <w:tr w:rsidR="009C2BAD" w:rsidRPr="00545991" w14:paraId="591FDB42" w14:textId="77777777" w:rsidTr="00371482">
        <w:trPr>
          <w:trHeight w:val="288"/>
        </w:trPr>
        <w:tc>
          <w:tcPr>
            <w:tcW w:w="704" w:type="dxa"/>
            <w:noWrap/>
            <w:hideMark/>
          </w:tcPr>
          <w:p w14:paraId="0E0A382D" w14:textId="77777777" w:rsidR="008A2F6B" w:rsidRPr="00371482" w:rsidRDefault="008A2F6B" w:rsidP="008A2F6B">
            <w:pPr>
              <w:rPr>
                <w:rFonts w:ascii="Times New Roman" w:hAnsi="Times New Roman" w:cs="Times New Roman"/>
                <w:lang w:val="nb-NO"/>
              </w:rPr>
            </w:pPr>
            <w:r w:rsidRPr="00371482">
              <w:rPr>
                <w:rFonts w:ascii="Times New Roman" w:hAnsi="Times New Roman" w:cs="Times New Roman"/>
                <w:lang w:val="nb-NO"/>
              </w:rPr>
              <w:t>2014</w:t>
            </w:r>
          </w:p>
        </w:tc>
        <w:tc>
          <w:tcPr>
            <w:tcW w:w="1069" w:type="dxa"/>
            <w:noWrap/>
            <w:hideMark/>
          </w:tcPr>
          <w:p w14:paraId="3919DA62"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94</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828</w:t>
            </w:r>
          </w:p>
        </w:tc>
        <w:tc>
          <w:tcPr>
            <w:tcW w:w="1304" w:type="dxa"/>
            <w:noWrap/>
            <w:hideMark/>
          </w:tcPr>
          <w:p w14:paraId="2FDBB8BF"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95</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604</w:t>
            </w:r>
          </w:p>
        </w:tc>
        <w:tc>
          <w:tcPr>
            <w:tcW w:w="876" w:type="dxa"/>
            <w:noWrap/>
            <w:hideMark/>
          </w:tcPr>
          <w:p w14:paraId="1B4B3462"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355</w:t>
            </w:r>
          </w:p>
        </w:tc>
        <w:tc>
          <w:tcPr>
            <w:tcW w:w="995" w:type="dxa"/>
            <w:noWrap/>
            <w:hideMark/>
          </w:tcPr>
          <w:p w14:paraId="2F254189"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-421</w:t>
            </w:r>
          </w:p>
        </w:tc>
        <w:tc>
          <w:tcPr>
            <w:tcW w:w="993" w:type="dxa"/>
            <w:noWrap/>
            <w:hideMark/>
          </w:tcPr>
          <w:p w14:paraId="434FE582"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982</w:t>
            </w:r>
          </w:p>
        </w:tc>
        <w:tc>
          <w:tcPr>
            <w:tcW w:w="992" w:type="dxa"/>
            <w:noWrap/>
            <w:hideMark/>
          </w:tcPr>
          <w:p w14:paraId="6B2483AA"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77 000</w:t>
            </w:r>
          </w:p>
        </w:tc>
        <w:tc>
          <w:tcPr>
            <w:tcW w:w="1011" w:type="dxa"/>
            <w:noWrap/>
            <w:hideMark/>
          </w:tcPr>
          <w:p w14:paraId="72DC0FFC"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9 374</w:t>
            </w:r>
          </w:p>
        </w:tc>
        <w:tc>
          <w:tcPr>
            <w:tcW w:w="1158" w:type="dxa"/>
            <w:noWrap/>
            <w:hideMark/>
          </w:tcPr>
          <w:p w14:paraId="7F5E20DE"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1 800</w:t>
            </w:r>
          </w:p>
        </w:tc>
      </w:tr>
      <w:tr w:rsidR="009C2BAD" w:rsidRPr="00545991" w14:paraId="72926203" w14:textId="77777777" w:rsidTr="00371482">
        <w:trPr>
          <w:trHeight w:val="288"/>
        </w:trPr>
        <w:tc>
          <w:tcPr>
            <w:tcW w:w="704" w:type="dxa"/>
            <w:noWrap/>
            <w:hideMark/>
          </w:tcPr>
          <w:p w14:paraId="362B617F" w14:textId="77777777" w:rsidR="008A2F6B" w:rsidRPr="00371482" w:rsidRDefault="001E288B" w:rsidP="008A2F6B">
            <w:pPr>
              <w:rPr>
                <w:rFonts w:ascii="Times New Roman" w:hAnsi="Times New Roman" w:cs="Times New Roman"/>
                <w:lang w:val="nb-NO"/>
              </w:rPr>
            </w:pPr>
            <w:r w:rsidRPr="00371482">
              <w:rPr>
                <w:rFonts w:ascii="Times New Roman" w:hAnsi="Times New Roman" w:cs="Times New Roman"/>
                <w:lang w:val="nb-NO"/>
              </w:rPr>
              <w:t>I alt</w:t>
            </w:r>
          </w:p>
        </w:tc>
        <w:tc>
          <w:tcPr>
            <w:tcW w:w="1069" w:type="dxa"/>
            <w:noWrap/>
            <w:hideMark/>
          </w:tcPr>
          <w:p w14:paraId="39481BE8"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132</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670</w:t>
            </w:r>
          </w:p>
        </w:tc>
        <w:tc>
          <w:tcPr>
            <w:tcW w:w="1304" w:type="dxa"/>
            <w:noWrap/>
            <w:hideMark/>
          </w:tcPr>
          <w:p w14:paraId="1E6353CC"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137</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160</w:t>
            </w:r>
          </w:p>
        </w:tc>
        <w:tc>
          <w:tcPr>
            <w:tcW w:w="876" w:type="dxa"/>
            <w:noWrap/>
            <w:hideMark/>
          </w:tcPr>
          <w:p w14:paraId="63927BA5"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410</w:t>
            </w:r>
          </w:p>
        </w:tc>
        <w:tc>
          <w:tcPr>
            <w:tcW w:w="995" w:type="dxa"/>
            <w:noWrap/>
            <w:hideMark/>
          </w:tcPr>
          <w:p w14:paraId="059E4E2C"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-4</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086</w:t>
            </w:r>
          </w:p>
        </w:tc>
        <w:tc>
          <w:tcPr>
            <w:tcW w:w="993" w:type="dxa"/>
            <w:noWrap/>
            <w:hideMark/>
          </w:tcPr>
          <w:p w14:paraId="2529B0AC"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-3</w:t>
            </w:r>
            <w:r w:rsidR="00727776" w:rsidRPr="00371482">
              <w:rPr>
                <w:rFonts w:ascii="Times New Roman" w:hAnsi="Times New Roman" w:cs="Times New Roman"/>
                <w:lang w:val="nb-NO"/>
              </w:rPr>
              <w:t xml:space="preserve"> </w:t>
            </w:r>
            <w:r w:rsidRPr="00371482">
              <w:rPr>
                <w:rFonts w:ascii="Times New Roman" w:hAnsi="Times New Roman" w:cs="Times New Roman"/>
                <w:lang w:val="nb-NO"/>
              </w:rPr>
              <w:t>676</w:t>
            </w:r>
          </w:p>
        </w:tc>
        <w:tc>
          <w:tcPr>
            <w:tcW w:w="992" w:type="dxa"/>
            <w:noWrap/>
            <w:hideMark/>
          </w:tcPr>
          <w:p w14:paraId="4B6B8349"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87 000</w:t>
            </w:r>
          </w:p>
        </w:tc>
        <w:tc>
          <w:tcPr>
            <w:tcW w:w="1011" w:type="dxa"/>
            <w:noWrap/>
            <w:hideMark/>
          </w:tcPr>
          <w:p w14:paraId="76986853"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14 126</w:t>
            </w:r>
          </w:p>
        </w:tc>
        <w:tc>
          <w:tcPr>
            <w:tcW w:w="1158" w:type="dxa"/>
            <w:noWrap/>
            <w:hideMark/>
          </w:tcPr>
          <w:p w14:paraId="4FE72C11" w14:textId="77777777" w:rsidR="008A2F6B" w:rsidRPr="00371482" w:rsidRDefault="008A2F6B" w:rsidP="00727776">
            <w:pPr>
              <w:jc w:val="right"/>
              <w:rPr>
                <w:rFonts w:ascii="Times New Roman" w:hAnsi="Times New Roman" w:cs="Times New Roman"/>
                <w:lang w:val="nb-NO"/>
              </w:rPr>
            </w:pPr>
            <w:r w:rsidRPr="00371482">
              <w:rPr>
                <w:rFonts w:ascii="Times New Roman" w:hAnsi="Times New Roman" w:cs="Times New Roman"/>
                <w:lang w:val="nb-NO"/>
              </w:rPr>
              <w:t>6 300</w:t>
            </w:r>
          </w:p>
        </w:tc>
      </w:tr>
    </w:tbl>
    <w:p w14:paraId="74C7051F" w14:textId="77777777" w:rsidR="008A2F6B" w:rsidRPr="00545991" w:rsidRDefault="008A2F6B" w:rsidP="00AE2C70">
      <w:pPr>
        <w:rPr>
          <w:rFonts w:ascii="Times New Roman" w:hAnsi="Times New Roman" w:cs="Times New Roman"/>
          <w:sz w:val="24"/>
          <w:szCs w:val="24"/>
          <w:lang w:val="nb-NO"/>
        </w:rPr>
      </w:pPr>
    </w:p>
    <w:p w14:paraId="121C762B" w14:textId="77777777" w:rsidR="000B4665" w:rsidRPr="00545991" w:rsidRDefault="000B4665" w:rsidP="00AE2C70">
      <w:pPr>
        <w:rPr>
          <w:rFonts w:ascii="Times New Roman" w:hAnsi="Times New Roman" w:cs="Times New Roman"/>
          <w:sz w:val="24"/>
          <w:szCs w:val="24"/>
          <w:lang w:val="nb-NO"/>
        </w:rPr>
      </w:pPr>
    </w:p>
    <w:p w14:paraId="68EE057E" w14:textId="77777777" w:rsidR="000B4665" w:rsidRPr="00545991" w:rsidRDefault="00D405C2" w:rsidP="00CD7394">
      <w:pPr>
        <w:pStyle w:val="Overskrift2"/>
        <w:spacing w:line="360" w:lineRule="auto"/>
        <w:rPr>
          <w:lang w:val="nb-NO"/>
        </w:rPr>
      </w:pPr>
      <w:r>
        <w:rPr>
          <w:lang w:val="nb-NO"/>
        </w:rPr>
        <w:t xml:space="preserve">5.2 </w:t>
      </w:r>
      <w:r w:rsidR="000B4665" w:rsidRPr="00545991">
        <w:rPr>
          <w:lang w:val="nb-NO"/>
        </w:rPr>
        <w:t>Tilførsel</w:t>
      </w:r>
      <w:r w:rsidR="00234CEA" w:rsidRPr="00545991">
        <w:rPr>
          <w:lang w:val="nb-NO"/>
        </w:rPr>
        <w:t>en</w:t>
      </w:r>
      <w:r w:rsidR="000B4665" w:rsidRPr="00545991">
        <w:rPr>
          <w:lang w:val="nb-NO"/>
        </w:rPr>
        <w:t xml:space="preserve"> til Tromsø</w:t>
      </w:r>
    </w:p>
    <w:p w14:paraId="0E55A39E" w14:textId="1F3E8B36" w:rsidR="00B3742E" w:rsidRDefault="003F5A55" w:rsidP="0032552F">
      <w:pPr>
        <w:spacing w:line="360" w:lineRule="auto"/>
        <w:jc w:val="both"/>
        <w:rPr>
          <w:rFonts w:ascii="Times New Roman" w:hAnsi="Times New Roman" w:cs="Times New Roman"/>
          <w:sz w:val="24"/>
          <w:szCs w:val="24"/>
          <w:lang w:val="nb-NO"/>
        </w:rPr>
      </w:pPr>
      <w:r w:rsidRPr="003F45CE">
        <w:rPr>
          <w:rFonts w:ascii="Times New Roman" w:hAnsi="Times New Roman" w:cs="Times New Roman"/>
          <w:sz w:val="24"/>
          <w:szCs w:val="24"/>
          <w:lang w:val="nb-NO"/>
        </w:rPr>
        <w:t xml:space="preserve">Den viktigste </w:t>
      </w:r>
      <w:r w:rsidR="00CD7394" w:rsidRPr="003F45CE">
        <w:rPr>
          <w:rFonts w:ascii="Times New Roman" w:hAnsi="Times New Roman" w:cs="Times New Roman"/>
          <w:sz w:val="24"/>
          <w:szCs w:val="24"/>
          <w:lang w:val="nb-NO"/>
        </w:rPr>
        <w:t xml:space="preserve">inntektskilden for Tromsø </w:t>
      </w:r>
      <w:r w:rsidR="00234CEA" w:rsidRPr="003F45CE">
        <w:rPr>
          <w:rFonts w:ascii="Times New Roman" w:hAnsi="Times New Roman" w:cs="Times New Roman"/>
          <w:sz w:val="24"/>
          <w:szCs w:val="24"/>
          <w:lang w:val="nb-NO"/>
        </w:rPr>
        <w:t xml:space="preserve">by </w:t>
      </w:r>
      <w:r w:rsidR="00CD7394" w:rsidRPr="003F45CE">
        <w:rPr>
          <w:rFonts w:ascii="Times New Roman" w:hAnsi="Times New Roman" w:cs="Times New Roman"/>
          <w:sz w:val="24"/>
          <w:szCs w:val="24"/>
          <w:lang w:val="nb-NO"/>
        </w:rPr>
        <w:t xml:space="preserve">var statstilskuddet på til sammen 87 millioner kroner, hvor 77 millioner </w:t>
      </w:r>
      <w:r w:rsidR="00BC6546" w:rsidRPr="003F45CE">
        <w:rPr>
          <w:rFonts w:ascii="Times New Roman" w:hAnsi="Times New Roman" w:cs="Times New Roman"/>
          <w:sz w:val="24"/>
          <w:szCs w:val="24"/>
          <w:lang w:val="nb-NO"/>
        </w:rPr>
        <w:t xml:space="preserve">kom </w:t>
      </w:r>
      <w:r w:rsidR="00CD7394" w:rsidRPr="003F45CE">
        <w:rPr>
          <w:rFonts w:ascii="Times New Roman" w:hAnsi="Times New Roman" w:cs="Times New Roman"/>
          <w:sz w:val="24"/>
          <w:szCs w:val="24"/>
          <w:lang w:val="nb-NO"/>
        </w:rPr>
        <w:t xml:space="preserve">i 2014 </w:t>
      </w:r>
      <w:r w:rsidR="00AE13E6" w:rsidRPr="003F45CE">
        <w:rPr>
          <w:rFonts w:ascii="Times New Roman" w:hAnsi="Times New Roman" w:cs="Times New Roman"/>
          <w:sz w:val="24"/>
          <w:szCs w:val="24"/>
          <w:lang w:val="nb-NO"/>
        </w:rPr>
        <w:t>og</w:t>
      </w:r>
      <w:r w:rsidR="00CD7394" w:rsidRPr="003F45CE">
        <w:rPr>
          <w:rFonts w:ascii="Times New Roman" w:hAnsi="Times New Roman" w:cs="Times New Roman"/>
          <w:sz w:val="24"/>
          <w:szCs w:val="24"/>
          <w:lang w:val="nb-NO"/>
        </w:rPr>
        <w:t xml:space="preserve"> </w:t>
      </w:r>
      <w:r w:rsidR="000A6F60" w:rsidRPr="003F45CE">
        <w:rPr>
          <w:rFonts w:ascii="Times New Roman" w:hAnsi="Times New Roman" w:cs="Times New Roman"/>
          <w:sz w:val="24"/>
          <w:szCs w:val="24"/>
          <w:lang w:val="nb-NO"/>
        </w:rPr>
        <w:t xml:space="preserve">10 millioner i 2013. </w:t>
      </w:r>
      <w:r w:rsidR="008B5B36" w:rsidRPr="003F45CE">
        <w:rPr>
          <w:rFonts w:ascii="Times New Roman" w:hAnsi="Times New Roman" w:cs="Times New Roman"/>
          <w:sz w:val="24"/>
          <w:szCs w:val="24"/>
          <w:lang w:val="nb-NO"/>
        </w:rPr>
        <w:t>De andre inntektene kom i hovedsak fra lokale aktører</w:t>
      </w:r>
      <w:r w:rsidR="00132BB2" w:rsidRPr="003F45CE">
        <w:rPr>
          <w:rFonts w:ascii="Times New Roman" w:hAnsi="Times New Roman" w:cs="Times New Roman"/>
          <w:sz w:val="24"/>
          <w:szCs w:val="24"/>
          <w:lang w:val="nb-NO"/>
        </w:rPr>
        <w:t>,</w:t>
      </w:r>
      <w:r w:rsidR="008B5B36" w:rsidRPr="003F45CE">
        <w:rPr>
          <w:rFonts w:ascii="Times New Roman" w:hAnsi="Times New Roman" w:cs="Times New Roman"/>
          <w:sz w:val="24"/>
          <w:szCs w:val="24"/>
          <w:lang w:val="nb-NO"/>
        </w:rPr>
        <w:t xml:space="preserve"> og må derfor betraktes som interne overføringer av midler som alle</w:t>
      </w:r>
      <w:r w:rsidR="00B3742E" w:rsidRPr="003F45CE">
        <w:rPr>
          <w:rFonts w:ascii="Times New Roman" w:hAnsi="Times New Roman" w:cs="Times New Roman"/>
          <w:sz w:val="24"/>
          <w:szCs w:val="24"/>
          <w:lang w:val="nb-NO"/>
        </w:rPr>
        <w:t>rede befant seg i Tromsø</w:t>
      </w:r>
      <w:r w:rsidR="008B5B36" w:rsidRPr="003F45CE">
        <w:rPr>
          <w:rFonts w:ascii="Times New Roman" w:hAnsi="Times New Roman" w:cs="Times New Roman"/>
          <w:sz w:val="24"/>
          <w:szCs w:val="24"/>
          <w:lang w:val="nb-NO"/>
        </w:rPr>
        <w:t xml:space="preserve">. Dette gjaldt </w:t>
      </w:r>
      <w:r w:rsidR="003B00C0" w:rsidRPr="003F45CE">
        <w:rPr>
          <w:rFonts w:ascii="Times New Roman" w:hAnsi="Times New Roman" w:cs="Times New Roman"/>
          <w:sz w:val="24"/>
          <w:szCs w:val="24"/>
          <w:lang w:val="nb-NO"/>
        </w:rPr>
        <w:t xml:space="preserve">blant annet </w:t>
      </w:r>
      <w:r w:rsidR="008B5B36" w:rsidRPr="003F45CE">
        <w:rPr>
          <w:rFonts w:ascii="Times New Roman" w:hAnsi="Times New Roman" w:cs="Times New Roman"/>
          <w:sz w:val="24"/>
          <w:szCs w:val="24"/>
          <w:lang w:val="nb-NO"/>
        </w:rPr>
        <w:t>fylkeskommunal støtte på 6,3 millioner</w:t>
      </w:r>
      <w:r w:rsidR="003B00C0" w:rsidRPr="003F45CE">
        <w:rPr>
          <w:rFonts w:ascii="Times New Roman" w:hAnsi="Times New Roman" w:cs="Times New Roman"/>
          <w:sz w:val="24"/>
          <w:szCs w:val="24"/>
          <w:lang w:val="nb-NO"/>
        </w:rPr>
        <w:t xml:space="preserve"> kroner</w:t>
      </w:r>
      <w:r w:rsidR="008B5B36" w:rsidRPr="003F45CE">
        <w:rPr>
          <w:rFonts w:ascii="Times New Roman" w:hAnsi="Times New Roman" w:cs="Times New Roman"/>
          <w:sz w:val="24"/>
          <w:szCs w:val="24"/>
          <w:lang w:val="nb-NO"/>
        </w:rPr>
        <w:t xml:space="preserve">. </w:t>
      </w:r>
      <w:r w:rsidR="002B5E99" w:rsidRPr="003F45CE">
        <w:rPr>
          <w:rFonts w:ascii="Times New Roman" w:hAnsi="Times New Roman" w:cs="Times New Roman"/>
          <w:sz w:val="24"/>
          <w:szCs w:val="24"/>
          <w:lang w:val="nb-NO"/>
        </w:rPr>
        <w:t xml:space="preserve">Av de 39 sponsorene var det bare en som hadde hovedsete utenfor Tromsø. </w:t>
      </w:r>
      <w:r w:rsidR="008B5B36" w:rsidRPr="003F45CE">
        <w:rPr>
          <w:rFonts w:ascii="Times New Roman" w:hAnsi="Times New Roman" w:cs="Times New Roman"/>
          <w:sz w:val="24"/>
          <w:szCs w:val="24"/>
          <w:lang w:val="nb-NO"/>
        </w:rPr>
        <w:t>De første årene</w:t>
      </w:r>
      <w:r w:rsidR="00372FE3" w:rsidRPr="003F45CE">
        <w:rPr>
          <w:rFonts w:ascii="Times New Roman" w:hAnsi="Times New Roman" w:cs="Times New Roman"/>
          <w:sz w:val="24"/>
          <w:szCs w:val="24"/>
          <w:lang w:val="nb-NO"/>
        </w:rPr>
        <w:t xml:space="preserve"> ble aktiviteten til COT2014 i hovedsak finansiert av </w:t>
      </w:r>
      <w:r w:rsidR="003F45CE" w:rsidRPr="003F45CE">
        <w:rPr>
          <w:rFonts w:ascii="Times New Roman" w:hAnsi="Times New Roman" w:cs="Times New Roman"/>
          <w:sz w:val="24"/>
          <w:szCs w:val="24"/>
          <w:lang w:val="nb-NO"/>
        </w:rPr>
        <w:t xml:space="preserve">såkalte </w:t>
      </w:r>
      <w:r w:rsidR="00372FE3" w:rsidRPr="003F45CE">
        <w:rPr>
          <w:rFonts w:ascii="Times New Roman" w:hAnsi="Times New Roman" w:cs="Times New Roman"/>
          <w:sz w:val="24"/>
          <w:szCs w:val="24"/>
          <w:lang w:val="nb-NO"/>
        </w:rPr>
        <w:t>RDA-midler</w:t>
      </w:r>
      <w:r w:rsidR="00E3356B">
        <w:rPr>
          <w:rFonts w:ascii="Times New Roman" w:hAnsi="Times New Roman" w:cs="Times New Roman"/>
          <w:sz w:val="24"/>
          <w:szCs w:val="24"/>
          <w:lang w:val="nb-NO"/>
        </w:rPr>
        <w:t xml:space="preserve"> (regionalt differensiert arbeidsgiveravgift)</w:t>
      </w:r>
      <w:r w:rsidR="00372FE3" w:rsidRPr="003F45CE">
        <w:rPr>
          <w:rFonts w:ascii="Times New Roman" w:hAnsi="Times New Roman" w:cs="Times New Roman"/>
          <w:sz w:val="24"/>
          <w:szCs w:val="24"/>
          <w:lang w:val="nb-NO"/>
        </w:rPr>
        <w:t>,</w:t>
      </w:r>
      <w:r w:rsidR="003F45CE" w:rsidRPr="003F45CE">
        <w:rPr>
          <w:rFonts w:ascii="Times New Roman" w:hAnsi="Times New Roman" w:cs="Times New Roman"/>
          <w:sz w:val="24"/>
          <w:szCs w:val="24"/>
          <w:lang w:val="nb-NO"/>
        </w:rPr>
        <w:t xml:space="preserve"> </w:t>
      </w:r>
      <w:r w:rsidR="00372FE3" w:rsidRPr="003F45CE">
        <w:rPr>
          <w:rFonts w:ascii="Times New Roman" w:hAnsi="Times New Roman" w:cs="Times New Roman"/>
          <w:sz w:val="24"/>
          <w:szCs w:val="24"/>
          <w:lang w:val="nb-NO"/>
        </w:rPr>
        <w:t xml:space="preserve">som </w:t>
      </w:r>
      <w:r w:rsidR="00895DD0">
        <w:rPr>
          <w:rFonts w:ascii="Times New Roman" w:hAnsi="Times New Roman" w:cs="Times New Roman"/>
          <w:sz w:val="24"/>
          <w:szCs w:val="24"/>
          <w:lang w:val="nb-NO"/>
        </w:rPr>
        <w:t>var</w:t>
      </w:r>
      <w:r w:rsidR="00895DD0" w:rsidRPr="003F45CE">
        <w:rPr>
          <w:rFonts w:ascii="Times New Roman" w:hAnsi="Times New Roman" w:cs="Times New Roman"/>
          <w:sz w:val="24"/>
          <w:szCs w:val="24"/>
          <w:lang w:val="nb-NO"/>
        </w:rPr>
        <w:t xml:space="preserve"> </w:t>
      </w:r>
      <w:r w:rsidR="00B3742E" w:rsidRPr="003F45CE">
        <w:rPr>
          <w:rFonts w:ascii="Times New Roman" w:hAnsi="Times New Roman" w:cs="Times New Roman"/>
          <w:sz w:val="24"/>
          <w:szCs w:val="24"/>
          <w:lang w:val="nb-NO"/>
        </w:rPr>
        <w:t xml:space="preserve">en </w:t>
      </w:r>
      <w:r w:rsidR="008B5B36" w:rsidRPr="003F45CE">
        <w:rPr>
          <w:rFonts w:ascii="Times New Roman" w:hAnsi="Times New Roman" w:cs="Times New Roman"/>
          <w:sz w:val="24"/>
          <w:szCs w:val="24"/>
          <w:lang w:val="nb-NO"/>
        </w:rPr>
        <w:t>kompensasjonsordning for kommuner med høyere arbeidsgiveravgiftssatser</w:t>
      </w:r>
      <w:r w:rsidR="00895DD0">
        <w:rPr>
          <w:rFonts w:ascii="Times New Roman" w:hAnsi="Times New Roman" w:cs="Times New Roman"/>
          <w:sz w:val="24"/>
          <w:szCs w:val="24"/>
          <w:lang w:val="nb-NO"/>
        </w:rPr>
        <w:t xml:space="preserve"> (ordningen ble avviklet fra og med 2017)</w:t>
      </w:r>
      <w:r w:rsidR="008B5B36" w:rsidRPr="003F45CE">
        <w:rPr>
          <w:rFonts w:ascii="Times New Roman" w:hAnsi="Times New Roman" w:cs="Times New Roman"/>
          <w:sz w:val="24"/>
          <w:szCs w:val="24"/>
          <w:lang w:val="nb-NO"/>
        </w:rPr>
        <w:t xml:space="preserve">. </w:t>
      </w:r>
      <w:r w:rsidR="00372FE3" w:rsidRPr="00545991">
        <w:rPr>
          <w:rFonts w:ascii="Times New Roman" w:hAnsi="Times New Roman" w:cs="Times New Roman"/>
          <w:sz w:val="24"/>
          <w:szCs w:val="24"/>
          <w:lang w:val="nb-NO"/>
        </w:rPr>
        <w:t xml:space="preserve">De samlede inntektene i perioden 2008-2010 var på 12,5 millioner kroner, og av dette utgjorde RDA-midlene 98,7%. </w:t>
      </w:r>
      <w:r w:rsidR="0027189C">
        <w:rPr>
          <w:rFonts w:ascii="Times New Roman" w:hAnsi="Times New Roman" w:cs="Times New Roman"/>
          <w:sz w:val="24"/>
          <w:szCs w:val="24"/>
          <w:lang w:val="nb-NO"/>
        </w:rPr>
        <w:t xml:space="preserve">Formålet med </w:t>
      </w:r>
      <w:r w:rsidR="003F45CE" w:rsidRPr="003F45CE">
        <w:rPr>
          <w:rFonts w:ascii="Times New Roman" w:hAnsi="Times New Roman" w:cs="Times New Roman"/>
          <w:color w:val="0A0A0A"/>
          <w:sz w:val="24"/>
          <w:szCs w:val="24"/>
          <w:lang w:val="nb-NO"/>
        </w:rPr>
        <w:t xml:space="preserve">RDA-midlene </w:t>
      </w:r>
      <w:r w:rsidR="00895DD0">
        <w:rPr>
          <w:rFonts w:ascii="Times New Roman" w:hAnsi="Times New Roman" w:cs="Times New Roman"/>
          <w:color w:val="0A0A0A"/>
          <w:sz w:val="24"/>
          <w:szCs w:val="24"/>
          <w:lang w:val="nb-NO"/>
        </w:rPr>
        <w:t xml:space="preserve">var at </w:t>
      </w:r>
      <w:r w:rsidR="003F45CE" w:rsidRPr="003F45CE">
        <w:rPr>
          <w:rFonts w:ascii="Times New Roman" w:hAnsi="Times New Roman" w:cs="Times New Roman"/>
          <w:color w:val="0A0A0A"/>
          <w:sz w:val="24"/>
          <w:szCs w:val="24"/>
          <w:lang w:val="nb-NO"/>
        </w:rPr>
        <w:t>de sk</w:t>
      </w:r>
      <w:r w:rsidR="00895DD0">
        <w:rPr>
          <w:rFonts w:ascii="Times New Roman" w:hAnsi="Times New Roman" w:cs="Times New Roman"/>
          <w:color w:val="0A0A0A"/>
          <w:sz w:val="24"/>
          <w:szCs w:val="24"/>
          <w:lang w:val="nb-NO"/>
        </w:rPr>
        <w:t>ulle</w:t>
      </w:r>
      <w:r w:rsidR="003F45CE" w:rsidRPr="003F45CE">
        <w:rPr>
          <w:rFonts w:ascii="Times New Roman" w:hAnsi="Times New Roman" w:cs="Times New Roman"/>
          <w:color w:val="0A0A0A"/>
          <w:sz w:val="24"/>
          <w:szCs w:val="24"/>
          <w:lang w:val="nb-NO"/>
        </w:rPr>
        <w:t xml:space="preserve"> bidra</w:t>
      </w:r>
      <w:r w:rsidR="00895DD0">
        <w:rPr>
          <w:rFonts w:ascii="Times New Roman" w:hAnsi="Times New Roman" w:cs="Times New Roman"/>
          <w:color w:val="0A0A0A"/>
          <w:sz w:val="24"/>
          <w:szCs w:val="24"/>
          <w:lang w:val="nb-NO"/>
        </w:rPr>
        <w:t xml:space="preserve"> til</w:t>
      </w:r>
      <w:r w:rsidR="003F45CE" w:rsidRPr="003F45CE">
        <w:rPr>
          <w:rFonts w:ascii="Times New Roman" w:hAnsi="Times New Roman" w:cs="Times New Roman"/>
          <w:color w:val="0A0A0A"/>
          <w:sz w:val="24"/>
          <w:szCs w:val="24"/>
          <w:lang w:val="nb-NO"/>
        </w:rPr>
        <w:t xml:space="preserve"> </w:t>
      </w:r>
      <w:r w:rsidR="00895DD0">
        <w:rPr>
          <w:rFonts w:ascii="Times New Roman" w:hAnsi="Times New Roman" w:cs="Times New Roman"/>
          <w:color w:val="0A0A0A"/>
          <w:sz w:val="24"/>
          <w:szCs w:val="24"/>
          <w:lang w:val="nb-NO"/>
        </w:rPr>
        <w:t xml:space="preserve">næringsrettet utvikling i de berørte regionene. </w:t>
      </w:r>
      <w:r w:rsidR="00304AB2">
        <w:rPr>
          <w:rFonts w:ascii="Times New Roman" w:hAnsi="Times New Roman" w:cs="Times New Roman"/>
          <w:sz w:val="24"/>
          <w:szCs w:val="24"/>
          <w:lang w:val="nb-NO"/>
        </w:rPr>
        <w:t>Vi</w:t>
      </w:r>
      <w:r w:rsidR="003F45CE">
        <w:rPr>
          <w:rFonts w:ascii="Times New Roman" w:hAnsi="Times New Roman" w:cs="Times New Roman"/>
          <w:sz w:val="24"/>
          <w:szCs w:val="24"/>
          <w:lang w:val="nb-NO"/>
        </w:rPr>
        <w:t xml:space="preserve"> </w:t>
      </w:r>
      <w:r w:rsidR="00304AB2">
        <w:rPr>
          <w:rFonts w:ascii="Times New Roman" w:hAnsi="Times New Roman" w:cs="Times New Roman"/>
          <w:sz w:val="24"/>
          <w:szCs w:val="24"/>
          <w:lang w:val="nb-NO"/>
        </w:rPr>
        <w:t xml:space="preserve">antar </w:t>
      </w:r>
      <w:r w:rsidR="003F45CE">
        <w:rPr>
          <w:rFonts w:ascii="Times New Roman" w:hAnsi="Times New Roman" w:cs="Times New Roman"/>
          <w:sz w:val="24"/>
          <w:szCs w:val="24"/>
          <w:lang w:val="nb-NO"/>
        </w:rPr>
        <w:t xml:space="preserve">at </w:t>
      </w:r>
      <w:r w:rsidR="00304AB2">
        <w:rPr>
          <w:rFonts w:ascii="Times New Roman" w:hAnsi="Times New Roman" w:cs="Times New Roman"/>
          <w:sz w:val="24"/>
          <w:szCs w:val="24"/>
          <w:lang w:val="nb-NO"/>
        </w:rPr>
        <w:t>d</w:t>
      </w:r>
      <w:r w:rsidR="00372FE3" w:rsidRPr="00545991">
        <w:rPr>
          <w:rFonts w:ascii="Times New Roman" w:hAnsi="Times New Roman" w:cs="Times New Roman"/>
          <w:sz w:val="24"/>
          <w:szCs w:val="24"/>
          <w:lang w:val="nb-NO"/>
        </w:rPr>
        <w:t xml:space="preserve">ette </w:t>
      </w:r>
      <w:r w:rsidR="003F45CE">
        <w:rPr>
          <w:rFonts w:ascii="Times New Roman" w:hAnsi="Times New Roman" w:cs="Times New Roman"/>
          <w:sz w:val="24"/>
          <w:szCs w:val="24"/>
          <w:lang w:val="nb-NO"/>
        </w:rPr>
        <w:t>er</w:t>
      </w:r>
      <w:r w:rsidR="00372FE3" w:rsidRPr="00545991">
        <w:rPr>
          <w:rFonts w:ascii="Times New Roman" w:hAnsi="Times New Roman" w:cs="Times New Roman"/>
          <w:sz w:val="24"/>
          <w:szCs w:val="24"/>
          <w:lang w:val="nb-NO"/>
        </w:rPr>
        <w:t xml:space="preserve"> midler som Tromsøregionen</w:t>
      </w:r>
      <w:r w:rsidR="00F46F5B" w:rsidRPr="00545991">
        <w:rPr>
          <w:rFonts w:ascii="Times New Roman" w:hAnsi="Times New Roman" w:cs="Times New Roman"/>
          <w:sz w:val="24"/>
          <w:szCs w:val="24"/>
          <w:lang w:val="nb-NO"/>
        </w:rPr>
        <w:t xml:space="preserve"> </w:t>
      </w:r>
      <w:r w:rsidR="003F45CE">
        <w:rPr>
          <w:rFonts w:ascii="Times New Roman" w:hAnsi="Times New Roman" w:cs="Times New Roman"/>
          <w:sz w:val="24"/>
          <w:szCs w:val="24"/>
          <w:lang w:val="nb-NO"/>
        </w:rPr>
        <w:t xml:space="preserve">ville fått </w:t>
      </w:r>
      <w:r w:rsidR="00372FE3" w:rsidRPr="00545991">
        <w:rPr>
          <w:rFonts w:ascii="Times New Roman" w:hAnsi="Times New Roman" w:cs="Times New Roman"/>
          <w:sz w:val="24"/>
          <w:szCs w:val="24"/>
          <w:lang w:val="nb-NO"/>
        </w:rPr>
        <w:t>tilført uavhengig av Sjakk</w:t>
      </w:r>
      <w:r w:rsidR="003B00C0" w:rsidRPr="00545991">
        <w:rPr>
          <w:rFonts w:ascii="Times New Roman" w:hAnsi="Times New Roman" w:cs="Times New Roman"/>
          <w:sz w:val="24"/>
          <w:szCs w:val="24"/>
          <w:lang w:val="nb-NO"/>
        </w:rPr>
        <w:t>-</w:t>
      </w:r>
      <w:r w:rsidR="00372FE3" w:rsidRPr="0069544E">
        <w:rPr>
          <w:rFonts w:ascii="Times New Roman" w:hAnsi="Times New Roman" w:cs="Times New Roman"/>
          <w:sz w:val="24"/>
          <w:szCs w:val="24"/>
          <w:lang w:val="nb-NO"/>
        </w:rPr>
        <w:t>OL</w:t>
      </w:r>
      <w:r w:rsidR="004F4832" w:rsidRPr="0069544E">
        <w:rPr>
          <w:rFonts w:ascii="Times New Roman" w:hAnsi="Times New Roman" w:cs="Times New Roman"/>
          <w:sz w:val="24"/>
          <w:szCs w:val="24"/>
          <w:lang w:val="nb-NO"/>
        </w:rPr>
        <w:t xml:space="preserve">, og </w:t>
      </w:r>
      <w:r w:rsidR="00A9761E" w:rsidRPr="0069544E">
        <w:rPr>
          <w:rFonts w:ascii="Times New Roman" w:hAnsi="Times New Roman" w:cs="Times New Roman"/>
          <w:sz w:val="24"/>
          <w:szCs w:val="24"/>
          <w:lang w:val="nb-NO"/>
        </w:rPr>
        <w:t xml:space="preserve">betrakter dem </w:t>
      </w:r>
      <w:r w:rsidR="00304AB2" w:rsidRPr="0069544E">
        <w:rPr>
          <w:rFonts w:ascii="Times New Roman" w:hAnsi="Times New Roman" w:cs="Times New Roman"/>
          <w:sz w:val="24"/>
          <w:szCs w:val="24"/>
          <w:lang w:val="nb-NO"/>
        </w:rPr>
        <w:t>derfor</w:t>
      </w:r>
      <w:r w:rsidR="00372FE3" w:rsidRPr="0069544E">
        <w:rPr>
          <w:rFonts w:ascii="Times New Roman" w:hAnsi="Times New Roman" w:cs="Times New Roman"/>
          <w:sz w:val="24"/>
          <w:szCs w:val="24"/>
          <w:lang w:val="nb-NO"/>
        </w:rPr>
        <w:t xml:space="preserve"> som intern</w:t>
      </w:r>
      <w:r w:rsidR="00A9761E" w:rsidRPr="0069544E">
        <w:rPr>
          <w:rFonts w:ascii="Times New Roman" w:hAnsi="Times New Roman" w:cs="Times New Roman"/>
          <w:sz w:val="24"/>
          <w:szCs w:val="24"/>
          <w:lang w:val="nb-NO"/>
        </w:rPr>
        <w:t>e</w:t>
      </w:r>
      <w:r w:rsidR="00372FE3" w:rsidRPr="0069544E">
        <w:rPr>
          <w:rFonts w:ascii="Times New Roman" w:hAnsi="Times New Roman" w:cs="Times New Roman"/>
          <w:sz w:val="24"/>
          <w:szCs w:val="24"/>
          <w:lang w:val="nb-NO"/>
        </w:rPr>
        <w:t xml:space="preserve"> </w:t>
      </w:r>
      <w:r w:rsidR="003865D6" w:rsidRPr="0069544E">
        <w:rPr>
          <w:rFonts w:ascii="Times New Roman" w:hAnsi="Times New Roman" w:cs="Times New Roman"/>
          <w:sz w:val="24"/>
          <w:szCs w:val="24"/>
          <w:lang w:val="nb-NO"/>
        </w:rPr>
        <w:t>overføringer</w:t>
      </w:r>
      <w:r w:rsidR="004F4832" w:rsidRPr="0069544E">
        <w:rPr>
          <w:rFonts w:ascii="Times New Roman" w:hAnsi="Times New Roman" w:cs="Times New Roman"/>
          <w:sz w:val="24"/>
          <w:szCs w:val="24"/>
          <w:lang w:val="nb-NO"/>
        </w:rPr>
        <w:t xml:space="preserve">. </w:t>
      </w:r>
      <w:r w:rsidR="00BB2351" w:rsidRPr="0069544E">
        <w:rPr>
          <w:rFonts w:ascii="Times New Roman" w:hAnsi="Times New Roman" w:cs="Times New Roman"/>
          <w:sz w:val="24"/>
          <w:szCs w:val="24"/>
          <w:lang w:val="nb-NO"/>
        </w:rPr>
        <w:t>De samlede i</w:t>
      </w:r>
      <w:r w:rsidR="00CF6D02" w:rsidRPr="0069544E">
        <w:rPr>
          <w:rFonts w:ascii="Times New Roman" w:hAnsi="Times New Roman" w:cs="Times New Roman"/>
          <w:sz w:val="24"/>
          <w:szCs w:val="24"/>
          <w:lang w:val="nb-NO"/>
        </w:rPr>
        <w:t>nntektene i perioden 2011-2013 utgjorde 24,4 millioner</w:t>
      </w:r>
      <w:r w:rsidR="003B00C0" w:rsidRPr="0069544E">
        <w:rPr>
          <w:rFonts w:ascii="Times New Roman" w:hAnsi="Times New Roman" w:cs="Times New Roman"/>
          <w:sz w:val="24"/>
          <w:szCs w:val="24"/>
          <w:lang w:val="nb-NO"/>
        </w:rPr>
        <w:t xml:space="preserve"> kroner</w:t>
      </w:r>
      <w:r w:rsidR="00CF6D02" w:rsidRPr="0069544E">
        <w:rPr>
          <w:rFonts w:ascii="Times New Roman" w:hAnsi="Times New Roman" w:cs="Times New Roman"/>
          <w:sz w:val="24"/>
          <w:szCs w:val="24"/>
          <w:lang w:val="nb-NO"/>
        </w:rPr>
        <w:t xml:space="preserve">, hvorav </w:t>
      </w:r>
      <w:r w:rsidR="004F4832" w:rsidRPr="0069544E">
        <w:rPr>
          <w:rFonts w:ascii="Times New Roman" w:hAnsi="Times New Roman" w:cs="Times New Roman"/>
          <w:sz w:val="24"/>
          <w:szCs w:val="24"/>
          <w:lang w:val="nb-NO"/>
        </w:rPr>
        <w:t xml:space="preserve">statstilskuddet utgjorde </w:t>
      </w:r>
      <w:r w:rsidR="00CF6D02" w:rsidRPr="0069544E">
        <w:rPr>
          <w:rFonts w:ascii="Times New Roman" w:hAnsi="Times New Roman" w:cs="Times New Roman"/>
          <w:sz w:val="24"/>
          <w:szCs w:val="24"/>
          <w:lang w:val="nb-NO"/>
        </w:rPr>
        <w:t>10 millioner</w:t>
      </w:r>
      <w:r w:rsidR="004F4832" w:rsidRPr="0069544E">
        <w:rPr>
          <w:rFonts w:ascii="Times New Roman" w:hAnsi="Times New Roman" w:cs="Times New Roman"/>
          <w:sz w:val="24"/>
          <w:szCs w:val="24"/>
          <w:lang w:val="nb-NO"/>
        </w:rPr>
        <w:t xml:space="preserve">. </w:t>
      </w:r>
      <w:r w:rsidR="0069544E" w:rsidRPr="0069544E">
        <w:rPr>
          <w:rFonts w:ascii="Times New Roman" w:hAnsi="Times New Roman" w:cs="Times New Roman"/>
          <w:sz w:val="24"/>
          <w:szCs w:val="24"/>
          <w:lang w:val="nb-NO"/>
        </w:rPr>
        <w:t>C</w:t>
      </w:r>
      <w:r w:rsidR="000A6F60" w:rsidRPr="0069544E">
        <w:rPr>
          <w:rFonts w:ascii="Times New Roman" w:hAnsi="Times New Roman" w:cs="Times New Roman"/>
          <w:sz w:val="24"/>
          <w:szCs w:val="24"/>
          <w:lang w:val="nb-NO"/>
        </w:rPr>
        <w:t>a</w:t>
      </w:r>
      <w:r w:rsidR="00B3742E" w:rsidRPr="0069544E">
        <w:rPr>
          <w:rFonts w:ascii="Times New Roman" w:hAnsi="Times New Roman" w:cs="Times New Roman"/>
          <w:sz w:val="24"/>
          <w:szCs w:val="24"/>
          <w:lang w:val="nb-NO"/>
        </w:rPr>
        <w:t>.</w:t>
      </w:r>
      <w:r w:rsidR="000A6F60" w:rsidRPr="0069544E">
        <w:rPr>
          <w:rFonts w:ascii="Times New Roman" w:hAnsi="Times New Roman" w:cs="Times New Roman"/>
          <w:sz w:val="24"/>
          <w:szCs w:val="24"/>
          <w:lang w:val="nb-NO"/>
        </w:rPr>
        <w:t xml:space="preserve"> 80</w:t>
      </w:r>
      <w:r w:rsidR="003B00C0" w:rsidRPr="0069544E">
        <w:rPr>
          <w:rFonts w:ascii="Times New Roman" w:hAnsi="Times New Roman" w:cs="Times New Roman"/>
          <w:sz w:val="24"/>
          <w:szCs w:val="24"/>
          <w:lang w:val="nb-NO"/>
        </w:rPr>
        <w:t xml:space="preserve">0 </w:t>
      </w:r>
      <w:r w:rsidR="00CF6D02" w:rsidRPr="0069544E">
        <w:rPr>
          <w:rFonts w:ascii="Times New Roman" w:hAnsi="Times New Roman" w:cs="Times New Roman"/>
          <w:sz w:val="24"/>
          <w:szCs w:val="24"/>
          <w:lang w:val="nb-NO"/>
        </w:rPr>
        <w:t xml:space="preserve">000 kroner </w:t>
      </w:r>
      <w:r w:rsidR="0069544E" w:rsidRPr="0069544E">
        <w:rPr>
          <w:rFonts w:ascii="Times New Roman" w:hAnsi="Times New Roman" w:cs="Times New Roman"/>
          <w:sz w:val="24"/>
          <w:szCs w:val="24"/>
          <w:lang w:val="nb-NO"/>
        </w:rPr>
        <w:t xml:space="preserve">kom </w:t>
      </w:r>
      <w:r w:rsidR="00CF6D02" w:rsidRPr="0069544E">
        <w:rPr>
          <w:rFonts w:ascii="Times New Roman" w:hAnsi="Times New Roman" w:cs="Times New Roman"/>
          <w:sz w:val="24"/>
          <w:szCs w:val="24"/>
          <w:lang w:val="nb-NO"/>
        </w:rPr>
        <w:t xml:space="preserve">fra institusjoner </w:t>
      </w:r>
      <w:r w:rsidR="00BB2351" w:rsidRPr="0069544E">
        <w:rPr>
          <w:rFonts w:ascii="Times New Roman" w:hAnsi="Times New Roman" w:cs="Times New Roman"/>
          <w:sz w:val="24"/>
          <w:szCs w:val="24"/>
          <w:lang w:val="nb-NO"/>
        </w:rPr>
        <w:t xml:space="preserve">som </w:t>
      </w:r>
      <w:r w:rsidR="000A6F60" w:rsidRPr="0069544E">
        <w:rPr>
          <w:rFonts w:ascii="Times New Roman" w:hAnsi="Times New Roman" w:cs="Times New Roman"/>
          <w:sz w:val="24"/>
          <w:szCs w:val="24"/>
          <w:lang w:val="nb-NO"/>
        </w:rPr>
        <w:t xml:space="preserve">helt eller delvis har sitt hovedsete </w:t>
      </w:r>
      <w:r w:rsidR="00CF6D02" w:rsidRPr="0069544E">
        <w:rPr>
          <w:rFonts w:ascii="Times New Roman" w:hAnsi="Times New Roman" w:cs="Times New Roman"/>
          <w:sz w:val="24"/>
          <w:szCs w:val="24"/>
          <w:lang w:val="nb-NO"/>
        </w:rPr>
        <w:t xml:space="preserve">utenfor Tromsø. </w:t>
      </w:r>
      <w:r w:rsidR="00B3742E" w:rsidRPr="0069544E">
        <w:rPr>
          <w:rFonts w:ascii="Times New Roman" w:hAnsi="Times New Roman" w:cs="Times New Roman"/>
          <w:sz w:val="24"/>
          <w:szCs w:val="24"/>
          <w:lang w:val="nb-NO"/>
        </w:rPr>
        <w:t>Av de</w:t>
      </w:r>
      <w:r w:rsidR="00B3742E" w:rsidRPr="00545991">
        <w:rPr>
          <w:rFonts w:ascii="Times New Roman" w:hAnsi="Times New Roman" w:cs="Times New Roman"/>
          <w:sz w:val="24"/>
          <w:szCs w:val="24"/>
          <w:lang w:val="nb-NO"/>
        </w:rPr>
        <w:t xml:space="preserve"> totale inntektene på 94,8 millioner kroner i 2014, utgjorde </w:t>
      </w:r>
      <w:r w:rsidR="00E50A61" w:rsidRPr="00545991">
        <w:rPr>
          <w:rFonts w:ascii="Times New Roman" w:hAnsi="Times New Roman" w:cs="Times New Roman"/>
          <w:sz w:val="24"/>
          <w:szCs w:val="24"/>
          <w:lang w:val="nb-NO"/>
        </w:rPr>
        <w:t>statsstøtten</w:t>
      </w:r>
      <w:r w:rsidR="00B3742E" w:rsidRPr="00545991">
        <w:rPr>
          <w:rFonts w:ascii="Times New Roman" w:hAnsi="Times New Roman" w:cs="Times New Roman"/>
          <w:sz w:val="24"/>
          <w:szCs w:val="24"/>
          <w:lang w:val="nb-NO"/>
        </w:rPr>
        <w:t xml:space="preserve"> fra KUD 81%.  </w:t>
      </w:r>
    </w:p>
    <w:p w14:paraId="0A509BC4" w14:textId="77777777" w:rsidR="00371482" w:rsidRDefault="00371482" w:rsidP="0032552F">
      <w:pPr>
        <w:spacing w:line="360" w:lineRule="auto"/>
        <w:jc w:val="both"/>
        <w:rPr>
          <w:rFonts w:ascii="Times New Roman" w:hAnsi="Times New Roman" w:cs="Times New Roman"/>
          <w:sz w:val="24"/>
          <w:szCs w:val="24"/>
          <w:lang w:val="nb-NO"/>
        </w:rPr>
      </w:pPr>
    </w:p>
    <w:p w14:paraId="0672AD02" w14:textId="7B19298B" w:rsidR="007656BA" w:rsidRPr="00E02540" w:rsidRDefault="007656BA">
      <w:pPr>
        <w:rPr>
          <w:rFonts w:ascii="Times New Roman" w:hAnsi="Times New Roman" w:cs="Times New Roman"/>
          <w:b/>
          <w:lang w:val="nb-NO"/>
        </w:rPr>
      </w:pPr>
      <w:r w:rsidRPr="00E02540">
        <w:rPr>
          <w:rFonts w:ascii="Times New Roman" w:hAnsi="Times New Roman" w:cs="Times New Roman"/>
          <w:b/>
          <w:lang w:val="nb-NO"/>
        </w:rPr>
        <w:lastRenderedPageBreak/>
        <w:t xml:space="preserve">Tabell 2: </w:t>
      </w:r>
      <w:r w:rsidR="00A57C0D" w:rsidRPr="00E02540">
        <w:rPr>
          <w:rFonts w:ascii="Times New Roman" w:hAnsi="Times New Roman" w:cs="Times New Roman"/>
          <w:b/>
          <w:lang w:val="nb-NO"/>
        </w:rPr>
        <w:t>Regnskap</w:t>
      </w:r>
      <w:r w:rsidRPr="00E02540">
        <w:rPr>
          <w:rFonts w:ascii="Times New Roman" w:hAnsi="Times New Roman" w:cs="Times New Roman"/>
          <w:b/>
          <w:lang w:val="nb-NO"/>
        </w:rPr>
        <w:t xml:space="preserve"> 2014</w:t>
      </w:r>
      <w:r w:rsidR="009140A3" w:rsidRPr="00E02540">
        <w:rPr>
          <w:rFonts w:ascii="Times New Roman" w:hAnsi="Times New Roman" w:cs="Times New Roman"/>
          <w:b/>
          <w:lang w:val="nb-NO"/>
        </w:rPr>
        <w:t xml:space="preserve"> </w:t>
      </w:r>
      <w:r w:rsidR="00A57C0D" w:rsidRPr="00E02540">
        <w:rPr>
          <w:rFonts w:ascii="Times New Roman" w:hAnsi="Times New Roman" w:cs="Times New Roman"/>
          <w:b/>
          <w:lang w:val="nb-NO"/>
        </w:rPr>
        <w:t>(1000 kr)</w:t>
      </w:r>
      <w:r w:rsidR="00E50A61" w:rsidRPr="00E02540">
        <w:rPr>
          <w:rFonts w:ascii="Times New Roman" w:hAnsi="Times New Roman" w:cs="Times New Roman"/>
          <w:b/>
          <w:lang w:val="nb-NO"/>
        </w:rPr>
        <w:t xml:space="preserve">. Kilde: </w:t>
      </w:r>
      <w:r w:rsidR="000216FB" w:rsidRPr="00E02540">
        <w:rPr>
          <w:rFonts w:ascii="Times New Roman" w:hAnsi="Times New Roman" w:cs="Times New Roman"/>
          <w:b/>
          <w:lang w:val="nb-NO"/>
        </w:rPr>
        <w:t>«</w:t>
      </w:r>
      <w:r w:rsidR="00E50A61" w:rsidRPr="00E02540">
        <w:rPr>
          <w:rFonts w:ascii="Times New Roman" w:hAnsi="Times New Roman" w:cs="Times New Roman"/>
          <w:b/>
          <w:lang w:val="nb-NO"/>
        </w:rPr>
        <w:t>Sluttrapport Chess Olympiad</w:t>
      </w:r>
      <w:r w:rsidR="000216FB" w:rsidRPr="00E02540">
        <w:rPr>
          <w:rFonts w:ascii="Times New Roman" w:hAnsi="Times New Roman" w:cs="Times New Roman"/>
          <w:b/>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17"/>
      </w:tblGrid>
      <w:tr w:rsidR="007656BA" w:rsidRPr="00545991" w14:paraId="4CC18C3B" w14:textId="77777777" w:rsidTr="00051653">
        <w:tc>
          <w:tcPr>
            <w:tcW w:w="3686" w:type="dxa"/>
            <w:tcBorders>
              <w:top w:val="single" w:sz="4" w:space="0" w:color="auto"/>
              <w:bottom w:val="single" w:sz="4" w:space="0" w:color="auto"/>
            </w:tcBorders>
            <w:vAlign w:val="center"/>
          </w:tcPr>
          <w:p w14:paraId="7863D993" w14:textId="77777777" w:rsidR="007656BA" w:rsidRPr="00545991" w:rsidRDefault="007656BA" w:rsidP="00051653">
            <w:pPr>
              <w:spacing w:after="40"/>
              <w:rPr>
                <w:rFonts w:ascii="Times New Roman" w:hAnsi="Times New Roman" w:cs="Times New Roman"/>
                <w:lang w:val="nb-NO"/>
              </w:rPr>
            </w:pPr>
          </w:p>
        </w:tc>
        <w:tc>
          <w:tcPr>
            <w:tcW w:w="1417" w:type="dxa"/>
            <w:tcBorders>
              <w:top w:val="single" w:sz="4" w:space="0" w:color="auto"/>
              <w:bottom w:val="single" w:sz="4" w:space="0" w:color="auto"/>
            </w:tcBorders>
            <w:vAlign w:val="center"/>
          </w:tcPr>
          <w:p w14:paraId="299ED0EB" w14:textId="77777777" w:rsidR="007656BA" w:rsidRPr="00545991" w:rsidRDefault="009140A3" w:rsidP="00051653">
            <w:pPr>
              <w:spacing w:after="40"/>
              <w:jc w:val="right"/>
              <w:rPr>
                <w:rFonts w:ascii="Times New Roman" w:hAnsi="Times New Roman" w:cs="Times New Roman"/>
                <w:lang w:val="nb-NO"/>
              </w:rPr>
            </w:pPr>
            <w:r w:rsidRPr="00545991">
              <w:rPr>
                <w:rFonts w:ascii="Times New Roman" w:hAnsi="Times New Roman" w:cs="Times New Roman"/>
                <w:lang w:val="nb-NO"/>
              </w:rPr>
              <w:t>Mill. kroner</w:t>
            </w:r>
          </w:p>
        </w:tc>
      </w:tr>
      <w:tr w:rsidR="00A57C0D" w:rsidRPr="00545991" w14:paraId="67F1D8E1" w14:textId="77777777" w:rsidTr="00051653">
        <w:tc>
          <w:tcPr>
            <w:tcW w:w="3686" w:type="dxa"/>
            <w:tcBorders>
              <w:top w:val="single" w:sz="4" w:space="0" w:color="auto"/>
            </w:tcBorders>
            <w:vAlign w:val="center"/>
          </w:tcPr>
          <w:p w14:paraId="382D8A80" w14:textId="77777777" w:rsidR="00A57C0D" w:rsidRPr="00545991" w:rsidRDefault="00A57C0D" w:rsidP="00051653">
            <w:pPr>
              <w:spacing w:after="40"/>
              <w:rPr>
                <w:rFonts w:ascii="Times New Roman" w:hAnsi="Times New Roman" w:cs="Times New Roman"/>
                <w:b/>
                <w:lang w:val="nb-NO"/>
              </w:rPr>
            </w:pPr>
            <w:r w:rsidRPr="00545991">
              <w:rPr>
                <w:rFonts w:ascii="Times New Roman" w:hAnsi="Times New Roman" w:cs="Times New Roman"/>
                <w:b/>
                <w:lang w:val="nb-NO"/>
              </w:rPr>
              <w:t>Inntekter</w:t>
            </w:r>
          </w:p>
        </w:tc>
        <w:tc>
          <w:tcPr>
            <w:tcW w:w="1417" w:type="dxa"/>
            <w:tcBorders>
              <w:top w:val="single" w:sz="4" w:space="0" w:color="auto"/>
            </w:tcBorders>
            <w:vAlign w:val="center"/>
          </w:tcPr>
          <w:p w14:paraId="46272CE3" w14:textId="77777777" w:rsidR="00A57C0D" w:rsidRPr="00545991" w:rsidRDefault="00A57C0D" w:rsidP="00051653">
            <w:pPr>
              <w:spacing w:after="40"/>
              <w:jc w:val="right"/>
              <w:rPr>
                <w:rFonts w:ascii="Times New Roman" w:hAnsi="Times New Roman" w:cs="Times New Roman"/>
                <w:lang w:val="nb-NO"/>
              </w:rPr>
            </w:pPr>
          </w:p>
        </w:tc>
      </w:tr>
      <w:tr w:rsidR="00A57C0D" w:rsidRPr="00545991" w14:paraId="28137B46" w14:textId="77777777" w:rsidTr="00051653">
        <w:tc>
          <w:tcPr>
            <w:tcW w:w="3686" w:type="dxa"/>
            <w:vAlign w:val="center"/>
          </w:tcPr>
          <w:p w14:paraId="441A1677" w14:textId="77777777" w:rsidR="00A57C0D"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A57C0D" w:rsidRPr="00545991">
              <w:rPr>
                <w:rFonts w:ascii="Times New Roman" w:hAnsi="Times New Roman" w:cs="Times New Roman"/>
                <w:lang w:val="nb-NO"/>
              </w:rPr>
              <w:t>Markedsinntekter</w:t>
            </w:r>
          </w:p>
        </w:tc>
        <w:tc>
          <w:tcPr>
            <w:tcW w:w="1417" w:type="dxa"/>
            <w:vAlign w:val="center"/>
          </w:tcPr>
          <w:p w14:paraId="37DCAE32"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8,241</w:t>
            </w:r>
          </w:p>
        </w:tc>
      </w:tr>
      <w:tr w:rsidR="00A57C0D" w:rsidRPr="00545991" w14:paraId="43CC76EE" w14:textId="77777777" w:rsidTr="00051653">
        <w:tc>
          <w:tcPr>
            <w:tcW w:w="3686" w:type="dxa"/>
            <w:vAlign w:val="center"/>
          </w:tcPr>
          <w:p w14:paraId="0E6CEE5F" w14:textId="77777777" w:rsidR="00A57C0D"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A57C0D" w:rsidRPr="00545991">
              <w:rPr>
                <w:rFonts w:ascii="Times New Roman" w:hAnsi="Times New Roman" w:cs="Times New Roman"/>
                <w:lang w:val="nb-NO"/>
              </w:rPr>
              <w:t>Billettsalg</w:t>
            </w:r>
          </w:p>
        </w:tc>
        <w:tc>
          <w:tcPr>
            <w:tcW w:w="1417" w:type="dxa"/>
            <w:vAlign w:val="center"/>
          </w:tcPr>
          <w:p w14:paraId="04015FFF"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0,354</w:t>
            </w:r>
          </w:p>
        </w:tc>
      </w:tr>
      <w:tr w:rsidR="00A57C0D" w:rsidRPr="00545991" w14:paraId="595E0FBA" w14:textId="77777777" w:rsidTr="00051653">
        <w:tc>
          <w:tcPr>
            <w:tcW w:w="3686" w:type="dxa"/>
            <w:vAlign w:val="center"/>
          </w:tcPr>
          <w:p w14:paraId="15FB5245" w14:textId="77777777" w:rsidR="00A57C0D"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A57C0D" w:rsidRPr="00545991">
              <w:rPr>
                <w:rFonts w:ascii="Times New Roman" w:hAnsi="Times New Roman" w:cs="Times New Roman"/>
                <w:lang w:val="nb-NO"/>
              </w:rPr>
              <w:t>Offentlige tilskudd</w:t>
            </w:r>
          </w:p>
        </w:tc>
        <w:tc>
          <w:tcPr>
            <w:tcW w:w="1417" w:type="dxa"/>
            <w:vAlign w:val="center"/>
          </w:tcPr>
          <w:p w14:paraId="658FD151"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80,467</w:t>
            </w:r>
          </w:p>
        </w:tc>
      </w:tr>
      <w:tr w:rsidR="00A57C0D" w:rsidRPr="00545991" w14:paraId="2B209450" w14:textId="77777777" w:rsidTr="00051653">
        <w:tc>
          <w:tcPr>
            <w:tcW w:w="3686" w:type="dxa"/>
            <w:tcBorders>
              <w:bottom w:val="single" w:sz="4" w:space="0" w:color="auto"/>
            </w:tcBorders>
            <w:vAlign w:val="center"/>
          </w:tcPr>
          <w:p w14:paraId="088E43B7" w14:textId="77777777" w:rsidR="00A57C0D"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A57C0D" w:rsidRPr="00545991">
              <w:rPr>
                <w:rFonts w:ascii="Times New Roman" w:hAnsi="Times New Roman" w:cs="Times New Roman"/>
                <w:lang w:val="nb-NO"/>
              </w:rPr>
              <w:t>Andre inntekter</w:t>
            </w:r>
          </w:p>
        </w:tc>
        <w:tc>
          <w:tcPr>
            <w:tcW w:w="1417" w:type="dxa"/>
            <w:tcBorders>
              <w:bottom w:val="single" w:sz="4" w:space="0" w:color="auto"/>
            </w:tcBorders>
            <w:vAlign w:val="center"/>
          </w:tcPr>
          <w:p w14:paraId="54C88198"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5,769</w:t>
            </w:r>
          </w:p>
        </w:tc>
      </w:tr>
      <w:tr w:rsidR="00A57C0D" w:rsidRPr="00545991" w14:paraId="7E31761C" w14:textId="77777777" w:rsidTr="00051653">
        <w:tc>
          <w:tcPr>
            <w:tcW w:w="3686" w:type="dxa"/>
            <w:tcBorders>
              <w:top w:val="single" w:sz="4" w:space="0" w:color="auto"/>
              <w:bottom w:val="single" w:sz="4" w:space="0" w:color="auto"/>
            </w:tcBorders>
            <w:vAlign w:val="center"/>
          </w:tcPr>
          <w:p w14:paraId="1BE690B7" w14:textId="77777777" w:rsidR="00A57C0D" w:rsidRPr="00545991" w:rsidRDefault="00A57C0D" w:rsidP="00051653">
            <w:pPr>
              <w:spacing w:after="40"/>
              <w:rPr>
                <w:rFonts w:ascii="Times New Roman" w:hAnsi="Times New Roman" w:cs="Times New Roman"/>
                <w:lang w:val="nb-NO"/>
              </w:rPr>
            </w:pPr>
            <w:r w:rsidRPr="00545991">
              <w:rPr>
                <w:rFonts w:ascii="Times New Roman" w:hAnsi="Times New Roman" w:cs="Times New Roman"/>
                <w:lang w:val="nb-NO"/>
              </w:rPr>
              <w:t>Sum inntekter</w:t>
            </w:r>
          </w:p>
        </w:tc>
        <w:tc>
          <w:tcPr>
            <w:tcW w:w="1417" w:type="dxa"/>
            <w:tcBorders>
              <w:top w:val="single" w:sz="4" w:space="0" w:color="auto"/>
              <w:bottom w:val="single" w:sz="4" w:space="0" w:color="auto"/>
            </w:tcBorders>
            <w:vAlign w:val="center"/>
          </w:tcPr>
          <w:p w14:paraId="774A732D"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94,828</w:t>
            </w:r>
          </w:p>
        </w:tc>
      </w:tr>
      <w:tr w:rsidR="00A57C0D" w:rsidRPr="00545991" w14:paraId="7392BF58" w14:textId="77777777" w:rsidTr="00051653">
        <w:tc>
          <w:tcPr>
            <w:tcW w:w="3686" w:type="dxa"/>
            <w:tcBorders>
              <w:top w:val="single" w:sz="4" w:space="0" w:color="auto"/>
            </w:tcBorders>
            <w:vAlign w:val="center"/>
          </w:tcPr>
          <w:p w14:paraId="4A8D1E9C" w14:textId="77777777" w:rsidR="00A57C0D" w:rsidRPr="00545991" w:rsidRDefault="00A57C0D" w:rsidP="00051653">
            <w:pPr>
              <w:spacing w:after="40"/>
              <w:rPr>
                <w:rFonts w:ascii="Times New Roman" w:hAnsi="Times New Roman" w:cs="Times New Roman"/>
                <w:lang w:val="nb-NO"/>
              </w:rPr>
            </w:pPr>
          </w:p>
        </w:tc>
        <w:tc>
          <w:tcPr>
            <w:tcW w:w="1417" w:type="dxa"/>
            <w:tcBorders>
              <w:top w:val="single" w:sz="4" w:space="0" w:color="auto"/>
            </w:tcBorders>
            <w:vAlign w:val="center"/>
          </w:tcPr>
          <w:p w14:paraId="22DC2C0D" w14:textId="77777777" w:rsidR="00A57C0D" w:rsidRPr="00545991" w:rsidRDefault="00A57C0D" w:rsidP="00051653">
            <w:pPr>
              <w:spacing w:after="40"/>
              <w:jc w:val="right"/>
              <w:rPr>
                <w:rFonts w:ascii="Times New Roman" w:hAnsi="Times New Roman" w:cs="Times New Roman"/>
                <w:lang w:val="nb-NO"/>
              </w:rPr>
            </w:pPr>
          </w:p>
        </w:tc>
      </w:tr>
      <w:tr w:rsidR="00A57C0D" w:rsidRPr="00545991" w14:paraId="3DC3FD58" w14:textId="77777777" w:rsidTr="00051653">
        <w:tc>
          <w:tcPr>
            <w:tcW w:w="3686" w:type="dxa"/>
            <w:tcBorders>
              <w:bottom w:val="single" w:sz="4" w:space="0" w:color="auto"/>
            </w:tcBorders>
            <w:vAlign w:val="center"/>
          </w:tcPr>
          <w:p w14:paraId="5FC37DE4" w14:textId="77777777" w:rsidR="00A57C0D" w:rsidRPr="00545991" w:rsidRDefault="00A57C0D" w:rsidP="00051653">
            <w:pPr>
              <w:spacing w:after="40"/>
              <w:rPr>
                <w:rFonts w:ascii="Times New Roman" w:hAnsi="Times New Roman" w:cs="Times New Roman"/>
                <w:b/>
                <w:lang w:val="nb-NO"/>
              </w:rPr>
            </w:pPr>
            <w:r w:rsidRPr="00545991">
              <w:rPr>
                <w:rFonts w:ascii="Times New Roman" w:hAnsi="Times New Roman" w:cs="Times New Roman"/>
                <w:b/>
                <w:lang w:val="nb-NO"/>
              </w:rPr>
              <w:t>Kostnader</w:t>
            </w:r>
          </w:p>
        </w:tc>
        <w:tc>
          <w:tcPr>
            <w:tcW w:w="1417" w:type="dxa"/>
            <w:tcBorders>
              <w:bottom w:val="single" w:sz="4" w:space="0" w:color="auto"/>
            </w:tcBorders>
            <w:vAlign w:val="center"/>
          </w:tcPr>
          <w:p w14:paraId="69C17575" w14:textId="77777777" w:rsidR="00A57C0D" w:rsidRPr="00545991" w:rsidRDefault="00A57C0D" w:rsidP="00051653">
            <w:pPr>
              <w:spacing w:after="40"/>
              <w:jc w:val="right"/>
              <w:rPr>
                <w:rFonts w:ascii="Times New Roman" w:hAnsi="Times New Roman" w:cs="Times New Roman"/>
                <w:lang w:val="nb-NO"/>
              </w:rPr>
            </w:pPr>
          </w:p>
        </w:tc>
      </w:tr>
      <w:tr w:rsidR="007656BA" w:rsidRPr="00545991" w14:paraId="0E9622AF" w14:textId="77777777" w:rsidTr="00051653">
        <w:tc>
          <w:tcPr>
            <w:tcW w:w="3686" w:type="dxa"/>
            <w:tcBorders>
              <w:top w:val="single" w:sz="4" w:space="0" w:color="auto"/>
            </w:tcBorders>
            <w:vAlign w:val="center"/>
          </w:tcPr>
          <w:p w14:paraId="22DAEBC4"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Drift</w:t>
            </w:r>
          </w:p>
        </w:tc>
        <w:tc>
          <w:tcPr>
            <w:tcW w:w="1417" w:type="dxa"/>
            <w:tcBorders>
              <w:top w:val="single" w:sz="4" w:space="0" w:color="auto"/>
            </w:tcBorders>
            <w:vAlign w:val="center"/>
          </w:tcPr>
          <w:p w14:paraId="43938D07"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10</w:t>
            </w:r>
            <w:r w:rsidR="009140A3" w:rsidRPr="00545991">
              <w:rPr>
                <w:rFonts w:ascii="Times New Roman" w:hAnsi="Times New Roman" w:cs="Times New Roman"/>
                <w:lang w:val="nb-NO"/>
              </w:rPr>
              <w:t>,</w:t>
            </w:r>
            <w:r w:rsidRPr="00545991">
              <w:rPr>
                <w:rFonts w:ascii="Times New Roman" w:hAnsi="Times New Roman" w:cs="Times New Roman"/>
                <w:lang w:val="nb-NO"/>
              </w:rPr>
              <w:t>478</w:t>
            </w:r>
          </w:p>
        </w:tc>
      </w:tr>
      <w:tr w:rsidR="007656BA" w:rsidRPr="00545991" w14:paraId="6E84316F" w14:textId="77777777" w:rsidTr="00051653">
        <w:tc>
          <w:tcPr>
            <w:tcW w:w="3686" w:type="dxa"/>
            <w:vAlign w:val="center"/>
          </w:tcPr>
          <w:p w14:paraId="30BD3E96"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Ansatte</w:t>
            </w:r>
            <w:r w:rsidR="00A57C0D" w:rsidRPr="00545991">
              <w:rPr>
                <w:rFonts w:ascii="Times New Roman" w:hAnsi="Times New Roman" w:cs="Times New Roman"/>
                <w:lang w:val="nb-NO"/>
              </w:rPr>
              <w:t>, konsulenter og frivillige</w:t>
            </w:r>
          </w:p>
        </w:tc>
        <w:tc>
          <w:tcPr>
            <w:tcW w:w="1417" w:type="dxa"/>
            <w:vAlign w:val="center"/>
          </w:tcPr>
          <w:p w14:paraId="6716BE02"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8</w:t>
            </w:r>
            <w:r w:rsidR="009140A3" w:rsidRPr="00545991">
              <w:rPr>
                <w:rFonts w:ascii="Times New Roman" w:hAnsi="Times New Roman" w:cs="Times New Roman"/>
                <w:lang w:val="nb-NO"/>
              </w:rPr>
              <w:t>,</w:t>
            </w:r>
            <w:r w:rsidRPr="00545991">
              <w:rPr>
                <w:rFonts w:ascii="Times New Roman" w:hAnsi="Times New Roman" w:cs="Times New Roman"/>
                <w:lang w:val="nb-NO"/>
              </w:rPr>
              <w:t>031</w:t>
            </w:r>
          </w:p>
        </w:tc>
      </w:tr>
      <w:tr w:rsidR="007656BA" w:rsidRPr="00545991" w14:paraId="1F799F7C" w14:textId="77777777" w:rsidTr="00051653">
        <w:tc>
          <w:tcPr>
            <w:tcW w:w="3686" w:type="dxa"/>
            <w:vAlign w:val="center"/>
          </w:tcPr>
          <w:p w14:paraId="60695FF1"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Teknologi/informasjon</w:t>
            </w:r>
          </w:p>
        </w:tc>
        <w:tc>
          <w:tcPr>
            <w:tcW w:w="1417" w:type="dxa"/>
            <w:vAlign w:val="center"/>
          </w:tcPr>
          <w:p w14:paraId="45927AB1"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2</w:t>
            </w:r>
            <w:r w:rsidR="009140A3" w:rsidRPr="00545991">
              <w:rPr>
                <w:rFonts w:ascii="Times New Roman" w:hAnsi="Times New Roman" w:cs="Times New Roman"/>
                <w:lang w:val="nb-NO"/>
              </w:rPr>
              <w:t>,</w:t>
            </w:r>
            <w:r w:rsidRPr="00545991">
              <w:rPr>
                <w:rFonts w:ascii="Times New Roman" w:hAnsi="Times New Roman" w:cs="Times New Roman"/>
                <w:lang w:val="nb-NO"/>
              </w:rPr>
              <w:t>003</w:t>
            </w:r>
          </w:p>
        </w:tc>
      </w:tr>
      <w:tr w:rsidR="007656BA" w:rsidRPr="00545991" w14:paraId="552BD3D0" w14:textId="77777777" w:rsidTr="00051653">
        <w:tc>
          <w:tcPr>
            <w:tcW w:w="3686" w:type="dxa"/>
            <w:vAlign w:val="center"/>
          </w:tcPr>
          <w:p w14:paraId="17E820F4"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Seremonier/kultur</w:t>
            </w:r>
          </w:p>
        </w:tc>
        <w:tc>
          <w:tcPr>
            <w:tcW w:w="1417" w:type="dxa"/>
            <w:vAlign w:val="center"/>
          </w:tcPr>
          <w:p w14:paraId="3F45005D"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5</w:t>
            </w:r>
            <w:r w:rsidR="009140A3" w:rsidRPr="00545991">
              <w:rPr>
                <w:rFonts w:ascii="Times New Roman" w:hAnsi="Times New Roman" w:cs="Times New Roman"/>
                <w:lang w:val="nb-NO"/>
              </w:rPr>
              <w:t>,</w:t>
            </w:r>
            <w:r w:rsidRPr="00545991">
              <w:rPr>
                <w:rFonts w:ascii="Times New Roman" w:hAnsi="Times New Roman" w:cs="Times New Roman"/>
                <w:lang w:val="nb-NO"/>
              </w:rPr>
              <w:t>828</w:t>
            </w:r>
          </w:p>
        </w:tc>
      </w:tr>
      <w:tr w:rsidR="007656BA" w:rsidRPr="00545991" w14:paraId="24F7C74E" w14:textId="77777777" w:rsidTr="00051653">
        <w:tc>
          <w:tcPr>
            <w:tcW w:w="3686" w:type="dxa"/>
            <w:vAlign w:val="center"/>
          </w:tcPr>
          <w:p w14:paraId="0D69BF36"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Helsetjenester/dopingkon</w:t>
            </w:r>
            <w:r w:rsidR="009140A3" w:rsidRPr="00545991">
              <w:rPr>
                <w:rFonts w:ascii="Times New Roman" w:hAnsi="Times New Roman" w:cs="Times New Roman"/>
                <w:lang w:val="nb-NO"/>
              </w:rPr>
              <w:t>troll</w:t>
            </w:r>
          </w:p>
        </w:tc>
        <w:tc>
          <w:tcPr>
            <w:tcW w:w="1417" w:type="dxa"/>
            <w:vAlign w:val="center"/>
          </w:tcPr>
          <w:p w14:paraId="2CD93CA1" w14:textId="77777777" w:rsidR="007656BA" w:rsidRPr="00545991" w:rsidRDefault="00F46F5B" w:rsidP="00051653">
            <w:pPr>
              <w:spacing w:after="40"/>
              <w:jc w:val="right"/>
              <w:rPr>
                <w:rFonts w:ascii="Times New Roman" w:hAnsi="Times New Roman" w:cs="Times New Roman"/>
                <w:lang w:val="nb-NO"/>
              </w:rPr>
            </w:pPr>
            <w:r w:rsidRPr="00545991">
              <w:rPr>
                <w:rFonts w:ascii="Times New Roman" w:hAnsi="Times New Roman" w:cs="Times New Roman"/>
                <w:lang w:val="nb-NO"/>
              </w:rPr>
              <w:t>0,0</w:t>
            </w:r>
            <w:r w:rsidR="007656BA" w:rsidRPr="00545991">
              <w:rPr>
                <w:rFonts w:ascii="Times New Roman" w:hAnsi="Times New Roman" w:cs="Times New Roman"/>
                <w:lang w:val="nb-NO"/>
              </w:rPr>
              <w:t>65</w:t>
            </w:r>
          </w:p>
        </w:tc>
      </w:tr>
      <w:tr w:rsidR="007656BA" w:rsidRPr="00545991" w14:paraId="3411CDE1" w14:textId="77777777" w:rsidTr="00051653">
        <w:tc>
          <w:tcPr>
            <w:tcW w:w="3686" w:type="dxa"/>
            <w:vAlign w:val="center"/>
          </w:tcPr>
          <w:p w14:paraId="50A5B481"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Hotell &amp; forpleining</w:t>
            </w:r>
          </w:p>
        </w:tc>
        <w:tc>
          <w:tcPr>
            <w:tcW w:w="1417" w:type="dxa"/>
            <w:vAlign w:val="center"/>
          </w:tcPr>
          <w:p w14:paraId="000AA969"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45</w:t>
            </w:r>
            <w:r w:rsidR="009140A3" w:rsidRPr="00545991">
              <w:rPr>
                <w:rFonts w:ascii="Times New Roman" w:hAnsi="Times New Roman" w:cs="Times New Roman"/>
                <w:lang w:val="nb-NO"/>
              </w:rPr>
              <w:t>,</w:t>
            </w:r>
            <w:r w:rsidRPr="00545991">
              <w:rPr>
                <w:rFonts w:ascii="Times New Roman" w:hAnsi="Times New Roman" w:cs="Times New Roman"/>
                <w:lang w:val="nb-NO"/>
              </w:rPr>
              <w:t>203</w:t>
            </w:r>
          </w:p>
        </w:tc>
      </w:tr>
      <w:tr w:rsidR="007656BA" w:rsidRPr="00545991" w14:paraId="54E690EB" w14:textId="77777777" w:rsidTr="00051653">
        <w:tc>
          <w:tcPr>
            <w:tcW w:w="3686" w:type="dxa"/>
            <w:vAlign w:val="center"/>
          </w:tcPr>
          <w:p w14:paraId="2A13F513"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Transport</w:t>
            </w:r>
          </w:p>
        </w:tc>
        <w:tc>
          <w:tcPr>
            <w:tcW w:w="1417" w:type="dxa"/>
            <w:vAlign w:val="center"/>
          </w:tcPr>
          <w:p w14:paraId="5AADB431"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4</w:t>
            </w:r>
            <w:r w:rsidR="009140A3" w:rsidRPr="00545991">
              <w:rPr>
                <w:rFonts w:ascii="Times New Roman" w:hAnsi="Times New Roman" w:cs="Times New Roman"/>
                <w:lang w:val="nb-NO"/>
              </w:rPr>
              <w:t>,</w:t>
            </w:r>
            <w:r w:rsidRPr="00545991">
              <w:rPr>
                <w:rFonts w:ascii="Times New Roman" w:hAnsi="Times New Roman" w:cs="Times New Roman"/>
                <w:lang w:val="nb-NO"/>
              </w:rPr>
              <w:t>046</w:t>
            </w:r>
          </w:p>
        </w:tc>
      </w:tr>
      <w:tr w:rsidR="007656BA" w:rsidRPr="00545991" w14:paraId="59FA8B07" w14:textId="77777777" w:rsidTr="00051653">
        <w:tc>
          <w:tcPr>
            <w:tcW w:w="3686" w:type="dxa"/>
            <w:vAlign w:val="center"/>
          </w:tcPr>
          <w:p w14:paraId="2C526E66"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Sikkerhet</w:t>
            </w:r>
          </w:p>
        </w:tc>
        <w:tc>
          <w:tcPr>
            <w:tcW w:w="1417" w:type="dxa"/>
            <w:vAlign w:val="center"/>
          </w:tcPr>
          <w:p w14:paraId="71620F86"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1</w:t>
            </w:r>
            <w:r w:rsidR="009140A3" w:rsidRPr="00545991">
              <w:rPr>
                <w:rFonts w:ascii="Times New Roman" w:hAnsi="Times New Roman" w:cs="Times New Roman"/>
                <w:lang w:val="nb-NO"/>
              </w:rPr>
              <w:t>,</w:t>
            </w:r>
            <w:r w:rsidRPr="00545991">
              <w:rPr>
                <w:rFonts w:ascii="Times New Roman" w:hAnsi="Times New Roman" w:cs="Times New Roman"/>
                <w:lang w:val="nb-NO"/>
              </w:rPr>
              <w:t>531</w:t>
            </w:r>
          </w:p>
        </w:tc>
      </w:tr>
      <w:tr w:rsidR="007656BA" w:rsidRPr="00545991" w14:paraId="624C056B" w14:textId="77777777" w:rsidTr="00051653">
        <w:tc>
          <w:tcPr>
            <w:tcW w:w="3686" w:type="dxa"/>
            <w:vAlign w:val="center"/>
          </w:tcPr>
          <w:p w14:paraId="7BB4756A"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Markedskostnader</w:t>
            </w:r>
          </w:p>
        </w:tc>
        <w:tc>
          <w:tcPr>
            <w:tcW w:w="1417" w:type="dxa"/>
            <w:vAlign w:val="center"/>
          </w:tcPr>
          <w:p w14:paraId="55095699"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3</w:t>
            </w:r>
            <w:r w:rsidR="009140A3" w:rsidRPr="00545991">
              <w:rPr>
                <w:rFonts w:ascii="Times New Roman" w:hAnsi="Times New Roman" w:cs="Times New Roman"/>
                <w:lang w:val="nb-NO"/>
              </w:rPr>
              <w:t>,</w:t>
            </w:r>
            <w:r w:rsidRPr="00545991">
              <w:rPr>
                <w:rFonts w:ascii="Times New Roman" w:hAnsi="Times New Roman" w:cs="Times New Roman"/>
                <w:lang w:val="nb-NO"/>
              </w:rPr>
              <w:t>884</w:t>
            </w:r>
          </w:p>
        </w:tc>
      </w:tr>
      <w:tr w:rsidR="007656BA" w:rsidRPr="00545991" w14:paraId="2DE9B6B6" w14:textId="77777777" w:rsidTr="00051653">
        <w:tc>
          <w:tcPr>
            <w:tcW w:w="3686" w:type="dxa"/>
            <w:vAlign w:val="center"/>
          </w:tcPr>
          <w:p w14:paraId="1978D1E9"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Administrasjon</w:t>
            </w:r>
          </w:p>
        </w:tc>
        <w:tc>
          <w:tcPr>
            <w:tcW w:w="1417" w:type="dxa"/>
            <w:vAlign w:val="center"/>
          </w:tcPr>
          <w:p w14:paraId="4B198AAC"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2</w:t>
            </w:r>
            <w:r w:rsidR="009140A3" w:rsidRPr="00545991">
              <w:rPr>
                <w:rFonts w:ascii="Times New Roman" w:hAnsi="Times New Roman" w:cs="Times New Roman"/>
                <w:lang w:val="nb-NO"/>
              </w:rPr>
              <w:t>,</w:t>
            </w:r>
            <w:r w:rsidRPr="00545991">
              <w:rPr>
                <w:rFonts w:ascii="Times New Roman" w:hAnsi="Times New Roman" w:cs="Times New Roman"/>
                <w:lang w:val="nb-NO"/>
              </w:rPr>
              <w:t>127</w:t>
            </w:r>
          </w:p>
        </w:tc>
      </w:tr>
      <w:tr w:rsidR="007656BA" w:rsidRPr="00545991" w14:paraId="6AC34FF1" w14:textId="77777777" w:rsidTr="00051653">
        <w:tc>
          <w:tcPr>
            <w:tcW w:w="3686" w:type="dxa"/>
            <w:vAlign w:val="center"/>
          </w:tcPr>
          <w:p w14:paraId="7A132FDE"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Kongress og andre arrangementer</w:t>
            </w:r>
          </w:p>
        </w:tc>
        <w:tc>
          <w:tcPr>
            <w:tcW w:w="1417" w:type="dxa"/>
            <w:vAlign w:val="center"/>
          </w:tcPr>
          <w:p w14:paraId="4D2049FD"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1</w:t>
            </w:r>
            <w:r w:rsidR="009140A3" w:rsidRPr="00545991">
              <w:rPr>
                <w:rFonts w:ascii="Times New Roman" w:hAnsi="Times New Roman" w:cs="Times New Roman"/>
                <w:lang w:val="nb-NO"/>
              </w:rPr>
              <w:t>,</w:t>
            </w:r>
            <w:r w:rsidRPr="00545991">
              <w:rPr>
                <w:rFonts w:ascii="Times New Roman" w:hAnsi="Times New Roman" w:cs="Times New Roman"/>
                <w:lang w:val="nb-NO"/>
              </w:rPr>
              <w:t>226</w:t>
            </w:r>
          </w:p>
        </w:tc>
      </w:tr>
      <w:tr w:rsidR="007656BA" w:rsidRPr="00545991" w14:paraId="2FB1BAD1" w14:textId="77777777" w:rsidTr="00051653">
        <w:tc>
          <w:tcPr>
            <w:tcW w:w="3686" w:type="dxa"/>
            <w:vAlign w:val="center"/>
          </w:tcPr>
          <w:p w14:paraId="61DEB301"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500E01" w:rsidRPr="00545991">
              <w:rPr>
                <w:rFonts w:ascii="Times New Roman" w:hAnsi="Times New Roman" w:cs="Times New Roman"/>
                <w:lang w:val="nb-NO"/>
              </w:rPr>
              <w:t>Rettigheter FIDE og andre kostnader</w:t>
            </w:r>
          </w:p>
        </w:tc>
        <w:tc>
          <w:tcPr>
            <w:tcW w:w="1417" w:type="dxa"/>
            <w:vAlign w:val="center"/>
          </w:tcPr>
          <w:p w14:paraId="37862121"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9</w:t>
            </w:r>
            <w:r w:rsidR="009140A3" w:rsidRPr="00545991">
              <w:rPr>
                <w:rFonts w:ascii="Times New Roman" w:hAnsi="Times New Roman" w:cs="Times New Roman"/>
                <w:lang w:val="nb-NO"/>
              </w:rPr>
              <w:t>,</w:t>
            </w:r>
            <w:r w:rsidRPr="00545991">
              <w:rPr>
                <w:rFonts w:ascii="Times New Roman" w:hAnsi="Times New Roman" w:cs="Times New Roman"/>
                <w:lang w:val="nb-NO"/>
              </w:rPr>
              <w:t>156</w:t>
            </w:r>
          </w:p>
        </w:tc>
      </w:tr>
      <w:tr w:rsidR="007656BA" w:rsidRPr="00545991" w14:paraId="378931D3" w14:textId="77777777" w:rsidTr="00051653">
        <w:tc>
          <w:tcPr>
            <w:tcW w:w="3686" w:type="dxa"/>
            <w:vAlign w:val="center"/>
          </w:tcPr>
          <w:p w14:paraId="5058B6DF"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Avsetninger usikkerhet</w:t>
            </w:r>
          </w:p>
        </w:tc>
        <w:tc>
          <w:tcPr>
            <w:tcW w:w="1417" w:type="dxa"/>
            <w:vAlign w:val="center"/>
          </w:tcPr>
          <w:p w14:paraId="766C65C5"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4</w:t>
            </w:r>
            <w:r w:rsidR="009140A3" w:rsidRPr="00545991">
              <w:rPr>
                <w:rFonts w:ascii="Times New Roman" w:hAnsi="Times New Roman" w:cs="Times New Roman"/>
                <w:lang w:val="nb-NO"/>
              </w:rPr>
              <w:t>,</w:t>
            </w:r>
            <w:r w:rsidRPr="00545991">
              <w:rPr>
                <w:rFonts w:ascii="Times New Roman" w:hAnsi="Times New Roman" w:cs="Times New Roman"/>
                <w:lang w:val="nb-NO"/>
              </w:rPr>
              <w:t>69</w:t>
            </w:r>
            <w:r w:rsidR="00F46F5B" w:rsidRPr="00545991">
              <w:rPr>
                <w:rFonts w:ascii="Times New Roman" w:hAnsi="Times New Roman" w:cs="Times New Roman"/>
                <w:lang w:val="nb-NO"/>
              </w:rPr>
              <w:t>0</w:t>
            </w:r>
          </w:p>
        </w:tc>
      </w:tr>
      <w:tr w:rsidR="007656BA" w:rsidRPr="00545991" w14:paraId="139DF1F5" w14:textId="77777777" w:rsidTr="00051653">
        <w:tc>
          <w:tcPr>
            <w:tcW w:w="3686" w:type="dxa"/>
            <w:vAlign w:val="center"/>
          </w:tcPr>
          <w:p w14:paraId="25493DDA"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7656BA" w:rsidRPr="00545991">
              <w:rPr>
                <w:rFonts w:ascii="Times New Roman" w:hAnsi="Times New Roman" w:cs="Times New Roman"/>
                <w:lang w:val="nb-NO"/>
              </w:rPr>
              <w:t>Tap på fordringer</w:t>
            </w:r>
          </w:p>
        </w:tc>
        <w:tc>
          <w:tcPr>
            <w:tcW w:w="1417" w:type="dxa"/>
            <w:vAlign w:val="center"/>
          </w:tcPr>
          <w:p w14:paraId="05D691A4"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1</w:t>
            </w:r>
            <w:r w:rsidR="009140A3" w:rsidRPr="00545991">
              <w:rPr>
                <w:rFonts w:ascii="Times New Roman" w:hAnsi="Times New Roman" w:cs="Times New Roman"/>
                <w:lang w:val="nb-NO"/>
              </w:rPr>
              <w:t>,</w:t>
            </w:r>
            <w:r w:rsidRPr="00545991">
              <w:rPr>
                <w:rFonts w:ascii="Times New Roman" w:hAnsi="Times New Roman" w:cs="Times New Roman"/>
                <w:lang w:val="nb-NO"/>
              </w:rPr>
              <w:t>100</w:t>
            </w:r>
          </w:p>
        </w:tc>
      </w:tr>
      <w:tr w:rsidR="007656BA" w:rsidRPr="00545991" w14:paraId="121F2A33" w14:textId="77777777" w:rsidTr="00051653">
        <w:tc>
          <w:tcPr>
            <w:tcW w:w="3686" w:type="dxa"/>
            <w:tcBorders>
              <w:bottom w:val="single" w:sz="4" w:space="0" w:color="auto"/>
            </w:tcBorders>
            <w:vAlign w:val="center"/>
          </w:tcPr>
          <w:p w14:paraId="2D581261" w14:textId="77777777" w:rsidR="007656BA" w:rsidRPr="00545991" w:rsidRDefault="00E50A61" w:rsidP="00051653">
            <w:pPr>
              <w:spacing w:after="40"/>
              <w:rPr>
                <w:rFonts w:ascii="Times New Roman" w:hAnsi="Times New Roman" w:cs="Times New Roman"/>
                <w:lang w:val="nb-NO"/>
              </w:rPr>
            </w:pPr>
            <w:r w:rsidRPr="00545991">
              <w:rPr>
                <w:rFonts w:ascii="Times New Roman" w:hAnsi="Times New Roman" w:cs="Times New Roman"/>
                <w:lang w:val="nb-NO"/>
              </w:rPr>
              <w:t xml:space="preserve">   </w:t>
            </w:r>
            <w:r w:rsidR="000A6F60" w:rsidRPr="00545991">
              <w:rPr>
                <w:rFonts w:ascii="Times New Roman" w:hAnsi="Times New Roman" w:cs="Times New Roman"/>
                <w:lang w:val="nb-NO"/>
              </w:rPr>
              <w:t>Korriger</w:t>
            </w:r>
            <w:r w:rsidR="007656BA" w:rsidRPr="00545991">
              <w:rPr>
                <w:rFonts w:ascii="Times New Roman" w:hAnsi="Times New Roman" w:cs="Times New Roman"/>
                <w:lang w:val="nb-NO"/>
              </w:rPr>
              <w:t xml:space="preserve">ing </w:t>
            </w:r>
          </w:p>
        </w:tc>
        <w:tc>
          <w:tcPr>
            <w:tcW w:w="1417" w:type="dxa"/>
            <w:tcBorders>
              <w:bottom w:val="single" w:sz="4" w:space="0" w:color="auto"/>
            </w:tcBorders>
            <w:vAlign w:val="center"/>
          </w:tcPr>
          <w:p w14:paraId="26C5ECEE" w14:textId="77777777" w:rsidR="007656BA" w:rsidRPr="00545991" w:rsidRDefault="00F46F5B" w:rsidP="00051653">
            <w:pPr>
              <w:spacing w:after="40"/>
              <w:jc w:val="right"/>
              <w:rPr>
                <w:rFonts w:ascii="Times New Roman" w:hAnsi="Times New Roman" w:cs="Times New Roman"/>
                <w:lang w:val="nb-NO"/>
              </w:rPr>
            </w:pPr>
            <w:r w:rsidRPr="00545991">
              <w:rPr>
                <w:rFonts w:ascii="Times New Roman" w:hAnsi="Times New Roman" w:cs="Times New Roman"/>
                <w:lang w:val="nb-NO"/>
              </w:rPr>
              <w:t>0,0</w:t>
            </w:r>
            <w:r w:rsidR="007656BA" w:rsidRPr="00545991">
              <w:rPr>
                <w:rFonts w:ascii="Times New Roman" w:hAnsi="Times New Roman" w:cs="Times New Roman"/>
                <w:lang w:val="nb-NO"/>
              </w:rPr>
              <w:t>99</w:t>
            </w:r>
          </w:p>
        </w:tc>
      </w:tr>
      <w:tr w:rsidR="007656BA" w:rsidRPr="00545991" w14:paraId="698C3949" w14:textId="77777777" w:rsidTr="00051653">
        <w:tc>
          <w:tcPr>
            <w:tcW w:w="3686" w:type="dxa"/>
            <w:tcBorders>
              <w:top w:val="single" w:sz="4" w:space="0" w:color="auto"/>
              <w:bottom w:val="single" w:sz="4" w:space="0" w:color="auto"/>
            </w:tcBorders>
            <w:vAlign w:val="center"/>
          </w:tcPr>
          <w:p w14:paraId="50A2A1CC" w14:textId="77777777" w:rsidR="007656BA" w:rsidRPr="00545991" w:rsidRDefault="007656BA" w:rsidP="00051653">
            <w:pPr>
              <w:spacing w:after="40"/>
              <w:rPr>
                <w:rFonts w:ascii="Times New Roman" w:hAnsi="Times New Roman" w:cs="Times New Roman"/>
                <w:lang w:val="nb-NO"/>
              </w:rPr>
            </w:pPr>
            <w:r w:rsidRPr="00545991">
              <w:rPr>
                <w:rFonts w:ascii="Times New Roman" w:hAnsi="Times New Roman" w:cs="Times New Roman"/>
                <w:lang w:val="nb-NO"/>
              </w:rPr>
              <w:t>Sum kostnader</w:t>
            </w:r>
          </w:p>
        </w:tc>
        <w:tc>
          <w:tcPr>
            <w:tcW w:w="1417" w:type="dxa"/>
            <w:tcBorders>
              <w:top w:val="single" w:sz="4" w:space="0" w:color="auto"/>
              <w:bottom w:val="single" w:sz="4" w:space="0" w:color="auto"/>
            </w:tcBorders>
            <w:vAlign w:val="center"/>
          </w:tcPr>
          <w:p w14:paraId="0A25DC97" w14:textId="77777777" w:rsidR="007656BA" w:rsidRPr="00545991" w:rsidRDefault="007656BA" w:rsidP="00051653">
            <w:pPr>
              <w:spacing w:after="40"/>
              <w:jc w:val="right"/>
              <w:rPr>
                <w:rFonts w:ascii="Times New Roman" w:hAnsi="Times New Roman" w:cs="Times New Roman"/>
                <w:lang w:val="nb-NO"/>
              </w:rPr>
            </w:pPr>
            <w:r w:rsidRPr="00545991">
              <w:rPr>
                <w:rFonts w:ascii="Times New Roman" w:hAnsi="Times New Roman" w:cs="Times New Roman"/>
                <w:lang w:val="nb-NO"/>
              </w:rPr>
              <w:t>95</w:t>
            </w:r>
            <w:r w:rsidR="009140A3" w:rsidRPr="00545991">
              <w:rPr>
                <w:rFonts w:ascii="Times New Roman" w:hAnsi="Times New Roman" w:cs="Times New Roman"/>
                <w:lang w:val="nb-NO"/>
              </w:rPr>
              <w:t>,</w:t>
            </w:r>
            <w:r w:rsidRPr="00545991">
              <w:rPr>
                <w:rFonts w:ascii="Times New Roman" w:hAnsi="Times New Roman" w:cs="Times New Roman"/>
                <w:lang w:val="nb-NO"/>
              </w:rPr>
              <w:t>246</w:t>
            </w:r>
          </w:p>
        </w:tc>
      </w:tr>
      <w:tr w:rsidR="00A57C0D" w:rsidRPr="00545991" w14:paraId="44367233" w14:textId="77777777" w:rsidTr="00051653">
        <w:tc>
          <w:tcPr>
            <w:tcW w:w="3686" w:type="dxa"/>
            <w:tcBorders>
              <w:top w:val="single" w:sz="4" w:space="0" w:color="auto"/>
              <w:bottom w:val="single" w:sz="4" w:space="0" w:color="auto"/>
            </w:tcBorders>
            <w:vAlign w:val="center"/>
          </w:tcPr>
          <w:p w14:paraId="437E9AB5" w14:textId="77777777" w:rsidR="00A57C0D" w:rsidRPr="00545991" w:rsidRDefault="00A57C0D" w:rsidP="00051653">
            <w:pPr>
              <w:spacing w:after="40"/>
              <w:rPr>
                <w:rFonts w:ascii="Times New Roman" w:hAnsi="Times New Roman" w:cs="Times New Roman"/>
                <w:lang w:val="nb-NO"/>
              </w:rPr>
            </w:pPr>
          </w:p>
        </w:tc>
        <w:tc>
          <w:tcPr>
            <w:tcW w:w="1417" w:type="dxa"/>
            <w:tcBorders>
              <w:top w:val="single" w:sz="4" w:space="0" w:color="auto"/>
              <w:bottom w:val="single" w:sz="4" w:space="0" w:color="auto"/>
            </w:tcBorders>
            <w:vAlign w:val="center"/>
          </w:tcPr>
          <w:p w14:paraId="6B01EEE3" w14:textId="77777777" w:rsidR="00A57C0D" w:rsidRPr="00545991" w:rsidRDefault="00A57C0D" w:rsidP="00051653">
            <w:pPr>
              <w:spacing w:after="40"/>
              <w:jc w:val="right"/>
              <w:rPr>
                <w:rFonts w:ascii="Times New Roman" w:hAnsi="Times New Roman" w:cs="Times New Roman"/>
                <w:lang w:val="nb-NO"/>
              </w:rPr>
            </w:pPr>
          </w:p>
        </w:tc>
      </w:tr>
      <w:tr w:rsidR="00A57C0D" w:rsidRPr="00545991" w14:paraId="41E1A5F5" w14:textId="77777777" w:rsidTr="00051653">
        <w:tc>
          <w:tcPr>
            <w:tcW w:w="3686" w:type="dxa"/>
            <w:tcBorders>
              <w:top w:val="single" w:sz="4" w:space="0" w:color="auto"/>
              <w:bottom w:val="single" w:sz="4" w:space="0" w:color="auto"/>
            </w:tcBorders>
            <w:vAlign w:val="center"/>
          </w:tcPr>
          <w:p w14:paraId="77C7F28E" w14:textId="77777777" w:rsidR="00A57C0D" w:rsidRPr="00545991" w:rsidRDefault="00A57C0D" w:rsidP="00051653">
            <w:pPr>
              <w:spacing w:after="40"/>
              <w:rPr>
                <w:rFonts w:ascii="Times New Roman" w:hAnsi="Times New Roman" w:cs="Times New Roman"/>
                <w:lang w:val="nb-NO"/>
              </w:rPr>
            </w:pPr>
            <w:r w:rsidRPr="00545991">
              <w:rPr>
                <w:rFonts w:ascii="Times New Roman" w:hAnsi="Times New Roman" w:cs="Times New Roman"/>
                <w:lang w:val="nb-NO"/>
              </w:rPr>
              <w:t>Resultat</w:t>
            </w:r>
          </w:p>
        </w:tc>
        <w:tc>
          <w:tcPr>
            <w:tcW w:w="1417" w:type="dxa"/>
            <w:tcBorders>
              <w:top w:val="single" w:sz="4" w:space="0" w:color="auto"/>
              <w:bottom w:val="single" w:sz="4" w:space="0" w:color="auto"/>
            </w:tcBorders>
            <w:vAlign w:val="center"/>
          </w:tcPr>
          <w:p w14:paraId="4CB11E3B"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-0,420</w:t>
            </w:r>
          </w:p>
        </w:tc>
      </w:tr>
    </w:tbl>
    <w:p w14:paraId="08A890C2" w14:textId="77777777" w:rsidR="009140A3" w:rsidRPr="00545991" w:rsidRDefault="009140A3">
      <w:pPr>
        <w:rPr>
          <w:rFonts w:ascii="Times New Roman" w:hAnsi="Times New Roman" w:cs="Times New Roman"/>
          <w:sz w:val="24"/>
          <w:szCs w:val="24"/>
          <w:lang w:val="nb-NO"/>
        </w:rPr>
      </w:pPr>
    </w:p>
    <w:p w14:paraId="45C61368" w14:textId="1C020B30" w:rsidR="00F1076F" w:rsidRDefault="00E50A61" w:rsidP="00850197">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Arrangørene av Sjakk-OL må betale </w:t>
      </w:r>
      <w:r w:rsidR="00500E01" w:rsidRPr="00545991">
        <w:rPr>
          <w:rFonts w:ascii="Times New Roman" w:hAnsi="Times New Roman" w:cs="Times New Roman"/>
          <w:sz w:val="24"/>
          <w:szCs w:val="24"/>
          <w:lang w:val="nb-NO"/>
        </w:rPr>
        <w:t>rettighetsavgift til FIDE. For Tromsø sin del kom dette på 9,1 mil</w:t>
      </w:r>
      <w:r w:rsidR="00F1076F" w:rsidRPr="00545991">
        <w:rPr>
          <w:rFonts w:ascii="Times New Roman" w:hAnsi="Times New Roman" w:cs="Times New Roman"/>
          <w:sz w:val="24"/>
          <w:szCs w:val="24"/>
          <w:lang w:val="nb-NO"/>
        </w:rPr>
        <w:t xml:space="preserve">lioner kroner i 2014. </w:t>
      </w:r>
      <w:r w:rsidR="009D5864" w:rsidRPr="00545991">
        <w:rPr>
          <w:rFonts w:ascii="Times New Roman" w:hAnsi="Times New Roman" w:cs="Times New Roman"/>
          <w:sz w:val="24"/>
          <w:szCs w:val="24"/>
          <w:lang w:val="nb-NO"/>
        </w:rPr>
        <w:t xml:space="preserve">Det </w:t>
      </w:r>
      <w:r w:rsidR="00304AB2">
        <w:rPr>
          <w:rFonts w:ascii="Times New Roman" w:hAnsi="Times New Roman" w:cs="Times New Roman"/>
          <w:sz w:val="24"/>
          <w:szCs w:val="24"/>
          <w:lang w:val="nb-NO"/>
        </w:rPr>
        <w:t xml:space="preserve">samme </w:t>
      </w:r>
      <w:r w:rsidR="009D5864" w:rsidRPr="00545991">
        <w:rPr>
          <w:rFonts w:ascii="Times New Roman" w:hAnsi="Times New Roman" w:cs="Times New Roman"/>
          <w:sz w:val="24"/>
          <w:szCs w:val="24"/>
          <w:lang w:val="nb-NO"/>
        </w:rPr>
        <w:t xml:space="preserve">gjaldt for </w:t>
      </w:r>
      <w:r w:rsidR="009341ED">
        <w:rPr>
          <w:rFonts w:ascii="Times New Roman" w:hAnsi="Times New Roman" w:cs="Times New Roman"/>
          <w:sz w:val="24"/>
          <w:szCs w:val="24"/>
          <w:lang w:val="nb-NO"/>
        </w:rPr>
        <w:t xml:space="preserve">World Cup </w:t>
      </w:r>
      <w:r w:rsidR="00F1076F" w:rsidRPr="00545991">
        <w:rPr>
          <w:rFonts w:ascii="Times New Roman" w:hAnsi="Times New Roman" w:cs="Times New Roman"/>
          <w:sz w:val="24"/>
          <w:szCs w:val="24"/>
          <w:lang w:val="nb-NO"/>
        </w:rPr>
        <w:softHyphen/>
        <w:t>turneringen i 2013</w:t>
      </w:r>
      <w:r w:rsidR="009D5864" w:rsidRPr="00545991">
        <w:rPr>
          <w:rFonts w:ascii="Times New Roman" w:hAnsi="Times New Roman" w:cs="Times New Roman"/>
          <w:sz w:val="24"/>
          <w:szCs w:val="24"/>
          <w:lang w:val="nb-NO"/>
        </w:rPr>
        <w:t xml:space="preserve">, men her </w:t>
      </w:r>
      <w:r w:rsidR="00F1076F" w:rsidRPr="00545991">
        <w:rPr>
          <w:rFonts w:ascii="Times New Roman" w:hAnsi="Times New Roman" w:cs="Times New Roman"/>
          <w:sz w:val="24"/>
          <w:szCs w:val="24"/>
          <w:lang w:val="nb-NO"/>
        </w:rPr>
        <w:t xml:space="preserve">kom det i tillegg </w:t>
      </w:r>
      <w:r w:rsidR="009D5864" w:rsidRPr="00545991">
        <w:rPr>
          <w:rFonts w:ascii="Times New Roman" w:hAnsi="Times New Roman" w:cs="Times New Roman"/>
          <w:sz w:val="24"/>
          <w:szCs w:val="24"/>
          <w:lang w:val="nb-NO"/>
        </w:rPr>
        <w:t xml:space="preserve">betydelige </w:t>
      </w:r>
      <w:r w:rsidR="00F1076F" w:rsidRPr="00545991">
        <w:rPr>
          <w:rFonts w:ascii="Times New Roman" w:hAnsi="Times New Roman" w:cs="Times New Roman"/>
          <w:sz w:val="24"/>
          <w:szCs w:val="24"/>
          <w:lang w:val="nb-NO"/>
        </w:rPr>
        <w:t xml:space="preserve">kostnader i form av premiepenger. Samlet utgjorde dette </w:t>
      </w:r>
      <w:r w:rsidR="00E55D3C">
        <w:rPr>
          <w:rFonts w:ascii="Times New Roman" w:hAnsi="Times New Roman" w:cs="Times New Roman"/>
          <w:sz w:val="24"/>
          <w:szCs w:val="24"/>
          <w:lang w:val="nb-NO"/>
        </w:rPr>
        <w:t>drøyt</w:t>
      </w:r>
      <w:r w:rsidR="00F1076F" w:rsidRPr="00545991">
        <w:rPr>
          <w:rFonts w:ascii="Times New Roman" w:hAnsi="Times New Roman" w:cs="Times New Roman"/>
          <w:sz w:val="24"/>
          <w:szCs w:val="24"/>
          <w:lang w:val="nb-NO"/>
        </w:rPr>
        <w:t xml:space="preserve"> 11 millioner kroner. </w:t>
      </w:r>
      <w:r w:rsidR="009D5864" w:rsidRPr="00545991">
        <w:rPr>
          <w:rFonts w:ascii="Times New Roman" w:hAnsi="Times New Roman" w:cs="Times New Roman"/>
          <w:sz w:val="24"/>
          <w:szCs w:val="24"/>
          <w:lang w:val="nb-NO"/>
        </w:rPr>
        <w:t>Rettighetsavgifter og premiepenger er lekkasjer som svekker de lokale etter</w:t>
      </w:r>
      <w:r w:rsidR="009D5864" w:rsidRPr="00545991">
        <w:rPr>
          <w:rFonts w:ascii="Times New Roman" w:hAnsi="Times New Roman" w:cs="Times New Roman"/>
          <w:sz w:val="24"/>
          <w:szCs w:val="24"/>
          <w:lang w:val="nb-NO"/>
        </w:rPr>
        <w:softHyphen/>
      </w:r>
      <w:r w:rsidR="009D5864" w:rsidRPr="00545991">
        <w:rPr>
          <w:rFonts w:ascii="Times New Roman" w:hAnsi="Times New Roman" w:cs="Times New Roman"/>
          <w:sz w:val="24"/>
          <w:szCs w:val="24"/>
          <w:lang w:val="nb-NO"/>
        </w:rPr>
        <w:softHyphen/>
        <w:t>spørsels</w:t>
      </w:r>
      <w:r w:rsidR="009D5864" w:rsidRPr="00545991">
        <w:rPr>
          <w:rFonts w:ascii="Times New Roman" w:hAnsi="Times New Roman" w:cs="Times New Roman"/>
          <w:sz w:val="24"/>
          <w:szCs w:val="24"/>
          <w:lang w:val="nb-NO"/>
        </w:rPr>
        <w:softHyphen/>
      </w:r>
      <w:r w:rsidR="009D5864" w:rsidRPr="00545991">
        <w:rPr>
          <w:rFonts w:ascii="Times New Roman" w:hAnsi="Times New Roman" w:cs="Times New Roman"/>
          <w:sz w:val="24"/>
          <w:szCs w:val="24"/>
          <w:lang w:val="nb-NO"/>
        </w:rPr>
        <w:softHyphen/>
        <w:t>virkningene</w:t>
      </w:r>
      <w:r w:rsidR="00A57C0D" w:rsidRPr="00545991">
        <w:rPr>
          <w:rFonts w:ascii="Times New Roman" w:hAnsi="Times New Roman" w:cs="Times New Roman"/>
          <w:sz w:val="24"/>
          <w:szCs w:val="24"/>
          <w:lang w:val="nb-NO"/>
        </w:rPr>
        <w:t xml:space="preserve">. </w:t>
      </w:r>
      <w:r w:rsidR="009341ED" w:rsidRPr="0069544E">
        <w:rPr>
          <w:rFonts w:ascii="Times New Roman" w:hAnsi="Times New Roman" w:cs="Times New Roman"/>
          <w:sz w:val="24"/>
          <w:szCs w:val="24"/>
          <w:lang w:val="nb-NO"/>
        </w:rPr>
        <w:t>K</w:t>
      </w:r>
      <w:r w:rsidR="00F1076F" w:rsidRPr="0069544E">
        <w:rPr>
          <w:rFonts w:ascii="Times New Roman" w:hAnsi="Times New Roman" w:cs="Times New Roman"/>
          <w:sz w:val="24"/>
          <w:szCs w:val="24"/>
          <w:lang w:val="nb-NO"/>
        </w:rPr>
        <w:t xml:space="preserve">ost- og </w:t>
      </w:r>
      <w:r w:rsidR="00A57C0D" w:rsidRPr="0069544E">
        <w:rPr>
          <w:rFonts w:ascii="Times New Roman" w:hAnsi="Times New Roman" w:cs="Times New Roman"/>
          <w:sz w:val="24"/>
          <w:szCs w:val="24"/>
          <w:lang w:val="nb-NO"/>
        </w:rPr>
        <w:t>oppholdsutgifte</w:t>
      </w:r>
      <w:r w:rsidR="00F1076F" w:rsidRPr="0069544E">
        <w:rPr>
          <w:rFonts w:ascii="Times New Roman" w:hAnsi="Times New Roman" w:cs="Times New Roman"/>
          <w:sz w:val="24"/>
          <w:szCs w:val="24"/>
          <w:lang w:val="nb-NO"/>
        </w:rPr>
        <w:t>r</w:t>
      </w:r>
      <w:r w:rsidR="00A57C0D" w:rsidRPr="0069544E">
        <w:rPr>
          <w:rFonts w:ascii="Times New Roman" w:hAnsi="Times New Roman" w:cs="Times New Roman"/>
          <w:sz w:val="24"/>
          <w:szCs w:val="24"/>
          <w:lang w:val="nb-NO"/>
        </w:rPr>
        <w:t xml:space="preserve"> som</w:t>
      </w:r>
      <w:r w:rsidR="00F735B2" w:rsidRPr="0069544E">
        <w:rPr>
          <w:rFonts w:ascii="Times New Roman" w:hAnsi="Times New Roman" w:cs="Times New Roman"/>
          <w:sz w:val="24"/>
          <w:szCs w:val="24"/>
          <w:lang w:val="nb-NO"/>
        </w:rPr>
        <w:t xml:space="preserve"> COT2014</w:t>
      </w:r>
      <w:r w:rsidR="00DD6912" w:rsidRPr="0069544E">
        <w:rPr>
          <w:rFonts w:ascii="Times New Roman" w:hAnsi="Times New Roman" w:cs="Times New Roman"/>
          <w:sz w:val="24"/>
          <w:szCs w:val="24"/>
          <w:lang w:val="nb-NO"/>
        </w:rPr>
        <w:t xml:space="preserve"> dekket for spillere, kapteiner og delegater</w:t>
      </w:r>
      <w:r w:rsidR="009341ED" w:rsidRPr="0069544E">
        <w:rPr>
          <w:rFonts w:ascii="Times New Roman" w:hAnsi="Times New Roman" w:cs="Times New Roman"/>
          <w:sz w:val="24"/>
          <w:szCs w:val="24"/>
          <w:lang w:val="nb-NO"/>
        </w:rPr>
        <w:t xml:space="preserve"> er en intern overføring</w:t>
      </w:r>
      <w:r w:rsidR="009F2FFE" w:rsidRPr="0069544E">
        <w:rPr>
          <w:rFonts w:ascii="Times New Roman" w:hAnsi="Times New Roman" w:cs="Times New Roman"/>
          <w:sz w:val="24"/>
          <w:szCs w:val="24"/>
          <w:lang w:val="nb-NO"/>
        </w:rPr>
        <w:t>,</w:t>
      </w:r>
      <w:r w:rsidR="009341ED" w:rsidRPr="0069544E">
        <w:rPr>
          <w:rFonts w:ascii="Times New Roman" w:hAnsi="Times New Roman" w:cs="Times New Roman"/>
          <w:sz w:val="24"/>
          <w:szCs w:val="24"/>
          <w:lang w:val="nb-NO"/>
        </w:rPr>
        <w:t xml:space="preserve"> og dermed </w:t>
      </w:r>
      <w:r w:rsidR="00A57C0D" w:rsidRPr="0069544E">
        <w:rPr>
          <w:rFonts w:ascii="Times New Roman" w:hAnsi="Times New Roman" w:cs="Times New Roman"/>
          <w:sz w:val="24"/>
          <w:szCs w:val="24"/>
          <w:lang w:val="nb-NO"/>
        </w:rPr>
        <w:t>ingen tilførsel av midler.</w:t>
      </w:r>
      <w:r w:rsidR="00A57C0D" w:rsidRPr="00545991">
        <w:rPr>
          <w:rFonts w:ascii="Times New Roman" w:hAnsi="Times New Roman" w:cs="Times New Roman"/>
          <w:sz w:val="24"/>
          <w:szCs w:val="24"/>
          <w:lang w:val="nb-NO"/>
        </w:rPr>
        <w:t xml:space="preserve"> Til sammen utgjorde disse komponentene 71,4 millioner kroner</w:t>
      </w:r>
      <w:r w:rsidR="00F735B2" w:rsidRPr="00545991">
        <w:rPr>
          <w:rFonts w:ascii="Times New Roman" w:hAnsi="Times New Roman" w:cs="Times New Roman"/>
          <w:sz w:val="24"/>
          <w:szCs w:val="24"/>
          <w:lang w:val="nb-NO"/>
        </w:rPr>
        <w:t xml:space="preserve"> (tabell 3). </w:t>
      </w:r>
      <w:r w:rsidR="00A57C0D" w:rsidRPr="00545991">
        <w:rPr>
          <w:rFonts w:ascii="Times New Roman" w:hAnsi="Times New Roman" w:cs="Times New Roman"/>
          <w:sz w:val="24"/>
          <w:szCs w:val="24"/>
          <w:lang w:val="nb-NO"/>
        </w:rPr>
        <w:t xml:space="preserve">Dette </w:t>
      </w:r>
      <w:r w:rsidR="00F735B2" w:rsidRPr="00545991">
        <w:rPr>
          <w:rFonts w:ascii="Times New Roman" w:hAnsi="Times New Roman" w:cs="Times New Roman"/>
          <w:sz w:val="24"/>
          <w:szCs w:val="24"/>
          <w:lang w:val="nb-NO"/>
        </w:rPr>
        <w:t>representerte</w:t>
      </w:r>
      <w:r w:rsidR="00A57C0D" w:rsidRPr="00545991">
        <w:rPr>
          <w:rFonts w:ascii="Times New Roman" w:hAnsi="Times New Roman" w:cs="Times New Roman"/>
          <w:sz w:val="24"/>
          <w:szCs w:val="24"/>
          <w:lang w:val="nb-NO"/>
        </w:rPr>
        <w:t xml:space="preserve"> 5</w:t>
      </w:r>
      <w:r w:rsidR="00F735B2" w:rsidRPr="00545991">
        <w:rPr>
          <w:rFonts w:ascii="Times New Roman" w:hAnsi="Times New Roman" w:cs="Times New Roman"/>
          <w:sz w:val="24"/>
          <w:szCs w:val="24"/>
          <w:lang w:val="nb-NO"/>
        </w:rPr>
        <w:t>3</w:t>
      </w:r>
      <w:r w:rsidR="00A57C0D" w:rsidRPr="00545991">
        <w:rPr>
          <w:rFonts w:ascii="Times New Roman" w:hAnsi="Times New Roman" w:cs="Times New Roman"/>
          <w:sz w:val="24"/>
          <w:szCs w:val="24"/>
          <w:lang w:val="nb-NO"/>
        </w:rPr>
        <w:t>% av COT2014 sine samlede kostnader på 137,3 millioner kroner.</w:t>
      </w:r>
    </w:p>
    <w:p w14:paraId="614EA53A" w14:textId="2312FDBF" w:rsidR="00371482" w:rsidRDefault="00371482" w:rsidP="00850197">
      <w:pPr>
        <w:spacing w:line="360" w:lineRule="auto"/>
        <w:ind w:firstLine="708"/>
        <w:jc w:val="both"/>
        <w:rPr>
          <w:rFonts w:ascii="Times New Roman" w:hAnsi="Times New Roman" w:cs="Times New Roman"/>
          <w:sz w:val="24"/>
          <w:szCs w:val="24"/>
          <w:lang w:val="nb-NO"/>
        </w:rPr>
      </w:pPr>
    </w:p>
    <w:p w14:paraId="2A9D53C4" w14:textId="244E4DCA" w:rsidR="00371482" w:rsidRDefault="00371482" w:rsidP="00850197">
      <w:pPr>
        <w:spacing w:line="360" w:lineRule="auto"/>
        <w:ind w:firstLine="708"/>
        <w:jc w:val="both"/>
        <w:rPr>
          <w:rFonts w:ascii="Times New Roman" w:hAnsi="Times New Roman" w:cs="Times New Roman"/>
          <w:sz w:val="24"/>
          <w:szCs w:val="24"/>
          <w:lang w:val="nb-NO"/>
        </w:rPr>
      </w:pPr>
    </w:p>
    <w:p w14:paraId="6B0B09C2" w14:textId="77777777" w:rsidR="00371482" w:rsidRPr="00545991" w:rsidRDefault="00371482" w:rsidP="00850197">
      <w:pPr>
        <w:spacing w:line="360" w:lineRule="auto"/>
        <w:ind w:firstLine="708"/>
        <w:jc w:val="both"/>
        <w:rPr>
          <w:rFonts w:ascii="Times New Roman" w:hAnsi="Times New Roman" w:cs="Times New Roman"/>
          <w:sz w:val="24"/>
          <w:szCs w:val="24"/>
          <w:lang w:val="nb-NO"/>
        </w:rPr>
      </w:pPr>
    </w:p>
    <w:p w14:paraId="5C42DD2B" w14:textId="77777777" w:rsidR="00A57C0D" w:rsidRPr="00E02540" w:rsidRDefault="00051653" w:rsidP="00051653">
      <w:pPr>
        <w:spacing w:after="120" w:line="240" w:lineRule="auto"/>
        <w:jc w:val="both"/>
        <w:rPr>
          <w:rFonts w:ascii="Times New Roman" w:hAnsi="Times New Roman" w:cs="Times New Roman"/>
          <w:b/>
          <w:color w:val="FF0000"/>
          <w:lang w:val="nb-NO"/>
        </w:rPr>
      </w:pPr>
      <w:r w:rsidRPr="00E02540">
        <w:rPr>
          <w:rFonts w:ascii="Times New Roman" w:hAnsi="Times New Roman" w:cs="Times New Roman"/>
          <w:b/>
          <w:lang w:val="nb-NO"/>
        </w:rPr>
        <w:lastRenderedPageBreak/>
        <w:t>Tabell 3</w:t>
      </w:r>
      <w:r w:rsidR="00A57C0D" w:rsidRPr="00E02540">
        <w:rPr>
          <w:rFonts w:ascii="Times New Roman" w:hAnsi="Times New Roman" w:cs="Times New Roman"/>
          <w:b/>
          <w:lang w:val="nb-NO"/>
        </w:rPr>
        <w:t xml:space="preserve">: </w:t>
      </w:r>
      <w:r w:rsidR="009341ED" w:rsidRPr="00E02540">
        <w:rPr>
          <w:rFonts w:ascii="Times New Roman" w:hAnsi="Times New Roman" w:cs="Times New Roman"/>
          <w:b/>
          <w:lang w:val="nb-NO"/>
        </w:rPr>
        <w:t xml:space="preserve">Lekkasjer og interne overføringer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275"/>
      </w:tblGrid>
      <w:tr w:rsidR="00A57C0D" w:rsidRPr="00545991" w14:paraId="30209514" w14:textId="77777777" w:rsidTr="00051653">
        <w:tc>
          <w:tcPr>
            <w:tcW w:w="5529" w:type="dxa"/>
            <w:tcBorders>
              <w:top w:val="single" w:sz="4" w:space="0" w:color="auto"/>
              <w:bottom w:val="single" w:sz="4" w:space="0" w:color="auto"/>
            </w:tcBorders>
            <w:vAlign w:val="center"/>
          </w:tcPr>
          <w:p w14:paraId="0C2BA27A" w14:textId="77777777" w:rsidR="00A57C0D" w:rsidRPr="00545991" w:rsidRDefault="00A57C0D" w:rsidP="00051653">
            <w:pPr>
              <w:spacing w:after="40"/>
              <w:rPr>
                <w:rFonts w:ascii="Times New Roman" w:hAnsi="Times New Roman" w:cs="Times New Roman"/>
                <w:lang w:val="nb-NO"/>
              </w:rPr>
            </w:pPr>
          </w:p>
        </w:tc>
        <w:tc>
          <w:tcPr>
            <w:tcW w:w="1275" w:type="dxa"/>
            <w:tcBorders>
              <w:top w:val="single" w:sz="4" w:space="0" w:color="auto"/>
              <w:bottom w:val="single" w:sz="4" w:space="0" w:color="auto"/>
            </w:tcBorders>
            <w:vAlign w:val="center"/>
          </w:tcPr>
          <w:p w14:paraId="0104CC5C" w14:textId="77777777" w:rsidR="00A57C0D" w:rsidRPr="00545991" w:rsidRDefault="00051653" w:rsidP="00051653">
            <w:pPr>
              <w:spacing w:after="40"/>
              <w:jc w:val="right"/>
              <w:rPr>
                <w:rFonts w:ascii="Times New Roman" w:hAnsi="Times New Roman" w:cs="Times New Roman"/>
                <w:lang w:val="nb-NO"/>
              </w:rPr>
            </w:pPr>
            <w:r w:rsidRPr="00545991">
              <w:rPr>
                <w:rFonts w:ascii="Times New Roman" w:hAnsi="Times New Roman" w:cs="Times New Roman"/>
                <w:lang w:val="nb-NO"/>
              </w:rPr>
              <w:t>Mill. kr</w:t>
            </w:r>
          </w:p>
        </w:tc>
      </w:tr>
      <w:tr w:rsidR="00051653" w:rsidRPr="00545991" w14:paraId="655B29EF" w14:textId="77777777" w:rsidTr="00051653">
        <w:tc>
          <w:tcPr>
            <w:tcW w:w="5529" w:type="dxa"/>
            <w:tcBorders>
              <w:top w:val="single" w:sz="4" w:space="0" w:color="auto"/>
            </w:tcBorders>
            <w:vAlign w:val="center"/>
          </w:tcPr>
          <w:p w14:paraId="6D03E7D2" w14:textId="77777777" w:rsidR="00051653" w:rsidRPr="00545991" w:rsidRDefault="00051653" w:rsidP="00051653">
            <w:pPr>
              <w:spacing w:after="40"/>
              <w:rPr>
                <w:rFonts w:ascii="Times New Roman" w:hAnsi="Times New Roman" w:cs="Times New Roman"/>
                <w:lang w:val="nb-NO"/>
              </w:rPr>
            </w:pPr>
            <w:r w:rsidRPr="00545991">
              <w:rPr>
                <w:rFonts w:ascii="Times New Roman" w:hAnsi="Times New Roman" w:cs="Times New Roman"/>
                <w:lang w:val="nb-NO"/>
              </w:rPr>
              <w:t>Hotell og forpleining av tilreisende 2014</w:t>
            </w:r>
          </w:p>
        </w:tc>
        <w:tc>
          <w:tcPr>
            <w:tcW w:w="1275" w:type="dxa"/>
            <w:tcBorders>
              <w:top w:val="single" w:sz="4" w:space="0" w:color="auto"/>
            </w:tcBorders>
            <w:vAlign w:val="center"/>
          </w:tcPr>
          <w:p w14:paraId="49E15A8A" w14:textId="77777777" w:rsidR="00051653" w:rsidRPr="00545991" w:rsidRDefault="00051653" w:rsidP="00051653">
            <w:pPr>
              <w:spacing w:after="40"/>
              <w:jc w:val="right"/>
              <w:rPr>
                <w:rFonts w:ascii="Times New Roman" w:hAnsi="Times New Roman" w:cs="Times New Roman"/>
                <w:lang w:val="nb-NO"/>
              </w:rPr>
            </w:pPr>
            <w:r w:rsidRPr="00545991">
              <w:rPr>
                <w:rFonts w:ascii="Times New Roman" w:hAnsi="Times New Roman" w:cs="Times New Roman"/>
                <w:lang w:val="nb-NO"/>
              </w:rPr>
              <w:t>45,2</w:t>
            </w:r>
          </w:p>
        </w:tc>
      </w:tr>
      <w:tr w:rsidR="00A57C0D" w:rsidRPr="00545991" w14:paraId="48AFDA25" w14:textId="77777777" w:rsidTr="00051653">
        <w:tc>
          <w:tcPr>
            <w:tcW w:w="5529" w:type="dxa"/>
            <w:vAlign w:val="center"/>
          </w:tcPr>
          <w:p w14:paraId="7564B2CD" w14:textId="77777777" w:rsidR="00A57C0D" w:rsidRPr="00545991" w:rsidRDefault="00A57C0D" w:rsidP="00051653">
            <w:pPr>
              <w:spacing w:after="40"/>
              <w:rPr>
                <w:rFonts w:ascii="Times New Roman" w:hAnsi="Times New Roman" w:cs="Times New Roman"/>
                <w:lang w:val="nb-NO"/>
              </w:rPr>
            </w:pPr>
            <w:r w:rsidRPr="00545991">
              <w:rPr>
                <w:rFonts w:ascii="Times New Roman" w:hAnsi="Times New Roman" w:cs="Times New Roman"/>
                <w:lang w:val="nb-NO"/>
              </w:rPr>
              <w:t>Rettigheter FIDE og andre kostnader 2014</w:t>
            </w:r>
          </w:p>
        </w:tc>
        <w:tc>
          <w:tcPr>
            <w:tcW w:w="1275" w:type="dxa"/>
            <w:vAlign w:val="center"/>
          </w:tcPr>
          <w:p w14:paraId="332C61C7"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9,1</w:t>
            </w:r>
          </w:p>
        </w:tc>
      </w:tr>
      <w:tr w:rsidR="00F1076F" w:rsidRPr="00545991" w14:paraId="5B26B0B6" w14:textId="77777777" w:rsidTr="00051653">
        <w:tc>
          <w:tcPr>
            <w:tcW w:w="5529" w:type="dxa"/>
            <w:vAlign w:val="center"/>
          </w:tcPr>
          <w:p w14:paraId="1D50A8E4" w14:textId="77777777" w:rsidR="00F1076F" w:rsidRPr="00545991" w:rsidRDefault="00F1076F" w:rsidP="00051653">
            <w:pPr>
              <w:spacing w:after="40"/>
              <w:rPr>
                <w:rFonts w:ascii="Times New Roman" w:hAnsi="Times New Roman" w:cs="Times New Roman"/>
                <w:lang w:val="nb-NO"/>
              </w:rPr>
            </w:pPr>
            <w:r w:rsidRPr="00545991">
              <w:rPr>
                <w:rFonts w:ascii="Times New Roman" w:hAnsi="Times New Roman" w:cs="Times New Roman"/>
                <w:lang w:val="nb-NO"/>
              </w:rPr>
              <w:t>Hotell og forpleining av tilreisende 2013</w:t>
            </w:r>
          </w:p>
        </w:tc>
        <w:tc>
          <w:tcPr>
            <w:tcW w:w="1275" w:type="dxa"/>
            <w:vAlign w:val="center"/>
          </w:tcPr>
          <w:p w14:paraId="3A6BF870" w14:textId="77777777" w:rsidR="00F1076F" w:rsidRPr="00545991" w:rsidRDefault="00051653" w:rsidP="00051653">
            <w:pPr>
              <w:spacing w:after="40"/>
              <w:jc w:val="right"/>
              <w:rPr>
                <w:rFonts w:ascii="Times New Roman" w:hAnsi="Times New Roman" w:cs="Times New Roman"/>
                <w:lang w:val="nb-NO"/>
              </w:rPr>
            </w:pPr>
            <w:r w:rsidRPr="00545991">
              <w:rPr>
                <w:rFonts w:ascii="Times New Roman" w:hAnsi="Times New Roman" w:cs="Times New Roman"/>
                <w:lang w:val="nb-NO"/>
              </w:rPr>
              <w:t>5,8</w:t>
            </w:r>
          </w:p>
        </w:tc>
      </w:tr>
      <w:tr w:rsidR="00A57C0D" w:rsidRPr="00545991" w14:paraId="40E04DD3" w14:textId="77777777" w:rsidTr="00051653">
        <w:tc>
          <w:tcPr>
            <w:tcW w:w="5529" w:type="dxa"/>
            <w:tcBorders>
              <w:bottom w:val="single" w:sz="4" w:space="0" w:color="auto"/>
            </w:tcBorders>
            <w:vAlign w:val="center"/>
          </w:tcPr>
          <w:p w14:paraId="76560FA7" w14:textId="77777777" w:rsidR="00A57C0D" w:rsidRPr="00545991" w:rsidRDefault="00A57C0D" w:rsidP="003B10FE">
            <w:pPr>
              <w:spacing w:after="40"/>
              <w:rPr>
                <w:rFonts w:ascii="Times New Roman" w:hAnsi="Times New Roman" w:cs="Times New Roman"/>
                <w:lang w:val="nb-NO"/>
              </w:rPr>
            </w:pPr>
            <w:r w:rsidRPr="00545991">
              <w:rPr>
                <w:rFonts w:ascii="Times New Roman" w:hAnsi="Times New Roman" w:cs="Times New Roman"/>
                <w:lang w:val="nb-NO"/>
              </w:rPr>
              <w:t xml:space="preserve">Premier, FIDE avgift </w:t>
            </w:r>
            <w:r w:rsidR="009341ED">
              <w:rPr>
                <w:rFonts w:ascii="Times New Roman" w:hAnsi="Times New Roman" w:cs="Times New Roman"/>
                <w:lang w:val="nb-NO"/>
              </w:rPr>
              <w:t>2013</w:t>
            </w:r>
          </w:p>
        </w:tc>
        <w:tc>
          <w:tcPr>
            <w:tcW w:w="1275" w:type="dxa"/>
            <w:tcBorders>
              <w:bottom w:val="single" w:sz="4" w:space="0" w:color="auto"/>
            </w:tcBorders>
            <w:vAlign w:val="center"/>
          </w:tcPr>
          <w:p w14:paraId="5EA37C31"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1</w:t>
            </w:r>
            <w:r w:rsidR="00051653" w:rsidRPr="00545991">
              <w:rPr>
                <w:rFonts w:ascii="Times New Roman" w:hAnsi="Times New Roman" w:cs="Times New Roman"/>
                <w:lang w:val="nb-NO"/>
              </w:rPr>
              <w:t>1,3</w:t>
            </w:r>
          </w:p>
        </w:tc>
      </w:tr>
      <w:tr w:rsidR="00A57C0D" w:rsidRPr="00545991" w14:paraId="11463BAE" w14:textId="77777777" w:rsidTr="00051653">
        <w:tc>
          <w:tcPr>
            <w:tcW w:w="5529" w:type="dxa"/>
            <w:tcBorders>
              <w:top w:val="single" w:sz="4" w:space="0" w:color="auto"/>
              <w:bottom w:val="single" w:sz="4" w:space="0" w:color="auto"/>
            </w:tcBorders>
            <w:vAlign w:val="center"/>
          </w:tcPr>
          <w:p w14:paraId="78167250" w14:textId="77777777" w:rsidR="00A57C0D" w:rsidRPr="00545991" w:rsidRDefault="00A57C0D" w:rsidP="00051653">
            <w:pPr>
              <w:spacing w:after="40"/>
              <w:rPr>
                <w:rFonts w:ascii="Times New Roman" w:hAnsi="Times New Roman" w:cs="Times New Roman"/>
                <w:lang w:val="nb-NO"/>
              </w:rPr>
            </w:pPr>
            <w:r w:rsidRPr="00545991">
              <w:rPr>
                <w:rFonts w:ascii="Times New Roman" w:hAnsi="Times New Roman" w:cs="Times New Roman"/>
                <w:lang w:val="nb-NO"/>
              </w:rPr>
              <w:t>Sum</w:t>
            </w:r>
          </w:p>
        </w:tc>
        <w:tc>
          <w:tcPr>
            <w:tcW w:w="1275" w:type="dxa"/>
            <w:tcBorders>
              <w:top w:val="single" w:sz="4" w:space="0" w:color="auto"/>
              <w:bottom w:val="single" w:sz="4" w:space="0" w:color="auto"/>
            </w:tcBorders>
            <w:vAlign w:val="center"/>
          </w:tcPr>
          <w:p w14:paraId="102C5F07" w14:textId="77777777" w:rsidR="00A57C0D" w:rsidRPr="00545991" w:rsidRDefault="00A57C0D" w:rsidP="00051653">
            <w:pPr>
              <w:spacing w:after="40"/>
              <w:jc w:val="right"/>
              <w:rPr>
                <w:rFonts w:ascii="Times New Roman" w:hAnsi="Times New Roman" w:cs="Times New Roman"/>
                <w:lang w:val="nb-NO"/>
              </w:rPr>
            </w:pPr>
            <w:r w:rsidRPr="00545991">
              <w:rPr>
                <w:rFonts w:ascii="Times New Roman" w:hAnsi="Times New Roman" w:cs="Times New Roman"/>
                <w:lang w:val="nb-NO"/>
              </w:rPr>
              <w:t>71</w:t>
            </w:r>
            <w:r w:rsidR="00051653" w:rsidRPr="00545991">
              <w:rPr>
                <w:rFonts w:ascii="Times New Roman" w:hAnsi="Times New Roman" w:cs="Times New Roman"/>
                <w:lang w:val="nb-NO"/>
              </w:rPr>
              <w:t>,4</w:t>
            </w:r>
          </w:p>
        </w:tc>
      </w:tr>
    </w:tbl>
    <w:p w14:paraId="4E6C3529" w14:textId="77777777" w:rsidR="00B3742E" w:rsidRDefault="00B3742E">
      <w:pPr>
        <w:rPr>
          <w:rFonts w:ascii="Times New Roman" w:hAnsi="Times New Roman" w:cs="Times New Roman"/>
          <w:sz w:val="24"/>
          <w:szCs w:val="24"/>
          <w:lang w:val="nb-NO"/>
        </w:rPr>
      </w:pPr>
    </w:p>
    <w:p w14:paraId="28405384" w14:textId="77777777" w:rsidR="004D6E06" w:rsidRPr="00545991" w:rsidRDefault="004D6E06" w:rsidP="00167B1D">
      <w:pPr>
        <w:jc w:val="both"/>
        <w:rPr>
          <w:rFonts w:ascii="Times New Roman" w:hAnsi="Times New Roman" w:cs="Times New Roman"/>
          <w:sz w:val="24"/>
          <w:szCs w:val="24"/>
          <w:lang w:val="nb-NO"/>
        </w:rPr>
      </w:pPr>
    </w:p>
    <w:p w14:paraId="46D0BED4" w14:textId="77777777" w:rsidR="007A274A" w:rsidRPr="00545991" w:rsidRDefault="00D405C2" w:rsidP="00167B1D">
      <w:pPr>
        <w:pStyle w:val="Overskrift2"/>
        <w:spacing w:line="360" w:lineRule="auto"/>
        <w:jc w:val="both"/>
        <w:rPr>
          <w:lang w:val="nb-NO"/>
        </w:rPr>
      </w:pPr>
      <w:r>
        <w:rPr>
          <w:lang w:val="nb-NO"/>
        </w:rPr>
        <w:t xml:space="preserve">5.3 </w:t>
      </w:r>
      <w:r w:rsidR="00E630F8" w:rsidRPr="00545991">
        <w:rPr>
          <w:lang w:val="nb-NO"/>
        </w:rPr>
        <w:t>O</w:t>
      </w:r>
      <w:r w:rsidR="00E40BCC" w:rsidRPr="00545991">
        <w:rPr>
          <w:lang w:val="nb-NO"/>
        </w:rPr>
        <w:t>msetning</w:t>
      </w:r>
      <w:r w:rsidR="00E630F8" w:rsidRPr="00545991">
        <w:rPr>
          <w:lang w:val="nb-NO"/>
        </w:rPr>
        <w:t xml:space="preserve"> i reiselivsnæringene</w:t>
      </w:r>
      <w:r w:rsidR="00E40BCC" w:rsidRPr="00545991">
        <w:rPr>
          <w:lang w:val="nb-NO"/>
        </w:rPr>
        <w:t xml:space="preserve"> </w:t>
      </w:r>
    </w:p>
    <w:p w14:paraId="5135969E" w14:textId="767F7F62" w:rsidR="00AE7A0D" w:rsidRPr="00D33C41" w:rsidRDefault="00E630F8" w:rsidP="00167B1D">
      <w:pPr>
        <w:spacing w:line="360" w:lineRule="auto"/>
        <w:jc w:val="both"/>
        <w:rPr>
          <w:rFonts w:ascii="Times New Roman" w:hAnsi="Times New Roman" w:cs="Times New Roman"/>
          <w:sz w:val="24"/>
          <w:szCs w:val="24"/>
          <w:lang w:val="nb-NO"/>
        </w:rPr>
      </w:pPr>
      <w:r w:rsidRPr="00D33C41">
        <w:rPr>
          <w:rFonts w:ascii="Times New Roman" w:hAnsi="Times New Roman" w:cs="Times New Roman"/>
          <w:sz w:val="24"/>
          <w:szCs w:val="24"/>
          <w:lang w:val="nb-NO"/>
        </w:rPr>
        <w:t xml:space="preserve">Reiselivsnæringer er næringer </w:t>
      </w:r>
      <w:r w:rsidR="00E55D3C">
        <w:rPr>
          <w:rFonts w:ascii="Times New Roman" w:hAnsi="Times New Roman" w:cs="Times New Roman"/>
          <w:sz w:val="24"/>
          <w:szCs w:val="24"/>
          <w:lang w:val="nb-NO"/>
        </w:rPr>
        <w:t>hvor</w:t>
      </w:r>
      <w:r w:rsidR="002D111A" w:rsidRPr="00D33C41">
        <w:rPr>
          <w:rFonts w:ascii="Times New Roman" w:hAnsi="Times New Roman" w:cs="Times New Roman"/>
          <w:sz w:val="24"/>
          <w:szCs w:val="24"/>
          <w:lang w:val="nb-NO"/>
        </w:rPr>
        <w:t xml:space="preserve"> salg</w:t>
      </w:r>
      <w:r w:rsidR="00E55D3C">
        <w:rPr>
          <w:rFonts w:ascii="Times New Roman" w:hAnsi="Times New Roman" w:cs="Times New Roman"/>
          <w:sz w:val="24"/>
          <w:szCs w:val="24"/>
          <w:lang w:val="nb-NO"/>
        </w:rPr>
        <w:t>et</w:t>
      </w:r>
      <w:r w:rsidR="002D111A" w:rsidRPr="00D33C41">
        <w:rPr>
          <w:rFonts w:ascii="Times New Roman" w:hAnsi="Times New Roman" w:cs="Times New Roman"/>
          <w:sz w:val="24"/>
          <w:szCs w:val="24"/>
          <w:lang w:val="nb-NO"/>
        </w:rPr>
        <w:t xml:space="preserve"> primært går til reisende. Produsentsiden omfatter både bedrifter som omtrent bare har reisende som kunder (eksempelvis hoteller), men også over</w:t>
      </w:r>
      <w:r w:rsidR="00E55D3C">
        <w:rPr>
          <w:rFonts w:ascii="Times New Roman" w:hAnsi="Times New Roman" w:cs="Times New Roman"/>
          <w:sz w:val="24"/>
          <w:szCs w:val="24"/>
          <w:lang w:val="nb-NO"/>
        </w:rPr>
        <w:softHyphen/>
      </w:r>
      <w:r w:rsidR="002D111A" w:rsidRPr="00D33C41">
        <w:rPr>
          <w:rFonts w:ascii="Times New Roman" w:hAnsi="Times New Roman" w:cs="Times New Roman"/>
          <w:sz w:val="24"/>
          <w:szCs w:val="24"/>
          <w:lang w:val="nb-NO"/>
        </w:rPr>
        <w:t xml:space="preserve">rislingsbedrifter hvor </w:t>
      </w:r>
      <w:r w:rsidR="00E55D3C">
        <w:rPr>
          <w:rFonts w:ascii="Times New Roman" w:hAnsi="Times New Roman" w:cs="Times New Roman"/>
          <w:sz w:val="24"/>
          <w:szCs w:val="24"/>
          <w:lang w:val="nb-NO"/>
        </w:rPr>
        <w:t xml:space="preserve">turister og andre </w:t>
      </w:r>
      <w:r w:rsidR="002D111A" w:rsidRPr="00D33C41">
        <w:rPr>
          <w:rFonts w:ascii="Times New Roman" w:hAnsi="Times New Roman" w:cs="Times New Roman"/>
          <w:sz w:val="24"/>
          <w:szCs w:val="24"/>
          <w:lang w:val="nb-NO"/>
        </w:rPr>
        <w:t xml:space="preserve">reisende utgjør en del av kundegruppen (eksempelvis dagligvarehandelen). </w:t>
      </w:r>
      <w:r w:rsidR="0030648A" w:rsidRPr="00D33C41">
        <w:rPr>
          <w:rFonts w:ascii="Times New Roman" w:hAnsi="Times New Roman" w:cs="Times New Roman"/>
          <w:sz w:val="24"/>
          <w:szCs w:val="24"/>
          <w:lang w:val="nb-NO"/>
        </w:rPr>
        <w:t>Effekten av store arrangementer kan være forskjellig for de ulike næringene. S</w:t>
      </w:r>
      <w:r w:rsidR="008124B6" w:rsidRPr="00D33C41">
        <w:rPr>
          <w:rFonts w:ascii="Times New Roman" w:hAnsi="Times New Roman" w:cs="Times New Roman"/>
          <w:sz w:val="24"/>
          <w:szCs w:val="24"/>
          <w:lang w:val="nb-NO"/>
        </w:rPr>
        <w:t xml:space="preserve">jakk-OL </w:t>
      </w:r>
      <w:r w:rsidR="0030648A" w:rsidRPr="00D33C41">
        <w:rPr>
          <w:rFonts w:ascii="Times New Roman" w:hAnsi="Times New Roman" w:cs="Times New Roman"/>
          <w:sz w:val="24"/>
          <w:szCs w:val="24"/>
          <w:lang w:val="nb-NO"/>
        </w:rPr>
        <w:t xml:space="preserve">viste seg å være et godt eksempel på det. </w:t>
      </w:r>
    </w:p>
    <w:p w14:paraId="0FE00FCE" w14:textId="77777777" w:rsidR="009C6680" w:rsidRPr="00545991" w:rsidRDefault="00CE3E52" w:rsidP="009341ED">
      <w:pPr>
        <w:pStyle w:val="Overskrift3"/>
        <w:spacing w:line="360" w:lineRule="auto"/>
        <w:rPr>
          <w:lang w:val="nb-NO"/>
        </w:rPr>
      </w:pPr>
      <w:r w:rsidRPr="00545991">
        <w:rPr>
          <w:lang w:val="nb-NO"/>
        </w:rPr>
        <w:t>Hotellenes l</w:t>
      </w:r>
      <w:r w:rsidR="009C6680" w:rsidRPr="00545991">
        <w:rPr>
          <w:lang w:val="nb-NO"/>
        </w:rPr>
        <w:t>osjiinntekter</w:t>
      </w:r>
    </w:p>
    <w:p w14:paraId="21CB1499" w14:textId="24FC0CC3" w:rsidR="007A274A" w:rsidRPr="00545991" w:rsidRDefault="007A274A" w:rsidP="009341ED">
      <w:pPr>
        <w:spacing w:line="360" w:lineRule="auto"/>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Tabell </w:t>
      </w:r>
      <w:r w:rsidR="00C025E2" w:rsidRPr="00545991">
        <w:rPr>
          <w:rFonts w:ascii="Times New Roman" w:hAnsi="Times New Roman" w:cs="Times New Roman"/>
          <w:sz w:val="24"/>
          <w:szCs w:val="24"/>
          <w:lang w:val="nb-NO"/>
        </w:rPr>
        <w:t>4</w:t>
      </w:r>
      <w:r w:rsidRPr="00545991">
        <w:rPr>
          <w:rFonts w:ascii="Times New Roman" w:hAnsi="Times New Roman" w:cs="Times New Roman"/>
          <w:sz w:val="24"/>
          <w:szCs w:val="24"/>
          <w:lang w:val="nb-NO"/>
        </w:rPr>
        <w:t xml:space="preserve"> viser nøkkeltall for hotellene i Tromsø i perioden 31. juli-15. august for årene 2013-2015. Sjakk-OL ga hotellene i Tromsø et betydelig oppsving </w:t>
      </w:r>
      <w:r w:rsidR="009341ED">
        <w:rPr>
          <w:rFonts w:ascii="Times New Roman" w:hAnsi="Times New Roman" w:cs="Times New Roman"/>
          <w:sz w:val="24"/>
          <w:szCs w:val="24"/>
          <w:lang w:val="nb-NO"/>
        </w:rPr>
        <w:t xml:space="preserve">i </w:t>
      </w:r>
      <w:r w:rsidRPr="00545991">
        <w:rPr>
          <w:rFonts w:ascii="Times New Roman" w:hAnsi="Times New Roman" w:cs="Times New Roman"/>
          <w:sz w:val="24"/>
          <w:szCs w:val="24"/>
          <w:lang w:val="nb-NO"/>
        </w:rPr>
        <w:t xml:space="preserve">antall overnattinger. Som nevnt </w:t>
      </w:r>
      <w:r w:rsidR="002D111A">
        <w:rPr>
          <w:rFonts w:ascii="Times New Roman" w:hAnsi="Times New Roman" w:cs="Times New Roman"/>
          <w:sz w:val="24"/>
          <w:szCs w:val="24"/>
          <w:lang w:val="nb-NO"/>
        </w:rPr>
        <w:t xml:space="preserve">okkuperte </w:t>
      </w:r>
      <w:r w:rsidRPr="00545991">
        <w:rPr>
          <w:rFonts w:ascii="Times New Roman" w:hAnsi="Times New Roman" w:cs="Times New Roman"/>
          <w:sz w:val="24"/>
          <w:szCs w:val="24"/>
          <w:lang w:val="nb-NO"/>
        </w:rPr>
        <w:t>COT2014 samtlige 2 12</w:t>
      </w:r>
      <w:r w:rsidR="009341ED">
        <w:rPr>
          <w:rFonts w:ascii="Times New Roman" w:hAnsi="Times New Roman" w:cs="Times New Roman"/>
          <w:sz w:val="24"/>
          <w:szCs w:val="24"/>
          <w:lang w:val="nb-NO"/>
        </w:rPr>
        <w:t>0 hotellrom i byen</w:t>
      </w:r>
      <w:r w:rsidR="002F4D89">
        <w:rPr>
          <w:rFonts w:ascii="Times New Roman" w:hAnsi="Times New Roman" w:cs="Times New Roman"/>
          <w:sz w:val="24"/>
          <w:szCs w:val="24"/>
          <w:lang w:val="nb-NO"/>
        </w:rPr>
        <w:t>, men ikke-oppmøte gjorde at den effektive kapasitetsutnyttelsen var på 93%</w:t>
      </w:r>
      <w:r w:rsidR="009341ED">
        <w:rPr>
          <w:rFonts w:ascii="Times New Roman" w:hAnsi="Times New Roman" w:cs="Times New Roman"/>
          <w:sz w:val="24"/>
          <w:szCs w:val="24"/>
          <w:lang w:val="nb-NO"/>
        </w:rPr>
        <w:t xml:space="preserve">. </w:t>
      </w:r>
      <w:r w:rsidR="002F4D89">
        <w:rPr>
          <w:rFonts w:ascii="Times New Roman" w:hAnsi="Times New Roman" w:cs="Times New Roman"/>
          <w:sz w:val="24"/>
          <w:szCs w:val="24"/>
          <w:lang w:val="nb-NO"/>
        </w:rPr>
        <w:t>I</w:t>
      </w:r>
      <w:r w:rsidRPr="00545991">
        <w:rPr>
          <w:rFonts w:ascii="Times New Roman" w:hAnsi="Times New Roman" w:cs="Times New Roman"/>
          <w:sz w:val="24"/>
          <w:szCs w:val="24"/>
          <w:lang w:val="nb-NO"/>
        </w:rPr>
        <w:t xml:space="preserve"> alt</w:t>
      </w:r>
      <w:r w:rsidR="0030648A" w:rsidRPr="00545991">
        <w:rPr>
          <w:rFonts w:ascii="Times New Roman" w:hAnsi="Times New Roman" w:cs="Times New Roman"/>
          <w:sz w:val="24"/>
          <w:szCs w:val="24"/>
          <w:lang w:val="nb-NO"/>
        </w:rPr>
        <w:t xml:space="preserve"> </w:t>
      </w:r>
      <w:r w:rsidR="002F4D89">
        <w:rPr>
          <w:rFonts w:ascii="Times New Roman" w:hAnsi="Times New Roman" w:cs="Times New Roman"/>
          <w:sz w:val="24"/>
          <w:szCs w:val="24"/>
          <w:lang w:val="nb-NO"/>
        </w:rPr>
        <w:t xml:space="preserve">genererte </w:t>
      </w:r>
      <w:r w:rsidR="0022592B">
        <w:rPr>
          <w:rFonts w:ascii="Times New Roman" w:hAnsi="Times New Roman" w:cs="Times New Roman"/>
          <w:sz w:val="24"/>
          <w:szCs w:val="24"/>
          <w:lang w:val="nb-NO"/>
        </w:rPr>
        <w:t>Sjakk-OL og FIDE-kongressen</w:t>
      </w:r>
      <w:r w:rsidR="002F4D89">
        <w:rPr>
          <w:rFonts w:ascii="Times New Roman" w:hAnsi="Times New Roman" w:cs="Times New Roman"/>
          <w:sz w:val="24"/>
          <w:szCs w:val="24"/>
          <w:lang w:val="nb-NO"/>
        </w:rPr>
        <w:t xml:space="preserve"> </w:t>
      </w:r>
      <w:r w:rsidR="0030648A" w:rsidRPr="00545991">
        <w:rPr>
          <w:rFonts w:ascii="Times New Roman" w:hAnsi="Times New Roman" w:cs="Times New Roman"/>
          <w:sz w:val="24"/>
          <w:szCs w:val="24"/>
          <w:lang w:val="nb-NO"/>
        </w:rPr>
        <w:t>48 979 overnattinger</w:t>
      </w:r>
      <w:r w:rsidRPr="00545991">
        <w:rPr>
          <w:rFonts w:ascii="Times New Roman" w:hAnsi="Times New Roman" w:cs="Times New Roman"/>
          <w:sz w:val="24"/>
          <w:szCs w:val="24"/>
          <w:lang w:val="nb-NO"/>
        </w:rPr>
        <w:t>.  Dersom vi deler antall overnattinger på antall solgte rom</w:t>
      </w:r>
      <w:r w:rsidR="00371482">
        <w:rPr>
          <w:rFonts w:ascii="Times New Roman" w:hAnsi="Times New Roman" w:cs="Times New Roman"/>
          <w:sz w:val="24"/>
          <w:szCs w:val="24"/>
          <w:lang w:val="nb-NO"/>
        </w:rPr>
        <w:t>,</w:t>
      </w:r>
      <w:r w:rsidRPr="00545991">
        <w:rPr>
          <w:rFonts w:ascii="Times New Roman" w:hAnsi="Times New Roman" w:cs="Times New Roman"/>
          <w:sz w:val="24"/>
          <w:szCs w:val="24"/>
          <w:lang w:val="nb-NO"/>
        </w:rPr>
        <w:t xml:space="preserve"> finner vi at det var 1,6 personer per rom i arrangements</w:t>
      </w:r>
      <w:r w:rsidRPr="00545991">
        <w:rPr>
          <w:rFonts w:ascii="Times New Roman" w:hAnsi="Times New Roman" w:cs="Times New Roman"/>
          <w:sz w:val="24"/>
          <w:szCs w:val="24"/>
          <w:lang w:val="nb-NO"/>
        </w:rPr>
        <w:softHyphen/>
        <w:t>perioden, som er litt under det normale for denne perioden. Total losjiomsetning under arrange</w:t>
      </w:r>
      <w:r w:rsidRPr="00545991">
        <w:rPr>
          <w:rFonts w:ascii="Times New Roman" w:hAnsi="Times New Roman" w:cs="Times New Roman"/>
          <w:sz w:val="24"/>
          <w:szCs w:val="24"/>
          <w:lang w:val="nb-NO"/>
        </w:rPr>
        <w:softHyphen/>
        <w:t xml:space="preserve">mentet var 28,4 millioner. </w:t>
      </w:r>
      <w:r w:rsidR="008124B6" w:rsidRPr="00545991">
        <w:rPr>
          <w:rFonts w:ascii="Times New Roman" w:hAnsi="Times New Roman" w:cs="Times New Roman"/>
          <w:sz w:val="24"/>
          <w:szCs w:val="24"/>
          <w:lang w:val="nb-NO"/>
        </w:rPr>
        <w:t xml:space="preserve">Dette inkluderer inntekter knyttet til overnatting og frokost, men ikke annen servering. </w:t>
      </w:r>
      <w:r w:rsidRPr="00545991">
        <w:rPr>
          <w:rFonts w:ascii="Times New Roman" w:hAnsi="Times New Roman" w:cs="Times New Roman"/>
          <w:sz w:val="24"/>
          <w:szCs w:val="24"/>
          <w:lang w:val="nb-NO"/>
        </w:rPr>
        <w:t>Tilsvarende tall for 2013 og 2015 var henholdsvis 9,6 millioner og 11,9 millioner. Mer</w:t>
      </w:r>
      <w:r w:rsidR="008124B6" w:rsidRPr="00545991">
        <w:rPr>
          <w:rFonts w:ascii="Times New Roman" w:hAnsi="Times New Roman" w:cs="Times New Roman"/>
          <w:sz w:val="24"/>
          <w:szCs w:val="24"/>
          <w:lang w:val="nb-NO"/>
        </w:rPr>
        <w:softHyphen/>
      </w:r>
      <w:r w:rsidRPr="00545991">
        <w:rPr>
          <w:rFonts w:ascii="Times New Roman" w:hAnsi="Times New Roman" w:cs="Times New Roman"/>
          <w:sz w:val="24"/>
          <w:szCs w:val="24"/>
          <w:lang w:val="nb-NO"/>
        </w:rPr>
        <w:t xml:space="preserve">omsetningen i 2014 skyldes både vesentlig høyere belegg, og at hotellene fikk en høyere pris per rom. Inntekten per rom i 2014 var drøyt 220 kroner over 2013 og 2015. Dette til tross for at det var litt færre personer per rom enn normalt.  </w:t>
      </w:r>
    </w:p>
    <w:p w14:paraId="06E2055B" w14:textId="34A04204" w:rsidR="00850197" w:rsidRDefault="00850197" w:rsidP="007A274A">
      <w:pPr>
        <w:spacing w:line="360" w:lineRule="auto"/>
        <w:jc w:val="both"/>
        <w:rPr>
          <w:rFonts w:ascii="Times New Roman" w:hAnsi="Times New Roman" w:cs="Times New Roman"/>
          <w:sz w:val="24"/>
          <w:szCs w:val="24"/>
          <w:lang w:val="nb-NO"/>
        </w:rPr>
      </w:pPr>
    </w:p>
    <w:p w14:paraId="03115E3C" w14:textId="19428749" w:rsidR="006D3B0C" w:rsidRDefault="006D3B0C" w:rsidP="007A274A">
      <w:pPr>
        <w:spacing w:line="360" w:lineRule="auto"/>
        <w:jc w:val="both"/>
        <w:rPr>
          <w:rFonts w:ascii="Times New Roman" w:hAnsi="Times New Roman" w:cs="Times New Roman"/>
          <w:sz w:val="24"/>
          <w:szCs w:val="24"/>
          <w:lang w:val="nb-NO"/>
        </w:rPr>
      </w:pPr>
    </w:p>
    <w:p w14:paraId="284CAFBF" w14:textId="56FC3A7B" w:rsidR="006D3B0C" w:rsidRDefault="006D3B0C" w:rsidP="007A274A">
      <w:pPr>
        <w:spacing w:line="360" w:lineRule="auto"/>
        <w:jc w:val="both"/>
        <w:rPr>
          <w:rFonts w:ascii="Times New Roman" w:hAnsi="Times New Roman" w:cs="Times New Roman"/>
          <w:sz w:val="24"/>
          <w:szCs w:val="24"/>
          <w:lang w:val="nb-NO"/>
        </w:rPr>
      </w:pPr>
    </w:p>
    <w:p w14:paraId="255C60AB" w14:textId="77777777" w:rsidR="00E55D3C" w:rsidRPr="00545991" w:rsidRDefault="00E55D3C" w:rsidP="007A274A">
      <w:pPr>
        <w:spacing w:line="360" w:lineRule="auto"/>
        <w:jc w:val="both"/>
        <w:rPr>
          <w:rFonts w:ascii="Times New Roman" w:hAnsi="Times New Roman" w:cs="Times New Roman"/>
          <w:sz w:val="24"/>
          <w:szCs w:val="24"/>
          <w:lang w:val="nb-NO"/>
        </w:rPr>
      </w:pPr>
    </w:p>
    <w:p w14:paraId="0062744A" w14:textId="77777777" w:rsidR="007A274A" w:rsidRPr="00E02540" w:rsidRDefault="00C025E2" w:rsidP="00167B1D">
      <w:pPr>
        <w:rPr>
          <w:rFonts w:ascii="Times New Roman" w:hAnsi="Times New Roman" w:cs="Times New Roman"/>
          <w:b/>
          <w:lang w:val="nb-NO"/>
        </w:rPr>
      </w:pPr>
      <w:r w:rsidRPr="00E02540">
        <w:rPr>
          <w:rFonts w:ascii="Times New Roman" w:hAnsi="Times New Roman" w:cs="Times New Roman"/>
          <w:b/>
          <w:lang w:val="nb-NO"/>
        </w:rPr>
        <w:lastRenderedPageBreak/>
        <w:t>Tabell 4</w:t>
      </w:r>
      <w:r w:rsidR="007A274A" w:rsidRPr="00E02540">
        <w:rPr>
          <w:rFonts w:ascii="Times New Roman" w:hAnsi="Times New Roman" w:cs="Times New Roman"/>
          <w:b/>
          <w:lang w:val="nb-NO"/>
        </w:rPr>
        <w:t>: Hotellstatistikk for perioden 31. juli – 15. august 2013-2015. KPI-justerte inntektstall (2014=100). Kilde: Reiseliv i Nord</w:t>
      </w:r>
    </w:p>
    <w:tbl>
      <w:tblPr>
        <w:tblW w:w="9397" w:type="dxa"/>
        <w:tblCellMar>
          <w:left w:w="70" w:type="dxa"/>
          <w:right w:w="70" w:type="dxa"/>
        </w:tblCellMar>
        <w:tblLook w:val="04A0" w:firstRow="1" w:lastRow="0" w:firstColumn="1" w:lastColumn="0" w:noHBand="0" w:noVBand="1"/>
      </w:tblPr>
      <w:tblGrid>
        <w:gridCol w:w="2047"/>
        <w:gridCol w:w="1350"/>
        <w:gridCol w:w="1200"/>
        <w:gridCol w:w="1200"/>
        <w:gridCol w:w="1305"/>
        <w:gridCol w:w="1095"/>
        <w:gridCol w:w="1200"/>
      </w:tblGrid>
      <w:tr w:rsidR="007A274A" w:rsidRPr="00545991" w14:paraId="6484C53A" w14:textId="77777777" w:rsidTr="006D3B0C">
        <w:trPr>
          <w:trHeight w:val="690"/>
        </w:trPr>
        <w:tc>
          <w:tcPr>
            <w:tcW w:w="2047" w:type="dxa"/>
            <w:tcBorders>
              <w:top w:val="single" w:sz="4" w:space="0" w:color="auto"/>
              <w:bottom w:val="single" w:sz="4" w:space="0" w:color="auto"/>
            </w:tcBorders>
            <w:shd w:val="clear" w:color="auto" w:fill="auto"/>
            <w:noWrap/>
            <w:vAlign w:val="bottom"/>
            <w:hideMark/>
          </w:tcPr>
          <w:p w14:paraId="5C13F0FB" w14:textId="77777777" w:rsidR="007A274A" w:rsidRPr="00545991" w:rsidRDefault="007A274A" w:rsidP="009D5864">
            <w:pPr>
              <w:spacing w:after="0" w:line="240" w:lineRule="auto"/>
              <w:rPr>
                <w:rFonts w:ascii="Times New Roman" w:eastAsia="Times New Roman" w:hAnsi="Times New Roman" w:cs="Times New Roman"/>
                <w:b/>
                <w:color w:val="000000"/>
                <w:lang w:val="nb-NO" w:eastAsia="nb-NO"/>
              </w:rPr>
            </w:pPr>
            <w:r w:rsidRPr="00545991">
              <w:rPr>
                <w:rFonts w:ascii="Times New Roman" w:eastAsia="Times New Roman" w:hAnsi="Times New Roman" w:cs="Times New Roman"/>
                <w:b/>
                <w:color w:val="000000"/>
                <w:lang w:val="nb-NO" w:eastAsia="nb-NO"/>
              </w:rPr>
              <w:t>År</w:t>
            </w:r>
          </w:p>
        </w:tc>
        <w:tc>
          <w:tcPr>
            <w:tcW w:w="1350" w:type="dxa"/>
            <w:tcBorders>
              <w:top w:val="single" w:sz="4" w:space="0" w:color="auto"/>
              <w:bottom w:val="single" w:sz="4" w:space="0" w:color="auto"/>
            </w:tcBorders>
            <w:shd w:val="clear" w:color="auto" w:fill="auto"/>
            <w:vAlign w:val="center"/>
            <w:hideMark/>
          </w:tcPr>
          <w:p w14:paraId="0410AC93" w14:textId="44609AC6" w:rsidR="007A274A" w:rsidRPr="00545991" w:rsidRDefault="006D3B0C" w:rsidP="006D3B0C">
            <w:pPr>
              <w:spacing w:after="0" w:line="240" w:lineRule="auto"/>
              <w:jc w:val="right"/>
              <w:rPr>
                <w:rFonts w:ascii="Times New Roman" w:eastAsia="Times New Roman" w:hAnsi="Times New Roman" w:cs="Times New Roman"/>
                <w:b/>
                <w:bCs/>
                <w:color w:val="000000"/>
                <w:lang w:val="nb-NO" w:eastAsia="nb-NO"/>
              </w:rPr>
            </w:pPr>
            <w:r>
              <w:rPr>
                <w:rFonts w:ascii="Times New Roman" w:eastAsia="Times New Roman" w:hAnsi="Times New Roman" w:cs="Times New Roman"/>
                <w:b/>
                <w:bCs/>
                <w:color w:val="000000"/>
                <w:lang w:val="nb-NO" w:eastAsia="nb-NO"/>
              </w:rPr>
              <w:t>Antall t</w:t>
            </w:r>
            <w:r w:rsidR="007A274A" w:rsidRPr="00545991">
              <w:rPr>
                <w:rFonts w:ascii="Times New Roman" w:eastAsia="Times New Roman" w:hAnsi="Times New Roman" w:cs="Times New Roman"/>
                <w:b/>
                <w:bCs/>
                <w:color w:val="000000"/>
                <w:lang w:val="nb-NO" w:eastAsia="nb-NO"/>
              </w:rPr>
              <w:t>ilgjengelige rom</w:t>
            </w:r>
          </w:p>
        </w:tc>
        <w:tc>
          <w:tcPr>
            <w:tcW w:w="1200" w:type="dxa"/>
            <w:tcBorders>
              <w:top w:val="single" w:sz="4" w:space="0" w:color="auto"/>
              <w:bottom w:val="single" w:sz="4" w:space="0" w:color="auto"/>
            </w:tcBorders>
            <w:shd w:val="clear" w:color="auto" w:fill="auto"/>
            <w:vAlign w:val="center"/>
            <w:hideMark/>
          </w:tcPr>
          <w:p w14:paraId="0EB927AC" w14:textId="77777777" w:rsidR="007A274A" w:rsidRPr="00545991" w:rsidRDefault="007A274A" w:rsidP="006D3B0C">
            <w:pPr>
              <w:spacing w:after="0" w:line="240" w:lineRule="auto"/>
              <w:jc w:val="right"/>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Solgte romdøgn</w:t>
            </w:r>
          </w:p>
        </w:tc>
        <w:tc>
          <w:tcPr>
            <w:tcW w:w="1200" w:type="dxa"/>
            <w:tcBorders>
              <w:top w:val="single" w:sz="4" w:space="0" w:color="auto"/>
              <w:bottom w:val="single" w:sz="4" w:space="0" w:color="auto"/>
            </w:tcBorders>
            <w:shd w:val="clear" w:color="auto" w:fill="auto"/>
            <w:vAlign w:val="center"/>
            <w:hideMark/>
          </w:tcPr>
          <w:p w14:paraId="7033A1A9" w14:textId="77777777" w:rsidR="007A274A" w:rsidRPr="00545991" w:rsidRDefault="007A274A" w:rsidP="006D3B0C">
            <w:pPr>
              <w:spacing w:after="0" w:line="240" w:lineRule="auto"/>
              <w:jc w:val="right"/>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Inntekt (mill.)</w:t>
            </w:r>
          </w:p>
        </w:tc>
        <w:tc>
          <w:tcPr>
            <w:tcW w:w="1305" w:type="dxa"/>
            <w:tcBorders>
              <w:top w:val="single" w:sz="4" w:space="0" w:color="auto"/>
              <w:bottom w:val="single" w:sz="4" w:space="0" w:color="auto"/>
            </w:tcBorders>
            <w:shd w:val="clear" w:color="auto" w:fill="auto"/>
            <w:vAlign w:val="center"/>
            <w:hideMark/>
          </w:tcPr>
          <w:p w14:paraId="07CDC8BC" w14:textId="77777777" w:rsidR="007A274A" w:rsidRPr="00545991" w:rsidRDefault="007A274A" w:rsidP="006D3B0C">
            <w:pPr>
              <w:spacing w:after="0" w:line="240" w:lineRule="auto"/>
              <w:jc w:val="right"/>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Inntekt per tilgjengelig rom</w:t>
            </w:r>
          </w:p>
        </w:tc>
        <w:tc>
          <w:tcPr>
            <w:tcW w:w="1095" w:type="dxa"/>
            <w:tcBorders>
              <w:top w:val="single" w:sz="4" w:space="0" w:color="auto"/>
              <w:bottom w:val="single" w:sz="4" w:space="0" w:color="auto"/>
            </w:tcBorders>
            <w:shd w:val="clear" w:color="auto" w:fill="auto"/>
            <w:vAlign w:val="center"/>
            <w:hideMark/>
          </w:tcPr>
          <w:p w14:paraId="7C9A7CFB" w14:textId="77777777" w:rsidR="007A274A" w:rsidRPr="00545991" w:rsidRDefault="007A274A" w:rsidP="006D3B0C">
            <w:pPr>
              <w:spacing w:after="0" w:line="240" w:lineRule="auto"/>
              <w:jc w:val="right"/>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Inntekt per solgte rom</w:t>
            </w:r>
          </w:p>
        </w:tc>
        <w:tc>
          <w:tcPr>
            <w:tcW w:w="1200" w:type="dxa"/>
            <w:tcBorders>
              <w:top w:val="single" w:sz="4" w:space="0" w:color="auto"/>
              <w:bottom w:val="single" w:sz="4" w:space="0" w:color="auto"/>
            </w:tcBorders>
            <w:shd w:val="clear" w:color="auto" w:fill="auto"/>
            <w:vAlign w:val="center"/>
            <w:hideMark/>
          </w:tcPr>
          <w:p w14:paraId="4DB99B39" w14:textId="77777777" w:rsidR="007A274A" w:rsidRPr="00545991" w:rsidRDefault="007A274A" w:rsidP="006D3B0C">
            <w:pPr>
              <w:spacing w:after="0" w:line="240" w:lineRule="auto"/>
              <w:jc w:val="right"/>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Belegg</w:t>
            </w:r>
          </w:p>
        </w:tc>
      </w:tr>
      <w:tr w:rsidR="007A274A" w:rsidRPr="00545991" w14:paraId="724DA7C2" w14:textId="77777777" w:rsidTr="006D3B0C">
        <w:trPr>
          <w:trHeight w:val="315"/>
        </w:trPr>
        <w:tc>
          <w:tcPr>
            <w:tcW w:w="2047" w:type="dxa"/>
            <w:tcBorders>
              <w:top w:val="single" w:sz="4" w:space="0" w:color="auto"/>
            </w:tcBorders>
            <w:shd w:val="clear" w:color="auto" w:fill="auto"/>
            <w:noWrap/>
            <w:vAlign w:val="bottom"/>
            <w:hideMark/>
          </w:tcPr>
          <w:p w14:paraId="548F3502" w14:textId="77777777" w:rsidR="007A274A" w:rsidRPr="00545991" w:rsidRDefault="007A274A" w:rsidP="009D5864">
            <w:pPr>
              <w:spacing w:after="0" w:line="240" w:lineRule="auto"/>
              <w:jc w:val="both"/>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2013</w:t>
            </w:r>
          </w:p>
        </w:tc>
        <w:tc>
          <w:tcPr>
            <w:tcW w:w="1350" w:type="dxa"/>
            <w:tcBorders>
              <w:top w:val="single" w:sz="4" w:space="0" w:color="auto"/>
            </w:tcBorders>
            <w:shd w:val="clear" w:color="auto" w:fill="auto"/>
            <w:noWrap/>
            <w:vAlign w:val="bottom"/>
            <w:hideMark/>
          </w:tcPr>
          <w:p w14:paraId="14F17FF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26 640</w:t>
            </w:r>
          </w:p>
        </w:tc>
        <w:tc>
          <w:tcPr>
            <w:tcW w:w="1200" w:type="dxa"/>
            <w:tcBorders>
              <w:top w:val="single" w:sz="4" w:space="0" w:color="auto"/>
            </w:tcBorders>
            <w:shd w:val="clear" w:color="auto" w:fill="auto"/>
            <w:noWrap/>
            <w:vAlign w:val="bottom"/>
            <w:hideMark/>
          </w:tcPr>
          <w:p w14:paraId="0FC80D31"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14 142</w:t>
            </w:r>
          </w:p>
        </w:tc>
        <w:tc>
          <w:tcPr>
            <w:tcW w:w="1200" w:type="dxa"/>
            <w:tcBorders>
              <w:top w:val="single" w:sz="4" w:space="0" w:color="auto"/>
            </w:tcBorders>
            <w:shd w:val="clear" w:color="auto" w:fill="auto"/>
            <w:noWrap/>
            <w:vAlign w:val="bottom"/>
            <w:hideMark/>
          </w:tcPr>
          <w:p w14:paraId="08AEC315"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9,6</w:t>
            </w:r>
          </w:p>
        </w:tc>
        <w:tc>
          <w:tcPr>
            <w:tcW w:w="1305" w:type="dxa"/>
            <w:tcBorders>
              <w:top w:val="single" w:sz="4" w:space="0" w:color="auto"/>
            </w:tcBorders>
            <w:shd w:val="clear" w:color="auto" w:fill="auto"/>
            <w:noWrap/>
            <w:vAlign w:val="bottom"/>
            <w:hideMark/>
          </w:tcPr>
          <w:p w14:paraId="337EAB89"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362</w:t>
            </w:r>
          </w:p>
        </w:tc>
        <w:tc>
          <w:tcPr>
            <w:tcW w:w="1095" w:type="dxa"/>
            <w:tcBorders>
              <w:top w:val="single" w:sz="4" w:space="0" w:color="auto"/>
            </w:tcBorders>
            <w:shd w:val="clear" w:color="auto" w:fill="auto"/>
            <w:noWrap/>
            <w:vAlign w:val="bottom"/>
            <w:hideMark/>
          </w:tcPr>
          <w:p w14:paraId="1D87755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681</w:t>
            </w:r>
          </w:p>
        </w:tc>
        <w:tc>
          <w:tcPr>
            <w:tcW w:w="1200" w:type="dxa"/>
            <w:tcBorders>
              <w:top w:val="single" w:sz="4" w:space="0" w:color="auto"/>
            </w:tcBorders>
            <w:shd w:val="clear" w:color="auto" w:fill="auto"/>
            <w:noWrap/>
            <w:vAlign w:val="bottom"/>
            <w:hideMark/>
          </w:tcPr>
          <w:p w14:paraId="70AE85BD" w14:textId="26DF419D" w:rsidR="007A274A" w:rsidRPr="00545991" w:rsidRDefault="007A274A" w:rsidP="00E338E5">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53%</w:t>
            </w:r>
          </w:p>
        </w:tc>
      </w:tr>
      <w:tr w:rsidR="007A274A" w:rsidRPr="00545991" w14:paraId="46FC44EC" w14:textId="77777777" w:rsidTr="006D3B0C">
        <w:trPr>
          <w:trHeight w:val="315"/>
        </w:trPr>
        <w:tc>
          <w:tcPr>
            <w:tcW w:w="2047" w:type="dxa"/>
            <w:shd w:val="clear" w:color="auto" w:fill="auto"/>
            <w:noWrap/>
            <w:vAlign w:val="bottom"/>
            <w:hideMark/>
          </w:tcPr>
          <w:p w14:paraId="2829A04F" w14:textId="77777777" w:rsidR="007A274A" w:rsidRPr="00545991" w:rsidRDefault="007A274A" w:rsidP="009D5864">
            <w:pPr>
              <w:spacing w:after="0" w:line="240" w:lineRule="auto"/>
              <w:jc w:val="both"/>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2014</w:t>
            </w:r>
          </w:p>
        </w:tc>
        <w:tc>
          <w:tcPr>
            <w:tcW w:w="1350" w:type="dxa"/>
            <w:shd w:val="clear" w:color="auto" w:fill="auto"/>
            <w:noWrap/>
            <w:vAlign w:val="bottom"/>
            <w:hideMark/>
          </w:tcPr>
          <w:p w14:paraId="5FF7C0A7"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33 920</w:t>
            </w:r>
          </w:p>
        </w:tc>
        <w:tc>
          <w:tcPr>
            <w:tcW w:w="1200" w:type="dxa"/>
            <w:shd w:val="clear" w:color="auto" w:fill="auto"/>
            <w:noWrap/>
            <w:vAlign w:val="bottom"/>
            <w:hideMark/>
          </w:tcPr>
          <w:p w14:paraId="3EA6AB39"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31 363</w:t>
            </w:r>
          </w:p>
        </w:tc>
        <w:tc>
          <w:tcPr>
            <w:tcW w:w="1200" w:type="dxa"/>
            <w:shd w:val="clear" w:color="auto" w:fill="auto"/>
            <w:noWrap/>
            <w:vAlign w:val="bottom"/>
            <w:hideMark/>
          </w:tcPr>
          <w:p w14:paraId="1B037A68"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28,4</w:t>
            </w:r>
          </w:p>
        </w:tc>
        <w:tc>
          <w:tcPr>
            <w:tcW w:w="1305" w:type="dxa"/>
            <w:shd w:val="clear" w:color="auto" w:fill="auto"/>
            <w:noWrap/>
            <w:vAlign w:val="bottom"/>
            <w:hideMark/>
          </w:tcPr>
          <w:p w14:paraId="6F7BB34E"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838</w:t>
            </w:r>
          </w:p>
        </w:tc>
        <w:tc>
          <w:tcPr>
            <w:tcW w:w="1095" w:type="dxa"/>
            <w:shd w:val="clear" w:color="auto" w:fill="auto"/>
            <w:noWrap/>
            <w:vAlign w:val="bottom"/>
            <w:hideMark/>
          </w:tcPr>
          <w:p w14:paraId="779ABB22"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906</w:t>
            </w:r>
          </w:p>
        </w:tc>
        <w:tc>
          <w:tcPr>
            <w:tcW w:w="1200" w:type="dxa"/>
            <w:shd w:val="clear" w:color="auto" w:fill="auto"/>
            <w:noWrap/>
            <w:vAlign w:val="bottom"/>
            <w:hideMark/>
          </w:tcPr>
          <w:p w14:paraId="0609F4AD" w14:textId="784C895C" w:rsidR="007A274A" w:rsidRPr="00545991" w:rsidRDefault="00E338E5" w:rsidP="009D5864">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93</w:t>
            </w:r>
            <w:r w:rsidR="007A274A" w:rsidRPr="00545991">
              <w:rPr>
                <w:rFonts w:ascii="Times New Roman" w:eastAsia="Times New Roman" w:hAnsi="Times New Roman" w:cs="Times New Roman"/>
                <w:color w:val="000000"/>
                <w:lang w:val="nb-NO" w:eastAsia="nb-NO"/>
              </w:rPr>
              <w:t>%</w:t>
            </w:r>
          </w:p>
        </w:tc>
      </w:tr>
      <w:tr w:rsidR="007A274A" w:rsidRPr="00545991" w14:paraId="7D19F301" w14:textId="77777777" w:rsidTr="006D3B0C">
        <w:trPr>
          <w:trHeight w:val="315"/>
        </w:trPr>
        <w:tc>
          <w:tcPr>
            <w:tcW w:w="2047" w:type="dxa"/>
            <w:shd w:val="clear" w:color="auto" w:fill="auto"/>
            <w:noWrap/>
            <w:vAlign w:val="bottom"/>
            <w:hideMark/>
          </w:tcPr>
          <w:p w14:paraId="56ECF4CA" w14:textId="56F772A4" w:rsidR="007A274A" w:rsidRPr="00545991" w:rsidRDefault="006D3B0C" w:rsidP="006D3B0C">
            <w:pPr>
              <w:spacing w:after="0" w:line="240" w:lineRule="auto"/>
              <w:jc w:val="both"/>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2014 uten Sjakk-OL</w:t>
            </w:r>
          </w:p>
        </w:tc>
        <w:tc>
          <w:tcPr>
            <w:tcW w:w="1350" w:type="dxa"/>
            <w:shd w:val="clear" w:color="auto" w:fill="auto"/>
            <w:noWrap/>
            <w:vAlign w:val="bottom"/>
            <w:hideMark/>
          </w:tcPr>
          <w:p w14:paraId="5B77C82A"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33 920</w:t>
            </w:r>
          </w:p>
        </w:tc>
        <w:tc>
          <w:tcPr>
            <w:tcW w:w="1200" w:type="dxa"/>
            <w:shd w:val="clear" w:color="auto" w:fill="auto"/>
            <w:noWrap/>
            <w:vAlign w:val="bottom"/>
            <w:hideMark/>
          </w:tcPr>
          <w:p w14:paraId="1D46EAD9"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16 655</w:t>
            </w:r>
          </w:p>
        </w:tc>
        <w:tc>
          <w:tcPr>
            <w:tcW w:w="1200" w:type="dxa"/>
            <w:shd w:val="clear" w:color="auto" w:fill="auto"/>
            <w:noWrap/>
            <w:vAlign w:val="bottom"/>
            <w:hideMark/>
          </w:tcPr>
          <w:p w14:paraId="44AC3669"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11,3</w:t>
            </w:r>
          </w:p>
        </w:tc>
        <w:tc>
          <w:tcPr>
            <w:tcW w:w="1305" w:type="dxa"/>
            <w:shd w:val="clear" w:color="auto" w:fill="auto"/>
            <w:noWrap/>
            <w:vAlign w:val="bottom"/>
            <w:hideMark/>
          </w:tcPr>
          <w:p w14:paraId="1DB04119"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344</w:t>
            </w:r>
          </w:p>
        </w:tc>
        <w:tc>
          <w:tcPr>
            <w:tcW w:w="1095" w:type="dxa"/>
            <w:shd w:val="clear" w:color="auto" w:fill="auto"/>
            <w:noWrap/>
            <w:vAlign w:val="bottom"/>
            <w:hideMark/>
          </w:tcPr>
          <w:p w14:paraId="0DBE2597"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680</w:t>
            </w:r>
          </w:p>
        </w:tc>
        <w:tc>
          <w:tcPr>
            <w:tcW w:w="1200" w:type="dxa"/>
            <w:shd w:val="clear" w:color="auto" w:fill="auto"/>
            <w:noWrap/>
            <w:vAlign w:val="bottom"/>
            <w:hideMark/>
          </w:tcPr>
          <w:p w14:paraId="52B4CC99" w14:textId="616DD670" w:rsidR="007A274A" w:rsidRPr="00545991" w:rsidRDefault="00E338E5" w:rsidP="009D5864">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49</w:t>
            </w:r>
            <w:r w:rsidR="007A274A" w:rsidRPr="00545991">
              <w:rPr>
                <w:rFonts w:ascii="Times New Roman" w:eastAsia="Times New Roman" w:hAnsi="Times New Roman" w:cs="Times New Roman"/>
                <w:color w:val="000000"/>
                <w:lang w:val="nb-NO" w:eastAsia="nb-NO"/>
              </w:rPr>
              <w:t>%</w:t>
            </w:r>
          </w:p>
        </w:tc>
      </w:tr>
      <w:tr w:rsidR="007A274A" w:rsidRPr="00545991" w14:paraId="5966219A" w14:textId="77777777" w:rsidTr="006D3B0C">
        <w:trPr>
          <w:trHeight w:val="315"/>
        </w:trPr>
        <w:tc>
          <w:tcPr>
            <w:tcW w:w="2047" w:type="dxa"/>
            <w:tcBorders>
              <w:bottom w:val="single" w:sz="4" w:space="0" w:color="auto"/>
            </w:tcBorders>
            <w:shd w:val="clear" w:color="auto" w:fill="auto"/>
            <w:noWrap/>
            <w:vAlign w:val="bottom"/>
            <w:hideMark/>
          </w:tcPr>
          <w:p w14:paraId="678C5D01" w14:textId="77777777" w:rsidR="007A274A" w:rsidRPr="00545991" w:rsidRDefault="007A274A" w:rsidP="009D5864">
            <w:pPr>
              <w:spacing w:after="0" w:line="240" w:lineRule="auto"/>
              <w:jc w:val="both"/>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2015</w:t>
            </w:r>
          </w:p>
        </w:tc>
        <w:tc>
          <w:tcPr>
            <w:tcW w:w="1350" w:type="dxa"/>
            <w:tcBorders>
              <w:bottom w:val="single" w:sz="4" w:space="0" w:color="auto"/>
            </w:tcBorders>
            <w:shd w:val="clear" w:color="auto" w:fill="auto"/>
            <w:noWrap/>
            <w:vAlign w:val="bottom"/>
            <w:hideMark/>
          </w:tcPr>
          <w:p w14:paraId="0ED8E215"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36 992</w:t>
            </w:r>
          </w:p>
        </w:tc>
        <w:tc>
          <w:tcPr>
            <w:tcW w:w="1200" w:type="dxa"/>
            <w:tcBorders>
              <w:bottom w:val="single" w:sz="4" w:space="0" w:color="auto"/>
            </w:tcBorders>
            <w:shd w:val="clear" w:color="auto" w:fill="auto"/>
            <w:noWrap/>
            <w:vAlign w:val="bottom"/>
            <w:hideMark/>
          </w:tcPr>
          <w:p w14:paraId="3165F6A1"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17 548</w:t>
            </w:r>
          </w:p>
        </w:tc>
        <w:tc>
          <w:tcPr>
            <w:tcW w:w="1200" w:type="dxa"/>
            <w:tcBorders>
              <w:bottom w:val="single" w:sz="4" w:space="0" w:color="auto"/>
            </w:tcBorders>
            <w:shd w:val="clear" w:color="auto" w:fill="auto"/>
            <w:noWrap/>
            <w:vAlign w:val="bottom"/>
            <w:hideMark/>
          </w:tcPr>
          <w:p w14:paraId="2FB33E67"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11,9</w:t>
            </w:r>
          </w:p>
        </w:tc>
        <w:tc>
          <w:tcPr>
            <w:tcW w:w="1305" w:type="dxa"/>
            <w:tcBorders>
              <w:bottom w:val="single" w:sz="4" w:space="0" w:color="auto"/>
            </w:tcBorders>
            <w:shd w:val="clear" w:color="auto" w:fill="auto"/>
            <w:noWrap/>
            <w:vAlign w:val="bottom"/>
            <w:hideMark/>
          </w:tcPr>
          <w:p w14:paraId="0A6DCCF0"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322</w:t>
            </w:r>
          </w:p>
        </w:tc>
        <w:tc>
          <w:tcPr>
            <w:tcW w:w="1095" w:type="dxa"/>
            <w:tcBorders>
              <w:bottom w:val="single" w:sz="4" w:space="0" w:color="auto"/>
            </w:tcBorders>
            <w:shd w:val="clear" w:color="auto" w:fill="auto"/>
            <w:noWrap/>
            <w:vAlign w:val="bottom"/>
            <w:hideMark/>
          </w:tcPr>
          <w:p w14:paraId="315BCCA9"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679</w:t>
            </w:r>
          </w:p>
        </w:tc>
        <w:tc>
          <w:tcPr>
            <w:tcW w:w="1200" w:type="dxa"/>
            <w:tcBorders>
              <w:bottom w:val="single" w:sz="4" w:space="0" w:color="auto"/>
            </w:tcBorders>
            <w:shd w:val="clear" w:color="auto" w:fill="auto"/>
            <w:noWrap/>
            <w:vAlign w:val="bottom"/>
            <w:hideMark/>
          </w:tcPr>
          <w:p w14:paraId="29C72F16" w14:textId="49BAACF7" w:rsidR="007A274A" w:rsidRPr="00545991" w:rsidRDefault="00E338E5" w:rsidP="009D5864">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47</w:t>
            </w:r>
            <w:r w:rsidR="007A274A" w:rsidRPr="00545991">
              <w:rPr>
                <w:rFonts w:ascii="Times New Roman" w:eastAsia="Times New Roman" w:hAnsi="Times New Roman" w:cs="Times New Roman"/>
                <w:color w:val="000000"/>
                <w:lang w:val="nb-NO" w:eastAsia="nb-NO"/>
              </w:rPr>
              <w:t>%</w:t>
            </w:r>
          </w:p>
        </w:tc>
      </w:tr>
    </w:tbl>
    <w:p w14:paraId="3E23FD24" w14:textId="77777777" w:rsidR="007A274A" w:rsidRPr="00545991" w:rsidRDefault="007A274A" w:rsidP="007A274A">
      <w:pPr>
        <w:spacing w:line="360" w:lineRule="auto"/>
        <w:jc w:val="both"/>
        <w:rPr>
          <w:rFonts w:ascii="Times New Roman" w:hAnsi="Times New Roman" w:cs="Times New Roman"/>
          <w:sz w:val="24"/>
          <w:szCs w:val="24"/>
          <w:lang w:val="nb-NO"/>
        </w:rPr>
      </w:pPr>
    </w:p>
    <w:p w14:paraId="05B33303" w14:textId="4FFE5EEE" w:rsidR="007A274A" w:rsidRDefault="007A274A" w:rsidP="00850197">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Dette er imidlertid bruttotall. Nettoeffekten av Sjakk-OL vil være differansen mellom hotellenes faktisk omsetning og forventet omsetning dersom arrangementet ikke hadde funnet sted. Raden </w:t>
      </w:r>
      <w:r w:rsidR="006D3B0C">
        <w:rPr>
          <w:rFonts w:ascii="Times New Roman" w:hAnsi="Times New Roman" w:cs="Times New Roman"/>
          <w:sz w:val="24"/>
          <w:szCs w:val="24"/>
          <w:lang w:val="nb-NO"/>
        </w:rPr>
        <w:t>«</w:t>
      </w:r>
      <w:r w:rsidRPr="00545991">
        <w:rPr>
          <w:rFonts w:ascii="Times New Roman" w:hAnsi="Times New Roman" w:cs="Times New Roman"/>
          <w:sz w:val="24"/>
          <w:szCs w:val="24"/>
          <w:lang w:val="nb-NO"/>
        </w:rPr>
        <w:t xml:space="preserve">2014 </w:t>
      </w:r>
      <w:r w:rsidR="006D3B0C">
        <w:rPr>
          <w:rFonts w:ascii="Times New Roman" w:hAnsi="Times New Roman" w:cs="Times New Roman"/>
          <w:sz w:val="24"/>
          <w:szCs w:val="24"/>
          <w:lang w:val="nb-NO"/>
        </w:rPr>
        <w:t>uten Sjakk-OL»</w:t>
      </w:r>
      <w:r w:rsidRPr="00545991">
        <w:rPr>
          <w:rFonts w:ascii="Times New Roman" w:hAnsi="Times New Roman" w:cs="Times New Roman"/>
          <w:sz w:val="24"/>
          <w:szCs w:val="24"/>
          <w:lang w:val="nb-NO"/>
        </w:rPr>
        <w:t xml:space="preserve"> i tabell </w:t>
      </w:r>
      <w:r w:rsidR="00667FE4">
        <w:rPr>
          <w:rFonts w:ascii="Times New Roman" w:hAnsi="Times New Roman" w:cs="Times New Roman"/>
          <w:sz w:val="24"/>
          <w:szCs w:val="24"/>
          <w:lang w:val="nb-NO"/>
        </w:rPr>
        <w:t>4</w:t>
      </w:r>
      <w:r w:rsidRPr="00545991">
        <w:rPr>
          <w:rFonts w:ascii="Times New Roman" w:hAnsi="Times New Roman" w:cs="Times New Roman"/>
          <w:sz w:val="24"/>
          <w:szCs w:val="24"/>
          <w:lang w:val="nb-NO"/>
        </w:rPr>
        <w:t xml:space="preserve"> gir estimerte omsetningstall for 2014 gitt at OL ikke var blitt arrangert. Estimatet er basert på et gjennomsnittlig belegg i arrangementsperioden på 49,1%</w:t>
      </w:r>
      <w:r w:rsidR="008059D8">
        <w:rPr>
          <w:rFonts w:ascii="Times New Roman" w:hAnsi="Times New Roman" w:cs="Times New Roman"/>
          <w:sz w:val="24"/>
          <w:szCs w:val="24"/>
          <w:lang w:val="nb-NO"/>
        </w:rPr>
        <w:t xml:space="preserve">, som er </w:t>
      </w:r>
      <w:r w:rsidRPr="00545991">
        <w:rPr>
          <w:rFonts w:ascii="Times New Roman" w:hAnsi="Times New Roman" w:cs="Times New Roman"/>
          <w:sz w:val="24"/>
          <w:szCs w:val="24"/>
          <w:lang w:val="nb-NO"/>
        </w:rPr>
        <w:t>gjennom</w:t>
      </w:r>
      <w:r w:rsidRPr="00545991">
        <w:rPr>
          <w:rFonts w:ascii="Times New Roman" w:hAnsi="Times New Roman" w:cs="Times New Roman"/>
          <w:sz w:val="24"/>
          <w:szCs w:val="24"/>
          <w:lang w:val="nb-NO"/>
        </w:rPr>
        <w:softHyphen/>
        <w:t xml:space="preserve">snittet mellom 2013 og 2015 justert for kapasitetsøkningen, og en forutsetning om at inntekten per solgte rom ville vært den samme som i 2013 og 2015 (kr 680). Gitt disse forutsetningene ville forventet omsetning i et «normalår» vært 11,3 millioner </w:t>
      </w:r>
      <w:r w:rsidR="00164CB6">
        <w:rPr>
          <w:rFonts w:ascii="Times New Roman" w:hAnsi="Times New Roman" w:cs="Times New Roman"/>
          <w:sz w:val="24"/>
          <w:szCs w:val="24"/>
          <w:lang w:val="nb-NO"/>
        </w:rPr>
        <w:t xml:space="preserve">kroner </w:t>
      </w:r>
      <w:r w:rsidRPr="00545991">
        <w:rPr>
          <w:rFonts w:ascii="Times New Roman" w:hAnsi="Times New Roman" w:cs="Times New Roman"/>
          <w:sz w:val="24"/>
          <w:szCs w:val="24"/>
          <w:lang w:val="nb-NO"/>
        </w:rPr>
        <w:t xml:space="preserve">i perioden </w:t>
      </w:r>
      <w:r w:rsidR="00340EDF" w:rsidRPr="00545991">
        <w:rPr>
          <w:rFonts w:ascii="Times New Roman" w:hAnsi="Times New Roman" w:cs="Times New Roman"/>
          <w:sz w:val="24"/>
          <w:szCs w:val="24"/>
          <w:lang w:val="nb-NO"/>
        </w:rPr>
        <w:t>31. juli</w:t>
      </w:r>
      <w:r w:rsidRPr="00545991">
        <w:rPr>
          <w:rFonts w:ascii="Times New Roman" w:hAnsi="Times New Roman" w:cs="Times New Roman"/>
          <w:sz w:val="24"/>
          <w:szCs w:val="24"/>
          <w:lang w:val="nb-NO"/>
        </w:rPr>
        <w:t xml:space="preserve">-15. august 2014. «OL-effekten» for hotellene i Tromsø </w:t>
      </w:r>
      <w:r w:rsidR="002D111A">
        <w:rPr>
          <w:rFonts w:ascii="Times New Roman" w:hAnsi="Times New Roman" w:cs="Times New Roman"/>
          <w:sz w:val="24"/>
          <w:szCs w:val="24"/>
          <w:lang w:val="nb-NO"/>
        </w:rPr>
        <w:t xml:space="preserve">i form av </w:t>
      </w:r>
      <w:r w:rsidRPr="00545991">
        <w:rPr>
          <w:rFonts w:ascii="Times New Roman" w:hAnsi="Times New Roman" w:cs="Times New Roman"/>
          <w:sz w:val="24"/>
          <w:szCs w:val="24"/>
          <w:lang w:val="nb-NO"/>
        </w:rPr>
        <w:t>losji</w:t>
      </w:r>
      <w:r w:rsidR="006D3B0C">
        <w:rPr>
          <w:rFonts w:ascii="Times New Roman" w:hAnsi="Times New Roman" w:cs="Times New Roman"/>
          <w:sz w:val="24"/>
          <w:szCs w:val="24"/>
          <w:lang w:val="nb-NO"/>
        </w:rPr>
        <w:softHyphen/>
      </w:r>
      <w:r w:rsidRPr="00545991">
        <w:rPr>
          <w:rFonts w:ascii="Times New Roman" w:hAnsi="Times New Roman" w:cs="Times New Roman"/>
          <w:sz w:val="24"/>
          <w:szCs w:val="24"/>
          <w:lang w:val="nb-NO"/>
        </w:rPr>
        <w:t>inntekter var dermed 17,1 millioner</w:t>
      </w:r>
      <w:r w:rsidR="00164CB6">
        <w:rPr>
          <w:rFonts w:ascii="Times New Roman" w:hAnsi="Times New Roman" w:cs="Times New Roman"/>
          <w:sz w:val="24"/>
          <w:szCs w:val="24"/>
          <w:lang w:val="nb-NO"/>
        </w:rPr>
        <w:t xml:space="preserve"> kroner</w:t>
      </w:r>
      <w:r w:rsidRPr="00545991">
        <w:rPr>
          <w:rFonts w:ascii="Times New Roman" w:hAnsi="Times New Roman" w:cs="Times New Roman"/>
          <w:sz w:val="24"/>
          <w:szCs w:val="24"/>
          <w:lang w:val="nb-NO"/>
        </w:rPr>
        <w:t xml:space="preserve">. </w:t>
      </w:r>
    </w:p>
    <w:p w14:paraId="52F416A6" w14:textId="77777777" w:rsidR="006D3B0C" w:rsidRPr="00545991" w:rsidRDefault="006D3B0C" w:rsidP="00850197">
      <w:pPr>
        <w:spacing w:line="360" w:lineRule="auto"/>
        <w:ind w:firstLine="708"/>
        <w:jc w:val="both"/>
        <w:rPr>
          <w:rFonts w:ascii="Times New Roman" w:hAnsi="Times New Roman" w:cs="Times New Roman"/>
          <w:sz w:val="24"/>
          <w:szCs w:val="24"/>
          <w:lang w:val="nb-NO"/>
        </w:rPr>
      </w:pPr>
    </w:p>
    <w:p w14:paraId="46B8A0E7" w14:textId="77777777" w:rsidR="009C6680" w:rsidRPr="00545991" w:rsidRDefault="009341ED" w:rsidP="009341ED">
      <w:pPr>
        <w:pStyle w:val="Overskrift3"/>
        <w:spacing w:line="360" w:lineRule="auto"/>
        <w:rPr>
          <w:lang w:val="nb-NO"/>
        </w:rPr>
      </w:pPr>
      <w:r>
        <w:rPr>
          <w:lang w:val="nb-NO"/>
        </w:rPr>
        <w:t>F</w:t>
      </w:r>
      <w:r w:rsidR="009C6680" w:rsidRPr="00545991">
        <w:rPr>
          <w:lang w:val="nb-NO"/>
        </w:rPr>
        <w:t>ortreng</w:t>
      </w:r>
      <w:r w:rsidR="00164CB6">
        <w:rPr>
          <w:lang w:val="nb-NO"/>
        </w:rPr>
        <w:t>n</w:t>
      </w:r>
      <w:r w:rsidR="009C6680" w:rsidRPr="00545991">
        <w:rPr>
          <w:lang w:val="nb-NO"/>
        </w:rPr>
        <w:t>ing eller forskyvning?</w:t>
      </w:r>
    </w:p>
    <w:p w14:paraId="34019B34" w14:textId="0633C9BC" w:rsidR="007A274A" w:rsidRPr="00545991" w:rsidRDefault="00164CB6" w:rsidP="00C66EB4">
      <w:pPr>
        <w:spacing w:line="360" w:lineRule="auto"/>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 </w:t>
      </w:r>
      <w:r w:rsidR="007A274A" w:rsidRPr="00545991">
        <w:rPr>
          <w:rFonts w:ascii="Times New Roman" w:hAnsi="Times New Roman" w:cs="Times New Roman"/>
          <w:sz w:val="24"/>
          <w:szCs w:val="24"/>
          <w:lang w:val="nb-NO"/>
        </w:rPr>
        <w:t>Arrangementet la beslag på all hotellkapasitet i første halvdel av august</w:t>
      </w:r>
      <w:r w:rsidR="002D111A">
        <w:rPr>
          <w:rFonts w:ascii="Times New Roman" w:hAnsi="Times New Roman" w:cs="Times New Roman"/>
          <w:sz w:val="24"/>
          <w:szCs w:val="24"/>
          <w:lang w:val="nb-NO"/>
        </w:rPr>
        <w:t xml:space="preserve">. Derfor måtte </w:t>
      </w:r>
      <w:r w:rsidR="00C62672" w:rsidRPr="00545991">
        <w:rPr>
          <w:rFonts w:ascii="Times New Roman" w:hAnsi="Times New Roman" w:cs="Times New Roman"/>
          <w:sz w:val="24"/>
          <w:szCs w:val="24"/>
          <w:lang w:val="nb-NO"/>
        </w:rPr>
        <w:t>t</w:t>
      </w:r>
      <w:r w:rsidR="007A274A" w:rsidRPr="00545991">
        <w:rPr>
          <w:rFonts w:ascii="Times New Roman" w:hAnsi="Times New Roman" w:cs="Times New Roman"/>
          <w:sz w:val="24"/>
          <w:szCs w:val="24"/>
          <w:lang w:val="nb-NO"/>
        </w:rPr>
        <w:t xml:space="preserve">urister og andre som hadde planlagt å besøke Tromsø </w:t>
      </w:r>
      <w:r w:rsidR="008059D8">
        <w:rPr>
          <w:rFonts w:ascii="Times New Roman" w:hAnsi="Times New Roman" w:cs="Times New Roman"/>
          <w:sz w:val="24"/>
          <w:szCs w:val="24"/>
          <w:lang w:val="nb-NO"/>
        </w:rPr>
        <w:t>i denne perioden</w:t>
      </w:r>
      <w:r w:rsidR="007A274A" w:rsidRPr="00545991">
        <w:rPr>
          <w:rFonts w:ascii="Times New Roman" w:hAnsi="Times New Roman" w:cs="Times New Roman"/>
          <w:sz w:val="24"/>
          <w:szCs w:val="24"/>
          <w:lang w:val="nb-NO"/>
        </w:rPr>
        <w:t xml:space="preserve"> enten kansellere reisen, </w:t>
      </w:r>
      <w:r w:rsidR="00C62672" w:rsidRPr="00545991">
        <w:rPr>
          <w:rFonts w:ascii="Times New Roman" w:hAnsi="Times New Roman" w:cs="Times New Roman"/>
          <w:sz w:val="24"/>
          <w:szCs w:val="24"/>
          <w:lang w:val="nb-NO"/>
        </w:rPr>
        <w:t>forskyve tidspunktet for besøket</w:t>
      </w:r>
      <w:r w:rsidR="002D111A">
        <w:rPr>
          <w:rFonts w:ascii="Times New Roman" w:hAnsi="Times New Roman" w:cs="Times New Roman"/>
          <w:sz w:val="24"/>
          <w:szCs w:val="24"/>
          <w:lang w:val="nb-NO"/>
        </w:rPr>
        <w:t>,</w:t>
      </w:r>
      <w:r w:rsidR="00C62672" w:rsidRPr="00545991">
        <w:rPr>
          <w:rFonts w:ascii="Times New Roman" w:hAnsi="Times New Roman" w:cs="Times New Roman"/>
          <w:sz w:val="24"/>
          <w:szCs w:val="24"/>
          <w:lang w:val="nb-NO"/>
        </w:rPr>
        <w:t xml:space="preserve"> </w:t>
      </w:r>
      <w:r w:rsidR="004C5CA9">
        <w:rPr>
          <w:rFonts w:ascii="Times New Roman" w:hAnsi="Times New Roman" w:cs="Times New Roman"/>
          <w:sz w:val="24"/>
          <w:szCs w:val="24"/>
          <w:lang w:val="nb-NO"/>
        </w:rPr>
        <w:t xml:space="preserve">reise til andre deler av fylket </w:t>
      </w:r>
      <w:r w:rsidR="007A274A" w:rsidRPr="00545991">
        <w:rPr>
          <w:rFonts w:ascii="Times New Roman" w:hAnsi="Times New Roman" w:cs="Times New Roman"/>
          <w:sz w:val="24"/>
          <w:szCs w:val="24"/>
          <w:lang w:val="nb-NO"/>
        </w:rPr>
        <w:t xml:space="preserve">eller </w:t>
      </w:r>
      <w:r w:rsidR="00C62672" w:rsidRPr="00545991">
        <w:rPr>
          <w:rFonts w:ascii="Times New Roman" w:hAnsi="Times New Roman" w:cs="Times New Roman"/>
          <w:sz w:val="24"/>
          <w:szCs w:val="24"/>
          <w:lang w:val="nb-NO"/>
        </w:rPr>
        <w:t>finne alternative overnattingsformer til hotell (camping, hytteleie, eller overnatting hos slekt/venner)</w:t>
      </w:r>
      <w:r w:rsidR="007A274A" w:rsidRPr="00545991">
        <w:rPr>
          <w:rFonts w:ascii="Times New Roman" w:hAnsi="Times New Roman" w:cs="Times New Roman"/>
          <w:sz w:val="24"/>
          <w:szCs w:val="24"/>
          <w:lang w:val="nb-NO"/>
        </w:rPr>
        <w:t>. Overnat</w:t>
      </w:r>
      <w:r w:rsidR="006D3B0C">
        <w:rPr>
          <w:rFonts w:ascii="Times New Roman" w:hAnsi="Times New Roman" w:cs="Times New Roman"/>
          <w:sz w:val="24"/>
          <w:szCs w:val="24"/>
          <w:lang w:val="nb-NO"/>
        </w:rPr>
        <w:softHyphen/>
      </w:r>
      <w:r w:rsidR="007A274A" w:rsidRPr="00545991">
        <w:rPr>
          <w:rFonts w:ascii="Times New Roman" w:hAnsi="Times New Roman" w:cs="Times New Roman"/>
          <w:sz w:val="24"/>
          <w:szCs w:val="24"/>
          <w:lang w:val="nb-NO"/>
        </w:rPr>
        <w:t>tings</w:t>
      </w:r>
      <w:r w:rsidR="006D3B0C">
        <w:rPr>
          <w:rFonts w:ascii="Times New Roman" w:hAnsi="Times New Roman" w:cs="Times New Roman"/>
          <w:sz w:val="24"/>
          <w:szCs w:val="24"/>
          <w:lang w:val="nb-NO"/>
        </w:rPr>
        <w:softHyphen/>
      </w:r>
      <w:r w:rsidR="007A274A" w:rsidRPr="00545991">
        <w:rPr>
          <w:rFonts w:ascii="Times New Roman" w:hAnsi="Times New Roman" w:cs="Times New Roman"/>
          <w:sz w:val="24"/>
          <w:szCs w:val="24"/>
          <w:lang w:val="nb-NO"/>
        </w:rPr>
        <w:softHyphen/>
        <w:t>statistikk viser at antall overnattinger på camping og i hyttegrender i Tromsø-regionen i juli 2014 var lavere enn i 2013 og 2015. Det samme gjelder august</w:t>
      </w:r>
      <w:r w:rsidR="00D405C2">
        <w:rPr>
          <w:rStyle w:val="Fotnotereferanse"/>
          <w:rFonts w:ascii="Times New Roman" w:hAnsi="Times New Roman" w:cs="Times New Roman"/>
          <w:sz w:val="24"/>
          <w:szCs w:val="24"/>
          <w:lang w:val="nb-NO"/>
        </w:rPr>
        <w:footnoteReference w:id="5"/>
      </w:r>
      <w:r w:rsidR="00D405C2">
        <w:rPr>
          <w:rFonts w:ascii="Times New Roman" w:hAnsi="Times New Roman" w:cs="Times New Roman"/>
          <w:sz w:val="24"/>
          <w:szCs w:val="24"/>
          <w:lang w:val="nb-NO"/>
        </w:rPr>
        <w:t xml:space="preserve">. </w:t>
      </w:r>
      <w:r w:rsidR="007A274A" w:rsidRPr="00545991">
        <w:rPr>
          <w:rFonts w:ascii="Times New Roman" w:hAnsi="Times New Roman" w:cs="Times New Roman"/>
          <w:sz w:val="24"/>
          <w:szCs w:val="24"/>
          <w:lang w:val="nb-NO"/>
        </w:rPr>
        <w:t>Det er derfor lite som tyder på at potensielle hotellturister valgte andre overnattingsformer.</w:t>
      </w:r>
      <w:r w:rsidR="004C5CA9">
        <w:rPr>
          <w:rFonts w:ascii="Times New Roman" w:hAnsi="Times New Roman" w:cs="Times New Roman"/>
          <w:sz w:val="24"/>
          <w:szCs w:val="24"/>
          <w:lang w:val="nb-NO"/>
        </w:rPr>
        <w:t xml:space="preserve"> </w:t>
      </w:r>
      <w:r w:rsidR="00C66EB4">
        <w:rPr>
          <w:rFonts w:ascii="Times New Roman" w:hAnsi="Times New Roman" w:cs="Times New Roman"/>
          <w:sz w:val="24"/>
          <w:szCs w:val="24"/>
          <w:lang w:val="nb-NO"/>
        </w:rPr>
        <w:t xml:space="preserve">Antall hotellovernattinger i andre deler av fylket var imidlertid 12% høyere i august 2014 enn i august 2013. Tilsvarende økninger har det også vært de siste par årene, men man må anta at enkelte reiste til andre destinasjoner i fylket. </w:t>
      </w:r>
    </w:p>
    <w:p w14:paraId="3CABF933" w14:textId="2F9AE222" w:rsidR="007A274A" w:rsidRPr="00545991" w:rsidRDefault="00CE3E52" w:rsidP="00850197">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En forskyvingseffekt oppstår om turistene fremskynder eller utsetter </w:t>
      </w:r>
      <w:r w:rsidR="007A274A" w:rsidRPr="00545991">
        <w:rPr>
          <w:rFonts w:ascii="Times New Roman" w:hAnsi="Times New Roman" w:cs="Times New Roman"/>
          <w:sz w:val="24"/>
          <w:szCs w:val="24"/>
          <w:lang w:val="nb-NO"/>
        </w:rPr>
        <w:t xml:space="preserve">reisen til etter </w:t>
      </w:r>
      <w:r w:rsidRPr="00545991">
        <w:rPr>
          <w:rFonts w:ascii="Times New Roman" w:hAnsi="Times New Roman" w:cs="Times New Roman"/>
          <w:sz w:val="24"/>
          <w:szCs w:val="24"/>
          <w:lang w:val="nb-NO"/>
        </w:rPr>
        <w:t xml:space="preserve">at </w:t>
      </w:r>
      <w:r w:rsidR="007A274A" w:rsidRPr="00545991">
        <w:rPr>
          <w:rFonts w:ascii="Times New Roman" w:hAnsi="Times New Roman" w:cs="Times New Roman"/>
          <w:sz w:val="24"/>
          <w:szCs w:val="24"/>
          <w:lang w:val="nb-NO"/>
        </w:rPr>
        <w:t>arrangementet</w:t>
      </w:r>
      <w:r w:rsidRPr="00545991">
        <w:rPr>
          <w:rFonts w:ascii="Times New Roman" w:hAnsi="Times New Roman" w:cs="Times New Roman"/>
          <w:sz w:val="24"/>
          <w:szCs w:val="24"/>
          <w:lang w:val="nb-NO"/>
        </w:rPr>
        <w:t xml:space="preserve"> er avviklet</w:t>
      </w:r>
      <w:r w:rsidR="007A274A" w:rsidRPr="00545991">
        <w:rPr>
          <w:rFonts w:ascii="Times New Roman" w:hAnsi="Times New Roman" w:cs="Times New Roman"/>
          <w:sz w:val="24"/>
          <w:szCs w:val="24"/>
          <w:lang w:val="nb-NO"/>
        </w:rPr>
        <w:t xml:space="preserve">. Ettersom dette primært dreier seg om ferie- og fritidstrafikk, ville </w:t>
      </w:r>
      <w:r w:rsidR="007A274A" w:rsidRPr="00545991">
        <w:rPr>
          <w:rFonts w:ascii="Times New Roman" w:hAnsi="Times New Roman" w:cs="Times New Roman"/>
          <w:sz w:val="24"/>
          <w:szCs w:val="24"/>
          <w:lang w:val="nb-NO"/>
        </w:rPr>
        <w:lastRenderedPageBreak/>
        <w:t xml:space="preserve">det for de fleste vært </w:t>
      </w:r>
      <w:r w:rsidR="002D111A">
        <w:rPr>
          <w:rFonts w:ascii="Times New Roman" w:hAnsi="Times New Roman" w:cs="Times New Roman"/>
          <w:sz w:val="24"/>
          <w:szCs w:val="24"/>
          <w:lang w:val="nb-NO"/>
        </w:rPr>
        <w:t xml:space="preserve">mer </w:t>
      </w:r>
      <w:r w:rsidR="007A274A" w:rsidRPr="00545991">
        <w:rPr>
          <w:rFonts w:ascii="Times New Roman" w:hAnsi="Times New Roman" w:cs="Times New Roman"/>
          <w:sz w:val="24"/>
          <w:szCs w:val="24"/>
          <w:lang w:val="nb-NO"/>
        </w:rPr>
        <w:t>aktuelt å fremskynde reisen til juli heller enn å utsette den til siste halvdel a</w:t>
      </w:r>
      <w:r w:rsidR="001803EB" w:rsidRPr="00545991">
        <w:rPr>
          <w:rFonts w:ascii="Times New Roman" w:hAnsi="Times New Roman" w:cs="Times New Roman"/>
          <w:sz w:val="24"/>
          <w:szCs w:val="24"/>
          <w:lang w:val="nb-NO"/>
        </w:rPr>
        <w:t>v august</w:t>
      </w:r>
      <w:r w:rsidR="006D3B0C">
        <w:rPr>
          <w:rFonts w:ascii="Times New Roman" w:hAnsi="Times New Roman" w:cs="Times New Roman"/>
          <w:sz w:val="24"/>
          <w:szCs w:val="24"/>
          <w:lang w:val="nb-NO"/>
        </w:rPr>
        <w:t xml:space="preserve">. Da har </w:t>
      </w:r>
      <w:r w:rsidR="001803EB" w:rsidRPr="00545991">
        <w:rPr>
          <w:rFonts w:ascii="Times New Roman" w:hAnsi="Times New Roman" w:cs="Times New Roman"/>
          <w:sz w:val="24"/>
          <w:szCs w:val="24"/>
          <w:lang w:val="nb-NO"/>
        </w:rPr>
        <w:t xml:space="preserve">skolene </w:t>
      </w:r>
      <w:r w:rsidR="006D3B0C">
        <w:rPr>
          <w:rFonts w:ascii="Times New Roman" w:hAnsi="Times New Roman" w:cs="Times New Roman"/>
          <w:sz w:val="24"/>
          <w:szCs w:val="24"/>
          <w:lang w:val="nb-NO"/>
        </w:rPr>
        <w:t>s</w:t>
      </w:r>
      <w:r w:rsidR="001803EB" w:rsidRPr="00545991">
        <w:rPr>
          <w:rFonts w:ascii="Times New Roman" w:hAnsi="Times New Roman" w:cs="Times New Roman"/>
          <w:sz w:val="24"/>
          <w:szCs w:val="24"/>
          <w:lang w:val="nb-NO"/>
        </w:rPr>
        <w:t>tartet og forretningstrafikk</w:t>
      </w:r>
      <w:r w:rsidRPr="00545991">
        <w:rPr>
          <w:rFonts w:ascii="Times New Roman" w:hAnsi="Times New Roman" w:cs="Times New Roman"/>
          <w:sz w:val="24"/>
          <w:szCs w:val="24"/>
          <w:lang w:val="nb-NO"/>
        </w:rPr>
        <w:t>en</w:t>
      </w:r>
      <w:r w:rsidR="001803EB" w:rsidRPr="00545991">
        <w:rPr>
          <w:rFonts w:ascii="Times New Roman" w:hAnsi="Times New Roman" w:cs="Times New Roman"/>
          <w:sz w:val="24"/>
          <w:szCs w:val="24"/>
          <w:lang w:val="nb-NO"/>
        </w:rPr>
        <w:t xml:space="preserve"> dominerer markedet. </w:t>
      </w:r>
      <w:r w:rsidR="007A274A" w:rsidRPr="00545991">
        <w:rPr>
          <w:rFonts w:ascii="Times New Roman" w:hAnsi="Times New Roman" w:cs="Times New Roman"/>
          <w:sz w:val="24"/>
          <w:szCs w:val="24"/>
          <w:lang w:val="nb-NO"/>
        </w:rPr>
        <w:t>En eventuell forskyvningseffekt skal derfor gi seg utslag i høyere overnattingstall for juli enn normalt. Figur 1 viser vekst i antall hotell</w:t>
      </w:r>
      <w:r w:rsidR="001803EB" w:rsidRPr="00545991">
        <w:rPr>
          <w:rFonts w:ascii="Times New Roman" w:hAnsi="Times New Roman" w:cs="Times New Roman"/>
          <w:sz w:val="24"/>
          <w:szCs w:val="24"/>
          <w:lang w:val="nb-NO"/>
        </w:rPr>
        <w:softHyphen/>
      </w:r>
      <w:r w:rsidR="007A274A" w:rsidRPr="00545991">
        <w:rPr>
          <w:rFonts w:ascii="Times New Roman" w:hAnsi="Times New Roman" w:cs="Times New Roman"/>
          <w:sz w:val="24"/>
          <w:szCs w:val="24"/>
          <w:lang w:val="nb-NO"/>
        </w:rPr>
        <w:t>overnattinger for Tromsø (blå linje) og hele Nord-Norge (oransje linje) i juli målt mot samme periode året før for årene 2008-2016. Det er store variasjoner</w:t>
      </w:r>
      <w:r w:rsidR="008A6911">
        <w:rPr>
          <w:rFonts w:ascii="Times New Roman" w:hAnsi="Times New Roman" w:cs="Times New Roman"/>
          <w:sz w:val="24"/>
          <w:szCs w:val="24"/>
          <w:lang w:val="nb-NO"/>
        </w:rPr>
        <w:t>. I juli 2011 var det 24% flere hotellovernattinger enn i samme måned året før. Ca. halvparten av økningen skyldtes flere yrkesovernattinger knyttet til et utbyggings</w:t>
      </w:r>
      <w:r w:rsidR="008A6911">
        <w:rPr>
          <w:rFonts w:ascii="Times New Roman" w:hAnsi="Times New Roman" w:cs="Times New Roman"/>
          <w:sz w:val="24"/>
          <w:szCs w:val="24"/>
          <w:lang w:val="nb-NO"/>
        </w:rPr>
        <w:softHyphen/>
        <w:t xml:space="preserve">prosjekt. Året etter </w:t>
      </w:r>
      <w:r w:rsidR="009B2D9D">
        <w:rPr>
          <w:rFonts w:ascii="Times New Roman" w:hAnsi="Times New Roman" w:cs="Times New Roman"/>
          <w:sz w:val="24"/>
          <w:szCs w:val="24"/>
          <w:lang w:val="nb-NO"/>
        </w:rPr>
        <w:t xml:space="preserve">sank antall gjestedøgn </w:t>
      </w:r>
      <w:r w:rsidR="008A6911">
        <w:rPr>
          <w:rFonts w:ascii="Times New Roman" w:hAnsi="Times New Roman" w:cs="Times New Roman"/>
          <w:sz w:val="24"/>
          <w:szCs w:val="24"/>
          <w:lang w:val="nb-NO"/>
        </w:rPr>
        <w:t xml:space="preserve">med 14%. </w:t>
      </w:r>
      <w:r w:rsidR="007A274A" w:rsidRPr="00545991">
        <w:rPr>
          <w:rFonts w:ascii="Times New Roman" w:hAnsi="Times New Roman" w:cs="Times New Roman"/>
          <w:sz w:val="24"/>
          <w:szCs w:val="24"/>
          <w:lang w:val="nb-NO"/>
        </w:rPr>
        <w:t>Antall overnattinger i juli 2014 var 22% høyere enn i juli 2013. Isolert sett kan dette tyde på at mange har fremskyndet ferien, men også for Nord-Norge som helhet var det betydelig vekst i 2014, og veksten var også stor i 2015, både for Tromsø og Nord-Norge. Det var også en vesentlig større kapasitetsøkning fra 2013 til 2014 enn i øvrige år (27% flere rom).</w:t>
      </w:r>
      <w:r w:rsidR="00DD2C61">
        <w:rPr>
          <w:rFonts w:ascii="Times New Roman" w:hAnsi="Times New Roman" w:cs="Times New Roman"/>
          <w:sz w:val="24"/>
          <w:szCs w:val="24"/>
          <w:lang w:val="nb-NO"/>
        </w:rPr>
        <w:t xml:space="preserve"> </w:t>
      </w:r>
      <w:r w:rsidR="007A274A" w:rsidRPr="00545991">
        <w:rPr>
          <w:rFonts w:ascii="Times New Roman" w:hAnsi="Times New Roman" w:cs="Times New Roman"/>
          <w:sz w:val="24"/>
          <w:szCs w:val="24"/>
          <w:lang w:val="nb-NO"/>
        </w:rPr>
        <w:t>Vi utelukke</w:t>
      </w:r>
      <w:r w:rsidR="009341ED">
        <w:rPr>
          <w:rFonts w:ascii="Times New Roman" w:hAnsi="Times New Roman" w:cs="Times New Roman"/>
          <w:sz w:val="24"/>
          <w:szCs w:val="24"/>
          <w:lang w:val="nb-NO"/>
        </w:rPr>
        <w:t>r ikke</w:t>
      </w:r>
      <w:r w:rsidR="007A274A" w:rsidRPr="00545991">
        <w:rPr>
          <w:rFonts w:ascii="Times New Roman" w:hAnsi="Times New Roman" w:cs="Times New Roman"/>
          <w:sz w:val="24"/>
          <w:szCs w:val="24"/>
          <w:lang w:val="nb-NO"/>
        </w:rPr>
        <w:t xml:space="preserve"> at noe av veksten i juli 2014 skyldes en forskyvningseffekt, men </w:t>
      </w:r>
      <w:r w:rsidR="009341ED">
        <w:rPr>
          <w:rFonts w:ascii="Times New Roman" w:hAnsi="Times New Roman" w:cs="Times New Roman"/>
          <w:sz w:val="24"/>
          <w:szCs w:val="24"/>
          <w:lang w:val="nb-NO"/>
        </w:rPr>
        <w:t xml:space="preserve">antar </w:t>
      </w:r>
      <w:r w:rsidR="00D405C2">
        <w:rPr>
          <w:rFonts w:ascii="Times New Roman" w:hAnsi="Times New Roman" w:cs="Times New Roman"/>
          <w:sz w:val="24"/>
          <w:szCs w:val="24"/>
          <w:lang w:val="nb-NO"/>
        </w:rPr>
        <w:t xml:space="preserve">at </w:t>
      </w:r>
      <w:r w:rsidR="007A274A" w:rsidRPr="00545991">
        <w:rPr>
          <w:rFonts w:ascii="Times New Roman" w:hAnsi="Times New Roman" w:cs="Times New Roman"/>
          <w:sz w:val="24"/>
          <w:szCs w:val="24"/>
          <w:lang w:val="nb-NO"/>
        </w:rPr>
        <w:t>den primære årsaken ligger i en generell underliggende etterspørselsvekst</w:t>
      </w:r>
      <w:r w:rsidR="00DD2C61">
        <w:rPr>
          <w:rFonts w:ascii="Times New Roman" w:hAnsi="Times New Roman" w:cs="Times New Roman"/>
          <w:sz w:val="24"/>
          <w:szCs w:val="24"/>
          <w:lang w:val="nb-NO"/>
        </w:rPr>
        <w:t xml:space="preserve">, som blant annet var drevet av </w:t>
      </w:r>
      <w:r w:rsidR="00E02540">
        <w:rPr>
          <w:rFonts w:ascii="Times New Roman" w:hAnsi="Times New Roman" w:cs="Times New Roman"/>
          <w:sz w:val="24"/>
          <w:szCs w:val="24"/>
          <w:lang w:val="nb-NO"/>
        </w:rPr>
        <w:t xml:space="preserve">svekket kronekurs og </w:t>
      </w:r>
      <w:r w:rsidR="00DD2C61">
        <w:rPr>
          <w:rFonts w:ascii="Times New Roman" w:hAnsi="Times New Roman" w:cs="Times New Roman"/>
          <w:sz w:val="24"/>
          <w:szCs w:val="24"/>
          <w:lang w:val="nb-NO"/>
        </w:rPr>
        <w:t xml:space="preserve">en uvanlig god sommer med temperaturer 2-3 grader over normalen for deler av Nord-Norge. </w:t>
      </w:r>
      <w:r w:rsidR="007A274A" w:rsidRPr="00545991">
        <w:rPr>
          <w:rFonts w:ascii="Times New Roman" w:hAnsi="Times New Roman" w:cs="Times New Roman"/>
          <w:sz w:val="24"/>
          <w:szCs w:val="24"/>
          <w:lang w:val="nb-NO"/>
        </w:rPr>
        <w:t xml:space="preserve">Det </w:t>
      </w:r>
      <w:r w:rsidR="0037394F">
        <w:rPr>
          <w:rFonts w:ascii="Times New Roman" w:hAnsi="Times New Roman" w:cs="Times New Roman"/>
          <w:sz w:val="24"/>
          <w:szCs w:val="24"/>
          <w:lang w:val="nb-NO"/>
        </w:rPr>
        <w:t xml:space="preserve">virker derfor sannsynlig </w:t>
      </w:r>
      <w:r w:rsidR="007A274A" w:rsidRPr="00545991">
        <w:rPr>
          <w:rFonts w:ascii="Times New Roman" w:hAnsi="Times New Roman" w:cs="Times New Roman"/>
          <w:sz w:val="24"/>
          <w:szCs w:val="24"/>
          <w:lang w:val="nb-NO"/>
        </w:rPr>
        <w:t xml:space="preserve">at </w:t>
      </w:r>
      <w:r w:rsidR="00EE68CB" w:rsidRPr="00545991">
        <w:rPr>
          <w:rFonts w:ascii="Times New Roman" w:hAnsi="Times New Roman" w:cs="Times New Roman"/>
          <w:sz w:val="24"/>
          <w:szCs w:val="24"/>
          <w:lang w:val="nb-NO"/>
        </w:rPr>
        <w:t>Sjakk-</w:t>
      </w:r>
      <w:r w:rsidR="007A274A" w:rsidRPr="00545991">
        <w:rPr>
          <w:rFonts w:ascii="Times New Roman" w:hAnsi="Times New Roman" w:cs="Times New Roman"/>
          <w:sz w:val="24"/>
          <w:szCs w:val="24"/>
          <w:lang w:val="nb-NO"/>
        </w:rPr>
        <w:t xml:space="preserve">OL </w:t>
      </w:r>
      <w:r w:rsidR="001134A6">
        <w:rPr>
          <w:rFonts w:ascii="Times New Roman" w:hAnsi="Times New Roman" w:cs="Times New Roman"/>
          <w:sz w:val="24"/>
          <w:szCs w:val="24"/>
          <w:lang w:val="nb-NO"/>
        </w:rPr>
        <w:t xml:space="preserve">i hovedsak </w:t>
      </w:r>
      <w:r w:rsidR="009341ED">
        <w:rPr>
          <w:rFonts w:ascii="Times New Roman" w:hAnsi="Times New Roman" w:cs="Times New Roman"/>
          <w:sz w:val="24"/>
          <w:szCs w:val="24"/>
          <w:lang w:val="nb-NO"/>
        </w:rPr>
        <w:t>f</w:t>
      </w:r>
      <w:r w:rsidR="007A274A" w:rsidRPr="00545991">
        <w:rPr>
          <w:rFonts w:ascii="Times New Roman" w:hAnsi="Times New Roman" w:cs="Times New Roman"/>
          <w:sz w:val="24"/>
          <w:szCs w:val="24"/>
          <w:lang w:val="nb-NO"/>
        </w:rPr>
        <w:t>ortreng</w:t>
      </w:r>
      <w:r w:rsidR="0037394F">
        <w:rPr>
          <w:rFonts w:ascii="Times New Roman" w:hAnsi="Times New Roman" w:cs="Times New Roman"/>
          <w:sz w:val="24"/>
          <w:szCs w:val="24"/>
          <w:lang w:val="nb-NO"/>
        </w:rPr>
        <w:t xml:space="preserve">te </w:t>
      </w:r>
      <w:r w:rsidR="007A274A" w:rsidRPr="00545991">
        <w:rPr>
          <w:rFonts w:ascii="Times New Roman" w:hAnsi="Times New Roman" w:cs="Times New Roman"/>
          <w:sz w:val="24"/>
          <w:szCs w:val="24"/>
          <w:lang w:val="nb-NO"/>
        </w:rPr>
        <w:t>ordinære turist</w:t>
      </w:r>
      <w:r w:rsidR="0037394F">
        <w:rPr>
          <w:rFonts w:ascii="Times New Roman" w:hAnsi="Times New Roman" w:cs="Times New Roman"/>
          <w:sz w:val="24"/>
          <w:szCs w:val="24"/>
          <w:lang w:val="nb-NO"/>
        </w:rPr>
        <w:t xml:space="preserve">er </w:t>
      </w:r>
      <w:r w:rsidR="007A274A" w:rsidRPr="00545991">
        <w:rPr>
          <w:rFonts w:ascii="Times New Roman" w:hAnsi="Times New Roman" w:cs="Times New Roman"/>
          <w:sz w:val="24"/>
          <w:szCs w:val="24"/>
          <w:lang w:val="nb-NO"/>
        </w:rPr>
        <w:t xml:space="preserve">i august. </w:t>
      </w:r>
    </w:p>
    <w:p w14:paraId="2C83F52B" w14:textId="77777777" w:rsidR="007A274A" w:rsidRPr="00545991" w:rsidRDefault="007A274A" w:rsidP="007A274A">
      <w:pPr>
        <w:spacing w:line="360" w:lineRule="auto"/>
        <w:jc w:val="both"/>
        <w:rPr>
          <w:rFonts w:ascii="Times New Roman" w:hAnsi="Times New Roman" w:cs="Times New Roman"/>
          <w:sz w:val="24"/>
          <w:szCs w:val="24"/>
          <w:lang w:val="nb-NO"/>
        </w:rPr>
      </w:pPr>
      <w:r w:rsidRPr="00545991">
        <w:rPr>
          <w:noProof/>
          <w:lang w:val="nb-NO" w:eastAsia="nb-NO"/>
        </w:rPr>
        <w:drawing>
          <wp:inline distT="0" distB="0" distL="0" distR="0" wp14:anchorId="3E26DAF2" wp14:editId="73AA39B9">
            <wp:extent cx="4720590" cy="2636520"/>
            <wp:effectExtent l="0" t="0" r="3810" b="1143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612BB7" w14:textId="77777777" w:rsidR="007A274A" w:rsidRPr="00E02540" w:rsidRDefault="007A274A" w:rsidP="007A274A">
      <w:pPr>
        <w:spacing w:line="360" w:lineRule="auto"/>
        <w:jc w:val="both"/>
        <w:rPr>
          <w:rFonts w:ascii="Times New Roman" w:hAnsi="Times New Roman" w:cs="Times New Roman"/>
          <w:b/>
          <w:lang w:val="nb-NO"/>
        </w:rPr>
      </w:pPr>
      <w:r w:rsidRPr="00E02540">
        <w:rPr>
          <w:rFonts w:ascii="Times New Roman" w:hAnsi="Times New Roman" w:cs="Times New Roman"/>
          <w:b/>
          <w:lang w:val="nb-NO"/>
        </w:rPr>
        <w:t>Figur 1: Vekst i hotellovernattinger i Tromsø for juli måned. 2008-2016. Kilde: statistikknett.no</w:t>
      </w:r>
    </w:p>
    <w:p w14:paraId="73D6F50D" w14:textId="6C758664" w:rsidR="00CE3E52" w:rsidRPr="00545991" w:rsidRDefault="00E02540" w:rsidP="008A194B">
      <w:pPr>
        <w:pStyle w:val="Overskrift3"/>
        <w:spacing w:line="360" w:lineRule="auto"/>
        <w:rPr>
          <w:lang w:val="nb-NO"/>
        </w:rPr>
      </w:pPr>
      <w:r>
        <w:rPr>
          <w:lang w:val="nb-NO"/>
        </w:rPr>
        <w:br/>
      </w:r>
      <w:r w:rsidR="00CE3E52" w:rsidRPr="00545991">
        <w:rPr>
          <w:lang w:val="nb-NO"/>
        </w:rPr>
        <w:t>Anne</w:t>
      </w:r>
      <w:r w:rsidR="00D34FBB" w:rsidRPr="00545991">
        <w:rPr>
          <w:lang w:val="nb-NO"/>
        </w:rPr>
        <w:t>n</w:t>
      </w:r>
      <w:r w:rsidR="00CE3E52" w:rsidRPr="00545991">
        <w:rPr>
          <w:lang w:val="nb-NO"/>
        </w:rPr>
        <w:t xml:space="preserve"> </w:t>
      </w:r>
      <w:r w:rsidR="00D34FBB" w:rsidRPr="00545991">
        <w:rPr>
          <w:lang w:val="nb-NO"/>
        </w:rPr>
        <w:t>turismerelatert omsetning</w:t>
      </w:r>
    </w:p>
    <w:p w14:paraId="1883F14E" w14:textId="2A0C830B" w:rsidR="007A274A" w:rsidRPr="00545991" w:rsidRDefault="00CE3E52" w:rsidP="008A194B">
      <w:pPr>
        <w:spacing w:line="360" w:lineRule="auto"/>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Til tross for at det ordinære turistmarkedet </w:t>
      </w:r>
      <w:r w:rsidR="00FA64B4">
        <w:rPr>
          <w:rFonts w:ascii="Times New Roman" w:hAnsi="Times New Roman" w:cs="Times New Roman"/>
          <w:sz w:val="24"/>
          <w:szCs w:val="24"/>
          <w:lang w:val="nb-NO"/>
        </w:rPr>
        <w:t xml:space="preserve">i hovedsak </w:t>
      </w:r>
      <w:r w:rsidRPr="00545991">
        <w:rPr>
          <w:rFonts w:ascii="Times New Roman" w:hAnsi="Times New Roman" w:cs="Times New Roman"/>
          <w:sz w:val="24"/>
          <w:szCs w:val="24"/>
          <w:lang w:val="nb-NO"/>
        </w:rPr>
        <w:t xml:space="preserve">ble fortrengt, var effekten for hotellene målt i losjiinntekter positiv og </w:t>
      </w:r>
      <w:r w:rsidR="007A274A" w:rsidRPr="00545991">
        <w:rPr>
          <w:rFonts w:ascii="Times New Roman" w:hAnsi="Times New Roman" w:cs="Times New Roman"/>
          <w:sz w:val="24"/>
          <w:szCs w:val="24"/>
          <w:lang w:val="nb-NO"/>
        </w:rPr>
        <w:t>estimert til om lag 17 millioner</w:t>
      </w:r>
      <w:r w:rsidR="00EE68CB" w:rsidRPr="00545991">
        <w:rPr>
          <w:rFonts w:ascii="Times New Roman" w:hAnsi="Times New Roman" w:cs="Times New Roman"/>
          <w:sz w:val="24"/>
          <w:szCs w:val="24"/>
          <w:lang w:val="nb-NO"/>
        </w:rPr>
        <w:t xml:space="preserve"> </w:t>
      </w:r>
      <w:r w:rsidRPr="00545991">
        <w:rPr>
          <w:rFonts w:ascii="Times New Roman" w:hAnsi="Times New Roman" w:cs="Times New Roman"/>
          <w:sz w:val="24"/>
          <w:szCs w:val="24"/>
          <w:lang w:val="nb-NO"/>
        </w:rPr>
        <w:t xml:space="preserve">kroner </w:t>
      </w:r>
      <w:r w:rsidR="00EE68CB" w:rsidRPr="00545991">
        <w:rPr>
          <w:rFonts w:ascii="Times New Roman" w:hAnsi="Times New Roman" w:cs="Times New Roman"/>
          <w:sz w:val="24"/>
          <w:szCs w:val="24"/>
          <w:lang w:val="nb-NO"/>
        </w:rPr>
        <w:t>(jf. over)</w:t>
      </w:r>
      <w:r w:rsidR="007A274A" w:rsidRPr="00545991">
        <w:rPr>
          <w:rFonts w:ascii="Times New Roman" w:hAnsi="Times New Roman" w:cs="Times New Roman"/>
          <w:sz w:val="24"/>
          <w:szCs w:val="24"/>
          <w:lang w:val="nb-NO"/>
        </w:rPr>
        <w:t>. Turisters forbruk berører imidlertid også andre sektorer, så som varehandelen, serveringsbedrifter m</w:t>
      </w:r>
      <w:r w:rsidR="002D111A">
        <w:rPr>
          <w:rFonts w:ascii="Times New Roman" w:hAnsi="Times New Roman" w:cs="Times New Roman"/>
          <w:sz w:val="24"/>
          <w:szCs w:val="24"/>
          <w:lang w:val="nb-NO"/>
        </w:rPr>
        <w:t>.</w:t>
      </w:r>
      <w:r w:rsidR="007A274A" w:rsidRPr="00545991">
        <w:rPr>
          <w:rFonts w:ascii="Times New Roman" w:hAnsi="Times New Roman" w:cs="Times New Roman"/>
          <w:sz w:val="24"/>
          <w:szCs w:val="24"/>
          <w:lang w:val="nb-NO"/>
        </w:rPr>
        <w:t xml:space="preserve"> v</w:t>
      </w:r>
      <w:r w:rsidR="002D111A">
        <w:rPr>
          <w:rFonts w:ascii="Times New Roman" w:hAnsi="Times New Roman" w:cs="Times New Roman"/>
          <w:sz w:val="24"/>
          <w:szCs w:val="24"/>
          <w:lang w:val="nb-NO"/>
        </w:rPr>
        <w:t>.</w:t>
      </w:r>
      <w:r w:rsidR="007A274A" w:rsidRPr="00545991">
        <w:rPr>
          <w:rFonts w:ascii="Times New Roman" w:hAnsi="Times New Roman" w:cs="Times New Roman"/>
          <w:sz w:val="24"/>
          <w:szCs w:val="24"/>
          <w:lang w:val="nb-NO"/>
        </w:rPr>
        <w:t xml:space="preserve">, </w:t>
      </w:r>
      <w:r w:rsidR="007A274A" w:rsidRPr="00545991">
        <w:rPr>
          <w:rFonts w:ascii="Times New Roman" w:hAnsi="Times New Roman" w:cs="Times New Roman"/>
          <w:sz w:val="24"/>
          <w:szCs w:val="24"/>
          <w:lang w:val="nb-NO"/>
        </w:rPr>
        <w:lastRenderedPageBreak/>
        <w:t xml:space="preserve">og for noen av disse slo arrangementet negativt ut på grunn av et svært lavt døgnforbruk blant </w:t>
      </w:r>
      <w:r w:rsidR="004B2290">
        <w:rPr>
          <w:rFonts w:ascii="Times New Roman" w:hAnsi="Times New Roman" w:cs="Times New Roman"/>
          <w:sz w:val="24"/>
          <w:szCs w:val="24"/>
          <w:lang w:val="nb-NO"/>
        </w:rPr>
        <w:t xml:space="preserve">deltakere og andre </w:t>
      </w:r>
      <w:r w:rsidR="007A274A" w:rsidRPr="00545991">
        <w:rPr>
          <w:rFonts w:ascii="Times New Roman" w:hAnsi="Times New Roman" w:cs="Times New Roman"/>
          <w:sz w:val="24"/>
          <w:szCs w:val="24"/>
          <w:lang w:val="nb-NO"/>
        </w:rPr>
        <w:t xml:space="preserve">tilreisende til Sjakk-OL. Tabell </w:t>
      </w:r>
      <w:r w:rsidR="00C025E2" w:rsidRPr="00545991">
        <w:rPr>
          <w:rFonts w:ascii="Times New Roman" w:hAnsi="Times New Roman" w:cs="Times New Roman"/>
          <w:sz w:val="24"/>
          <w:szCs w:val="24"/>
          <w:lang w:val="nb-NO"/>
        </w:rPr>
        <w:t>5</w:t>
      </w:r>
      <w:r w:rsidR="007A274A" w:rsidRPr="00545991">
        <w:rPr>
          <w:rFonts w:ascii="Times New Roman" w:hAnsi="Times New Roman" w:cs="Times New Roman"/>
          <w:sz w:val="24"/>
          <w:szCs w:val="24"/>
          <w:lang w:val="nb-NO"/>
        </w:rPr>
        <w:t xml:space="preserve"> viser de tilreisendes kjøp av varer og tjenester i arrangements</w:t>
      </w:r>
      <w:r w:rsidR="00C025E2" w:rsidRPr="00545991">
        <w:rPr>
          <w:rFonts w:ascii="Times New Roman" w:hAnsi="Times New Roman" w:cs="Times New Roman"/>
          <w:sz w:val="24"/>
          <w:szCs w:val="24"/>
          <w:lang w:val="nb-NO"/>
        </w:rPr>
        <w:softHyphen/>
      </w:r>
      <w:r w:rsidR="007A274A" w:rsidRPr="00545991">
        <w:rPr>
          <w:rFonts w:ascii="Times New Roman" w:hAnsi="Times New Roman" w:cs="Times New Roman"/>
          <w:sz w:val="24"/>
          <w:szCs w:val="24"/>
          <w:lang w:val="nb-NO"/>
        </w:rPr>
        <w:t>perioden (tall fra arrangøren). Dette er utgifter til lokal transport, fornøyelse/</w:t>
      </w:r>
      <w:r w:rsidR="00E02540">
        <w:rPr>
          <w:rFonts w:ascii="Times New Roman" w:hAnsi="Times New Roman" w:cs="Times New Roman"/>
          <w:sz w:val="24"/>
          <w:szCs w:val="24"/>
          <w:lang w:val="nb-NO"/>
        </w:rPr>
        <w:t xml:space="preserve"> </w:t>
      </w:r>
      <w:r w:rsidR="007A274A" w:rsidRPr="00545991">
        <w:rPr>
          <w:rFonts w:ascii="Times New Roman" w:hAnsi="Times New Roman" w:cs="Times New Roman"/>
          <w:sz w:val="24"/>
          <w:szCs w:val="24"/>
          <w:lang w:val="nb-NO"/>
        </w:rPr>
        <w:t>opplevelser, kafebesøk og andre innkjøp. Til sammen utgjorde dette drøyt 7,2 millioner</w:t>
      </w:r>
      <w:r w:rsidR="00B86F35">
        <w:rPr>
          <w:rFonts w:ascii="Times New Roman" w:hAnsi="Times New Roman" w:cs="Times New Roman"/>
          <w:sz w:val="24"/>
          <w:szCs w:val="24"/>
          <w:lang w:val="nb-NO"/>
        </w:rPr>
        <w:t xml:space="preserve"> kroner</w:t>
      </w:r>
      <w:r w:rsidR="007A274A" w:rsidRPr="00545991">
        <w:rPr>
          <w:rFonts w:ascii="Times New Roman" w:hAnsi="Times New Roman" w:cs="Times New Roman"/>
          <w:sz w:val="24"/>
          <w:szCs w:val="24"/>
          <w:lang w:val="nb-NO"/>
        </w:rPr>
        <w:t xml:space="preserve">, </w:t>
      </w:r>
      <w:r w:rsidR="00B86F35">
        <w:rPr>
          <w:rFonts w:ascii="Times New Roman" w:hAnsi="Times New Roman" w:cs="Times New Roman"/>
          <w:sz w:val="24"/>
          <w:szCs w:val="24"/>
          <w:lang w:val="nb-NO"/>
        </w:rPr>
        <w:t xml:space="preserve">som er en </w:t>
      </w:r>
      <w:r w:rsidR="007A274A" w:rsidRPr="00545991">
        <w:rPr>
          <w:rFonts w:ascii="Times New Roman" w:hAnsi="Times New Roman" w:cs="Times New Roman"/>
          <w:sz w:val="24"/>
          <w:szCs w:val="24"/>
          <w:lang w:val="nb-NO"/>
        </w:rPr>
        <w:t>ekstern tilførsel av midler. Postene overnatting og servering er knyttet til innkjøp fra andre tilreisende enn spillere, kapteiner og delegater, som COT2014 dekket losji og mat for. Forde</w:t>
      </w:r>
      <w:r w:rsidR="00C025E2" w:rsidRPr="00545991">
        <w:rPr>
          <w:rFonts w:ascii="Times New Roman" w:hAnsi="Times New Roman" w:cs="Times New Roman"/>
          <w:sz w:val="24"/>
          <w:szCs w:val="24"/>
          <w:lang w:val="nb-NO"/>
        </w:rPr>
        <w:t>lt på totalt antall tilreisende som var</w:t>
      </w:r>
      <w:r w:rsidR="007A274A" w:rsidRPr="00545991">
        <w:rPr>
          <w:rFonts w:ascii="Times New Roman" w:hAnsi="Times New Roman" w:cs="Times New Roman"/>
          <w:sz w:val="24"/>
          <w:szCs w:val="24"/>
          <w:lang w:val="nb-NO"/>
        </w:rPr>
        <w:t xml:space="preserve"> 3 25</w:t>
      </w:r>
      <w:r w:rsidR="00563122" w:rsidRPr="00545991">
        <w:rPr>
          <w:rFonts w:ascii="Times New Roman" w:hAnsi="Times New Roman" w:cs="Times New Roman"/>
          <w:sz w:val="24"/>
          <w:szCs w:val="24"/>
          <w:lang w:val="nb-NO"/>
        </w:rPr>
        <w:t>0</w:t>
      </w:r>
      <w:r w:rsidR="007A274A" w:rsidRPr="00545991">
        <w:rPr>
          <w:rFonts w:ascii="Times New Roman" w:hAnsi="Times New Roman" w:cs="Times New Roman"/>
          <w:sz w:val="24"/>
          <w:szCs w:val="24"/>
          <w:lang w:val="nb-NO"/>
        </w:rPr>
        <w:t>, gir dette en ekstern tilførsel av midler på ca</w:t>
      </w:r>
      <w:r w:rsidR="00563122" w:rsidRPr="00545991">
        <w:rPr>
          <w:rFonts w:ascii="Times New Roman" w:hAnsi="Times New Roman" w:cs="Times New Roman"/>
          <w:sz w:val="24"/>
          <w:szCs w:val="24"/>
          <w:lang w:val="nb-NO"/>
        </w:rPr>
        <w:t>.</w:t>
      </w:r>
      <w:r w:rsidR="007A274A" w:rsidRPr="00545991">
        <w:rPr>
          <w:rFonts w:ascii="Times New Roman" w:hAnsi="Times New Roman" w:cs="Times New Roman"/>
          <w:sz w:val="24"/>
          <w:szCs w:val="24"/>
          <w:lang w:val="nb-NO"/>
        </w:rPr>
        <w:t xml:space="preserve"> 2 200 kroner per person i løpet av oppholdet. Beregnet gjennomsnittlig oppholdstid for de tilreisende basert på hotellstatistikken er 15 dager. Følgelig får vi et estimert gjennomsnittlig døgnforbruk for de tilreisende (ekstern tilførsel) på kr 148. Hvis vi legger til oppholds- og matutgifter som ble dekket av arrangøren, får vi en samlet </w:t>
      </w:r>
      <w:r w:rsidR="00015554" w:rsidRPr="00545991">
        <w:rPr>
          <w:rFonts w:ascii="Times New Roman" w:hAnsi="Times New Roman" w:cs="Times New Roman"/>
          <w:sz w:val="24"/>
          <w:szCs w:val="24"/>
          <w:lang w:val="nb-NO"/>
        </w:rPr>
        <w:t>etterspørsels</w:t>
      </w:r>
      <w:r w:rsidR="00015554" w:rsidRPr="00545991">
        <w:rPr>
          <w:rFonts w:ascii="Times New Roman" w:hAnsi="Times New Roman" w:cs="Times New Roman"/>
          <w:sz w:val="24"/>
          <w:szCs w:val="24"/>
          <w:lang w:val="nb-NO"/>
        </w:rPr>
        <w:softHyphen/>
        <w:t>virkning</w:t>
      </w:r>
      <w:r w:rsidR="007A274A" w:rsidRPr="00545991">
        <w:rPr>
          <w:rFonts w:ascii="Times New Roman" w:hAnsi="Times New Roman" w:cs="Times New Roman"/>
          <w:sz w:val="24"/>
          <w:szCs w:val="24"/>
          <w:lang w:val="nb-NO"/>
        </w:rPr>
        <w:t xml:space="preserve"> </w:t>
      </w:r>
      <w:r w:rsidR="00015554" w:rsidRPr="00545991">
        <w:rPr>
          <w:rFonts w:ascii="Times New Roman" w:hAnsi="Times New Roman" w:cs="Times New Roman"/>
          <w:sz w:val="24"/>
          <w:szCs w:val="24"/>
          <w:lang w:val="nb-NO"/>
        </w:rPr>
        <w:t xml:space="preserve">for </w:t>
      </w:r>
      <w:r w:rsidR="00C025E2" w:rsidRPr="00545991">
        <w:rPr>
          <w:rFonts w:ascii="Times New Roman" w:hAnsi="Times New Roman" w:cs="Times New Roman"/>
          <w:sz w:val="24"/>
          <w:szCs w:val="24"/>
          <w:lang w:val="nb-NO"/>
        </w:rPr>
        <w:t xml:space="preserve">reiselivsnæringene i Tromsø </w:t>
      </w:r>
      <w:r w:rsidR="007A274A" w:rsidRPr="00545991">
        <w:rPr>
          <w:rFonts w:ascii="Times New Roman" w:hAnsi="Times New Roman" w:cs="Times New Roman"/>
          <w:sz w:val="24"/>
          <w:szCs w:val="24"/>
          <w:lang w:val="nb-NO"/>
        </w:rPr>
        <w:t>på kr 52,44 millioner</w:t>
      </w:r>
      <w:r w:rsidR="00C025E2" w:rsidRPr="00545991">
        <w:rPr>
          <w:rFonts w:ascii="Times New Roman" w:hAnsi="Times New Roman" w:cs="Times New Roman"/>
          <w:sz w:val="24"/>
          <w:szCs w:val="24"/>
          <w:lang w:val="nb-NO"/>
        </w:rPr>
        <w:t xml:space="preserve">. Dette tilsvarer </w:t>
      </w:r>
      <w:r w:rsidR="007A274A" w:rsidRPr="00545991">
        <w:rPr>
          <w:rFonts w:ascii="Times New Roman" w:hAnsi="Times New Roman" w:cs="Times New Roman"/>
          <w:sz w:val="24"/>
          <w:szCs w:val="24"/>
          <w:lang w:val="nb-NO"/>
        </w:rPr>
        <w:t>kr 16 100 per person,</w:t>
      </w:r>
      <w:r w:rsidR="00C025E2" w:rsidRPr="00545991">
        <w:rPr>
          <w:rFonts w:ascii="Times New Roman" w:hAnsi="Times New Roman" w:cs="Times New Roman"/>
          <w:sz w:val="24"/>
          <w:szCs w:val="24"/>
          <w:lang w:val="nb-NO"/>
        </w:rPr>
        <w:t xml:space="preserve"> og et gjennomsnittlig dags</w:t>
      </w:r>
      <w:r w:rsidR="007A274A" w:rsidRPr="00545991">
        <w:rPr>
          <w:rFonts w:ascii="Times New Roman" w:hAnsi="Times New Roman" w:cs="Times New Roman"/>
          <w:sz w:val="24"/>
          <w:szCs w:val="24"/>
          <w:lang w:val="nb-NO"/>
        </w:rPr>
        <w:t>forbruk på 1 074 kroner</w:t>
      </w:r>
      <w:r w:rsidR="00C025E2" w:rsidRPr="00545991">
        <w:rPr>
          <w:rFonts w:ascii="Times New Roman" w:hAnsi="Times New Roman" w:cs="Times New Roman"/>
          <w:sz w:val="24"/>
          <w:szCs w:val="24"/>
          <w:lang w:val="nb-NO"/>
        </w:rPr>
        <w:t>. Av de tilreisendes totale dags</w:t>
      </w:r>
      <w:r w:rsidR="007A274A" w:rsidRPr="00545991">
        <w:rPr>
          <w:rFonts w:ascii="Times New Roman" w:hAnsi="Times New Roman" w:cs="Times New Roman"/>
          <w:sz w:val="24"/>
          <w:szCs w:val="24"/>
          <w:lang w:val="nb-NO"/>
        </w:rPr>
        <w:t xml:space="preserve">forbruk var altså bare 14% ekstern tilførsel av midler. </w:t>
      </w:r>
    </w:p>
    <w:p w14:paraId="18CD014C" w14:textId="69DAFB58" w:rsidR="007A274A" w:rsidRPr="000216FB" w:rsidRDefault="007A274A" w:rsidP="007A274A">
      <w:pPr>
        <w:spacing w:line="240" w:lineRule="auto"/>
        <w:jc w:val="both"/>
        <w:rPr>
          <w:rFonts w:ascii="Times New Roman" w:hAnsi="Times New Roman" w:cs="Times New Roman"/>
          <w:b/>
          <w:lang w:val="nb-NO"/>
        </w:rPr>
      </w:pPr>
      <w:r w:rsidRPr="000216FB">
        <w:rPr>
          <w:rFonts w:ascii="Times New Roman" w:hAnsi="Times New Roman" w:cs="Times New Roman"/>
          <w:b/>
          <w:lang w:val="nb-NO"/>
        </w:rPr>
        <w:t xml:space="preserve">Tabell </w:t>
      </w:r>
      <w:r w:rsidR="00C025E2" w:rsidRPr="000216FB">
        <w:rPr>
          <w:rFonts w:ascii="Times New Roman" w:hAnsi="Times New Roman" w:cs="Times New Roman"/>
          <w:b/>
          <w:lang w:val="nb-NO"/>
        </w:rPr>
        <w:t>5</w:t>
      </w:r>
      <w:r w:rsidRPr="000216FB">
        <w:rPr>
          <w:rFonts w:ascii="Times New Roman" w:hAnsi="Times New Roman" w:cs="Times New Roman"/>
          <w:b/>
          <w:lang w:val="nb-NO"/>
        </w:rPr>
        <w:t xml:space="preserve">: Tilreisendes kjøp av varer og tjenester under arrangementet. Kilde: </w:t>
      </w:r>
      <w:r w:rsidR="000216FB" w:rsidRPr="000216FB">
        <w:rPr>
          <w:rFonts w:ascii="Times New Roman" w:hAnsi="Times New Roman" w:cs="Times New Roman"/>
          <w:b/>
          <w:lang w:val="nb-NO"/>
        </w:rPr>
        <w:t>«Verdivurdering av Sjakk-OL i Tromsø»</w:t>
      </w:r>
      <w:r w:rsidR="000216FB" w:rsidRPr="000216FB">
        <w:rPr>
          <w:rStyle w:val="Fotnotereferanse"/>
          <w:rFonts w:ascii="Times New Roman" w:hAnsi="Times New Roman" w:cs="Times New Roman"/>
          <w:b/>
          <w:lang w:val="nb-NO"/>
        </w:rPr>
        <w:t xml:space="preserve"> </w:t>
      </w:r>
    </w:p>
    <w:tbl>
      <w:tblPr>
        <w:tblW w:w="6663" w:type="dxa"/>
        <w:tblCellMar>
          <w:left w:w="70" w:type="dxa"/>
          <w:right w:w="70" w:type="dxa"/>
        </w:tblCellMar>
        <w:tblLook w:val="04A0" w:firstRow="1" w:lastRow="0" w:firstColumn="1" w:lastColumn="0" w:noHBand="0" w:noVBand="1"/>
      </w:tblPr>
      <w:tblGrid>
        <w:gridCol w:w="2823"/>
        <w:gridCol w:w="992"/>
        <w:gridCol w:w="1539"/>
        <w:gridCol w:w="1309"/>
      </w:tblGrid>
      <w:tr w:rsidR="007A274A" w:rsidRPr="00545991" w14:paraId="09312510" w14:textId="77777777" w:rsidTr="009D5864">
        <w:trPr>
          <w:trHeight w:val="576"/>
        </w:trPr>
        <w:tc>
          <w:tcPr>
            <w:tcW w:w="2823" w:type="dxa"/>
            <w:tcBorders>
              <w:top w:val="single" w:sz="4" w:space="0" w:color="auto"/>
              <w:bottom w:val="single" w:sz="4" w:space="0" w:color="auto"/>
            </w:tcBorders>
            <w:shd w:val="clear" w:color="auto" w:fill="auto"/>
            <w:noWrap/>
            <w:vAlign w:val="bottom"/>
            <w:hideMark/>
          </w:tcPr>
          <w:p w14:paraId="0BB790C9" w14:textId="77777777" w:rsidR="007A274A" w:rsidRPr="00545991" w:rsidRDefault="007A274A" w:rsidP="009D5864">
            <w:pPr>
              <w:spacing w:after="0" w:line="240" w:lineRule="auto"/>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Forbrukstype</w:t>
            </w:r>
          </w:p>
        </w:tc>
        <w:tc>
          <w:tcPr>
            <w:tcW w:w="992" w:type="dxa"/>
            <w:tcBorders>
              <w:top w:val="single" w:sz="4" w:space="0" w:color="auto"/>
              <w:bottom w:val="single" w:sz="4" w:space="0" w:color="auto"/>
            </w:tcBorders>
            <w:shd w:val="clear" w:color="auto" w:fill="auto"/>
            <w:vAlign w:val="bottom"/>
            <w:hideMark/>
          </w:tcPr>
          <w:p w14:paraId="1C3A3022" w14:textId="77777777" w:rsidR="007A274A" w:rsidRPr="00545991" w:rsidRDefault="007A274A" w:rsidP="009D5864">
            <w:pPr>
              <w:spacing w:after="0" w:line="240" w:lineRule="auto"/>
              <w:jc w:val="right"/>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Mill. kr</w:t>
            </w:r>
          </w:p>
        </w:tc>
        <w:tc>
          <w:tcPr>
            <w:tcW w:w="1539" w:type="dxa"/>
            <w:tcBorders>
              <w:top w:val="single" w:sz="4" w:space="0" w:color="auto"/>
              <w:bottom w:val="single" w:sz="4" w:space="0" w:color="auto"/>
            </w:tcBorders>
            <w:shd w:val="clear" w:color="auto" w:fill="auto"/>
            <w:vAlign w:val="bottom"/>
            <w:hideMark/>
          </w:tcPr>
          <w:p w14:paraId="7F555C45" w14:textId="77777777" w:rsidR="007A274A" w:rsidRPr="00545991" w:rsidRDefault="007A274A" w:rsidP="009D5864">
            <w:pPr>
              <w:spacing w:after="0" w:line="240" w:lineRule="auto"/>
              <w:jc w:val="right"/>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Per pers i perioden (kr)</w:t>
            </w:r>
          </w:p>
        </w:tc>
        <w:tc>
          <w:tcPr>
            <w:tcW w:w="1309" w:type="dxa"/>
            <w:tcBorders>
              <w:top w:val="single" w:sz="4" w:space="0" w:color="auto"/>
              <w:bottom w:val="single" w:sz="4" w:space="0" w:color="auto"/>
            </w:tcBorders>
            <w:vAlign w:val="bottom"/>
          </w:tcPr>
          <w:p w14:paraId="08C1ADB1" w14:textId="77777777" w:rsidR="007A274A" w:rsidRPr="00545991" w:rsidRDefault="007A274A" w:rsidP="009D5864">
            <w:pPr>
              <w:spacing w:after="0" w:line="240" w:lineRule="auto"/>
              <w:jc w:val="right"/>
              <w:rPr>
                <w:rFonts w:ascii="Times New Roman" w:eastAsia="Times New Roman" w:hAnsi="Times New Roman" w:cs="Times New Roman"/>
                <w:b/>
                <w:bCs/>
                <w:color w:val="000000"/>
                <w:lang w:val="nb-NO" w:eastAsia="nb-NO"/>
              </w:rPr>
            </w:pPr>
            <w:r w:rsidRPr="00545991">
              <w:rPr>
                <w:rFonts w:ascii="Times New Roman" w:eastAsia="Times New Roman" w:hAnsi="Times New Roman" w:cs="Times New Roman"/>
                <w:b/>
                <w:bCs/>
                <w:color w:val="000000"/>
                <w:lang w:val="nb-NO" w:eastAsia="nb-NO"/>
              </w:rPr>
              <w:t>Døgn-forbruk (kr)</w:t>
            </w:r>
          </w:p>
        </w:tc>
      </w:tr>
      <w:tr w:rsidR="007A274A" w:rsidRPr="00545991" w14:paraId="354E4068" w14:textId="77777777" w:rsidTr="009D5864">
        <w:trPr>
          <w:trHeight w:val="288"/>
        </w:trPr>
        <w:tc>
          <w:tcPr>
            <w:tcW w:w="2823" w:type="dxa"/>
            <w:tcBorders>
              <w:top w:val="single" w:sz="4" w:space="0" w:color="auto"/>
            </w:tcBorders>
            <w:shd w:val="clear" w:color="auto" w:fill="auto"/>
            <w:noWrap/>
            <w:vAlign w:val="center"/>
            <w:hideMark/>
          </w:tcPr>
          <w:p w14:paraId="3D678E69"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Overnatting</w:t>
            </w:r>
          </w:p>
        </w:tc>
        <w:tc>
          <w:tcPr>
            <w:tcW w:w="992" w:type="dxa"/>
            <w:tcBorders>
              <w:top w:val="single" w:sz="4" w:space="0" w:color="auto"/>
            </w:tcBorders>
            <w:shd w:val="clear" w:color="auto" w:fill="auto"/>
            <w:noWrap/>
            <w:vAlign w:val="center"/>
            <w:hideMark/>
          </w:tcPr>
          <w:p w14:paraId="48CF2371"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1,02</w:t>
            </w:r>
          </w:p>
        </w:tc>
        <w:tc>
          <w:tcPr>
            <w:tcW w:w="1539" w:type="dxa"/>
            <w:tcBorders>
              <w:top w:val="single" w:sz="4" w:space="0" w:color="auto"/>
            </w:tcBorders>
            <w:shd w:val="clear" w:color="auto" w:fill="auto"/>
            <w:noWrap/>
            <w:vAlign w:val="center"/>
          </w:tcPr>
          <w:p w14:paraId="4D8F82F6"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309" w:type="dxa"/>
            <w:tcBorders>
              <w:top w:val="single" w:sz="4" w:space="0" w:color="auto"/>
            </w:tcBorders>
            <w:vAlign w:val="center"/>
          </w:tcPr>
          <w:p w14:paraId="159FFA33"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r>
      <w:tr w:rsidR="007A274A" w:rsidRPr="00545991" w14:paraId="7AAFB91A" w14:textId="77777777" w:rsidTr="009D5864">
        <w:trPr>
          <w:trHeight w:val="288"/>
        </w:trPr>
        <w:tc>
          <w:tcPr>
            <w:tcW w:w="2823" w:type="dxa"/>
            <w:shd w:val="clear" w:color="auto" w:fill="auto"/>
            <w:noWrap/>
            <w:vAlign w:val="center"/>
            <w:hideMark/>
          </w:tcPr>
          <w:p w14:paraId="1609B35F"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Servering</w:t>
            </w:r>
          </w:p>
        </w:tc>
        <w:tc>
          <w:tcPr>
            <w:tcW w:w="992" w:type="dxa"/>
            <w:shd w:val="clear" w:color="auto" w:fill="auto"/>
            <w:noWrap/>
            <w:vAlign w:val="center"/>
            <w:hideMark/>
          </w:tcPr>
          <w:p w14:paraId="0D32F1F8"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0,46</w:t>
            </w:r>
          </w:p>
        </w:tc>
        <w:tc>
          <w:tcPr>
            <w:tcW w:w="1539" w:type="dxa"/>
            <w:shd w:val="clear" w:color="auto" w:fill="auto"/>
            <w:noWrap/>
            <w:vAlign w:val="center"/>
          </w:tcPr>
          <w:p w14:paraId="7679823E"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309" w:type="dxa"/>
            <w:vAlign w:val="center"/>
          </w:tcPr>
          <w:p w14:paraId="2E868BD8"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r>
      <w:tr w:rsidR="007A274A" w:rsidRPr="00545991" w14:paraId="7387934C" w14:textId="77777777" w:rsidTr="009D5864">
        <w:trPr>
          <w:trHeight w:val="288"/>
        </w:trPr>
        <w:tc>
          <w:tcPr>
            <w:tcW w:w="2823" w:type="dxa"/>
            <w:shd w:val="clear" w:color="auto" w:fill="auto"/>
            <w:noWrap/>
            <w:vAlign w:val="center"/>
            <w:hideMark/>
          </w:tcPr>
          <w:p w14:paraId="425D2044"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Kjøp av dagligvarer</w:t>
            </w:r>
          </w:p>
        </w:tc>
        <w:tc>
          <w:tcPr>
            <w:tcW w:w="992" w:type="dxa"/>
            <w:shd w:val="clear" w:color="auto" w:fill="auto"/>
            <w:noWrap/>
            <w:vAlign w:val="center"/>
            <w:hideMark/>
          </w:tcPr>
          <w:p w14:paraId="09ABBA6E"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0,52</w:t>
            </w:r>
          </w:p>
        </w:tc>
        <w:tc>
          <w:tcPr>
            <w:tcW w:w="1539" w:type="dxa"/>
            <w:shd w:val="clear" w:color="auto" w:fill="auto"/>
            <w:noWrap/>
            <w:vAlign w:val="center"/>
          </w:tcPr>
          <w:p w14:paraId="1C1BCCC1"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309" w:type="dxa"/>
            <w:vAlign w:val="center"/>
          </w:tcPr>
          <w:p w14:paraId="718AC3D4"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r>
      <w:tr w:rsidR="007A274A" w:rsidRPr="00545991" w14:paraId="2A73EB30" w14:textId="77777777" w:rsidTr="009D5864">
        <w:trPr>
          <w:trHeight w:val="288"/>
        </w:trPr>
        <w:tc>
          <w:tcPr>
            <w:tcW w:w="2823" w:type="dxa"/>
            <w:shd w:val="clear" w:color="auto" w:fill="auto"/>
            <w:noWrap/>
            <w:vAlign w:val="center"/>
            <w:hideMark/>
          </w:tcPr>
          <w:p w14:paraId="332AD168"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Øvrige innkjøp</w:t>
            </w:r>
          </w:p>
        </w:tc>
        <w:tc>
          <w:tcPr>
            <w:tcW w:w="992" w:type="dxa"/>
            <w:shd w:val="clear" w:color="auto" w:fill="auto"/>
            <w:noWrap/>
            <w:vAlign w:val="center"/>
            <w:hideMark/>
          </w:tcPr>
          <w:p w14:paraId="0CB053E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0,46</w:t>
            </w:r>
          </w:p>
        </w:tc>
        <w:tc>
          <w:tcPr>
            <w:tcW w:w="1539" w:type="dxa"/>
            <w:shd w:val="clear" w:color="auto" w:fill="auto"/>
            <w:noWrap/>
            <w:vAlign w:val="center"/>
          </w:tcPr>
          <w:p w14:paraId="6390A06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309" w:type="dxa"/>
            <w:vAlign w:val="center"/>
          </w:tcPr>
          <w:p w14:paraId="3E67AD66"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r>
      <w:tr w:rsidR="007A274A" w:rsidRPr="00545991" w14:paraId="214A0BE0" w14:textId="77777777" w:rsidTr="009D5864">
        <w:trPr>
          <w:trHeight w:val="288"/>
        </w:trPr>
        <w:tc>
          <w:tcPr>
            <w:tcW w:w="2823" w:type="dxa"/>
            <w:shd w:val="clear" w:color="auto" w:fill="auto"/>
            <w:noWrap/>
            <w:vAlign w:val="center"/>
            <w:hideMark/>
          </w:tcPr>
          <w:p w14:paraId="3C124EB4"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Transport</w:t>
            </w:r>
          </w:p>
        </w:tc>
        <w:tc>
          <w:tcPr>
            <w:tcW w:w="992" w:type="dxa"/>
            <w:shd w:val="clear" w:color="auto" w:fill="auto"/>
            <w:noWrap/>
            <w:vAlign w:val="center"/>
            <w:hideMark/>
          </w:tcPr>
          <w:p w14:paraId="2562270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1,31</w:t>
            </w:r>
          </w:p>
        </w:tc>
        <w:tc>
          <w:tcPr>
            <w:tcW w:w="1539" w:type="dxa"/>
            <w:shd w:val="clear" w:color="auto" w:fill="auto"/>
            <w:noWrap/>
            <w:vAlign w:val="center"/>
          </w:tcPr>
          <w:p w14:paraId="418131DB"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309" w:type="dxa"/>
            <w:vAlign w:val="center"/>
          </w:tcPr>
          <w:p w14:paraId="14627C5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r>
      <w:tr w:rsidR="007A274A" w:rsidRPr="00545991" w14:paraId="7B8D7264" w14:textId="77777777" w:rsidTr="009D5864">
        <w:trPr>
          <w:trHeight w:val="288"/>
        </w:trPr>
        <w:tc>
          <w:tcPr>
            <w:tcW w:w="2823" w:type="dxa"/>
            <w:tcBorders>
              <w:bottom w:val="single" w:sz="4" w:space="0" w:color="auto"/>
            </w:tcBorders>
            <w:shd w:val="clear" w:color="auto" w:fill="auto"/>
            <w:noWrap/>
            <w:vAlign w:val="center"/>
            <w:hideMark/>
          </w:tcPr>
          <w:p w14:paraId="30B64F2B"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Aktiviteter og tjenester</w:t>
            </w:r>
          </w:p>
        </w:tc>
        <w:tc>
          <w:tcPr>
            <w:tcW w:w="992" w:type="dxa"/>
            <w:tcBorders>
              <w:bottom w:val="single" w:sz="4" w:space="0" w:color="auto"/>
            </w:tcBorders>
            <w:shd w:val="clear" w:color="auto" w:fill="auto"/>
            <w:noWrap/>
            <w:vAlign w:val="center"/>
            <w:hideMark/>
          </w:tcPr>
          <w:p w14:paraId="5D07E056"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3,47</w:t>
            </w:r>
          </w:p>
        </w:tc>
        <w:tc>
          <w:tcPr>
            <w:tcW w:w="1539" w:type="dxa"/>
            <w:tcBorders>
              <w:bottom w:val="single" w:sz="4" w:space="0" w:color="auto"/>
            </w:tcBorders>
            <w:shd w:val="clear" w:color="auto" w:fill="auto"/>
            <w:noWrap/>
            <w:vAlign w:val="center"/>
          </w:tcPr>
          <w:p w14:paraId="12363A88"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309" w:type="dxa"/>
            <w:tcBorders>
              <w:bottom w:val="single" w:sz="4" w:space="0" w:color="auto"/>
            </w:tcBorders>
            <w:vAlign w:val="center"/>
          </w:tcPr>
          <w:p w14:paraId="45702D7A"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r>
      <w:tr w:rsidR="007A274A" w:rsidRPr="00545991" w14:paraId="1F7D3C01" w14:textId="77777777" w:rsidTr="009D5864">
        <w:trPr>
          <w:trHeight w:val="300"/>
        </w:trPr>
        <w:tc>
          <w:tcPr>
            <w:tcW w:w="2823" w:type="dxa"/>
            <w:tcBorders>
              <w:top w:val="single" w:sz="4" w:space="0" w:color="auto"/>
            </w:tcBorders>
            <w:shd w:val="clear" w:color="auto" w:fill="auto"/>
            <w:noWrap/>
            <w:vAlign w:val="center"/>
            <w:hideMark/>
          </w:tcPr>
          <w:p w14:paraId="7C6A54B2"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Sum ekstern tilførsel</w:t>
            </w:r>
          </w:p>
        </w:tc>
        <w:tc>
          <w:tcPr>
            <w:tcW w:w="992" w:type="dxa"/>
            <w:tcBorders>
              <w:top w:val="single" w:sz="4" w:space="0" w:color="auto"/>
            </w:tcBorders>
            <w:shd w:val="clear" w:color="auto" w:fill="auto"/>
            <w:noWrap/>
            <w:vAlign w:val="center"/>
            <w:hideMark/>
          </w:tcPr>
          <w:p w14:paraId="16401FE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7,24</w:t>
            </w:r>
          </w:p>
        </w:tc>
        <w:tc>
          <w:tcPr>
            <w:tcW w:w="1539" w:type="dxa"/>
            <w:tcBorders>
              <w:top w:val="single" w:sz="4" w:space="0" w:color="auto"/>
            </w:tcBorders>
            <w:shd w:val="clear" w:color="auto" w:fill="auto"/>
            <w:noWrap/>
            <w:vAlign w:val="center"/>
            <w:hideMark/>
          </w:tcPr>
          <w:p w14:paraId="3515E3A0"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2 224 </w:t>
            </w:r>
          </w:p>
        </w:tc>
        <w:tc>
          <w:tcPr>
            <w:tcW w:w="1309" w:type="dxa"/>
            <w:tcBorders>
              <w:top w:val="single" w:sz="4" w:space="0" w:color="auto"/>
            </w:tcBorders>
            <w:vAlign w:val="center"/>
          </w:tcPr>
          <w:p w14:paraId="23CA35C3"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148</w:t>
            </w:r>
          </w:p>
        </w:tc>
      </w:tr>
      <w:tr w:rsidR="007A274A" w:rsidRPr="00545991" w14:paraId="3DDF9EBB" w14:textId="77777777" w:rsidTr="009D5864">
        <w:trPr>
          <w:trHeight w:val="300"/>
        </w:trPr>
        <w:tc>
          <w:tcPr>
            <w:tcW w:w="2823" w:type="dxa"/>
            <w:shd w:val="clear" w:color="auto" w:fill="auto"/>
            <w:noWrap/>
            <w:vAlign w:val="center"/>
          </w:tcPr>
          <w:p w14:paraId="2273B4C0"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Dekket av arrangøren:</w:t>
            </w:r>
          </w:p>
        </w:tc>
        <w:tc>
          <w:tcPr>
            <w:tcW w:w="992" w:type="dxa"/>
            <w:shd w:val="clear" w:color="auto" w:fill="auto"/>
            <w:noWrap/>
            <w:vAlign w:val="center"/>
          </w:tcPr>
          <w:p w14:paraId="4BEA010B"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539" w:type="dxa"/>
            <w:shd w:val="clear" w:color="auto" w:fill="auto"/>
            <w:noWrap/>
            <w:vAlign w:val="center"/>
          </w:tcPr>
          <w:p w14:paraId="6B36CDEC"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309" w:type="dxa"/>
            <w:vAlign w:val="center"/>
          </w:tcPr>
          <w:p w14:paraId="3086C927"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r>
      <w:tr w:rsidR="007A274A" w:rsidRPr="00545991" w14:paraId="33CD2C2C" w14:textId="77777777" w:rsidTr="009D5864">
        <w:trPr>
          <w:trHeight w:val="300"/>
        </w:trPr>
        <w:tc>
          <w:tcPr>
            <w:tcW w:w="2823" w:type="dxa"/>
            <w:tcBorders>
              <w:bottom w:val="single" w:sz="4" w:space="0" w:color="auto"/>
            </w:tcBorders>
            <w:shd w:val="clear" w:color="auto" w:fill="auto"/>
            <w:noWrap/>
            <w:vAlign w:val="center"/>
          </w:tcPr>
          <w:p w14:paraId="46D9434D" w14:textId="77777777" w:rsidR="007A274A" w:rsidRPr="00545991" w:rsidRDefault="007A274A" w:rsidP="007A274A">
            <w:pPr>
              <w:pStyle w:val="Listeavsnitt"/>
              <w:numPr>
                <w:ilvl w:val="0"/>
                <w:numId w:val="4"/>
              </w:numPr>
              <w:spacing w:after="0" w:line="240" w:lineRule="auto"/>
              <w:ind w:left="357" w:hanging="357"/>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Overnatting og servering</w:t>
            </w:r>
          </w:p>
        </w:tc>
        <w:tc>
          <w:tcPr>
            <w:tcW w:w="992" w:type="dxa"/>
            <w:tcBorders>
              <w:bottom w:val="single" w:sz="4" w:space="0" w:color="auto"/>
            </w:tcBorders>
            <w:shd w:val="clear" w:color="auto" w:fill="auto"/>
            <w:noWrap/>
            <w:vAlign w:val="center"/>
          </w:tcPr>
          <w:p w14:paraId="17F7B2D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45,20</w:t>
            </w:r>
          </w:p>
        </w:tc>
        <w:tc>
          <w:tcPr>
            <w:tcW w:w="1539" w:type="dxa"/>
            <w:tcBorders>
              <w:bottom w:val="single" w:sz="4" w:space="0" w:color="auto"/>
            </w:tcBorders>
            <w:shd w:val="clear" w:color="auto" w:fill="auto"/>
            <w:noWrap/>
            <w:vAlign w:val="center"/>
          </w:tcPr>
          <w:p w14:paraId="1495DCF2"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c>
          <w:tcPr>
            <w:tcW w:w="1309" w:type="dxa"/>
            <w:tcBorders>
              <w:bottom w:val="single" w:sz="4" w:space="0" w:color="auto"/>
            </w:tcBorders>
            <w:vAlign w:val="center"/>
          </w:tcPr>
          <w:p w14:paraId="5449F1C6"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p>
        </w:tc>
      </w:tr>
      <w:tr w:rsidR="007A274A" w:rsidRPr="00545991" w14:paraId="124F9AAC" w14:textId="77777777" w:rsidTr="009D5864">
        <w:trPr>
          <w:trHeight w:val="300"/>
        </w:trPr>
        <w:tc>
          <w:tcPr>
            <w:tcW w:w="2823" w:type="dxa"/>
            <w:tcBorders>
              <w:top w:val="single" w:sz="4" w:space="0" w:color="auto"/>
              <w:bottom w:val="single" w:sz="4" w:space="0" w:color="auto"/>
            </w:tcBorders>
            <w:shd w:val="clear" w:color="auto" w:fill="auto"/>
            <w:noWrap/>
            <w:vAlign w:val="center"/>
          </w:tcPr>
          <w:p w14:paraId="61245565" w14:textId="4F373D4C" w:rsidR="007A274A" w:rsidRPr="00545991" w:rsidRDefault="007A274A" w:rsidP="005E5DDB">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Sum </w:t>
            </w:r>
          </w:p>
        </w:tc>
        <w:tc>
          <w:tcPr>
            <w:tcW w:w="992" w:type="dxa"/>
            <w:tcBorders>
              <w:top w:val="single" w:sz="4" w:space="0" w:color="auto"/>
              <w:bottom w:val="single" w:sz="4" w:space="0" w:color="auto"/>
            </w:tcBorders>
            <w:shd w:val="clear" w:color="auto" w:fill="auto"/>
            <w:noWrap/>
            <w:vAlign w:val="center"/>
          </w:tcPr>
          <w:p w14:paraId="49ECF37C"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52,44</w:t>
            </w:r>
          </w:p>
        </w:tc>
        <w:tc>
          <w:tcPr>
            <w:tcW w:w="1539" w:type="dxa"/>
            <w:tcBorders>
              <w:top w:val="single" w:sz="4" w:space="0" w:color="auto"/>
              <w:bottom w:val="single" w:sz="4" w:space="0" w:color="auto"/>
            </w:tcBorders>
            <w:shd w:val="clear" w:color="auto" w:fill="auto"/>
            <w:noWrap/>
            <w:vAlign w:val="center"/>
          </w:tcPr>
          <w:p w14:paraId="2245B630"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16 106</w:t>
            </w:r>
          </w:p>
        </w:tc>
        <w:tc>
          <w:tcPr>
            <w:tcW w:w="1309" w:type="dxa"/>
            <w:tcBorders>
              <w:top w:val="single" w:sz="4" w:space="0" w:color="auto"/>
              <w:bottom w:val="single" w:sz="4" w:space="0" w:color="auto"/>
            </w:tcBorders>
            <w:vAlign w:val="center"/>
          </w:tcPr>
          <w:p w14:paraId="676B169E"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1 074</w:t>
            </w:r>
          </w:p>
        </w:tc>
      </w:tr>
    </w:tbl>
    <w:p w14:paraId="12ED61D9" w14:textId="77777777" w:rsidR="007A274A" w:rsidRPr="00545991" w:rsidRDefault="007A274A" w:rsidP="007A274A">
      <w:pPr>
        <w:spacing w:line="360" w:lineRule="auto"/>
        <w:jc w:val="both"/>
        <w:rPr>
          <w:rFonts w:ascii="Times New Roman" w:hAnsi="Times New Roman" w:cs="Times New Roman"/>
          <w:sz w:val="24"/>
          <w:szCs w:val="24"/>
          <w:lang w:val="nb-NO"/>
        </w:rPr>
      </w:pPr>
    </w:p>
    <w:p w14:paraId="37CF7F80" w14:textId="7EEDAC99" w:rsidR="007A274A" w:rsidRPr="00545991" w:rsidRDefault="007A274A" w:rsidP="00850197">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Hvordan forholder disse tallene seg til forbruket som ordinære sommerturister har, dvs. turister som ville </w:t>
      </w:r>
      <w:r w:rsidR="002D111A">
        <w:rPr>
          <w:rFonts w:ascii="Times New Roman" w:hAnsi="Times New Roman" w:cs="Times New Roman"/>
          <w:sz w:val="24"/>
          <w:szCs w:val="24"/>
          <w:lang w:val="nb-NO"/>
        </w:rPr>
        <w:t xml:space="preserve">ha </w:t>
      </w:r>
      <w:r w:rsidRPr="00545991">
        <w:rPr>
          <w:rFonts w:ascii="Times New Roman" w:hAnsi="Times New Roman" w:cs="Times New Roman"/>
          <w:sz w:val="24"/>
          <w:szCs w:val="24"/>
          <w:lang w:val="nb-NO"/>
        </w:rPr>
        <w:t>kommet til Tromsø</w:t>
      </w:r>
      <w:r w:rsidR="008A194B">
        <w:rPr>
          <w:rFonts w:ascii="Times New Roman" w:hAnsi="Times New Roman" w:cs="Times New Roman"/>
          <w:sz w:val="24"/>
          <w:szCs w:val="24"/>
          <w:lang w:val="nb-NO"/>
        </w:rPr>
        <w:t>,</w:t>
      </w:r>
      <w:r w:rsidRPr="00545991">
        <w:rPr>
          <w:rFonts w:ascii="Times New Roman" w:hAnsi="Times New Roman" w:cs="Times New Roman"/>
          <w:sz w:val="24"/>
          <w:szCs w:val="24"/>
          <w:lang w:val="nb-NO"/>
        </w:rPr>
        <w:t xml:space="preserve"> men som ble fortrengt av arrangementet? Innovasjon Norge</w:t>
      </w:r>
      <w:r w:rsidR="00D33C41">
        <w:rPr>
          <w:rFonts w:ascii="Times New Roman" w:hAnsi="Times New Roman" w:cs="Times New Roman"/>
          <w:sz w:val="24"/>
          <w:szCs w:val="24"/>
          <w:lang w:val="nb-NO"/>
        </w:rPr>
        <w:t xml:space="preserve"> sin t</w:t>
      </w:r>
      <w:r w:rsidRPr="00545991">
        <w:rPr>
          <w:rFonts w:ascii="Times New Roman" w:hAnsi="Times New Roman" w:cs="Times New Roman"/>
          <w:sz w:val="24"/>
          <w:szCs w:val="24"/>
          <w:lang w:val="nb-NO"/>
        </w:rPr>
        <w:t>uristundersøkelse</w:t>
      </w:r>
      <w:r w:rsidR="00EE68CB" w:rsidRPr="00545991">
        <w:rPr>
          <w:rFonts w:ascii="Times New Roman" w:hAnsi="Times New Roman" w:cs="Times New Roman"/>
          <w:sz w:val="24"/>
          <w:szCs w:val="24"/>
          <w:lang w:val="nb-NO"/>
        </w:rPr>
        <w:t xml:space="preserve"> gir som nevnt forbrukstall for </w:t>
      </w:r>
      <w:r w:rsidRPr="00545991">
        <w:rPr>
          <w:rFonts w:ascii="Times New Roman" w:hAnsi="Times New Roman" w:cs="Times New Roman"/>
          <w:sz w:val="24"/>
          <w:szCs w:val="24"/>
          <w:lang w:val="nb-NO"/>
        </w:rPr>
        <w:t xml:space="preserve">norske og utenlandske turister. </w:t>
      </w:r>
      <w:r w:rsidR="00EE68CB" w:rsidRPr="00545991">
        <w:rPr>
          <w:rFonts w:ascii="Times New Roman" w:hAnsi="Times New Roman" w:cs="Times New Roman"/>
          <w:sz w:val="24"/>
          <w:szCs w:val="24"/>
          <w:lang w:val="nb-NO"/>
        </w:rPr>
        <w:t xml:space="preserve">Forbrukstallene kan fordeles på sesong og besøksregion. </w:t>
      </w:r>
      <w:r w:rsidRPr="00545991">
        <w:rPr>
          <w:rFonts w:ascii="Times New Roman" w:hAnsi="Times New Roman" w:cs="Times New Roman"/>
          <w:sz w:val="24"/>
          <w:szCs w:val="24"/>
          <w:lang w:val="nb-NO"/>
        </w:rPr>
        <w:t xml:space="preserve">Tabell </w:t>
      </w:r>
      <w:r w:rsidR="00D33C41">
        <w:rPr>
          <w:rFonts w:ascii="Times New Roman" w:hAnsi="Times New Roman" w:cs="Times New Roman"/>
          <w:sz w:val="24"/>
          <w:szCs w:val="24"/>
          <w:lang w:val="nb-NO"/>
        </w:rPr>
        <w:t>6</w:t>
      </w:r>
      <w:r w:rsidRPr="00545991">
        <w:rPr>
          <w:rFonts w:ascii="Times New Roman" w:hAnsi="Times New Roman" w:cs="Times New Roman"/>
          <w:sz w:val="24"/>
          <w:szCs w:val="24"/>
          <w:lang w:val="nb-NO"/>
        </w:rPr>
        <w:t xml:space="preserve"> viser gjennom</w:t>
      </w:r>
      <w:r w:rsidRPr="00545991">
        <w:rPr>
          <w:rFonts w:ascii="Times New Roman" w:hAnsi="Times New Roman" w:cs="Times New Roman"/>
          <w:sz w:val="24"/>
          <w:szCs w:val="24"/>
          <w:lang w:val="nb-NO"/>
        </w:rPr>
        <w:softHyphen/>
        <w:t xml:space="preserve">snittlig daglig </w:t>
      </w:r>
      <w:r w:rsidRPr="00545991">
        <w:rPr>
          <w:rFonts w:ascii="Times New Roman" w:hAnsi="Times New Roman" w:cs="Times New Roman"/>
          <w:sz w:val="24"/>
          <w:szCs w:val="24"/>
          <w:lang w:val="nb-NO"/>
        </w:rPr>
        <w:lastRenderedPageBreak/>
        <w:t xml:space="preserve">forbruk </w:t>
      </w:r>
      <w:r w:rsidR="00EE68CB" w:rsidRPr="00545991">
        <w:rPr>
          <w:rFonts w:ascii="Times New Roman" w:hAnsi="Times New Roman" w:cs="Times New Roman"/>
          <w:sz w:val="24"/>
          <w:szCs w:val="24"/>
          <w:lang w:val="nb-NO"/>
        </w:rPr>
        <w:t xml:space="preserve">av </w:t>
      </w:r>
      <w:r w:rsidRPr="00545991">
        <w:rPr>
          <w:rFonts w:ascii="Times New Roman" w:hAnsi="Times New Roman" w:cs="Times New Roman"/>
          <w:sz w:val="24"/>
          <w:szCs w:val="24"/>
          <w:lang w:val="nb-NO"/>
        </w:rPr>
        <w:t xml:space="preserve">varer og tjenester </w:t>
      </w:r>
      <w:r w:rsidR="00EE68CB" w:rsidRPr="00545991">
        <w:rPr>
          <w:rFonts w:ascii="Times New Roman" w:hAnsi="Times New Roman" w:cs="Times New Roman"/>
          <w:sz w:val="24"/>
          <w:szCs w:val="24"/>
          <w:lang w:val="nb-NO"/>
        </w:rPr>
        <w:t>(</w:t>
      </w:r>
      <w:r w:rsidRPr="00545991">
        <w:rPr>
          <w:rFonts w:ascii="Times New Roman" w:hAnsi="Times New Roman" w:cs="Times New Roman"/>
          <w:sz w:val="24"/>
          <w:szCs w:val="24"/>
          <w:lang w:val="nb-NO"/>
        </w:rPr>
        <w:t>annet enn overnatting og transport</w:t>
      </w:r>
      <w:r w:rsidR="00EE68CB" w:rsidRPr="00545991">
        <w:rPr>
          <w:rFonts w:ascii="Times New Roman" w:hAnsi="Times New Roman" w:cs="Times New Roman"/>
          <w:sz w:val="24"/>
          <w:szCs w:val="24"/>
          <w:lang w:val="nb-NO"/>
        </w:rPr>
        <w:t>)</w:t>
      </w:r>
      <w:r w:rsidRPr="00545991">
        <w:rPr>
          <w:rFonts w:ascii="Times New Roman" w:hAnsi="Times New Roman" w:cs="Times New Roman"/>
          <w:sz w:val="24"/>
          <w:szCs w:val="24"/>
          <w:lang w:val="nb-NO"/>
        </w:rPr>
        <w:t xml:space="preserve"> for individuelle sommer</w:t>
      </w:r>
      <w:r w:rsidR="000269AE">
        <w:rPr>
          <w:rFonts w:ascii="Times New Roman" w:hAnsi="Times New Roman" w:cs="Times New Roman"/>
          <w:sz w:val="24"/>
          <w:szCs w:val="24"/>
          <w:lang w:val="nb-NO"/>
        </w:rPr>
        <w:softHyphen/>
      </w:r>
      <w:r w:rsidRPr="00545991">
        <w:rPr>
          <w:rFonts w:ascii="Times New Roman" w:hAnsi="Times New Roman" w:cs="Times New Roman"/>
          <w:sz w:val="24"/>
          <w:szCs w:val="24"/>
          <w:lang w:val="nb-NO"/>
        </w:rPr>
        <w:t>turister (dvs. ikke pakketurister) til Nord-Norge som overnatter på hotell. Tallene er et vektet gjennomsnitt av årene 2013-2015 (estimatene er basert på knapt 400 observasjoner)</w:t>
      </w:r>
      <w:r w:rsidR="00D33C41">
        <w:rPr>
          <w:rStyle w:val="Fotnotereferanse"/>
          <w:rFonts w:ascii="Times New Roman" w:hAnsi="Times New Roman" w:cs="Times New Roman"/>
          <w:sz w:val="24"/>
          <w:szCs w:val="24"/>
          <w:lang w:val="nb-NO"/>
        </w:rPr>
        <w:footnoteReference w:id="6"/>
      </w:r>
      <w:r w:rsidRPr="00545991">
        <w:rPr>
          <w:rFonts w:ascii="Times New Roman" w:hAnsi="Times New Roman" w:cs="Times New Roman"/>
          <w:sz w:val="24"/>
          <w:szCs w:val="24"/>
          <w:lang w:val="nb-NO"/>
        </w:rPr>
        <w:t xml:space="preserve">. </w:t>
      </w:r>
    </w:p>
    <w:p w14:paraId="2E5B17C9" w14:textId="089FC057" w:rsidR="007A274A" w:rsidRPr="00545991" w:rsidRDefault="007A274A" w:rsidP="00850197">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I henhold til disse tallene bruker en gjennomsnittlig hotellturist i Nord-Norge ca</w:t>
      </w:r>
      <w:r w:rsidR="000269AE">
        <w:rPr>
          <w:rFonts w:ascii="Times New Roman" w:hAnsi="Times New Roman" w:cs="Times New Roman"/>
          <w:sz w:val="24"/>
          <w:szCs w:val="24"/>
          <w:lang w:val="nb-NO"/>
        </w:rPr>
        <w:t>.</w:t>
      </w:r>
      <w:r w:rsidRPr="00545991">
        <w:rPr>
          <w:rFonts w:ascii="Times New Roman" w:hAnsi="Times New Roman" w:cs="Times New Roman"/>
          <w:sz w:val="24"/>
          <w:szCs w:val="24"/>
          <w:lang w:val="nb-NO"/>
        </w:rPr>
        <w:t xml:space="preserve"> 1 000 </w:t>
      </w:r>
      <w:r w:rsidR="002D111A">
        <w:rPr>
          <w:rFonts w:ascii="Times New Roman" w:hAnsi="Times New Roman" w:cs="Times New Roman"/>
          <w:sz w:val="24"/>
          <w:szCs w:val="24"/>
          <w:lang w:val="nb-NO"/>
        </w:rPr>
        <w:t xml:space="preserve">kroner </w:t>
      </w:r>
      <w:r w:rsidRPr="00545991">
        <w:rPr>
          <w:rFonts w:ascii="Times New Roman" w:hAnsi="Times New Roman" w:cs="Times New Roman"/>
          <w:sz w:val="24"/>
          <w:szCs w:val="24"/>
          <w:lang w:val="nb-NO"/>
        </w:rPr>
        <w:t>per dag til oppholdsutgifter utover overnatting og transport. Dette inkluderer utgifter til mat og andre vareinnkjøp, fornøyelser og andre tjenester (</w:t>
      </w:r>
      <w:r w:rsidR="003865D6">
        <w:rPr>
          <w:rFonts w:ascii="Times New Roman" w:hAnsi="Times New Roman" w:cs="Times New Roman"/>
          <w:sz w:val="24"/>
          <w:szCs w:val="24"/>
          <w:lang w:val="nb-NO"/>
        </w:rPr>
        <w:t xml:space="preserve">eksempelvis </w:t>
      </w:r>
      <w:r w:rsidRPr="00545991">
        <w:rPr>
          <w:rFonts w:ascii="Times New Roman" w:hAnsi="Times New Roman" w:cs="Times New Roman"/>
          <w:sz w:val="24"/>
          <w:szCs w:val="24"/>
          <w:lang w:val="nb-NO"/>
        </w:rPr>
        <w:t>frisør). Beløpet tilsvarer omtrent det totale dagsforbruket til de tilreisende til Sjakk-OL, overnatting in</w:t>
      </w:r>
      <w:r w:rsidR="00C025E2" w:rsidRPr="00545991">
        <w:rPr>
          <w:rFonts w:ascii="Times New Roman" w:hAnsi="Times New Roman" w:cs="Times New Roman"/>
          <w:sz w:val="24"/>
          <w:szCs w:val="24"/>
          <w:lang w:val="nb-NO"/>
        </w:rPr>
        <w:t>kludert. Posteringene i tabell 5 og 6</w:t>
      </w:r>
      <w:r w:rsidRPr="00545991">
        <w:rPr>
          <w:rFonts w:ascii="Times New Roman" w:hAnsi="Times New Roman" w:cs="Times New Roman"/>
          <w:sz w:val="24"/>
          <w:szCs w:val="24"/>
          <w:lang w:val="nb-NO"/>
        </w:rPr>
        <w:t xml:space="preserve"> er ulik, og tallene er derfor ikke direkte sammenlignbare. Posten øvrige innkjøp (tabell </w:t>
      </w:r>
      <w:r w:rsidR="00C025E2" w:rsidRPr="00545991">
        <w:rPr>
          <w:rFonts w:ascii="Times New Roman" w:hAnsi="Times New Roman" w:cs="Times New Roman"/>
          <w:sz w:val="24"/>
          <w:szCs w:val="24"/>
          <w:lang w:val="nb-NO"/>
        </w:rPr>
        <w:t>5</w:t>
      </w:r>
      <w:r w:rsidRPr="00545991">
        <w:rPr>
          <w:rFonts w:ascii="Times New Roman" w:hAnsi="Times New Roman" w:cs="Times New Roman"/>
          <w:sz w:val="24"/>
          <w:szCs w:val="24"/>
          <w:lang w:val="nb-NO"/>
        </w:rPr>
        <w:t>) og andre va</w:t>
      </w:r>
      <w:r w:rsidR="00C025E2" w:rsidRPr="00545991">
        <w:rPr>
          <w:rFonts w:ascii="Times New Roman" w:hAnsi="Times New Roman" w:cs="Times New Roman"/>
          <w:sz w:val="24"/>
          <w:szCs w:val="24"/>
          <w:lang w:val="nb-NO"/>
        </w:rPr>
        <w:t>rer utover dagligvarer (tabell 6</w:t>
      </w:r>
      <w:r w:rsidRPr="00545991">
        <w:rPr>
          <w:rFonts w:ascii="Times New Roman" w:hAnsi="Times New Roman" w:cs="Times New Roman"/>
          <w:sz w:val="24"/>
          <w:szCs w:val="24"/>
          <w:lang w:val="nb-NO"/>
        </w:rPr>
        <w:t xml:space="preserve">) relaterer seg imidlertid begge til </w:t>
      </w:r>
      <w:r w:rsidR="00FA64B4">
        <w:rPr>
          <w:rFonts w:ascii="Times New Roman" w:hAnsi="Times New Roman" w:cs="Times New Roman"/>
          <w:sz w:val="24"/>
          <w:szCs w:val="24"/>
          <w:lang w:val="nb-NO"/>
        </w:rPr>
        <w:t>innkjøp</w:t>
      </w:r>
      <w:r w:rsidR="00FA64B4" w:rsidRPr="00545991">
        <w:rPr>
          <w:rFonts w:ascii="Times New Roman" w:hAnsi="Times New Roman" w:cs="Times New Roman"/>
          <w:sz w:val="24"/>
          <w:szCs w:val="24"/>
          <w:lang w:val="nb-NO"/>
        </w:rPr>
        <w:t xml:space="preserve"> </w:t>
      </w:r>
      <w:r w:rsidRPr="00545991">
        <w:rPr>
          <w:rFonts w:ascii="Times New Roman" w:hAnsi="Times New Roman" w:cs="Times New Roman"/>
          <w:sz w:val="24"/>
          <w:szCs w:val="24"/>
          <w:lang w:val="nb-NO"/>
        </w:rPr>
        <w:t>i spesialforretninger, og her er forskjellene betydelige. Mens dagsforbruket til en ordinær sommerturist er ca</w:t>
      </w:r>
      <w:r w:rsidR="00220A0E">
        <w:rPr>
          <w:rFonts w:ascii="Times New Roman" w:hAnsi="Times New Roman" w:cs="Times New Roman"/>
          <w:sz w:val="24"/>
          <w:szCs w:val="24"/>
          <w:lang w:val="nb-NO"/>
        </w:rPr>
        <w:t>.</w:t>
      </w:r>
      <w:r w:rsidRPr="00545991">
        <w:rPr>
          <w:rFonts w:ascii="Times New Roman" w:hAnsi="Times New Roman" w:cs="Times New Roman"/>
          <w:sz w:val="24"/>
          <w:szCs w:val="24"/>
          <w:lang w:val="nb-NO"/>
        </w:rPr>
        <w:t xml:space="preserve"> 300 kroner for slike varer, brukte de tilreisende til Sjakk-OL knapt nok penger på denne typen forbruk (i gjennomsnitt 10 kroner per dag). Dette sammenfaller med at omsetningen i turismerelatert varehandel i Tromsø falt i juli/august 2014 sammenlignet med året før. KPI-justert var omsetningen i v</w:t>
      </w:r>
      <w:r w:rsidR="00EE68CB" w:rsidRPr="00545991">
        <w:rPr>
          <w:rFonts w:ascii="Times New Roman" w:hAnsi="Times New Roman" w:cs="Times New Roman"/>
          <w:sz w:val="24"/>
          <w:szCs w:val="24"/>
          <w:lang w:val="nb-NO"/>
        </w:rPr>
        <w:t xml:space="preserve">arehandelen 9 millioner </w:t>
      </w:r>
      <w:r w:rsidR="001803EB" w:rsidRPr="00545991">
        <w:rPr>
          <w:rFonts w:ascii="Times New Roman" w:hAnsi="Times New Roman" w:cs="Times New Roman"/>
          <w:sz w:val="24"/>
          <w:szCs w:val="24"/>
          <w:lang w:val="nb-NO"/>
        </w:rPr>
        <w:t xml:space="preserve">kroner </w:t>
      </w:r>
      <w:r w:rsidR="00EE68CB" w:rsidRPr="00545991">
        <w:rPr>
          <w:rFonts w:ascii="Times New Roman" w:hAnsi="Times New Roman" w:cs="Times New Roman"/>
          <w:sz w:val="24"/>
          <w:szCs w:val="24"/>
          <w:lang w:val="nb-NO"/>
        </w:rPr>
        <w:t xml:space="preserve">lavere </w:t>
      </w:r>
      <w:r w:rsidRPr="00545991">
        <w:rPr>
          <w:rFonts w:ascii="Times New Roman" w:hAnsi="Times New Roman" w:cs="Times New Roman"/>
          <w:sz w:val="24"/>
          <w:szCs w:val="24"/>
          <w:lang w:val="nb-NO"/>
        </w:rPr>
        <w:t>i juli/august 2014 sett opp mot samme periode i 2013, og 26 millioner lavere enn i 2015 (</w:t>
      </w:r>
      <w:r w:rsidR="00D33C41">
        <w:rPr>
          <w:rFonts w:ascii="Times New Roman" w:hAnsi="Times New Roman" w:cs="Times New Roman"/>
          <w:sz w:val="24"/>
          <w:szCs w:val="24"/>
          <w:lang w:val="nb-NO"/>
        </w:rPr>
        <w:t xml:space="preserve">tallene er basert på spesialkjøringer levert av </w:t>
      </w:r>
      <w:r w:rsidRPr="00545991">
        <w:rPr>
          <w:rFonts w:ascii="Times New Roman" w:hAnsi="Times New Roman" w:cs="Times New Roman"/>
          <w:sz w:val="24"/>
          <w:szCs w:val="24"/>
          <w:lang w:val="nb-NO"/>
        </w:rPr>
        <w:t>SSB)</w:t>
      </w:r>
      <w:r w:rsidR="004B3B8D" w:rsidRPr="00545991">
        <w:rPr>
          <w:rStyle w:val="Fotnotereferanse"/>
          <w:rFonts w:ascii="Times New Roman" w:hAnsi="Times New Roman" w:cs="Times New Roman"/>
          <w:sz w:val="24"/>
          <w:szCs w:val="24"/>
          <w:lang w:val="nb-NO"/>
        </w:rPr>
        <w:footnoteReference w:id="7"/>
      </w:r>
      <w:r w:rsidRPr="00545991">
        <w:rPr>
          <w:rFonts w:ascii="Times New Roman" w:hAnsi="Times New Roman" w:cs="Times New Roman"/>
          <w:sz w:val="24"/>
          <w:szCs w:val="24"/>
          <w:lang w:val="nb-NO"/>
        </w:rPr>
        <w:t xml:space="preserve">. </w:t>
      </w:r>
    </w:p>
    <w:p w14:paraId="77AC3C07" w14:textId="51E3DCB4" w:rsidR="007A274A" w:rsidRDefault="007A274A" w:rsidP="00850197">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I et normalår hadde man forventet 16 700 solgte romdøgn i første halvdel av august 2014 (jf. t</w:t>
      </w:r>
      <w:r w:rsidR="00C025E2" w:rsidRPr="00545991">
        <w:rPr>
          <w:rFonts w:ascii="Times New Roman" w:hAnsi="Times New Roman" w:cs="Times New Roman"/>
          <w:sz w:val="24"/>
          <w:szCs w:val="24"/>
          <w:lang w:val="nb-NO"/>
        </w:rPr>
        <w:t>abell 4</w:t>
      </w:r>
      <w:r w:rsidRPr="00545991">
        <w:rPr>
          <w:rFonts w:ascii="Times New Roman" w:hAnsi="Times New Roman" w:cs="Times New Roman"/>
          <w:sz w:val="24"/>
          <w:szCs w:val="24"/>
          <w:lang w:val="nb-NO"/>
        </w:rPr>
        <w:t>). Med 1,7 personer per rom, ville dette utgjort 28 300 overnattinger, og et samlet forbruk på 27,3 millioner. Dersom vi legger til estimerte losjiinntekter for hotellene</w:t>
      </w:r>
      <w:r w:rsidR="00C025E2" w:rsidRPr="00545991">
        <w:rPr>
          <w:rFonts w:ascii="Times New Roman" w:hAnsi="Times New Roman" w:cs="Times New Roman"/>
          <w:sz w:val="24"/>
          <w:szCs w:val="24"/>
          <w:lang w:val="nb-NO"/>
        </w:rPr>
        <w:t xml:space="preserve"> på 11,</w:t>
      </w:r>
      <w:r w:rsidR="003A452B">
        <w:rPr>
          <w:rFonts w:ascii="Times New Roman" w:hAnsi="Times New Roman" w:cs="Times New Roman"/>
          <w:sz w:val="24"/>
          <w:szCs w:val="24"/>
          <w:lang w:val="nb-NO"/>
        </w:rPr>
        <w:t>3</w:t>
      </w:r>
      <w:r w:rsidR="00C025E2" w:rsidRPr="00545991">
        <w:rPr>
          <w:rFonts w:ascii="Times New Roman" w:hAnsi="Times New Roman" w:cs="Times New Roman"/>
          <w:sz w:val="24"/>
          <w:szCs w:val="24"/>
          <w:lang w:val="nb-NO"/>
        </w:rPr>
        <w:t xml:space="preserve"> millioner (jf. tabell 4</w:t>
      </w:r>
      <w:r w:rsidRPr="00545991">
        <w:rPr>
          <w:rFonts w:ascii="Times New Roman" w:hAnsi="Times New Roman" w:cs="Times New Roman"/>
          <w:sz w:val="24"/>
          <w:szCs w:val="24"/>
          <w:lang w:val="nb-NO"/>
        </w:rPr>
        <w:t xml:space="preserve">), ender vi på en forventet samlet </w:t>
      </w:r>
      <w:r w:rsidR="00B86F35">
        <w:rPr>
          <w:rFonts w:ascii="Times New Roman" w:hAnsi="Times New Roman" w:cs="Times New Roman"/>
          <w:sz w:val="24"/>
          <w:szCs w:val="24"/>
          <w:lang w:val="nb-NO"/>
        </w:rPr>
        <w:t xml:space="preserve">ekstern </w:t>
      </w:r>
      <w:r w:rsidRPr="00545991">
        <w:rPr>
          <w:rFonts w:ascii="Times New Roman" w:hAnsi="Times New Roman" w:cs="Times New Roman"/>
          <w:sz w:val="24"/>
          <w:szCs w:val="24"/>
          <w:lang w:val="nb-NO"/>
        </w:rPr>
        <w:t>tilførsel på 38,</w:t>
      </w:r>
      <w:r w:rsidR="003B7F1B">
        <w:rPr>
          <w:rFonts w:ascii="Times New Roman" w:hAnsi="Times New Roman" w:cs="Times New Roman"/>
          <w:sz w:val="24"/>
          <w:szCs w:val="24"/>
          <w:lang w:val="nb-NO"/>
        </w:rPr>
        <w:t>6</w:t>
      </w:r>
      <w:r w:rsidRPr="00545991">
        <w:rPr>
          <w:rFonts w:ascii="Times New Roman" w:hAnsi="Times New Roman" w:cs="Times New Roman"/>
          <w:sz w:val="24"/>
          <w:szCs w:val="24"/>
          <w:lang w:val="nb-NO"/>
        </w:rPr>
        <w:t xml:space="preserve"> millioner kroner i første halvdel av august 2014, gitt at Sjakk-OL ikke var blitt avholdt. Sammenstiller vi dette med total tilførsel som </w:t>
      </w:r>
      <w:r w:rsidR="00B86F35">
        <w:rPr>
          <w:rFonts w:ascii="Times New Roman" w:hAnsi="Times New Roman" w:cs="Times New Roman"/>
          <w:sz w:val="24"/>
          <w:szCs w:val="24"/>
          <w:lang w:val="nb-NO"/>
        </w:rPr>
        <w:t>følge av arrangementet (tabell 5</w:t>
      </w:r>
      <w:r w:rsidRPr="00545991">
        <w:rPr>
          <w:rFonts w:ascii="Times New Roman" w:hAnsi="Times New Roman" w:cs="Times New Roman"/>
          <w:sz w:val="24"/>
          <w:szCs w:val="24"/>
          <w:lang w:val="nb-NO"/>
        </w:rPr>
        <w:t>), finner vi at Sjakk-OL ga en netto tilførsel til hotell-/serverings- og varehandels</w:t>
      </w:r>
      <w:r w:rsidRPr="00545991">
        <w:rPr>
          <w:rFonts w:ascii="Times New Roman" w:hAnsi="Times New Roman" w:cs="Times New Roman"/>
          <w:sz w:val="24"/>
          <w:szCs w:val="24"/>
          <w:lang w:val="nb-NO"/>
        </w:rPr>
        <w:softHyphen/>
        <w:t>bedriftene i Tromsø på anslagsvis 14 millioner. Vinnerne ble hotellene, mens detalj</w:t>
      </w:r>
      <w:r w:rsidRPr="00545991">
        <w:rPr>
          <w:rFonts w:ascii="Times New Roman" w:hAnsi="Times New Roman" w:cs="Times New Roman"/>
          <w:sz w:val="24"/>
          <w:szCs w:val="24"/>
          <w:lang w:val="nb-NO"/>
        </w:rPr>
        <w:softHyphen/>
        <w:t xml:space="preserve">handelen tapte på arrangementet. </w:t>
      </w:r>
    </w:p>
    <w:p w14:paraId="6E10AB4E" w14:textId="24DA8DBE" w:rsidR="000269AE" w:rsidRDefault="000269AE" w:rsidP="00850197">
      <w:pPr>
        <w:spacing w:line="360" w:lineRule="auto"/>
        <w:ind w:firstLine="708"/>
        <w:jc w:val="both"/>
        <w:rPr>
          <w:rFonts w:ascii="Times New Roman" w:hAnsi="Times New Roman" w:cs="Times New Roman"/>
          <w:sz w:val="24"/>
          <w:szCs w:val="24"/>
          <w:lang w:val="nb-NO"/>
        </w:rPr>
      </w:pPr>
    </w:p>
    <w:p w14:paraId="6F7C7F1F" w14:textId="68800786" w:rsidR="000269AE" w:rsidRDefault="000269AE" w:rsidP="00850197">
      <w:pPr>
        <w:spacing w:line="360" w:lineRule="auto"/>
        <w:ind w:firstLine="708"/>
        <w:jc w:val="both"/>
        <w:rPr>
          <w:rFonts w:ascii="Times New Roman" w:hAnsi="Times New Roman" w:cs="Times New Roman"/>
          <w:sz w:val="24"/>
          <w:szCs w:val="24"/>
          <w:lang w:val="nb-NO"/>
        </w:rPr>
      </w:pPr>
    </w:p>
    <w:p w14:paraId="12AD9B51" w14:textId="77777777" w:rsidR="000269AE" w:rsidRPr="00545991" w:rsidRDefault="000269AE" w:rsidP="00850197">
      <w:pPr>
        <w:spacing w:line="360" w:lineRule="auto"/>
        <w:ind w:firstLine="708"/>
        <w:jc w:val="both"/>
        <w:rPr>
          <w:rFonts w:ascii="Times New Roman" w:hAnsi="Times New Roman" w:cs="Times New Roman"/>
          <w:sz w:val="24"/>
          <w:szCs w:val="24"/>
          <w:lang w:val="nb-NO"/>
        </w:rPr>
      </w:pPr>
    </w:p>
    <w:p w14:paraId="2587D9B9" w14:textId="77777777" w:rsidR="007A274A" w:rsidRPr="00545991" w:rsidRDefault="00C025E2" w:rsidP="007A274A">
      <w:pPr>
        <w:spacing w:line="240" w:lineRule="auto"/>
        <w:jc w:val="both"/>
        <w:rPr>
          <w:rFonts w:ascii="Times New Roman" w:hAnsi="Times New Roman" w:cs="Times New Roman"/>
          <w:b/>
          <w:lang w:val="nb-NO"/>
        </w:rPr>
      </w:pPr>
      <w:r w:rsidRPr="00545991">
        <w:rPr>
          <w:rFonts w:ascii="Times New Roman" w:hAnsi="Times New Roman" w:cs="Times New Roman"/>
          <w:b/>
          <w:lang w:val="nb-NO"/>
        </w:rPr>
        <w:lastRenderedPageBreak/>
        <w:t>Tabell 6</w:t>
      </w:r>
      <w:r w:rsidR="007A274A" w:rsidRPr="00545991">
        <w:rPr>
          <w:rFonts w:ascii="Times New Roman" w:hAnsi="Times New Roman" w:cs="Times New Roman"/>
          <w:b/>
          <w:lang w:val="nb-NO"/>
        </w:rPr>
        <w:t>: Gjennomsnittlig daglig forbruk (minus overnatting og transport) blant sommerturister til Nord-Norge som overnatter på hotell. Kilde: Innovasjon Norge (Turistundersøkelsen)</w:t>
      </w:r>
    </w:p>
    <w:tbl>
      <w:tblPr>
        <w:tblW w:w="5816" w:type="dxa"/>
        <w:tblCellMar>
          <w:left w:w="70" w:type="dxa"/>
          <w:right w:w="70" w:type="dxa"/>
        </w:tblCellMar>
        <w:tblLook w:val="04A0" w:firstRow="1" w:lastRow="0" w:firstColumn="1" w:lastColumn="0" w:noHBand="0" w:noVBand="1"/>
      </w:tblPr>
      <w:tblGrid>
        <w:gridCol w:w="2981"/>
        <w:gridCol w:w="1252"/>
        <w:gridCol w:w="1583"/>
      </w:tblGrid>
      <w:tr w:rsidR="007A274A" w:rsidRPr="00545991" w14:paraId="21FC0B6E" w14:textId="77777777" w:rsidTr="009D5864">
        <w:trPr>
          <w:trHeight w:val="300"/>
        </w:trPr>
        <w:tc>
          <w:tcPr>
            <w:tcW w:w="2981" w:type="dxa"/>
            <w:tcBorders>
              <w:top w:val="single" w:sz="4" w:space="0" w:color="auto"/>
              <w:bottom w:val="single" w:sz="4" w:space="0" w:color="auto"/>
            </w:tcBorders>
            <w:shd w:val="clear" w:color="auto" w:fill="auto"/>
            <w:noWrap/>
            <w:vAlign w:val="bottom"/>
            <w:hideMark/>
          </w:tcPr>
          <w:p w14:paraId="67B84760" w14:textId="77777777" w:rsidR="007A274A" w:rsidRPr="00545991" w:rsidRDefault="007A274A" w:rsidP="009D5864">
            <w:pPr>
              <w:spacing w:after="0" w:line="240" w:lineRule="auto"/>
              <w:rPr>
                <w:rFonts w:ascii="Times New Roman" w:eastAsia="Times New Roman" w:hAnsi="Times New Roman" w:cs="Times New Roman"/>
                <w:b/>
                <w:color w:val="000000"/>
                <w:lang w:val="nb-NO" w:eastAsia="nb-NO"/>
              </w:rPr>
            </w:pPr>
            <w:r w:rsidRPr="00545991">
              <w:rPr>
                <w:rFonts w:ascii="Times New Roman" w:eastAsia="Times New Roman" w:hAnsi="Times New Roman" w:cs="Times New Roman"/>
                <w:b/>
                <w:color w:val="000000"/>
                <w:lang w:val="nb-NO" w:eastAsia="nb-NO"/>
              </w:rPr>
              <w:t>Forbrukstype</w:t>
            </w:r>
          </w:p>
        </w:tc>
        <w:tc>
          <w:tcPr>
            <w:tcW w:w="1252" w:type="dxa"/>
            <w:tcBorders>
              <w:top w:val="single" w:sz="4" w:space="0" w:color="auto"/>
              <w:bottom w:val="single" w:sz="4" w:space="0" w:color="auto"/>
            </w:tcBorders>
            <w:shd w:val="clear" w:color="auto" w:fill="auto"/>
            <w:noWrap/>
            <w:vAlign w:val="bottom"/>
            <w:hideMark/>
          </w:tcPr>
          <w:p w14:paraId="23971E6B" w14:textId="77777777" w:rsidR="007A274A" w:rsidRPr="00545991" w:rsidRDefault="007A274A" w:rsidP="009D5864">
            <w:pPr>
              <w:spacing w:after="0" w:line="240" w:lineRule="auto"/>
              <w:jc w:val="right"/>
              <w:rPr>
                <w:rFonts w:ascii="Times New Roman" w:eastAsia="Times New Roman" w:hAnsi="Times New Roman" w:cs="Times New Roman"/>
                <w:b/>
                <w:color w:val="000000"/>
                <w:lang w:val="nb-NO" w:eastAsia="nb-NO"/>
              </w:rPr>
            </w:pPr>
            <w:r w:rsidRPr="00545991">
              <w:rPr>
                <w:rFonts w:ascii="Times New Roman" w:eastAsia="Times New Roman" w:hAnsi="Times New Roman" w:cs="Times New Roman"/>
                <w:b/>
                <w:color w:val="000000"/>
                <w:lang w:val="nb-NO" w:eastAsia="nb-NO"/>
              </w:rPr>
              <w:t>Dags</w:t>
            </w:r>
            <w:r w:rsidRPr="00545991">
              <w:rPr>
                <w:rFonts w:ascii="Times New Roman" w:eastAsia="Times New Roman" w:hAnsi="Times New Roman" w:cs="Times New Roman"/>
                <w:b/>
                <w:color w:val="000000"/>
                <w:lang w:val="nb-NO" w:eastAsia="nb-NO"/>
              </w:rPr>
              <w:softHyphen/>
              <w:t>-forbruk</w:t>
            </w:r>
          </w:p>
        </w:tc>
        <w:tc>
          <w:tcPr>
            <w:tcW w:w="1583" w:type="dxa"/>
            <w:tcBorders>
              <w:top w:val="single" w:sz="4" w:space="0" w:color="auto"/>
              <w:bottom w:val="single" w:sz="4" w:space="0" w:color="auto"/>
            </w:tcBorders>
            <w:shd w:val="clear" w:color="auto" w:fill="auto"/>
            <w:noWrap/>
            <w:vAlign w:val="bottom"/>
            <w:hideMark/>
          </w:tcPr>
          <w:p w14:paraId="7776C1F7" w14:textId="77777777" w:rsidR="007A274A" w:rsidRPr="00545991" w:rsidRDefault="007A274A" w:rsidP="009D5864">
            <w:pPr>
              <w:spacing w:after="0" w:line="240" w:lineRule="auto"/>
              <w:jc w:val="right"/>
              <w:rPr>
                <w:rFonts w:ascii="Times New Roman" w:eastAsia="Times New Roman" w:hAnsi="Times New Roman" w:cs="Times New Roman"/>
                <w:b/>
                <w:color w:val="000000"/>
                <w:lang w:val="nb-NO" w:eastAsia="nb-NO"/>
              </w:rPr>
            </w:pPr>
            <w:r w:rsidRPr="00545991">
              <w:rPr>
                <w:rFonts w:ascii="Times New Roman" w:eastAsia="Times New Roman" w:hAnsi="Times New Roman" w:cs="Times New Roman"/>
                <w:b/>
                <w:color w:val="000000"/>
                <w:lang w:val="nb-NO" w:eastAsia="nb-NO"/>
              </w:rPr>
              <w:t>Totalt forbruk</w:t>
            </w:r>
            <w:r w:rsidRPr="00545991">
              <w:rPr>
                <w:rFonts w:ascii="Times New Roman" w:eastAsia="Times New Roman" w:hAnsi="Times New Roman" w:cs="Times New Roman"/>
                <w:b/>
                <w:color w:val="000000"/>
                <w:lang w:val="nb-NO" w:eastAsia="nb-NO"/>
              </w:rPr>
              <w:br/>
              <w:t>(mill. kr)</w:t>
            </w:r>
          </w:p>
        </w:tc>
      </w:tr>
      <w:tr w:rsidR="007A274A" w:rsidRPr="00545991" w14:paraId="5F79E7EA" w14:textId="77777777" w:rsidTr="009D5864">
        <w:trPr>
          <w:trHeight w:val="300"/>
        </w:trPr>
        <w:tc>
          <w:tcPr>
            <w:tcW w:w="2981" w:type="dxa"/>
            <w:tcBorders>
              <w:top w:val="single" w:sz="4" w:space="0" w:color="auto"/>
            </w:tcBorders>
            <w:shd w:val="clear" w:color="auto" w:fill="auto"/>
            <w:noWrap/>
            <w:vAlign w:val="bottom"/>
            <w:hideMark/>
          </w:tcPr>
          <w:p w14:paraId="5D4F479C"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Dagligvarer</w:t>
            </w:r>
          </w:p>
        </w:tc>
        <w:tc>
          <w:tcPr>
            <w:tcW w:w="1252" w:type="dxa"/>
            <w:tcBorders>
              <w:top w:val="single" w:sz="4" w:space="0" w:color="auto"/>
            </w:tcBorders>
            <w:shd w:val="clear" w:color="auto" w:fill="auto"/>
            <w:noWrap/>
            <w:vAlign w:val="center"/>
            <w:hideMark/>
          </w:tcPr>
          <w:p w14:paraId="457B24E8"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99 </w:t>
            </w:r>
          </w:p>
        </w:tc>
        <w:tc>
          <w:tcPr>
            <w:tcW w:w="1583" w:type="dxa"/>
            <w:tcBorders>
              <w:top w:val="single" w:sz="4" w:space="0" w:color="auto"/>
            </w:tcBorders>
            <w:shd w:val="clear" w:color="auto" w:fill="auto"/>
            <w:noWrap/>
            <w:vAlign w:val="center"/>
            <w:hideMark/>
          </w:tcPr>
          <w:p w14:paraId="2043AE14"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2,8</w:t>
            </w:r>
          </w:p>
        </w:tc>
      </w:tr>
      <w:tr w:rsidR="007A274A" w:rsidRPr="00545991" w14:paraId="1D5682D5" w14:textId="77777777" w:rsidTr="009D5864">
        <w:trPr>
          <w:trHeight w:val="300"/>
        </w:trPr>
        <w:tc>
          <w:tcPr>
            <w:tcW w:w="2981" w:type="dxa"/>
            <w:shd w:val="clear" w:color="auto" w:fill="auto"/>
            <w:noWrap/>
            <w:vAlign w:val="bottom"/>
            <w:hideMark/>
          </w:tcPr>
          <w:p w14:paraId="62C2F41E"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Andre varer utover dagligvarer</w:t>
            </w:r>
          </w:p>
        </w:tc>
        <w:tc>
          <w:tcPr>
            <w:tcW w:w="1252" w:type="dxa"/>
            <w:shd w:val="clear" w:color="auto" w:fill="auto"/>
            <w:noWrap/>
            <w:vAlign w:val="center"/>
            <w:hideMark/>
          </w:tcPr>
          <w:p w14:paraId="6C1C0341"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301 </w:t>
            </w:r>
          </w:p>
        </w:tc>
        <w:tc>
          <w:tcPr>
            <w:tcW w:w="1583" w:type="dxa"/>
            <w:shd w:val="clear" w:color="auto" w:fill="auto"/>
            <w:noWrap/>
            <w:vAlign w:val="center"/>
            <w:hideMark/>
          </w:tcPr>
          <w:p w14:paraId="09B5C516"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     8,4</w:t>
            </w:r>
          </w:p>
        </w:tc>
      </w:tr>
      <w:tr w:rsidR="007A274A" w:rsidRPr="00545991" w14:paraId="3CC76B83" w14:textId="77777777" w:rsidTr="009D5864">
        <w:trPr>
          <w:trHeight w:val="300"/>
        </w:trPr>
        <w:tc>
          <w:tcPr>
            <w:tcW w:w="2981" w:type="dxa"/>
            <w:shd w:val="clear" w:color="auto" w:fill="auto"/>
            <w:noWrap/>
            <w:vAlign w:val="bottom"/>
            <w:hideMark/>
          </w:tcPr>
          <w:p w14:paraId="1AE5F4CE"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Kafe, restaurant</w:t>
            </w:r>
          </w:p>
        </w:tc>
        <w:tc>
          <w:tcPr>
            <w:tcW w:w="1252" w:type="dxa"/>
            <w:shd w:val="clear" w:color="auto" w:fill="auto"/>
            <w:noWrap/>
            <w:vAlign w:val="center"/>
            <w:hideMark/>
          </w:tcPr>
          <w:p w14:paraId="02ED4AF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466 </w:t>
            </w:r>
          </w:p>
        </w:tc>
        <w:tc>
          <w:tcPr>
            <w:tcW w:w="1583" w:type="dxa"/>
            <w:shd w:val="clear" w:color="auto" w:fill="auto"/>
            <w:noWrap/>
            <w:vAlign w:val="center"/>
            <w:hideMark/>
          </w:tcPr>
          <w:p w14:paraId="6462C90A"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   13,0</w:t>
            </w:r>
          </w:p>
        </w:tc>
      </w:tr>
      <w:tr w:rsidR="007A274A" w:rsidRPr="00545991" w14:paraId="4F91AEF0" w14:textId="77777777" w:rsidTr="009D5864">
        <w:trPr>
          <w:trHeight w:val="300"/>
        </w:trPr>
        <w:tc>
          <w:tcPr>
            <w:tcW w:w="2981" w:type="dxa"/>
            <w:shd w:val="clear" w:color="auto" w:fill="auto"/>
            <w:noWrap/>
            <w:vAlign w:val="bottom"/>
            <w:hideMark/>
          </w:tcPr>
          <w:p w14:paraId="49745A21"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Fornøyelse, aktiviteter</w:t>
            </w:r>
          </w:p>
        </w:tc>
        <w:tc>
          <w:tcPr>
            <w:tcW w:w="1252" w:type="dxa"/>
            <w:shd w:val="clear" w:color="auto" w:fill="auto"/>
            <w:noWrap/>
            <w:vAlign w:val="center"/>
            <w:hideMark/>
          </w:tcPr>
          <w:p w14:paraId="0FB28027"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83 </w:t>
            </w:r>
          </w:p>
        </w:tc>
        <w:tc>
          <w:tcPr>
            <w:tcW w:w="1583" w:type="dxa"/>
            <w:shd w:val="clear" w:color="auto" w:fill="auto"/>
            <w:noWrap/>
            <w:vAlign w:val="center"/>
            <w:hideMark/>
          </w:tcPr>
          <w:p w14:paraId="4DEB1BAE"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     2,3</w:t>
            </w:r>
          </w:p>
        </w:tc>
      </w:tr>
      <w:tr w:rsidR="007A274A" w:rsidRPr="00545991" w14:paraId="7124D6BC" w14:textId="77777777" w:rsidTr="009D5864">
        <w:trPr>
          <w:trHeight w:val="300"/>
        </w:trPr>
        <w:tc>
          <w:tcPr>
            <w:tcW w:w="2981" w:type="dxa"/>
            <w:tcBorders>
              <w:bottom w:val="single" w:sz="4" w:space="0" w:color="auto"/>
            </w:tcBorders>
            <w:shd w:val="clear" w:color="auto" w:fill="auto"/>
            <w:noWrap/>
            <w:vAlign w:val="bottom"/>
            <w:hideMark/>
          </w:tcPr>
          <w:p w14:paraId="22F10707"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Øvrige tjenester</w:t>
            </w:r>
          </w:p>
        </w:tc>
        <w:tc>
          <w:tcPr>
            <w:tcW w:w="1252" w:type="dxa"/>
            <w:tcBorders>
              <w:bottom w:val="single" w:sz="4" w:space="0" w:color="auto"/>
            </w:tcBorders>
            <w:shd w:val="clear" w:color="auto" w:fill="auto"/>
            <w:noWrap/>
            <w:vAlign w:val="center"/>
            <w:hideMark/>
          </w:tcPr>
          <w:p w14:paraId="13A76938"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27 </w:t>
            </w:r>
          </w:p>
        </w:tc>
        <w:tc>
          <w:tcPr>
            <w:tcW w:w="1583" w:type="dxa"/>
            <w:tcBorders>
              <w:bottom w:val="single" w:sz="4" w:space="0" w:color="auto"/>
            </w:tcBorders>
            <w:shd w:val="clear" w:color="auto" w:fill="auto"/>
            <w:noWrap/>
            <w:vAlign w:val="center"/>
            <w:hideMark/>
          </w:tcPr>
          <w:p w14:paraId="187C3C5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         0,8</w:t>
            </w:r>
          </w:p>
        </w:tc>
      </w:tr>
      <w:tr w:rsidR="007A274A" w:rsidRPr="00545991" w14:paraId="29A753DF" w14:textId="77777777" w:rsidTr="009D5864">
        <w:trPr>
          <w:trHeight w:val="315"/>
        </w:trPr>
        <w:tc>
          <w:tcPr>
            <w:tcW w:w="2981" w:type="dxa"/>
            <w:tcBorders>
              <w:top w:val="single" w:sz="4" w:space="0" w:color="auto"/>
              <w:bottom w:val="single" w:sz="4" w:space="0" w:color="auto"/>
            </w:tcBorders>
            <w:shd w:val="clear" w:color="auto" w:fill="auto"/>
            <w:noWrap/>
            <w:vAlign w:val="bottom"/>
            <w:hideMark/>
          </w:tcPr>
          <w:p w14:paraId="2D4EDC6A" w14:textId="77777777" w:rsidR="007A274A" w:rsidRPr="00545991" w:rsidRDefault="007A274A" w:rsidP="009D5864">
            <w:pPr>
              <w:spacing w:after="0" w:line="240" w:lineRule="auto"/>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I alt</w:t>
            </w:r>
          </w:p>
        </w:tc>
        <w:tc>
          <w:tcPr>
            <w:tcW w:w="1252" w:type="dxa"/>
            <w:tcBorders>
              <w:top w:val="single" w:sz="4" w:space="0" w:color="auto"/>
              <w:bottom w:val="single" w:sz="4" w:space="0" w:color="auto"/>
            </w:tcBorders>
            <w:shd w:val="clear" w:color="auto" w:fill="auto"/>
            <w:noWrap/>
            <w:vAlign w:val="center"/>
            <w:hideMark/>
          </w:tcPr>
          <w:p w14:paraId="456A9A8F"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976 </w:t>
            </w:r>
          </w:p>
        </w:tc>
        <w:tc>
          <w:tcPr>
            <w:tcW w:w="1583" w:type="dxa"/>
            <w:tcBorders>
              <w:top w:val="single" w:sz="4" w:space="0" w:color="auto"/>
              <w:bottom w:val="single" w:sz="4" w:space="0" w:color="auto"/>
            </w:tcBorders>
            <w:shd w:val="clear" w:color="auto" w:fill="auto"/>
            <w:noWrap/>
            <w:vAlign w:val="center"/>
            <w:hideMark/>
          </w:tcPr>
          <w:p w14:paraId="25B847CD" w14:textId="77777777" w:rsidR="007A274A" w:rsidRPr="00545991" w:rsidRDefault="007A274A" w:rsidP="009D5864">
            <w:pPr>
              <w:spacing w:after="0" w:line="240" w:lineRule="auto"/>
              <w:jc w:val="right"/>
              <w:rPr>
                <w:rFonts w:ascii="Times New Roman" w:eastAsia="Times New Roman" w:hAnsi="Times New Roman" w:cs="Times New Roman"/>
                <w:color w:val="000000"/>
                <w:lang w:val="nb-NO" w:eastAsia="nb-NO"/>
              </w:rPr>
            </w:pPr>
            <w:r w:rsidRPr="00545991">
              <w:rPr>
                <w:rFonts w:ascii="Times New Roman" w:eastAsia="Times New Roman" w:hAnsi="Times New Roman" w:cs="Times New Roman"/>
                <w:color w:val="000000"/>
                <w:lang w:val="nb-NO" w:eastAsia="nb-NO"/>
              </w:rPr>
              <w:t xml:space="preserve">   27,3</w:t>
            </w:r>
          </w:p>
        </w:tc>
      </w:tr>
    </w:tbl>
    <w:p w14:paraId="13496808" w14:textId="77777777" w:rsidR="007A274A" w:rsidRPr="00545991" w:rsidRDefault="007A274A" w:rsidP="007A274A">
      <w:pPr>
        <w:spacing w:line="360" w:lineRule="auto"/>
        <w:jc w:val="both"/>
        <w:rPr>
          <w:rFonts w:ascii="Times New Roman" w:hAnsi="Times New Roman" w:cs="Times New Roman"/>
          <w:sz w:val="24"/>
          <w:szCs w:val="24"/>
          <w:lang w:val="nb-NO"/>
        </w:rPr>
      </w:pPr>
    </w:p>
    <w:p w14:paraId="0228C278" w14:textId="7E3366E5" w:rsidR="00563122" w:rsidRDefault="00355943" w:rsidP="00850197">
      <w:pPr>
        <w:spacing w:line="360" w:lineRule="auto"/>
        <w:ind w:firstLine="708"/>
        <w:jc w:val="both"/>
        <w:rPr>
          <w:rFonts w:ascii="Times New Roman" w:hAnsi="Times New Roman" w:cs="Times New Roman"/>
          <w:sz w:val="24"/>
          <w:szCs w:val="24"/>
          <w:lang w:val="nb-NO"/>
        </w:rPr>
      </w:pPr>
      <w:r w:rsidRPr="00545991">
        <w:rPr>
          <w:rFonts w:ascii="Times New Roman" w:hAnsi="Times New Roman" w:cs="Times New Roman"/>
          <w:sz w:val="24"/>
          <w:szCs w:val="24"/>
          <w:lang w:val="nb-NO"/>
        </w:rPr>
        <w:t xml:space="preserve">Kvalifiseringsturneringen i august 2013 var et vesentlig mindre arrangement som ikke fortrengte det ordinære turistmarkedet. </w:t>
      </w:r>
      <w:r w:rsidR="003B0216" w:rsidRPr="00545991">
        <w:rPr>
          <w:rFonts w:ascii="Times New Roman" w:hAnsi="Times New Roman" w:cs="Times New Roman"/>
          <w:sz w:val="24"/>
          <w:szCs w:val="24"/>
          <w:lang w:val="nb-NO"/>
        </w:rPr>
        <w:t xml:space="preserve">Arrangementet gikk over 25 dager, og </w:t>
      </w:r>
      <w:r w:rsidRPr="00545991">
        <w:rPr>
          <w:rFonts w:ascii="Times New Roman" w:hAnsi="Times New Roman" w:cs="Times New Roman"/>
          <w:sz w:val="24"/>
          <w:szCs w:val="24"/>
          <w:lang w:val="nb-NO"/>
        </w:rPr>
        <w:t xml:space="preserve">omfattet </w:t>
      </w:r>
      <w:r w:rsidR="003B0216" w:rsidRPr="00545991">
        <w:rPr>
          <w:rFonts w:ascii="Times New Roman" w:hAnsi="Times New Roman" w:cs="Times New Roman"/>
          <w:sz w:val="24"/>
          <w:szCs w:val="24"/>
          <w:lang w:val="nb-NO"/>
        </w:rPr>
        <w:t xml:space="preserve">ca. </w:t>
      </w:r>
      <w:r w:rsidR="00F735B2" w:rsidRPr="00545991">
        <w:rPr>
          <w:rFonts w:ascii="Times New Roman" w:hAnsi="Times New Roman" w:cs="Times New Roman"/>
          <w:sz w:val="24"/>
          <w:szCs w:val="24"/>
          <w:lang w:val="nb-NO"/>
        </w:rPr>
        <w:t>3</w:t>
      </w:r>
      <w:r w:rsidRPr="00545991">
        <w:rPr>
          <w:rFonts w:ascii="Times New Roman" w:hAnsi="Times New Roman" w:cs="Times New Roman"/>
          <w:sz w:val="24"/>
          <w:szCs w:val="24"/>
          <w:lang w:val="nb-NO"/>
        </w:rPr>
        <w:t>00 tilreisende</w:t>
      </w:r>
      <w:r w:rsidR="00C025E2" w:rsidRPr="00545991">
        <w:rPr>
          <w:rFonts w:ascii="Times New Roman" w:hAnsi="Times New Roman" w:cs="Times New Roman"/>
          <w:sz w:val="24"/>
          <w:szCs w:val="24"/>
          <w:lang w:val="nb-NO"/>
        </w:rPr>
        <w:t>, hvorav 128 spillere</w:t>
      </w:r>
      <w:r w:rsidRPr="00545991">
        <w:rPr>
          <w:rFonts w:ascii="Times New Roman" w:hAnsi="Times New Roman" w:cs="Times New Roman"/>
          <w:sz w:val="24"/>
          <w:szCs w:val="24"/>
          <w:lang w:val="nb-NO"/>
        </w:rPr>
        <w:t xml:space="preserve">. Legger vi til grunn samme forbruksmønster som </w:t>
      </w:r>
      <w:r w:rsidR="003B0216" w:rsidRPr="00545991">
        <w:rPr>
          <w:rFonts w:ascii="Times New Roman" w:hAnsi="Times New Roman" w:cs="Times New Roman"/>
          <w:sz w:val="24"/>
          <w:szCs w:val="24"/>
          <w:lang w:val="nb-NO"/>
        </w:rPr>
        <w:t>under Sjakk-OL</w:t>
      </w:r>
      <w:r w:rsidRPr="00545991">
        <w:rPr>
          <w:rFonts w:ascii="Times New Roman" w:hAnsi="Times New Roman" w:cs="Times New Roman"/>
          <w:sz w:val="24"/>
          <w:szCs w:val="24"/>
          <w:lang w:val="nb-NO"/>
        </w:rPr>
        <w:t>, representerte</w:t>
      </w:r>
      <w:r w:rsidR="003B0216" w:rsidRPr="00545991">
        <w:rPr>
          <w:rFonts w:ascii="Times New Roman" w:hAnsi="Times New Roman" w:cs="Times New Roman"/>
          <w:sz w:val="24"/>
          <w:szCs w:val="24"/>
          <w:lang w:val="nb-NO"/>
        </w:rPr>
        <w:t xml:space="preserve"> kvalifiseringsturneringen en turisme</w:t>
      </w:r>
      <w:r w:rsidR="003B0216" w:rsidRPr="00545991">
        <w:rPr>
          <w:rFonts w:ascii="Times New Roman" w:hAnsi="Times New Roman" w:cs="Times New Roman"/>
          <w:sz w:val="24"/>
          <w:szCs w:val="24"/>
          <w:lang w:val="nb-NO"/>
        </w:rPr>
        <w:softHyphen/>
        <w:t>relatert omsetning p</w:t>
      </w:r>
      <w:r w:rsidR="00C025E2" w:rsidRPr="00545991">
        <w:rPr>
          <w:rFonts w:ascii="Times New Roman" w:hAnsi="Times New Roman" w:cs="Times New Roman"/>
          <w:sz w:val="24"/>
          <w:szCs w:val="24"/>
          <w:lang w:val="nb-NO"/>
        </w:rPr>
        <w:t xml:space="preserve">å om lag 5,4 millioner kroner. Vi legger her til grunn at samtlige tilreisende var til stede i Tromsø under hele arrangementet. </w:t>
      </w:r>
    </w:p>
    <w:p w14:paraId="5D89363B" w14:textId="4786B589" w:rsidR="008C2454" w:rsidRDefault="000269AE" w:rsidP="00473BC8">
      <w:pPr>
        <w:spacing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S</w:t>
      </w:r>
      <w:r w:rsidR="00C81921">
        <w:rPr>
          <w:rFonts w:ascii="Times New Roman" w:hAnsi="Times New Roman" w:cs="Times New Roman"/>
          <w:sz w:val="24"/>
          <w:szCs w:val="24"/>
          <w:lang w:val="nb-NO"/>
        </w:rPr>
        <w:t xml:space="preserve">tatstilskuddet </w:t>
      </w:r>
      <w:r>
        <w:rPr>
          <w:rFonts w:ascii="Times New Roman" w:hAnsi="Times New Roman" w:cs="Times New Roman"/>
          <w:sz w:val="24"/>
          <w:szCs w:val="24"/>
          <w:lang w:val="nb-NO"/>
        </w:rPr>
        <w:t xml:space="preserve">utgjorde </w:t>
      </w:r>
      <w:r w:rsidR="00C81921">
        <w:rPr>
          <w:rFonts w:ascii="Times New Roman" w:hAnsi="Times New Roman" w:cs="Times New Roman"/>
          <w:sz w:val="24"/>
          <w:szCs w:val="24"/>
          <w:lang w:val="nb-NO"/>
        </w:rPr>
        <w:t>nesten 90</w:t>
      </w:r>
      <w:r w:rsidR="005E5DDB">
        <w:rPr>
          <w:rFonts w:ascii="Times New Roman" w:hAnsi="Times New Roman" w:cs="Times New Roman"/>
          <w:sz w:val="24"/>
          <w:szCs w:val="24"/>
          <w:lang w:val="nb-NO"/>
        </w:rPr>
        <w:t>%</w:t>
      </w:r>
      <w:r w:rsidR="00C81921">
        <w:rPr>
          <w:rFonts w:ascii="Times New Roman" w:hAnsi="Times New Roman" w:cs="Times New Roman"/>
          <w:sz w:val="24"/>
          <w:szCs w:val="24"/>
          <w:lang w:val="nb-NO"/>
        </w:rPr>
        <w:t xml:space="preserve"> av den samlede tilførselen til Tromsø</w:t>
      </w:r>
      <w:r>
        <w:rPr>
          <w:rFonts w:ascii="Times New Roman" w:hAnsi="Times New Roman" w:cs="Times New Roman"/>
          <w:sz w:val="24"/>
          <w:szCs w:val="24"/>
          <w:lang w:val="nb-NO"/>
        </w:rPr>
        <w:t xml:space="preserve"> (tabell 7)</w:t>
      </w:r>
      <w:r w:rsidR="00C81921">
        <w:rPr>
          <w:rFonts w:ascii="Times New Roman" w:hAnsi="Times New Roman" w:cs="Times New Roman"/>
          <w:sz w:val="24"/>
          <w:szCs w:val="24"/>
          <w:lang w:val="nb-NO"/>
        </w:rPr>
        <w:t xml:space="preserve">. </w:t>
      </w:r>
      <w:r w:rsidR="00EF67B0">
        <w:rPr>
          <w:rFonts w:ascii="Times New Roman" w:hAnsi="Times New Roman" w:cs="Times New Roman"/>
          <w:sz w:val="24"/>
          <w:szCs w:val="24"/>
          <w:lang w:val="nb-NO"/>
        </w:rPr>
        <w:t>I</w:t>
      </w:r>
      <w:r w:rsidR="00473BC8">
        <w:rPr>
          <w:rFonts w:ascii="Times New Roman" w:hAnsi="Times New Roman" w:cs="Times New Roman"/>
          <w:sz w:val="24"/>
          <w:szCs w:val="24"/>
          <w:lang w:val="nb-NO"/>
        </w:rPr>
        <w:t xml:space="preserve">nntektene </w:t>
      </w:r>
      <w:r w:rsidR="00EF67B0">
        <w:rPr>
          <w:rFonts w:ascii="Times New Roman" w:hAnsi="Times New Roman" w:cs="Times New Roman"/>
          <w:sz w:val="24"/>
          <w:szCs w:val="24"/>
          <w:lang w:val="nb-NO"/>
        </w:rPr>
        <w:t xml:space="preserve">som </w:t>
      </w:r>
      <w:r w:rsidR="00E0441B">
        <w:rPr>
          <w:rFonts w:ascii="Times New Roman" w:hAnsi="Times New Roman" w:cs="Times New Roman"/>
          <w:sz w:val="24"/>
          <w:szCs w:val="24"/>
          <w:lang w:val="nb-NO"/>
        </w:rPr>
        <w:t xml:space="preserve">byen </w:t>
      </w:r>
      <w:r w:rsidR="008C2454">
        <w:rPr>
          <w:rFonts w:ascii="Times New Roman" w:hAnsi="Times New Roman" w:cs="Times New Roman"/>
          <w:sz w:val="24"/>
          <w:szCs w:val="24"/>
          <w:lang w:val="nb-NO"/>
        </w:rPr>
        <w:t xml:space="preserve">mottok </w:t>
      </w:r>
      <w:r w:rsidR="00EF67B0">
        <w:rPr>
          <w:rFonts w:ascii="Times New Roman" w:hAnsi="Times New Roman" w:cs="Times New Roman"/>
          <w:sz w:val="24"/>
          <w:szCs w:val="24"/>
          <w:lang w:val="nb-NO"/>
        </w:rPr>
        <w:t xml:space="preserve">var derfor </w:t>
      </w:r>
      <w:r w:rsidR="00473BC8">
        <w:rPr>
          <w:rFonts w:ascii="Times New Roman" w:hAnsi="Times New Roman" w:cs="Times New Roman"/>
          <w:sz w:val="24"/>
          <w:szCs w:val="24"/>
          <w:lang w:val="nb-NO"/>
        </w:rPr>
        <w:t>i hovedsak en overføring fra staten. E</w:t>
      </w:r>
      <w:r w:rsidR="00C81921">
        <w:rPr>
          <w:rFonts w:ascii="Times New Roman" w:hAnsi="Times New Roman" w:cs="Times New Roman"/>
          <w:sz w:val="24"/>
          <w:szCs w:val="24"/>
          <w:lang w:val="nb-NO"/>
        </w:rPr>
        <w:t>ksport</w:t>
      </w:r>
      <w:r w:rsidR="00EF67B0">
        <w:rPr>
          <w:rFonts w:ascii="Times New Roman" w:hAnsi="Times New Roman" w:cs="Times New Roman"/>
          <w:sz w:val="24"/>
          <w:szCs w:val="24"/>
          <w:lang w:val="nb-NO"/>
        </w:rPr>
        <w:softHyphen/>
      </w:r>
      <w:r w:rsidR="00C81921">
        <w:rPr>
          <w:rFonts w:ascii="Times New Roman" w:hAnsi="Times New Roman" w:cs="Times New Roman"/>
          <w:sz w:val="24"/>
          <w:szCs w:val="24"/>
          <w:lang w:val="nb-NO"/>
        </w:rPr>
        <w:t xml:space="preserve">inntektene </w:t>
      </w:r>
      <w:r w:rsidR="00473BC8">
        <w:rPr>
          <w:rFonts w:ascii="Times New Roman" w:hAnsi="Times New Roman" w:cs="Times New Roman"/>
          <w:sz w:val="24"/>
          <w:szCs w:val="24"/>
          <w:lang w:val="nb-NO"/>
        </w:rPr>
        <w:t xml:space="preserve">var </w:t>
      </w:r>
      <w:r w:rsidR="00C81921">
        <w:rPr>
          <w:rFonts w:ascii="Times New Roman" w:hAnsi="Times New Roman" w:cs="Times New Roman"/>
          <w:sz w:val="24"/>
          <w:szCs w:val="24"/>
          <w:lang w:val="nb-NO"/>
        </w:rPr>
        <w:t>svært beskjedne</w:t>
      </w:r>
      <w:r w:rsidR="00473BC8">
        <w:rPr>
          <w:rFonts w:ascii="Times New Roman" w:hAnsi="Times New Roman" w:cs="Times New Roman"/>
          <w:sz w:val="24"/>
          <w:szCs w:val="24"/>
          <w:lang w:val="nb-NO"/>
        </w:rPr>
        <w:t>, og når en tar hensyn til avgiftene til FIDE og pengepremier til spillerne var nettotilførselen til Norge negativ</w:t>
      </w:r>
      <w:r w:rsidR="00C81921">
        <w:rPr>
          <w:rFonts w:ascii="Times New Roman" w:hAnsi="Times New Roman" w:cs="Times New Roman"/>
          <w:sz w:val="24"/>
          <w:szCs w:val="24"/>
          <w:lang w:val="nb-NO"/>
        </w:rPr>
        <w:t xml:space="preserve">. </w:t>
      </w:r>
      <w:r w:rsidR="00473BC8">
        <w:rPr>
          <w:rFonts w:ascii="Times New Roman" w:hAnsi="Times New Roman" w:cs="Times New Roman"/>
          <w:sz w:val="24"/>
          <w:szCs w:val="24"/>
          <w:lang w:val="nb-NO"/>
        </w:rPr>
        <w:t>Sjakk</w:t>
      </w:r>
      <w:r w:rsidR="00E02540">
        <w:rPr>
          <w:rFonts w:ascii="Times New Roman" w:hAnsi="Times New Roman" w:cs="Times New Roman"/>
          <w:sz w:val="24"/>
          <w:szCs w:val="24"/>
          <w:lang w:val="nb-NO"/>
        </w:rPr>
        <w:t>-</w:t>
      </w:r>
      <w:r w:rsidR="00473BC8">
        <w:rPr>
          <w:rFonts w:ascii="Times New Roman" w:hAnsi="Times New Roman" w:cs="Times New Roman"/>
          <w:sz w:val="24"/>
          <w:szCs w:val="24"/>
          <w:lang w:val="nb-NO"/>
        </w:rPr>
        <w:t>OL er således ikke god butikk dersom målet er å generere eksportinntekter. Hovedårsaken til dette er at arrangementet trakk svært få tilreisende tilskuere</w:t>
      </w:r>
      <w:r w:rsidR="00E0441B">
        <w:rPr>
          <w:rFonts w:ascii="Times New Roman" w:hAnsi="Times New Roman" w:cs="Times New Roman"/>
          <w:sz w:val="24"/>
          <w:szCs w:val="24"/>
          <w:lang w:val="nb-NO"/>
        </w:rPr>
        <w:t>,</w:t>
      </w:r>
      <w:r w:rsidR="00473BC8">
        <w:rPr>
          <w:rFonts w:ascii="Times New Roman" w:hAnsi="Times New Roman" w:cs="Times New Roman"/>
          <w:sz w:val="24"/>
          <w:szCs w:val="24"/>
          <w:lang w:val="nb-NO"/>
        </w:rPr>
        <w:t xml:space="preserve"> samt at arrangørene dekket oppholdet til spillerne og lagledere. På den måten skiller Sjakk</w:t>
      </w:r>
      <w:r w:rsidR="00E02540">
        <w:rPr>
          <w:rFonts w:ascii="Times New Roman" w:hAnsi="Times New Roman" w:cs="Times New Roman"/>
          <w:sz w:val="24"/>
          <w:szCs w:val="24"/>
          <w:lang w:val="nb-NO"/>
        </w:rPr>
        <w:t>-</w:t>
      </w:r>
      <w:r w:rsidR="00473BC8">
        <w:rPr>
          <w:rFonts w:ascii="Times New Roman" w:hAnsi="Times New Roman" w:cs="Times New Roman"/>
          <w:sz w:val="24"/>
          <w:szCs w:val="24"/>
          <w:lang w:val="nb-NO"/>
        </w:rPr>
        <w:t xml:space="preserve">OL seg fra internasjonale mesterskap </w:t>
      </w:r>
      <w:r w:rsidR="00EF67B0">
        <w:rPr>
          <w:rFonts w:ascii="Times New Roman" w:hAnsi="Times New Roman" w:cs="Times New Roman"/>
          <w:sz w:val="24"/>
          <w:szCs w:val="24"/>
          <w:lang w:val="nb-NO"/>
        </w:rPr>
        <w:t>med stort tilskuerpotensial</w:t>
      </w:r>
      <w:r w:rsidR="00472969">
        <w:rPr>
          <w:rFonts w:ascii="Times New Roman" w:hAnsi="Times New Roman" w:cs="Times New Roman"/>
          <w:sz w:val="24"/>
          <w:szCs w:val="24"/>
          <w:lang w:val="nb-NO"/>
        </w:rPr>
        <w:t>,</w:t>
      </w:r>
      <w:r w:rsidR="00EF67B0">
        <w:rPr>
          <w:rFonts w:ascii="Times New Roman" w:hAnsi="Times New Roman" w:cs="Times New Roman"/>
          <w:sz w:val="24"/>
          <w:szCs w:val="24"/>
          <w:lang w:val="nb-NO"/>
        </w:rPr>
        <w:t xml:space="preserve"> </w:t>
      </w:r>
      <w:r w:rsidR="008C2454">
        <w:rPr>
          <w:rFonts w:ascii="Times New Roman" w:hAnsi="Times New Roman" w:cs="Times New Roman"/>
          <w:sz w:val="24"/>
          <w:szCs w:val="24"/>
          <w:lang w:val="nb-NO"/>
        </w:rPr>
        <w:t xml:space="preserve">og </w:t>
      </w:r>
      <w:r w:rsidR="00E02540">
        <w:rPr>
          <w:rFonts w:ascii="Times New Roman" w:hAnsi="Times New Roman" w:cs="Times New Roman"/>
          <w:sz w:val="24"/>
          <w:szCs w:val="24"/>
          <w:lang w:val="nb-NO"/>
        </w:rPr>
        <w:t>hvor deltakere og støtteapparat s</w:t>
      </w:r>
      <w:r w:rsidR="008C2454">
        <w:rPr>
          <w:rFonts w:ascii="Times New Roman" w:hAnsi="Times New Roman" w:cs="Times New Roman"/>
          <w:sz w:val="24"/>
          <w:szCs w:val="24"/>
          <w:lang w:val="nb-NO"/>
        </w:rPr>
        <w:t>elv finansierer oppholdet sitt.</w:t>
      </w:r>
      <w:r w:rsidR="00473BC8">
        <w:rPr>
          <w:rFonts w:ascii="Times New Roman" w:hAnsi="Times New Roman" w:cs="Times New Roman"/>
          <w:sz w:val="24"/>
          <w:szCs w:val="24"/>
          <w:lang w:val="nb-NO"/>
        </w:rPr>
        <w:t xml:space="preserve"> </w:t>
      </w:r>
    </w:p>
    <w:p w14:paraId="05C939F4" w14:textId="4940AB6F" w:rsidR="00C81921" w:rsidRDefault="00473BC8" w:rsidP="00473BC8">
      <w:pPr>
        <w:spacing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Det</w:t>
      </w:r>
      <w:r w:rsidR="00C8589D">
        <w:rPr>
          <w:rFonts w:ascii="Times New Roman" w:hAnsi="Times New Roman" w:cs="Times New Roman"/>
          <w:sz w:val="24"/>
          <w:szCs w:val="24"/>
          <w:lang w:val="nb-NO"/>
        </w:rPr>
        <w:t xml:space="preserve"> betyr </w:t>
      </w:r>
      <w:r>
        <w:rPr>
          <w:rFonts w:ascii="Times New Roman" w:hAnsi="Times New Roman" w:cs="Times New Roman"/>
          <w:sz w:val="24"/>
          <w:szCs w:val="24"/>
          <w:lang w:val="nb-NO"/>
        </w:rPr>
        <w:t>imidlertid i</w:t>
      </w:r>
      <w:r w:rsidR="00C8589D">
        <w:rPr>
          <w:rFonts w:ascii="Times New Roman" w:hAnsi="Times New Roman" w:cs="Times New Roman"/>
          <w:sz w:val="24"/>
          <w:szCs w:val="24"/>
          <w:lang w:val="nb-NO"/>
        </w:rPr>
        <w:t xml:space="preserve">kke at </w:t>
      </w:r>
      <w:r>
        <w:rPr>
          <w:rFonts w:ascii="Times New Roman" w:hAnsi="Times New Roman" w:cs="Times New Roman"/>
          <w:sz w:val="24"/>
          <w:szCs w:val="24"/>
          <w:lang w:val="nb-NO"/>
        </w:rPr>
        <w:t>arrangemente</w:t>
      </w:r>
      <w:r w:rsidR="007148A9">
        <w:rPr>
          <w:rFonts w:ascii="Times New Roman" w:hAnsi="Times New Roman" w:cs="Times New Roman"/>
          <w:sz w:val="24"/>
          <w:szCs w:val="24"/>
          <w:lang w:val="nb-NO"/>
        </w:rPr>
        <w:t>r</w:t>
      </w:r>
      <w:r>
        <w:rPr>
          <w:rFonts w:ascii="Times New Roman" w:hAnsi="Times New Roman" w:cs="Times New Roman"/>
          <w:sz w:val="24"/>
          <w:szCs w:val="24"/>
          <w:lang w:val="nb-NO"/>
        </w:rPr>
        <w:t xml:space="preserve"> </w:t>
      </w:r>
      <w:r w:rsidR="007148A9">
        <w:rPr>
          <w:rFonts w:ascii="Times New Roman" w:hAnsi="Times New Roman" w:cs="Times New Roman"/>
          <w:sz w:val="24"/>
          <w:szCs w:val="24"/>
          <w:lang w:val="nb-NO"/>
        </w:rPr>
        <w:t xml:space="preserve">som tiltrekker seg </w:t>
      </w:r>
      <w:r w:rsidR="00EF67B0">
        <w:rPr>
          <w:rFonts w:ascii="Times New Roman" w:hAnsi="Times New Roman" w:cs="Times New Roman"/>
          <w:sz w:val="24"/>
          <w:szCs w:val="24"/>
          <w:lang w:val="nb-NO"/>
        </w:rPr>
        <w:t xml:space="preserve">mye publikum </w:t>
      </w:r>
      <w:r w:rsidR="00C8589D">
        <w:rPr>
          <w:rFonts w:ascii="Times New Roman" w:hAnsi="Times New Roman" w:cs="Times New Roman"/>
          <w:sz w:val="24"/>
          <w:szCs w:val="24"/>
          <w:lang w:val="nb-NO"/>
        </w:rPr>
        <w:t xml:space="preserve">automatisk </w:t>
      </w:r>
      <w:r>
        <w:rPr>
          <w:rFonts w:ascii="Times New Roman" w:hAnsi="Times New Roman" w:cs="Times New Roman"/>
          <w:sz w:val="24"/>
          <w:szCs w:val="24"/>
          <w:lang w:val="nb-NO"/>
        </w:rPr>
        <w:t>skaper betydelige nettoinntekter</w:t>
      </w:r>
      <w:r w:rsidR="00E0441B">
        <w:rPr>
          <w:rFonts w:ascii="Times New Roman" w:hAnsi="Times New Roman" w:cs="Times New Roman"/>
          <w:sz w:val="24"/>
          <w:szCs w:val="24"/>
          <w:lang w:val="nb-NO"/>
        </w:rPr>
        <w:t xml:space="preserve"> for vertsbyen</w:t>
      </w:r>
      <w:r>
        <w:rPr>
          <w:rFonts w:ascii="Times New Roman" w:hAnsi="Times New Roman" w:cs="Times New Roman"/>
          <w:sz w:val="24"/>
          <w:szCs w:val="24"/>
          <w:lang w:val="nb-NO"/>
        </w:rPr>
        <w:t xml:space="preserve">. </w:t>
      </w:r>
      <w:r w:rsidR="00976E51">
        <w:rPr>
          <w:rFonts w:ascii="Times New Roman" w:hAnsi="Times New Roman" w:cs="Times New Roman"/>
          <w:sz w:val="24"/>
          <w:szCs w:val="24"/>
          <w:lang w:val="nb-NO"/>
        </w:rPr>
        <w:t xml:space="preserve">Internasjonale mesterskap og lignende arrangementer finner gjerne sted på </w:t>
      </w:r>
      <w:r w:rsidR="00472969">
        <w:rPr>
          <w:rFonts w:ascii="Times New Roman" w:hAnsi="Times New Roman" w:cs="Times New Roman"/>
          <w:sz w:val="24"/>
          <w:szCs w:val="24"/>
          <w:lang w:val="nb-NO"/>
        </w:rPr>
        <w:t>gitte</w:t>
      </w:r>
      <w:r w:rsidR="00976E51">
        <w:rPr>
          <w:rFonts w:ascii="Times New Roman" w:hAnsi="Times New Roman" w:cs="Times New Roman"/>
          <w:sz w:val="24"/>
          <w:szCs w:val="24"/>
          <w:lang w:val="nb-NO"/>
        </w:rPr>
        <w:t xml:space="preserve"> tider av året</w:t>
      </w:r>
      <w:r w:rsidR="00472969">
        <w:rPr>
          <w:rFonts w:ascii="Times New Roman" w:hAnsi="Times New Roman" w:cs="Times New Roman"/>
          <w:sz w:val="24"/>
          <w:szCs w:val="24"/>
          <w:lang w:val="nb-NO"/>
        </w:rPr>
        <w:t>, og d</w:t>
      </w:r>
      <w:r w:rsidR="00205BC1">
        <w:rPr>
          <w:rFonts w:ascii="Times New Roman" w:hAnsi="Times New Roman" w:cs="Times New Roman"/>
          <w:sz w:val="24"/>
          <w:szCs w:val="24"/>
          <w:lang w:val="nb-NO"/>
        </w:rPr>
        <w:t>e lokale a</w:t>
      </w:r>
      <w:r w:rsidR="0029081A">
        <w:rPr>
          <w:rFonts w:ascii="Times New Roman" w:hAnsi="Times New Roman" w:cs="Times New Roman"/>
          <w:sz w:val="24"/>
          <w:szCs w:val="24"/>
          <w:lang w:val="nb-NO"/>
        </w:rPr>
        <w:t xml:space="preserve">rrangørene har som regel begrensede muligheter til å forskyve </w:t>
      </w:r>
      <w:r w:rsidR="00C8589D">
        <w:rPr>
          <w:rFonts w:ascii="Times New Roman" w:hAnsi="Times New Roman" w:cs="Times New Roman"/>
          <w:sz w:val="24"/>
          <w:szCs w:val="24"/>
          <w:lang w:val="nb-NO"/>
        </w:rPr>
        <w:t xml:space="preserve">arrangementene </w:t>
      </w:r>
      <w:r w:rsidR="00205BC1">
        <w:rPr>
          <w:rFonts w:ascii="Times New Roman" w:hAnsi="Times New Roman" w:cs="Times New Roman"/>
          <w:sz w:val="24"/>
          <w:szCs w:val="24"/>
          <w:lang w:val="nb-NO"/>
        </w:rPr>
        <w:t xml:space="preserve">til perioder hvor det er ledig kapasitet. </w:t>
      </w:r>
      <w:r>
        <w:rPr>
          <w:rFonts w:ascii="Times New Roman" w:hAnsi="Times New Roman" w:cs="Times New Roman"/>
          <w:sz w:val="24"/>
          <w:szCs w:val="24"/>
          <w:lang w:val="nb-NO"/>
        </w:rPr>
        <w:t xml:space="preserve">Dersom de finner sted </w:t>
      </w:r>
      <w:r w:rsidR="00C8589D">
        <w:rPr>
          <w:rFonts w:ascii="Times New Roman" w:hAnsi="Times New Roman" w:cs="Times New Roman"/>
          <w:sz w:val="24"/>
          <w:szCs w:val="24"/>
          <w:lang w:val="nb-NO"/>
        </w:rPr>
        <w:t xml:space="preserve">på tidspunkt </w:t>
      </w:r>
      <w:r>
        <w:rPr>
          <w:rFonts w:ascii="Times New Roman" w:hAnsi="Times New Roman" w:cs="Times New Roman"/>
          <w:sz w:val="24"/>
          <w:szCs w:val="24"/>
          <w:lang w:val="nb-NO"/>
        </w:rPr>
        <w:t>hvor det normalt ville vært høyt belegg svekke</w:t>
      </w:r>
      <w:r w:rsidR="00205BC1">
        <w:rPr>
          <w:rFonts w:ascii="Times New Roman" w:hAnsi="Times New Roman" w:cs="Times New Roman"/>
          <w:sz w:val="24"/>
          <w:szCs w:val="24"/>
          <w:lang w:val="nb-NO"/>
        </w:rPr>
        <w:t xml:space="preserve">s </w:t>
      </w:r>
      <w:r>
        <w:rPr>
          <w:rFonts w:ascii="Times New Roman" w:hAnsi="Times New Roman" w:cs="Times New Roman"/>
          <w:sz w:val="24"/>
          <w:szCs w:val="24"/>
          <w:lang w:val="nb-NO"/>
        </w:rPr>
        <w:t xml:space="preserve">nettoeffektene. </w:t>
      </w:r>
      <w:r w:rsidR="00472969">
        <w:rPr>
          <w:rFonts w:ascii="Times New Roman" w:hAnsi="Times New Roman" w:cs="Times New Roman"/>
          <w:sz w:val="24"/>
          <w:szCs w:val="24"/>
          <w:lang w:val="nb-NO"/>
        </w:rPr>
        <w:t xml:space="preserve">Forskning </w:t>
      </w:r>
      <w:r w:rsidR="00C8589D">
        <w:rPr>
          <w:rFonts w:ascii="Times New Roman" w:hAnsi="Times New Roman" w:cs="Times New Roman"/>
          <w:sz w:val="24"/>
          <w:szCs w:val="24"/>
          <w:lang w:val="nb-NO"/>
        </w:rPr>
        <w:t>har avdekket flere tilfeller hvor arrangørbyer har opplevd lavere etter</w:t>
      </w:r>
      <w:r w:rsidR="00472969">
        <w:rPr>
          <w:rFonts w:ascii="Times New Roman" w:hAnsi="Times New Roman" w:cs="Times New Roman"/>
          <w:sz w:val="24"/>
          <w:szCs w:val="24"/>
          <w:lang w:val="nb-NO"/>
        </w:rPr>
        <w:softHyphen/>
      </w:r>
      <w:r w:rsidR="00C8589D">
        <w:rPr>
          <w:rFonts w:ascii="Times New Roman" w:hAnsi="Times New Roman" w:cs="Times New Roman"/>
          <w:sz w:val="24"/>
          <w:szCs w:val="24"/>
          <w:lang w:val="nb-NO"/>
        </w:rPr>
        <w:t xml:space="preserve">spørsel enn tilsvarende perioder i årene før og/eller etter arrangementene (Zimbalist, 2015). </w:t>
      </w:r>
      <w:r w:rsidR="00472969">
        <w:rPr>
          <w:rFonts w:ascii="Times New Roman" w:hAnsi="Times New Roman" w:cs="Times New Roman"/>
          <w:sz w:val="24"/>
          <w:szCs w:val="24"/>
          <w:lang w:val="nb-NO"/>
        </w:rPr>
        <w:t>Under F</w:t>
      </w:r>
      <w:r w:rsidR="008C2454">
        <w:rPr>
          <w:rFonts w:ascii="Times New Roman" w:hAnsi="Times New Roman" w:cs="Times New Roman"/>
          <w:sz w:val="24"/>
          <w:szCs w:val="24"/>
          <w:lang w:val="nb-NO"/>
        </w:rPr>
        <w:t>otball</w:t>
      </w:r>
      <w:r w:rsidR="00E02540">
        <w:rPr>
          <w:rFonts w:ascii="Times New Roman" w:hAnsi="Times New Roman" w:cs="Times New Roman"/>
          <w:sz w:val="24"/>
          <w:szCs w:val="24"/>
          <w:lang w:val="nb-NO"/>
        </w:rPr>
        <w:t>-</w:t>
      </w:r>
      <w:r w:rsidR="008C2454">
        <w:rPr>
          <w:rFonts w:ascii="Times New Roman" w:hAnsi="Times New Roman" w:cs="Times New Roman"/>
          <w:sz w:val="24"/>
          <w:szCs w:val="24"/>
          <w:lang w:val="nb-NO"/>
        </w:rPr>
        <w:t>VM i</w:t>
      </w:r>
      <w:r w:rsidR="00EF67B0">
        <w:rPr>
          <w:rFonts w:ascii="Times New Roman" w:hAnsi="Times New Roman" w:cs="Times New Roman"/>
          <w:sz w:val="24"/>
          <w:szCs w:val="24"/>
          <w:lang w:val="nb-NO"/>
        </w:rPr>
        <w:t xml:space="preserve"> USA i</w:t>
      </w:r>
      <w:r w:rsidR="00D75B5D">
        <w:rPr>
          <w:rFonts w:ascii="Times New Roman" w:hAnsi="Times New Roman" w:cs="Times New Roman"/>
          <w:sz w:val="24"/>
          <w:szCs w:val="24"/>
          <w:lang w:val="nb-NO"/>
        </w:rPr>
        <w:t xml:space="preserve"> 1994 </w:t>
      </w:r>
      <w:r w:rsidR="00472969">
        <w:rPr>
          <w:rFonts w:ascii="Times New Roman" w:hAnsi="Times New Roman" w:cs="Times New Roman"/>
          <w:sz w:val="24"/>
          <w:szCs w:val="24"/>
          <w:lang w:val="nb-NO"/>
        </w:rPr>
        <w:t xml:space="preserve">opplevde for eksempel </w:t>
      </w:r>
      <w:r w:rsidR="00B65BF1">
        <w:rPr>
          <w:rFonts w:ascii="Times New Roman" w:hAnsi="Times New Roman" w:cs="Times New Roman"/>
          <w:sz w:val="24"/>
          <w:szCs w:val="24"/>
          <w:lang w:val="nb-NO"/>
        </w:rPr>
        <w:t xml:space="preserve">flere </w:t>
      </w:r>
      <w:r w:rsidR="00D75B5D">
        <w:rPr>
          <w:rFonts w:ascii="Times New Roman" w:hAnsi="Times New Roman" w:cs="Times New Roman"/>
          <w:sz w:val="24"/>
          <w:szCs w:val="24"/>
          <w:lang w:val="nb-NO"/>
        </w:rPr>
        <w:t>byer</w:t>
      </w:r>
      <w:r w:rsidR="00B65BF1">
        <w:rPr>
          <w:rFonts w:ascii="Times New Roman" w:hAnsi="Times New Roman" w:cs="Times New Roman"/>
          <w:sz w:val="24"/>
          <w:szCs w:val="24"/>
          <w:lang w:val="nb-NO"/>
        </w:rPr>
        <w:t xml:space="preserve"> </w:t>
      </w:r>
      <w:r w:rsidR="00D75B5D">
        <w:rPr>
          <w:rFonts w:ascii="Times New Roman" w:hAnsi="Times New Roman" w:cs="Times New Roman"/>
          <w:sz w:val="24"/>
          <w:szCs w:val="24"/>
          <w:lang w:val="nb-NO"/>
        </w:rPr>
        <w:t xml:space="preserve">redusert etterspørsel </w:t>
      </w:r>
      <w:r w:rsidR="007148A9">
        <w:rPr>
          <w:rFonts w:ascii="Times New Roman" w:hAnsi="Times New Roman" w:cs="Times New Roman"/>
          <w:sz w:val="24"/>
          <w:szCs w:val="24"/>
          <w:lang w:val="nb-NO"/>
        </w:rPr>
        <w:t xml:space="preserve">i </w:t>
      </w:r>
      <w:r w:rsidR="00B65BF1">
        <w:rPr>
          <w:rFonts w:ascii="Times New Roman" w:hAnsi="Times New Roman" w:cs="Times New Roman"/>
          <w:sz w:val="24"/>
          <w:szCs w:val="24"/>
          <w:lang w:val="nb-NO"/>
        </w:rPr>
        <w:t>arrangementsp</w:t>
      </w:r>
      <w:r w:rsidR="007148A9">
        <w:rPr>
          <w:rFonts w:ascii="Times New Roman" w:hAnsi="Times New Roman" w:cs="Times New Roman"/>
          <w:sz w:val="24"/>
          <w:szCs w:val="24"/>
          <w:lang w:val="nb-NO"/>
        </w:rPr>
        <w:t xml:space="preserve">erioden </w:t>
      </w:r>
      <w:r w:rsidR="00D75B5D">
        <w:rPr>
          <w:rFonts w:ascii="Times New Roman" w:hAnsi="Times New Roman" w:cs="Times New Roman"/>
          <w:sz w:val="24"/>
          <w:szCs w:val="24"/>
          <w:lang w:val="nb-NO"/>
        </w:rPr>
        <w:t xml:space="preserve">fordi mesterskapet fortrengte kongresser som normalt ville </w:t>
      </w:r>
      <w:r w:rsidR="008C2454">
        <w:rPr>
          <w:rFonts w:ascii="Times New Roman" w:hAnsi="Times New Roman" w:cs="Times New Roman"/>
          <w:sz w:val="24"/>
          <w:szCs w:val="24"/>
          <w:lang w:val="nb-NO"/>
        </w:rPr>
        <w:t xml:space="preserve">ha blitt </w:t>
      </w:r>
      <w:r w:rsidR="008C2454">
        <w:rPr>
          <w:rFonts w:ascii="Times New Roman" w:hAnsi="Times New Roman" w:cs="Times New Roman"/>
          <w:sz w:val="24"/>
          <w:szCs w:val="24"/>
          <w:lang w:val="nb-NO"/>
        </w:rPr>
        <w:lastRenderedPageBreak/>
        <w:t>arrangert</w:t>
      </w:r>
      <w:r w:rsidR="00B65BF1">
        <w:rPr>
          <w:rFonts w:ascii="Times New Roman" w:hAnsi="Times New Roman" w:cs="Times New Roman"/>
          <w:sz w:val="24"/>
          <w:szCs w:val="24"/>
          <w:lang w:val="nb-NO"/>
        </w:rPr>
        <w:t xml:space="preserve">, og </w:t>
      </w:r>
      <w:r w:rsidR="008C2454">
        <w:rPr>
          <w:rFonts w:ascii="Times New Roman" w:hAnsi="Times New Roman" w:cs="Times New Roman"/>
          <w:sz w:val="24"/>
          <w:szCs w:val="24"/>
          <w:lang w:val="nb-NO"/>
        </w:rPr>
        <w:t>kongressdeltakere har et vesentlig høyere forbruk enn ordinære turister</w:t>
      </w:r>
      <w:r w:rsidR="00B65BF1">
        <w:rPr>
          <w:rFonts w:ascii="Times New Roman" w:hAnsi="Times New Roman" w:cs="Times New Roman"/>
          <w:sz w:val="24"/>
          <w:szCs w:val="24"/>
          <w:lang w:val="nb-NO"/>
        </w:rPr>
        <w:t xml:space="preserve"> </w:t>
      </w:r>
      <w:r w:rsidR="008C2454">
        <w:rPr>
          <w:rFonts w:ascii="Times New Roman" w:hAnsi="Times New Roman" w:cs="Times New Roman"/>
          <w:sz w:val="24"/>
          <w:szCs w:val="24"/>
          <w:lang w:val="nb-NO"/>
        </w:rPr>
        <w:t xml:space="preserve">(Baade &amp; Matheson, 2004). </w:t>
      </w:r>
      <w:r w:rsidR="00C8589D">
        <w:rPr>
          <w:rFonts w:ascii="Times New Roman" w:hAnsi="Times New Roman" w:cs="Times New Roman"/>
          <w:sz w:val="24"/>
          <w:szCs w:val="24"/>
          <w:lang w:val="nb-NO"/>
        </w:rPr>
        <w:t xml:space="preserve"> </w:t>
      </w:r>
    </w:p>
    <w:p w14:paraId="0758AC86" w14:textId="02CE2A95" w:rsidR="002C6862" w:rsidRPr="00E02540" w:rsidRDefault="002C6862" w:rsidP="00473BC8">
      <w:pPr>
        <w:spacing w:line="360" w:lineRule="auto"/>
        <w:jc w:val="both"/>
        <w:rPr>
          <w:rFonts w:ascii="Times New Roman" w:hAnsi="Times New Roman" w:cs="Times New Roman"/>
          <w:b/>
          <w:lang w:val="nn-NO"/>
        </w:rPr>
      </w:pPr>
      <w:r w:rsidRPr="00E02540">
        <w:rPr>
          <w:rFonts w:ascii="Times New Roman" w:hAnsi="Times New Roman" w:cs="Times New Roman"/>
          <w:b/>
          <w:lang w:val="nn-NO"/>
        </w:rPr>
        <w:t>Tabell 7: Tilførsel til Tromsø</w:t>
      </w:r>
      <w:r w:rsidR="00E02540" w:rsidRPr="00E02540">
        <w:rPr>
          <w:rFonts w:ascii="Times New Roman" w:hAnsi="Times New Roman" w:cs="Times New Roman"/>
          <w:b/>
          <w:lang w:val="nn-NO"/>
        </w:rPr>
        <w:t xml:space="preserve"> (mill. kr)</w:t>
      </w:r>
      <w:r w:rsidR="00B65BF1">
        <w:rPr>
          <w:rFonts w:ascii="Times New Roman" w:hAnsi="Times New Roman" w:cs="Times New Roman"/>
          <w:b/>
          <w:lang w:val="nn-NO"/>
        </w:rPr>
        <w:t xml:space="preserve"> i forbindelse med Sjakk-OL</w:t>
      </w:r>
    </w:p>
    <w:tbl>
      <w:tblPr>
        <w:tblW w:w="7300" w:type="dxa"/>
        <w:tblCellMar>
          <w:left w:w="70" w:type="dxa"/>
          <w:right w:w="70" w:type="dxa"/>
        </w:tblCellMar>
        <w:tblLook w:val="04A0" w:firstRow="1" w:lastRow="0" w:firstColumn="1" w:lastColumn="0" w:noHBand="0" w:noVBand="1"/>
      </w:tblPr>
      <w:tblGrid>
        <w:gridCol w:w="3700"/>
        <w:gridCol w:w="1200"/>
        <w:gridCol w:w="1200"/>
        <w:gridCol w:w="1200"/>
      </w:tblGrid>
      <w:tr w:rsidR="002C6862" w:rsidRPr="00E02540" w14:paraId="5BEEDAE6" w14:textId="77777777" w:rsidTr="00880E55">
        <w:trPr>
          <w:trHeight w:val="300"/>
        </w:trPr>
        <w:tc>
          <w:tcPr>
            <w:tcW w:w="3700" w:type="dxa"/>
            <w:tcBorders>
              <w:top w:val="single" w:sz="4" w:space="0" w:color="auto"/>
              <w:left w:val="nil"/>
              <w:bottom w:val="single" w:sz="4" w:space="0" w:color="auto"/>
              <w:right w:val="nil"/>
            </w:tcBorders>
            <w:shd w:val="clear" w:color="auto" w:fill="auto"/>
            <w:noWrap/>
            <w:vAlign w:val="bottom"/>
            <w:hideMark/>
          </w:tcPr>
          <w:p w14:paraId="6FDF40DB" w14:textId="77777777" w:rsidR="002C6862" w:rsidRPr="00E02540" w:rsidRDefault="002C6862" w:rsidP="002C6862">
            <w:pPr>
              <w:spacing w:after="0" w:line="240" w:lineRule="auto"/>
              <w:rPr>
                <w:rFonts w:ascii="Times New Roman" w:eastAsia="Times New Roman" w:hAnsi="Times New Roman" w:cs="Times New Roman"/>
                <w:sz w:val="24"/>
                <w:szCs w:val="24"/>
                <w:lang w:val="nn-NO" w:eastAsia="nb-NO"/>
              </w:rPr>
            </w:pPr>
          </w:p>
        </w:tc>
        <w:tc>
          <w:tcPr>
            <w:tcW w:w="1200" w:type="dxa"/>
            <w:tcBorders>
              <w:top w:val="single" w:sz="4" w:space="0" w:color="auto"/>
              <w:left w:val="nil"/>
              <w:bottom w:val="single" w:sz="4" w:space="0" w:color="auto"/>
              <w:right w:val="nil"/>
            </w:tcBorders>
            <w:shd w:val="clear" w:color="auto" w:fill="auto"/>
            <w:noWrap/>
            <w:vAlign w:val="bottom"/>
            <w:hideMark/>
          </w:tcPr>
          <w:p w14:paraId="62C809E4" w14:textId="77777777" w:rsidR="002C6862" w:rsidRPr="00E02540" w:rsidRDefault="002C6862" w:rsidP="00E02540">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2011-2013</w:t>
            </w:r>
          </w:p>
        </w:tc>
        <w:tc>
          <w:tcPr>
            <w:tcW w:w="1200" w:type="dxa"/>
            <w:tcBorders>
              <w:top w:val="single" w:sz="4" w:space="0" w:color="auto"/>
              <w:left w:val="nil"/>
              <w:bottom w:val="single" w:sz="4" w:space="0" w:color="auto"/>
              <w:right w:val="nil"/>
            </w:tcBorders>
            <w:shd w:val="clear" w:color="auto" w:fill="auto"/>
            <w:noWrap/>
            <w:vAlign w:val="bottom"/>
            <w:hideMark/>
          </w:tcPr>
          <w:p w14:paraId="2F30653E" w14:textId="77777777" w:rsidR="002C6862" w:rsidRPr="00E02540" w:rsidRDefault="002C6862" w:rsidP="00E02540">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2014</w:t>
            </w:r>
          </w:p>
        </w:tc>
        <w:tc>
          <w:tcPr>
            <w:tcW w:w="1200" w:type="dxa"/>
            <w:tcBorders>
              <w:top w:val="single" w:sz="4" w:space="0" w:color="auto"/>
              <w:left w:val="nil"/>
              <w:bottom w:val="single" w:sz="4" w:space="0" w:color="auto"/>
              <w:right w:val="nil"/>
            </w:tcBorders>
            <w:shd w:val="clear" w:color="auto" w:fill="auto"/>
            <w:noWrap/>
            <w:vAlign w:val="bottom"/>
            <w:hideMark/>
          </w:tcPr>
          <w:p w14:paraId="6EA8C733" w14:textId="77777777" w:rsidR="002C6862" w:rsidRPr="00E02540" w:rsidRDefault="002C6862" w:rsidP="00E02540">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I alt</w:t>
            </w:r>
          </w:p>
        </w:tc>
      </w:tr>
      <w:tr w:rsidR="002C6862" w:rsidRPr="00E02540" w14:paraId="454B6881" w14:textId="77777777" w:rsidTr="00880E55">
        <w:trPr>
          <w:trHeight w:val="300"/>
        </w:trPr>
        <w:tc>
          <w:tcPr>
            <w:tcW w:w="3700" w:type="dxa"/>
            <w:tcBorders>
              <w:top w:val="single" w:sz="4" w:space="0" w:color="auto"/>
              <w:left w:val="nil"/>
              <w:bottom w:val="nil"/>
              <w:right w:val="nil"/>
            </w:tcBorders>
            <w:shd w:val="clear" w:color="auto" w:fill="auto"/>
            <w:noWrap/>
            <w:vAlign w:val="bottom"/>
            <w:hideMark/>
          </w:tcPr>
          <w:p w14:paraId="75508EA1" w14:textId="77777777" w:rsidR="002C6862" w:rsidRPr="00E02540" w:rsidRDefault="002C6862" w:rsidP="002C6862">
            <w:pPr>
              <w:spacing w:after="0" w:line="240" w:lineRule="auto"/>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Statstilskudd</w:t>
            </w:r>
          </w:p>
        </w:tc>
        <w:tc>
          <w:tcPr>
            <w:tcW w:w="1200" w:type="dxa"/>
            <w:tcBorders>
              <w:top w:val="single" w:sz="4" w:space="0" w:color="auto"/>
              <w:left w:val="nil"/>
              <w:bottom w:val="nil"/>
              <w:right w:val="nil"/>
            </w:tcBorders>
            <w:shd w:val="clear" w:color="auto" w:fill="auto"/>
            <w:noWrap/>
            <w:vAlign w:val="bottom"/>
            <w:hideMark/>
          </w:tcPr>
          <w:p w14:paraId="2E7CB7F7" w14:textId="77777777" w:rsidR="002C6862" w:rsidRPr="00E02540" w:rsidRDefault="002C6862" w:rsidP="00E02540">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 xml:space="preserve">10,00 </w:t>
            </w:r>
          </w:p>
        </w:tc>
        <w:tc>
          <w:tcPr>
            <w:tcW w:w="1200" w:type="dxa"/>
            <w:tcBorders>
              <w:top w:val="single" w:sz="4" w:space="0" w:color="auto"/>
              <w:left w:val="nil"/>
              <w:bottom w:val="nil"/>
              <w:right w:val="nil"/>
            </w:tcBorders>
            <w:shd w:val="clear" w:color="auto" w:fill="auto"/>
            <w:noWrap/>
            <w:vAlign w:val="bottom"/>
            <w:hideMark/>
          </w:tcPr>
          <w:p w14:paraId="01AA53C7" w14:textId="72856B98" w:rsidR="002C6862" w:rsidRPr="00E02540" w:rsidRDefault="002C6862" w:rsidP="00E02540">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 xml:space="preserve">77,00 </w:t>
            </w:r>
          </w:p>
        </w:tc>
        <w:tc>
          <w:tcPr>
            <w:tcW w:w="1200" w:type="dxa"/>
            <w:tcBorders>
              <w:top w:val="single" w:sz="4" w:space="0" w:color="auto"/>
              <w:left w:val="nil"/>
              <w:bottom w:val="nil"/>
              <w:right w:val="nil"/>
            </w:tcBorders>
            <w:shd w:val="clear" w:color="auto" w:fill="auto"/>
            <w:noWrap/>
            <w:vAlign w:val="bottom"/>
            <w:hideMark/>
          </w:tcPr>
          <w:p w14:paraId="7E5CB2FC" w14:textId="3B12CDBD" w:rsidR="002C6862" w:rsidRPr="00E02540" w:rsidRDefault="002C6862" w:rsidP="00E02540">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 xml:space="preserve">87,00 </w:t>
            </w:r>
          </w:p>
        </w:tc>
      </w:tr>
      <w:tr w:rsidR="002C6862" w:rsidRPr="00E02540" w14:paraId="55455E39" w14:textId="77777777" w:rsidTr="00880E55">
        <w:trPr>
          <w:trHeight w:val="300"/>
        </w:trPr>
        <w:tc>
          <w:tcPr>
            <w:tcW w:w="3700" w:type="dxa"/>
            <w:tcBorders>
              <w:top w:val="nil"/>
              <w:left w:val="nil"/>
              <w:right w:val="nil"/>
            </w:tcBorders>
            <w:shd w:val="clear" w:color="auto" w:fill="auto"/>
            <w:noWrap/>
            <w:vAlign w:val="bottom"/>
            <w:hideMark/>
          </w:tcPr>
          <w:p w14:paraId="78F50516" w14:textId="77777777" w:rsidR="002C6862" w:rsidRPr="00E02540" w:rsidRDefault="002C6862" w:rsidP="002C6862">
            <w:pPr>
              <w:spacing w:after="0" w:line="240" w:lineRule="auto"/>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Tilreisendes kjøp av varer og tjenester</w:t>
            </w:r>
          </w:p>
        </w:tc>
        <w:tc>
          <w:tcPr>
            <w:tcW w:w="1200" w:type="dxa"/>
            <w:tcBorders>
              <w:top w:val="nil"/>
              <w:left w:val="nil"/>
              <w:right w:val="nil"/>
            </w:tcBorders>
            <w:shd w:val="clear" w:color="auto" w:fill="auto"/>
            <w:noWrap/>
            <w:vAlign w:val="bottom"/>
            <w:hideMark/>
          </w:tcPr>
          <w:p w14:paraId="6AD1103B" w14:textId="52D07890" w:rsidR="002C6862" w:rsidRPr="00E02540" w:rsidRDefault="003B7F1B" w:rsidP="003B7F1B">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1,04</w:t>
            </w:r>
            <w:r w:rsidR="002C6862" w:rsidRPr="00E02540">
              <w:rPr>
                <w:rFonts w:ascii="Times New Roman" w:eastAsia="Times New Roman" w:hAnsi="Times New Roman" w:cs="Times New Roman"/>
                <w:color w:val="000000"/>
                <w:lang w:val="nb-NO" w:eastAsia="nb-NO"/>
              </w:rPr>
              <w:t xml:space="preserve"> </w:t>
            </w:r>
          </w:p>
        </w:tc>
        <w:tc>
          <w:tcPr>
            <w:tcW w:w="1200" w:type="dxa"/>
            <w:tcBorders>
              <w:top w:val="nil"/>
              <w:left w:val="nil"/>
              <w:right w:val="nil"/>
            </w:tcBorders>
            <w:shd w:val="clear" w:color="auto" w:fill="auto"/>
            <w:noWrap/>
            <w:vAlign w:val="bottom"/>
            <w:hideMark/>
          </w:tcPr>
          <w:p w14:paraId="71688F5B" w14:textId="1C3A7E70" w:rsidR="002C6862" w:rsidRPr="00E02540" w:rsidRDefault="00E02540" w:rsidP="00E02540">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7</w:t>
            </w:r>
            <w:r w:rsidR="002C6862" w:rsidRPr="00E02540">
              <w:rPr>
                <w:rFonts w:ascii="Times New Roman" w:eastAsia="Times New Roman" w:hAnsi="Times New Roman" w:cs="Times New Roman"/>
                <w:color w:val="000000"/>
                <w:lang w:val="nb-NO" w:eastAsia="nb-NO"/>
              </w:rPr>
              <w:t xml:space="preserve">,24 </w:t>
            </w:r>
          </w:p>
        </w:tc>
        <w:tc>
          <w:tcPr>
            <w:tcW w:w="1200" w:type="dxa"/>
            <w:tcBorders>
              <w:top w:val="nil"/>
              <w:left w:val="nil"/>
              <w:right w:val="nil"/>
            </w:tcBorders>
            <w:shd w:val="clear" w:color="auto" w:fill="auto"/>
            <w:noWrap/>
            <w:vAlign w:val="bottom"/>
            <w:hideMark/>
          </w:tcPr>
          <w:p w14:paraId="535093DD" w14:textId="1BD1027C" w:rsidR="002C6862" w:rsidRPr="00E02540" w:rsidRDefault="002C6862" w:rsidP="00472969">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8,</w:t>
            </w:r>
            <w:r w:rsidR="003B7F1B">
              <w:rPr>
                <w:rFonts w:ascii="Times New Roman" w:eastAsia="Times New Roman" w:hAnsi="Times New Roman" w:cs="Times New Roman"/>
                <w:color w:val="000000"/>
                <w:lang w:val="nb-NO" w:eastAsia="nb-NO"/>
              </w:rPr>
              <w:t>28</w:t>
            </w:r>
          </w:p>
        </w:tc>
      </w:tr>
      <w:tr w:rsidR="002C6862" w:rsidRPr="00E02540" w14:paraId="236562D4" w14:textId="77777777" w:rsidTr="00C81921">
        <w:trPr>
          <w:trHeight w:val="300"/>
        </w:trPr>
        <w:tc>
          <w:tcPr>
            <w:tcW w:w="3700" w:type="dxa"/>
            <w:tcBorders>
              <w:top w:val="nil"/>
              <w:left w:val="nil"/>
              <w:bottom w:val="nil"/>
              <w:right w:val="nil"/>
            </w:tcBorders>
            <w:shd w:val="clear" w:color="auto" w:fill="auto"/>
            <w:noWrap/>
            <w:vAlign w:val="bottom"/>
            <w:hideMark/>
          </w:tcPr>
          <w:p w14:paraId="613CA1D9" w14:textId="77777777" w:rsidR="002C6862" w:rsidRPr="00E02540" w:rsidRDefault="002C6862" w:rsidP="002C6862">
            <w:pPr>
              <w:spacing w:after="0" w:line="240" w:lineRule="auto"/>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Annen ekstern tilførsel</w:t>
            </w:r>
          </w:p>
        </w:tc>
        <w:tc>
          <w:tcPr>
            <w:tcW w:w="1200" w:type="dxa"/>
            <w:tcBorders>
              <w:top w:val="nil"/>
              <w:left w:val="nil"/>
              <w:bottom w:val="nil"/>
              <w:right w:val="nil"/>
            </w:tcBorders>
            <w:shd w:val="clear" w:color="auto" w:fill="auto"/>
            <w:noWrap/>
            <w:vAlign w:val="bottom"/>
            <w:hideMark/>
          </w:tcPr>
          <w:p w14:paraId="6E19E64F" w14:textId="7A1697B5" w:rsidR="002C6862" w:rsidRPr="00E02540" w:rsidRDefault="003B7F1B" w:rsidP="00E02540">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0,80</w:t>
            </w:r>
            <w:r w:rsidR="002C6862" w:rsidRPr="00E02540">
              <w:rPr>
                <w:rFonts w:ascii="Times New Roman" w:eastAsia="Times New Roman" w:hAnsi="Times New Roman" w:cs="Times New Roman"/>
                <w:color w:val="000000"/>
                <w:lang w:val="nb-NO" w:eastAsia="nb-NO"/>
              </w:rPr>
              <w:t xml:space="preserve"> </w:t>
            </w:r>
          </w:p>
        </w:tc>
        <w:tc>
          <w:tcPr>
            <w:tcW w:w="1200" w:type="dxa"/>
            <w:tcBorders>
              <w:top w:val="nil"/>
              <w:left w:val="nil"/>
              <w:bottom w:val="nil"/>
              <w:right w:val="nil"/>
            </w:tcBorders>
            <w:shd w:val="clear" w:color="auto" w:fill="auto"/>
            <w:noWrap/>
            <w:vAlign w:val="bottom"/>
            <w:hideMark/>
          </w:tcPr>
          <w:p w14:paraId="72A554CA" w14:textId="142CF123" w:rsidR="002C6862" w:rsidRPr="00E02540" w:rsidRDefault="00472969" w:rsidP="00472969">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1,50</w:t>
            </w:r>
          </w:p>
        </w:tc>
        <w:tc>
          <w:tcPr>
            <w:tcW w:w="1200" w:type="dxa"/>
            <w:tcBorders>
              <w:top w:val="nil"/>
              <w:left w:val="nil"/>
              <w:bottom w:val="nil"/>
              <w:right w:val="nil"/>
            </w:tcBorders>
            <w:shd w:val="clear" w:color="auto" w:fill="auto"/>
            <w:noWrap/>
            <w:vAlign w:val="bottom"/>
            <w:hideMark/>
          </w:tcPr>
          <w:p w14:paraId="4BB2BF65" w14:textId="49CEE20F" w:rsidR="002C6862" w:rsidRPr="00E02540" w:rsidRDefault="00472969" w:rsidP="00472969">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2,30</w:t>
            </w:r>
            <w:r w:rsidR="002C6862" w:rsidRPr="00E02540">
              <w:rPr>
                <w:rFonts w:ascii="Times New Roman" w:eastAsia="Times New Roman" w:hAnsi="Times New Roman" w:cs="Times New Roman"/>
                <w:color w:val="000000"/>
                <w:lang w:val="nb-NO" w:eastAsia="nb-NO"/>
              </w:rPr>
              <w:t xml:space="preserve"> </w:t>
            </w:r>
          </w:p>
        </w:tc>
      </w:tr>
      <w:tr w:rsidR="00CA5CDB" w:rsidRPr="00E02540" w14:paraId="0886E3BE" w14:textId="77777777" w:rsidTr="00880E55">
        <w:trPr>
          <w:trHeight w:val="300"/>
        </w:trPr>
        <w:tc>
          <w:tcPr>
            <w:tcW w:w="3700" w:type="dxa"/>
            <w:tcBorders>
              <w:top w:val="nil"/>
              <w:left w:val="nil"/>
              <w:bottom w:val="single" w:sz="4" w:space="0" w:color="auto"/>
              <w:right w:val="nil"/>
            </w:tcBorders>
            <w:shd w:val="clear" w:color="auto" w:fill="auto"/>
            <w:noWrap/>
            <w:vAlign w:val="bottom"/>
          </w:tcPr>
          <w:p w14:paraId="6937AF77" w14:textId="58D6CA92" w:rsidR="00CA5CDB" w:rsidRPr="00E02540" w:rsidRDefault="00CA5CDB" w:rsidP="002C6862">
            <w:pPr>
              <w:spacing w:after="0" w:line="240" w:lineRule="auto"/>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Samlet tilførsel</w:t>
            </w:r>
          </w:p>
        </w:tc>
        <w:tc>
          <w:tcPr>
            <w:tcW w:w="1200" w:type="dxa"/>
            <w:tcBorders>
              <w:top w:val="nil"/>
              <w:left w:val="nil"/>
              <w:bottom w:val="single" w:sz="4" w:space="0" w:color="auto"/>
              <w:right w:val="nil"/>
            </w:tcBorders>
            <w:shd w:val="clear" w:color="auto" w:fill="auto"/>
            <w:noWrap/>
            <w:vAlign w:val="bottom"/>
          </w:tcPr>
          <w:p w14:paraId="1853472B" w14:textId="4A5E6288" w:rsidR="00CA5CDB" w:rsidRPr="00E02540" w:rsidRDefault="003B7F1B" w:rsidP="003B7F1B">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11,84</w:t>
            </w:r>
          </w:p>
        </w:tc>
        <w:tc>
          <w:tcPr>
            <w:tcW w:w="1200" w:type="dxa"/>
            <w:tcBorders>
              <w:top w:val="nil"/>
              <w:left w:val="nil"/>
              <w:bottom w:val="single" w:sz="4" w:space="0" w:color="auto"/>
              <w:right w:val="nil"/>
            </w:tcBorders>
            <w:shd w:val="clear" w:color="auto" w:fill="auto"/>
            <w:noWrap/>
            <w:vAlign w:val="bottom"/>
          </w:tcPr>
          <w:p w14:paraId="4DDDF56B" w14:textId="0D1A3350" w:rsidR="00CA5CDB" w:rsidRPr="00E02540" w:rsidRDefault="00CA5CDB" w:rsidP="00E02540">
            <w:pPr>
              <w:spacing w:after="0" w:line="240" w:lineRule="auto"/>
              <w:jc w:val="right"/>
              <w:rPr>
                <w:rFonts w:ascii="Times New Roman" w:eastAsia="Times New Roman" w:hAnsi="Times New Roman" w:cs="Times New Roman"/>
                <w:color w:val="000000"/>
                <w:lang w:val="nb-NO" w:eastAsia="nb-NO"/>
              </w:rPr>
            </w:pPr>
            <w:r w:rsidRPr="00E02540">
              <w:rPr>
                <w:rFonts w:ascii="Times New Roman" w:eastAsia="Times New Roman" w:hAnsi="Times New Roman" w:cs="Times New Roman"/>
                <w:color w:val="000000"/>
                <w:lang w:val="nb-NO" w:eastAsia="nb-NO"/>
              </w:rPr>
              <w:t>8</w:t>
            </w:r>
            <w:r w:rsidR="00472969">
              <w:rPr>
                <w:rFonts w:ascii="Times New Roman" w:eastAsia="Times New Roman" w:hAnsi="Times New Roman" w:cs="Times New Roman"/>
                <w:color w:val="000000"/>
                <w:lang w:val="nb-NO" w:eastAsia="nb-NO"/>
              </w:rPr>
              <w:t>5,7</w:t>
            </w:r>
            <w:r w:rsidRPr="00E02540">
              <w:rPr>
                <w:rFonts w:ascii="Times New Roman" w:eastAsia="Times New Roman" w:hAnsi="Times New Roman" w:cs="Times New Roman"/>
                <w:color w:val="000000"/>
                <w:lang w:val="nb-NO" w:eastAsia="nb-NO"/>
              </w:rPr>
              <w:t>4</w:t>
            </w:r>
          </w:p>
        </w:tc>
        <w:tc>
          <w:tcPr>
            <w:tcW w:w="1200" w:type="dxa"/>
            <w:tcBorders>
              <w:top w:val="nil"/>
              <w:left w:val="nil"/>
              <w:bottom w:val="single" w:sz="4" w:space="0" w:color="auto"/>
              <w:right w:val="nil"/>
            </w:tcBorders>
            <w:shd w:val="clear" w:color="auto" w:fill="auto"/>
            <w:noWrap/>
            <w:vAlign w:val="bottom"/>
          </w:tcPr>
          <w:p w14:paraId="571CD792" w14:textId="70B32191" w:rsidR="00CA5CDB" w:rsidRPr="00E02540" w:rsidRDefault="00472969" w:rsidP="00E02540">
            <w:pPr>
              <w:spacing w:after="0" w:line="240" w:lineRule="auto"/>
              <w:jc w:val="right"/>
              <w:rPr>
                <w:rFonts w:ascii="Times New Roman" w:eastAsia="Times New Roman" w:hAnsi="Times New Roman" w:cs="Times New Roman"/>
                <w:color w:val="000000"/>
                <w:lang w:val="nb-NO" w:eastAsia="nb-NO"/>
              </w:rPr>
            </w:pPr>
            <w:r>
              <w:rPr>
                <w:rFonts w:ascii="Times New Roman" w:eastAsia="Times New Roman" w:hAnsi="Times New Roman" w:cs="Times New Roman"/>
                <w:color w:val="000000"/>
                <w:lang w:val="nb-NO" w:eastAsia="nb-NO"/>
              </w:rPr>
              <w:t>97,58</w:t>
            </w:r>
          </w:p>
        </w:tc>
      </w:tr>
    </w:tbl>
    <w:p w14:paraId="038D3064" w14:textId="4A02D75B" w:rsidR="00522427" w:rsidRDefault="00522427" w:rsidP="00880E55">
      <w:pPr>
        <w:spacing w:line="360" w:lineRule="auto"/>
        <w:jc w:val="both"/>
        <w:rPr>
          <w:rFonts w:ascii="Times New Roman" w:hAnsi="Times New Roman" w:cs="Times New Roman"/>
          <w:sz w:val="24"/>
          <w:szCs w:val="24"/>
          <w:lang w:val="nb-NO"/>
        </w:rPr>
      </w:pPr>
    </w:p>
    <w:p w14:paraId="6800222D" w14:textId="77777777" w:rsidR="00AE2C70" w:rsidRPr="00545991" w:rsidRDefault="0043374D" w:rsidP="0043374D">
      <w:pPr>
        <w:pStyle w:val="Overskrift1"/>
        <w:numPr>
          <w:ilvl w:val="0"/>
          <w:numId w:val="6"/>
        </w:numPr>
        <w:spacing w:line="360" w:lineRule="auto"/>
        <w:ind w:left="360"/>
        <w:rPr>
          <w:lang w:val="nb-NO"/>
        </w:rPr>
      </w:pPr>
      <w:r>
        <w:rPr>
          <w:lang w:val="nb-NO"/>
        </w:rPr>
        <w:t>D</w:t>
      </w:r>
      <w:r w:rsidR="00CB3FEE" w:rsidRPr="00545991">
        <w:rPr>
          <w:lang w:val="nb-NO"/>
        </w:rPr>
        <w:t xml:space="preserve">iskusjon </w:t>
      </w:r>
      <w:r w:rsidR="000A3D6A">
        <w:rPr>
          <w:lang w:val="nb-NO"/>
        </w:rPr>
        <w:t>- konklusjoner</w:t>
      </w:r>
    </w:p>
    <w:p w14:paraId="682C08F6" w14:textId="1B0282E4" w:rsidR="001419D5" w:rsidRDefault="001419D5" w:rsidP="004142BE">
      <w:pPr>
        <w:spacing w:line="360" w:lineRule="auto"/>
        <w:jc w:val="both"/>
        <w:rPr>
          <w:rFonts w:ascii="Times New Roman" w:hAnsi="Times New Roman" w:cs="Times New Roman"/>
          <w:sz w:val="24"/>
          <w:szCs w:val="24"/>
          <w:lang w:val="nb-NO"/>
        </w:rPr>
      </w:pPr>
      <w:r>
        <w:rPr>
          <w:rFonts w:ascii="Times New Roman" w:hAnsi="Times New Roman" w:cs="Times New Roman"/>
          <w:sz w:val="24"/>
          <w:szCs w:val="24"/>
          <w:lang w:val="nb-NO"/>
        </w:rPr>
        <w:t>De økonomiske v</w:t>
      </w:r>
      <w:r w:rsidR="008616BB">
        <w:rPr>
          <w:rFonts w:ascii="Times New Roman" w:hAnsi="Times New Roman" w:cs="Times New Roman"/>
          <w:sz w:val="24"/>
          <w:szCs w:val="24"/>
          <w:lang w:val="nb-NO"/>
        </w:rPr>
        <w:t xml:space="preserve">irkningene </w:t>
      </w:r>
      <w:r w:rsidR="00916CD0">
        <w:rPr>
          <w:rFonts w:ascii="Times New Roman" w:hAnsi="Times New Roman" w:cs="Times New Roman"/>
          <w:sz w:val="24"/>
          <w:szCs w:val="24"/>
          <w:lang w:val="nb-NO"/>
        </w:rPr>
        <w:t>av</w:t>
      </w:r>
      <w:r w:rsidR="00066FEB">
        <w:rPr>
          <w:rFonts w:ascii="Times New Roman" w:hAnsi="Times New Roman" w:cs="Times New Roman"/>
          <w:sz w:val="24"/>
          <w:szCs w:val="24"/>
          <w:lang w:val="nb-NO"/>
        </w:rPr>
        <w:t xml:space="preserve"> </w:t>
      </w:r>
      <w:r w:rsidR="00CB3FEE" w:rsidRPr="00545991">
        <w:rPr>
          <w:rFonts w:ascii="Times New Roman" w:hAnsi="Times New Roman" w:cs="Times New Roman"/>
          <w:sz w:val="24"/>
          <w:szCs w:val="24"/>
          <w:lang w:val="nb-NO"/>
        </w:rPr>
        <w:t>Sjak</w:t>
      </w:r>
      <w:r w:rsidR="002F640B" w:rsidRPr="00545991">
        <w:rPr>
          <w:rFonts w:ascii="Times New Roman" w:hAnsi="Times New Roman" w:cs="Times New Roman"/>
          <w:sz w:val="24"/>
          <w:szCs w:val="24"/>
          <w:lang w:val="nb-NO"/>
        </w:rPr>
        <w:t>k</w:t>
      </w:r>
      <w:r w:rsidR="0084549C" w:rsidRPr="00545991">
        <w:rPr>
          <w:rFonts w:ascii="Times New Roman" w:hAnsi="Times New Roman" w:cs="Times New Roman"/>
          <w:sz w:val="24"/>
          <w:szCs w:val="24"/>
          <w:lang w:val="nb-NO"/>
        </w:rPr>
        <w:t>-</w:t>
      </w:r>
      <w:r w:rsidR="002F640B" w:rsidRPr="00545991">
        <w:rPr>
          <w:rFonts w:ascii="Times New Roman" w:hAnsi="Times New Roman" w:cs="Times New Roman"/>
          <w:sz w:val="24"/>
          <w:szCs w:val="24"/>
          <w:lang w:val="nb-NO"/>
        </w:rPr>
        <w:t xml:space="preserve">OL </w:t>
      </w:r>
      <w:r w:rsidR="008616BB">
        <w:rPr>
          <w:rFonts w:ascii="Times New Roman" w:hAnsi="Times New Roman" w:cs="Times New Roman"/>
          <w:sz w:val="24"/>
          <w:szCs w:val="24"/>
          <w:lang w:val="nb-NO"/>
        </w:rPr>
        <w:t xml:space="preserve">avvek fra </w:t>
      </w:r>
      <w:r w:rsidR="00505F6F">
        <w:rPr>
          <w:rFonts w:ascii="Times New Roman" w:hAnsi="Times New Roman" w:cs="Times New Roman"/>
          <w:sz w:val="24"/>
          <w:szCs w:val="24"/>
          <w:lang w:val="nb-NO"/>
        </w:rPr>
        <w:t xml:space="preserve">hva </w:t>
      </w:r>
      <w:r w:rsidR="001E0538" w:rsidRPr="00545991">
        <w:rPr>
          <w:rFonts w:ascii="Times New Roman" w:hAnsi="Times New Roman" w:cs="Times New Roman"/>
          <w:sz w:val="24"/>
          <w:szCs w:val="24"/>
          <w:lang w:val="nb-NO"/>
        </w:rPr>
        <w:t>som er vanlig for internasjonale idrettsarrangement</w:t>
      </w:r>
      <w:r w:rsidR="00066FEB">
        <w:rPr>
          <w:rFonts w:ascii="Times New Roman" w:hAnsi="Times New Roman" w:cs="Times New Roman"/>
          <w:sz w:val="24"/>
          <w:szCs w:val="24"/>
          <w:lang w:val="nb-NO"/>
        </w:rPr>
        <w:t xml:space="preserve">, hvor </w:t>
      </w:r>
      <w:r w:rsidR="00505F6F">
        <w:rPr>
          <w:rFonts w:ascii="Times New Roman" w:hAnsi="Times New Roman" w:cs="Times New Roman"/>
          <w:sz w:val="24"/>
          <w:szCs w:val="24"/>
          <w:lang w:val="nb-NO"/>
        </w:rPr>
        <w:t xml:space="preserve">etterspørselen fra </w:t>
      </w:r>
      <w:r w:rsidR="00066FEB">
        <w:rPr>
          <w:rFonts w:ascii="Times New Roman" w:hAnsi="Times New Roman" w:cs="Times New Roman"/>
          <w:sz w:val="24"/>
          <w:szCs w:val="24"/>
          <w:lang w:val="nb-NO"/>
        </w:rPr>
        <w:t>til</w:t>
      </w:r>
      <w:r w:rsidR="00545A70">
        <w:rPr>
          <w:rFonts w:ascii="Times New Roman" w:hAnsi="Times New Roman" w:cs="Times New Roman"/>
          <w:sz w:val="24"/>
          <w:szCs w:val="24"/>
          <w:lang w:val="nb-NO"/>
        </w:rPr>
        <w:t>reisende tilskuere</w:t>
      </w:r>
      <w:r w:rsidR="00505F6F">
        <w:rPr>
          <w:rFonts w:ascii="Times New Roman" w:hAnsi="Times New Roman" w:cs="Times New Roman"/>
          <w:sz w:val="24"/>
          <w:szCs w:val="24"/>
          <w:lang w:val="nb-NO"/>
        </w:rPr>
        <w:t xml:space="preserve"> </w:t>
      </w:r>
      <w:r w:rsidR="00066FEB">
        <w:rPr>
          <w:rFonts w:ascii="Times New Roman" w:hAnsi="Times New Roman" w:cs="Times New Roman"/>
          <w:sz w:val="24"/>
          <w:szCs w:val="24"/>
          <w:lang w:val="nb-NO"/>
        </w:rPr>
        <w:t xml:space="preserve">gjerne står for </w:t>
      </w:r>
      <w:r w:rsidR="00505F6F">
        <w:rPr>
          <w:rFonts w:ascii="Times New Roman" w:hAnsi="Times New Roman" w:cs="Times New Roman"/>
          <w:sz w:val="24"/>
          <w:szCs w:val="24"/>
          <w:lang w:val="nb-NO"/>
        </w:rPr>
        <w:t xml:space="preserve">den viktigste </w:t>
      </w:r>
      <w:r w:rsidR="00066FEB">
        <w:rPr>
          <w:rFonts w:ascii="Times New Roman" w:hAnsi="Times New Roman" w:cs="Times New Roman"/>
          <w:sz w:val="24"/>
          <w:szCs w:val="24"/>
          <w:lang w:val="nb-NO"/>
        </w:rPr>
        <w:t>tilførselen til</w:t>
      </w:r>
      <w:r w:rsidR="00505F6F">
        <w:rPr>
          <w:rFonts w:ascii="Times New Roman" w:hAnsi="Times New Roman" w:cs="Times New Roman"/>
          <w:sz w:val="24"/>
          <w:szCs w:val="24"/>
          <w:lang w:val="nb-NO"/>
        </w:rPr>
        <w:t xml:space="preserve"> regionen</w:t>
      </w:r>
      <w:r w:rsidR="00545A70">
        <w:rPr>
          <w:rFonts w:ascii="Times New Roman" w:hAnsi="Times New Roman" w:cs="Times New Roman"/>
          <w:sz w:val="24"/>
          <w:szCs w:val="24"/>
          <w:lang w:val="nb-NO"/>
        </w:rPr>
        <w:t xml:space="preserve">. </w:t>
      </w:r>
      <w:r w:rsidR="008616BB">
        <w:rPr>
          <w:rFonts w:ascii="Times New Roman" w:hAnsi="Times New Roman" w:cs="Times New Roman"/>
          <w:sz w:val="24"/>
          <w:szCs w:val="24"/>
          <w:lang w:val="nb-NO"/>
        </w:rPr>
        <w:t>Det</w:t>
      </w:r>
      <w:r w:rsidR="00A34D87">
        <w:rPr>
          <w:rFonts w:ascii="Times New Roman" w:hAnsi="Times New Roman" w:cs="Times New Roman"/>
          <w:sz w:val="24"/>
          <w:szCs w:val="24"/>
          <w:lang w:val="nb-NO"/>
        </w:rPr>
        <w:t xml:space="preserve">te arrangementet tiltrakk seg få </w:t>
      </w:r>
      <w:r w:rsidR="008616BB">
        <w:rPr>
          <w:rFonts w:ascii="Times New Roman" w:hAnsi="Times New Roman" w:cs="Times New Roman"/>
          <w:sz w:val="24"/>
          <w:szCs w:val="24"/>
          <w:lang w:val="nb-NO"/>
        </w:rPr>
        <w:t>t</w:t>
      </w:r>
      <w:r w:rsidR="00A34D87">
        <w:rPr>
          <w:rFonts w:ascii="Times New Roman" w:hAnsi="Times New Roman" w:cs="Times New Roman"/>
          <w:sz w:val="24"/>
          <w:szCs w:val="24"/>
          <w:lang w:val="nb-NO"/>
        </w:rPr>
        <w:t>ilskuere</w:t>
      </w:r>
      <w:r w:rsidR="00066FEB">
        <w:rPr>
          <w:rFonts w:ascii="Times New Roman" w:hAnsi="Times New Roman" w:cs="Times New Roman"/>
          <w:sz w:val="24"/>
          <w:szCs w:val="24"/>
          <w:lang w:val="nb-NO"/>
        </w:rPr>
        <w:t xml:space="preserve">. </w:t>
      </w:r>
      <w:r w:rsidR="00894A4C">
        <w:rPr>
          <w:rFonts w:ascii="Times New Roman" w:hAnsi="Times New Roman" w:cs="Times New Roman"/>
          <w:sz w:val="24"/>
          <w:szCs w:val="24"/>
          <w:lang w:val="nb-NO"/>
        </w:rPr>
        <w:t>A</w:t>
      </w:r>
      <w:r w:rsidR="00066FEB">
        <w:rPr>
          <w:rFonts w:ascii="Times New Roman" w:hAnsi="Times New Roman" w:cs="Times New Roman"/>
          <w:sz w:val="24"/>
          <w:szCs w:val="24"/>
          <w:lang w:val="nb-NO"/>
        </w:rPr>
        <w:t>rrangøren hadde budsjettert med 800</w:t>
      </w:r>
      <w:r w:rsidR="004D6BA9">
        <w:rPr>
          <w:rFonts w:ascii="Times New Roman" w:hAnsi="Times New Roman" w:cs="Times New Roman"/>
          <w:sz w:val="24"/>
          <w:szCs w:val="24"/>
          <w:lang w:val="nb-NO"/>
        </w:rPr>
        <w:t xml:space="preserve"> </w:t>
      </w:r>
      <w:r w:rsidR="00066FEB">
        <w:rPr>
          <w:rFonts w:ascii="Times New Roman" w:hAnsi="Times New Roman" w:cs="Times New Roman"/>
          <w:sz w:val="24"/>
          <w:szCs w:val="24"/>
          <w:lang w:val="nb-NO"/>
        </w:rPr>
        <w:t xml:space="preserve">000 kroner i billettinntekter, men </w:t>
      </w:r>
      <w:r w:rsidR="008477E9">
        <w:rPr>
          <w:rFonts w:ascii="Times New Roman" w:hAnsi="Times New Roman" w:cs="Times New Roman"/>
          <w:sz w:val="24"/>
          <w:szCs w:val="24"/>
          <w:lang w:val="nb-NO"/>
        </w:rPr>
        <w:t xml:space="preserve">nådde </w:t>
      </w:r>
      <w:r w:rsidR="0048706A">
        <w:rPr>
          <w:rFonts w:ascii="Times New Roman" w:hAnsi="Times New Roman" w:cs="Times New Roman"/>
          <w:sz w:val="24"/>
          <w:szCs w:val="24"/>
          <w:lang w:val="nb-NO"/>
        </w:rPr>
        <w:t xml:space="preserve">bare </w:t>
      </w:r>
      <w:r w:rsidR="00066FEB">
        <w:rPr>
          <w:rFonts w:ascii="Times New Roman" w:hAnsi="Times New Roman" w:cs="Times New Roman"/>
          <w:sz w:val="24"/>
          <w:szCs w:val="24"/>
          <w:lang w:val="nb-NO"/>
        </w:rPr>
        <w:t>355</w:t>
      </w:r>
      <w:r w:rsidR="004D6BA9">
        <w:rPr>
          <w:rFonts w:ascii="Times New Roman" w:hAnsi="Times New Roman" w:cs="Times New Roman"/>
          <w:sz w:val="24"/>
          <w:szCs w:val="24"/>
          <w:lang w:val="nb-NO"/>
        </w:rPr>
        <w:t xml:space="preserve"> </w:t>
      </w:r>
      <w:r w:rsidR="00066FEB">
        <w:rPr>
          <w:rFonts w:ascii="Times New Roman" w:hAnsi="Times New Roman" w:cs="Times New Roman"/>
          <w:sz w:val="24"/>
          <w:szCs w:val="24"/>
          <w:lang w:val="nb-NO"/>
        </w:rPr>
        <w:t xml:space="preserve">000 (44%). </w:t>
      </w:r>
      <w:r w:rsidR="005F01FE">
        <w:rPr>
          <w:rFonts w:ascii="Times New Roman" w:hAnsi="Times New Roman" w:cs="Times New Roman"/>
          <w:sz w:val="24"/>
          <w:szCs w:val="24"/>
          <w:lang w:val="nb-NO"/>
        </w:rPr>
        <w:t xml:space="preserve">En </w:t>
      </w:r>
      <w:r w:rsidR="008477E9">
        <w:rPr>
          <w:rFonts w:ascii="Times New Roman" w:hAnsi="Times New Roman" w:cs="Times New Roman"/>
          <w:sz w:val="24"/>
          <w:szCs w:val="24"/>
          <w:lang w:val="nb-NO"/>
        </w:rPr>
        <w:t xml:space="preserve">årsak kan være at det å se et sjakkparti på nært hold ikke </w:t>
      </w:r>
      <w:r w:rsidR="00960910">
        <w:rPr>
          <w:rFonts w:ascii="Times New Roman" w:hAnsi="Times New Roman" w:cs="Times New Roman"/>
          <w:sz w:val="24"/>
          <w:szCs w:val="24"/>
          <w:lang w:val="nb-NO"/>
        </w:rPr>
        <w:t xml:space="preserve">gir den samme opplevelsen </w:t>
      </w:r>
      <w:r w:rsidR="008477E9">
        <w:rPr>
          <w:rFonts w:ascii="Times New Roman" w:hAnsi="Times New Roman" w:cs="Times New Roman"/>
          <w:sz w:val="24"/>
          <w:szCs w:val="24"/>
          <w:lang w:val="nb-NO"/>
        </w:rPr>
        <w:t xml:space="preserve">som </w:t>
      </w:r>
      <w:r w:rsidR="00960910">
        <w:rPr>
          <w:rFonts w:ascii="Times New Roman" w:hAnsi="Times New Roman" w:cs="Times New Roman"/>
          <w:sz w:val="24"/>
          <w:szCs w:val="24"/>
          <w:lang w:val="nb-NO"/>
        </w:rPr>
        <w:t xml:space="preserve">å </w:t>
      </w:r>
      <w:r w:rsidR="008477E9">
        <w:rPr>
          <w:rFonts w:ascii="Times New Roman" w:hAnsi="Times New Roman" w:cs="Times New Roman"/>
          <w:sz w:val="24"/>
          <w:szCs w:val="24"/>
          <w:lang w:val="nb-NO"/>
        </w:rPr>
        <w:t>være tilsted</w:t>
      </w:r>
      <w:r w:rsidR="004D6BA9">
        <w:rPr>
          <w:rFonts w:ascii="Times New Roman" w:hAnsi="Times New Roman" w:cs="Times New Roman"/>
          <w:sz w:val="24"/>
          <w:szCs w:val="24"/>
          <w:lang w:val="nb-NO"/>
        </w:rPr>
        <w:t>e</w:t>
      </w:r>
      <w:r w:rsidR="008477E9">
        <w:rPr>
          <w:rFonts w:ascii="Times New Roman" w:hAnsi="Times New Roman" w:cs="Times New Roman"/>
          <w:sz w:val="24"/>
          <w:szCs w:val="24"/>
          <w:lang w:val="nb-NO"/>
        </w:rPr>
        <w:t xml:space="preserve"> på </w:t>
      </w:r>
      <w:r w:rsidR="005F01FE" w:rsidRPr="00545991">
        <w:rPr>
          <w:rFonts w:ascii="Times New Roman" w:hAnsi="Times New Roman" w:cs="Times New Roman"/>
          <w:sz w:val="24"/>
          <w:szCs w:val="24"/>
          <w:lang w:val="nb-NO"/>
        </w:rPr>
        <w:t xml:space="preserve">tradisjonelle idrettskonkurranser. </w:t>
      </w:r>
      <w:r w:rsidR="00145520">
        <w:rPr>
          <w:rFonts w:ascii="Times New Roman" w:hAnsi="Times New Roman" w:cs="Times New Roman"/>
          <w:sz w:val="24"/>
          <w:szCs w:val="24"/>
          <w:lang w:val="nb-NO"/>
        </w:rPr>
        <w:t>Det kan gå lang tid mellom hvert trekk, det kreves ro,</w:t>
      </w:r>
      <w:r w:rsidR="0048706A">
        <w:rPr>
          <w:rFonts w:ascii="Times New Roman" w:hAnsi="Times New Roman" w:cs="Times New Roman"/>
          <w:sz w:val="24"/>
          <w:szCs w:val="24"/>
          <w:lang w:val="nb-NO"/>
        </w:rPr>
        <w:t xml:space="preserve"> og </w:t>
      </w:r>
      <w:r w:rsidR="00145520">
        <w:rPr>
          <w:rFonts w:ascii="Times New Roman" w:hAnsi="Times New Roman" w:cs="Times New Roman"/>
          <w:sz w:val="24"/>
          <w:szCs w:val="24"/>
          <w:lang w:val="nb-NO"/>
        </w:rPr>
        <w:t xml:space="preserve">konkurransen </w:t>
      </w:r>
      <w:r w:rsidR="0048706A">
        <w:rPr>
          <w:rFonts w:ascii="Times New Roman" w:hAnsi="Times New Roman" w:cs="Times New Roman"/>
          <w:sz w:val="24"/>
          <w:szCs w:val="24"/>
          <w:lang w:val="nb-NO"/>
        </w:rPr>
        <w:t xml:space="preserve">innbyr </w:t>
      </w:r>
      <w:r w:rsidR="00145520">
        <w:rPr>
          <w:rFonts w:ascii="Times New Roman" w:hAnsi="Times New Roman" w:cs="Times New Roman"/>
          <w:sz w:val="24"/>
          <w:szCs w:val="24"/>
          <w:lang w:val="nb-NO"/>
        </w:rPr>
        <w:t xml:space="preserve">ikke </w:t>
      </w:r>
      <w:r w:rsidR="0048706A">
        <w:rPr>
          <w:rFonts w:ascii="Times New Roman" w:hAnsi="Times New Roman" w:cs="Times New Roman"/>
          <w:sz w:val="24"/>
          <w:szCs w:val="24"/>
          <w:lang w:val="nb-NO"/>
        </w:rPr>
        <w:t xml:space="preserve">til aktivt </w:t>
      </w:r>
      <w:r w:rsidR="00145520">
        <w:rPr>
          <w:rFonts w:ascii="Times New Roman" w:hAnsi="Times New Roman" w:cs="Times New Roman"/>
          <w:sz w:val="24"/>
          <w:szCs w:val="24"/>
          <w:lang w:val="nb-NO"/>
        </w:rPr>
        <w:t>publikums</w:t>
      </w:r>
      <w:r w:rsidR="00483E18">
        <w:rPr>
          <w:rFonts w:ascii="Times New Roman" w:hAnsi="Times New Roman" w:cs="Times New Roman"/>
          <w:sz w:val="24"/>
          <w:szCs w:val="24"/>
          <w:lang w:val="nb-NO"/>
        </w:rPr>
        <w:softHyphen/>
      </w:r>
      <w:r w:rsidR="0048706A">
        <w:rPr>
          <w:rFonts w:ascii="Times New Roman" w:hAnsi="Times New Roman" w:cs="Times New Roman"/>
          <w:sz w:val="24"/>
          <w:szCs w:val="24"/>
          <w:lang w:val="nb-NO"/>
        </w:rPr>
        <w:t>engasjement</w:t>
      </w:r>
      <w:r w:rsidR="00145520">
        <w:rPr>
          <w:rFonts w:ascii="Times New Roman" w:hAnsi="Times New Roman" w:cs="Times New Roman"/>
          <w:sz w:val="24"/>
          <w:szCs w:val="24"/>
          <w:lang w:val="nb-NO"/>
        </w:rPr>
        <w:t xml:space="preserve"> slik man ser i andre idretter. </w:t>
      </w:r>
      <w:r w:rsidR="00A34D87">
        <w:rPr>
          <w:rFonts w:ascii="Times New Roman" w:hAnsi="Times New Roman" w:cs="Times New Roman"/>
          <w:sz w:val="24"/>
          <w:szCs w:val="24"/>
          <w:lang w:val="nb-NO"/>
        </w:rPr>
        <w:t xml:space="preserve">De som er interessert </w:t>
      </w:r>
      <w:r w:rsidR="005F01FE" w:rsidRPr="00545991">
        <w:rPr>
          <w:rFonts w:ascii="Times New Roman" w:hAnsi="Times New Roman" w:cs="Times New Roman"/>
          <w:sz w:val="24"/>
          <w:szCs w:val="24"/>
          <w:lang w:val="nb-NO"/>
        </w:rPr>
        <w:t xml:space="preserve">kan </w:t>
      </w:r>
      <w:r w:rsidR="009A3572">
        <w:rPr>
          <w:rFonts w:ascii="Times New Roman" w:hAnsi="Times New Roman" w:cs="Times New Roman"/>
          <w:sz w:val="24"/>
          <w:szCs w:val="24"/>
          <w:lang w:val="nb-NO"/>
        </w:rPr>
        <w:t xml:space="preserve">også </w:t>
      </w:r>
      <w:r w:rsidR="005F01FE" w:rsidRPr="00545991">
        <w:rPr>
          <w:rFonts w:ascii="Times New Roman" w:hAnsi="Times New Roman" w:cs="Times New Roman"/>
          <w:sz w:val="24"/>
          <w:szCs w:val="24"/>
          <w:lang w:val="nb-NO"/>
        </w:rPr>
        <w:t xml:space="preserve">følge utviklingen i partiene </w:t>
      </w:r>
      <w:r w:rsidR="00A34D87">
        <w:rPr>
          <w:rFonts w:ascii="Times New Roman" w:hAnsi="Times New Roman" w:cs="Times New Roman"/>
          <w:sz w:val="24"/>
          <w:szCs w:val="24"/>
          <w:lang w:val="nb-NO"/>
        </w:rPr>
        <w:t xml:space="preserve">bedre </w:t>
      </w:r>
      <w:r w:rsidR="005F01FE" w:rsidRPr="00545991">
        <w:rPr>
          <w:rFonts w:ascii="Times New Roman" w:hAnsi="Times New Roman" w:cs="Times New Roman"/>
          <w:sz w:val="24"/>
          <w:szCs w:val="24"/>
          <w:lang w:val="nb-NO"/>
        </w:rPr>
        <w:t xml:space="preserve">via Internett enn ved å være tilstede der de foregår. </w:t>
      </w:r>
    </w:p>
    <w:p w14:paraId="7C60C5CA" w14:textId="2AA46704" w:rsidR="003D6F5F" w:rsidRDefault="00A34D87" w:rsidP="004142BE">
      <w:pPr>
        <w:spacing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H</w:t>
      </w:r>
      <w:r w:rsidR="002B532D" w:rsidRPr="00545991">
        <w:rPr>
          <w:rFonts w:ascii="Times New Roman" w:hAnsi="Times New Roman" w:cs="Times New Roman"/>
          <w:sz w:val="24"/>
          <w:szCs w:val="24"/>
          <w:lang w:val="nb-NO"/>
        </w:rPr>
        <w:t xml:space="preserve">ovedparten av de tilreisende </w:t>
      </w:r>
      <w:r>
        <w:rPr>
          <w:rFonts w:ascii="Times New Roman" w:hAnsi="Times New Roman" w:cs="Times New Roman"/>
          <w:sz w:val="24"/>
          <w:szCs w:val="24"/>
          <w:lang w:val="nb-NO"/>
        </w:rPr>
        <w:t xml:space="preserve">var </w:t>
      </w:r>
      <w:r w:rsidR="002B532D" w:rsidRPr="00545991">
        <w:rPr>
          <w:rFonts w:ascii="Times New Roman" w:hAnsi="Times New Roman" w:cs="Times New Roman"/>
          <w:sz w:val="24"/>
          <w:szCs w:val="24"/>
          <w:lang w:val="nb-NO"/>
        </w:rPr>
        <w:t xml:space="preserve">direkte involvert i turneringen, </w:t>
      </w:r>
      <w:r>
        <w:rPr>
          <w:rFonts w:ascii="Times New Roman" w:hAnsi="Times New Roman" w:cs="Times New Roman"/>
          <w:sz w:val="24"/>
          <w:szCs w:val="24"/>
          <w:lang w:val="nb-NO"/>
        </w:rPr>
        <w:t xml:space="preserve">dvs. </w:t>
      </w:r>
      <w:r w:rsidR="002B532D" w:rsidRPr="00545991">
        <w:rPr>
          <w:rFonts w:ascii="Times New Roman" w:hAnsi="Times New Roman" w:cs="Times New Roman"/>
          <w:sz w:val="24"/>
          <w:szCs w:val="24"/>
          <w:lang w:val="nb-NO"/>
        </w:rPr>
        <w:t>som spillere, trenere</w:t>
      </w:r>
      <w:r w:rsidR="004D6BA9">
        <w:rPr>
          <w:rFonts w:ascii="Times New Roman" w:hAnsi="Times New Roman" w:cs="Times New Roman"/>
          <w:sz w:val="24"/>
          <w:szCs w:val="24"/>
          <w:lang w:val="nb-NO"/>
        </w:rPr>
        <w:t xml:space="preserve"> eller</w:t>
      </w:r>
      <w:r w:rsidR="002B532D" w:rsidRPr="00545991">
        <w:rPr>
          <w:rFonts w:ascii="Times New Roman" w:hAnsi="Times New Roman" w:cs="Times New Roman"/>
          <w:sz w:val="24"/>
          <w:szCs w:val="24"/>
          <w:lang w:val="nb-NO"/>
        </w:rPr>
        <w:t xml:space="preserve"> funksjonærer</w:t>
      </w:r>
      <w:r>
        <w:rPr>
          <w:rFonts w:ascii="Times New Roman" w:hAnsi="Times New Roman" w:cs="Times New Roman"/>
          <w:sz w:val="24"/>
          <w:szCs w:val="24"/>
          <w:lang w:val="nb-NO"/>
        </w:rPr>
        <w:t xml:space="preserve">. I tillegg kom </w:t>
      </w:r>
      <w:r w:rsidR="002B532D" w:rsidRPr="00545991">
        <w:rPr>
          <w:rFonts w:ascii="Times New Roman" w:hAnsi="Times New Roman" w:cs="Times New Roman"/>
          <w:sz w:val="24"/>
          <w:szCs w:val="24"/>
          <w:lang w:val="nb-NO"/>
        </w:rPr>
        <w:t xml:space="preserve">VIP-gjester, styremedlemmer i FIDE og andre </w:t>
      </w:r>
      <w:r>
        <w:rPr>
          <w:rFonts w:ascii="Times New Roman" w:hAnsi="Times New Roman" w:cs="Times New Roman"/>
          <w:sz w:val="24"/>
          <w:szCs w:val="24"/>
          <w:lang w:val="nb-NO"/>
        </w:rPr>
        <w:t>med</w:t>
      </w:r>
      <w:r w:rsidR="002B532D" w:rsidRPr="00545991">
        <w:rPr>
          <w:rFonts w:ascii="Times New Roman" w:hAnsi="Times New Roman" w:cs="Times New Roman"/>
          <w:sz w:val="24"/>
          <w:szCs w:val="24"/>
          <w:lang w:val="nb-NO"/>
        </w:rPr>
        <w:t xml:space="preserve"> arbeids</w:t>
      </w:r>
      <w:r w:rsidR="0084549C" w:rsidRPr="00545991">
        <w:rPr>
          <w:rFonts w:ascii="Times New Roman" w:hAnsi="Times New Roman" w:cs="Times New Roman"/>
          <w:sz w:val="24"/>
          <w:szCs w:val="24"/>
          <w:lang w:val="nb-NO"/>
        </w:rPr>
        <w:softHyphen/>
      </w:r>
      <w:r w:rsidR="002B532D" w:rsidRPr="00545991">
        <w:rPr>
          <w:rFonts w:ascii="Times New Roman" w:hAnsi="Times New Roman" w:cs="Times New Roman"/>
          <w:sz w:val="24"/>
          <w:szCs w:val="24"/>
          <w:lang w:val="nb-NO"/>
        </w:rPr>
        <w:t xml:space="preserve">oppgaver knyttet til arrangementet. </w:t>
      </w:r>
      <w:r w:rsidR="00545A70">
        <w:rPr>
          <w:rFonts w:ascii="Times New Roman" w:hAnsi="Times New Roman" w:cs="Times New Roman"/>
          <w:sz w:val="24"/>
          <w:szCs w:val="24"/>
          <w:lang w:val="nb-NO"/>
        </w:rPr>
        <w:t xml:space="preserve">Arrangøren betalte kost og losji for </w:t>
      </w:r>
      <w:r>
        <w:rPr>
          <w:rFonts w:ascii="Times New Roman" w:hAnsi="Times New Roman" w:cs="Times New Roman"/>
          <w:sz w:val="24"/>
          <w:szCs w:val="24"/>
          <w:lang w:val="nb-NO"/>
        </w:rPr>
        <w:t>en stor del av denne gruppen, hvilket utgjorde 45,2 millioner kroner i 2014</w:t>
      </w:r>
      <w:r w:rsidR="00766B97">
        <w:rPr>
          <w:rFonts w:ascii="Times New Roman" w:hAnsi="Times New Roman" w:cs="Times New Roman"/>
          <w:sz w:val="24"/>
          <w:szCs w:val="24"/>
          <w:lang w:val="nb-NO"/>
        </w:rPr>
        <w:t xml:space="preserve"> og 5,8 millioner i 2013</w:t>
      </w:r>
      <w:r>
        <w:rPr>
          <w:rFonts w:ascii="Times New Roman" w:hAnsi="Times New Roman" w:cs="Times New Roman"/>
          <w:sz w:val="24"/>
          <w:szCs w:val="24"/>
          <w:lang w:val="nb-NO"/>
        </w:rPr>
        <w:t xml:space="preserve">. </w:t>
      </w:r>
      <w:r w:rsidRPr="00545991">
        <w:rPr>
          <w:rFonts w:ascii="Times New Roman" w:hAnsi="Times New Roman" w:cs="Times New Roman"/>
          <w:sz w:val="24"/>
          <w:szCs w:val="24"/>
          <w:lang w:val="nb-NO"/>
        </w:rPr>
        <w:t xml:space="preserve">Normalt </w:t>
      </w:r>
      <w:r w:rsidR="00910CD4">
        <w:rPr>
          <w:rFonts w:ascii="Times New Roman" w:hAnsi="Times New Roman" w:cs="Times New Roman"/>
          <w:sz w:val="24"/>
          <w:szCs w:val="24"/>
          <w:lang w:val="nb-NO"/>
        </w:rPr>
        <w:t xml:space="preserve">ville det ha </w:t>
      </w:r>
      <w:r>
        <w:rPr>
          <w:rFonts w:ascii="Times New Roman" w:hAnsi="Times New Roman" w:cs="Times New Roman"/>
          <w:sz w:val="24"/>
          <w:szCs w:val="24"/>
          <w:lang w:val="nb-NO"/>
        </w:rPr>
        <w:t xml:space="preserve">svekket </w:t>
      </w:r>
      <w:r w:rsidR="00910CD4">
        <w:rPr>
          <w:rFonts w:ascii="Times New Roman" w:hAnsi="Times New Roman" w:cs="Times New Roman"/>
          <w:sz w:val="24"/>
          <w:szCs w:val="24"/>
          <w:lang w:val="nb-NO"/>
        </w:rPr>
        <w:t xml:space="preserve">de regionale </w:t>
      </w:r>
      <w:r w:rsidRPr="00545991">
        <w:rPr>
          <w:rFonts w:ascii="Times New Roman" w:hAnsi="Times New Roman" w:cs="Times New Roman"/>
          <w:sz w:val="24"/>
          <w:szCs w:val="24"/>
          <w:lang w:val="nb-NO"/>
        </w:rPr>
        <w:t>etterspørselsstimulansene</w:t>
      </w:r>
      <w:r>
        <w:rPr>
          <w:rFonts w:ascii="Times New Roman" w:hAnsi="Times New Roman" w:cs="Times New Roman"/>
          <w:sz w:val="24"/>
          <w:szCs w:val="24"/>
          <w:lang w:val="nb-NO"/>
        </w:rPr>
        <w:t xml:space="preserve">. </w:t>
      </w:r>
      <w:r w:rsidRPr="00545991">
        <w:rPr>
          <w:rFonts w:ascii="Times New Roman" w:hAnsi="Times New Roman" w:cs="Times New Roman"/>
          <w:sz w:val="24"/>
          <w:szCs w:val="24"/>
          <w:lang w:val="nb-NO"/>
        </w:rPr>
        <w:t xml:space="preserve">Det som imidlertid «reddet situasjonen» </w:t>
      </w:r>
      <w:r w:rsidR="008477E9">
        <w:rPr>
          <w:rFonts w:ascii="Times New Roman" w:hAnsi="Times New Roman" w:cs="Times New Roman"/>
          <w:sz w:val="24"/>
          <w:szCs w:val="24"/>
          <w:lang w:val="nb-NO"/>
        </w:rPr>
        <w:t xml:space="preserve">i så henseende </w:t>
      </w:r>
      <w:r w:rsidRPr="00545991">
        <w:rPr>
          <w:rFonts w:ascii="Times New Roman" w:hAnsi="Times New Roman" w:cs="Times New Roman"/>
          <w:sz w:val="24"/>
          <w:szCs w:val="24"/>
          <w:lang w:val="nb-NO"/>
        </w:rPr>
        <w:t xml:space="preserve">var statstilskuddet fra KUD på til sammen 87 millioner kroner. </w:t>
      </w:r>
      <w:r w:rsidR="00910CD4">
        <w:rPr>
          <w:rFonts w:ascii="Times New Roman" w:hAnsi="Times New Roman" w:cs="Times New Roman"/>
          <w:sz w:val="24"/>
          <w:szCs w:val="24"/>
          <w:lang w:val="nb-NO"/>
        </w:rPr>
        <w:t>Således kom mesteparten av tilførselen til Tromsø fra staten, ikke fra de tilreisende. Uten stø</w:t>
      </w:r>
      <w:r w:rsidR="008477E9">
        <w:rPr>
          <w:rFonts w:ascii="Times New Roman" w:hAnsi="Times New Roman" w:cs="Times New Roman"/>
          <w:sz w:val="24"/>
          <w:szCs w:val="24"/>
          <w:lang w:val="nb-NO"/>
        </w:rPr>
        <w:t>tten fra KUD ville det regionaløkonomiske</w:t>
      </w:r>
      <w:r w:rsidR="00910CD4">
        <w:rPr>
          <w:rFonts w:ascii="Times New Roman" w:hAnsi="Times New Roman" w:cs="Times New Roman"/>
          <w:sz w:val="24"/>
          <w:szCs w:val="24"/>
          <w:lang w:val="nb-NO"/>
        </w:rPr>
        <w:t xml:space="preserve"> regnskapet sett </w:t>
      </w:r>
      <w:r w:rsidR="008477E9">
        <w:rPr>
          <w:rFonts w:ascii="Times New Roman" w:hAnsi="Times New Roman" w:cs="Times New Roman"/>
          <w:sz w:val="24"/>
          <w:szCs w:val="24"/>
          <w:lang w:val="nb-NO"/>
        </w:rPr>
        <w:t xml:space="preserve">langt verre </w:t>
      </w:r>
      <w:r w:rsidR="00910CD4">
        <w:rPr>
          <w:rFonts w:ascii="Times New Roman" w:hAnsi="Times New Roman" w:cs="Times New Roman"/>
          <w:sz w:val="24"/>
          <w:szCs w:val="24"/>
          <w:lang w:val="nb-NO"/>
        </w:rPr>
        <w:t xml:space="preserve">ut. </w:t>
      </w:r>
      <w:r w:rsidR="004142BE">
        <w:rPr>
          <w:rFonts w:ascii="Times New Roman" w:hAnsi="Times New Roman" w:cs="Times New Roman"/>
          <w:sz w:val="24"/>
          <w:szCs w:val="24"/>
          <w:lang w:val="nb-NO"/>
        </w:rPr>
        <w:t xml:space="preserve">Delegatene på </w:t>
      </w:r>
      <w:r w:rsidR="004142BE" w:rsidRPr="00545991">
        <w:rPr>
          <w:rFonts w:ascii="Times New Roman" w:hAnsi="Times New Roman" w:cs="Times New Roman"/>
          <w:sz w:val="24"/>
          <w:szCs w:val="24"/>
          <w:lang w:val="nb-NO"/>
        </w:rPr>
        <w:t xml:space="preserve">FIDE-kongressen </w:t>
      </w:r>
      <w:r w:rsidR="004142BE">
        <w:rPr>
          <w:rFonts w:ascii="Times New Roman" w:hAnsi="Times New Roman" w:cs="Times New Roman"/>
          <w:sz w:val="24"/>
          <w:szCs w:val="24"/>
          <w:lang w:val="nb-NO"/>
        </w:rPr>
        <w:t>som gikk samtidig med OL finansierte imidlertid oppholdsutgiftene sine selv, slik at dette var en tilførsel. Det samme gjaldt det ekstraordinære forbruket for de tilreisende som fikk kost</w:t>
      </w:r>
      <w:r w:rsidR="00D27F08">
        <w:rPr>
          <w:rFonts w:ascii="Times New Roman" w:hAnsi="Times New Roman" w:cs="Times New Roman"/>
          <w:sz w:val="24"/>
          <w:szCs w:val="24"/>
          <w:lang w:val="nb-NO"/>
        </w:rPr>
        <w:t xml:space="preserve"> og losji dekket av arrangørene, men dette var svært beskjedent.</w:t>
      </w:r>
      <w:r w:rsidR="00766B97">
        <w:rPr>
          <w:rFonts w:ascii="Times New Roman" w:hAnsi="Times New Roman" w:cs="Times New Roman"/>
          <w:sz w:val="24"/>
          <w:szCs w:val="24"/>
          <w:lang w:val="nb-NO"/>
        </w:rPr>
        <w:t xml:space="preserve"> </w:t>
      </w:r>
      <w:r w:rsidR="004142BE">
        <w:rPr>
          <w:rFonts w:ascii="Times New Roman" w:hAnsi="Times New Roman" w:cs="Times New Roman"/>
          <w:sz w:val="24"/>
          <w:szCs w:val="24"/>
          <w:lang w:val="nb-NO"/>
        </w:rPr>
        <w:t xml:space="preserve"> </w:t>
      </w:r>
    </w:p>
    <w:p w14:paraId="2790E353" w14:textId="3562ACF4" w:rsidR="0031236C" w:rsidRDefault="00910CD4" w:rsidP="001350B9">
      <w:pPr>
        <w:spacing w:line="360" w:lineRule="auto"/>
        <w:jc w:val="both"/>
        <w:rPr>
          <w:rFonts w:ascii="Times New Roman" w:hAnsi="Times New Roman" w:cs="Times New Roman"/>
          <w:sz w:val="24"/>
          <w:szCs w:val="24"/>
          <w:lang w:val="nb-NO"/>
        </w:rPr>
      </w:pPr>
      <w:r>
        <w:rPr>
          <w:rFonts w:ascii="Times New Roman" w:hAnsi="Times New Roman" w:cs="Times New Roman"/>
          <w:sz w:val="24"/>
          <w:szCs w:val="24"/>
          <w:lang w:val="nb-NO"/>
        </w:rPr>
        <w:tab/>
      </w:r>
      <w:r w:rsidR="001350B9">
        <w:rPr>
          <w:rFonts w:ascii="Times New Roman" w:hAnsi="Times New Roman" w:cs="Times New Roman"/>
          <w:sz w:val="24"/>
          <w:szCs w:val="24"/>
          <w:lang w:val="nb-NO"/>
        </w:rPr>
        <w:t xml:space="preserve">Når man beregner hva slike arrangementer tilfører regionen er det viktig å ta utgangspunkt i netto tilførsel, ikke brutto tilførsel. Dette krever at </w:t>
      </w:r>
      <w:r w:rsidR="008477E9">
        <w:rPr>
          <w:rFonts w:ascii="Times New Roman" w:hAnsi="Times New Roman" w:cs="Times New Roman"/>
          <w:sz w:val="24"/>
          <w:szCs w:val="24"/>
          <w:lang w:val="nb-NO"/>
        </w:rPr>
        <w:t xml:space="preserve">inntektene og kostnadene </w:t>
      </w:r>
      <w:r w:rsidR="00711A5D">
        <w:rPr>
          <w:rFonts w:ascii="Times New Roman" w:hAnsi="Times New Roman" w:cs="Times New Roman"/>
          <w:sz w:val="24"/>
          <w:szCs w:val="24"/>
          <w:lang w:val="nb-NO"/>
        </w:rPr>
        <w:lastRenderedPageBreak/>
        <w:t>juster</w:t>
      </w:r>
      <w:r w:rsidR="008477E9">
        <w:rPr>
          <w:rFonts w:ascii="Times New Roman" w:hAnsi="Times New Roman" w:cs="Times New Roman"/>
          <w:sz w:val="24"/>
          <w:szCs w:val="24"/>
          <w:lang w:val="nb-NO"/>
        </w:rPr>
        <w:t xml:space="preserve">es </w:t>
      </w:r>
      <w:r w:rsidR="00711A5D">
        <w:rPr>
          <w:rFonts w:ascii="Times New Roman" w:hAnsi="Times New Roman" w:cs="Times New Roman"/>
          <w:sz w:val="24"/>
          <w:szCs w:val="24"/>
          <w:lang w:val="nb-NO"/>
        </w:rPr>
        <w:t xml:space="preserve">i tråd med drøftingen i det teoretiske avsnittet. </w:t>
      </w:r>
      <w:r w:rsidR="00505F6F">
        <w:rPr>
          <w:rFonts w:ascii="Times New Roman" w:hAnsi="Times New Roman" w:cs="Times New Roman"/>
          <w:sz w:val="24"/>
          <w:szCs w:val="24"/>
          <w:lang w:val="nb-NO"/>
        </w:rPr>
        <w:t>De</w:t>
      </w:r>
      <w:r w:rsidR="001350B9">
        <w:rPr>
          <w:rFonts w:ascii="Times New Roman" w:hAnsi="Times New Roman" w:cs="Times New Roman"/>
          <w:sz w:val="24"/>
          <w:szCs w:val="24"/>
          <w:lang w:val="nb-NO"/>
        </w:rPr>
        <w:t>t betyr bl. a. at en må trekke fra l</w:t>
      </w:r>
      <w:r w:rsidR="00505F6F">
        <w:rPr>
          <w:rFonts w:ascii="Times New Roman" w:hAnsi="Times New Roman" w:cs="Times New Roman"/>
          <w:sz w:val="24"/>
          <w:szCs w:val="24"/>
          <w:lang w:val="nb-NO"/>
        </w:rPr>
        <w:t xml:space="preserve">ekkasjer, som i dette tilfellet </w:t>
      </w:r>
      <w:r w:rsidR="00711A5D">
        <w:rPr>
          <w:rFonts w:ascii="Times New Roman" w:hAnsi="Times New Roman" w:cs="Times New Roman"/>
          <w:sz w:val="24"/>
          <w:szCs w:val="24"/>
          <w:lang w:val="nb-NO"/>
        </w:rPr>
        <w:t>var</w:t>
      </w:r>
      <w:r w:rsidR="00505F6F">
        <w:rPr>
          <w:rFonts w:ascii="Times New Roman" w:hAnsi="Times New Roman" w:cs="Times New Roman"/>
          <w:sz w:val="24"/>
          <w:szCs w:val="24"/>
          <w:lang w:val="nb-NO"/>
        </w:rPr>
        <w:t xml:space="preserve"> avgifter til FIDE og premiepenger </w:t>
      </w:r>
      <w:r w:rsidR="00711A5D">
        <w:rPr>
          <w:rFonts w:ascii="Times New Roman" w:hAnsi="Times New Roman" w:cs="Times New Roman"/>
          <w:sz w:val="24"/>
          <w:szCs w:val="24"/>
          <w:lang w:val="nb-NO"/>
        </w:rPr>
        <w:t xml:space="preserve">til spillerne, </w:t>
      </w:r>
      <w:r w:rsidR="00505F6F">
        <w:rPr>
          <w:rFonts w:ascii="Times New Roman" w:hAnsi="Times New Roman" w:cs="Times New Roman"/>
          <w:sz w:val="24"/>
          <w:szCs w:val="24"/>
          <w:lang w:val="nb-NO"/>
        </w:rPr>
        <w:t xml:space="preserve">og </w:t>
      </w:r>
      <w:r w:rsidR="00711A5D">
        <w:rPr>
          <w:rFonts w:ascii="Times New Roman" w:hAnsi="Times New Roman" w:cs="Times New Roman"/>
          <w:sz w:val="24"/>
          <w:szCs w:val="24"/>
          <w:lang w:val="nb-NO"/>
        </w:rPr>
        <w:t xml:space="preserve">som vi beregnet til </w:t>
      </w:r>
      <w:r w:rsidR="00505F6F">
        <w:rPr>
          <w:rFonts w:ascii="Times New Roman" w:hAnsi="Times New Roman" w:cs="Times New Roman"/>
          <w:sz w:val="24"/>
          <w:szCs w:val="24"/>
          <w:lang w:val="nb-NO"/>
        </w:rPr>
        <w:t xml:space="preserve">ca. 20 millioner kroner. I tillegg må det også </w:t>
      </w:r>
      <w:r w:rsidR="001350B9">
        <w:rPr>
          <w:rFonts w:ascii="Times New Roman" w:hAnsi="Times New Roman" w:cs="Times New Roman"/>
          <w:sz w:val="24"/>
          <w:szCs w:val="24"/>
          <w:lang w:val="nb-NO"/>
        </w:rPr>
        <w:t xml:space="preserve">tas hensyn til at </w:t>
      </w:r>
      <w:r w:rsidR="00766B97">
        <w:rPr>
          <w:rFonts w:ascii="Times New Roman" w:hAnsi="Times New Roman" w:cs="Times New Roman"/>
          <w:sz w:val="24"/>
          <w:szCs w:val="24"/>
          <w:lang w:val="nb-NO"/>
        </w:rPr>
        <w:t>Sjakk</w:t>
      </w:r>
      <w:r w:rsidR="003F7E38">
        <w:rPr>
          <w:rFonts w:ascii="Times New Roman" w:hAnsi="Times New Roman" w:cs="Times New Roman"/>
          <w:sz w:val="24"/>
          <w:szCs w:val="24"/>
          <w:lang w:val="nb-NO"/>
        </w:rPr>
        <w:t>-</w:t>
      </w:r>
      <w:r w:rsidR="00766B97">
        <w:rPr>
          <w:rFonts w:ascii="Times New Roman" w:hAnsi="Times New Roman" w:cs="Times New Roman"/>
          <w:sz w:val="24"/>
          <w:szCs w:val="24"/>
          <w:lang w:val="nb-NO"/>
        </w:rPr>
        <w:t>OL og FIDE</w:t>
      </w:r>
      <w:r w:rsidR="003F7E38">
        <w:rPr>
          <w:rFonts w:ascii="Times New Roman" w:hAnsi="Times New Roman" w:cs="Times New Roman"/>
          <w:sz w:val="24"/>
          <w:szCs w:val="24"/>
          <w:lang w:val="nb-NO"/>
        </w:rPr>
        <w:t>-</w:t>
      </w:r>
      <w:r w:rsidR="00766B97">
        <w:rPr>
          <w:rFonts w:ascii="Times New Roman" w:hAnsi="Times New Roman" w:cs="Times New Roman"/>
          <w:sz w:val="24"/>
          <w:szCs w:val="24"/>
          <w:lang w:val="nb-NO"/>
        </w:rPr>
        <w:t xml:space="preserve">kongressen la beslag på </w:t>
      </w:r>
      <w:r w:rsidR="002B532D" w:rsidRPr="00545991">
        <w:rPr>
          <w:rFonts w:ascii="Times New Roman" w:hAnsi="Times New Roman" w:cs="Times New Roman"/>
          <w:sz w:val="24"/>
          <w:szCs w:val="24"/>
          <w:lang w:val="nb-NO"/>
        </w:rPr>
        <w:t>hele overnattingskapasiteten i byen</w:t>
      </w:r>
      <w:r w:rsidR="00766B97">
        <w:rPr>
          <w:rFonts w:ascii="Times New Roman" w:hAnsi="Times New Roman" w:cs="Times New Roman"/>
          <w:sz w:val="24"/>
          <w:szCs w:val="24"/>
          <w:lang w:val="nb-NO"/>
        </w:rPr>
        <w:t xml:space="preserve"> i den aktuelle perioden</w:t>
      </w:r>
      <w:r w:rsidR="00711A5D">
        <w:rPr>
          <w:rFonts w:ascii="Times New Roman" w:hAnsi="Times New Roman" w:cs="Times New Roman"/>
          <w:sz w:val="24"/>
          <w:szCs w:val="24"/>
          <w:lang w:val="nb-NO"/>
        </w:rPr>
        <w:t xml:space="preserve">. På den </w:t>
      </w:r>
      <w:r w:rsidR="00505F6F">
        <w:rPr>
          <w:rFonts w:ascii="Times New Roman" w:hAnsi="Times New Roman" w:cs="Times New Roman"/>
          <w:sz w:val="24"/>
          <w:szCs w:val="24"/>
          <w:lang w:val="nb-NO"/>
        </w:rPr>
        <w:t xml:space="preserve">måten </w:t>
      </w:r>
      <w:r w:rsidR="00711A5D">
        <w:rPr>
          <w:rFonts w:ascii="Times New Roman" w:hAnsi="Times New Roman" w:cs="Times New Roman"/>
          <w:sz w:val="24"/>
          <w:szCs w:val="24"/>
          <w:lang w:val="nb-NO"/>
        </w:rPr>
        <w:t xml:space="preserve">ble </w:t>
      </w:r>
      <w:r w:rsidR="00766B97">
        <w:rPr>
          <w:rFonts w:ascii="Times New Roman" w:hAnsi="Times New Roman" w:cs="Times New Roman"/>
          <w:sz w:val="24"/>
          <w:szCs w:val="24"/>
          <w:lang w:val="nb-NO"/>
        </w:rPr>
        <w:t>ordinære turister</w:t>
      </w:r>
      <w:r w:rsidR="00711A5D">
        <w:rPr>
          <w:rFonts w:ascii="Times New Roman" w:hAnsi="Times New Roman" w:cs="Times New Roman"/>
          <w:sz w:val="24"/>
          <w:szCs w:val="24"/>
          <w:lang w:val="nb-NO"/>
        </w:rPr>
        <w:t xml:space="preserve"> som ellers ville ha kommet fortrengt</w:t>
      </w:r>
      <w:r w:rsidR="00D560A1">
        <w:rPr>
          <w:rFonts w:ascii="Times New Roman" w:hAnsi="Times New Roman" w:cs="Times New Roman"/>
          <w:sz w:val="24"/>
          <w:szCs w:val="24"/>
          <w:lang w:val="nb-NO"/>
        </w:rPr>
        <w:t>, noe vi beregnet ville ha utgjort en samlet etterspørselseffekt på</w:t>
      </w:r>
      <w:r w:rsidR="00472969">
        <w:rPr>
          <w:rFonts w:ascii="Times New Roman" w:hAnsi="Times New Roman" w:cs="Times New Roman"/>
          <w:sz w:val="24"/>
          <w:szCs w:val="24"/>
          <w:lang w:val="nb-NO"/>
        </w:rPr>
        <w:t xml:space="preserve"> 38,6 </w:t>
      </w:r>
      <w:r w:rsidR="00766B97">
        <w:rPr>
          <w:rFonts w:ascii="Times New Roman" w:hAnsi="Times New Roman" w:cs="Times New Roman"/>
          <w:sz w:val="24"/>
          <w:szCs w:val="24"/>
          <w:lang w:val="nb-NO"/>
        </w:rPr>
        <w:t xml:space="preserve">millioner kroner. Dette er det ikke tatt høyde for i Verdiskapingsanalysen </w:t>
      </w:r>
      <w:r w:rsidR="00472969">
        <w:rPr>
          <w:rFonts w:ascii="Times New Roman" w:hAnsi="Times New Roman" w:cs="Times New Roman"/>
          <w:sz w:val="24"/>
          <w:szCs w:val="24"/>
          <w:lang w:val="nb-NO"/>
        </w:rPr>
        <w:t xml:space="preserve">som </w:t>
      </w:r>
      <w:r w:rsidR="00766B97">
        <w:rPr>
          <w:rFonts w:ascii="Times New Roman" w:hAnsi="Times New Roman" w:cs="Times New Roman"/>
          <w:sz w:val="24"/>
          <w:szCs w:val="24"/>
          <w:lang w:val="nb-NO"/>
        </w:rPr>
        <w:t>arrangørene fikk utarbeidet av konsulentfirmae</w:t>
      </w:r>
      <w:r w:rsidR="00F75E71">
        <w:rPr>
          <w:rFonts w:ascii="Times New Roman" w:hAnsi="Times New Roman" w:cs="Times New Roman"/>
          <w:sz w:val="24"/>
          <w:szCs w:val="24"/>
          <w:lang w:val="nb-NO"/>
        </w:rPr>
        <w:t xml:space="preserve">ne </w:t>
      </w:r>
      <w:r w:rsidR="00A548E8">
        <w:rPr>
          <w:rFonts w:ascii="Times New Roman" w:hAnsi="Times New Roman" w:cs="Times New Roman"/>
          <w:sz w:val="24"/>
          <w:szCs w:val="24"/>
          <w:lang w:val="nb-NO"/>
        </w:rPr>
        <w:t>Norwe</w:t>
      </w:r>
      <w:r w:rsidR="008E28A4">
        <w:rPr>
          <w:rFonts w:ascii="Times New Roman" w:hAnsi="Times New Roman" w:cs="Times New Roman"/>
          <w:sz w:val="24"/>
          <w:szCs w:val="24"/>
          <w:lang w:val="nb-NO"/>
        </w:rPr>
        <w:t>g</w:t>
      </w:r>
      <w:r w:rsidR="00A548E8">
        <w:rPr>
          <w:rFonts w:ascii="Times New Roman" w:hAnsi="Times New Roman" w:cs="Times New Roman"/>
          <w:sz w:val="24"/>
          <w:szCs w:val="24"/>
          <w:lang w:val="nb-NO"/>
        </w:rPr>
        <w:t xml:space="preserve">ian Convention Bureau og </w:t>
      </w:r>
      <w:r w:rsidR="00F75E71">
        <w:rPr>
          <w:rFonts w:ascii="Times New Roman" w:hAnsi="Times New Roman" w:cs="Times New Roman"/>
          <w:sz w:val="24"/>
          <w:szCs w:val="24"/>
          <w:lang w:val="nb-NO"/>
        </w:rPr>
        <w:t xml:space="preserve">PwC. </w:t>
      </w:r>
      <w:r w:rsidR="00A548E8">
        <w:rPr>
          <w:rFonts w:ascii="Times New Roman" w:hAnsi="Times New Roman" w:cs="Times New Roman"/>
          <w:sz w:val="24"/>
          <w:szCs w:val="24"/>
          <w:lang w:val="nb-NO"/>
        </w:rPr>
        <w:t xml:space="preserve">I modellen </w:t>
      </w:r>
      <w:r w:rsidR="008477E9">
        <w:rPr>
          <w:rFonts w:ascii="Times New Roman" w:hAnsi="Times New Roman" w:cs="Times New Roman"/>
          <w:sz w:val="24"/>
          <w:szCs w:val="24"/>
          <w:lang w:val="nb-NO"/>
        </w:rPr>
        <w:t xml:space="preserve">de </w:t>
      </w:r>
      <w:r w:rsidR="00A548E8">
        <w:rPr>
          <w:rFonts w:ascii="Times New Roman" w:hAnsi="Times New Roman" w:cs="Times New Roman"/>
          <w:sz w:val="24"/>
          <w:szCs w:val="24"/>
          <w:lang w:val="nb-NO"/>
        </w:rPr>
        <w:t>anvend</w:t>
      </w:r>
      <w:r w:rsidR="00711A5D">
        <w:rPr>
          <w:rFonts w:ascii="Times New Roman" w:hAnsi="Times New Roman" w:cs="Times New Roman"/>
          <w:sz w:val="24"/>
          <w:szCs w:val="24"/>
          <w:lang w:val="nb-NO"/>
        </w:rPr>
        <w:t xml:space="preserve">te </w:t>
      </w:r>
      <w:r w:rsidR="00A548E8">
        <w:rPr>
          <w:rFonts w:ascii="Times New Roman" w:hAnsi="Times New Roman" w:cs="Times New Roman"/>
          <w:sz w:val="24"/>
          <w:szCs w:val="24"/>
          <w:lang w:val="nb-NO"/>
        </w:rPr>
        <w:t>forutsette</w:t>
      </w:r>
      <w:r w:rsidR="008477E9">
        <w:rPr>
          <w:rFonts w:ascii="Times New Roman" w:hAnsi="Times New Roman" w:cs="Times New Roman"/>
          <w:sz w:val="24"/>
          <w:szCs w:val="24"/>
          <w:lang w:val="nb-NO"/>
        </w:rPr>
        <w:t>s</w:t>
      </w:r>
      <w:r w:rsidR="00A548E8">
        <w:rPr>
          <w:rFonts w:ascii="Times New Roman" w:hAnsi="Times New Roman" w:cs="Times New Roman"/>
          <w:sz w:val="24"/>
          <w:szCs w:val="24"/>
          <w:lang w:val="nb-NO"/>
        </w:rPr>
        <w:t xml:space="preserve"> det at det ledig kapasitet i økonomien</w:t>
      </w:r>
      <w:r w:rsidR="008477E9">
        <w:rPr>
          <w:rFonts w:ascii="Times New Roman" w:hAnsi="Times New Roman" w:cs="Times New Roman"/>
          <w:sz w:val="24"/>
          <w:szCs w:val="24"/>
          <w:lang w:val="nb-NO"/>
        </w:rPr>
        <w:t>, noe som ikke var riktig i dette tilfellet</w:t>
      </w:r>
      <w:r w:rsidR="00A548E8">
        <w:rPr>
          <w:rFonts w:ascii="Times New Roman" w:hAnsi="Times New Roman" w:cs="Times New Roman"/>
          <w:sz w:val="24"/>
          <w:szCs w:val="24"/>
          <w:lang w:val="nb-NO"/>
        </w:rPr>
        <w:t xml:space="preserve">. </w:t>
      </w:r>
      <w:r w:rsidR="008477E9">
        <w:rPr>
          <w:rFonts w:ascii="Times New Roman" w:hAnsi="Times New Roman" w:cs="Times New Roman"/>
          <w:sz w:val="24"/>
          <w:szCs w:val="24"/>
          <w:lang w:val="nb-NO"/>
        </w:rPr>
        <w:t>E</w:t>
      </w:r>
      <w:r w:rsidR="0031236C">
        <w:rPr>
          <w:rFonts w:ascii="Times New Roman" w:hAnsi="Times New Roman" w:cs="Times New Roman"/>
          <w:sz w:val="24"/>
          <w:szCs w:val="24"/>
          <w:lang w:val="nb-NO"/>
        </w:rPr>
        <w:t xml:space="preserve">tterspørselen </w:t>
      </w:r>
      <w:r w:rsidR="008477E9">
        <w:rPr>
          <w:rFonts w:ascii="Times New Roman" w:hAnsi="Times New Roman" w:cs="Times New Roman"/>
          <w:sz w:val="24"/>
          <w:szCs w:val="24"/>
          <w:lang w:val="nb-NO"/>
        </w:rPr>
        <w:t xml:space="preserve">etter overnatting </w:t>
      </w:r>
      <w:r w:rsidR="0031236C">
        <w:rPr>
          <w:rFonts w:ascii="Times New Roman" w:hAnsi="Times New Roman" w:cs="Times New Roman"/>
          <w:sz w:val="24"/>
          <w:szCs w:val="24"/>
          <w:lang w:val="nb-NO"/>
        </w:rPr>
        <w:t xml:space="preserve">som arrangementet </w:t>
      </w:r>
      <w:r w:rsidR="001350B9">
        <w:rPr>
          <w:rFonts w:ascii="Times New Roman" w:hAnsi="Times New Roman" w:cs="Times New Roman"/>
          <w:sz w:val="24"/>
          <w:szCs w:val="24"/>
          <w:lang w:val="nb-NO"/>
        </w:rPr>
        <w:t xml:space="preserve">skapte </w:t>
      </w:r>
      <w:r w:rsidR="0031236C">
        <w:rPr>
          <w:rFonts w:ascii="Times New Roman" w:hAnsi="Times New Roman" w:cs="Times New Roman"/>
          <w:sz w:val="24"/>
          <w:szCs w:val="24"/>
          <w:lang w:val="nb-NO"/>
        </w:rPr>
        <w:t xml:space="preserve">var betydelig </w:t>
      </w:r>
      <w:r w:rsidR="001350B9">
        <w:rPr>
          <w:rFonts w:ascii="Times New Roman" w:hAnsi="Times New Roman" w:cs="Times New Roman"/>
          <w:sz w:val="24"/>
          <w:szCs w:val="24"/>
          <w:lang w:val="nb-NO"/>
        </w:rPr>
        <w:t xml:space="preserve">større enn den </w:t>
      </w:r>
      <w:r w:rsidR="00827219">
        <w:rPr>
          <w:rFonts w:ascii="Times New Roman" w:hAnsi="Times New Roman" w:cs="Times New Roman"/>
          <w:sz w:val="24"/>
          <w:szCs w:val="24"/>
          <w:lang w:val="nb-NO"/>
        </w:rPr>
        <w:t xml:space="preserve">ledige </w:t>
      </w:r>
      <w:r w:rsidR="001350B9">
        <w:rPr>
          <w:rFonts w:ascii="Times New Roman" w:hAnsi="Times New Roman" w:cs="Times New Roman"/>
          <w:sz w:val="24"/>
          <w:szCs w:val="24"/>
          <w:lang w:val="nb-NO"/>
        </w:rPr>
        <w:t xml:space="preserve">kapasiteten i </w:t>
      </w:r>
      <w:r w:rsidR="00A548E8">
        <w:rPr>
          <w:rFonts w:ascii="Times New Roman" w:hAnsi="Times New Roman" w:cs="Times New Roman"/>
          <w:sz w:val="24"/>
          <w:szCs w:val="24"/>
          <w:lang w:val="nb-NO"/>
        </w:rPr>
        <w:t xml:space="preserve">hotellnæringen </w:t>
      </w:r>
      <w:r w:rsidR="001350B9">
        <w:rPr>
          <w:rFonts w:ascii="Times New Roman" w:hAnsi="Times New Roman" w:cs="Times New Roman"/>
          <w:sz w:val="24"/>
          <w:szCs w:val="24"/>
          <w:lang w:val="nb-NO"/>
        </w:rPr>
        <w:t xml:space="preserve">den aktuelle </w:t>
      </w:r>
      <w:r w:rsidR="0031236C">
        <w:rPr>
          <w:rFonts w:ascii="Times New Roman" w:hAnsi="Times New Roman" w:cs="Times New Roman"/>
          <w:sz w:val="24"/>
          <w:szCs w:val="24"/>
          <w:lang w:val="nb-NO"/>
        </w:rPr>
        <w:t>periode</w:t>
      </w:r>
      <w:r w:rsidR="001350B9">
        <w:rPr>
          <w:rFonts w:ascii="Times New Roman" w:hAnsi="Times New Roman" w:cs="Times New Roman"/>
          <w:sz w:val="24"/>
          <w:szCs w:val="24"/>
          <w:lang w:val="nb-NO"/>
        </w:rPr>
        <w:t>n</w:t>
      </w:r>
      <w:r w:rsidR="008477E9">
        <w:rPr>
          <w:rFonts w:ascii="Times New Roman" w:hAnsi="Times New Roman" w:cs="Times New Roman"/>
          <w:sz w:val="24"/>
          <w:szCs w:val="24"/>
          <w:lang w:val="nb-NO"/>
        </w:rPr>
        <w:t>.</w:t>
      </w:r>
      <w:r w:rsidR="001350B9">
        <w:rPr>
          <w:rFonts w:ascii="Times New Roman" w:hAnsi="Times New Roman" w:cs="Times New Roman"/>
          <w:sz w:val="24"/>
          <w:szCs w:val="24"/>
          <w:lang w:val="nb-NO"/>
        </w:rPr>
        <w:t xml:space="preserve"> </w:t>
      </w:r>
      <w:r w:rsidR="008E28A4">
        <w:rPr>
          <w:rFonts w:ascii="Times New Roman" w:hAnsi="Times New Roman" w:cs="Times New Roman"/>
          <w:sz w:val="24"/>
          <w:szCs w:val="24"/>
          <w:lang w:val="nb-NO"/>
        </w:rPr>
        <w:t xml:space="preserve">Basert på beleggstallene i </w:t>
      </w:r>
      <w:r w:rsidR="0031236C">
        <w:rPr>
          <w:rFonts w:ascii="Times New Roman" w:hAnsi="Times New Roman" w:cs="Times New Roman"/>
          <w:sz w:val="24"/>
          <w:szCs w:val="24"/>
          <w:lang w:val="nb-NO"/>
        </w:rPr>
        <w:t xml:space="preserve">tilsvarende </w:t>
      </w:r>
      <w:r w:rsidR="008E28A4">
        <w:rPr>
          <w:rFonts w:ascii="Times New Roman" w:hAnsi="Times New Roman" w:cs="Times New Roman"/>
          <w:sz w:val="24"/>
          <w:szCs w:val="24"/>
          <w:lang w:val="nb-NO"/>
        </w:rPr>
        <w:t>perioder årene før og etter Sjakk</w:t>
      </w:r>
      <w:r w:rsidR="003F7E38">
        <w:rPr>
          <w:rFonts w:ascii="Times New Roman" w:hAnsi="Times New Roman" w:cs="Times New Roman"/>
          <w:sz w:val="24"/>
          <w:szCs w:val="24"/>
          <w:lang w:val="nb-NO"/>
        </w:rPr>
        <w:t>-</w:t>
      </w:r>
      <w:r w:rsidR="008E28A4">
        <w:rPr>
          <w:rFonts w:ascii="Times New Roman" w:hAnsi="Times New Roman" w:cs="Times New Roman"/>
          <w:sz w:val="24"/>
          <w:szCs w:val="24"/>
          <w:lang w:val="nb-NO"/>
        </w:rPr>
        <w:t>OL</w:t>
      </w:r>
      <w:r w:rsidR="00A376BB">
        <w:rPr>
          <w:rFonts w:ascii="Times New Roman" w:hAnsi="Times New Roman" w:cs="Times New Roman"/>
          <w:sz w:val="24"/>
          <w:szCs w:val="24"/>
          <w:lang w:val="nb-NO"/>
        </w:rPr>
        <w:t>,</w:t>
      </w:r>
      <w:r w:rsidR="008E28A4">
        <w:rPr>
          <w:rFonts w:ascii="Times New Roman" w:hAnsi="Times New Roman" w:cs="Times New Roman"/>
          <w:sz w:val="24"/>
          <w:szCs w:val="24"/>
          <w:lang w:val="nb-NO"/>
        </w:rPr>
        <w:t xml:space="preserve"> beregnet vi at det ville vært et belegg på 49% i den aktuelle perioden</w:t>
      </w:r>
      <w:r w:rsidR="00827219">
        <w:rPr>
          <w:rFonts w:ascii="Times New Roman" w:hAnsi="Times New Roman" w:cs="Times New Roman"/>
          <w:sz w:val="24"/>
          <w:szCs w:val="24"/>
          <w:lang w:val="nb-NO"/>
        </w:rPr>
        <w:t xml:space="preserve"> dersom </w:t>
      </w:r>
      <w:r w:rsidR="00A376BB">
        <w:rPr>
          <w:rFonts w:ascii="Times New Roman" w:hAnsi="Times New Roman" w:cs="Times New Roman"/>
          <w:sz w:val="24"/>
          <w:szCs w:val="24"/>
          <w:lang w:val="nb-NO"/>
        </w:rPr>
        <w:t xml:space="preserve">arrangementet </w:t>
      </w:r>
      <w:r w:rsidR="00827219">
        <w:rPr>
          <w:rFonts w:ascii="Times New Roman" w:hAnsi="Times New Roman" w:cs="Times New Roman"/>
          <w:sz w:val="24"/>
          <w:szCs w:val="24"/>
          <w:lang w:val="nb-NO"/>
        </w:rPr>
        <w:t>ikke hadde funnet sted</w:t>
      </w:r>
      <w:r w:rsidR="008E28A4">
        <w:rPr>
          <w:rFonts w:ascii="Times New Roman" w:hAnsi="Times New Roman" w:cs="Times New Roman"/>
          <w:sz w:val="24"/>
          <w:szCs w:val="24"/>
          <w:lang w:val="nb-NO"/>
        </w:rPr>
        <w:t xml:space="preserve">. </w:t>
      </w:r>
      <w:r w:rsidR="00827219">
        <w:rPr>
          <w:rFonts w:ascii="Times New Roman" w:hAnsi="Times New Roman" w:cs="Times New Roman"/>
          <w:sz w:val="24"/>
          <w:szCs w:val="24"/>
          <w:lang w:val="nb-NO"/>
        </w:rPr>
        <w:t>Således kunne de lokale hotellene bare dekket ca. 50% av Sjakk</w:t>
      </w:r>
      <w:r w:rsidR="00E02540">
        <w:rPr>
          <w:rFonts w:ascii="Times New Roman" w:hAnsi="Times New Roman" w:cs="Times New Roman"/>
          <w:sz w:val="24"/>
          <w:szCs w:val="24"/>
          <w:lang w:val="nb-NO"/>
        </w:rPr>
        <w:t>-</w:t>
      </w:r>
      <w:r w:rsidR="00827219">
        <w:rPr>
          <w:rFonts w:ascii="Times New Roman" w:hAnsi="Times New Roman" w:cs="Times New Roman"/>
          <w:sz w:val="24"/>
          <w:szCs w:val="24"/>
          <w:lang w:val="nb-NO"/>
        </w:rPr>
        <w:t xml:space="preserve">OL sitt overnattingsbehov i et normalår. </w:t>
      </w:r>
      <w:r w:rsidR="0031236C">
        <w:rPr>
          <w:rFonts w:ascii="Times New Roman" w:hAnsi="Times New Roman" w:cs="Times New Roman"/>
          <w:sz w:val="24"/>
          <w:szCs w:val="24"/>
          <w:lang w:val="nb-NO"/>
        </w:rPr>
        <w:t xml:space="preserve">Dette er det ikke tatt hensyn </w:t>
      </w:r>
      <w:r w:rsidR="00A376BB">
        <w:rPr>
          <w:rFonts w:ascii="Times New Roman" w:hAnsi="Times New Roman" w:cs="Times New Roman"/>
          <w:sz w:val="24"/>
          <w:szCs w:val="24"/>
          <w:lang w:val="nb-NO"/>
        </w:rPr>
        <w:t>i konsulentrapporten</w:t>
      </w:r>
      <w:r w:rsidR="00E57072">
        <w:rPr>
          <w:rFonts w:ascii="Times New Roman" w:hAnsi="Times New Roman" w:cs="Times New Roman"/>
          <w:sz w:val="24"/>
          <w:szCs w:val="24"/>
          <w:lang w:val="nb-NO"/>
        </w:rPr>
        <w:t>,</w:t>
      </w:r>
      <w:r w:rsidR="0031236C">
        <w:rPr>
          <w:rFonts w:ascii="Times New Roman" w:hAnsi="Times New Roman" w:cs="Times New Roman"/>
          <w:sz w:val="24"/>
          <w:szCs w:val="24"/>
          <w:lang w:val="nb-NO"/>
        </w:rPr>
        <w:t xml:space="preserve"> og d</w:t>
      </w:r>
      <w:r w:rsidR="00F75E71">
        <w:rPr>
          <w:rFonts w:ascii="Times New Roman" w:hAnsi="Times New Roman" w:cs="Times New Roman"/>
          <w:sz w:val="24"/>
          <w:szCs w:val="24"/>
          <w:lang w:val="nb-NO"/>
        </w:rPr>
        <w:t>er</w:t>
      </w:r>
      <w:r w:rsidR="00A376BB">
        <w:rPr>
          <w:rFonts w:ascii="Times New Roman" w:hAnsi="Times New Roman" w:cs="Times New Roman"/>
          <w:sz w:val="24"/>
          <w:szCs w:val="24"/>
          <w:lang w:val="nb-NO"/>
        </w:rPr>
        <w:t xml:space="preserve">med </w:t>
      </w:r>
      <w:r w:rsidR="00F75E71">
        <w:rPr>
          <w:rFonts w:ascii="Times New Roman" w:hAnsi="Times New Roman" w:cs="Times New Roman"/>
          <w:sz w:val="24"/>
          <w:szCs w:val="24"/>
          <w:lang w:val="nb-NO"/>
        </w:rPr>
        <w:t xml:space="preserve">blir </w:t>
      </w:r>
      <w:r w:rsidR="00E57072">
        <w:rPr>
          <w:rFonts w:ascii="Times New Roman" w:hAnsi="Times New Roman" w:cs="Times New Roman"/>
          <w:sz w:val="24"/>
          <w:szCs w:val="24"/>
          <w:lang w:val="nb-NO"/>
        </w:rPr>
        <w:t>etterspørsels</w:t>
      </w:r>
      <w:r w:rsidR="00F75E71">
        <w:rPr>
          <w:rFonts w:ascii="Times New Roman" w:hAnsi="Times New Roman" w:cs="Times New Roman"/>
          <w:sz w:val="24"/>
          <w:szCs w:val="24"/>
          <w:lang w:val="nb-NO"/>
        </w:rPr>
        <w:t xml:space="preserve">effektene overdrevet. </w:t>
      </w:r>
    </w:p>
    <w:p w14:paraId="7C6DB440" w14:textId="47BD41AB" w:rsidR="00E57072" w:rsidRDefault="00E57072" w:rsidP="00711A5D">
      <w:pPr>
        <w:spacing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Som nevnt </w:t>
      </w:r>
      <w:r w:rsidR="001350B9">
        <w:rPr>
          <w:rFonts w:ascii="Times New Roman" w:hAnsi="Times New Roman" w:cs="Times New Roman"/>
          <w:sz w:val="24"/>
          <w:szCs w:val="24"/>
          <w:lang w:val="nb-NO"/>
        </w:rPr>
        <w:t>kan det også være nødvendig og justere sponsorinntektene i det regional</w:t>
      </w:r>
      <w:r w:rsidR="00A376BB">
        <w:rPr>
          <w:rFonts w:ascii="Times New Roman" w:hAnsi="Times New Roman" w:cs="Times New Roman"/>
          <w:sz w:val="24"/>
          <w:szCs w:val="24"/>
          <w:lang w:val="nb-NO"/>
        </w:rPr>
        <w:softHyphen/>
      </w:r>
      <w:r w:rsidR="001350B9">
        <w:rPr>
          <w:rFonts w:ascii="Times New Roman" w:hAnsi="Times New Roman" w:cs="Times New Roman"/>
          <w:sz w:val="24"/>
          <w:szCs w:val="24"/>
          <w:lang w:val="nb-NO"/>
        </w:rPr>
        <w:t xml:space="preserve">økonomiske </w:t>
      </w:r>
      <w:r>
        <w:rPr>
          <w:rFonts w:ascii="Times New Roman" w:hAnsi="Times New Roman" w:cs="Times New Roman"/>
          <w:sz w:val="24"/>
          <w:szCs w:val="24"/>
          <w:lang w:val="nb-NO"/>
        </w:rPr>
        <w:t>regnskape</w:t>
      </w:r>
      <w:r w:rsidR="001350B9">
        <w:rPr>
          <w:rFonts w:ascii="Times New Roman" w:hAnsi="Times New Roman" w:cs="Times New Roman"/>
          <w:sz w:val="24"/>
          <w:szCs w:val="24"/>
          <w:lang w:val="nb-NO"/>
        </w:rPr>
        <w:t xml:space="preserve">t dersom </w:t>
      </w:r>
      <w:r w:rsidR="008477E9">
        <w:rPr>
          <w:rFonts w:ascii="Times New Roman" w:hAnsi="Times New Roman" w:cs="Times New Roman"/>
          <w:sz w:val="24"/>
          <w:szCs w:val="24"/>
          <w:lang w:val="nb-NO"/>
        </w:rPr>
        <w:t xml:space="preserve">støtten </w:t>
      </w:r>
      <w:r>
        <w:rPr>
          <w:rFonts w:ascii="Times New Roman" w:hAnsi="Times New Roman" w:cs="Times New Roman"/>
          <w:sz w:val="24"/>
          <w:szCs w:val="24"/>
          <w:lang w:val="nb-NO"/>
        </w:rPr>
        <w:t>fra lokale aktører alternativt ville blitt brukt utenfor regionen</w:t>
      </w:r>
      <w:r w:rsidR="00A376BB">
        <w:rPr>
          <w:rFonts w:ascii="Times New Roman" w:hAnsi="Times New Roman" w:cs="Times New Roman"/>
          <w:sz w:val="24"/>
          <w:szCs w:val="24"/>
          <w:lang w:val="nb-NO"/>
        </w:rPr>
        <w:t xml:space="preserve">. Vi finner det imidlertid lite </w:t>
      </w:r>
      <w:r w:rsidR="001350B9">
        <w:rPr>
          <w:rFonts w:ascii="Times New Roman" w:hAnsi="Times New Roman" w:cs="Times New Roman"/>
          <w:sz w:val="24"/>
          <w:szCs w:val="24"/>
          <w:lang w:val="nb-NO"/>
        </w:rPr>
        <w:t>sannsynlig at midlene disse brukte på Sjakk</w:t>
      </w:r>
      <w:r w:rsidR="003F7E38">
        <w:rPr>
          <w:rFonts w:ascii="Times New Roman" w:hAnsi="Times New Roman" w:cs="Times New Roman"/>
          <w:sz w:val="24"/>
          <w:szCs w:val="24"/>
          <w:lang w:val="nb-NO"/>
        </w:rPr>
        <w:t>-</w:t>
      </w:r>
      <w:r w:rsidR="001350B9">
        <w:rPr>
          <w:rFonts w:ascii="Times New Roman" w:hAnsi="Times New Roman" w:cs="Times New Roman"/>
          <w:sz w:val="24"/>
          <w:szCs w:val="24"/>
          <w:lang w:val="nb-NO"/>
        </w:rPr>
        <w:t>OL alternativt ville blitt brukt utenfor byen</w:t>
      </w:r>
      <w:r w:rsidR="00827219">
        <w:rPr>
          <w:rFonts w:ascii="Times New Roman" w:hAnsi="Times New Roman" w:cs="Times New Roman"/>
          <w:sz w:val="24"/>
          <w:szCs w:val="24"/>
          <w:lang w:val="nb-NO"/>
        </w:rPr>
        <w:t>.</w:t>
      </w:r>
      <w:r w:rsidR="001350B9">
        <w:rPr>
          <w:rFonts w:ascii="Times New Roman" w:hAnsi="Times New Roman" w:cs="Times New Roman"/>
          <w:sz w:val="24"/>
          <w:szCs w:val="24"/>
          <w:lang w:val="nb-NO"/>
        </w:rPr>
        <w:t xml:space="preserve"> </w:t>
      </w:r>
      <w:r w:rsidR="00CB1E75">
        <w:rPr>
          <w:rFonts w:ascii="Times New Roman" w:hAnsi="Times New Roman" w:cs="Times New Roman"/>
          <w:sz w:val="24"/>
          <w:szCs w:val="24"/>
          <w:lang w:val="nb-NO"/>
        </w:rPr>
        <w:t xml:space="preserve">Bare en av de 39 sponsorene hadde hovedkontoret utenfor Tromsø. </w:t>
      </w:r>
      <w:r w:rsidR="008477E9">
        <w:rPr>
          <w:rFonts w:ascii="Times New Roman" w:hAnsi="Times New Roman" w:cs="Times New Roman"/>
          <w:sz w:val="24"/>
          <w:szCs w:val="24"/>
          <w:lang w:val="nb-NO"/>
        </w:rPr>
        <w:t xml:space="preserve">Til sammen var det 36 </w:t>
      </w:r>
      <w:r w:rsidR="00CB1E75">
        <w:rPr>
          <w:rFonts w:ascii="Times New Roman" w:hAnsi="Times New Roman" w:cs="Times New Roman"/>
          <w:sz w:val="24"/>
          <w:szCs w:val="24"/>
          <w:lang w:val="nb-NO"/>
        </w:rPr>
        <w:t xml:space="preserve">kommersielle </w:t>
      </w:r>
      <w:r w:rsidR="008477E9">
        <w:rPr>
          <w:rFonts w:ascii="Times New Roman" w:hAnsi="Times New Roman" w:cs="Times New Roman"/>
          <w:sz w:val="24"/>
          <w:szCs w:val="24"/>
          <w:lang w:val="nb-NO"/>
        </w:rPr>
        <w:t xml:space="preserve">sponsorer, hvorav </w:t>
      </w:r>
      <w:r w:rsidR="00CB1E75">
        <w:rPr>
          <w:rFonts w:ascii="Times New Roman" w:hAnsi="Times New Roman" w:cs="Times New Roman"/>
          <w:sz w:val="24"/>
          <w:szCs w:val="24"/>
          <w:lang w:val="nb-NO"/>
        </w:rPr>
        <w:t>de fleste var i kategorien små/mellomstore</w:t>
      </w:r>
      <w:r w:rsidR="008477E9">
        <w:rPr>
          <w:rFonts w:ascii="Times New Roman" w:hAnsi="Times New Roman" w:cs="Times New Roman"/>
          <w:sz w:val="24"/>
          <w:szCs w:val="24"/>
          <w:lang w:val="nb-NO"/>
        </w:rPr>
        <w:t xml:space="preserve"> bedrifter</w:t>
      </w:r>
      <w:r>
        <w:rPr>
          <w:rFonts w:ascii="Times New Roman" w:hAnsi="Times New Roman" w:cs="Times New Roman"/>
          <w:sz w:val="24"/>
          <w:szCs w:val="24"/>
          <w:lang w:val="nb-NO"/>
        </w:rPr>
        <w:t xml:space="preserve">.    </w:t>
      </w:r>
    </w:p>
    <w:p w14:paraId="17A8F7EF" w14:textId="4C215936" w:rsidR="007C0C0D" w:rsidRDefault="00CB1E75" w:rsidP="00711A5D">
      <w:pPr>
        <w:spacing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De lave sponsorinntektene er også spesielt ved dette arrangementet. </w:t>
      </w:r>
      <w:r w:rsidR="00E44A83">
        <w:rPr>
          <w:rFonts w:ascii="Times New Roman" w:hAnsi="Times New Roman" w:cs="Times New Roman"/>
          <w:sz w:val="24"/>
          <w:szCs w:val="24"/>
          <w:lang w:val="nb-NO"/>
        </w:rPr>
        <w:t xml:space="preserve">FIDE har </w:t>
      </w:r>
      <w:r>
        <w:rPr>
          <w:rFonts w:ascii="Times New Roman" w:hAnsi="Times New Roman" w:cs="Times New Roman"/>
          <w:sz w:val="24"/>
          <w:szCs w:val="24"/>
          <w:lang w:val="nb-NO"/>
        </w:rPr>
        <w:t>ingen kommersielle sponsorer</w:t>
      </w:r>
      <w:r w:rsidR="00E44A83">
        <w:rPr>
          <w:rFonts w:ascii="Times New Roman" w:hAnsi="Times New Roman" w:cs="Times New Roman"/>
          <w:sz w:val="24"/>
          <w:szCs w:val="24"/>
          <w:lang w:val="nb-NO"/>
        </w:rPr>
        <w:t xml:space="preserve">, noe som er svært </w:t>
      </w:r>
      <w:r>
        <w:rPr>
          <w:rFonts w:ascii="Times New Roman" w:hAnsi="Times New Roman" w:cs="Times New Roman"/>
          <w:sz w:val="24"/>
          <w:szCs w:val="24"/>
          <w:lang w:val="nb-NO"/>
        </w:rPr>
        <w:t>uvanlig for tilsvarende internasjonale forbund. En av årsakene er at sjakk</w:t>
      </w:r>
      <w:r w:rsidR="001E53F5">
        <w:rPr>
          <w:rFonts w:ascii="Times New Roman" w:hAnsi="Times New Roman" w:cs="Times New Roman"/>
          <w:sz w:val="24"/>
          <w:szCs w:val="24"/>
          <w:lang w:val="nb-NO"/>
        </w:rPr>
        <w:t xml:space="preserve"> historisk har stått sterkere i det </w:t>
      </w:r>
      <w:r w:rsidR="008477E9">
        <w:rPr>
          <w:rFonts w:ascii="Times New Roman" w:hAnsi="Times New Roman" w:cs="Times New Roman"/>
          <w:sz w:val="24"/>
          <w:szCs w:val="24"/>
          <w:lang w:val="nb-NO"/>
        </w:rPr>
        <w:t xml:space="preserve">gamle </w:t>
      </w:r>
      <w:r w:rsidR="001E53F5">
        <w:rPr>
          <w:rFonts w:ascii="Times New Roman" w:hAnsi="Times New Roman" w:cs="Times New Roman"/>
          <w:sz w:val="24"/>
          <w:szCs w:val="24"/>
          <w:lang w:val="nb-NO"/>
        </w:rPr>
        <w:t xml:space="preserve">Øst-Europa </w:t>
      </w:r>
      <w:r w:rsidR="008477E9">
        <w:rPr>
          <w:rFonts w:ascii="Times New Roman" w:hAnsi="Times New Roman" w:cs="Times New Roman"/>
          <w:sz w:val="24"/>
          <w:szCs w:val="24"/>
          <w:lang w:val="nb-NO"/>
        </w:rPr>
        <w:t xml:space="preserve">og nærliggende land </w:t>
      </w:r>
      <w:r w:rsidR="001E53F5">
        <w:rPr>
          <w:rFonts w:ascii="Times New Roman" w:hAnsi="Times New Roman" w:cs="Times New Roman"/>
          <w:sz w:val="24"/>
          <w:szCs w:val="24"/>
          <w:lang w:val="nb-NO"/>
        </w:rPr>
        <w:t>enn i vestlige land. Tidligere Olympiader har i stor grad blitt finansiert av den offentlige sektoren i de respektive arrangørlandene</w:t>
      </w:r>
      <w:r w:rsidR="00B81D95">
        <w:rPr>
          <w:rFonts w:ascii="Times New Roman" w:hAnsi="Times New Roman" w:cs="Times New Roman"/>
          <w:sz w:val="24"/>
          <w:szCs w:val="24"/>
          <w:lang w:val="nb-NO"/>
        </w:rPr>
        <w:t xml:space="preserve">, mens </w:t>
      </w:r>
      <w:r w:rsidR="001E53F5">
        <w:rPr>
          <w:rFonts w:ascii="Times New Roman" w:hAnsi="Times New Roman" w:cs="Times New Roman"/>
          <w:sz w:val="24"/>
          <w:szCs w:val="24"/>
          <w:lang w:val="nb-NO"/>
        </w:rPr>
        <w:t xml:space="preserve">arrangøren i Tromsø </w:t>
      </w:r>
      <w:r w:rsidR="00CE5FBE">
        <w:rPr>
          <w:rFonts w:ascii="Times New Roman" w:hAnsi="Times New Roman" w:cs="Times New Roman"/>
          <w:sz w:val="24"/>
          <w:szCs w:val="24"/>
          <w:lang w:val="nb-NO"/>
        </w:rPr>
        <w:t xml:space="preserve">selv </w:t>
      </w:r>
      <w:r w:rsidR="00B81D95">
        <w:rPr>
          <w:rFonts w:ascii="Times New Roman" w:hAnsi="Times New Roman" w:cs="Times New Roman"/>
          <w:sz w:val="24"/>
          <w:szCs w:val="24"/>
          <w:lang w:val="nb-NO"/>
        </w:rPr>
        <w:t xml:space="preserve">måtte </w:t>
      </w:r>
      <w:r w:rsidR="00CE5FBE">
        <w:rPr>
          <w:rFonts w:ascii="Times New Roman" w:hAnsi="Times New Roman" w:cs="Times New Roman"/>
          <w:sz w:val="24"/>
          <w:szCs w:val="24"/>
          <w:lang w:val="nb-NO"/>
        </w:rPr>
        <w:t>skaffe sponsorer</w:t>
      </w:r>
      <w:r w:rsidR="001E53F5">
        <w:rPr>
          <w:rFonts w:ascii="Times New Roman" w:hAnsi="Times New Roman" w:cs="Times New Roman"/>
          <w:sz w:val="24"/>
          <w:szCs w:val="24"/>
          <w:lang w:val="nb-NO"/>
        </w:rPr>
        <w:t xml:space="preserve">. Dette avviker fra </w:t>
      </w:r>
      <w:r w:rsidR="008477E9">
        <w:rPr>
          <w:rFonts w:ascii="Times New Roman" w:hAnsi="Times New Roman" w:cs="Times New Roman"/>
          <w:sz w:val="24"/>
          <w:szCs w:val="24"/>
          <w:lang w:val="nb-NO"/>
        </w:rPr>
        <w:t xml:space="preserve">normalen </w:t>
      </w:r>
      <w:r w:rsidR="001E53F5">
        <w:rPr>
          <w:rFonts w:ascii="Times New Roman" w:hAnsi="Times New Roman" w:cs="Times New Roman"/>
          <w:sz w:val="24"/>
          <w:szCs w:val="24"/>
          <w:lang w:val="nb-NO"/>
        </w:rPr>
        <w:t>for internasjonale mesterskap, hvor sponsorinntektene</w:t>
      </w:r>
      <w:r w:rsidR="00CE5FBE">
        <w:rPr>
          <w:rFonts w:ascii="Times New Roman" w:hAnsi="Times New Roman" w:cs="Times New Roman"/>
          <w:sz w:val="24"/>
          <w:szCs w:val="24"/>
          <w:lang w:val="nb-NO"/>
        </w:rPr>
        <w:t xml:space="preserve"> gjerne </w:t>
      </w:r>
      <w:r w:rsidR="001E53F5">
        <w:rPr>
          <w:rFonts w:ascii="Times New Roman" w:hAnsi="Times New Roman" w:cs="Times New Roman"/>
          <w:sz w:val="24"/>
          <w:szCs w:val="24"/>
          <w:lang w:val="nb-NO"/>
        </w:rPr>
        <w:t xml:space="preserve">fordeles mellom </w:t>
      </w:r>
      <w:r w:rsidR="00CE5FBE">
        <w:rPr>
          <w:rFonts w:ascii="Times New Roman" w:hAnsi="Times New Roman" w:cs="Times New Roman"/>
          <w:sz w:val="24"/>
          <w:szCs w:val="24"/>
          <w:lang w:val="nb-NO"/>
        </w:rPr>
        <w:t>eierne av arrangementene</w:t>
      </w:r>
      <w:r w:rsidR="001E53F5">
        <w:rPr>
          <w:rFonts w:ascii="Times New Roman" w:hAnsi="Times New Roman" w:cs="Times New Roman"/>
          <w:sz w:val="24"/>
          <w:szCs w:val="24"/>
          <w:lang w:val="nb-NO"/>
        </w:rPr>
        <w:t xml:space="preserve"> og de lokale arrangørene. </w:t>
      </w:r>
      <w:r w:rsidR="001F0C30">
        <w:rPr>
          <w:rFonts w:ascii="Times New Roman" w:hAnsi="Times New Roman" w:cs="Times New Roman"/>
          <w:sz w:val="24"/>
          <w:szCs w:val="24"/>
          <w:lang w:val="nb-NO"/>
        </w:rPr>
        <w:t xml:space="preserve">I tillegg </w:t>
      </w:r>
      <w:r w:rsidR="008477E9">
        <w:rPr>
          <w:rFonts w:ascii="Times New Roman" w:hAnsi="Times New Roman" w:cs="Times New Roman"/>
          <w:sz w:val="24"/>
          <w:szCs w:val="24"/>
          <w:lang w:val="nb-NO"/>
        </w:rPr>
        <w:t xml:space="preserve">bidrar ofte </w:t>
      </w:r>
      <w:r w:rsidR="001E53F5">
        <w:rPr>
          <w:rFonts w:ascii="Times New Roman" w:hAnsi="Times New Roman" w:cs="Times New Roman"/>
          <w:sz w:val="24"/>
          <w:szCs w:val="24"/>
          <w:lang w:val="nb-NO"/>
        </w:rPr>
        <w:t xml:space="preserve">forbundene </w:t>
      </w:r>
      <w:r w:rsidR="008477E9">
        <w:rPr>
          <w:rFonts w:ascii="Times New Roman" w:hAnsi="Times New Roman" w:cs="Times New Roman"/>
          <w:sz w:val="24"/>
          <w:szCs w:val="24"/>
          <w:lang w:val="nb-NO"/>
        </w:rPr>
        <w:t xml:space="preserve">i arbeidet med å </w:t>
      </w:r>
      <w:r w:rsidR="001E53F5">
        <w:rPr>
          <w:rFonts w:ascii="Times New Roman" w:hAnsi="Times New Roman" w:cs="Times New Roman"/>
          <w:sz w:val="24"/>
          <w:szCs w:val="24"/>
          <w:lang w:val="nb-NO"/>
        </w:rPr>
        <w:t xml:space="preserve">rekruttere sponsorer, </w:t>
      </w:r>
      <w:r w:rsidR="00B31496">
        <w:rPr>
          <w:rFonts w:ascii="Times New Roman" w:hAnsi="Times New Roman" w:cs="Times New Roman"/>
          <w:sz w:val="24"/>
          <w:szCs w:val="24"/>
          <w:lang w:val="nb-NO"/>
        </w:rPr>
        <w:t xml:space="preserve">noe </w:t>
      </w:r>
      <w:r w:rsidR="001F0C30">
        <w:rPr>
          <w:rFonts w:ascii="Times New Roman" w:hAnsi="Times New Roman" w:cs="Times New Roman"/>
          <w:sz w:val="24"/>
          <w:szCs w:val="24"/>
          <w:lang w:val="nb-NO"/>
        </w:rPr>
        <w:t xml:space="preserve">som </w:t>
      </w:r>
      <w:r w:rsidR="001E53F5">
        <w:rPr>
          <w:rFonts w:ascii="Times New Roman" w:hAnsi="Times New Roman" w:cs="Times New Roman"/>
          <w:sz w:val="24"/>
          <w:szCs w:val="24"/>
          <w:lang w:val="nb-NO"/>
        </w:rPr>
        <w:t>ikke var tilfellet for Sjakk</w:t>
      </w:r>
      <w:r w:rsidR="003F7E38">
        <w:rPr>
          <w:rFonts w:ascii="Times New Roman" w:hAnsi="Times New Roman" w:cs="Times New Roman"/>
          <w:sz w:val="24"/>
          <w:szCs w:val="24"/>
          <w:lang w:val="nb-NO"/>
        </w:rPr>
        <w:t>-</w:t>
      </w:r>
      <w:r w:rsidR="001E53F5">
        <w:rPr>
          <w:rFonts w:ascii="Times New Roman" w:hAnsi="Times New Roman" w:cs="Times New Roman"/>
          <w:sz w:val="24"/>
          <w:szCs w:val="24"/>
          <w:lang w:val="nb-NO"/>
        </w:rPr>
        <w:t>OL. Dette, kombinert med at arrangementet til</w:t>
      </w:r>
      <w:r>
        <w:rPr>
          <w:rFonts w:ascii="Times New Roman" w:hAnsi="Times New Roman" w:cs="Times New Roman"/>
          <w:sz w:val="24"/>
          <w:szCs w:val="24"/>
          <w:lang w:val="nb-NO"/>
        </w:rPr>
        <w:t xml:space="preserve">trakk seg </w:t>
      </w:r>
      <w:r w:rsidR="00A376BB">
        <w:rPr>
          <w:rFonts w:ascii="Times New Roman" w:hAnsi="Times New Roman" w:cs="Times New Roman"/>
          <w:sz w:val="24"/>
          <w:szCs w:val="24"/>
          <w:lang w:val="nb-NO"/>
        </w:rPr>
        <w:t>få</w:t>
      </w:r>
      <w:r>
        <w:rPr>
          <w:rFonts w:ascii="Times New Roman" w:hAnsi="Times New Roman" w:cs="Times New Roman"/>
          <w:sz w:val="24"/>
          <w:szCs w:val="24"/>
          <w:lang w:val="nb-NO"/>
        </w:rPr>
        <w:t xml:space="preserve"> tilskuere, </w:t>
      </w:r>
      <w:r w:rsidR="001E53F5">
        <w:rPr>
          <w:rFonts w:ascii="Times New Roman" w:hAnsi="Times New Roman" w:cs="Times New Roman"/>
          <w:sz w:val="24"/>
          <w:szCs w:val="24"/>
          <w:lang w:val="nb-NO"/>
        </w:rPr>
        <w:t xml:space="preserve">forklarer den beskjedne tilførselen av kommersielle midler. </w:t>
      </w:r>
    </w:p>
    <w:p w14:paraId="483C48E4" w14:textId="1CBA2B54" w:rsidR="003865D6" w:rsidRDefault="001F0C30" w:rsidP="00001D14">
      <w:pPr>
        <w:spacing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lastRenderedPageBreak/>
        <w:t xml:space="preserve">Denne artikkelen har illustrert at byer som søker om arrangementer som er eid av internasjonale forbund bør skaffe seg oversikt over faktorer som påvirker strømmen av inntekter og kostnader knyttet til </w:t>
      </w:r>
      <w:r w:rsidR="00B31496">
        <w:rPr>
          <w:rFonts w:ascii="Times New Roman" w:hAnsi="Times New Roman" w:cs="Times New Roman"/>
          <w:sz w:val="24"/>
          <w:szCs w:val="24"/>
          <w:lang w:val="nb-NO"/>
        </w:rPr>
        <w:t>de</w:t>
      </w:r>
      <w:r w:rsidR="00A376BB">
        <w:rPr>
          <w:rFonts w:ascii="Times New Roman" w:hAnsi="Times New Roman" w:cs="Times New Roman"/>
          <w:sz w:val="24"/>
          <w:szCs w:val="24"/>
          <w:lang w:val="nb-NO"/>
        </w:rPr>
        <w:t>t</w:t>
      </w:r>
      <w:r w:rsidR="00B31496">
        <w:rPr>
          <w:rFonts w:ascii="Times New Roman" w:hAnsi="Times New Roman" w:cs="Times New Roman"/>
          <w:sz w:val="24"/>
          <w:szCs w:val="24"/>
          <w:lang w:val="nb-NO"/>
        </w:rPr>
        <w:t xml:space="preserve"> aktuelle </w:t>
      </w:r>
      <w:r>
        <w:rPr>
          <w:rFonts w:ascii="Times New Roman" w:hAnsi="Times New Roman" w:cs="Times New Roman"/>
          <w:sz w:val="24"/>
          <w:szCs w:val="24"/>
          <w:lang w:val="nb-NO"/>
        </w:rPr>
        <w:t>arrangement</w:t>
      </w:r>
      <w:r w:rsidR="00A376BB">
        <w:rPr>
          <w:rFonts w:ascii="Times New Roman" w:hAnsi="Times New Roman" w:cs="Times New Roman"/>
          <w:sz w:val="24"/>
          <w:szCs w:val="24"/>
          <w:lang w:val="nb-NO"/>
        </w:rPr>
        <w:t>et</w:t>
      </w:r>
      <w:r>
        <w:rPr>
          <w:rFonts w:ascii="Times New Roman" w:hAnsi="Times New Roman" w:cs="Times New Roman"/>
          <w:sz w:val="24"/>
          <w:szCs w:val="24"/>
          <w:lang w:val="nb-NO"/>
        </w:rPr>
        <w:t xml:space="preserve">. Spesielt </w:t>
      </w:r>
      <w:r w:rsidR="00B31496">
        <w:rPr>
          <w:rFonts w:ascii="Times New Roman" w:hAnsi="Times New Roman" w:cs="Times New Roman"/>
          <w:sz w:val="24"/>
          <w:szCs w:val="24"/>
          <w:lang w:val="nb-NO"/>
        </w:rPr>
        <w:t xml:space="preserve">hvis det å høste </w:t>
      </w:r>
      <w:r>
        <w:rPr>
          <w:rFonts w:ascii="Times New Roman" w:hAnsi="Times New Roman" w:cs="Times New Roman"/>
          <w:sz w:val="24"/>
          <w:szCs w:val="24"/>
          <w:lang w:val="nb-NO"/>
        </w:rPr>
        <w:t>økonomiske gevinster er et motiv</w:t>
      </w:r>
      <w:r w:rsidR="00A376BB">
        <w:rPr>
          <w:rFonts w:ascii="Times New Roman" w:hAnsi="Times New Roman" w:cs="Times New Roman"/>
          <w:sz w:val="24"/>
          <w:szCs w:val="24"/>
          <w:lang w:val="nb-NO"/>
        </w:rPr>
        <w:t xml:space="preserve"> for å søke</w:t>
      </w:r>
      <w:r>
        <w:rPr>
          <w:rFonts w:ascii="Times New Roman" w:hAnsi="Times New Roman" w:cs="Times New Roman"/>
          <w:sz w:val="24"/>
          <w:szCs w:val="24"/>
          <w:lang w:val="nb-NO"/>
        </w:rPr>
        <w:t xml:space="preserve">. </w:t>
      </w:r>
      <w:r w:rsidR="003E6BA3">
        <w:rPr>
          <w:rFonts w:ascii="Times New Roman" w:hAnsi="Times New Roman" w:cs="Times New Roman"/>
          <w:sz w:val="24"/>
          <w:szCs w:val="24"/>
          <w:lang w:val="nb-NO"/>
        </w:rPr>
        <w:t xml:space="preserve">Det er risiko </w:t>
      </w:r>
      <w:r w:rsidR="00A376BB">
        <w:rPr>
          <w:rFonts w:ascii="Times New Roman" w:hAnsi="Times New Roman" w:cs="Times New Roman"/>
          <w:sz w:val="24"/>
          <w:szCs w:val="24"/>
          <w:lang w:val="nb-NO"/>
        </w:rPr>
        <w:t xml:space="preserve">knyttet til </w:t>
      </w:r>
      <w:r w:rsidR="003E6BA3">
        <w:rPr>
          <w:rFonts w:ascii="Times New Roman" w:hAnsi="Times New Roman" w:cs="Times New Roman"/>
          <w:sz w:val="24"/>
          <w:szCs w:val="24"/>
          <w:lang w:val="nb-NO"/>
        </w:rPr>
        <w:t>å gå inn i slike søknads</w:t>
      </w:r>
      <w:r w:rsidR="003E6BA3">
        <w:rPr>
          <w:rFonts w:ascii="Times New Roman" w:hAnsi="Times New Roman" w:cs="Times New Roman"/>
          <w:sz w:val="24"/>
          <w:szCs w:val="24"/>
          <w:lang w:val="nb-NO"/>
        </w:rPr>
        <w:softHyphen/>
        <w:t>prosesser</w:t>
      </w:r>
      <w:r w:rsidR="00FE4974">
        <w:rPr>
          <w:rFonts w:ascii="Times New Roman" w:hAnsi="Times New Roman" w:cs="Times New Roman"/>
          <w:sz w:val="24"/>
          <w:szCs w:val="24"/>
          <w:lang w:val="nb-NO"/>
        </w:rPr>
        <w:t xml:space="preserve"> siden makten er asymmetrisk</w:t>
      </w:r>
      <w:r w:rsidR="00A376BB">
        <w:rPr>
          <w:rFonts w:ascii="Times New Roman" w:hAnsi="Times New Roman" w:cs="Times New Roman"/>
          <w:sz w:val="24"/>
          <w:szCs w:val="24"/>
          <w:lang w:val="nb-NO"/>
        </w:rPr>
        <w:t>,</w:t>
      </w:r>
      <w:r w:rsidR="00FE4974">
        <w:rPr>
          <w:rFonts w:ascii="Times New Roman" w:hAnsi="Times New Roman" w:cs="Times New Roman"/>
          <w:sz w:val="24"/>
          <w:szCs w:val="24"/>
          <w:lang w:val="nb-NO"/>
        </w:rPr>
        <w:t xml:space="preserve"> og k</w:t>
      </w:r>
      <w:r w:rsidR="00654237">
        <w:rPr>
          <w:rFonts w:ascii="Times New Roman" w:hAnsi="Times New Roman" w:cs="Times New Roman"/>
          <w:sz w:val="24"/>
          <w:szCs w:val="24"/>
          <w:lang w:val="nb-NO"/>
        </w:rPr>
        <w:t>rav</w:t>
      </w:r>
      <w:r w:rsidR="00A376BB">
        <w:rPr>
          <w:rFonts w:ascii="Times New Roman" w:hAnsi="Times New Roman" w:cs="Times New Roman"/>
          <w:sz w:val="24"/>
          <w:szCs w:val="24"/>
          <w:lang w:val="nb-NO"/>
        </w:rPr>
        <w:t>ene</w:t>
      </w:r>
      <w:r w:rsidR="00654237">
        <w:rPr>
          <w:rFonts w:ascii="Times New Roman" w:hAnsi="Times New Roman" w:cs="Times New Roman"/>
          <w:sz w:val="24"/>
          <w:szCs w:val="24"/>
          <w:lang w:val="nb-NO"/>
        </w:rPr>
        <w:t xml:space="preserve"> til søkerbyene og kriterier for valg </w:t>
      </w:r>
      <w:r w:rsidR="00FE4974">
        <w:rPr>
          <w:rFonts w:ascii="Times New Roman" w:hAnsi="Times New Roman" w:cs="Times New Roman"/>
          <w:sz w:val="24"/>
          <w:szCs w:val="24"/>
          <w:lang w:val="nb-NO"/>
        </w:rPr>
        <w:t xml:space="preserve">av arrangør </w:t>
      </w:r>
      <w:r w:rsidR="00654237">
        <w:rPr>
          <w:rFonts w:ascii="Times New Roman" w:hAnsi="Times New Roman" w:cs="Times New Roman"/>
          <w:sz w:val="24"/>
          <w:szCs w:val="24"/>
          <w:lang w:val="nb-NO"/>
        </w:rPr>
        <w:t>kan endre seg underveis</w:t>
      </w:r>
      <w:r w:rsidR="00FE4974">
        <w:rPr>
          <w:rFonts w:ascii="Times New Roman" w:hAnsi="Times New Roman" w:cs="Times New Roman"/>
          <w:sz w:val="24"/>
          <w:szCs w:val="24"/>
          <w:lang w:val="nb-NO"/>
        </w:rPr>
        <w:t>,</w:t>
      </w:r>
      <w:r w:rsidR="00654237">
        <w:rPr>
          <w:rFonts w:ascii="Times New Roman" w:hAnsi="Times New Roman" w:cs="Times New Roman"/>
          <w:sz w:val="24"/>
          <w:szCs w:val="24"/>
          <w:lang w:val="nb-NO"/>
        </w:rPr>
        <w:t xml:space="preserve"> slik </w:t>
      </w:r>
      <w:r w:rsidR="003E6BA3">
        <w:rPr>
          <w:rFonts w:ascii="Times New Roman" w:hAnsi="Times New Roman" w:cs="Times New Roman"/>
          <w:sz w:val="24"/>
          <w:szCs w:val="24"/>
          <w:lang w:val="nb-NO"/>
        </w:rPr>
        <w:t>COT2014 erfarte</w:t>
      </w:r>
      <w:r w:rsidR="00FE4974">
        <w:rPr>
          <w:rFonts w:ascii="Times New Roman" w:hAnsi="Times New Roman" w:cs="Times New Roman"/>
          <w:sz w:val="24"/>
          <w:szCs w:val="24"/>
          <w:lang w:val="nb-NO"/>
        </w:rPr>
        <w:t xml:space="preserve">. </w:t>
      </w:r>
      <w:r w:rsidR="009B16D4">
        <w:rPr>
          <w:rFonts w:ascii="Times New Roman" w:hAnsi="Times New Roman" w:cs="Times New Roman"/>
          <w:sz w:val="24"/>
          <w:szCs w:val="24"/>
          <w:lang w:val="nb-NO"/>
        </w:rPr>
        <w:t xml:space="preserve">Det er videre viktig å være klar på at det er netto tilførsel av midler til regionen som er den relevante faktoren når man skal </w:t>
      </w:r>
      <w:r w:rsidR="008E1D12">
        <w:rPr>
          <w:rFonts w:ascii="Times New Roman" w:hAnsi="Times New Roman" w:cs="Times New Roman"/>
          <w:sz w:val="24"/>
          <w:szCs w:val="24"/>
          <w:lang w:val="nb-NO"/>
        </w:rPr>
        <w:t>estimer</w:t>
      </w:r>
      <w:r w:rsidR="00264DB4">
        <w:rPr>
          <w:rFonts w:ascii="Times New Roman" w:hAnsi="Times New Roman" w:cs="Times New Roman"/>
          <w:sz w:val="24"/>
          <w:szCs w:val="24"/>
          <w:lang w:val="nb-NO"/>
        </w:rPr>
        <w:t xml:space="preserve">e </w:t>
      </w:r>
      <w:r w:rsidR="00001D14">
        <w:rPr>
          <w:rFonts w:ascii="Times New Roman" w:hAnsi="Times New Roman" w:cs="Times New Roman"/>
          <w:sz w:val="24"/>
          <w:szCs w:val="24"/>
          <w:lang w:val="nb-NO"/>
        </w:rPr>
        <w:t>ringvirkninger</w:t>
      </w:r>
      <w:r w:rsidR="009B16D4">
        <w:rPr>
          <w:rFonts w:ascii="Times New Roman" w:hAnsi="Times New Roman" w:cs="Times New Roman"/>
          <w:sz w:val="24"/>
          <w:szCs w:val="24"/>
          <w:lang w:val="nb-NO"/>
        </w:rPr>
        <w:t>.</w:t>
      </w:r>
      <w:r w:rsidR="0032633C">
        <w:rPr>
          <w:rFonts w:ascii="Times New Roman" w:hAnsi="Times New Roman" w:cs="Times New Roman"/>
          <w:sz w:val="24"/>
          <w:szCs w:val="24"/>
          <w:lang w:val="nb-NO"/>
        </w:rPr>
        <w:t xml:space="preserve"> </w:t>
      </w:r>
      <w:r w:rsidR="00B21FA2" w:rsidRPr="00545991">
        <w:rPr>
          <w:rFonts w:ascii="Times New Roman" w:hAnsi="Times New Roman" w:cs="Times New Roman"/>
          <w:sz w:val="24"/>
          <w:szCs w:val="24"/>
          <w:lang w:val="nb-NO"/>
        </w:rPr>
        <w:t xml:space="preserve">Hvis </w:t>
      </w:r>
      <w:r w:rsidR="0032633C">
        <w:rPr>
          <w:rFonts w:ascii="Times New Roman" w:hAnsi="Times New Roman" w:cs="Times New Roman"/>
          <w:sz w:val="24"/>
          <w:szCs w:val="24"/>
          <w:lang w:val="nb-NO"/>
        </w:rPr>
        <w:t xml:space="preserve">man ikke </w:t>
      </w:r>
      <w:r w:rsidR="00001D14">
        <w:rPr>
          <w:rFonts w:ascii="Times New Roman" w:hAnsi="Times New Roman" w:cs="Times New Roman"/>
          <w:sz w:val="24"/>
          <w:szCs w:val="24"/>
          <w:lang w:val="nb-NO"/>
        </w:rPr>
        <w:t xml:space="preserve">korrigerer for </w:t>
      </w:r>
      <w:r w:rsidR="0032633C">
        <w:rPr>
          <w:rFonts w:ascii="Times New Roman" w:hAnsi="Times New Roman" w:cs="Times New Roman"/>
          <w:sz w:val="24"/>
          <w:szCs w:val="24"/>
          <w:lang w:val="nb-NO"/>
        </w:rPr>
        <w:t xml:space="preserve">lekkasjer og </w:t>
      </w:r>
      <w:r w:rsidR="00001D14">
        <w:rPr>
          <w:rFonts w:ascii="Times New Roman" w:hAnsi="Times New Roman" w:cs="Times New Roman"/>
          <w:sz w:val="24"/>
          <w:szCs w:val="24"/>
          <w:lang w:val="nb-NO"/>
        </w:rPr>
        <w:t xml:space="preserve">fortrengning </w:t>
      </w:r>
      <w:r w:rsidR="00B21FA2" w:rsidRPr="00545991">
        <w:rPr>
          <w:rFonts w:ascii="Times New Roman" w:hAnsi="Times New Roman" w:cs="Times New Roman"/>
          <w:sz w:val="24"/>
          <w:szCs w:val="24"/>
          <w:lang w:val="nb-NO"/>
        </w:rPr>
        <w:t xml:space="preserve">vil </w:t>
      </w:r>
      <w:r w:rsidR="0032633C">
        <w:rPr>
          <w:rFonts w:ascii="Times New Roman" w:hAnsi="Times New Roman" w:cs="Times New Roman"/>
          <w:sz w:val="24"/>
          <w:szCs w:val="24"/>
          <w:lang w:val="nb-NO"/>
        </w:rPr>
        <w:t xml:space="preserve">beregningene gi et villedende bilde av de økonomiske konsekvensene av arrangementet. </w:t>
      </w:r>
    </w:p>
    <w:p w14:paraId="0A5D97CC" w14:textId="3B538C3D" w:rsidR="000B3FBB" w:rsidRDefault="00E9468C" w:rsidP="000B3FBB">
      <w:pPr>
        <w:spacing w:line="360" w:lineRule="auto"/>
        <w:ind w:firstLine="708"/>
        <w:jc w:val="both"/>
        <w:rPr>
          <w:rFonts w:ascii="Times New Roman" w:hAnsi="Times New Roman" w:cs="Times New Roman"/>
          <w:sz w:val="24"/>
          <w:szCs w:val="24"/>
          <w:lang w:val="nb-NO"/>
        </w:rPr>
      </w:pPr>
      <w:r w:rsidRPr="00650BDB">
        <w:rPr>
          <w:rFonts w:ascii="Times New Roman" w:hAnsi="Times New Roman" w:cs="Times New Roman"/>
          <w:sz w:val="24"/>
          <w:szCs w:val="24"/>
          <w:lang w:val="nb-NO"/>
        </w:rPr>
        <w:t xml:space="preserve">Vi har i artikkelen </w:t>
      </w:r>
      <w:r w:rsidR="00650BDB" w:rsidRPr="00650BDB">
        <w:rPr>
          <w:rFonts w:ascii="Times New Roman" w:hAnsi="Times New Roman" w:cs="Times New Roman"/>
          <w:sz w:val="24"/>
          <w:szCs w:val="24"/>
          <w:lang w:val="nb-NO"/>
        </w:rPr>
        <w:t xml:space="preserve">sett på tilførselen av midler til Tromsø </w:t>
      </w:r>
      <w:r w:rsidR="00087B14">
        <w:rPr>
          <w:rFonts w:ascii="Times New Roman" w:hAnsi="Times New Roman" w:cs="Times New Roman"/>
          <w:sz w:val="24"/>
          <w:szCs w:val="24"/>
          <w:lang w:val="nb-NO"/>
        </w:rPr>
        <w:t xml:space="preserve">som følge av </w:t>
      </w:r>
      <w:r w:rsidR="00650BDB" w:rsidRPr="00650BDB">
        <w:rPr>
          <w:rFonts w:ascii="Times New Roman" w:hAnsi="Times New Roman" w:cs="Times New Roman"/>
          <w:sz w:val="24"/>
          <w:szCs w:val="24"/>
          <w:lang w:val="nb-NO"/>
        </w:rPr>
        <w:t>Sjakk-OL 2014, hvor midlene kom fra og hvordan</w:t>
      </w:r>
      <w:r w:rsidRPr="00650BDB">
        <w:rPr>
          <w:rFonts w:ascii="Times New Roman" w:hAnsi="Times New Roman" w:cs="Times New Roman"/>
          <w:sz w:val="24"/>
          <w:szCs w:val="24"/>
          <w:lang w:val="nb-NO"/>
        </w:rPr>
        <w:t xml:space="preserve"> lekkasjer og fortrengningseffekter svekket de økonomiske ringvirkningene av arrangementet</w:t>
      </w:r>
      <w:r w:rsidR="00650BDB" w:rsidRPr="00650BDB">
        <w:rPr>
          <w:rFonts w:ascii="Times New Roman" w:hAnsi="Times New Roman" w:cs="Times New Roman"/>
          <w:sz w:val="24"/>
          <w:szCs w:val="24"/>
          <w:lang w:val="nb-NO"/>
        </w:rPr>
        <w:t xml:space="preserve">. </w:t>
      </w:r>
      <w:r w:rsidR="00483E18" w:rsidRPr="00650BDB">
        <w:rPr>
          <w:rFonts w:ascii="Times New Roman" w:hAnsi="Times New Roman" w:cs="Times New Roman"/>
          <w:sz w:val="24"/>
          <w:szCs w:val="24"/>
          <w:lang w:val="nb-NO"/>
        </w:rPr>
        <w:t xml:space="preserve">En </w:t>
      </w:r>
      <w:r w:rsidR="00087B14">
        <w:rPr>
          <w:rFonts w:ascii="Times New Roman" w:hAnsi="Times New Roman" w:cs="Times New Roman"/>
          <w:sz w:val="24"/>
          <w:szCs w:val="24"/>
          <w:lang w:val="nb-NO"/>
        </w:rPr>
        <w:t>generell utfordring ved</w:t>
      </w:r>
      <w:r w:rsidR="00483E18" w:rsidRPr="00650BDB">
        <w:rPr>
          <w:rFonts w:ascii="Times New Roman" w:hAnsi="Times New Roman" w:cs="Times New Roman"/>
          <w:sz w:val="24"/>
          <w:szCs w:val="24"/>
          <w:lang w:val="nb-NO"/>
        </w:rPr>
        <w:t xml:space="preserve"> impact-studier</w:t>
      </w:r>
      <w:r w:rsidR="00650BDB" w:rsidRPr="00650BDB">
        <w:rPr>
          <w:rFonts w:ascii="Times New Roman" w:hAnsi="Times New Roman" w:cs="Times New Roman"/>
          <w:sz w:val="24"/>
          <w:szCs w:val="24"/>
          <w:lang w:val="nb-NO"/>
        </w:rPr>
        <w:t xml:space="preserve"> </w:t>
      </w:r>
      <w:r w:rsidR="00087B14">
        <w:rPr>
          <w:rFonts w:ascii="Times New Roman" w:hAnsi="Times New Roman" w:cs="Times New Roman"/>
          <w:sz w:val="24"/>
          <w:szCs w:val="24"/>
          <w:lang w:val="nb-NO"/>
        </w:rPr>
        <w:t xml:space="preserve">som dette er datagrunnlaget. Vi har </w:t>
      </w:r>
      <w:r w:rsidR="00F72B99">
        <w:rPr>
          <w:rFonts w:ascii="Times New Roman" w:hAnsi="Times New Roman" w:cs="Times New Roman"/>
          <w:sz w:val="24"/>
          <w:szCs w:val="24"/>
          <w:lang w:val="nb-NO"/>
        </w:rPr>
        <w:t>her</w:t>
      </w:r>
      <w:bookmarkStart w:id="0" w:name="_GoBack"/>
      <w:bookmarkEnd w:id="0"/>
      <w:r w:rsidR="00087B14">
        <w:rPr>
          <w:rFonts w:ascii="Times New Roman" w:hAnsi="Times New Roman" w:cs="Times New Roman"/>
          <w:sz w:val="24"/>
          <w:szCs w:val="24"/>
          <w:lang w:val="nb-NO"/>
        </w:rPr>
        <w:t xml:space="preserve"> benyttet sekundærdata basert på både direkte og indirekte metoder. </w:t>
      </w:r>
      <w:r w:rsidR="000B3FBB">
        <w:rPr>
          <w:rFonts w:ascii="Times New Roman" w:hAnsi="Times New Roman" w:cs="Times New Roman"/>
          <w:sz w:val="24"/>
          <w:szCs w:val="24"/>
          <w:lang w:val="nb-NO"/>
        </w:rPr>
        <w:t xml:space="preserve">Turistdataene har grunnlag i </w:t>
      </w:r>
      <w:r w:rsidR="00087B14">
        <w:rPr>
          <w:rFonts w:ascii="Times New Roman" w:hAnsi="Times New Roman" w:cs="Times New Roman"/>
          <w:sz w:val="24"/>
          <w:szCs w:val="24"/>
          <w:lang w:val="nb-NO"/>
        </w:rPr>
        <w:t xml:space="preserve">utvalgsundersøkelser </w:t>
      </w:r>
      <w:r w:rsidR="000B3FBB">
        <w:rPr>
          <w:rFonts w:ascii="Times New Roman" w:hAnsi="Times New Roman" w:cs="Times New Roman"/>
          <w:sz w:val="24"/>
          <w:szCs w:val="24"/>
          <w:lang w:val="nb-NO"/>
        </w:rPr>
        <w:t xml:space="preserve">som </w:t>
      </w:r>
      <w:r w:rsidR="00087B14">
        <w:rPr>
          <w:rFonts w:ascii="Times New Roman" w:hAnsi="Times New Roman" w:cs="Times New Roman"/>
          <w:sz w:val="24"/>
          <w:szCs w:val="24"/>
          <w:lang w:val="nb-NO"/>
        </w:rPr>
        <w:t xml:space="preserve">generelt </w:t>
      </w:r>
      <w:r w:rsidR="000B3FBB">
        <w:rPr>
          <w:rFonts w:ascii="Times New Roman" w:hAnsi="Times New Roman" w:cs="Times New Roman"/>
          <w:sz w:val="24"/>
          <w:szCs w:val="24"/>
          <w:lang w:val="nb-NO"/>
        </w:rPr>
        <w:t xml:space="preserve">er </w:t>
      </w:r>
      <w:r w:rsidR="00087B14">
        <w:rPr>
          <w:rFonts w:ascii="Times New Roman" w:hAnsi="Times New Roman" w:cs="Times New Roman"/>
          <w:sz w:val="24"/>
          <w:szCs w:val="24"/>
          <w:lang w:val="nb-NO"/>
        </w:rPr>
        <w:t xml:space="preserve">beheftet med </w:t>
      </w:r>
      <w:r w:rsidR="000B3FBB">
        <w:rPr>
          <w:rFonts w:ascii="Times New Roman" w:hAnsi="Times New Roman" w:cs="Times New Roman"/>
          <w:sz w:val="24"/>
          <w:szCs w:val="24"/>
          <w:lang w:val="nb-NO"/>
        </w:rPr>
        <w:t>målefeil og utvalgsusikkerhet</w:t>
      </w:r>
      <w:r w:rsidR="004C2A08" w:rsidRPr="00650BDB">
        <w:rPr>
          <w:rFonts w:ascii="Times New Roman" w:hAnsi="Times New Roman" w:cs="Times New Roman"/>
          <w:sz w:val="24"/>
          <w:szCs w:val="24"/>
          <w:lang w:val="nb-NO"/>
        </w:rPr>
        <w:t xml:space="preserve">. For de indirekte målingene er </w:t>
      </w:r>
      <w:r w:rsidR="00F80BC7" w:rsidRPr="00650BDB">
        <w:rPr>
          <w:rFonts w:ascii="Times New Roman" w:hAnsi="Times New Roman" w:cs="Times New Roman"/>
          <w:sz w:val="24"/>
          <w:szCs w:val="24"/>
          <w:lang w:val="nb-NO"/>
        </w:rPr>
        <w:t xml:space="preserve">det en </w:t>
      </w:r>
      <w:r w:rsidR="004C2A08" w:rsidRPr="00650BDB">
        <w:rPr>
          <w:rFonts w:ascii="Times New Roman" w:hAnsi="Times New Roman" w:cs="Times New Roman"/>
          <w:sz w:val="24"/>
          <w:szCs w:val="24"/>
          <w:lang w:val="nb-NO"/>
        </w:rPr>
        <w:t xml:space="preserve">utfordring å </w:t>
      </w:r>
      <w:r w:rsidR="001B2AAD" w:rsidRPr="00650BDB">
        <w:rPr>
          <w:rFonts w:ascii="Times New Roman" w:hAnsi="Times New Roman" w:cs="Times New Roman"/>
          <w:sz w:val="24"/>
          <w:szCs w:val="24"/>
          <w:lang w:val="nb-NO"/>
        </w:rPr>
        <w:t xml:space="preserve">definere den økonomiske aktiviteten i perioder </w:t>
      </w:r>
      <w:r w:rsidR="000B3FBB">
        <w:rPr>
          <w:rFonts w:ascii="Times New Roman" w:hAnsi="Times New Roman" w:cs="Times New Roman"/>
          <w:sz w:val="24"/>
          <w:szCs w:val="24"/>
          <w:lang w:val="nb-NO"/>
        </w:rPr>
        <w:t xml:space="preserve">som </w:t>
      </w:r>
      <w:r w:rsidR="001B2AAD" w:rsidRPr="00650BDB">
        <w:rPr>
          <w:rFonts w:ascii="Times New Roman" w:hAnsi="Times New Roman" w:cs="Times New Roman"/>
          <w:sz w:val="24"/>
          <w:szCs w:val="24"/>
          <w:lang w:val="nb-NO"/>
        </w:rPr>
        <w:t xml:space="preserve">man sammenligner med, slik at man kan </w:t>
      </w:r>
      <w:r w:rsidR="004C2A08" w:rsidRPr="00650BDB">
        <w:rPr>
          <w:rFonts w:ascii="Times New Roman" w:hAnsi="Times New Roman" w:cs="Times New Roman"/>
          <w:sz w:val="24"/>
          <w:szCs w:val="24"/>
          <w:lang w:val="nb-NO"/>
        </w:rPr>
        <w:t>sannsynliggjøre effekter av arrangementet</w:t>
      </w:r>
      <w:r w:rsidR="001B2AAD" w:rsidRPr="00650BDB">
        <w:rPr>
          <w:rFonts w:ascii="Times New Roman" w:hAnsi="Times New Roman" w:cs="Times New Roman"/>
          <w:sz w:val="24"/>
          <w:szCs w:val="24"/>
          <w:lang w:val="nb-NO"/>
        </w:rPr>
        <w:t>.</w:t>
      </w:r>
      <w:r w:rsidR="004C2A08" w:rsidRPr="00650BDB">
        <w:rPr>
          <w:rFonts w:ascii="Times New Roman" w:hAnsi="Times New Roman" w:cs="Times New Roman"/>
          <w:sz w:val="24"/>
          <w:szCs w:val="24"/>
          <w:lang w:val="nb-NO"/>
        </w:rPr>
        <w:t xml:space="preserve"> </w:t>
      </w:r>
      <w:r w:rsidR="001B2AAD" w:rsidRPr="00650BDB">
        <w:rPr>
          <w:rFonts w:ascii="Times New Roman" w:hAnsi="Times New Roman" w:cs="Times New Roman"/>
          <w:sz w:val="24"/>
          <w:szCs w:val="24"/>
          <w:lang w:val="nb-NO"/>
        </w:rPr>
        <w:t xml:space="preserve">Det </w:t>
      </w:r>
      <w:r w:rsidR="00650BDB" w:rsidRPr="00650BDB">
        <w:rPr>
          <w:rFonts w:ascii="Times New Roman" w:hAnsi="Times New Roman" w:cs="Times New Roman"/>
          <w:sz w:val="24"/>
          <w:szCs w:val="24"/>
          <w:lang w:val="nb-NO"/>
        </w:rPr>
        <w:t>er</w:t>
      </w:r>
      <w:r w:rsidR="001B2AAD" w:rsidRPr="00650BDB">
        <w:rPr>
          <w:rFonts w:ascii="Times New Roman" w:hAnsi="Times New Roman" w:cs="Times New Roman"/>
          <w:sz w:val="24"/>
          <w:szCs w:val="24"/>
          <w:lang w:val="nb-NO"/>
        </w:rPr>
        <w:t xml:space="preserve"> derfor usikkerhet i slike beregninger</w:t>
      </w:r>
      <w:r w:rsidR="00C67CA0" w:rsidRPr="00650BDB">
        <w:rPr>
          <w:rFonts w:ascii="Times New Roman" w:hAnsi="Times New Roman" w:cs="Times New Roman"/>
          <w:sz w:val="24"/>
          <w:szCs w:val="24"/>
          <w:lang w:val="nb-NO"/>
        </w:rPr>
        <w:t>. Men f</w:t>
      </w:r>
      <w:r w:rsidR="001B2AAD" w:rsidRPr="00650BDB">
        <w:rPr>
          <w:rFonts w:ascii="Times New Roman" w:hAnsi="Times New Roman" w:cs="Times New Roman"/>
          <w:sz w:val="24"/>
          <w:szCs w:val="24"/>
          <w:lang w:val="nb-NO"/>
        </w:rPr>
        <w:t xml:space="preserve">ormålet </w:t>
      </w:r>
      <w:r w:rsidR="00C67CA0" w:rsidRPr="00650BDB">
        <w:rPr>
          <w:rFonts w:ascii="Times New Roman" w:hAnsi="Times New Roman" w:cs="Times New Roman"/>
          <w:sz w:val="24"/>
          <w:szCs w:val="24"/>
          <w:lang w:val="nb-NO"/>
        </w:rPr>
        <w:t xml:space="preserve">med denne artikkelen </w:t>
      </w:r>
      <w:r w:rsidR="001B2AAD" w:rsidRPr="00650BDB">
        <w:rPr>
          <w:rFonts w:ascii="Times New Roman" w:hAnsi="Times New Roman" w:cs="Times New Roman"/>
          <w:sz w:val="24"/>
          <w:szCs w:val="24"/>
          <w:lang w:val="nb-NO"/>
        </w:rPr>
        <w:t xml:space="preserve">har </w:t>
      </w:r>
      <w:r w:rsidR="00C67CA0" w:rsidRPr="00650BDB">
        <w:rPr>
          <w:rFonts w:ascii="Times New Roman" w:hAnsi="Times New Roman" w:cs="Times New Roman"/>
          <w:sz w:val="24"/>
          <w:szCs w:val="24"/>
          <w:lang w:val="nb-NO"/>
        </w:rPr>
        <w:t xml:space="preserve">også </w:t>
      </w:r>
      <w:r w:rsidR="001B2AAD" w:rsidRPr="00650BDB">
        <w:rPr>
          <w:rFonts w:ascii="Times New Roman" w:hAnsi="Times New Roman" w:cs="Times New Roman"/>
          <w:sz w:val="24"/>
          <w:szCs w:val="24"/>
          <w:lang w:val="nb-NO"/>
        </w:rPr>
        <w:t xml:space="preserve">vært å </w:t>
      </w:r>
      <w:r w:rsidR="00C67CA0" w:rsidRPr="00650BDB">
        <w:rPr>
          <w:rFonts w:ascii="Times New Roman" w:hAnsi="Times New Roman" w:cs="Times New Roman"/>
          <w:sz w:val="24"/>
          <w:szCs w:val="24"/>
          <w:lang w:val="nb-NO"/>
        </w:rPr>
        <w:t xml:space="preserve">klargjøre hvilke faktorer man skal og ikke skal ta hensyn til i </w:t>
      </w:r>
      <w:r w:rsidR="002C6862" w:rsidRPr="00650BDB">
        <w:rPr>
          <w:rFonts w:ascii="Times New Roman" w:hAnsi="Times New Roman" w:cs="Times New Roman"/>
          <w:sz w:val="24"/>
          <w:szCs w:val="24"/>
          <w:lang w:val="nb-NO"/>
        </w:rPr>
        <w:t xml:space="preserve">slike </w:t>
      </w:r>
      <w:r w:rsidR="00C67CA0" w:rsidRPr="00650BDB">
        <w:rPr>
          <w:rFonts w:ascii="Times New Roman" w:hAnsi="Times New Roman" w:cs="Times New Roman"/>
          <w:sz w:val="24"/>
          <w:szCs w:val="24"/>
          <w:lang w:val="nb-NO"/>
        </w:rPr>
        <w:t xml:space="preserve">studier, </w:t>
      </w:r>
      <w:r w:rsidR="001B2AAD" w:rsidRPr="00650BDB">
        <w:rPr>
          <w:rFonts w:ascii="Times New Roman" w:hAnsi="Times New Roman" w:cs="Times New Roman"/>
          <w:sz w:val="24"/>
          <w:szCs w:val="24"/>
          <w:lang w:val="nb-NO"/>
        </w:rPr>
        <w:t xml:space="preserve">og å peke på utfordringer </w:t>
      </w:r>
      <w:r w:rsidR="00C67CA0" w:rsidRPr="00650BDB">
        <w:rPr>
          <w:rFonts w:ascii="Times New Roman" w:hAnsi="Times New Roman" w:cs="Times New Roman"/>
          <w:sz w:val="24"/>
          <w:szCs w:val="24"/>
          <w:lang w:val="nb-NO"/>
        </w:rPr>
        <w:t>som søkerbyer s</w:t>
      </w:r>
      <w:r w:rsidR="001B2AAD" w:rsidRPr="00650BDB">
        <w:rPr>
          <w:rFonts w:ascii="Times New Roman" w:hAnsi="Times New Roman" w:cs="Times New Roman"/>
          <w:sz w:val="24"/>
          <w:szCs w:val="24"/>
          <w:lang w:val="nb-NO"/>
        </w:rPr>
        <w:t xml:space="preserve">tår overfor </w:t>
      </w:r>
      <w:r w:rsidR="000B3FBB">
        <w:rPr>
          <w:rFonts w:ascii="Times New Roman" w:hAnsi="Times New Roman" w:cs="Times New Roman"/>
          <w:sz w:val="24"/>
          <w:szCs w:val="24"/>
          <w:lang w:val="nb-NO"/>
        </w:rPr>
        <w:t>i søknadsprosesser</w:t>
      </w:r>
      <w:r w:rsidR="001B2AAD" w:rsidRPr="00650BDB">
        <w:rPr>
          <w:rFonts w:ascii="Times New Roman" w:hAnsi="Times New Roman" w:cs="Times New Roman"/>
          <w:sz w:val="24"/>
          <w:szCs w:val="24"/>
          <w:lang w:val="nb-NO"/>
        </w:rPr>
        <w:t>.</w:t>
      </w:r>
      <w:r w:rsidR="001B2AAD">
        <w:rPr>
          <w:rFonts w:ascii="Times New Roman" w:hAnsi="Times New Roman" w:cs="Times New Roman"/>
          <w:sz w:val="24"/>
          <w:szCs w:val="24"/>
          <w:lang w:val="nb-NO"/>
        </w:rPr>
        <w:t xml:space="preserve"> </w:t>
      </w:r>
    </w:p>
    <w:p w14:paraId="66860B55" w14:textId="77777777" w:rsidR="005F345A" w:rsidRPr="00433AE7" w:rsidRDefault="000C58F8" w:rsidP="00AB0B03">
      <w:pPr>
        <w:pStyle w:val="Overskrift1"/>
      </w:pPr>
      <w:r w:rsidRPr="00E55D3C">
        <w:rPr>
          <w:rFonts w:ascii="Times New Roman" w:hAnsi="Times New Roman" w:cs="Times New Roman"/>
          <w:b/>
          <w:color w:val="FF0000"/>
          <w:sz w:val="24"/>
          <w:szCs w:val="24"/>
          <w:lang w:val="nb-NO"/>
          <w:rPrChange w:id="1" w:author="Jon Martin Denstadli" w:date="2017-04-21T21:44:00Z">
            <w:rPr>
              <w:rFonts w:ascii="Times New Roman" w:hAnsi="Times New Roman" w:cs="Times New Roman"/>
              <w:b/>
              <w:color w:val="FF0000"/>
              <w:sz w:val="24"/>
              <w:szCs w:val="24"/>
            </w:rPr>
          </w:rPrChange>
        </w:rPr>
        <w:br w:type="page"/>
      </w:r>
      <w:r w:rsidR="005F345A" w:rsidRPr="00433AE7">
        <w:lastRenderedPageBreak/>
        <w:t>Referanser</w:t>
      </w:r>
    </w:p>
    <w:p w14:paraId="3F6DBA0F" w14:textId="77777777" w:rsidR="00EC14B1" w:rsidRPr="00433AE7" w:rsidRDefault="00EC14B1" w:rsidP="006A597C">
      <w:pPr>
        <w:autoSpaceDE w:val="0"/>
        <w:autoSpaceDN w:val="0"/>
        <w:adjustRightInd w:val="0"/>
        <w:spacing w:after="0" w:line="240" w:lineRule="auto"/>
        <w:ind w:left="709" w:right="-468" w:hanging="709"/>
        <w:jc w:val="both"/>
        <w:rPr>
          <w:rFonts w:ascii="Times New Roman" w:eastAsia="Times New Roman" w:hAnsi="Times New Roman" w:cs="Times New Roman"/>
          <w:color w:val="000000"/>
          <w:sz w:val="24"/>
          <w:szCs w:val="24"/>
          <w:lang w:eastAsia="nb-NO"/>
        </w:rPr>
      </w:pPr>
    </w:p>
    <w:p w14:paraId="6F87A6CA" w14:textId="77777777" w:rsidR="00EC14B1" w:rsidRPr="00433AE7" w:rsidRDefault="00EC14B1" w:rsidP="001A72AA">
      <w:pPr>
        <w:spacing w:after="5" w:line="360" w:lineRule="auto"/>
        <w:ind w:left="709" w:right="14" w:hanging="695"/>
        <w:jc w:val="both"/>
        <w:rPr>
          <w:rFonts w:ascii="Times New Roman" w:eastAsia="Times New Roman" w:hAnsi="Times New Roman" w:cs="Times New Roman"/>
          <w:color w:val="000000"/>
          <w:sz w:val="24"/>
          <w:szCs w:val="24"/>
          <w:lang w:eastAsia="nb-NO"/>
        </w:rPr>
      </w:pPr>
      <w:r w:rsidRPr="00433AE7">
        <w:rPr>
          <w:rFonts w:ascii="Times New Roman" w:eastAsia="Times New Roman" w:hAnsi="Times New Roman" w:cs="Times New Roman"/>
          <w:color w:val="000000"/>
          <w:sz w:val="24"/>
          <w:szCs w:val="24"/>
          <w:lang w:eastAsia="nb-NO"/>
        </w:rPr>
        <w:t xml:space="preserve">Andreff, W. (2012). The winner's curse: Why is the cost of mega sports events so often underestimated. In W. Maennig &amp; A. Zimbalist (Eds.), </w:t>
      </w:r>
      <w:r w:rsidRPr="00433AE7">
        <w:rPr>
          <w:rFonts w:ascii="Times New Roman" w:eastAsia="Times New Roman" w:hAnsi="Times New Roman" w:cs="Times New Roman"/>
          <w:i/>
          <w:color w:val="000000"/>
          <w:sz w:val="24"/>
          <w:szCs w:val="24"/>
          <w:lang w:eastAsia="nb-NO"/>
        </w:rPr>
        <w:t>International handbook on the economics of</w:t>
      </w:r>
      <w:r w:rsidR="00C6710F" w:rsidRPr="00433AE7">
        <w:rPr>
          <w:rFonts w:ascii="Times New Roman" w:eastAsia="Times New Roman" w:hAnsi="Times New Roman" w:cs="Times New Roman"/>
          <w:i/>
          <w:color w:val="000000"/>
          <w:sz w:val="24"/>
          <w:szCs w:val="24"/>
          <w:lang w:eastAsia="nb-NO"/>
        </w:rPr>
        <w:t xml:space="preserve"> M</w:t>
      </w:r>
      <w:r w:rsidRPr="00433AE7">
        <w:rPr>
          <w:rFonts w:ascii="Times New Roman" w:eastAsia="Times New Roman" w:hAnsi="Times New Roman" w:cs="Times New Roman"/>
          <w:i/>
          <w:color w:val="000000"/>
          <w:sz w:val="24"/>
          <w:szCs w:val="24"/>
          <w:lang w:eastAsia="nb-NO"/>
        </w:rPr>
        <w:t>ega-</w:t>
      </w:r>
      <w:r w:rsidR="00C6710F" w:rsidRPr="00433AE7">
        <w:rPr>
          <w:rFonts w:ascii="Times New Roman" w:eastAsia="Times New Roman" w:hAnsi="Times New Roman" w:cs="Times New Roman"/>
          <w:i/>
          <w:color w:val="000000"/>
          <w:sz w:val="24"/>
          <w:szCs w:val="24"/>
          <w:lang w:eastAsia="nb-NO"/>
        </w:rPr>
        <w:t>S</w:t>
      </w:r>
      <w:r w:rsidRPr="00433AE7">
        <w:rPr>
          <w:rFonts w:ascii="Times New Roman" w:eastAsia="Times New Roman" w:hAnsi="Times New Roman" w:cs="Times New Roman"/>
          <w:i/>
          <w:color w:val="000000"/>
          <w:sz w:val="24"/>
          <w:szCs w:val="24"/>
          <w:lang w:eastAsia="nb-NO"/>
        </w:rPr>
        <w:t>porting events. Cheltenham</w:t>
      </w:r>
      <w:r w:rsidRPr="00433AE7">
        <w:rPr>
          <w:rFonts w:ascii="Times New Roman" w:eastAsia="Times New Roman" w:hAnsi="Times New Roman" w:cs="Times New Roman"/>
          <w:color w:val="000000"/>
          <w:sz w:val="24"/>
          <w:szCs w:val="24"/>
          <w:lang w:eastAsia="nb-NO"/>
        </w:rPr>
        <w:t>, UK/Northampton, MA: Edward Elgar.</w:t>
      </w:r>
    </w:p>
    <w:p w14:paraId="228A55E8" w14:textId="2C7E2D93" w:rsidR="00D75B5D" w:rsidRPr="00D75B5D" w:rsidRDefault="00D75B5D" w:rsidP="00D75B5D">
      <w:pPr>
        <w:autoSpaceDE w:val="0"/>
        <w:autoSpaceDN w:val="0"/>
        <w:adjustRightInd w:val="0"/>
        <w:spacing w:after="0" w:line="360" w:lineRule="auto"/>
        <w:ind w:left="709" w:right="-468" w:hanging="709"/>
        <w:jc w:val="both"/>
        <w:rPr>
          <w:rFonts w:ascii="Times New Roman" w:eastAsia="Times New Roman" w:hAnsi="Times New Roman" w:cs="Times New Roman"/>
          <w:sz w:val="24"/>
          <w:szCs w:val="24"/>
        </w:rPr>
      </w:pPr>
      <w:r w:rsidRPr="00D75B5D">
        <w:rPr>
          <w:rFonts w:ascii="Times New Roman" w:eastAsia="Times New Roman" w:hAnsi="Times New Roman" w:cs="Times New Roman"/>
          <w:sz w:val="24"/>
          <w:szCs w:val="24"/>
        </w:rPr>
        <w:t>Baade, R</w:t>
      </w:r>
      <w:r>
        <w:rPr>
          <w:rFonts w:ascii="Times New Roman" w:eastAsia="Times New Roman" w:hAnsi="Times New Roman" w:cs="Times New Roman"/>
          <w:sz w:val="24"/>
          <w:szCs w:val="24"/>
        </w:rPr>
        <w:t xml:space="preserve">. </w:t>
      </w:r>
      <w:r w:rsidRPr="00D75B5D">
        <w:rPr>
          <w:rFonts w:ascii="Times New Roman" w:eastAsia="Times New Roman" w:hAnsi="Times New Roman" w:cs="Times New Roman"/>
          <w:sz w:val="24"/>
          <w:szCs w:val="24"/>
        </w:rPr>
        <w:t>A. and Matheson</w:t>
      </w:r>
      <w:r>
        <w:rPr>
          <w:rFonts w:ascii="Times New Roman" w:eastAsia="Times New Roman" w:hAnsi="Times New Roman" w:cs="Times New Roman"/>
          <w:sz w:val="24"/>
          <w:szCs w:val="24"/>
        </w:rPr>
        <w:t>, V. A</w:t>
      </w:r>
      <w:r w:rsidRPr="00D75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75B5D">
        <w:rPr>
          <w:rFonts w:ascii="Times New Roman" w:eastAsia="Times New Roman" w:hAnsi="Times New Roman" w:cs="Times New Roman"/>
          <w:sz w:val="24"/>
          <w:szCs w:val="24"/>
        </w:rPr>
        <w:t>2004</w:t>
      </w:r>
      <w:r>
        <w:rPr>
          <w:rFonts w:ascii="Times New Roman" w:eastAsia="Times New Roman" w:hAnsi="Times New Roman" w:cs="Times New Roman"/>
          <w:sz w:val="24"/>
          <w:szCs w:val="24"/>
        </w:rPr>
        <w:t>)</w:t>
      </w:r>
      <w:r w:rsidRPr="00D75B5D">
        <w:rPr>
          <w:rFonts w:ascii="Times New Roman" w:eastAsia="Times New Roman" w:hAnsi="Times New Roman" w:cs="Times New Roman"/>
          <w:sz w:val="24"/>
          <w:szCs w:val="24"/>
        </w:rPr>
        <w:t>. The Quest for the Cup: Assessing the</w:t>
      </w:r>
    </w:p>
    <w:p w14:paraId="0B8B216F" w14:textId="3E1E5606" w:rsidR="00D75B5D" w:rsidRDefault="00D75B5D" w:rsidP="00D75B5D">
      <w:pPr>
        <w:autoSpaceDE w:val="0"/>
        <w:autoSpaceDN w:val="0"/>
        <w:adjustRightInd w:val="0"/>
        <w:spacing w:after="0" w:line="360" w:lineRule="auto"/>
        <w:ind w:left="709" w:right="-468" w:hanging="1"/>
        <w:jc w:val="both"/>
        <w:rPr>
          <w:rFonts w:ascii="Times New Roman" w:eastAsia="Times New Roman" w:hAnsi="Times New Roman" w:cs="Times New Roman"/>
          <w:sz w:val="24"/>
          <w:szCs w:val="24"/>
        </w:rPr>
      </w:pPr>
      <w:r w:rsidRPr="00D75B5D">
        <w:rPr>
          <w:rFonts w:ascii="Times New Roman" w:eastAsia="Times New Roman" w:hAnsi="Times New Roman" w:cs="Times New Roman"/>
          <w:sz w:val="24"/>
          <w:szCs w:val="24"/>
        </w:rPr>
        <w:t xml:space="preserve">Economic Impact of the World Cup, </w:t>
      </w:r>
      <w:r w:rsidRPr="00D75B5D">
        <w:rPr>
          <w:rFonts w:ascii="Times New Roman" w:eastAsia="Times New Roman" w:hAnsi="Times New Roman" w:cs="Times New Roman"/>
          <w:i/>
          <w:sz w:val="24"/>
          <w:szCs w:val="24"/>
        </w:rPr>
        <w:t>Regional Studies</w:t>
      </w:r>
      <w:r w:rsidRPr="00D75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38(4),</w:t>
      </w:r>
      <w:r w:rsidRPr="00D75B5D">
        <w:rPr>
          <w:rFonts w:ascii="Times New Roman" w:eastAsia="Times New Roman" w:hAnsi="Times New Roman" w:cs="Times New Roman"/>
          <w:sz w:val="24"/>
          <w:szCs w:val="24"/>
        </w:rPr>
        <w:t xml:space="preserve"> 343-54.</w:t>
      </w:r>
    </w:p>
    <w:p w14:paraId="42168F50" w14:textId="38F0DE40" w:rsidR="00EC14B1" w:rsidRPr="00433AE7" w:rsidRDefault="00EC14B1" w:rsidP="00D75B5D">
      <w:pPr>
        <w:autoSpaceDE w:val="0"/>
        <w:autoSpaceDN w:val="0"/>
        <w:adjustRightInd w:val="0"/>
        <w:spacing w:after="0" w:line="360" w:lineRule="auto"/>
        <w:ind w:left="709" w:right="-468" w:hanging="709"/>
        <w:jc w:val="both"/>
        <w:rPr>
          <w:rFonts w:ascii="Times New Roman" w:eastAsia="Times New Roman" w:hAnsi="Times New Roman" w:cs="Times New Roman"/>
          <w:color w:val="000000"/>
          <w:sz w:val="24"/>
          <w:szCs w:val="24"/>
          <w:lang w:eastAsia="nb-NO"/>
        </w:rPr>
      </w:pPr>
      <w:r w:rsidRPr="00433AE7">
        <w:rPr>
          <w:rFonts w:ascii="Times New Roman" w:eastAsia="Times New Roman" w:hAnsi="Times New Roman" w:cs="Times New Roman"/>
          <w:sz w:val="24"/>
          <w:szCs w:val="24"/>
        </w:rPr>
        <w:t xml:space="preserve">Crompton, J. L. (1995). Economic impact analysis of sports facilities and events: Eleven sources of misapplication. </w:t>
      </w:r>
      <w:r w:rsidRPr="00433AE7">
        <w:rPr>
          <w:rFonts w:ascii="Times New Roman" w:eastAsia="Times New Roman" w:hAnsi="Times New Roman" w:cs="Times New Roman"/>
          <w:i/>
          <w:sz w:val="24"/>
          <w:szCs w:val="24"/>
        </w:rPr>
        <w:t>Journal of</w:t>
      </w:r>
      <w:r w:rsidR="00C6710F" w:rsidRPr="00433AE7">
        <w:rPr>
          <w:rFonts w:ascii="Times New Roman" w:eastAsia="Times New Roman" w:hAnsi="Times New Roman" w:cs="Times New Roman"/>
          <w:i/>
          <w:sz w:val="24"/>
          <w:szCs w:val="24"/>
        </w:rPr>
        <w:t xml:space="preserve"> </w:t>
      </w:r>
      <w:r w:rsidRPr="00433AE7">
        <w:rPr>
          <w:rFonts w:ascii="Times New Roman" w:eastAsia="Times New Roman" w:hAnsi="Times New Roman" w:cs="Times New Roman"/>
          <w:i/>
          <w:sz w:val="24"/>
          <w:szCs w:val="24"/>
        </w:rPr>
        <w:t>Sport Management</w:t>
      </w:r>
      <w:r w:rsidRPr="00433AE7">
        <w:rPr>
          <w:rFonts w:ascii="Times New Roman" w:eastAsia="Times New Roman" w:hAnsi="Times New Roman" w:cs="Times New Roman"/>
          <w:sz w:val="24"/>
          <w:szCs w:val="24"/>
        </w:rPr>
        <w:t>, 9(1), 14—35.</w:t>
      </w:r>
    </w:p>
    <w:p w14:paraId="7684DAAF" w14:textId="77777777" w:rsidR="00EC14B1" w:rsidRPr="00433AE7" w:rsidRDefault="00EC14B1" w:rsidP="001A72AA">
      <w:pPr>
        <w:spacing w:after="5" w:line="360" w:lineRule="auto"/>
        <w:ind w:left="709" w:right="120" w:hanging="695"/>
        <w:jc w:val="both"/>
        <w:rPr>
          <w:rFonts w:ascii="Times New Roman" w:eastAsia="Times New Roman" w:hAnsi="Times New Roman" w:cs="Times New Roman"/>
          <w:color w:val="000000"/>
          <w:sz w:val="24"/>
          <w:szCs w:val="24"/>
          <w:lang w:eastAsia="nb-NO"/>
        </w:rPr>
      </w:pPr>
      <w:r w:rsidRPr="00433AE7">
        <w:rPr>
          <w:rFonts w:ascii="Times New Roman" w:eastAsia="Times New Roman" w:hAnsi="Times New Roman" w:cs="Times New Roman"/>
          <w:color w:val="000000"/>
          <w:sz w:val="24"/>
          <w:szCs w:val="24"/>
          <w:lang w:eastAsia="nb-NO"/>
        </w:rPr>
        <w:t>Késenne, S. (2005). Do we need an economic impact study or a cost</w:t>
      </w:r>
      <w:r w:rsidR="00CE5FBE">
        <w:rPr>
          <w:rFonts w:ascii="Times New Roman" w:eastAsia="Times New Roman" w:hAnsi="Times New Roman" w:cs="Times New Roman"/>
          <w:color w:val="000000"/>
          <w:sz w:val="24"/>
          <w:szCs w:val="24"/>
          <w:lang w:eastAsia="nb-NO"/>
        </w:rPr>
        <w:t>-</w:t>
      </w:r>
      <w:r w:rsidRPr="00433AE7">
        <w:rPr>
          <w:rFonts w:ascii="Times New Roman" w:eastAsia="Times New Roman" w:hAnsi="Times New Roman" w:cs="Times New Roman"/>
          <w:color w:val="000000"/>
          <w:sz w:val="24"/>
          <w:szCs w:val="24"/>
          <w:lang w:eastAsia="nb-NO"/>
        </w:rPr>
        <w:t xml:space="preserve">benefit analysis of a sport event? </w:t>
      </w:r>
      <w:r w:rsidRPr="00433AE7">
        <w:rPr>
          <w:rFonts w:ascii="Times New Roman" w:eastAsia="Times New Roman" w:hAnsi="Times New Roman" w:cs="Times New Roman"/>
          <w:i/>
          <w:color w:val="000000"/>
          <w:sz w:val="24"/>
          <w:szCs w:val="24"/>
          <w:lang w:eastAsia="nb-NO"/>
        </w:rPr>
        <w:t>European Sport Management Quarterly</w:t>
      </w:r>
      <w:r w:rsidRPr="00433AE7">
        <w:rPr>
          <w:rFonts w:ascii="Times New Roman" w:eastAsia="Times New Roman" w:hAnsi="Times New Roman" w:cs="Times New Roman"/>
          <w:color w:val="000000"/>
          <w:sz w:val="24"/>
          <w:szCs w:val="24"/>
          <w:lang w:eastAsia="nb-NO"/>
        </w:rPr>
        <w:t>, 5(2), 133—142.</w:t>
      </w:r>
    </w:p>
    <w:p w14:paraId="61C6579E" w14:textId="77777777" w:rsidR="001A72AA" w:rsidRDefault="001A72AA" w:rsidP="001A72AA">
      <w:pPr>
        <w:autoSpaceDE w:val="0"/>
        <w:autoSpaceDN w:val="0"/>
        <w:adjustRightInd w:val="0"/>
        <w:spacing w:after="0" w:line="360" w:lineRule="auto"/>
        <w:ind w:left="709" w:right="-468" w:hanging="709"/>
        <w:jc w:val="both"/>
        <w:rPr>
          <w:rFonts w:ascii="Times New Roman" w:eastAsia="Times New Roman" w:hAnsi="Times New Roman" w:cs="Times New Roman"/>
          <w:color w:val="000000"/>
          <w:sz w:val="24"/>
          <w:szCs w:val="24"/>
          <w:lang w:eastAsia="nb-NO"/>
        </w:rPr>
      </w:pPr>
      <w:r w:rsidRPr="00433AE7">
        <w:rPr>
          <w:rFonts w:ascii="Times New Roman" w:eastAsia="Times New Roman" w:hAnsi="Times New Roman" w:cs="Times New Roman"/>
          <w:color w:val="000000"/>
          <w:sz w:val="24"/>
          <w:szCs w:val="24"/>
          <w:lang w:eastAsia="nb-NO"/>
        </w:rPr>
        <w:t>Kwiatowski</w:t>
      </w:r>
      <w:r>
        <w:rPr>
          <w:rFonts w:ascii="Times New Roman" w:eastAsia="Times New Roman" w:hAnsi="Times New Roman" w:cs="Times New Roman"/>
          <w:color w:val="000000"/>
          <w:sz w:val="24"/>
          <w:szCs w:val="24"/>
          <w:lang w:eastAsia="nb-NO"/>
        </w:rPr>
        <w:t>, G. (2016).</w:t>
      </w:r>
      <w:r w:rsidRPr="001A72AA">
        <w:rPr>
          <w:rFonts w:ascii="Times New Roman" w:eastAsia="Times New Roman" w:hAnsi="Times New Roman" w:cs="Times New Roman"/>
          <w:color w:val="000000"/>
          <w:sz w:val="24"/>
          <w:szCs w:val="24"/>
          <w:lang w:eastAsia="nb-NO"/>
        </w:rPr>
        <w:t xml:space="preserve"> Economic Impact of Event Attendees' Spending On a Host Region: A Review of the Research</w:t>
      </w:r>
      <w:r>
        <w:rPr>
          <w:rFonts w:ascii="Times New Roman" w:eastAsia="Times New Roman" w:hAnsi="Times New Roman" w:cs="Times New Roman"/>
          <w:color w:val="000000"/>
          <w:sz w:val="24"/>
          <w:szCs w:val="24"/>
          <w:lang w:eastAsia="nb-NO"/>
        </w:rPr>
        <w:t xml:space="preserve">. </w:t>
      </w:r>
      <w:r w:rsidRPr="001A72AA">
        <w:rPr>
          <w:rFonts w:ascii="Times New Roman" w:eastAsia="Times New Roman" w:hAnsi="Times New Roman" w:cs="Times New Roman"/>
          <w:i/>
          <w:color w:val="000000"/>
          <w:sz w:val="24"/>
          <w:szCs w:val="24"/>
          <w:lang w:eastAsia="nb-NO"/>
        </w:rPr>
        <w:t>Event Management</w:t>
      </w:r>
      <w:r>
        <w:rPr>
          <w:rFonts w:ascii="Times New Roman" w:eastAsia="Times New Roman" w:hAnsi="Times New Roman" w:cs="Times New Roman"/>
          <w:color w:val="000000"/>
          <w:sz w:val="24"/>
          <w:szCs w:val="24"/>
          <w:lang w:eastAsia="nb-NO"/>
        </w:rPr>
        <w:t xml:space="preserve">, </w:t>
      </w:r>
      <w:r w:rsidRPr="001A72AA">
        <w:rPr>
          <w:rFonts w:ascii="Times New Roman" w:eastAsia="Times New Roman" w:hAnsi="Times New Roman" w:cs="Times New Roman"/>
          <w:color w:val="000000"/>
          <w:sz w:val="24"/>
          <w:szCs w:val="24"/>
          <w:lang w:eastAsia="nb-NO"/>
        </w:rPr>
        <w:t>20</w:t>
      </w:r>
      <w:r>
        <w:rPr>
          <w:rFonts w:ascii="Times New Roman" w:eastAsia="Times New Roman" w:hAnsi="Times New Roman" w:cs="Times New Roman"/>
          <w:color w:val="000000"/>
          <w:sz w:val="24"/>
          <w:szCs w:val="24"/>
          <w:lang w:eastAsia="nb-NO"/>
        </w:rPr>
        <w:t>(</w:t>
      </w:r>
      <w:r w:rsidRPr="001A72AA">
        <w:rPr>
          <w:rFonts w:ascii="Times New Roman" w:eastAsia="Times New Roman" w:hAnsi="Times New Roman" w:cs="Times New Roman"/>
          <w:color w:val="000000"/>
          <w:sz w:val="24"/>
          <w:szCs w:val="24"/>
          <w:lang w:eastAsia="nb-NO"/>
        </w:rPr>
        <w:t>4</w:t>
      </w:r>
      <w:r>
        <w:rPr>
          <w:rFonts w:ascii="Times New Roman" w:eastAsia="Times New Roman" w:hAnsi="Times New Roman" w:cs="Times New Roman"/>
          <w:color w:val="000000"/>
          <w:sz w:val="24"/>
          <w:szCs w:val="24"/>
          <w:lang w:eastAsia="nb-NO"/>
        </w:rPr>
        <w:t xml:space="preserve">), </w:t>
      </w:r>
      <w:r w:rsidRPr="001A72AA">
        <w:rPr>
          <w:rFonts w:ascii="Times New Roman" w:eastAsia="Times New Roman" w:hAnsi="Times New Roman" w:cs="Times New Roman"/>
          <w:color w:val="000000"/>
          <w:sz w:val="24"/>
          <w:szCs w:val="24"/>
          <w:lang w:eastAsia="nb-NO"/>
        </w:rPr>
        <w:t>501-515</w:t>
      </w:r>
    </w:p>
    <w:p w14:paraId="111C45E8" w14:textId="77777777" w:rsidR="00A548E8" w:rsidRPr="00A548E8" w:rsidRDefault="00A548E8" w:rsidP="001A72AA">
      <w:pPr>
        <w:autoSpaceDE w:val="0"/>
        <w:autoSpaceDN w:val="0"/>
        <w:adjustRightInd w:val="0"/>
        <w:spacing w:after="0" w:line="360" w:lineRule="auto"/>
        <w:ind w:left="709" w:right="-468" w:hanging="709"/>
        <w:jc w:val="both"/>
        <w:rPr>
          <w:rFonts w:ascii="Times New Roman" w:eastAsia="Times New Roman" w:hAnsi="Times New Roman" w:cs="Times New Roman"/>
          <w:color w:val="000000"/>
          <w:sz w:val="24"/>
          <w:szCs w:val="24"/>
          <w:lang w:eastAsia="nb-NO"/>
        </w:rPr>
      </w:pPr>
      <w:r w:rsidRPr="00A548E8">
        <w:rPr>
          <w:rFonts w:ascii="Times New Roman" w:eastAsia="Times New Roman" w:hAnsi="Times New Roman" w:cs="Times New Roman"/>
          <w:color w:val="000000"/>
          <w:sz w:val="24"/>
          <w:szCs w:val="24"/>
          <w:lang w:eastAsia="nb-NO"/>
        </w:rPr>
        <w:t>Preuss</w:t>
      </w:r>
      <w:r>
        <w:rPr>
          <w:rFonts w:ascii="Times New Roman" w:eastAsia="Times New Roman" w:hAnsi="Times New Roman" w:cs="Times New Roman"/>
          <w:color w:val="000000"/>
          <w:sz w:val="24"/>
          <w:szCs w:val="24"/>
          <w:lang w:eastAsia="nb-NO"/>
        </w:rPr>
        <w:t>, H. (2005).</w:t>
      </w:r>
      <w:r w:rsidRPr="00A548E8">
        <w:rPr>
          <w:rFonts w:ascii="Times New Roman" w:eastAsia="Times New Roman" w:hAnsi="Times New Roman" w:cs="Times New Roman"/>
          <w:color w:val="000000"/>
          <w:sz w:val="24"/>
          <w:szCs w:val="24"/>
          <w:lang w:eastAsia="nb-NO"/>
        </w:rPr>
        <w:t xml:space="preserve">  The Economic Impact of Visitors at Major Multi-sport Events</w:t>
      </w:r>
      <w:r>
        <w:rPr>
          <w:rFonts w:ascii="Times New Roman" w:eastAsia="Times New Roman" w:hAnsi="Times New Roman" w:cs="Times New Roman"/>
          <w:color w:val="000000"/>
          <w:sz w:val="24"/>
          <w:szCs w:val="24"/>
          <w:lang w:eastAsia="nb-NO"/>
        </w:rPr>
        <w:t xml:space="preserve">. </w:t>
      </w:r>
      <w:r w:rsidRPr="007C2729">
        <w:rPr>
          <w:rFonts w:ascii="Times New Roman" w:eastAsia="Times New Roman" w:hAnsi="Times New Roman" w:cs="Times New Roman"/>
          <w:i/>
          <w:color w:val="000000"/>
          <w:sz w:val="24"/>
          <w:szCs w:val="24"/>
          <w:lang w:eastAsia="nb-NO"/>
        </w:rPr>
        <w:t>European Sport Management Quarterly</w:t>
      </w:r>
      <w:r>
        <w:rPr>
          <w:rFonts w:ascii="Times New Roman" w:eastAsia="Times New Roman" w:hAnsi="Times New Roman" w:cs="Times New Roman"/>
          <w:color w:val="000000"/>
          <w:sz w:val="24"/>
          <w:szCs w:val="24"/>
          <w:lang w:eastAsia="nb-NO"/>
        </w:rPr>
        <w:t>. 5(3), 281-301</w:t>
      </w:r>
    </w:p>
    <w:p w14:paraId="04B29247" w14:textId="77777777" w:rsidR="006A597C" w:rsidRPr="00433AE7" w:rsidRDefault="006A597C" w:rsidP="001A72AA">
      <w:pPr>
        <w:autoSpaceDE w:val="0"/>
        <w:autoSpaceDN w:val="0"/>
        <w:adjustRightInd w:val="0"/>
        <w:spacing w:after="0" w:line="360" w:lineRule="auto"/>
        <w:ind w:left="709" w:right="-468" w:hanging="709"/>
        <w:jc w:val="both"/>
        <w:rPr>
          <w:rFonts w:ascii="Times New Roman" w:eastAsia="Times New Roman" w:hAnsi="Times New Roman" w:cs="Times New Roman"/>
          <w:color w:val="000000"/>
          <w:sz w:val="24"/>
          <w:szCs w:val="24"/>
          <w:lang w:eastAsia="nb-NO"/>
        </w:rPr>
      </w:pPr>
      <w:r w:rsidRPr="00A548E8">
        <w:rPr>
          <w:rFonts w:ascii="Times New Roman" w:eastAsia="Times New Roman" w:hAnsi="Times New Roman" w:cs="Times New Roman"/>
          <w:color w:val="000000"/>
          <w:sz w:val="24"/>
          <w:szCs w:val="24"/>
          <w:lang w:eastAsia="nb-NO"/>
        </w:rPr>
        <w:t>Solberg, H</w:t>
      </w:r>
      <w:r w:rsidR="001A72AA" w:rsidRPr="00A548E8">
        <w:rPr>
          <w:rFonts w:ascii="Times New Roman" w:eastAsia="Times New Roman" w:hAnsi="Times New Roman" w:cs="Times New Roman"/>
          <w:color w:val="000000"/>
          <w:sz w:val="24"/>
          <w:szCs w:val="24"/>
          <w:lang w:eastAsia="nb-NO"/>
        </w:rPr>
        <w:t xml:space="preserve">. </w:t>
      </w:r>
      <w:r w:rsidRPr="00A548E8">
        <w:rPr>
          <w:rFonts w:ascii="Times New Roman" w:eastAsia="Times New Roman" w:hAnsi="Times New Roman" w:cs="Times New Roman"/>
          <w:color w:val="000000"/>
          <w:sz w:val="24"/>
          <w:szCs w:val="24"/>
          <w:lang w:eastAsia="nb-NO"/>
        </w:rPr>
        <w:t>A</w:t>
      </w:r>
      <w:r w:rsidR="001A72AA" w:rsidRPr="00A548E8">
        <w:rPr>
          <w:rFonts w:ascii="Times New Roman" w:eastAsia="Times New Roman" w:hAnsi="Times New Roman" w:cs="Times New Roman"/>
          <w:color w:val="000000"/>
          <w:sz w:val="24"/>
          <w:szCs w:val="24"/>
          <w:lang w:eastAsia="nb-NO"/>
        </w:rPr>
        <w:t>.</w:t>
      </w:r>
      <w:r w:rsidRPr="00A548E8">
        <w:rPr>
          <w:rFonts w:ascii="Times New Roman" w:eastAsia="Times New Roman" w:hAnsi="Times New Roman" w:cs="Times New Roman"/>
          <w:color w:val="000000"/>
          <w:sz w:val="24"/>
          <w:szCs w:val="24"/>
          <w:lang w:eastAsia="nb-NO"/>
        </w:rPr>
        <w:t xml:space="preserve"> &amp; Preuss, H</w:t>
      </w:r>
      <w:r w:rsidR="001A72AA" w:rsidRPr="00A548E8">
        <w:rPr>
          <w:rFonts w:ascii="Times New Roman" w:eastAsia="Times New Roman" w:hAnsi="Times New Roman" w:cs="Times New Roman"/>
          <w:color w:val="000000"/>
          <w:sz w:val="24"/>
          <w:szCs w:val="24"/>
          <w:lang w:eastAsia="nb-NO"/>
        </w:rPr>
        <w:t xml:space="preserve">. </w:t>
      </w:r>
      <w:r w:rsidRPr="00A548E8">
        <w:rPr>
          <w:rFonts w:ascii="Times New Roman" w:eastAsia="Times New Roman" w:hAnsi="Times New Roman" w:cs="Times New Roman"/>
          <w:color w:val="000000"/>
          <w:sz w:val="24"/>
          <w:szCs w:val="24"/>
          <w:lang w:eastAsia="nb-NO"/>
        </w:rPr>
        <w:t xml:space="preserve">(2015). </w:t>
      </w:r>
      <w:r w:rsidRPr="00433AE7">
        <w:rPr>
          <w:rFonts w:ascii="Times New Roman" w:eastAsia="Times New Roman" w:hAnsi="Times New Roman" w:cs="Times New Roman"/>
          <w:color w:val="000000"/>
          <w:sz w:val="24"/>
          <w:szCs w:val="24"/>
          <w:lang w:eastAsia="nb-NO"/>
        </w:rPr>
        <w:t xml:space="preserve">Major sports events – The challenge of budgeting the venues. </w:t>
      </w:r>
      <w:r w:rsidRPr="00433AE7">
        <w:rPr>
          <w:rFonts w:ascii="Times New Roman" w:eastAsia="Times New Roman" w:hAnsi="Times New Roman" w:cs="Times New Roman"/>
          <w:i/>
          <w:color w:val="000000"/>
          <w:sz w:val="24"/>
          <w:szCs w:val="24"/>
          <w:lang w:eastAsia="nb-NO"/>
        </w:rPr>
        <w:t>Event Management</w:t>
      </w:r>
      <w:r w:rsidRPr="00433AE7">
        <w:rPr>
          <w:rFonts w:ascii="Times New Roman" w:eastAsia="Times New Roman" w:hAnsi="Times New Roman" w:cs="Times New Roman"/>
          <w:color w:val="000000"/>
          <w:sz w:val="24"/>
          <w:szCs w:val="24"/>
          <w:lang w:eastAsia="nb-NO"/>
        </w:rPr>
        <w:t>. 19</w:t>
      </w:r>
      <w:r w:rsidR="001A72AA">
        <w:rPr>
          <w:rFonts w:ascii="Times New Roman" w:eastAsia="Times New Roman" w:hAnsi="Times New Roman" w:cs="Times New Roman"/>
          <w:color w:val="000000"/>
          <w:sz w:val="24"/>
          <w:szCs w:val="24"/>
          <w:lang w:eastAsia="nb-NO"/>
        </w:rPr>
        <w:t>(3)</w:t>
      </w:r>
      <w:r w:rsidRPr="00433AE7">
        <w:rPr>
          <w:rFonts w:ascii="Times New Roman" w:eastAsia="Times New Roman" w:hAnsi="Times New Roman" w:cs="Times New Roman"/>
          <w:color w:val="000000"/>
          <w:sz w:val="24"/>
          <w:szCs w:val="24"/>
          <w:lang w:eastAsia="nb-NO"/>
        </w:rPr>
        <w:t>, 349-363</w:t>
      </w:r>
    </w:p>
    <w:p w14:paraId="51A25BB9" w14:textId="77777777" w:rsidR="001F031D" w:rsidRPr="00197DFD" w:rsidRDefault="001F031D" w:rsidP="001A72AA">
      <w:pPr>
        <w:spacing w:line="360" w:lineRule="auto"/>
        <w:ind w:left="709" w:hanging="709"/>
        <w:rPr>
          <w:rFonts w:ascii="Times New Roman" w:hAnsi="Times New Roman" w:cs="Times New Roman"/>
          <w:sz w:val="24"/>
          <w:szCs w:val="24"/>
        </w:rPr>
      </w:pPr>
      <w:r w:rsidRPr="00433AE7">
        <w:rPr>
          <w:rFonts w:ascii="Times New Roman" w:hAnsi="Times New Roman" w:cs="Times New Roman"/>
          <w:sz w:val="24"/>
          <w:szCs w:val="24"/>
        </w:rPr>
        <w:t xml:space="preserve">Zimbalist, A. (2015). </w:t>
      </w:r>
      <w:r w:rsidRPr="00433AE7">
        <w:rPr>
          <w:rFonts w:ascii="Times New Roman" w:hAnsi="Times New Roman" w:cs="Times New Roman"/>
          <w:i/>
          <w:sz w:val="24"/>
          <w:szCs w:val="24"/>
        </w:rPr>
        <w:t>Circus Maximus. The economic gamble behind hosting the Olympics and the World Cup.</w:t>
      </w:r>
      <w:r w:rsidRPr="00433AE7">
        <w:rPr>
          <w:rFonts w:ascii="Times New Roman" w:hAnsi="Times New Roman" w:cs="Times New Roman"/>
          <w:sz w:val="24"/>
          <w:szCs w:val="24"/>
        </w:rPr>
        <w:t xml:space="preserve"> </w:t>
      </w:r>
      <w:r w:rsidRPr="00197DFD">
        <w:rPr>
          <w:rFonts w:ascii="Times New Roman" w:hAnsi="Times New Roman" w:cs="Times New Roman"/>
          <w:sz w:val="24"/>
          <w:szCs w:val="24"/>
        </w:rPr>
        <w:t xml:space="preserve">Brooking Institution Press: Washington DC. </w:t>
      </w:r>
    </w:p>
    <w:p w14:paraId="5CA5AF4F" w14:textId="77777777" w:rsidR="002D111A" w:rsidRPr="00197DFD" w:rsidRDefault="002D111A" w:rsidP="005F345A">
      <w:pPr>
        <w:rPr>
          <w:rFonts w:ascii="Times New Roman" w:hAnsi="Times New Roman" w:cs="Times New Roman"/>
          <w:color w:val="FF0000"/>
          <w:sz w:val="24"/>
          <w:szCs w:val="24"/>
        </w:rPr>
      </w:pPr>
    </w:p>
    <w:p w14:paraId="5B434124" w14:textId="77777777" w:rsidR="002D111A" w:rsidRPr="00197DFD" w:rsidRDefault="002D111A" w:rsidP="005F345A">
      <w:pPr>
        <w:rPr>
          <w:rFonts w:ascii="Times New Roman" w:hAnsi="Times New Roman" w:cs="Times New Roman"/>
          <w:color w:val="FF0000"/>
          <w:sz w:val="24"/>
          <w:szCs w:val="24"/>
        </w:rPr>
      </w:pPr>
    </w:p>
    <w:sectPr w:rsidR="002D111A" w:rsidRPr="00197DFD" w:rsidSect="00C81921">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9DE22" w14:textId="77777777" w:rsidR="00D50513" w:rsidRDefault="00D50513" w:rsidP="00AE2C70">
      <w:pPr>
        <w:spacing w:after="0" w:line="240" w:lineRule="auto"/>
      </w:pPr>
      <w:r>
        <w:separator/>
      </w:r>
    </w:p>
  </w:endnote>
  <w:endnote w:type="continuationSeparator" w:id="0">
    <w:p w14:paraId="07624ECC" w14:textId="77777777" w:rsidR="00D50513" w:rsidRDefault="00D50513" w:rsidP="00AE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432940"/>
      <w:docPartObj>
        <w:docPartGallery w:val="Page Numbers (Bottom of Page)"/>
        <w:docPartUnique/>
      </w:docPartObj>
    </w:sdtPr>
    <w:sdtEndPr/>
    <w:sdtContent>
      <w:p w14:paraId="2CB1EEAF" w14:textId="71EDE698" w:rsidR="002062AB" w:rsidRDefault="002062AB">
        <w:pPr>
          <w:pStyle w:val="Bunntekst"/>
          <w:jc w:val="center"/>
        </w:pPr>
        <w:r>
          <w:fldChar w:fldCharType="begin"/>
        </w:r>
        <w:r>
          <w:instrText>PAGE   \* MERGEFORMAT</w:instrText>
        </w:r>
        <w:r>
          <w:fldChar w:fldCharType="separate"/>
        </w:r>
        <w:r w:rsidR="00F72B99" w:rsidRPr="00F72B99">
          <w:rPr>
            <w:noProof/>
            <w:lang w:val="nb-NO"/>
          </w:rPr>
          <w:t>18</w:t>
        </w:r>
        <w:r>
          <w:fldChar w:fldCharType="end"/>
        </w:r>
      </w:p>
    </w:sdtContent>
  </w:sdt>
  <w:p w14:paraId="411E6992" w14:textId="77777777" w:rsidR="002062AB" w:rsidRDefault="002062A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1B3F" w14:textId="77777777" w:rsidR="00D50513" w:rsidRDefault="00D50513" w:rsidP="00AE2C70">
      <w:pPr>
        <w:spacing w:after="0" w:line="240" w:lineRule="auto"/>
      </w:pPr>
      <w:r>
        <w:separator/>
      </w:r>
    </w:p>
  </w:footnote>
  <w:footnote w:type="continuationSeparator" w:id="0">
    <w:p w14:paraId="1A68FC37" w14:textId="77777777" w:rsidR="00D50513" w:rsidRDefault="00D50513" w:rsidP="00AE2C70">
      <w:pPr>
        <w:spacing w:after="0" w:line="240" w:lineRule="auto"/>
      </w:pPr>
      <w:r>
        <w:continuationSeparator/>
      </w:r>
    </w:p>
  </w:footnote>
  <w:footnote w:id="1">
    <w:p w14:paraId="37CD947F" w14:textId="77777777" w:rsidR="002062AB" w:rsidRPr="00757A39" w:rsidRDefault="002062AB">
      <w:pPr>
        <w:pStyle w:val="Fotnotetekst"/>
        <w:rPr>
          <w:lang w:val="nb-NO"/>
        </w:rPr>
      </w:pPr>
      <w:r>
        <w:rPr>
          <w:rStyle w:val="Fotnotereferanse"/>
        </w:rPr>
        <w:footnoteRef/>
      </w:r>
      <w:hyperlink r:id="rId1" w:history="1">
        <w:r w:rsidRPr="00757A39">
          <w:rPr>
            <w:rStyle w:val="Hyperkobling"/>
            <w:lang w:val="nb-NO"/>
          </w:rPr>
          <w:t>http://www.vg.no/sport/ol-2018/sier-nei-til-ol/a/537770/</w:t>
        </w:r>
      </w:hyperlink>
    </w:p>
    <w:p w14:paraId="64C69869" w14:textId="77777777" w:rsidR="002062AB" w:rsidRPr="00757A39" w:rsidRDefault="002062AB">
      <w:pPr>
        <w:pStyle w:val="Fotnotetekst"/>
        <w:rPr>
          <w:lang w:val="nb-NO"/>
        </w:rPr>
      </w:pPr>
      <w:r w:rsidRPr="00757A39">
        <w:rPr>
          <w:lang w:val="nb-NO"/>
        </w:rPr>
        <w:t xml:space="preserve"> </w:t>
      </w:r>
    </w:p>
  </w:footnote>
  <w:footnote w:id="2">
    <w:p w14:paraId="192BF1A3" w14:textId="0CEA41CE" w:rsidR="000216FB" w:rsidRPr="000216FB" w:rsidRDefault="000216FB" w:rsidP="000216FB">
      <w:pPr>
        <w:pStyle w:val="Fotnotetekst"/>
        <w:rPr>
          <w:lang w:val="nb-NO"/>
        </w:rPr>
      </w:pPr>
      <w:r w:rsidRPr="000216FB">
        <w:rPr>
          <w:rStyle w:val="Fotnotereferanse"/>
        </w:rPr>
        <w:footnoteRef/>
      </w:r>
      <w:r w:rsidRPr="000216FB">
        <w:rPr>
          <w:lang w:val="nb-NO"/>
        </w:rPr>
        <w:t xml:space="preserve"> </w:t>
      </w:r>
      <w:hyperlink r:id="rId2" w:history="1">
        <w:r w:rsidRPr="000216FB">
          <w:rPr>
            <w:rFonts w:cs="Arial"/>
            <w:lang w:val="nb-NO"/>
          </w:rPr>
          <w:t>http://www.custompublish.com/getfile.php/2988543.1308.trxqxewset/Sluttrapport+Sjakk-OL+2007-2014.docx?force=1&amp;3&amp;</w:t>
        </w:r>
      </w:hyperlink>
    </w:p>
  </w:footnote>
  <w:footnote w:id="3">
    <w:p w14:paraId="599D568B" w14:textId="77777777" w:rsidR="000216FB" w:rsidRPr="00DF0536" w:rsidRDefault="000216FB" w:rsidP="000216FB">
      <w:pPr>
        <w:pStyle w:val="Fotnotetekst"/>
        <w:rPr>
          <w:lang w:val="nb-NO"/>
        </w:rPr>
      </w:pPr>
      <w:r>
        <w:rPr>
          <w:rStyle w:val="Fotnotereferanse"/>
        </w:rPr>
        <w:footnoteRef/>
      </w:r>
      <w:r w:rsidRPr="00DF0536">
        <w:rPr>
          <w:lang w:val="nb-NO"/>
        </w:rPr>
        <w:t xml:space="preserve"> </w:t>
      </w:r>
      <w:r w:rsidRPr="00E23393">
        <w:rPr>
          <w:lang w:val="nb-NO"/>
        </w:rPr>
        <w:t>http://www.custompublish.com/getfile.php/2989129.1308.ddbefrtvvv/Verdivurdering+av+Sjakk-OL.pdf?force=1&amp;3&amp;</w:t>
      </w:r>
    </w:p>
  </w:footnote>
  <w:footnote w:id="4">
    <w:p w14:paraId="31D1F0E7" w14:textId="77777777" w:rsidR="002062AB" w:rsidRPr="00232875" w:rsidRDefault="002062AB">
      <w:pPr>
        <w:pStyle w:val="Fotnotetekst"/>
        <w:rPr>
          <w:lang w:val="nb-NO"/>
        </w:rPr>
      </w:pPr>
      <w:r>
        <w:rPr>
          <w:rStyle w:val="Fotnotereferanse"/>
        </w:rPr>
        <w:footnoteRef/>
      </w:r>
      <w:r w:rsidRPr="00232875">
        <w:rPr>
          <w:lang w:val="nb-NO"/>
        </w:rPr>
        <w:t xml:space="preserve"> http://www.innovasjonnorge.no/no/reiseliv/markedsdata---ny/turistunders</w:t>
      </w:r>
      <w:r>
        <w:rPr>
          <w:lang w:val="nb-NO"/>
        </w:rPr>
        <w:t>ø</w:t>
      </w:r>
      <w:r w:rsidRPr="00232875">
        <w:rPr>
          <w:lang w:val="nb-NO"/>
        </w:rPr>
        <w:t>kelsen/</w:t>
      </w:r>
    </w:p>
  </w:footnote>
  <w:footnote w:id="5">
    <w:p w14:paraId="2FD314C9" w14:textId="77777777" w:rsidR="002062AB" w:rsidRPr="00D405C2" w:rsidRDefault="002062AB">
      <w:pPr>
        <w:pStyle w:val="Fotnotetekst"/>
        <w:rPr>
          <w:lang w:val="nb-NO"/>
        </w:rPr>
      </w:pPr>
      <w:r>
        <w:rPr>
          <w:rStyle w:val="Fotnotereferanse"/>
        </w:rPr>
        <w:footnoteRef/>
      </w:r>
      <w:r w:rsidRPr="00D405C2">
        <w:rPr>
          <w:lang w:val="nb-NO"/>
        </w:rPr>
        <w:t xml:space="preserve"> http://statistikknett.no/reiseliv/basistabeller/mnd.aspx</w:t>
      </w:r>
    </w:p>
  </w:footnote>
  <w:footnote w:id="6">
    <w:p w14:paraId="24C5E763" w14:textId="77777777" w:rsidR="002062AB" w:rsidRPr="00D33C41" w:rsidRDefault="002062AB">
      <w:pPr>
        <w:pStyle w:val="Fotnotetekst"/>
        <w:rPr>
          <w:lang w:val="nb-NO"/>
        </w:rPr>
      </w:pPr>
      <w:r>
        <w:rPr>
          <w:rStyle w:val="Fotnotereferanse"/>
        </w:rPr>
        <w:footnoteRef/>
      </w:r>
      <w:r w:rsidRPr="00D33C41">
        <w:rPr>
          <w:lang w:val="nb-NO"/>
        </w:rPr>
        <w:t xml:space="preserve"> </w:t>
      </w:r>
      <w:r>
        <w:rPr>
          <w:lang w:val="nb-NO"/>
        </w:rPr>
        <w:t xml:space="preserve">Tallene er egne estimater basert på data levert av Innovasjon Norge </w:t>
      </w:r>
    </w:p>
  </w:footnote>
  <w:footnote w:id="7">
    <w:p w14:paraId="574A81B4" w14:textId="77777777" w:rsidR="002062AB" w:rsidRPr="004B3B8D" w:rsidRDefault="002062AB" w:rsidP="004B3B8D">
      <w:pPr>
        <w:pStyle w:val="Fotnotetekst"/>
        <w:rPr>
          <w:lang w:val="nb-NO"/>
        </w:rPr>
      </w:pPr>
      <w:r>
        <w:rPr>
          <w:rStyle w:val="Fotnotereferanse"/>
        </w:rPr>
        <w:footnoteRef/>
      </w:r>
      <w:r w:rsidRPr="004B3B8D">
        <w:rPr>
          <w:lang w:val="nb-NO"/>
        </w:rPr>
        <w:t xml:space="preserve"> Turismerelatert varehandel er her definert til følgende næringsgrupper; butikkhandel (nace471), nærings- og nytelsesmidler (nace472), drivstoff til motorvogner (nace473), bøker, musikk, sportsartikler etc. </w:t>
      </w:r>
      <w:r w:rsidRPr="00D405C2">
        <w:rPr>
          <w:lang w:val="nb-NO"/>
        </w:rPr>
        <w:t>(nace476) og annet (nace477).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1E64"/>
    <w:multiLevelType w:val="hybridMultilevel"/>
    <w:tmpl w:val="D6702394"/>
    <w:lvl w:ilvl="0" w:tplc="729E809E">
      <w:start w:val="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E07299"/>
    <w:multiLevelType w:val="hybridMultilevel"/>
    <w:tmpl w:val="309E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63224"/>
    <w:multiLevelType w:val="hybridMultilevel"/>
    <w:tmpl w:val="A0DCAA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F247E9"/>
    <w:multiLevelType w:val="hybridMultilevel"/>
    <w:tmpl w:val="A69ADFD6"/>
    <w:lvl w:ilvl="0" w:tplc="B7C0C1F2">
      <w:start w:val="1"/>
      <w:numFmt w:val="decimal"/>
      <w:lvlText w:val="%1."/>
      <w:lvlJc w:val="left"/>
      <w:pPr>
        <w:tabs>
          <w:tab w:val="num" w:pos="720"/>
        </w:tabs>
        <w:ind w:left="720" w:hanging="360"/>
      </w:pPr>
      <w:rPr>
        <w:rFonts w:hint="default"/>
        <w:lang w:val="en-US"/>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F">
      <w:start w:val="1"/>
      <w:numFmt w:val="decimal"/>
      <w:lvlText w:val="%4."/>
      <w:lvlJc w:val="left"/>
      <w:pPr>
        <w:tabs>
          <w:tab w:val="num" w:pos="2880"/>
        </w:tabs>
        <w:ind w:left="2880" w:hanging="360"/>
      </w:pPr>
      <w:rPr>
        <w:rFonts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DB708D"/>
    <w:multiLevelType w:val="hybridMultilevel"/>
    <w:tmpl w:val="8D0EC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F6A6A93"/>
    <w:multiLevelType w:val="hybridMultilevel"/>
    <w:tmpl w:val="B48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 Martin Denstadli">
    <w15:presenceInfo w15:providerId="AD" w15:userId="S-1-5-21-3959417778-1711865379-3952174976-211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8E"/>
    <w:rsid w:val="00001D14"/>
    <w:rsid w:val="00004620"/>
    <w:rsid w:val="0000494D"/>
    <w:rsid w:val="00015554"/>
    <w:rsid w:val="000216FB"/>
    <w:rsid w:val="00023734"/>
    <w:rsid w:val="000269AE"/>
    <w:rsid w:val="00026F8B"/>
    <w:rsid w:val="00047755"/>
    <w:rsid w:val="00051653"/>
    <w:rsid w:val="00062412"/>
    <w:rsid w:val="000660D7"/>
    <w:rsid w:val="00066FEB"/>
    <w:rsid w:val="000707BC"/>
    <w:rsid w:val="00070B06"/>
    <w:rsid w:val="0007517D"/>
    <w:rsid w:val="0008295F"/>
    <w:rsid w:val="00084794"/>
    <w:rsid w:val="00087B14"/>
    <w:rsid w:val="000A002A"/>
    <w:rsid w:val="000A1E1D"/>
    <w:rsid w:val="000A3D6A"/>
    <w:rsid w:val="000A6F60"/>
    <w:rsid w:val="000B0112"/>
    <w:rsid w:val="000B3FBB"/>
    <w:rsid w:val="000B4665"/>
    <w:rsid w:val="000B7585"/>
    <w:rsid w:val="000C58F8"/>
    <w:rsid w:val="000C7260"/>
    <w:rsid w:val="00103E58"/>
    <w:rsid w:val="001134A6"/>
    <w:rsid w:val="00114D9E"/>
    <w:rsid w:val="0012469A"/>
    <w:rsid w:val="00131AF5"/>
    <w:rsid w:val="00132BB2"/>
    <w:rsid w:val="001350B6"/>
    <w:rsid w:val="001350B9"/>
    <w:rsid w:val="00135F70"/>
    <w:rsid w:val="0014171B"/>
    <w:rsid w:val="001419D5"/>
    <w:rsid w:val="00145520"/>
    <w:rsid w:val="001549F3"/>
    <w:rsid w:val="00164CB6"/>
    <w:rsid w:val="00167B1D"/>
    <w:rsid w:val="00167D58"/>
    <w:rsid w:val="001803EB"/>
    <w:rsid w:val="00181DB2"/>
    <w:rsid w:val="00184208"/>
    <w:rsid w:val="001874E9"/>
    <w:rsid w:val="00197DFD"/>
    <w:rsid w:val="001A72AA"/>
    <w:rsid w:val="001B2AAD"/>
    <w:rsid w:val="001B7DBE"/>
    <w:rsid w:val="001C043D"/>
    <w:rsid w:val="001C29E1"/>
    <w:rsid w:val="001D291F"/>
    <w:rsid w:val="001E0538"/>
    <w:rsid w:val="001E0891"/>
    <w:rsid w:val="001E288B"/>
    <w:rsid w:val="001E45F2"/>
    <w:rsid w:val="001E4870"/>
    <w:rsid w:val="001E53F5"/>
    <w:rsid w:val="001E68D5"/>
    <w:rsid w:val="001F031D"/>
    <w:rsid w:val="001F0C30"/>
    <w:rsid w:val="001F575D"/>
    <w:rsid w:val="001F6662"/>
    <w:rsid w:val="00205BC1"/>
    <w:rsid w:val="002062AB"/>
    <w:rsid w:val="00220A0E"/>
    <w:rsid w:val="00221F62"/>
    <w:rsid w:val="0022592B"/>
    <w:rsid w:val="00226665"/>
    <w:rsid w:val="00232875"/>
    <w:rsid w:val="00234CEA"/>
    <w:rsid w:val="00242A87"/>
    <w:rsid w:val="00264DB4"/>
    <w:rsid w:val="0027189C"/>
    <w:rsid w:val="00275478"/>
    <w:rsid w:val="002775D4"/>
    <w:rsid w:val="00280372"/>
    <w:rsid w:val="00282D92"/>
    <w:rsid w:val="0029081A"/>
    <w:rsid w:val="002A5991"/>
    <w:rsid w:val="002A7F59"/>
    <w:rsid w:val="002B532D"/>
    <w:rsid w:val="002B5E99"/>
    <w:rsid w:val="002C2306"/>
    <w:rsid w:val="002C6862"/>
    <w:rsid w:val="002C7DDA"/>
    <w:rsid w:val="002D111A"/>
    <w:rsid w:val="002F4D89"/>
    <w:rsid w:val="002F640B"/>
    <w:rsid w:val="00304AB2"/>
    <w:rsid w:val="0030648A"/>
    <w:rsid w:val="0031236C"/>
    <w:rsid w:val="003147E6"/>
    <w:rsid w:val="00316DB0"/>
    <w:rsid w:val="003173A4"/>
    <w:rsid w:val="00322DD0"/>
    <w:rsid w:val="0032552F"/>
    <w:rsid w:val="003257A5"/>
    <w:rsid w:val="0032633C"/>
    <w:rsid w:val="0033085A"/>
    <w:rsid w:val="00333936"/>
    <w:rsid w:val="00340EDF"/>
    <w:rsid w:val="003439D3"/>
    <w:rsid w:val="00355943"/>
    <w:rsid w:val="0036595D"/>
    <w:rsid w:val="00371482"/>
    <w:rsid w:val="00371DDB"/>
    <w:rsid w:val="00372FE3"/>
    <w:rsid w:val="0037394F"/>
    <w:rsid w:val="003751A2"/>
    <w:rsid w:val="003865D6"/>
    <w:rsid w:val="003A452B"/>
    <w:rsid w:val="003B00C0"/>
    <w:rsid w:val="003B0216"/>
    <w:rsid w:val="003B10FE"/>
    <w:rsid w:val="003B2B01"/>
    <w:rsid w:val="003B48C3"/>
    <w:rsid w:val="003B7F1B"/>
    <w:rsid w:val="003C6ADA"/>
    <w:rsid w:val="003D6F5F"/>
    <w:rsid w:val="003E3CC9"/>
    <w:rsid w:val="003E6BA3"/>
    <w:rsid w:val="003E74D3"/>
    <w:rsid w:val="003F45CE"/>
    <w:rsid w:val="003F4DC1"/>
    <w:rsid w:val="003F5A55"/>
    <w:rsid w:val="003F7E38"/>
    <w:rsid w:val="004058B3"/>
    <w:rsid w:val="00406E7D"/>
    <w:rsid w:val="00407BDB"/>
    <w:rsid w:val="004142BE"/>
    <w:rsid w:val="00425D27"/>
    <w:rsid w:val="0043374D"/>
    <w:rsid w:val="00433AE7"/>
    <w:rsid w:val="004531A3"/>
    <w:rsid w:val="00467C6E"/>
    <w:rsid w:val="00472969"/>
    <w:rsid w:val="00473BC8"/>
    <w:rsid w:val="00482F98"/>
    <w:rsid w:val="00483E18"/>
    <w:rsid w:val="0048706A"/>
    <w:rsid w:val="004933F0"/>
    <w:rsid w:val="00493647"/>
    <w:rsid w:val="004972CA"/>
    <w:rsid w:val="004A1257"/>
    <w:rsid w:val="004A5689"/>
    <w:rsid w:val="004A618F"/>
    <w:rsid w:val="004B2290"/>
    <w:rsid w:val="004B3B8D"/>
    <w:rsid w:val="004C2A08"/>
    <w:rsid w:val="004C2E5E"/>
    <w:rsid w:val="004C5CA9"/>
    <w:rsid w:val="004C7902"/>
    <w:rsid w:val="004D279F"/>
    <w:rsid w:val="004D6BA9"/>
    <w:rsid w:val="004D6E06"/>
    <w:rsid w:val="004E45BA"/>
    <w:rsid w:val="004F4832"/>
    <w:rsid w:val="004F520D"/>
    <w:rsid w:val="00500773"/>
    <w:rsid w:val="00500E01"/>
    <w:rsid w:val="00505300"/>
    <w:rsid w:val="00505F6F"/>
    <w:rsid w:val="00506EB8"/>
    <w:rsid w:val="00522427"/>
    <w:rsid w:val="005456CA"/>
    <w:rsid w:val="00545991"/>
    <w:rsid w:val="00545A70"/>
    <w:rsid w:val="005533C3"/>
    <w:rsid w:val="0055415B"/>
    <w:rsid w:val="00554BFB"/>
    <w:rsid w:val="00563122"/>
    <w:rsid w:val="0056639F"/>
    <w:rsid w:val="00574F75"/>
    <w:rsid w:val="0059753D"/>
    <w:rsid w:val="005A3A62"/>
    <w:rsid w:val="005B0AA7"/>
    <w:rsid w:val="005C46D3"/>
    <w:rsid w:val="005E5DDB"/>
    <w:rsid w:val="005F01FE"/>
    <w:rsid w:val="005F345A"/>
    <w:rsid w:val="005F7BC1"/>
    <w:rsid w:val="00601F5B"/>
    <w:rsid w:val="00615E3C"/>
    <w:rsid w:val="00617F61"/>
    <w:rsid w:val="006206F3"/>
    <w:rsid w:val="0062680A"/>
    <w:rsid w:val="0063040E"/>
    <w:rsid w:val="00636D11"/>
    <w:rsid w:val="0064311E"/>
    <w:rsid w:val="00645BC5"/>
    <w:rsid w:val="00650BDB"/>
    <w:rsid w:val="00653D0B"/>
    <w:rsid w:val="00654237"/>
    <w:rsid w:val="00667FE4"/>
    <w:rsid w:val="00671C83"/>
    <w:rsid w:val="00674000"/>
    <w:rsid w:val="006828DD"/>
    <w:rsid w:val="00692913"/>
    <w:rsid w:val="0069544E"/>
    <w:rsid w:val="006A597C"/>
    <w:rsid w:val="006B25EA"/>
    <w:rsid w:val="006C45AF"/>
    <w:rsid w:val="006C6FEE"/>
    <w:rsid w:val="006D26EF"/>
    <w:rsid w:val="006D3B0C"/>
    <w:rsid w:val="006E358F"/>
    <w:rsid w:val="006F32AA"/>
    <w:rsid w:val="006F3C5D"/>
    <w:rsid w:val="00711A5D"/>
    <w:rsid w:val="007148A9"/>
    <w:rsid w:val="00725F0F"/>
    <w:rsid w:val="00725F8A"/>
    <w:rsid w:val="00727776"/>
    <w:rsid w:val="00740381"/>
    <w:rsid w:val="007459EA"/>
    <w:rsid w:val="00757A39"/>
    <w:rsid w:val="007656BA"/>
    <w:rsid w:val="00766B97"/>
    <w:rsid w:val="00782752"/>
    <w:rsid w:val="007851C6"/>
    <w:rsid w:val="00786C04"/>
    <w:rsid w:val="007A0E57"/>
    <w:rsid w:val="007A274A"/>
    <w:rsid w:val="007B3182"/>
    <w:rsid w:val="007C0C0D"/>
    <w:rsid w:val="007C2729"/>
    <w:rsid w:val="007D28CE"/>
    <w:rsid w:val="0080156E"/>
    <w:rsid w:val="00804C77"/>
    <w:rsid w:val="008059D8"/>
    <w:rsid w:val="008124B6"/>
    <w:rsid w:val="00820013"/>
    <w:rsid w:val="008263A7"/>
    <w:rsid w:val="00827219"/>
    <w:rsid w:val="00832528"/>
    <w:rsid w:val="0084549C"/>
    <w:rsid w:val="008477E9"/>
    <w:rsid w:val="00850197"/>
    <w:rsid w:val="008616BB"/>
    <w:rsid w:val="00863656"/>
    <w:rsid w:val="00880E55"/>
    <w:rsid w:val="00894A4C"/>
    <w:rsid w:val="00895DD0"/>
    <w:rsid w:val="008A194B"/>
    <w:rsid w:val="008A2B59"/>
    <w:rsid w:val="008A2F6B"/>
    <w:rsid w:val="008A6911"/>
    <w:rsid w:val="008B5B36"/>
    <w:rsid w:val="008B7371"/>
    <w:rsid w:val="008C1CCF"/>
    <w:rsid w:val="008C2454"/>
    <w:rsid w:val="008C6433"/>
    <w:rsid w:val="008D6C70"/>
    <w:rsid w:val="008E15F4"/>
    <w:rsid w:val="008E1D12"/>
    <w:rsid w:val="008E28A4"/>
    <w:rsid w:val="008F18A5"/>
    <w:rsid w:val="008F489E"/>
    <w:rsid w:val="009018FD"/>
    <w:rsid w:val="00910CD4"/>
    <w:rsid w:val="009140A3"/>
    <w:rsid w:val="00916CD0"/>
    <w:rsid w:val="00922181"/>
    <w:rsid w:val="009235D3"/>
    <w:rsid w:val="00932C66"/>
    <w:rsid w:val="009341ED"/>
    <w:rsid w:val="00936970"/>
    <w:rsid w:val="00952FE4"/>
    <w:rsid w:val="0095743A"/>
    <w:rsid w:val="00960910"/>
    <w:rsid w:val="00962819"/>
    <w:rsid w:val="00967D26"/>
    <w:rsid w:val="00976E51"/>
    <w:rsid w:val="00977DA2"/>
    <w:rsid w:val="009813E8"/>
    <w:rsid w:val="00981EC7"/>
    <w:rsid w:val="009871E6"/>
    <w:rsid w:val="0099312F"/>
    <w:rsid w:val="009A27C7"/>
    <w:rsid w:val="009A3572"/>
    <w:rsid w:val="009A7B8F"/>
    <w:rsid w:val="009B16D4"/>
    <w:rsid w:val="009B2D9D"/>
    <w:rsid w:val="009C2BAD"/>
    <w:rsid w:val="009C6680"/>
    <w:rsid w:val="009D5864"/>
    <w:rsid w:val="009D7ECE"/>
    <w:rsid w:val="009F2FFE"/>
    <w:rsid w:val="00A001D1"/>
    <w:rsid w:val="00A01863"/>
    <w:rsid w:val="00A10277"/>
    <w:rsid w:val="00A10594"/>
    <w:rsid w:val="00A21099"/>
    <w:rsid w:val="00A23351"/>
    <w:rsid w:val="00A34D87"/>
    <w:rsid w:val="00A376BB"/>
    <w:rsid w:val="00A43A03"/>
    <w:rsid w:val="00A46942"/>
    <w:rsid w:val="00A52FAF"/>
    <w:rsid w:val="00A548E8"/>
    <w:rsid w:val="00A54BF2"/>
    <w:rsid w:val="00A563B3"/>
    <w:rsid w:val="00A57C0D"/>
    <w:rsid w:val="00A8117B"/>
    <w:rsid w:val="00A8133B"/>
    <w:rsid w:val="00A9761E"/>
    <w:rsid w:val="00AA2FCB"/>
    <w:rsid w:val="00AA398C"/>
    <w:rsid w:val="00AB0B03"/>
    <w:rsid w:val="00AB56E6"/>
    <w:rsid w:val="00AC1214"/>
    <w:rsid w:val="00AD4809"/>
    <w:rsid w:val="00AE13E6"/>
    <w:rsid w:val="00AE2C70"/>
    <w:rsid w:val="00AE3E01"/>
    <w:rsid w:val="00AE7A0D"/>
    <w:rsid w:val="00AF1339"/>
    <w:rsid w:val="00AF5F01"/>
    <w:rsid w:val="00AF6572"/>
    <w:rsid w:val="00B05A8F"/>
    <w:rsid w:val="00B15D91"/>
    <w:rsid w:val="00B21FA2"/>
    <w:rsid w:val="00B2766F"/>
    <w:rsid w:val="00B31496"/>
    <w:rsid w:val="00B324AF"/>
    <w:rsid w:val="00B3742E"/>
    <w:rsid w:val="00B54209"/>
    <w:rsid w:val="00B61228"/>
    <w:rsid w:val="00B65BF1"/>
    <w:rsid w:val="00B71A10"/>
    <w:rsid w:val="00B75519"/>
    <w:rsid w:val="00B81D95"/>
    <w:rsid w:val="00B86F35"/>
    <w:rsid w:val="00B871FF"/>
    <w:rsid w:val="00B974EA"/>
    <w:rsid w:val="00BA2C0C"/>
    <w:rsid w:val="00BA3C6E"/>
    <w:rsid w:val="00BB2351"/>
    <w:rsid w:val="00BC3F27"/>
    <w:rsid w:val="00BC4EAE"/>
    <w:rsid w:val="00BC5DA7"/>
    <w:rsid w:val="00BC6546"/>
    <w:rsid w:val="00BD01E2"/>
    <w:rsid w:val="00BD07EC"/>
    <w:rsid w:val="00BD6966"/>
    <w:rsid w:val="00BE6331"/>
    <w:rsid w:val="00BF4D81"/>
    <w:rsid w:val="00BF6EE8"/>
    <w:rsid w:val="00C025E2"/>
    <w:rsid w:val="00C05DA5"/>
    <w:rsid w:val="00C05F50"/>
    <w:rsid w:val="00C21FBA"/>
    <w:rsid w:val="00C330B6"/>
    <w:rsid w:val="00C445A5"/>
    <w:rsid w:val="00C515A6"/>
    <w:rsid w:val="00C53246"/>
    <w:rsid w:val="00C5444C"/>
    <w:rsid w:val="00C60BBD"/>
    <w:rsid w:val="00C62672"/>
    <w:rsid w:val="00C65839"/>
    <w:rsid w:val="00C66EB4"/>
    <w:rsid w:val="00C6710F"/>
    <w:rsid w:val="00C67CA0"/>
    <w:rsid w:val="00C71BE9"/>
    <w:rsid w:val="00C81921"/>
    <w:rsid w:val="00C8589D"/>
    <w:rsid w:val="00C962D8"/>
    <w:rsid w:val="00C96858"/>
    <w:rsid w:val="00CA5CDB"/>
    <w:rsid w:val="00CA6885"/>
    <w:rsid w:val="00CB1E75"/>
    <w:rsid w:val="00CB3FEE"/>
    <w:rsid w:val="00CC68B2"/>
    <w:rsid w:val="00CD6A33"/>
    <w:rsid w:val="00CD6C54"/>
    <w:rsid w:val="00CD7394"/>
    <w:rsid w:val="00CE3E52"/>
    <w:rsid w:val="00CE5F99"/>
    <w:rsid w:val="00CE5FBE"/>
    <w:rsid w:val="00CF1693"/>
    <w:rsid w:val="00CF4E5D"/>
    <w:rsid w:val="00CF6D02"/>
    <w:rsid w:val="00D0595E"/>
    <w:rsid w:val="00D170D2"/>
    <w:rsid w:val="00D27F08"/>
    <w:rsid w:val="00D316BE"/>
    <w:rsid w:val="00D33C41"/>
    <w:rsid w:val="00D34FBB"/>
    <w:rsid w:val="00D405C2"/>
    <w:rsid w:val="00D40E9E"/>
    <w:rsid w:val="00D42C2B"/>
    <w:rsid w:val="00D44690"/>
    <w:rsid w:val="00D50513"/>
    <w:rsid w:val="00D560A1"/>
    <w:rsid w:val="00D65878"/>
    <w:rsid w:val="00D75B5D"/>
    <w:rsid w:val="00D81AF8"/>
    <w:rsid w:val="00D87233"/>
    <w:rsid w:val="00DA3A97"/>
    <w:rsid w:val="00DA78BE"/>
    <w:rsid w:val="00DC20FF"/>
    <w:rsid w:val="00DC28EE"/>
    <w:rsid w:val="00DD036B"/>
    <w:rsid w:val="00DD2C61"/>
    <w:rsid w:val="00DD6912"/>
    <w:rsid w:val="00DF0536"/>
    <w:rsid w:val="00DF45DF"/>
    <w:rsid w:val="00E02540"/>
    <w:rsid w:val="00E04050"/>
    <w:rsid w:val="00E0441B"/>
    <w:rsid w:val="00E048E9"/>
    <w:rsid w:val="00E0782D"/>
    <w:rsid w:val="00E10193"/>
    <w:rsid w:val="00E17892"/>
    <w:rsid w:val="00E23393"/>
    <w:rsid w:val="00E26970"/>
    <w:rsid w:val="00E272F8"/>
    <w:rsid w:val="00E27595"/>
    <w:rsid w:val="00E27EE2"/>
    <w:rsid w:val="00E30860"/>
    <w:rsid w:val="00E3356B"/>
    <w:rsid w:val="00E338E5"/>
    <w:rsid w:val="00E40BCC"/>
    <w:rsid w:val="00E43A4A"/>
    <w:rsid w:val="00E44917"/>
    <w:rsid w:val="00E44A83"/>
    <w:rsid w:val="00E50A61"/>
    <w:rsid w:val="00E53EA3"/>
    <w:rsid w:val="00E55D3C"/>
    <w:rsid w:val="00E57072"/>
    <w:rsid w:val="00E60469"/>
    <w:rsid w:val="00E630F8"/>
    <w:rsid w:val="00E64F35"/>
    <w:rsid w:val="00E65285"/>
    <w:rsid w:val="00E6741D"/>
    <w:rsid w:val="00E70380"/>
    <w:rsid w:val="00E764F4"/>
    <w:rsid w:val="00E779B9"/>
    <w:rsid w:val="00E859CB"/>
    <w:rsid w:val="00E9468C"/>
    <w:rsid w:val="00E95D4F"/>
    <w:rsid w:val="00EA03CC"/>
    <w:rsid w:val="00EC01EF"/>
    <w:rsid w:val="00EC06B3"/>
    <w:rsid w:val="00EC14B1"/>
    <w:rsid w:val="00ED0755"/>
    <w:rsid w:val="00ED3776"/>
    <w:rsid w:val="00ED5EF1"/>
    <w:rsid w:val="00ED6C85"/>
    <w:rsid w:val="00EE68CB"/>
    <w:rsid w:val="00EF4329"/>
    <w:rsid w:val="00EF67B0"/>
    <w:rsid w:val="00F009EA"/>
    <w:rsid w:val="00F01BA3"/>
    <w:rsid w:val="00F1076F"/>
    <w:rsid w:val="00F159A8"/>
    <w:rsid w:val="00F26340"/>
    <w:rsid w:val="00F27E6A"/>
    <w:rsid w:val="00F4218E"/>
    <w:rsid w:val="00F44002"/>
    <w:rsid w:val="00F456ED"/>
    <w:rsid w:val="00F46B32"/>
    <w:rsid w:val="00F46F5B"/>
    <w:rsid w:val="00F47779"/>
    <w:rsid w:val="00F54186"/>
    <w:rsid w:val="00F62171"/>
    <w:rsid w:val="00F622AA"/>
    <w:rsid w:val="00F70A46"/>
    <w:rsid w:val="00F72B99"/>
    <w:rsid w:val="00F735B2"/>
    <w:rsid w:val="00F75E71"/>
    <w:rsid w:val="00F80BC7"/>
    <w:rsid w:val="00F80E3C"/>
    <w:rsid w:val="00F85547"/>
    <w:rsid w:val="00F90B25"/>
    <w:rsid w:val="00FA64B4"/>
    <w:rsid w:val="00FA6B10"/>
    <w:rsid w:val="00FB798E"/>
    <w:rsid w:val="00FC04F0"/>
    <w:rsid w:val="00FD101F"/>
    <w:rsid w:val="00FE4974"/>
    <w:rsid w:val="00FE55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3DB2"/>
  <w15:chartTrackingRefBased/>
  <w15:docId w15:val="{AC39DB29-A8E4-495D-ADD6-79DA491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F42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42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C66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4218E"/>
    <w:rPr>
      <w:rFonts w:asciiTheme="majorHAnsi" w:eastAsiaTheme="majorEastAsia" w:hAnsiTheme="majorHAnsi" w:cstheme="majorBidi"/>
      <w:color w:val="2E74B5" w:themeColor="accent1" w:themeShade="BF"/>
      <w:sz w:val="32"/>
      <w:szCs w:val="32"/>
      <w:lang w:val="en-GB"/>
    </w:rPr>
  </w:style>
  <w:style w:type="character" w:customStyle="1" w:styleId="Overskrift2Tegn">
    <w:name w:val="Overskrift 2 Tegn"/>
    <w:basedOn w:val="Standardskriftforavsnitt"/>
    <w:link w:val="Overskrift2"/>
    <w:uiPriority w:val="9"/>
    <w:rsid w:val="00F4218E"/>
    <w:rPr>
      <w:rFonts w:asciiTheme="majorHAnsi" w:eastAsiaTheme="majorEastAsia" w:hAnsiTheme="majorHAnsi" w:cstheme="majorBidi"/>
      <w:color w:val="2E74B5" w:themeColor="accent1" w:themeShade="BF"/>
      <w:sz w:val="26"/>
      <w:szCs w:val="26"/>
      <w:lang w:val="en-GB"/>
    </w:rPr>
  </w:style>
  <w:style w:type="paragraph" w:styleId="Topptekst">
    <w:name w:val="header"/>
    <w:basedOn w:val="Normal"/>
    <w:link w:val="TopptekstTegn"/>
    <w:uiPriority w:val="99"/>
    <w:unhideWhenUsed/>
    <w:rsid w:val="00AE2C7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E2C70"/>
    <w:rPr>
      <w:lang w:val="en-GB"/>
    </w:rPr>
  </w:style>
  <w:style w:type="paragraph" w:styleId="Bunntekst">
    <w:name w:val="footer"/>
    <w:basedOn w:val="Normal"/>
    <w:link w:val="BunntekstTegn"/>
    <w:uiPriority w:val="99"/>
    <w:unhideWhenUsed/>
    <w:rsid w:val="00AE2C7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AE2C70"/>
    <w:rPr>
      <w:lang w:val="en-GB"/>
    </w:rPr>
  </w:style>
  <w:style w:type="paragraph" w:styleId="Listeavsnitt">
    <w:name w:val="List Paragraph"/>
    <w:basedOn w:val="Normal"/>
    <w:uiPriority w:val="34"/>
    <w:qFormat/>
    <w:rsid w:val="004933F0"/>
    <w:pPr>
      <w:ind w:left="720"/>
      <w:contextualSpacing/>
    </w:pPr>
  </w:style>
  <w:style w:type="table" w:styleId="Tabellrutenett">
    <w:name w:val="Table Grid"/>
    <w:basedOn w:val="Vanligtabell"/>
    <w:uiPriority w:val="39"/>
    <w:rsid w:val="00B1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CF4E5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F4E5D"/>
    <w:rPr>
      <w:sz w:val="20"/>
      <w:szCs w:val="20"/>
      <w:lang w:val="en-GB"/>
    </w:rPr>
  </w:style>
  <w:style w:type="character" w:styleId="Fotnotereferanse">
    <w:name w:val="footnote reference"/>
    <w:basedOn w:val="Standardskriftforavsnitt"/>
    <w:uiPriority w:val="99"/>
    <w:semiHidden/>
    <w:unhideWhenUsed/>
    <w:rsid w:val="00CF4E5D"/>
    <w:rPr>
      <w:vertAlign w:val="superscript"/>
    </w:rPr>
  </w:style>
  <w:style w:type="character" w:styleId="Hyperkobling">
    <w:name w:val="Hyperlink"/>
    <w:basedOn w:val="Standardskriftforavsnitt"/>
    <w:uiPriority w:val="99"/>
    <w:unhideWhenUsed/>
    <w:rsid w:val="00CF4E5D"/>
    <w:rPr>
      <w:color w:val="0563C1" w:themeColor="hyperlink"/>
      <w:u w:val="single"/>
    </w:rPr>
  </w:style>
  <w:style w:type="paragraph" w:styleId="Bobletekst">
    <w:name w:val="Balloon Text"/>
    <w:basedOn w:val="Normal"/>
    <w:link w:val="BobletekstTegn"/>
    <w:uiPriority w:val="99"/>
    <w:semiHidden/>
    <w:unhideWhenUsed/>
    <w:rsid w:val="001B7DB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B7DBE"/>
    <w:rPr>
      <w:rFonts w:ascii="Segoe UI" w:hAnsi="Segoe UI" w:cs="Segoe UI"/>
      <w:sz w:val="18"/>
      <w:szCs w:val="18"/>
      <w:lang w:val="en-GB"/>
    </w:rPr>
  </w:style>
  <w:style w:type="character" w:customStyle="1" w:styleId="Overskrift3Tegn">
    <w:name w:val="Overskrift 3 Tegn"/>
    <w:basedOn w:val="Standardskriftforavsnitt"/>
    <w:link w:val="Overskrift3"/>
    <w:uiPriority w:val="9"/>
    <w:rsid w:val="009C6680"/>
    <w:rPr>
      <w:rFonts w:asciiTheme="majorHAnsi" w:eastAsiaTheme="majorEastAsia" w:hAnsiTheme="majorHAnsi" w:cstheme="majorBidi"/>
      <w:color w:val="1F4D78" w:themeColor="accent1" w:themeShade="7F"/>
      <w:sz w:val="24"/>
      <w:szCs w:val="24"/>
      <w:lang w:val="en-GB"/>
    </w:rPr>
  </w:style>
  <w:style w:type="character" w:styleId="Merknadsreferanse">
    <w:name w:val="annotation reference"/>
    <w:basedOn w:val="Standardskriftforavsnitt"/>
    <w:uiPriority w:val="99"/>
    <w:semiHidden/>
    <w:unhideWhenUsed/>
    <w:rsid w:val="00545991"/>
    <w:rPr>
      <w:sz w:val="16"/>
      <w:szCs w:val="16"/>
    </w:rPr>
  </w:style>
  <w:style w:type="paragraph" w:styleId="Merknadstekst">
    <w:name w:val="annotation text"/>
    <w:basedOn w:val="Normal"/>
    <w:link w:val="MerknadstekstTegn"/>
    <w:uiPriority w:val="99"/>
    <w:semiHidden/>
    <w:unhideWhenUsed/>
    <w:rsid w:val="0054599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45991"/>
    <w:rPr>
      <w:sz w:val="20"/>
      <w:szCs w:val="20"/>
      <w:lang w:val="en-GB"/>
    </w:rPr>
  </w:style>
  <w:style w:type="paragraph" w:styleId="Kommentaremne">
    <w:name w:val="annotation subject"/>
    <w:basedOn w:val="Merknadstekst"/>
    <w:next w:val="Merknadstekst"/>
    <w:link w:val="KommentaremneTegn"/>
    <w:uiPriority w:val="99"/>
    <w:semiHidden/>
    <w:unhideWhenUsed/>
    <w:rsid w:val="00545991"/>
    <w:rPr>
      <w:b/>
      <w:bCs/>
    </w:rPr>
  </w:style>
  <w:style w:type="character" w:customStyle="1" w:styleId="KommentaremneTegn">
    <w:name w:val="Kommentaremne Tegn"/>
    <w:basedOn w:val="MerknadstekstTegn"/>
    <w:link w:val="Kommentaremne"/>
    <w:uiPriority w:val="99"/>
    <w:semiHidden/>
    <w:rsid w:val="00545991"/>
    <w:rPr>
      <w:b/>
      <w:bCs/>
      <w:sz w:val="20"/>
      <w:szCs w:val="20"/>
      <w:lang w:val="en-GB"/>
    </w:rPr>
  </w:style>
  <w:style w:type="character" w:styleId="Sterk">
    <w:name w:val="Strong"/>
    <w:basedOn w:val="Standardskriftforavsnitt"/>
    <w:uiPriority w:val="22"/>
    <w:qFormat/>
    <w:rsid w:val="00AA2FCB"/>
    <w:rPr>
      <w:b/>
      <w:bCs/>
    </w:rPr>
  </w:style>
  <w:style w:type="table" w:styleId="Vanligtabell4">
    <w:name w:val="Plain Table 4"/>
    <w:basedOn w:val="Vanligtabell"/>
    <w:uiPriority w:val="44"/>
    <w:rsid w:val="00CA5C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8290">
      <w:bodyDiv w:val="1"/>
      <w:marLeft w:val="0"/>
      <w:marRight w:val="0"/>
      <w:marTop w:val="0"/>
      <w:marBottom w:val="0"/>
      <w:divBdr>
        <w:top w:val="none" w:sz="0" w:space="0" w:color="auto"/>
        <w:left w:val="none" w:sz="0" w:space="0" w:color="auto"/>
        <w:bottom w:val="none" w:sz="0" w:space="0" w:color="auto"/>
        <w:right w:val="none" w:sz="0" w:space="0" w:color="auto"/>
      </w:divBdr>
    </w:div>
    <w:div w:id="95181184">
      <w:bodyDiv w:val="1"/>
      <w:marLeft w:val="0"/>
      <w:marRight w:val="0"/>
      <w:marTop w:val="0"/>
      <w:marBottom w:val="0"/>
      <w:divBdr>
        <w:top w:val="none" w:sz="0" w:space="0" w:color="auto"/>
        <w:left w:val="none" w:sz="0" w:space="0" w:color="auto"/>
        <w:bottom w:val="none" w:sz="0" w:space="0" w:color="auto"/>
        <w:right w:val="none" w:sz="0" w:space="0" w:color="auto"/>
      </w:divBdr>
    </w:div>
    <w:div w:id="173999635">
      <w:bodyDiv w:val="1"/>
      <w:marLeft w:val="0"/>
      <w:marRight w:val="0"/>
      <w:marTop w:val="0"/>
      <w:marBottom w:val="0"/>
      <w:divBdr>
        <w:top w:val="none" w:sz="0" w:space="0" w:color="auto"/>
        <w:left w:val="none" w:sz="0" w:space="0" w:color="auto"/>
        <w:bottom w:val="none" w:sz="0" w:space="0" w:color="auto"/>
        <w:right w:val="none" w:sz="0" w:space="0" w:color="auto"/>
      </w:divBdr>
    </w:div>
    <w:div w:id="190924246">
      <w:bodyDiv w:val="1"/>
      <w:marLeft w:val="0"/>
      <w:marRight w:val="0"/>
      <w:marTop w:val="0"/>
      <w:marBottom w:val="0"/>
      <w:divBdr>
        <w:top w:val="none" w:sz="0" w:space="0" w:color="auto"/>
        <w:left w:val="none" w:sz="0" w:space="0" w:color="auto"/>
        <w:bottom w:val="none" w:sz="0" w:space="0" w:color="auto"/>
        <w:right w:val="none" w:sz="0" w:space="0" w:color="auto"/>
      </w:divBdr>
    </w:div>
    <w:div w:id="223297535">
      <w:bodyDiv w:val="1"/>
      <w:marLeft w:val="0"/>
      <w:marRight w:val="0"/>
      <w:marTop w:val="0"/>
      <w:marBottom w:val="0"/>
      <w:divBdr>
        <w:top w:val="none" w:sz="0" w:space="0" w:color="auto"/>
        <w:left w:val="none" w:sz="0" w:space="0" w:color="auto"/>
        <w:bottom w:val="none" w:sz="0" w:space="0" w:color="auto"/>
        <w:right w:val="none" w:sz="0" w:space="0" w:color="auto"/>
      </w:divBdr>
    </w:div>
    <w:div w:id="355037297">
      <w:bodyDiv w:val="1"/>
      <w:marLeft w:val="0"/>
      <w:marRight w:val="0"/>
      <w:marTop w:val="0"/>
      <w:marBottom w:val="0"/>
      <w:divBdr>
        <w:top w:val="none" w:sz="0" w:space="0" w:color="auto"/>
        <w:left w:val="none" w:sz="0" w:space="0" w:color="auto"/>
        <w:bottom w:val="none" w:sz="0" w:space="0" w:color="auto"/>
        <w:right w:val="none" w:sz="0" w:space="0" w:color="auto"/>
      </w:divBdr>
    </w:div>
    <w:div w:id="387459875">
      <w:bodyDiv w:val="1"/>
      <w:marLeft w:val="0"/>
      <w:marRight w:val="0"/>
      <w:marTop w:val="0"/>
      <w:marBottom w:val="0"/>
      <w:divBdr>
        <w:top w:val="none" w:sz="0" w:space="0" w:color="auto"/>
        <w:left w:val="none" w:sz="0" w:space="0" w:color="auto"/>
        <w:bottom w:val="none" w:sz="0" w:space="0" w:color="auto"/>
        <w:right w:val="none" w:sz="0" w:space="0" w:color="auto"/>
      </w:divBdr>
    </w:div>
    <w:div w:id="397436451">
      <w:bodyDiv w:val="1"/>
      <w:marLeft w:val="0"/>
      <w:marRight w:val="0"/>
      <w:marTop w:val="0"/>
      <w:marBottom w:val="0"/>
      <w:divBdr>
        <w:top w:val="none" w:sz="0" w:space="0" w:color="auto"/>
        <w:left w:val="none" w:sz="0" w:space="0" w:color="auto"/>
        <w:bottom w:val="none" w:sz="0" w:space="0" w:color="auto"/>
        <w:right w:val="none" w:sz="0" w:space="0" w:color="auto"/>
      </w:divBdr>
    </w:div>
    <w:div w:id="457719701">
      <w:bodyDiv w:val="1"/>
      <w:marLeft w:val="0"/>
      <w:marRight w:val="0"/>
      <w:marTop w:val="0"/>
      <w:marBottom w:val="0"/>
      <w:divBdr>
        <w:top w:val="none" w:sz="0" w:space="0" w:color="auto"/>
        <w:left w:val="none" w:sz="0" w:space="0" w:color="auto"/>
        <w:bottom w:val="none" w:sz="0" w:space="0" w:color="auto"/>
        <w:right w:val="none" w:sz="0" w:space="0" w:color="auto"/>
      </w:divBdr>
    </w:div>
    <w:div w:id="511578351">
      <w:bodyDiv w:val="1"/>
      <w:marLeft w:val="0"/>
      <w:marRight w:val="0"/>
      <w:marTop w:val="0"/>
      <w:marBottom w:val="0"/>
      <w:divBdr>
        <w:top w:val="none" w:sz="0" w:space="0" w:color="auto"/>
        <w:left w:val="none" w:sz="0" w:space="0" w:color="auto"/>
        <w:bottom w:val="none" w:sz="0" w:space="0" w:color="auto"/>
        <w:right w:val="none" w:sz="0" w:space="0" w:color="auto"/>
      </w:divBdr>
    </w:div>
    <w:div w:id="519320277">
      <w:bodyDiv w:val="1"/>
      <w:marLeft w:val="0"/>
      <w:marRight w:val="0"/>
      <w:marTop w:val="0"/>
      <w:marBottom w:val="0"/>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none" w:sz="0" w:space="0" w:color="auto"/>
            <w:right w:val="none" w:sz="0" w:space="0" w:color="auto"/>
          </w:divBdr>
          <w:divsChild>
            <w:div w:id="709190116">
              <w:marLeft w:val="0"/>
              <w:marRight w:val="0"/>
              <w:marTop w:val="0"/>
              <w:marBottom w:val="0"/>
              <w:divBdr>
                <w:top w:val="none" w:sz="0" w:space="0" w:color="auto"/>
                <w:left w:val="none" w:sz="0" w:space="0" w:color="auto"/>
                <w:bottom w:val="none" w:sz="0" w:space="0" w:color="auto"/>
                <w:right w:val="none" w:sz="0" w:space="0" w:color="auto"/>
              </w:divBdr>
              <w:divsChild>
                <w:div w:id="1357149780">
                  <w:marLeft w:val="0"/>
                  <w:marRight w:val="0"/>
                  <w:marTop w:val="0"/>
                  <w:marBottom w:val="0"/>
                  <w:divBdr>
                    <w:top w:val="none" w:sz="0" w:space="0" w:color="auto"/>
                    <w:left w:val="none" w:sz="0" w:space="0" w:color="auto"/>
                    <w:bottom w:val="none" w:sz="0" w:space="0" w:color="auto"/>
                    <w:right w:val="none" w:sz="0" w:space="0" w:color="auto"/>
                  </w:divBdr>
                  <w:divsChild>
                    <w:div w:id="1864442504">
                      <w:marLeft w:val="0"/>
                      <w:marRight w:val="0"/>
                      <w:marTop w:val="0"/>
                      <w:marBottom w:val="0"/>
                      <w:divBdr>
                        <w:top w:val="none" w:sz="0" w:space="0" w:color="auto"/>
                        <w:left w:val="none" w:sz="0" w:space="0" w:color="auto"/>
                        <w:bottom w:val="none" w:sz="0" w:space="0" w:color="auto"/>
                        <w:right w:val="none" w:sz="0" w:space="0" w:color="auto"/>
                      </w:divBdr>
                      <w:divsChild>
                        <w:div w:id="853422316">
                          <w:marLeft w:val="0"/>
                          <w:marRight w:val="0"/>
                          <w:marTop w:val="45"/>
                          <w:marBottom w:val="0"/>
                          <w:divBdr>
                            <w:top w:val="none" w:sz="0" w:space="0" w:color="auto"/>
                            <w:left w:val="none" w:sz="0" w:space="0" w:color="auto"/>
                            <w:bottom w:val="none" w:sz="0" w:space="0" w:color="auto"/>
                            <w:right w:val="none" w:sz="0" w:space="0" w:color="auto"/>
                          </w:divBdr>
                          <w:divsChild>
                            <w:div w:id="134685486">
                              <w:marLeft w:val="0"/>
                              <w:marRight w:val="0"/>
                              <w:marTop w:val="0"/>
                              <w:marBottom w:val="0"/>
                              <w:divBdr>
                                <w:top w:val="none" w:sz="0" w:space="0" w:color="auto"/>
                                <w:left w:val="none" w:sz="0" w:space="0" w:color="auto"/>
                                <w:bottom w:val="none" w:sz="0" w:space="0" w:color="auto"/>
                                <w:right w:val="none" w:sz="0" w:space="0" w:color="auto"/>
                              </w:divBdr>
                              <w:divsChild>
                                <w:div w:id="1763795731">
                                  <w:marLeft w:val="2070"/>
                                  <w:marRight w:val="3810"/>
                                  <w:marTop w:val="0"/>
                                  <w:marBottom w:val="0"/>
                                  <w:divBdr>
                                    <w:top w:val="none" w:sz="0" w:space="0" w:color="auto"/>
                                    <w:left w:val="none" w:sz="0" w:space="0" w:color="auto"/>
                                    <w:bottom w:val="none" w:sz="0" w:space="0" w:color="auto"/>
                                    <w:right w:val="none" w:sz="0" w:space="0" w:color="auto"/>
                                  </w:divBdr>
                                  <w:divsChild>
                                    <w:div w:id="1746412856">
                                      <w:marLeft w:val="0"/>
                                      <w:marRight w:val="0"/>
                                      <w:marTop w:val="0"/>
                                      <w:marBottom w:val="0"/>
                                      <w:divBdr>
                                        <w:top w:val="none" w:sz="0" w:space="0" w:color="auto"/>
                                        <w:left w:val="none" w:sz="0" w:space="0" w:color="auto"/>
                                        <w:bottom w:val="none" w:sz="0" w:space="0" w:color="auto"/>
                                        <w:right w:val="none" w:sz="0" w:space="0" w:color="auto"/>
                                      </w:divBdr>
                                      <w:divsChild>
                                        <w:div w:id="215748325">
                                          <w:marLeft w:val="0"/>
                                          <w:marRight w:val="0"/>
                                          <w:marTop w:val="0"/>
                                          <w:marBottom w:val="0"/>
                                          <w:divBdr>
                                            <w:top w:val="none" w:sz="0" w:space="0" w:color="auto"/>
                                            <w:left w:val="none" w:sz="0" w:space="0" w:color="auto"/>
                                            <w:bottom w:val="none" w:sz="0" w:space="0" w:color="auto"/>
                                            <w:right w:val="none" w:sz="0" w:space="0" w:color="auto"/>
                                          </w:divBdr>
                                          <w:divsChild>
                                            <w:div w:id="2059475303">
                                              <w:marLeft w:val="0"/>
                                              <w:marRight w:val="0"/>
                                              <w:marTop w:val="0"/>
                                              <w:marBottom w:val="0"/>
                                              <w:divBdr>
                                                <w:top w:val="none" w:sz="0" w:space="0" w:color="auto"/>
                                                <w:left w:val="none" w:sz="0" w:space="0" w:color="auto"/>
                                                <w:bottom w:val="none" w:sz="0" w:space="0" w:color="auto"/>
                                                <w:right w:val="none" w:sz="0" w:space="0" w:color="auto"/>
                                              </w:divBdr>
                                              <w:divsChild>
                                                <w:div w:id="763190959">
                                                  <w:marLeft w:val="0"/>
                                                  <w:marRight w:val="0"/>
                                                  <w:marTop w:val="90"/>
                                                  <w:marBottom w:val="0"/>
                                                  <w:divBdr>
                                                    <w:top w:val="none" w:sz="0" w:space="0" w:color="auto"/>
                                                    <w:left w:val="none" w:sz="0" w:space="0" w:color="auto"/>
                                                    <w:bottom w:val="none" w:sz="0" w:space="0" w:color="auto"/>
                                                    <w:right w:val="none" w:sz="0" w:space="0" w:color="auto"/>
                                                  </w:divBdr>
                                                  <w:divsChild>
                                                    <w:div w:id="891114176">
                                                      <w:marLeft w:val="0"/>
                                                      <w:marRight w:val="0"/>
                                                      <w:marTop w:val="0"/>
                                                      <w:marBottom w:val="0"/>
                                                      <w:divBdr>
                                                        <w:top w:val="none" w:sz="0" w:space="0" w:color="auto"/>
                                                        <w:left w:val="none" w:sz="0" w:space="0" w:color="auto"/>
                                                        <w:bottom w:val="none" w:sz="0" w:space="0" w:color="auto"/>
                                                        <w:right w:val="none" w:sz="0" w:space="0" w:color="auto"/>
                                                      </w:divBdr>
                                                      <w:divsChild>
                                                        <w:div w:id="1156845470">
                                                          <w:marLeft w:val="0"/>
                                                          <w:marRight w:val="0"/>
                                                          <w:marTop w:val="0"/>
                                                          <w:marBottom w:val="0"/>
                                                          <w:divBdr>
                                                            <w:top w:val="none" w:sz="0" w:space="0" w:color="auto"/>
                                                            <w:left w:val="none" w:sz="0" w:space="0" w:color="auto"/>
                                                            <w:bottom w:val="none" w:sz="0" w:space="0" w:color="auto"/>
                                                            <w:right w:val="none" w:sz="0" w:space="0" w:color="auto"/>
                                                          </w:divBdr>
                                                          <w:divsChild>
                                                            <w:div w:id="1933204315">
                                                              <w:marLeft w:val="0"/>
                                                              <w:marRight w:val="0"/>
                                                              <w:marTop w:val="0"/>
                                                              <w:marBottom w:val="0"/>
                                                              <w:divBdr>
                                                                <w:top w:val="none" w:sz="0" w:space="0" w:color="auto"/>
                                                                <w:left w:val="none" w:sz="0" w:space="0" w:color="auto"/>
                                                                <w:bottom w:val="none" w:sz="0" w:space="0" w:color="auto"/>
                                                                <w:right w:val="none" w:sz="0" w:space="0" w:color="auto"/>
                                                              </w:divBdr>
                                                              <w:divsChild>
                                                                <w:div w:id="1062097245">
                                                                  <w:marLeft w:val="0"/>
                                                                  <w:marRight w:val="0"/>
                                                                  <w:marTop w:val="0"/>
                                                                  <w:marBottom w:val="390"/>
                                                                  <w:divBdr>
                                                                    <w:top w:val="none" w:sz="0" w:space="0" w:color="auto"/>
                                                                    <w:left w:val="none" w:sz="0" w:space="0" w:color="auto"/>
                                                                    <w:bottom w:val="none" w:sz="0" w:space="0" w:color="auto"/>
                                                                    <w:right w:val="none" w:sz="0" w:space="0" w:color="auto"/>
                                                                  </w:divBdr>
                                                                  <w:divsChild>
                                                                    <w:div w:id="1205292476">
                                                                      <w:marLeft w:val="0"/>
                                                                      <w:marRight w:val="0"/>
                                                                      <w:marTop w:val="0"/>
                                                                      <w:marBottom w:val="0"/>
                                                                      <w:divBdr>
                                                                        <w:top w:val="none" w:sz="0" w:space="0" w:color="auto"/>
                                                                        <w:left w:val="none" w:sz="0" w:space="0" w:color="auto"/>
                                                                        <w:bottom w:val="none" w:sz="0" w:space="0" w:color="auto"/>
                                                                        <w:right w:val="none" w:sz="0" w:space="0" w:color="auto"/>
                                                                      </w:divBdr>
                                                                      <w:divsChild>
                                                                        <w:div w:id="1393239818">
                                                                          <w:marLeft w:val="0"/>
                                                                          <w:marRight w:val="0"/>
                                                                          <w:marTop w:val="0"/>
                                                                          <w:marBottom w:val="0"/>
                                                                          <w:divBdr>
                                                                            <w:top w:val="none" w:sz="0" w:space="0" w:color="auto"/>
                                                                            <w:left w:val="none" w:sz="0" w:space="0" w:color="auto"/>
                                                                            <w:bottom w:val="none" w:sz="0" w:space="0" w:color="auto"/>
                                                                            <w:right w:val="none" w:sz="0" w:space="0" w:color="auto"/>
                                                                          </w:divBdr>
                                                                          <w:divsChild>
                                                                            <w:div w:id="68625433">
                                                                              <w:marLeft w:val="0"/>
                                                                              <w:marRight w:val="0"/>
                                                                              <w:marTop w:val="0"/>
                                                                              <w:marBottom w:val="0"/>
                                                                              <w:divBdr>
                                                                                <w:top w:val="none" w:sz="0" w:space="0" w:color="auto"/>
                                                                                <w:left w:val="none" w:sz="0" w:space="0" w:color="auto"/>
                                                                                <w:bottom w:val="none" w:sz="0" w:space="0" w:color="auto"/>
                                                                                <w:right w:val="none" w:sz="0" w:space="0" w:color="auto"/>
                                                                              </w:divBdr>
                                                                              <w:divsChild>
                                                                                <w:div w:id="20549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440079">
      <w:bodyDiv w:val="1"/>
      <w:marLeft w:val="0"/>
      <w:marRight w:val="0"/>
      <w:marTop w:val="0"/>
      <w:marBottom w:val="0"/>
      <w:divBdr>
        <w:top w:val="none" w:sz="0" w:space="0" w:color="auto"/>
        <w:left w:val="none" w:sz="0" w:space="0" w:color="auto"/>
        <w:bottom w:val="none" w:sz="0" w:space="0" w:color="auto"/>
        <w:right w:val="none" w:sz="0" w:space="0" w:color="auto"/>
      </w:divBdr>
    </w:div>
    <w:div w:id="570578001">
      <w:bodyDiv w:val="1"/>
      <w:marLeft w:val="0"/>
      <w:marRight w:val="0"/>
      <w:marTop w:val="0"/>
      <w:marBottom w:val="0"/>
      <w:divBdr>
        <w:top w:val="none" w:sz="0" w:space="0" w:color="auto"/>
        <w:left w:val="none" w:sz="0" w:space="0" w:color="auto"/>
        <w:bottom w:val="none" w:sz="0" w:space="0" w:color="auto"/>
        <w:right w:val="none" w:sz="0" w:space="0" w:color="auto"/>
      </w:divBdr>
    </w:div>
    <w:div w:id="633296069">
      <w:bodyDiv w:val="1"/>
      <w:marLeft w:val="0"/>
      <w:marRight w:val="0"/>
      <w:marTop w:val="0"/>
      <w:marBottom w:val="0"/>
      <w:divBdr>
        <w:top w:val="none" w:sz="0" w:space="0" w:color="auto"/>
        <w:left w:val="none" w:sz="0" w:space="0" w:color="auto"/>
        <w:bottom w:val="none" w:sz="0" w:space="0" w:color="auto"/>
        <w:right w:val="none" w:sz="0" w:space="0" w:color="auto"/>
      </w:divBdr>
    </w:div>
    <w:div w:id="754789656">
      <w:bodyDiv w:val="1"/>
      <w:marLeft w:val="0"/>
      <w:marRight w:val="0"/>
      <w:marTop w:val="0"/>
      <w:marBottom w:val="0"/>
      <w:divBdr>
        <w:top w:val="none" w:sz="0" w:space="0" w:color="auto"/>
        <w:left w:val="none" w:sz="0" w:space="0" w:color="auto"/>
        <w:bottom w:val="none" w:sz="0" w:space="0" w:color="auto"/>
        <w:right w:val="none" w:sz="0" w:space="0" w:color="auto"/>
      </w:divBdr>
    </w:div>
    <w:div w:id="775060797">
      <w:bodyDiv w:val="1"/>
      <w:marLeft w:val="0"/>
      <w:marRight w:val="0"/>
      <w:marTop w:val="0"/>
      <w:marBottom w:val="0"/>
      <w:divBdr>
        <w:top w:val="none" w:sz="0" w:space="0" w:color="auto"/>
        <w:left w:val="none" w:sz="0" w:space="0" w:color="auto"/>
        <w:bottom w:val="none" w:sz="0" w:space="0" w:color="auto"/>
        <w:right w:val="none" w:sz="0" w:space="0" w:color="auto"/>
      </w:divBdr>
    </w:div>
    <w:div w:id="827474577">
      <w:bodyDiv w:val="1"/>
      <w:marLeft w:val="0"/>
      <w:marRight w:val="0"/>
      <w:marTop w:val="0"/>
      <w:marBottom w:val="0"/>
      <w:divBdr>
        <w:top w:val="none" w:sz="0" w:space="0" w:color="auto"/>
        <w:left w:val="none" w:sz="0" w:space="0" w:color="auto"/>
        <w:bottom w:val="none" w:sz="0" w:space="0" w:color="auto"/>
        <w:right w:val="none" w:sz="0" w:space="0" w:color="auto"/>
      </w:divBdr>
    </w:div>
    <w:div w:id="842860664">
      <w:bodyDiv w:val="1"/>
      <w:marLeft w:val="0"/>
      <w:marRight w:val="0"/>
      <w:marTop w:val="0"/>
      <w:marBottom w:val="0"/>
      <w:divBdr>
        <w:top w:val="none" w:sz="0" w:space="0" w:color="auto"/>
        <w:left w:val="none" w:sz="0" w:space="0" w:color="auto"/>
        <w:bottom w:val="none" w:sz="0" w:space="0" w:color="auto"/>
        <w:right w:val="none" w:sz="0" w:space="0" w:color="auto"/>
      </w:divBdr>
    </w:div>
    <w:div w:id="890193461">
      <w:bodyDiv w:val="1"/>
      <w:marLeft w:val="0"/>
      <w:marRight w:val="0"/>
      <w:marTop w:val="0"/>
      <w:marBottom w:val="0"/>
      <w:divBdr>
        <w:top w:val="none" w:sz="0" w:space="0" w:color="auto"/>
        <w:left w:val="none" w:sz="0" w:space="0" w:color="auto"/>
        <w:bottom w:val="none" w:sz="0" w:space="0" w:color="auto"/>
        <w:right w:val="none" w:sz="0" w:space="0" w:color="auto"/>
      </w:divBdr>
    </w:div>
    <w:div w:id="969938614">
      <w:bodyDiv w:val="1"/>
      <w:marLeft w:val="0"/>
      <w:marRight w:val="0"/>
      <w:marTop w:val="0"/>
      <w:marBottom w:val="0"/>
      <w:divBdr>
        <w:top w:val="none" w:sz="0" w:space="0" w:color="auto"/>
        <w:left w:val="none" w:sz="0" w:space="0" w:color="auto"/>
        <w:bottom w:val="none" w:sz="0" w:space="0" w:color="auto"/>
        <w:right w:val="none" w:sz="0" w:space="0" w:color="auto"/>
      </w:divBdr>
    </w:div>
    <w:div w:id="1045832765">
      <w:bodyDiv w:val="1"/>
      <w:marLeft w:val="0"/>
      <w:marRight w:val="0"/>
      <w:marTop w:val="0"/>
      <w:marBottom w:val="0"/>
      <w:divBdr>
        <w:top w:val="none" w:sz="0" w:space="0" w:color="auto"/>
        <w:left w:val="none" w:sz="0" w:space="0" w:color="auto"/>
        <w:bottom w:val="none" w:sz="0" w:space="0" w:color="auto"/>
        <w:right w:val="none" w:sz="0" w:space="0" w:color="auto"/>
      </w:divBdr>
    </w:div>
    <w:div w:id="1138838956">
      <w:bodyDiv w:val="1"/>
      <w:marLeft w:val="0"/>
      <w:marRight w:val="0"/>
      <w:marTop w:val="0"/>
      <w:marBottom w:val="0"/>
      <w:divBdr>
        <w:top w:val="none" w:sz="0" w:space="0" w:color="auto"/>
        <w:left w:val="none" w:sz="0" w:space="0" w:color="auto"/>
        <w:bottom w:val="none" w:sz="0" w:space="0" w:color="auto"/>
        <w:right w:val="none" w:sz="0" w:space="0" w:color="auto"/>
      </w:divBdr>
    </w:div>
    <w:div w:id="1247760850">
      <w:bodyDiv w:val="1"/>
      <w:marLeft w:val="0"/>
      <w:marRight w:val="0"/>
      <w:marTop w:val="0"/>
      <w:marBottom w:val="0"/>
      <w:divBdr>
        <w:top w:val="none" w:sz="0" w:space="0" w:color="auto"/>
        <w:left w:val="none" w:sz="0" w:space="0" w:color="auto"/>
        <w:bottom w:val="none" w:sz="0" w:space="0" w:color="auto"/>
        <w:right w:val="none" w:sz="0" w:space="0" w:color="auto"/>
      </w:divBdr>
    </w:div>
    <w:div w:id="1265844418">
      <w:bodyDiv w:val="1"/>
      <w:marLeft w:val="0"/>
      <w:marRight w:val="0"/>
      <w:marTop w:val="0"/>
      <w:marBottom w:val="0"/>
      <w:divBdr>
        <w:top w:val="none" w:sz="0" w:space="0" w:color="auto"/>
        <w:left w:val="none" w:sz="0" w:space="0" w:color="auto"/>
        <w:bottom w:val="none" w:sz="0" w:space="0" w:color="auto"/>
        <w:right w:val="none" w:sz="0" w:space="0" w:color="auto"/>
      </w:divBdr>
    </w:div>
    <w:div w:id="1304308597">
      <w:bodyDiv w:val="1"/>
      <w:marLeft w:val="0"/>
      <w:marRight w:val="0"/>
      <w:marTop w:val="0"/>
      <w:marBottom w:val="0"/>
      <w:divBdr>
        <w:top w:val="none" w:sz="0" w:space="0" w:color="auto"/>
        <w:left w:val="none" w:sz="0" w:space="0" w:color="auto"/>
        <w:bottom w:val="none" w:sz="0" w:space="0" w:color="auto"/>
        <w:right w:val="none" w:sz="0" w:space="0" w:color="auto"/>
      </w:divBdr>
    </w:div>
    <w:div w:id="1470316837">
      <w:bodyDiv w:val="1"/>
      <w:marLeft w:val="0"/>
      <w:marRight w:val="0"/>
      <w:marTop w:val="0"/>
      <w:marBottom w:val="0"/>
      <w:divBdr>
        <w:top w:val="none" w:sz="0" w:space="0" w:color="auto"/>
        <w:left w:val="none" w:sz="0" w:space="0" w:color="auto"/>
        <w:bottom w:val="none" w:sz="0" w:space="0" w:color="auto"/>
        <w:right w:val="none" w:sz="0" w:space="0" w:color="auto"/>
      </w:divBdr>
    </w:div>
    <w:div w:id="1477527181">
      <w:bodyDiv w:val="1"/>
      <w:marLeft w:val="0"/>
      <w:marRight w:val="0"/>
      <w:marTop w:val="0"/>
      <w:marBottom w:val="0"/>
      <w:divBdr>
        <w:top w:val="none" w:sz="0" w:space="0" w:color="auto"/>
        <w:left w:val="none" w:sz="0" w:space="0" w:color="auto"/>
        <w:bottom w:val="none" w:sz="0" w:space="0" w:color="auto"/>
        <w:right w:val="none" w:sz="0" w:space="0" w:color="auto"/>
      </w:divBdr>
    </w:div>
    <w:div w:id="1527061352">
      <w:bodyDiv w:val="1"/>
      <w:marLeft w:val="0"/>
      <w:marRight w:val="0"/>
      <w:marTop w:val="0"/>
      <w:marBottom w:val="0"/>
      <w:divBdr>
        <w:top w:val="none" w:sz="0" w:space="0" w:color="auto"/>
        <w:left w:val="none" w:sz="0" w:space="0" w:color="auto"/>
        <w:bottom w:val="none" w:sz="0" w:space="0" w:color="auto"/>
        <w:right w:val="none" w:sz="0" w:space="0" w:color="auto"/>
      </w:divBdr>
    </w:div>
    <w:div w:id="1533958459">
      <w:bodyDiv w:val="1"/>
      <w:marLeft w:val="0"/>
      <w:marRight w:val="0"/>
      <w:marTop w:val="0"/>
      <w:marBottom w:val="0"/>
      <w:divBdr>
        <w:top w:val="none" w:sz="0" w:space="0" w:color="auto"/>
        <w:left w:val="none" w:sz="0" w:space="0" w:color="auto"/>
        <w:bottom w:val="none" w:sz="0" w:space="0" w:color="auto"/>
        <w:right w:val="none" w:sz="0" w:space="0" w:color="auto"/>
      </w:divBdr>
    </w:div>
    <w:div w:id="1693070043">
      <w:bodyDiv w:val="1"/>
      <w:marLeft w:val="0"/>
      <w:marRight w:val="0"/>
      <w:marTop w:val="0"/>
      <w:marBottom w:val="0"/>
      <w:divBdr>
        <w:top w:val="none" w:sz="0" w:space="0" w:color="auto"/>
        <w:left w:val="none" w:sz="0" w:space="0" w:color="auto"/>
        <w:bottom w:val="none" w:sz="0" w:space="0" w:color="auto"/>
        <w:right w:val="none" w:sz="0" w:space="0" w:color="auto"/>
      </w:divBdr>
    </w:div>
    <w:div w:id="1707827231">
      <w:bodyDiv w:val="1"/>
      <w:marLeft w:val="0"/>
      <w:marRight w:val="0"/>
      <w:marTop w:val="0"/>
      <w:marBottom w:val="0"/>
      <w:divBdr>
        <w:top w:val="none" w:sz="0" w:space="0" w:color="auto"/>
        <w:left w:val="none" w:sz="0" w:space="0" w:color="auto"/>
        <w:bottom w:val="none" w:sz="0" w:space="0" w:color="auto"/>
        <w:right w:val="none" w:sz="0" w:space="0" w:color="auto"/>
      </w:divBdr>
    </w:div>
    <w:div w:id="1816533406">
      <w:bodyDiv w:val="1"/>
      <w:marLeft w:val="0"/>
      <w:marRight w:val="0"/>
      <w:marTop w:val="0"/>
      <w:marBottom w:val="0"/>
      <w:divBdr>
        <w:top w:val="none" w:sz="0" w:space="0" w:color="auto"/>
        <w:left w:val="none" w:sz="0" w:space="0" w:color="auto"/>
        <w:bottom w:val="none" w:sz="0" w:space="0" w:color="auto"/>
        <w:right w:val="none" w:sz="0" w:space="0" w:color="auto"/>
      </w:divBdr>
    </w:div>
    <w:div w:id="1942446406">
      <w:bodyDiv w:val="1"/>
      <w:marLeft w:val="0"/>
      <w:marRight w:val="0"/>
      <w:marTop w:val="0"/>
      <w:marBottom w:val="0"/>
      <w:divBdr>
        <w:top w:val="none" w:sz="0" w:space="0" w:color="auto"/>
        <w:left w:val="none" w:sz="0" w:space="0" w:color="auto"/>
        <w:bottom w:val="none" w:sz="0" w:space="0" w:color="auto"/>
        <w:right w:val="none" w:sz="0" w:space="0" w:color="auto"/>
      </w:divBdr>
    </w:div>
    <w:div w:id="19656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knett.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www.custompublish.com/getfile.php/2988543.1308.trxqxewset/Sluttrapport+Sjakk-OL+2007-2014.docx?force=1&amp;3&amp;" TargetMode="External"/><Relationship Id="rId1" Type="http://schemas.openxmlformats.org/officeDocument/2006/relationships/hyperlink" Target="http://www.vg.no/sport/ol-2018/sier-nei-til-ol/a/53777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ome.ansatt.ntnu.no\jonmde\Artikler\Sjakk-OL\Hotell,%20varehandel,%20turistunders&#248;kelse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Hotellstatistikk!$M$105</c:f>
              <c:strCache>
                <c:ptCount val="1"/>
                <c:pt idx="0">
                  <c:v>Tromsø</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Hotellstatistikk!$L$106:$L$114</c:f>
              <c:numCache>
                <c:formatCode>@</c:formatCode>
                <c:ptCount val="9"/>
                <c:pt idx="0">
                  <c:v>2008</c:v>
                </c:pt>
                <c:pt idx="1">
                  <c:v>2009</c:v>
                </c:pt>
                <c:pt idx="2">
                  <c:v>2010</c:v>
                </c:pt>
                <c:pt idx="3">
                  <c:v>2011</c:v>
                </c:pt>
                <c:pt idx="4">
                  <c:v>2012</c:v>
                </c:pt>
                <c:pt idx="5">
                  <c:v>2013</c:v>
                </c:pt>
                <c:pt idx="6">
                  <c:v>2014</c:v>
                </c:pt>
                <c:pt idx="7">
                  <c:v>2015</c:v>
                </c:pt>
                <c:pt idx="8">
                  <c:v>2016</c:v>
                </c:pt>
              </c:numCache>
            </c:numRef>
          </c:cat>
          <c:val>
            <c:numRef>
              <c:f>Hotellstatistikk!$M$106:$M$114</c:f>
              <c:numCache>
                <c:formatCode>0%</c:formatCode>
                <c:ptCount val="9"/>
                <c:pt idx="0">
                  <c:v>-8.0027279552907449E-2</c:v>
                </c:pt>
                <c:pt idx="1">
                  <c:v>-2.4124843178329192E-2</c:v>
                </c:pt>
                <c:pt idx="2">
                  <c:v>0.13405259056805785</c:v>
                </c:pt>
                <c:pt idx="3">
                  <c:v>0.23609705002427051</c:v>
                </c:pt>
                <c:pt idx="4">
                  <c:v>-0.13877015077933652</c:v>
                </c:pt>
                <c:pt idx="5">
                  <c:v>-8.2013449575867758E-2</c:v>
                </c:pt>
                <c:pt idx="6">
                  <c:v>0.21594982078853042</c:v>
                </c:pt>
                <c:pt idx="7">
                  <c:v>0.15686273825577834</c:v>
                </c:pt>
                <c:pt idx="8">
                  <c:v>8.1946149020891257E-2</c:v>
                </c:pt>
              </c:numCache>
            </c:numRef>
          </c:val>
          <c:smooth val="0"/>
          <c:extLst>
            <c:ext xmlns:c16="http://schemas.microsoft.com/office/drawing/2014/chart" uri="{C3380CC4-5D6E-409C-BE32-E72D297353CC}">
              <c16:uniqueId val="{00000000-8DEB-409E-A8B1-968B556BCF45}"/>
            </c:ext>
          </c:extLst>
        </c:ser>
        <c:ser>
          <c:idx val="1"/>
          <c:order val="1"/>
          <c:tx>
            <c:strRef>
              <c:f>Hotellstatistikk!$N$105</c:f>
              <c:strCache>
                <c:ptCount val="1"/>
                <c:pt idx="0">
                  <c:v>Nord-Norge</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Hotellstatistikk!$L$106:$L$114</c:f>
              <c:numCache>
                <c:formatCode>@</c:formatCode>
                <c:ptCount val="9"/>
                <c:pt idx="0">
                  <c:v>2008</c:v>
                </c:pt>
                <c:pt idx="1">
                  <c:v>2009</c:v>
                </c:pt>
                <c:pt idx="2">
                  <c:v>2010</c:v>
                </c:pt>
                <c:pt idx="3">
                  <c:v>2011</c:v>
                </c:pt>
                <c:pt idx="4">
                  <c:v>2012</c:v>
                </c:pt>
                <c:pt idx="5">
                  <c:v>2013</c:v>
                </c:pt>
                <c:pt idx="6">
                  <c:v>2014</c:v>
                </c:pt>
                <c:pt idx="7">
                  <c:v>2015</c:v>
                </c:pt>
                <c:pt idx="8">
                  <c:v>2016</c:v>
                </c:pt>
              </c:numCache>
            </c:numRef>
          </c:cat>
          <c:val>
            <c:numRef>
              <c:f>Hotellstatistikk!$N$106:$N$114</c:f>
              <c:numCache>
                <c:formatCode>0%</c:formatCode>
                <c:ptCount val="9"/>
                <c:pt idx="0">
                  <c:v>-5.9917274816217225E-2</c:v>
                </c:pt>
                <c:pt idx="1">
                  <c:v>1.961274701343152E-2</c:v>
                </c:pt>
                <c:pt idx="2">
                  <c:v>7.3826385444029086E-2</c:v>
                </c:pt>
                <c:pt idx="3">
                  <c:v>8.0485696673568752E-2</c:v>
                </c:pt>
                <c:pt idx="4">
                  <c:v>-4.2120716230902855E-2</c:v>
                </c:pt>
                <c:pt idx="5">
                  <c:v>-8.471114316624595E-2</c:v>
                </c:pt>
                <c:pt idx="6">
                  <c:v>0.12756128038900183</c:v>
                </c:pt>
                <c:pt idx="7">
                  <c:v>8.8790478586361576E-2</c:v>
                </c:pt>
                <c:pt idx="8">
                  <c:v>0.1027559770896771</c:v>
                </c:pt>
              </c:numCache>
            </c:numRef>
          </c:val>
          <c:smooth val="0"/>
          <c:extLst>
            <c:ext xmlns:c16="http://schemas.microsoft.com/office/drawing/2014/chart" uri="{C3380CC4-5D6E-409C-BE32-E72D297353CC}">
              <c16:uniqueId val="{00000001-8DEB-409E-A8B1-968B556BCF45}"/>
            </c:ext>
          </c:extLst>
        </c:ser>
        <c:dLbls>
          <c:dLblPos val="ctr"/>
          <c:showLegendKey val="0"/>
          <c:showVal val="1"/>
          <c:showCatName val="0"/>
          <c:showSerName val="0"/>
          <c:showPercent val="0"/>
          <c:showBubbleSize val="0"/>
        </c:dLbls>
        <c:marker val="1"/>
        <c:smooth val="0"/>
        <c:axId val="581045488"/>
        <c:axId val="581038272"/>
      </c:lineChart>
      <c:catAx>
        <c:axId val="581045488"/>
        <c:scaling>
          <c:orientation val="minMax"/>
        </c:scaling>
        <c:delete val="0"/>
        <c:axPos val="b"/>
        <c:numFmt formatCode="@"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b-NO"/>
          </a:p>
        </c:txPr>
        <c:crossAx val="581038272"/>
        <c:crosses val="autoZero"/>
        <c:auto val="1"/>
        <c:lblAlgn val="ctr"/>
        <c:lblOffset val="100"/>
        <c:noMultiLvlLbl val="0"/>
      </c:catAx>
      <c:valAx>
        <c:axId val="5810382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8104548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F71C-0CC4-4F7D-B41B-2E846D81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6133</Words>
  <Characters>32505</Characters>
  <Application>Microsoft Office Word</Application>
  <DocSecurity>0</DocSecurity>
  <Lines>270</Lines>
  <Paragraphs>77</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Arne Solberg</dc:creator>
  <cp:keywords/>
  <dc:description/>
  <cp:lastModifiedBy>Jon Martin Denstadli</cp:lastModifiedBy>
  <cp:revision>16</cp:revision>
  <cp:lastPrinted>2017-04-20T07:57:00Z</cp:lastPrinted>
  <dcterms:created xsi:type="dcterms:W3CDTF">2017-04-21T19:45:00Z</dcterms:created>
  <dcterms:modified xsi:type="dcterms:W3CDTF">2017-04-24T11:02:00Z</dcterms:modified>
</cp:coreProperties>
</file>