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45DAE" w14:textId="77777777" w:rsidR="002A35AC" w:rsidRPr="000932A9" w:rsidRDefault="002A35AC" w:rsidP="003D7EA2">
      <w:pPr>
        <w:spacing w:line="360" w:lineRule="auto"/>
        <w:jc w:val="center"/>
        <w:rPr>
          <w:rFonts w:ascii="Times New Roman" w:hAnsi="Times New Roman" w:cs="Times New Roman"/>
          <w:b/>
        </w:rPr>
      </w:pPr>
      <w:r w:rsidRPr="000932A9">
        <w:rPr>
          <w:rFonts w:ascii="Times New Roman" w:hAnsi="Times New Roman" w:cs="Times New Roman"/>
          <w:b/>
        </w:rPr>
        <w:t>Paradox Lost</w:t>
      </w:r>
      <w:r w:rsidR="006502C3" w:rsidRPr="000932A9">
        <w:rPr>
          <w:rFonts w:ascii="Times New Roman" w:hAnsi="Times New Roman" w:cs="Times New Roman"/>
          <w:b/>
        </w:rPr>
        <w:t>:</w:t>
      </w:r>
      <w:r w:rsidRPr="000932A9">
        <w:rPr>
          <w:rFonts w:ascii="Times New Roman" w:hAnsi="Times New Roman" w:cs="Times New Roman"/>
          <w:b/>
        </w:rPr>
        <w:t xml:space="preserve"> </w:t>
      </w:r>
      <w:r w:rsidR="00AE575B" w:rsidRPr="000932A9">
        <w:rPr>
          <w:rFonts w:ascii="Times New Roman" w:hAnsi="Times New Roman" w:cs="Times New Roman"/>
          <w:b/>
        </w:rPr>
        <w:t xml:space="preserve">The </w:t>
      </w:r>
      <w:r w:rsidR="00536DAA" w:rsidRPr="000932A9">
        <w:rPr>
          <w:rFonts w:ascii="Times New Roman" w:hAnsi="Times New Roman" w:cs="Times New Roman"/>
          <w:b/>
        </w:rPr>
        <w:t>Disappearing F</w:t>
      </w:r>
      <w:r w:rsidRPr="000932A9">
        <w:rPr>
          <w:rFonts w:ascii="Times New Roman" w:hAnsi="Times New Roman" w:cs="Times New Roman"/>
          <w:b/>
        </w:rPr>
        <w:t xml:space="preserve">emale Job </w:t>
      </w:r>
    </w:p>
    <w:p w14:paraId="003AE27D" w14:textId="77777777" w:rsidR="00657817" w:rsidRPr="000932A9" w:rsidRDefault="006502C3" w:rsidP="003D7EA2">
      <w:pPr>
        <w:spacing w:line="360" w:lineRule="auto"/>
        <w:jc w:val="center"/>
        <w:rPr>
          <w:rFonts w:ascii="Times New Roman" w:hAnsi="Times New Roman" w:cs="Times New Roman"/>
          <w:b/>
        </w:rPr>
      </w:pPr>
      <w:r w:rsidRPr="000932A9">
        <w:rPr>
          <w:rFonts w:ascii="Times New Roman" w:hAnsi="Times New Roman" w:cs="Times New Roman"/>
          <w:b/>
        </w:rPr>
        <w:t>Satisfaction</w:t>
      </w:r>
      <w:r w:rsidR="00AE575B" w:rsidRPr="000932A9">
        <w:rPr>
          <w:rFonts w:ascii="Times New Roman" w:hAnsi="Times New Roman" w:cs="Times New Roman"/>
          <w:b/>
        </w:rPr>
        <w:t xml:space="preserve"> Premium</w:t>
      </w:r>
    </w:p>
    <w:p w14:paraId="6E0F75B4" w14:textId="3988CB1B" w:rsidR="00657817" w:rsidRPr="002D6425" w:rsidRDefault="002D6425" w:rsidP="00FF194D">
      <w:pPr>
        <w:spacing w:line="480" w:lineRule="auto"/>
        <w:jc w:val="center"/>
        <w:rPr>
          <w:rFonts w:ascii="Times New Roman" w:hAnsi="Times New Roman" w:cs="Times New Roman"/>
          <w:i/>
        </w:rPr>
      </w:pPr>
      <w:r w:rsidRPr="002D6425">
        <w:rPr>
          <w:rFonts w:ascii="Times New Roman" w:hAnsi="Times New Roman" w:cs="Times New Roman"/>
          <w:i/>
        </w:rPr>
        <w:t xml:space="preserve">Colin P. </w:t>
      </w:r>
      <w:r w:rsidR="009632BB" w:rsidRPr="002D6425">
        <w:rPr>
          <w:rFonts w:ascii="Times New Roman" w:hAnsi="Times New Roman" w:cs="Times New Roman"/>
          <w:i/>
        </w:rPr>
        <w:t>Green</w:t>
      </w:r>
      <w:r w:rsidRPr="002D6425">
        <w:rPr>
          <w:rFonts w:ascii="Times New Roman" w:hAnsi="Times New Roman" w:cs="Times New Roman"/>
          <w:i/>
        </w:rPr>
        <w:t>, John S. Heywood, Parvinder Kler and Gareth Leeves</w:t>
      </w:r>
    </w:p>
    <w:p w14:paraId="60FCE68F" w14:textId="77777777" w:rsidR="009632BB" w:rsidRPr="000932A9" w:rsidRDefault="009632BB" w:rsidP="00FF194D">
      <w:pPr>
        <w:spacing w:line="480" w:lineRule="auto"/>
        <w:jc w:val="center"/>
        <w:rPr>
          <w:rFonts w:ascii="Times New Roman" w:hAnsi="Times New Roman" w:cs="Times New Roman"/>
          <w:b/>
        </w:rPr>
      </w:pPr>
    </w:p>
    <w:p w14:paraId="62235F3E" w14:textId="77777777" w:rsidR="003D7EA2" w:rsidRPr="000932A9" w:rsidRDefault="003D7EA2" w:rsidP="00FF194D">
      <w:pPr>
        <w:spacing w:line="480" w:lineRule="auto"/>
        <w:jc w:val="center"/>
        <w:rPr>
          <w:rFonts w:ascii="Times New Roman" w:hAnsi="Times New Roman" w:cs="Times New Roman"/>
          <w:b/>
        </w:rPr>
      </w:pPr>
    </w:p>
    <w:p w14:paraId="0209C87C" w14:textId="77777777" w:rsidR="0040738D" w:rsidRPr="000932A9" w:rsidRDefault="0040738D" w:rsidP="008A6B07">
      <w:pPr>
        <w:spacing w:line="240" w:lineRule="auto"/>
        <w:rPr>
          <w:rFonts w:ascii="Times New Roman" w:hAnsi="Times New Roman" w:cs="Times New Roman"/>
          <w:b/>
        </w:rPr>
      </w:pPr>
    </w:p>
    <w:p w14:paraId="4C5CF34B" w14:textId="77777777" w:rsidR="00870875" w:rsidRPr="00572651" w:rsidRDefault="00870875" w:rsidP="008A6B07">
      <w:pPr>
        <w:spacing w:line="240" w:lineRule="auto"/>
        <w:rPr>
          <w:rFonts w:ascii="Times New Roman" w:hAnsi="Times New Roman" w:cs="Times New Roman"/>
          <w:b/>
        </w:rPr>
      </w:pPr>
      <w:r w:rsidRPr="00572651">
        <w:rPr>
          <w:rFonts w:ascii="Times New Roman" w:hAnsi="Times New Roman" w:cs="Times New Roman"/>
          <w:b/>
        </w:rPr>
        <w:t>Abstract</w:t>
      </w:r>
    </w:p>
    <w:p w14:paraId="24EE7192" w14:textId="1E891336" w:rsidR="006952A2" w:rsidRPr="00572651" w:rsidRDefault="00F4497F" w:rsidP="00325DDB">
      <w:pPr>
        <w:spacing w:line="240" w:lineRule="auto"/>
        <w:jc w:val="both"/>
        <w:rPr>
          <w:rFonts w:ascii="Times New Roman" w:hAnsi="Times New Roman" w:cs="Times New Roman"/>
        </w:rPr>
      </w:pPr>
      <w:r w:rsidRPr="00572651">
        <w:rPr>
          <w:rFonts w:ascii="Times New Roman" w:hAnsi="Times New Roman" w:cs="Times New Roman"/>
        </w:rPr>
        <w:t>Using</w:t>
      </w:r>
      <w:r w:rsidR="002A35AC" w:rsidRPr="00572651">
        <w:rPr>
          <w:rFonts w:ascii="Times New Roman" w:hAnsi="Times New Roman" w:cs="Times New Roman"/>
        </w:rPr>
        <w:t xml:space="preserve"> the original data source of</w:t>
      </w:r>
      <w:r w:rsidRPr="00572651">
        <w:rPr>
          <w:rFonts w:ascii="Times New Roman" w:hAnsi="Times New Roman" w:cs="Times New Roman"/>
        </w:rPr>
        <w:t xml:space="preserve"> Clark (1997)</w:t>
      </w:r>
      <w:r w:rsidR="002A35AC" w:rsidRPr="00572651">
        <w:rPr>
          <w:rFonts w:ascii="Times New Roman" w:hAnsi="Times New Roman" w:cs="Times New Roman"/>
        </w:rPr>
        <w:t>,</w:t>
      </w:r>
      <w:r w:rsidR="006952A2" w:rsidRPr="00572651">
        <w:rPr>
          <w:rFonts w:ascii="Times New Roman" w:hAnsi="Times New Roman" w:cs="Times New Roman"/>
        </w:rPr>
        <w:t xml:space="preserve"> </w:t>
      </w:r>
      <w:r w:rsidRPr="00572651">
        <w:rPr>
          <w:rFonts w:ascii="Times New Roman" w:hAnsi="Times New Roman" w:cs="Times New Roman"/>
        </w:rPr>
        <w:t>we show</w:t>
      </w:r>
      <w:r w:rsidR="0097377B" w:rsidRPr="00572651">
        <w:rPr>
          <w:rFonts w:ascii="Times New Roman" w:hAnsi="Times New Roman" w:cs="Times New Roman"/>
        </w:rPr>
        <w:t xml:space="preserve"> that </w:t>
      </w:r>
      <w:r w:rsidRPr="00572651">
        <w:rPr>
          <w:rFonts w:ascii="Times New Roman" w:hAnsi="Times New Roman" w:cs="Times New Roman"/>
        </w:rPr>
        <w:t>over the last two dec</w:t>
      </w:r>
      <w:r w:rsidR="00706A4E" w:rsidRPr="00572651">
        <w:rPr>
          <w:rFonts w:ascii="Times New Roman" w:hAnsi="Times New Roman" w:cs="Times New Roman"/>
        </w:rPr>
        <w:t>a</w:t>
      </w:r>
      <w:r w:rsidRPr="00572651">
        <w:rPr>
          <w:rFonts w:ascii="Times New Roman" w:hAnsi="Times New Roman" w:cs="Times New Roman"/>
        </w:rPr>
        <w:t xml:space="preserve">des </w:t>
      </w:r>
      <w:r w:rsidR="002A35AC" w:rsidRPr="00572651">
        <w:rPr>
          <w:rFonts w:ascii="Times New Roman" w:hAnsi="Times New Roman" w:cs="Times New Roman"/>
        </w:rPr>
        <w:t>the femal</w:t>
      </w:r>
      <w:r w:rsidR="00F44568" w:rsidRPr="00572651">
        <w:rPr>
          <w:rFonts w:ascii="Times New Roman" w:hAnsi="Times New Roman" w:cs="Times New Roman"/>
        </w:rPr>
        <w:t>e</w:t>
      </w:r>
      <w:r w:rsidR="005E1F4B" w:rsidRPr="00572651">
        <w:rPr>
          <w:rFonts w:ascii="Times New Roman" w:hAnsi="Times New Roman" w:cs="Times New Roman"/>
        </w:rPr>
        <w:t xml:space="preserve"> satisfaction gap he documented has</w:t>
      </w:r>
      <w:r w:rsidR="006952A2" w:rsidRPr="00572651">
        <w:rPr>
          <w:rFonts w:ascii="Times New Roman" w:hAnsi="Times New Roman" w:cs="Times New Roman"/>
        </w:rPr>
        <w:t xml:space="preserve"> vanished. This </w:t>
      </w:r>
      <w:r w:rsidR="0097377B" w:rsidRPr="00572651">
        <w:rPr>
          <w:rFonts w:ascii="Times New Roman" w:hAnsi="Times New Roman" w:cs="Times New Roman"/>
        </w:rPr>
        <w:t>reflects a s</w:t>
      </w:r>
      <w:r w:rsidR="006952A2" w:rsidRPr="00572651">
        <w:rPr>
          <w:rFonts w:ascii="Times New Roman" w:hAnsi="Times New Roman" w:cs="Times New Roman"/>
        </w:rPr>
        <w:t xml:space="preserve">trong secular decline in female job satisfaction. This decline </w:t>
      </w:r>
      <w:r w:rsidR="00804247" w:rsidRPr="00572651">
        <w:rPr>
          <w:rFonts w:ascii="Times New Roman" w:hAnsi="Times New Roman" w:cs="Times New Roman"/>
        </w:rPr>
        <w:t xml:space="preserve">happened </w:t>
      </w:r>
      <w:r w:rsidR="006E0ECF" w:rsidRPr="00572651">
        <w:rPr>
          <w:rFonts w:ascii="Times New Roman" w:hAnsi="Times New Roman" w:cs="Times New Roman"/>
        </w:rPr>
        <w:t>both because</w:t>
      </w:r>
      <w:r w:rsidR="006952A2" w:rsidRPr="00572651">
        <w:rPr>
          <w:rFonts w:ascii="Times New Roman" w:hAnsi="Times New Roman" w:cs="Times New Roman"/>
        </w:rPr>
        <w:t xml:space="preserve"> younger women </w:t>
      </w:r>
      <w:r w:rsidR="006E0ECF" w:rsidRPr="00572651">
        <w:rPr>
          <w:rFonts w:ascii="Times New Roman" w:hAnsi="Times New Roman" w:cs="Times New Roman"/>
        </w:rPr>
        <w:t>became less satisfied as they</w:t>
      </w:r>
      <w:r w:rsidR="006952A2" w:rsidRPr="00572651">
        <w:rPr>
          <w:rFonts w:ascii="Times New Roman" w:hAnsi="Times New Roman" w:cs="Times New Roman"/>
        </w:rPr>
        <w:t xml:space="preserve"> age</w:t>
      </w:r>
      <w:r w:rsidR="0097377B" w:rsidRPr="00572651">
        <w:rPr>
          <w:rFonts w:ascii="Times New Roman" w:hAnsi="Times New Roman" w:cs="Times New Roman"/>
        </w:rPr>
        <w:t>d</w:t>
      </w:r>
      <w:r w:rsidR="00804247" w:rsidRPr="00572651">
        <w:rPr>
          <w:rFonts w:ascii="Times New Roman" w:hAnsi="Times New Roman" w:cs="Times New Roman"/>
        </w:rPr>
        <w:t xml:space="preserve">, and </w:t>
      </w:r>
      <w:r w:rsidR="006E0ECF" w:rsidRPr="00572651">
        <w:rPr>
          <w:rFonts w:ascii="Times New Roman" w:hAnsi="Times New Roman" w:cs="Times New Roman"/>
        </w:rPr>
        <w:t xml:space="preserve">because </w:t>
      </w:r>
      <w:r w:rsidR="006952A2" w:rsidRPr="00572651">
        <w:rPr>
          <w:rFonts w:ascii="Times New Roman" w:hAnsi="Times New Roman" w:cs="Times New Roman"/>
        </w:rPr>
        <w:t xml:space="preserve">new female workers </w:t>
      </w:r>
      <w:r w:rsidR="00804247" w:rsidRPr="00572651">
        <w:rPr>
          <w:rFonts w:ascii="Times New Roman" w:hAnsi="Times New Roman" w:cs="Times New Roman"/>
        </w:rPr>
        <w:t xml:space="preserve">entered </w:t>
      </w:r>
      <w:r w:rsidR="006E0ECF" w:rsidRPr="00572651">
        <w:rPr>
          <w:rFonts w:ascii="Times New Roman" w:hAnsi="Times New Roman" w:cs="Times New Roman"/>
        </w:rPr>
        <w:t>with</w:t>
      </w:r>
      <w:r w:rsidR="006952A2" w:rsidRPr="00572651">
        <w:rPr>
          <w:rFonts w:ascii="Times New Roman" w:hAnsi="Times New Roman" w:cs="Times New Roman"/>
        </w:rPr>
        <w:t xml:space="preserve"> lower job satisfaction than their early </w:t>
      </w:r>
      <w:r w:rsidR="00DB12B3" w:rsidRPr="00572651">
        <w:rPr>
          <w:rFonts w:ascii="Times New Roman" w:hAnsi="Times New Roman" w:cs="Times New Roman"/>
        </w:rPr>
        <w:t>19</w:t>
      </w:r>
      <w:r w:rsidR="006952A2" w:rsidRPr="00572651">
        <w:rPr>
          <w:rFonts w:ascii="Times New Roman" w:hAnsi="Times New Roman" w:cs="Times New Roman"/>
        </w:rPr>
        <w:t>90s peers. Decompo</w:t>
      </w:r>
      <w:r w:rsidR="00F44568" w:rsidRPr="00572651">
        <w:rPr>
          <w:rFonts w:ascii="Times New Roman" w:hAnsi="Times New Roman" w:cs="Times New Roman"/>
        </w:rPr>
        <w:t>sitions make</w:t>
      </w:r>
      <w:r w:rsidR="00B00D17" w:rsidRPr="00572651">
        <w:rPr>
          <w:rFonts w:ascii="Times New Roman" w:hAnsi="Times New Roman" w:cs="Times New Roman"/>
        </w:rPr>
        <w:t xml:space="preserve"> </w:t>
      </w:r>
      <w:r w:rsidR="006952A2" w:rsidRPr="00572651">
        <w:rPr>
          <w:rFonts w:ascii="Times New Roman" w:hAnsi="Times New Roman" w:cs="Times New Roman"/>
        </w:rPr>
        <w:t>clear that the decli</w:t>
      </w:r>
      <w:r w:rsidR="0097377B" w:rsidRPr="00572651">
        <w:rPr>
          <w:rFonts w:ascii="Times New Roman" w:hAnsi="Times New Roman" w:cs="Times New Roman"/>
        </w:rPr>
        <w:t>ne does</w:t>
      </w:r>
      <w:r w:rsidR="006952A2" w:rsidRPr="00572651">
        <w:rPr>
          <w:rFonts w:ascii="Times New Roman" w:hAnsi="Times New Roman" w:cs="Times New Roman"/>
        </w:rPr>
        <w:t xml:space="preserve"> not </w:t>
      </w:r>
      <w:r w:rsidR="0097377B" w:rsidRPr="00572651">
        <w:rPr>
          <w:rFonts w:ascii="Times New Roman" w:hAnsi="Times New Roman" w:cs="Times New Roman"/>
        </w:rPr>
        <w:t xml:space="preserve">reflect </w:t>
      </w:r>
      <w:r w:rsidR="006952A2" w:rsidRPr="00572651">
        <w:rPr>
          <w:rFonts w:ascii="Times New Roman" w:hAnsi="Times New Roman" w:cs="Times New Roman"/>
        </w:rPr>
        <w:t xml:space="preserve">deteriorating job characteristics </w:t>
      </w:r>
      <w:r w:rsidRPr="00572651">
        <w:rPr>
          <w:rFonts w:ascii="Times New Roman" w:hAnsi="Times New Roman" w:cs="Times New Roman"/>
        </w:rPr>
        <w:t xml:space="preserve">for women </w:t>
      </w:r>
      <w:r w:rsidR="006952A2" w:rsidRPr="00572651">
        <w:rPr>
          <w:rFonts w:ascii="Times New Roman" w:hAnsi="Times New Roman" w:cs="Times New Roman"/>
        </w:rPr>
        <w:t xml:space="preserve">but rather </w:t>
      </w:r>
      <w:r w:rsidRPr="00572651">
        <w:rPr>
          <w:rFonts w:ascii="Times New Roman" w:hAnsi="Times New Roman" w:cs="Times New Roman"/>
        </w:rPr>
        <w:t xml:space="preserve">their </w:t>
      </w:r>
      <w:r w:rsidR="00916187" w:rsidRPr="00572651">
        <w:rPr>
          <w:rFonts w:ascii="Times New Roman" w:hAnsi="Times New Roman" w:cs="Times New Roman"/>
        </w:rPr>
        <w:t xml:space="preserve">increasingly less favourable </w:t>
      </w:r>
      <w:r w:rsidR="006952A2" w:rsidRPr="00572651">
        <w:rPr>
          <w:rFonts w:ascii="Times New Roman" w:hAnsi="Times New Roman" w:cs="Times New Roman"/>
        </w:rPr>
        <w:t xml:space="preserve">evaluation of </w:t>
      </w:r>
      <w:r w:rsidR="0097377B" w:rsidRPr="00572651">
        <w:rPr>
          <w:rFonts w:ascii="Times New Roman" w:hAnsi="Times New Roman" w:cs="Times New Roman"/>
        </w:rPr>
        <w:t xml:space="preserve">job </w:t>
      </w:r>
      <w:r w:rsidR="006952A2" w:rsidRPr="00572651">
        <w:rPr>
          <w:rFonts w:ascii="Times New Roman" w:hAnsi="Times New Roman" w:cs="Times New Roman"/>
        </w:rPr>
        <w:t>characteristics.</w:t>
      </w:r>
      <w:r w:rsidR="0097377B" w:rsidRPr="00572651">
        <w:rPr>
          <w:rFonts w:ascii="Times New Roman" w:hAnsi="Times New Roman" w:cs="Times New Roman"/>
        </w:rPr>
        <w:t xml:space="preserve"> These findings fit with the suggestion that women in the early 1990s had a gap between their labo</w:t>
      </w:r>
      <w:r w:rsidR="00706A4E" w:rsidRPr="00572651">
        <w:rPr>
          <w:rFonts w:ascii="Times New Roman" w:hAnsi="Times New Roman" w:cs="Times New Roman"/>
        </w:rPr>
        <w:t>u</w:t>
      </w:r>
      <w:r w:rsidR="0097377B" w:rsidRPr="00572651">
        <w:rPr>
          <w:rFonts w:ascii="Times New Roman" w:hAnsi="Times New Roman" w:cs="Times New Roman"/>
        </w:rPr>
        <w:t xml:space="preserve">r market expectations and actual experience that has since closed and </w:t>
      </w:r>
      <w:r w:rsidR="00C92D1C" w:rsidRPr="00572651">
        <w:rPr>
          <w:rFonts w:ascii="Times New Roman" w:hAnsi="Times New Roman" w:cs="Times New Roman"/>
        </w:rPr>
        <w:t xml:space="preserve">that </w:t>
      </w:r>
      <w:r w:rsidR="0097377B" w:rsidRPr="00572651">
        <w:rPr>
          <w:rFonts w:ascii="Times New Roman" w:hAnsi="Times New Roman" w:cs="Times New Roman"/>
        </w:rPr>
        <w:t xml:space="preserve">the gender satisfaction gap </w:t>
      </w:r>
      <w:r w:rsidR="00C92D1C" w:rsidRPr="00572651">
        <w:rPr>
          <w:rFonts w:ascii="Times New Roman" w:hAnsi="Times New Roman" w:cs="Times New Roman"/>
        </w:rPr>
        <w:t xml:space="preserve">has vanished </w:t>
      </w:r>
      <w:r w:rsidR="0097377B" w:rsidRPr="00572651">
        <w:rPr>
          <w:rFonts w:ascii="Times New Roman" w:hAnsi="Times New Roman" w:cs="Times New Roman"/>
        </w:rPr>
        <w:t>as a consequence.</w:t>
      </w:r>
    </w:p>
    <w:p w14:paraId="73D2AE04" w14:textId="77777777" w:rsidR="00056CAC" w:rsidRPr="00572651" w:rsidRDefault="00056CAC" w:rsidP="00056CAC">
      <w:pPr>
        <w:rPr>
          <w:rFonts w:ascii="Times New Roman" w:hAnsi="Times New Roman" w:cs="Times New Roman"/>
        </w:rPr>
      </w:pPr>
      <w:r w:rsidRPr="00572651">
        <w:rPr>
          <w:rFonts w:ascii="Times New Roman" w:hAnsi="Times New Roman" w:cs="Times New Roman"/>
          <w:b/>
        </w:rPr>
        <w:t xml:space="preserve">Keywords: </w:t>
      </w:r>
      <w:r w:rsidRPr="00572651">
        <w:rPr>
          <w:rFonts w:ascii="Times New Roman" w:hAnsi="Times New Roman" w:cs="Times New Roman"/>
        </w:rPr>
        <w:t>Job Satisfaction; Gender; Expectations</w:t>
      </w:r>
    </w:p>
    <w:p w14:paraId="746AB32E" w14:textId="77777777" w:rsidR="00056CAC" w:rsidRPr="00572651" w:rsidRDefault="00056CAC" w:rsidP="00056CAC">
      <w:pPr>
        <w:rPr>
          <w:rFonts w:ascii="Times New Roman" w:hAnsi="Times New Roman" w:cs="Times New Roman"/>
        </w:rPr>
      </w:pPr>
      <w:r w:rsidRPr="00572651">
        <w:rPr>
          <w:rFonts w:ascii="Times New Roman" w:hAnsi="Times New Roman" w:cs="Times New Roman"/>
          <w:b/>
        </w:rPr>
        <w:t xml:space="preserve">JEL CODES:  </w:t>
      </w:r>
      <w:r w:rsidRPr="00572651">
        <w:rPr>
          <w:rFonts w:ascii="Times New Roman" w:hAnsi="Times New Roman" w:cs="Times New Roman"/>
        </w:rPr>
        <w:t>J16; J28</w:t>
      </w:r>
    </w:p>
    <w:p w14:paraId="21DA451B" w14:textId="77777777" w:rsidR="002D6425" w:rsidRPr="00572651" w:rsidRDefault="00B34089">
      <w:pPr>
        <w:rPr>
          <w:rFonts w:ascii="Times New Roman" w:hAnsi="Times New Roman" w:cs="Times New Roman"/>
        </w:rPr>
      </w:pPr>
      <w:r w:rsidRPr="00572651">
        <w:rPr>
          <w:rFonts w:ascii="Times New Roman" w:hAnsi="Times New Roman" w:cs="Times New Roman"/>
        </w:rPr>
        <w:t>WORD COUNT: 6444</w:t>
      </w:r>
    </w:p>
    <w:p w14:paraId="7C944796" w14:textId="0781E0CA" w:rsidR="002D6425" w:rsidRPr="00572651" w:rsidRDefault="002D6425">
      <w:pPr>
        <w:rPr>
          <w:rFonts w:ascii="Times New Roman" w:hAnsi="Times New Roman" w:cs="Times New Roman"/>
          <w:i/>
        </w:rPr>
      </w:pPr>
      <w:r w:rsidRPr="00572651">
        <w:rPr>
          <w:rFonts w:ascii="Times New Roman" w:hAnsi="Times New Roman" w:cs="Times New Roman"/>
          <w:i/>
        </w:rPr>
        <w:t>Colin Green is at the Economics Department at the Norwegian University of Science and Technology. John Heywood is at the Economics Department a</w:t>
      </w:r>
      <w:r w:rsidR="00BC1137" w:rsidRPr="00572651">
        <w:rPr>
          <w:rFonts w:ascii="Times New Roman" w:hAnsi="Times New Roman" w:cs="Times New Roman"/>
          <w:i/>
        </w:rPr>
        <w:t>t the University of Wisconsin -</w:t>
      </w:r>
      <w:r w:rsidRPr="00572651">
        <w:rPr>
          <w:rFonts w:ascii="Times New Roman" w:hAnsi="Times New Roman" w:cs="Times New Roman"/>
          <w:i/>
        </w:rPr>
        <w:t xml:space="preserve"> Milwaukee. Parvinder Kler is at Griffith Business School. Gareth Leeves is at</w:t>
      </w:r>
      <w:r w:rsidR="00A802D1" w:rsidRPr="00572651">
        <w:rPr>
          <w:rFonts w:ascii="Times New Roman" w:hAnsi="Times New Roman" w:cs="Times New Roman"/>
          <w:i/>
        </w:rPr>
        <w:t xml:space="preserve"> the School of Business, Monash </w:t>
      </w:r>
      <w:r w:rsidRPr="00572651">
        <w:rPr>
          <w:rFonts w:ascii="Times New Roman" w:hAnsi="Times New Roman" w:cs="Times New Roman"/>
          <w:i/>
        </w:rPr>
        <w:t>Malaysia.</w:t>
      </w:r>
    </w:p>
    <w:p w14:paraId="3C68E2EC" w14:textId="41DA3EE4" w:rsidR="0040738D" w:rsidRPr="00572651" w:rsidRDefault="0040738D">
      <w:pPr>
        <w:rPr>
          <w:rFonts w:ascii="Times New Roman" w:hAnsi="Times New Roman" w:cs="Times New Roman"/>
        </w:rPr>
      </w:pPr>
      <w:r w:rsidRPr="00572651">
        <w:rPr>
          <w:rFonts w:ascii="Times New Roman" w:hAnsi="Times New Roman" w:cs="Times New Roman"/>
        </w:rPr>
        <w:br w:type="page"/>
      </w:r>
    </w:p>
    <w:p w14:paraId="1ED65147" w14:textId="77777777" w:rsidR="00A861CD" w:rsidRPr="00572651" w:rsidRDefault="00703A0A" w:rsidP="006952A2">
      <w:pPr>
        <w:rPr>
          <w:rFonts w:ascii="Times New Roman" w:hAnsi="Times New Roman" w:cs="Times New Roman"/>
          <w:b/>
        </w:rPr>
      </w:pPr>
      <w:r w:rsidRPr="00572651">
        <w:rPr>
          <w:rFonts w:ascii="Times New Roman" w:hAnsi="Times New Roman" w:cs="Times New Roman"/>
          <w:b/>
        </w:rPr>
        <w:lastRenderedPageBreak/>
        <w:t xml:space="preserve">1. </w:t>
      </w:r>
      <w:r w:rsidR="00295F90" w:rsidRPr="00572651">
        <w:rPr>
          <w:rFonts w:ascii="Times New Roman" w:hAnsi="Times New Roman" w:cs="Times New Roman"/>
          <w:b/>
        </w:rPr>
        <w:t>Introduction</w:t>
      </w:r>
    </w:p>
    <w:p w14:paraId="1EF8C698" w14:textId="53BFC7D6" w:rsidR="00C733EA" w:rsidRPr="00572651" w:rsidRDefault="00C733EA" w:rsidP="00C733EA">
      <w:pPr>
        <w:spacing w:after="0" w:line="480" w:lineRule="auto"/>
        <w:jc w:val="both"/>
        <w:rPr>
          <w:rFonts w:ascii="Times New Roman" w:hAnsi="Times New Roman" w:cs="Times New Roman"/>
        </w:rPr>
      </w:pPr>
      <w:r w:rsidRPr="00572651">
        <w:rPr>
          <w:rFonts w:ascii="Times New Roman" w:hAnsi="Times New Roman" w:cs="Times New Roman"/>
        </w:rPr>
        <w:tab/>
      </w:r>
      <w:r w:rsidR="00666B12" w:rsidRPr="00572651">
        <w:rPr>
          <w:rFonts w:ascii="Times New Roman" w:hAnsi="Times New Roman" w:cs="Times New Roman"/>
        </w:rPr>
        <w:t>This paper documents a secular decline in the job satisfaction of f</w:t>
      </w:r>
      <w:r w:rsidRPr="00572651">
        <w:rPr>
          <w:rFonts w:ascii="Times New Roman" w:hAnsi="Times New Roman" w:cs="Times New Roman"/>
        </w:rPr>
        <w:t xml:space="preserve">emale workers </w:t>
      </w:r>
      <w:r w:rsidR="00666B12" w:rsidRPr="00572651">
        <w:rPr>
          <w:rFonts w:ascii="Times New Roman" w:hAnsi="Times New Roman" w:cs="Times New Roman"/>
        </w:rPr>
        <w:t xml:space="preserve">in Britain.  Indeed, </w:t>
      </w:r>
      <w:r w:rsidR="00B4157A" w:rsidRPr="00572651">
        <w:rPr>
          <w:rFonts w:ascii="Times New Roman" w:hAnsi="Times New Roman" w:cs="Times New Roman"/>
        </w:rPr>
        <w:t xml:space="preserve">we show that </w:t>
      </w:r>
      <w:r w:rsidR="00666B12" w:rsidRPr="00572651">
        <w:rPr>
          <w:rFonts w:ascii="Times New Roman" w:hAnsi="Times New Roman" w:cs="Times New Roman"/>
        </w:rPr>
        <w:t>the decline has</w:t>
      </w:r>
      <w:r w:rsidR="00053C2E" w:rsidRPr="00572651">
        <w:rPr>
          <w:rFonts w:ascii="Times New Roman" w:hAnsi="Times New Roman" w:cs="Times New Roman"/>
        </w:rPr>
        <w:t xml:space="preserve"> been so substantial that women may no longer be</w:t>
      </w:r>
      <w:r w:rsidR="00666B12" w:rsidRPr="00572651">
        <w:rPr>
          <w:rFonts w:ascii="Times New Roman" w:hAnsi="Times New Roman" w:cs="Times New Roman"/>
        </w:rPr>
        <w:t xml:space="preserve"> more satisfied </w:t>
      </w:r>
      <w:r w:rsidR="00900655" w:rsidRPr="00572651">
        <w:rPr>
          <w:rFonts w:ascii="Times New Roman" w:hAnsi="Times New Roman" w:cs="Times New Roman"/>
        </w:rPr>
        <w:t xml:space="preserve">at work </w:t>
      </w:r>
      <w:r w:rsidR="00842BE6" w:rsidRPr="00572651">
        <w:rPr>
          <w:rFonts w:ascii="Times New Roman" w:hAnsi="Times New Roman" w:cs="Times New Roman"/>
        </w:rPr>
        <w:t xml:space="preserve">relative to </w:t>
      </w:r>
      <w:r w:rsidR="00C50456" w:rsidRPr="00572651">
        <w:rPr>
          <w:rFonts w:ascii="Times New Roman" w:hAnsi="Times New Roman" w:cs="Times New Roman"/>
        </w:rPr>
        <w:t>men</w:t>
      </w:r>
      <w:r w:rsidR="00666B12" w:rsidRPr="00572651">
        <w:rPr>
          <w:rFonts w:ascii="Times New Roman" w:hAnsi="Times New Roman" w:cs="Times New Roman"/>
        </w:rPr>
        <w:t xml:space="preserve">. </w:t>
      </w:r>
      <w:r w:rsidR="00B96A57" w:rsidRPr="00572651">
        <w:rPr>
          <w:rFonts w:ascii="Times New Roman" w:hAnsi="Times New Roman" w:cs="Times New Roman"/>
        </w:rPr>
        <w:t xml:space="preserve"> The decline comes both because </w:t>
      </w:r>
      <w:r w:rsidR="00C50456" w:rsidRPr="00572651">
        <w:rPr>
          <w:rFonts w:ascii="Times New Roman" w:hAnsi="Times New Roman" w:cs="Times New Roman"/>
        </w:rPr>
        <w:t>female w</w:t>
      </w:r>
      <w:r w:rsidR="00B96A57" w:rsidRPr="00572651">
        <w:rPr>
          <w:rFonts w:ascii="Times New Roman" w:hAnsi="Times New Roman" w:cs="Times New Roman"/>
        </w:rPr>
        <w:t>orkers from the 1990s express</w:t>
      </w:r>
      <w:r w:rsidR="00C50456" w:rsidRPr="00572651">
        <w:rPr>
          <w:rFonts w:ascii="Times New Roman" w:hAnsi="Times New Roman" w:cs="Times New Roman"/>
        </w:rPr>
        <w:t xml:space="preserve"> lower job s</w:t>
      </w:r>
      <w:r w:rsidR="00B96A57" w:rsidRPr="00572651">
        <w:rPr>
          <w:rFonts w:ascii="Times New Roman" w:hAnsi="Times New Roman" w:cs="Times New Roman"/>
        </w:rPr>
        <w:t>atisfaction as they age and because</w:t>
      </w:r>
      <w:r w:rsidR="00C50456" w:rsidRPr="00572651">
        <w:rPr>
          <w:rFonts w:ascii="Times New Roman" w:hAnsi="Times New Roman" w:cs="Times New Roman"/>
        </w:rPr>
        <w:t xml:space="preserve"> newer cohorts of women </w:t>
      </w:r>
      <w:r w:rsidR="00B96A57" w:rsidRPr="00572651">
        <w:rPr>
          <w:rFonts w:ascii="Times New Roman" w:hAnsi="Times New Roman" w:cs="Times New Roman"/>
        </w:rPr>
        <w:t>enter work</w:t>
      </w:r>
      <w:r w:rsidR="00C50456" w:rsidRPr="00572651">
        <w:rPr>
          <w:rFonts w:ascii="Times New Roman" w:hAnsi="Times New Roman" w:cs="Times New Roman"/>
        </w:rPr>
        <w:t xml:space="preserve"> with lower job satisfaction than did older cohorts.  Decomp</w:t>
      </w:r>
      <w:r w:rsidR="00B96A57" w:rsidRPr="00572651">
        <w:rPr>
          <w:rFonts w:ascii="Times New Roman" w:hAnsi="Times New Roman" w:cs="Times New Roman"/>
        </w:rPr>
        <w:t>ositions suggest that the decline in female satisfaction</w:t>
      </w:r>
      <w:r w:rsidR="00C50456" w:rsidRPr="00572651">
        <w:rPr>
          <w:rFonts w:ascii="Times New Roman" w:hAnsi="Times New Roman" w:cs="Times New Roman"/>
        </w:rPr>
        <w:t xml:space="preserve"> primarily reflects not changing characteristic</w:t>
      </w:r>
      <w:r w:rsidR="00B96A57" w:rsidRPr="00572651">
        <w:rPr>
          <w:rFonts w:ascii="Times New Roman" w:hAnsi="Times New Roman" w:cs="Times New Roman"/>
        </w:rPr>
        <w:t xml:space="preserve">s of women's jobs but </w:t>
      </w:r>
      <w:r w:rsidR="00CC0E34" w:rsidRPr="00572651">
        <w:rPr>
          <w:rFonts w:ascii="Times New Roman" w:hAnsi="Times New Roman" w:cs="Times New Roman"/>
        </w:rPr>
        <w:t xml:space="preserve">rather </w:t>
      </w:r>
      <w:r w:rsidR="00B96A57" w:rsidRPr="00572651">
        <w:rPr>
          <w:rFonts w:ascii="Times New Roman" w:hAnsi="Times New Roman" w:cs="Times New Roman"/>
        </w:rPr>
        <w:t>an</w:t>
      </w:r>
      <w:r w:rsidR="004D3397" w:rsidRPr="00572651">
        <w:rPr>
          <w:rFonts w:ascii="Times New Roman" w:hAnsi="Times New Roman" w:cs="Times New Roman"/>
        </w:rPr>
        <w:t xml:space="preserve"> increasingly unfavourable</w:t>
      </w:r>
      <w:r w:rsidR="00C50456" w:rsidRPr="00572651">
        <w:rPr>
          <w:rFonts w:ascii="Times New Roman" w:hAnsi="Times New Roman" w:cs="Times New Roman"/>
        </w:rPr>
        <w:t xml:space="preserve"> </w:t>
      </w:r>
      <w:r w:rsidR="004D3397" w:rsidRPr="00572651">
        <w:rPr>
          <w:rFonts w:ascii="Times New Roman" w:hAnsi="Times New Roman" w:cs="Times New Roman"/>
        </w:rPr>
        <w:t xml:space="preserve">net </w:t>
      </w:r>
      <w:r w:rsidR="00C50456" w:rsidRPr="00572651">
        <w:rPr>
          <w:rFonts w:ascii="Times New Roman" w:hAnsi="Times New Roman" w:cs="Times New Roman"/>
        </w:rPr>
        <w:t xml:space="preserve">evaluation of those characteristics, </w:t>
      </w:r>
      <w:r w:rsidR="00B96A57" w:rsidRPr="00572651">
        <w:rPr>
          <w:rFonts w:ascii="Times New Roman" w:hAnsi="Times New Roman" w:cs="Times New Roman"/>
        </w:rPr>
        <w:t xml:space="preserve">an </w:t>
      </w:r>
      <w:r w:rsidR="00C50456" w:rsidRPr="00572651">
        <w:rPr>
          <w:rFonts w:ascii="Times New Roman" w:hAnsi="Times New Roman" w:cs="Times New Roman"/>
        </w:rPr>
        <w:t xml:space="preserve">evaluation that </w:t>
      </w:r>
      <w:r w:rsidR="00053C2E" w:rsidRPr="00572651">
        <w:rPr>
          <w:rFonts w:ascii="Times New Roman" w:hAnsi="Times New Roman" w:cs="Times New Roman"/>
        </w:rPr>
        <w:t xml:space="preserve">now comes closer to </w:t>
      </w:r>
      <w:r w:rsidR="00C50456" w:rsidRPr="00572651">
        <w:rPr>
          <w:rFonts w:ascii="Times New Roman" w:hAnsi="Times New Roman" w:cs="Times New Roman"/>
        </w:rPr>
        <w:t>match</w:t>
      </w:r>
      <w:r w:rsidR="00053C2E" w:rsidRPr="00572651">
        <w:rPr>
          <w:rFonts w:ascii="Times New Roman" w:hAnsi="Times New Roman" w:cs="Times New Roman"/>
        </w:rPr>
        <w:t>ing</w:t>
      </w:r>
      <w:r w:rsidR="00C50456" w:rsidRPr="00572651">
        <w:rPr>
          <w:rFonts w:ascii="Times New Roman" w:hAnsi="Times New Roman" w:cs="Times New Roman"/>
        </w:rPr>
        <w:t xml:space="preserve"> those of men.</w:t>
      </w:r>
    </w:p>
    <w:p w14:paraId="48E778BB" w14:textId="467B6BC4" w:rsidR="00331594" w:rsidRPr="00572651" w:rsidRDefault="00657817" w:rsidP="00DC39B8">
      <w:pPr>
        <w:spacing w:after="0" w:line="480" w:lineRule="auto"/>
        <w:ind w:firstLine="720"/>
        <w:jc w:val="both"/>
        <w:rPr>
          <w:rFonts w:ascii="Times New Roman" w:hAnsi="Times New Roman" w:cs="Times New Roman"/>
        </w:rPr>
      </w:pPr>
      <w:r w:rsidRPr="00572651">
        <w:rPr>
          <w:rFonts w:ascii="Times New Roman" w:hAnsi="Times New Roman" w:cs="Times New Roman"/>
        </w:rPr>
        <w:t>S</w:t>
      </w:r>
      <w:r w:rsidR="005B2AA6" w:rsidRPr="00572651">
        <w:rPr>
          <w:rFonts w:ascii="Times New Roman" w:hAnsi="Times New Roman" w:cs="Times New Roman"/>
        </w:rPr>
        <w:t>elf-report</w:t>
      </w:r>
      <w:r w:rsidRPr="00572651">
        <w:rPr>
          <w:rFonts w:ascii="Times New Roman" w:hAnsi="Times New Roman" w:cs="Times New Roman"/>
        </w:rPr>
        <w:t>ed</w:t>
      </w:r>
      <w:r w:rsidR="005B2AA6" w:rsidRPr="00572651">
        <w:rPr>
          <w:rFonts w:ascii="Times New Roman" w:hAnsi="Times New Roman" w:cs="Times New Roman"/>
        </w:rPr>
        <w:t xml:space="preserve"> </w:t>
      </w:r>
      <w:r w:rsidRPr="00572651">
        <w:rPr>
          <w:rFonts w:ascii="Times New Roman" w:hAnsi="Times New Roman" w:cs="Times New Roman"/>
        </w:rPr>
        <w:t>w</w:t>
      </w:r>
      <w:r w:rsidR="005B2AA6" w:rsidRPr="00572651">
        <w:rPr>
          <w:rFonts w:ascii="Times New Roman" w:hAnsi="Times New Roman" w:cs="Times New Roman"/>
        </w:rPr>
        <w:t>ellbeing provide</w:t>
      </w:r>
      <w:r w:rsidRPr="00572651">
        <w:rPr>
          <w:rFonts w:ascii="Times New Roman" w:hAnsi="Times New Roman" w:cs="Times New Roman"/>
        </w:rPr>
        <w:t>s insight</w:t>
      </w:r>
      <w:r w:rsidR="005B2AA6" w:rsidRPr="00572651">
        <w:rPr>
          <w:rFonts w:ascii="Times New Roman" w:hAnsi="Times New Roman" w:cs="Times New Roman"/>
        </w:rPr>
        <w:t xml:space="preserve"> into life events and, in the case of job satisfaction, </w:t>
      </w:r>
      <w:r w:rsidR="0011737A" w:rsidRPr="00572651">
        <w:rPr>
          <w:rFonts w:ascii="Times New Roman" w:hAnsi="Times New Roman" w:cs="Times New Roman"/>
        </w:rPr>
        <w:t xml:space="preserve">the utility workers receive from </w:t>
      </w:r>
      <w:r w:rsidR="005B2AA6" w:rsidRPr="00572651">
        <w:rPr>
          <w:rFonts w:ascii="Times New Roman" w:hAnsi="Times New Roman" w:cs="Times New Roman"/>
        </w:rPr>
        <w:t xml:space="preserve">the </w:t>
      </w:r>
      <w:r w:rsidR="00BF6B82" w:rsidRPr="00572651">
        <w:rPr>
          <w:rFonts w:ascii="Times New Roman" w:hAnsi="Times New Roman" w:cs="Times New Roman"/>
        </w:rPr>
        <w:t>sum of all</w:t>
      </w:r>
      <w:r w:rsidR="005B2AA6" w:rsidRPr="00572651">
        <w:rPr>
          <w:rFonts w:ascii="Times New Roman" w:hAnsi="Times New Roman" w:cs="Times New Roman"/>
        </w:rPr>
        <w:t xml:space="preserve"> aspects of </w:t>
      </w:r>
      <w:r w:rsidR="00BF6B82" w:rsidRPr="00572651">
        <w:rPr>
          <w:rFonts w:ascii="Times New Roman" w:hAnsi="Times New Roman" w:cs="Times New Roman"/>
        </w:rPr>
        <w:t xml:space="preserve">a </w:t>
      </w:r>
      <w:r w:rsidR="005B2AA6" w:rsidRPr="00572651">
        <w:rPr>
          <w:rFonts w:ascii="Times New Roman" w:hAnsi="Times New Roman" w:cs="Times New Roman"/>
        </w:rPr>
        <w:t>given job</w:t>
      </w:r>
      <w:r w:rsidR="00BF6B82" w:rsidRPr="00572651">
        <w:rPr>
          <w:rFonts w:ascii="Times New Roman" w:hAnsi="Times New Roman" w:cs="Times New Roman"/>
        </w:rPr>
        <w:t xml:space="preserve"> (Hamermesh 2001</w:t>
      </w:r>
      <w:r w:rsidRPr="00572651">
        <w:rPr>
          <w:rFonts w:ascii="Times New Roman" w:hAnsi="Times New Roman" w:cs="Times New Roman"/>
        </w:rPr>
        <w:t>)</w:t>
      </w:r>
      <w:r w:rsidR="005B2AA6" w:rsidRPr="00572651">
        <w:rPr>
          <w:rFonts w:ascii="Times New Roman" w:hAnsi="Times New Roman" w:cs="Times New Roman"/>
        </w:rPr>
        <w:t>.</w:t>
      </w:r>
      <w:r w:rsidR="0011737A" w:rsidRPr="00572651">
        <w:rPr>
          <w:rFonts w:ascii="Times New Roman" w:hAnsi="Times New Roman" w:cs="Times New Roman"/>
        </w:rPr>
        <w:t xml:space="preserve"> </w:t>
      </w:r>
      <w:r w:rsidR="00687AFC" w:rsidRPr="00572651">
        <w:rPr>
          <w:rFonts w:ascii="Times New Roman" w:hAnsi="Times New Roman" w:cs="Times New Roman"/>
        </w:rPr>
        <w:t xml:space="preserve">This has led to an increase in our </w:t>
      </w:r>
      <w:r w:rsidR="0011737A" w:rsidRPr="00572651">
        <w:rPr>
          <w:rFonts w:ascii="Times New Roman" w:hAnsi="Times New Roman" w:cs="Times New Roman"/>
        </w:rPr>
        <w:t xml:space="preserve">understanding </w:t>
      </w:r>
      <w:r w:rsidR="00687AFC" w:rsidRPr="00572651">
        <w:rPr>
          <w:rFonts w:ascii="Times New Roman" w:hAnsi="Times New Roman" w:cs="Times New Roman"/>
        </w:rPr>
        <w:t xml:space="preserve">of </w:t>
      </w:r>
      <w:r w:rsidR="0011737A" w:rsidRPr="00572651">
        <w:rPr>
          <w:rFonts w:ascii="Times New Roman" w:hAnsi="Times New Roman" w:cs="Times New Roman"/>
        </w:rPr>
        <w:t>how workers respond to variations in job and contractual conditions such as job security, temporary emp</w:t>
      </w:r>
      <w:r w:rsidR="00900655" w:rsidRPr="00572651">
        <w:rPr>
          <w:rFonts w:ascii="Times New Roman" w:hAnsi="Times New Roman" w:cs="Times New Roman"/>
        </w:rPr>
        <w:t xml:space="preserve">loyment and performance </w:t>
      </w:r>
      <w:r w:rsidR="0011737A" w:rsidRPr="00572651">
        <w:rPr>
          <w:rFonts w:ascii="Times New Roman" w:hAnsi="Times New Roman" w:cs="Times New Roman"/>
        </w:rPr>
        <w:t>pay</w:t>
      </w:r>
      <w:r w:rsidR="004955CA" w:rsidRPr="00572651">
        <w:rPr>
          <w:rFonts w:ascii="Times New Roman" w:hAnsi="Times New Roman" w:cs="Times New Roman"/>
        </w:rPr>
        <w:t xml:space="preserve"> (</w:t>
      </w:r>
      <w:r w:rsidR="007C04C4" w:rsidRPr="00572651">
        <w:rPr>
          <w:rFonts w:ascii="Times New Roman" w:hAnsi="Times New Roman" w:cs="Times New Roman"/>
        </w:rPr>
        <w:t>Booth et al 2002</w:t>
      </w:r>
      <w:r w:rsidR="00B34089" w:rsidRPr="00572651">
        <w:rPr>
          <w:rFonts w:ascii="Times New Roman" w:hAnsi="Times New Roman" w:cs="Times New Roman"/>
        </w:rPr>
        <w:t xml:space="preserve">; Clark 2001; </w:t>
      </w:r>
      <w:r w:rsidR="007C04C4" w:rsidRPr="00572651">
        <w:rPr>
          <w:rFonts w:ascii="Times New Roman" w:hAnsi="Times New Roman" w:cs="Times New Roman"/>
        </w:rPr>
        <w:t>Green and Heywood 2008</w:t>
      </w:r>
      <w:r w:rsidR="00687AFC" w:rsidRPr="00572651">
        <w:rPr>
          <w:rFonts w:ascii="Times New Roman" w:hAnsi="Times New Roman" w:cs="Times New Roman"/>
        </w:rPr>
        <w:t>)</w:t>
      </w:r>
      <w:r w:rsidR="0011737A" w:rsidRPr="00572651">
        <w:rPr>
          <w:rFonts w:ascii="Times New Roman" w:hAnsi="Times New Roman" w:cs="Times New Roman"/>
        </w:rPr>
        <w:t xml:space="preserve">. </w:t>
      </w:r>
      <w:r w:rsidR="00DC39B8" w:rsidRPr="00572651">
        <w:rPr>
          <w:rFonts w:ascii="Times New Roman" w:hAnsi="Times New Roman" w:cs="Times New Roman"/>
        </w:rPr>
        <w:t>At the same time, the</w:t>
      </w:r>
      <w:r w:rsidR="00687AFC" w:rsidRPr="00572651">
        <w:rPr>
          <w:rFonts w:ascii="Times New Roman" w:hAnsi="Times New Roman" w:cs="Times New Roman"/>
        </w:rPr>
        <w:t xml:space="preserve"> so-called </w:t>
      </w:r>
      <w:r w:rsidR="00A66CDE" w:rsidRPr="00572651">
        <w:rPr>
          <w:rFonts w:ascii="Times New Roman" w:hAnsi="Times New Roman" w:cs="Times New Roman"/>
        </w:rPr>
        <w:t>'</w:t>
      </w:r>
      <w:r w:rsidR="00687AFC" w:rsidRPr="00572651">
        <w:rPr>
          <w:rFonts w:ascii="Times New Roman" w:hAnsi="Times New Roman" w:cs="Times New Roman"/>
        </w:rPr>
        <w:t xml:space="preserve">paradox </w:t>
      </w:r>
      <w:r w:rsidR="00A66CDE" w:rsidRPr="00572651">
        <w:rPr>
          <w:rFonts w:ascii="Times New Roman" w:hAnsi="Times New Roman" w:cs="Times New Roman"/>
        </w:rPr>
        <w:t xml:space="preserve">of the </w:t>
      </w:r>
      <w:r w:rsidR="00C733EA" w:rsidRPr="00572651">
        <w:rPr>
          <w:rFonts w:ascii="Times New Roman" w:hAnsi="Times New Roman" w:cs="Times New Roman"/>
        </w:rPr>
        <w:t>contented female</w:t>
      </w:r>
      <w:r w:rsidR="00FF12A5" w:rsidRPr="00572651">
        <w:rPr>
          <w:rFonts w:ascii="Times New Roman" w:hAnsi="Times New Roman" w:cs="Times New Roman"/>
        </w:rPr>
        <w:t xml:space="preserve"> worker</w:t>
      </w:r>
      <w:r w:rsidR="00A66CDE" w:rsidRPr="00572651">
        <w:rPr>
          <w:rFonts w:ascii="Times New Roman" w:hAnsi="Times New Roman" w:cs="Times New Roman"/>
        </w:rPr>
        <w:t>'</w:t>
      </w:r>
      <w:r w:rsidR="00DC39B8" w:rsidRPr="00572651">
        <w:rPr>
          <w:rFonts w:ascii="Times New Roman" w:hAnsi="Times New Roman" w:cs="Times New Roman"/>
        </w:rPr>
        <w:t xml:space="preserve"> has </w:t>
      </w:r>
      <w:r w:rsidR="00C82977" w:rsidRPr="00572651">
        <w:rPr>
          <w:rFonts w:ascii="Times New Roman" w:hAnsi="Times New Roman" w:cs="Times New Roman"/>
        </w:rPr>
        <w:t xml:space="preserve">attracted </w:t>
      </w:r>
      <w:r w:rsidR="00712D7A" w:rsidRPr="00572651">
        <w:rPr>
          <w:rFonts w:ascii="Times New Roman" w:hAnsi="Times New Roman" w:cs="Times New Roman"/>
        </w:rPr>
        <w:t xml:space="preserve">enormous attention from researchers examining </w:t>
      </w:r>
      <w:r w:rsidR="00900655" w:rsidRPr="00572651">
        <w:rPr>
          <w:rFonts w:ascii="Times New Roman" w:hAnsi="Times New Roman" w:cs="Times New Roman"/>
        </w:rPr>
        <w:t>job satisfaction:</w:t>
      </w:r>
      <w:r w:rsidR="00DC39B8" w:rsidRPr="00572651">
        <w:rPr>
          <w:rFonts w:ascii="Times New Roman" w:hAnsi="Times New Roman" w:cs="Times New Roman"/>
        </w:rPr>
        <w:t xml:space="preserve"> f</w:t>
      </w:r>
      <w:r w:rsidR="0074282F" w:rsidRPr="00572651">
        <w:rPr>
          <w:rFonts w:ascii="Times New Roman" w:hAnsi="Times New Roman" w:cs="Times New Roman"/>
        </w:rPr>
        <w:t xml:space="preserve">emale workers </w:t>
      </w:r>
      <w:r w:rsidR="0049466D" w:rsidRPr="00572651">
        <w:rPr>
          <w:rFonts w:ascii="Times New Roman" w:hAnsi="Times New Roman" w:cs="Times New Roman"/>
        </w:rPr>
        <w:t>with</w:t>
      </w:r>
      <w:r w:rsidR="00C82977" w:rsidRPr="00572651">
        <w:rPr>
          <w:rFonts w:ascii="Times New Roman" w:hAnsi="Times New Roman" w:cs="Times New Roman"/>
        </w:rPr>
        <w:t xml:space="preserve"> </w:t>
      </w:r>
      <w:r w:rsidR="00687AFC" w:rsidRPr="00572651">
        <w:rPr>
          <w:rFonts w:ascii="Times New Roman" w:hAnsi="Times New Roman" w:cs="Times New Roman"/>
        </w:rPr>
        <w:t>worse labour market outcomes</w:t>
      </w:r>
      <w:r w:rsidR="00DC39B8" w:rsidRPr="00572651">
        <w:rPr>
          <w:rFonts w:ascii="Times New Roman" w:hAnsi="Times New Roman" w:cs="Times New Roman"/>
        </w:rPr>
        <w:t xml:space="preserve"> routinely </w:t>
      </w:r>
      <w:r w:rsidR="00C82977" w:rsidRPr="00572651">
        <w:rPr>
          <w:rFonts w:ascii="Times New Roman" w:hAnsi="Times New Roman" w:cs="Times New Roman"/>
        </w:rPr>
        <w:t>report</w:t>
      </w:r>
      <w:r w:rsidR="00FF12A5" w:rsidRPr="00572651">
        <w:rPr>
          <w:rFonts w:ascii="Times New Roman" w:hAnsi="Times New Roman" w:cs="Times New Roman"/>
        </w:rPr>
        <w:t>ed</w:t>
      </w:r>
      <w:r w:rsidR="00687AFC" w:rsidRPr="00572651">
        <w:rPr>
          <w:rFonts w:ascii="Times New Roman" w:hAnsi="Times New Roman" w:cs="Times New Roman"/>
        </w:rPr>
        <w:t xml:space="preserve"> </w:t>
      </w:r>
      <w:r w:rsidR="00DC39B8" w:rsidRPr="00572651">
        <w:rPr>
          <w:rFonts w:ascii="Times New Roman" w:hAnsi="Times New Roman" w:cs="Times New Roman"/>
        </w:rPr>
        <w:t xml:space="preserve">markedly </w:t>
      </w:r>
      <w:r w:rsidR="00687AFC" w:rsidRPr="00572651">
        <w:rPr>
          <w:rFonts w:ascii="Times New Roman" w:hAnsi="Times New Roman" w:cs="Times New Roman"/>
        </w:rPr>
        <w:t>higher job satisfaction (Clark 1997). At best th</w:t>
      </w:r>
      <w:r w:rsidR="00DC39B8" w:rsidRPr="00572651">
        <w:rPr>
          <w:rFonts w:ascii="Times New Roman" w:hAnsi="Times New Roman" w:cs="Times New Roman"/>
        </w:rPr>
        <w:t>is</w:t>
      </w:r>
      <w:r w:rsidR="00687AFC" w:rsidRPr="00572651">
        <w:rPr>
          <w:rFonts w:ascii="Times New Roman" w:hAnsi="Times New Roman" w:cs="Times New Roman"/>
        </w:rPr>
        <w:t xml:space="preserve"> </w:t>
      </w:r>
      <w:r w:rsidR="00900655" w:rsidRPr="00572651">
        <w:rPr>
          <w:rFonts w:ascii="Times New Roman" w:hAnsi="Times New Roman" w:cs="Times New Roman"/>
        </w:rPr>
        <w:t xml:space="preserve">has </w:t>
      </w:r>
      <w:r w:rsidR="00687AFC" w:rsidRPr="00572651">
        <w:rPr>
          <w:rFonts w:ascii="Times New Roman" w:hAnsi="Times New Roman" w:cs="Times New Roman"/>
        </w:rPr>
        <w:t>represent</w:t>
      </w:r>
      <w:r w:rsidR="00900655" w:rsidRPr="00572651">
        <w:rPr>
          <w:rFonts w:ascii="Times New Roman" w:hAnsi="Times New Roman" w:cs="Times New Roman"/>
        </w:rPr>
        <w:t>ed</w:t>
      </w:r>
      <w:r w:rsidR="00687AFC" w:rsidRPr="00572651">
        <w:rPr>
          <w:rFonts w:ascii="Times New Roman" w:hAnsi="Times New Roman" w:cs="Times New Roman"/>
        </w:rPr>
        <w:t xml:space="preserve"> </w:t>
      </w:r>
      <w:r w:rsidR="00DC39B8" w:rsidRPr="00572651">
        <w:rPr>
          <w:rFonts w:ascii="Times New Roman" w:hAnsi="Times New Roman" w:cs="Times New Roman"/>
        </w:rPr>
        <w:t xml:space="preserve">a </w:t>
      </w:r>
      <w:r w:rsidR="0074282F" w:rsidRPr="00572651">
        <w:rPr>
          <w:rFonts w:ascii="Times New Roman" w:hAnsi="Times New Roman" w:cs="Times New Roman"/>
        </w:rPr>
        <w:t>puzzle worthy of investigation.</w:t>
      </w:r>
      <w:r w:rsidR="00687AFC" w:rsidRPr="00572651">
        <w:rPr>
          <w:rFonts w:ascii="Times New Roman" w:hAnsi="Times New Roman" w:cs="Times New Roman"/>
        </w:rPr>
        <w:t xml:space="preserve"> </w:t>
      </w:r>
      <w:r w:rsidR="0074282F" w:rsidRPr="00572651">
        <w:rPr>
          <w:rFonts w:ascii="Times New Roman" w:hAnsi="Times New Roman" w:cs="Times New Roman"/>
        </w:rPr>
        <w:t>At</w:t>
      </w:r>
      <w:r w:rsidR="00DC39B8" w:rsidRPr="00572651">
        <w:rPr>
          <w:rFonts w:ascii="Times New Roman" w:hAnsi="Times New Roman" w:cs="Times New Roman"/>
        </w:rPr>
        <w:t xml:space="preserve"> worst it</w:t>
      </w:r>
      <w:r w:rsidR="00687AFC" w:rsidRPr="00572651">
        <w:rPr>
          <w:rFonts w:ascii="Times New Roman" w:hAnsi="Times New Roman" w:cs="Times New Roman"/>
        </w:rPr>
        <w:t xml:space="preserve"> </w:t>
      </w:r>
      <w:r w:rsidR="00C82977" w:rsidRPr="00572651">
        <w:rPr>
          <w:rFonts w:ascii="Times New Roman" w:hAnsi="Times New Roman" w:cs="Times New Roman"/>
        </w:rPr>
        <w:t>pose</w:t>
      </w:r>
      <w:r w:rsidR="00DC39B8" w:rsidRPr="00572651">
        <w:rPr>
          <w:rFonts w:ascii="Times New Roman" w:hAnsi="Times New Roman" w:cs="Times New Roman"/>
        </w:rPr>
        <w:t>s</w:t>
      </w:r>
      <w:r w:rsidR="00687AFC" w:rsidRPr="00572651">
        <w:rPr>
          <w:rFonts w:ascii="Times New Roman" w:hAnsi="Times New Roman" w:cs="Times New Roman"/>
        </w:rPr>
        <w:t xml:space="preserve"> question</w:t>
      </w:r>
      <w:r w:rsidR="00C82977" w:rsidRPr="00572651">
        <w:rPr>
          <w:rFonts w:ascii="Times New Roman" w:hAnsi="Times New Roman" w:cs="Times New Roman"/>
        </w:rPr>
        <w:t>s</w:t>
      </w:r>
      <w:r w:rsidR="00687AFC" w:rsidRPr="00572651">
        <w:rPr>
          <w:rFonts w:ascii="Times New Roman" w:hAnsi="Times New Roman" w:cs="Times New Roman"/>
        </w:rPr>
        <w:t xml:space="preserve"> </w:t>
      </w:r>
      <w:r w:rsidR="00C82977" w:rsidRPr="00572651">
        <w:rPr>
          <w:rFonts w:ascii="Times New Roman" w:hAnsi="Times New Roman" w:cs="Times New Roman"/>
        </w:rPr>
        <w:t>re</w:t>
      </w:r>
      <w:r w:rsidR="004955CA" w:rsidRPr="00572651">
        <w:rPr>
          <w:rFonts w:ascii="Times New Roman" w:hAnsi="Times New Roman" w:cs="Times New Roman"/>
        </w:rPr>
        <w:t>g</w:t>
      </w:r>
      <w:r w:rsidR="00C82977" w:rsidRPr="00572651">
        <w:rPr>
          <w:rFonts w:ascii="Times New Roman" w:hAnsi="Times New Roman" w:cs="Times New Roman"/>
        </w:rPr>
        <w:t>a</w:t>
      </w:r>
      <w:r w:rsidR="004955CA" w:rsidRPr="00572651">
        <w:rPr>
          <w:rFonts w:ascii="Times New Roman" w:hAnsi="Times New Roman" w:cs="Times New Roman"/>
        </w:rPr>
        <w:t>r</w:t>
      </w:r>
      <w:r w:rsidR="00C82977" w:rsidRPr="00572651">
        <w:rPr>
          <w:rFonts w:ascii="Times New Roman" w:hAnsi="Times New Roman" w:cs="Times New Roman"/>
        </w:rPr>
        <w:t xml:space="preserve">ding </w:t>
      </w:r>
      <w:r w:rsidR="00687AFC" w:rsidRPr="00572651">
        <w:rPr>
          <w:rFonts w:ascii="Times New Roman" w:hAnsi="Times New Roman" w:cs="Times New Roman"/>
        </w:rPr>
        <w:t>the value of job satisfaction as</w:t>
      </w:r>
      <w:r w:rsidR="00900655" w:rsidRPr="00572651">
        <w:rPr>
          <w:rFonts w:ascii="Times New Roman" w:hAnsi="Times New Roman" w:cs="Times New Roman"/>
        </w:rPr>
        <w:t xml:space="preserve"> a metric of worker utility from</w:t>
      </w:r>
      <w:r w:rsidR="00687AFC" w:rsidRPr="00572651">
        <w:rPr>
          <w:rFonts w:ascii="Times New Roman" w:hAnsi="Times New Roman" w:cs="Times New Roman"/>
        </w:rPr>
        <w:t xml:space="preserve"> the job. </w:t>
      </w:r>
    </w:p>
    <w:p w14:paraId="730F6AA8" w14:textId="05597C9B" w:rsidR="006D05E8" w:rsidRPr="00572651" w:rsidRDefault="00C82977" w:rsidP="00DC39B8">
      <w:pPr>
        <w:spacing w:after="0" w:line="480" w:lineRule="auto"/>
        <w:ind w:firstLine="720"/>
        <w:jc w:val="both"/>
        <w:rPr>
          <w:rFonts w:ascii="Times New Roman" w:hAnsi="Times New Roman" w:cs="Times New Roman"/>
        </w:rPr>
      </w:pPr>
      <w:r w:rsidRPr="00572651">
        <w:rPr>
          <w:rFonts w:ascii="Times New Roman" w:hAnsi="Times New Roman" w:cs="Times New Roman"/>
        </w:rPr>
        <w:t>T</w:t>
      </w:r>
      <w:r w:rsidR="006D05E8" w:rsidRPr="00572651">
        <w:rPr>
          <w:rFonts w:ascii="Times New Roman" w:hAnsi="Times New Roman" w:cs="Times New Roman"/>
        </w:rPr>
        <w:t xml:space="preserve">he </w:t>
      </w:r>
      <w:r w:rsidR="00331594" w:rsidRPr="00572651">
        <w:rPr>
          <w:rFonts w:ascii="Times New Roman" w:hAnsi="Times New Roman" w:cs="Times New Roman"/>
        </w:rPr>
        <w:t xml:space="preserve">large subsequent </w:t>
      </w:r>
      <w:r w:rsidR="006D05E8" w:rsidRPr="00572651">
        <w:rPr>
          <w:rFonts w:ascii="Times New Roman" w:hAnsi="Times New Roman" w:cs="Times New Roman"/>
        </w:rPr>
        <w:t>literature on female</w:t>
      </w:r>
      <w:r w:rsidR="00331594" w:rsidRPr="00572651">
        <w:rPr>
          <w:rFonts w:ascii="Times New Roman" w:hAnsi="Times New Roman" w:cs="Times New Roman"/>
        </w:rPr>
        <w:t xml:space="preserve"> job</w:t>
      </w:r>
      <w:r w:rsidR="00C50456" w:rsidRPr="00572651">
        <w:rPr>
          <w:rFonts w:ascii="Times New Roman" w:hAnsi="Times New Roman" w:cs="Times New Roman"/>
        </w:rPr>
        <w:t xml:space="preserve"> satisfaction</w:t>
      </w:r>
      <w:r w:rsidR="005360C0" w:rsidRPr="00572651">
        <w:rPr>
          <w:rFonts w:ascii="Times New Roman" w:hAnsi="Times New Roman" w:cs="Times New Roman"/>
        </w:rPr>
        <w:t xml:space="preserve"> has</w:t>
      </w:r>
      <w:r w:rsidR="00C50456" w:rsidRPr="00572651">
        <w:rPr>
          <w:rFonts w:ascii="Times New Roman" w:hAnsi="Times New Roman" w:cs="Times New Roman"/>
        </w:rPr>
        <w:t xml:space="preserve"> often</w:t>
      </w:r>
      <w:r w:rsidR="006D05E8" w:rsidRPr="00572651">
        <w:rPr>
          <w:rFonts w:ascii="Times New Roman" w:hAnsi="Times New Roman" w:cs="Times New Roman"/>
        </w:rPr>
        <w:t xml:space="preserve"> taken </w:t>
      </w:r>
      <w:r w:rsidR="00657817" w:rsidRPr="00572651">
        <w:rPr>
          <w:rFonts w:ascii="Times New Roman" w:hAnsi="Times New Roman" w:cs="Times New Roman"/>
        </w:rPr>
        <w:t xml:space="preserve">as given </w:t>
      </w:r>
      <w:r w:rsidR="006D05E8" w:rsidRPr="00572651">
        <w:rPr>
          <w:rFonts w:ascii="Times New Roman" w:hAnsi="Times New Roman" w:cs="Times New Roman"/>
        </w:rPr>
        <w:t xml:space="preserve">the </w:t>
      </w:r>
      <w:r w:rsidR="00331594" w:rsidRPr="00572651">
        <w:rPr>
          <w:rFonts w:ascii="Times New Roman" w:hAnsi="Times New Roman" w:cs="Times New Roman"/>
        </w:rPr>
        <w:t xml:space="preserve">original </w:t>
      </w:r>
      <w:r w:rsidR="006D05E8" w:rsidRPr="00572651">
        <w:rPr>
          <w:rFonts w:ascii="Times New Roman" w:hAnsi="Times New Roman" w:cs="Times New Roman"/>
        </w:rPr>
        <w:t>‘paradox of the contented female</w:t>
      </w:r>
      <w:r w:rsidR="00C92D1C" w:rsidRPr="00572651">
        <w:rPr>
          <w:rFonts w:ascii="Times New Roman" w:hAnsi="Times New Roman" w:cs="Times New Roman"/>
        </w:rPr>
        <w:t xml:space="preserve"> worker</w:t>
      </w:r>
      <w:r w:rsidR="006D05E8" w:rsidRPr="00572651">
        <w:rPr>
          <w:rFonts w:ascii="Times New Roman" w:hAnsi="Times New Roman" w:cs="Times New Roman"/>
        </w:rPr>
        <w:t xml:space="preserve">’ and </w:t>
      </w:r>
      <w:r w:rsidR="00CC4788" w:rsidRPr="00572651">
        <w:rPr>
          <w:rFonts w:ascii="Times New Roman" w:hAnsi="Times New Roman" w:cs="Times New Roman"/>
        </w:rPr>
        <w:t xml:space="preserve">seeks </w:t>
      </w:r>
      <w:r w:rsidR="006D05E8" w:rsidRPr="00572651">
        <w:rPr>
          <w:rFonts w:ascii="Times New Roman" w:hAnsi="Times New Roman" w:cs="Times New Roman"/>
        </w:rPr>
        <w:t>explanations for its existence (</w:t>
      </w:r>
      <w:r w:rsidR="00B34089" w:rsidRPr="00572651">
        <w:rPr>
          <w:rFonts w:ascii="Times New Roman" w:hAnsi="Times New Roman" w:cs="Times New Roman"/>
        </w:rPr>
        <w:t xml:space="preserve">Bender et al. 2005; Kifle et al, 2014; </w:t>
      </w:r>
      <w:r w:rsidR="00CF3051" w:rsidRPr="00572651">
        <w:rPr>
          <w:rFonts w:ascii="Times New Roman" w:hAnsi="Times New Roman" w:cs="Times New Roman"/>
        </w:rPr>
        <w:t>Kristensen and Johansson 2008</w:t>
      </w:r>
      <w:r w:rsidR="00B34089" w:rsidRPr="00572651">
        <w:rPr>
          <w:rFonts w:ascii="Times New Roman" w:hAnsi="Times New Roman" w:cs="Times New Roman"/>
        </w:rPr>
        <w:t xml:space="preserve">; </w:t>
      </w:r>
      <w:r w:rsidR="006561E8" w:rsidRPr="00572651">
        <w:rPr>
          <w:rFonts w:ascii="Times New Roman" w:hAnsi="Times New Roman" w:cs="Times New Roman"/>
        </w:rPr>
        <w:t>Mumford and Smith 2015</w:t>
      </w:r>
      <w:r w:rsidR="00B34089" w:rsidRPr="00572651">
        <w:rPr>
          <w:rFonts w:ascii="Times New Roman" w:hAnsi="Times New Roman" w:cs="Times New Roman"/>
        </w:rPr>
        <w:t>; Sloane and Williams 2000</w:t>
      </w:r>
      <w:r w:rsidR="006D05E8" w:rsidRPr="00572651">
        <w:rPr>
          <w:rFonts w:ascii="Times New Roman" w:hAnsi="Times New Roman" w:cs="Times New Roman"/>
        </w:rPr>
        <w:t>).</w:t>
      </w:r>
      <w:r w:rsidR="00CF3051" w:rsidRPr="00572651">
        <w:rPr>
          <w:rFonts w:ascii="Times New Roman" w:hAnsi="Times New Roman" w:cs="Times New Roman"/>
        </w:rPr>
        <w:t xml:space="preserve"> As Carleton and Clain (2012</w:t>
      </w:r>
      <w:r w:rsidR="00047CCC" w:rsidRPr="00572651">
        <w:rPr>
          <w:rFonts w:ascii="Times New Roman" w:hAnsi="Times New Roman" w:cs="Times New Roman"/>
        </w:rPr>
        <w:t xml:space="preserve">: </w:t>
      </w:r>
      <w:r w:rsidR="00807CA1" w:rsidRPr="00572651">
        <w:rPr>
          <w:rFonts w:ascii="Times New Roman" w:hAnsi="Times New Roman" w:cs="Times New Roman"/>
        </w:rPr>
        <w:t>331</w:t>
      </w:r>
      <w:r w:rsidR="00CF3051" w:rsidRPr="00572651">
        <w:rPr>
          <w:rFonts w:ascii="Times New Roman" w:hAnsi="Times New Roman" w:cs="Times New Roman"/>
        </w:rPr>
        <w:t>) put it</w:t>
      </w:r>
      <w:r w:rsidR="00BF5C47" w:rsidRPr="00572651">
        <w:rPr>
          <w:rFonts w:ascii="Times New Roman" w:hAnsi="Times New Roman" w:cs="Times New Roman"/>
        </w:rPr>
        <w:t>,</w:t>
      </w:r>
      <w:r w:rsidR="00CF3051" w:rsidRPr="00572651">
        <w:rPr>
          <w:rFonts w:ascii="Times New Roman" w:hAnsi="Times New Roman" w:cs="Times New Roman"/>
        </w:rPr>
        <w:t xml:space="preserve"> "the common approach </w:t>
      </w:r>
      <w:r w:rsidR="00807CA1" w:rsidRPr="00572651">
        <w:rPr>
          <w:rFonts w:ascii="Times New Roman" w:hAnsi="Times New Roman" w:cs="Times New Roman"/>
        </w:rPr>
        <w:t xml:space="preserve">to the </w:t>
      </w:r>
      <w:r w:rsidR="00CF3051" w:rsidRPr="00572651">
        <w:rPr>
          <w:rFonts w:ascii="Times New Roman" w:hAnsi="Times New Roman" w:cs="Times New Roman"/>
        </w:rPr>
        <w:t>issue has been to search for some previous overlooked factor</w:t>
      </w:r>
      <w:r w:rsidR="00807CA1" w:rsidRPr="00572651">
        <w:rPr>
          <w:rFonts w:ascii="Times New Roman" w:hAnsi="Times New Roman" w:cs="Times New Roman"/>
        </w:rPr>
        <w:t>, that once included in the analysis, causes the gender difference to disappear."</w:t>
      </w:r>
    </w:p>
    <w:p w14:paraId="317BAF3C" w14:textId="085E64A3" w:rsidR="009632BB" w:rsidRPr="000932A9" w:rsidRDefault="006D05E8" w:rsidP="00666B12">
      <w:pPr>
        <w:spacing w:after="0" w:line="480" w:lineRule="auto"/>
        <w:ind w:firstLine="720"/>
        <w:jc w:val="both"/>
        <w:rPr>
          <w:rFonts w:ascii="Times New Roman" w:hAnsi="Times New Roman" w:cs="Times New Roman"/>
        </w:rPr>
      </w:pPr>
      <w:r w:rsidRPr="00572651">
        <w:rPr>
          <w:rFonts w:ascii="Times New Roman" w:hAnsi="Times New Roman" w:cs="Times New Roman"/>
        </w:rPr>
        <w:t xml:space="preserve">This paper </w:t>
      </w:r>
      <w:r w:rsidR="00944A73" w:rsidRPr="00572651">
        <w:rPr>
          <w:rFonts w:ascii="Times New Roman" w:hAnsi="Times New Roman" w:cs="Times New Roman"/>
        </w:rPr>
        <w:t>revisit</w:t>
      </w:r>
      <w:r w:rsidRPr="00572651">
        <w:rPr>
          <w:rFonts w:ascii="Times New Roman" w:hAnsi="Times New Roman" w:cs="Times New Roman"/>
        </w:rPr>
        <w:t>s</w:t>
      </w:r>
      <w:r w:rsidR="00944A73" w:rsidRPr="00572651">
        <w:rPr>
          <w:rFonts w:ascii="Times New Roman" w:hAnsi="Times New Roman" w:cs="Times New Roman"/>
        </w:rPr>
        <w:t xml:space="preserve"> the par</w:t>
      </w:r>
      <w:r w:rsidRPr="00572651">
        <w:rPr>
          <w:rFonts w:ascii="Times New Roman" w:hAnsi="Times New Roman" w:cs="Times New Roman"/>
        </w:rPr>
        <w:t>adox of the contented female</w:t>
      </w:r>
      <w:r w:rsidR="00FF12A5" w:rsidRPr="00572651">
        <w:rPr>
          <w:rFonts w:ascii="Times New Roman" w:hAnsi="Times New Roman" w:cs="Times New Roman"/>
        </w:rPr>
        <w:t xml:space="preserve"> worker</w:t>
      </w:r>
      <w:r w:rsidRPr="00572651">
        <w:rPr>
          <w:rFonts w:ascii="Times New Roman" w:hAnsi="Times New Roman" w:cs="Times New Roman"/>
        </w:rPr>
        <w:t xml:space="preserve">, </w:t>
      </w:r>
      <w:r w:rsidR="00944A73" w:rsidRPr="00572651">
        <w:rPr>
          <w:rFonts w:ascii="Times New Roman" w:hAnsi="Times New Roman" w:cs="Times New Roman"/>
        </w:rPr>
        <w:t>returni</w:t>
      </w:r>
      <w:r w:rsidR="00657817" w:rsidRPr="00572651">
        <w:rPr>
          <w:rFonts w:ascii="Times New Roman" w:hAnsi="Times New Roman" w:cs="Times New Roman"/>
        </w:rPr>
        <w:t>ng</w:t>
      </w:r>
      <w:r w:rsidR="00657817" w:rsidRPr="000932A9">
        <w:rPr>
          <w:rFonts w:ascii="Times New Roman" w:hAnsi="Times New Roman" w:cs="Times New Roman"/>
        </w:rPr>
        <w:t xml:space="preserve"> to the original</w:t>
      </w:r>
      <w:r w:rsidR="00F44568" w:rsidRPr="000932A9">
        <w:rPr>
          <w:rFonts w:ascii="Times New Roman" w:hAnsi="Times New Roman" w:cs="Times New Roman"/>
        </w:rPr>
        <w:t xml:space="preserve"> specification</w:t>
      </w:r>
      <w:r w:rsidR="00944A73" w:rsidRPr="000932A9">
        <w:rPr>
          <w:rFonts w:ascii="Times New Roman" w:hAnsi="Times New Roman" w:cs="Times New Roman"/>
        </w:rPr>
        <w:t xml:space="preserve"> and data </w:t>
      </w:r>
      <w:r w:rsidR="007A0DCC" w:rsidRPr="000932A9">
        <w:rPr>
          <w:rFonts w:ascii="Times New Roman" w:hAnsi="Times New Roman" w:cs="Times New Roman"/>
        </w:rPr>
        <w:t xml:space="preserve">source </w:t>
      </w:r>
      <w:r w:rsidR="00944A73" w:rsidRPr="000932A9">
        <w:rPr>
          <w:rFonts w:ascii="Times New Roman" w:hAnsi="Times New Roman" w:cs="Times New Roman"/>
        </w:rPr>
        <w:t>used by Clark (1997)</w:t>
      </w:r>
      <w:r w:rsidR="004955CA" w:rsidRPr="000932A9">
        <w:rPr>
          <w:rFonts w:ascii="Times New Roman" w:hAnsi="Times New Roman" w:cs="Times New Roman"/>
        </w:rPr>
        <w:t xml:space="preserve"> </w:t>
      </w:r>
      <w:r w:rsidR="00C92D1C" w:rsidRPr="000932A9">
        <w:rPr>
          <w:rFonts w:ascii="Times New Roman" w:hAnsi="Times New Roman" w:cs="Times New Roman"/>
        </w:rPr>
        <w:t>and</w:t>
      </w:r>
      <w:r w:rsidR="00944A73" w:rsidRPr="000932A9">
        <w:rPr>
          <w:rFonts w:ascii="Times New Roman" w:hAnsi="Times New Roman" w:cs="Times New Roman"/>
        </w:rPr>
        <w:t xml:space="preserve"> e</w:t>
      </w:r>
      <w:r w:rsidR="004955CA" w:rsidRPr="000932A9">
        <w:rPr>
          <w:rFonts w:ascii="Times New Roman" w:hAnsi="Times New Roman" w:cs="Times New Roman"/>
        </w:rPr>
        <w:t>stimate</w:t>
      </w:r>
      <w:r w:rsidR="00C92D1C" w:rsidRPr="000932A9">
        <w:rPr>
          <w:rFonts w:ascii="Times New Roman" w:hAnsi="Times New Roman" w:cs="Times New Roman"/>
        </w:rPr>
        <w:t>s</w:t>
      </w:r>
      <w:r w:rsidR="00944A73" w:rsidRPr="000932A9">
        <w:rPr>
          <w:rFonts w:ascii="Times New Roman" w:hAnsi="Times New Roman" w:cs="Times New Roman"/>
        </w:rPr>
        <w:t xml:space="preserve"> the </w:t>
      </w:r>
      <w:r w:rsidR="007A0DCC" w:rsidRPr="000932A9">
        <w:rPr>
          <w:rFonts w:ascii="Times New Roman" w:hAnsi="Times New Roman" w:cs="Times New Roman"/>
        </w:rPr>
        <w:t xml:space="preserve">trajectory of </w:t>
      </w:r>
      <w:r w:rsidR="00944A73" w:rsidRPr="000932A9">
        <w:rPr>
          <w:rFonts w:ascii="Times New Roman" w:hAnsi="Times New Roman" w:cs="Times New Roman"/>
        </w:rPr>
        <w:t xml:space="preserve">female job satisfaction over </w:t>
      </w:r>
      <w:r w:rsidR="006561E8" w:rsidRPr="000932A9">
        <w:rPr>
          <w:rFonts w:ascii="Times New Roman" w:hAnsi="Times New Roman" w:cs="Times New Roman"/>
        </w:rPr>
        <w:t xml:space="preserve">the </w:t>
      </w:r>
      <w:r w:rsidRPr="000932A9">
        <w:rPr>
          <w:rFonts w:ascii="Times New Roman" w:hAnsi="Times New Roman" w:cs="Times New Roman"/>
        </w:rPr>
        <w:t xml:space="preserve">two </w:t>
      </w:r>
      <w:r w:rsidR="00944A73" w:rsidRPr="000932A9">
        <w:rPr>
          <w:rFonts w:ascii="Times New Roman" w:hAnsi="Times New Roman" w:cs="Times New Roman"/>
        </w:rPr>
        <w:t>decade</w:t>
      </w:r>
      <w:r w:rsidRPr="000932A9">
        <w:rPr>
          <w:rFonts w:ascii="Times New Roman" w:hAnsi="Times New Roman" w:cs="Times New Roman"/>
        </w:rPr>
        <w:t>s</w:t>
      </w:r>
      <w:r w:rsidR="007A0DCC" w:rsidRPr="000932A9">
        <w:rPr>
          <w:rFonts w:ascii="Times New Roman" w:hAnsi="Times New Roman" w:cs="Times New Roman"/>
        </w:rPr>
        <w:t xml:space="preserve"> since </w:t>
      </w:r>
      <w:r w:rsidR="006561E8" w:rsidRPr="000932A9">
        <w:rPr>
          <w:rFonts w:ascii="Times New Roman" w:hAnsi="Times New Roman" w:cs="Times New Roman"/>
        </w:rPr>
        <w:t>that</w:t>
      </w:r>
      <w:r w:rsidR="007A0DCC" w:rsidRPr="000932A9">
        <w:rPr>
          <w:rFonts w:ascii="Times New Roman" w:hAnsi="Times New Roman" w:cs="Times New Roman"/>
        </w:rPr>
        <w:t xml:space="preserve"> semina</w:t>
      </w:r>
      <w:r w:rsidR="00807CA1" w:rsidRPr="000932A9">
        <w:rPr>
          <w:rFonts w:ascii="Times New Roman" w:hAnsi="Times New Roman" w:cs="Times New Roman"/>
        </w:rPr>
        <w:t>l</w:t>
      </w:r>
      <w:r w:rsidR="007A0DCC" w:rsidRPr="000932A9">
        <w:rPr>
          <w:rFonts w:ascii="Times New Roman" w:hAnsi="Times New Roman" w:cs="Times New Roman"/>
        </w:rPr>
        <w:t xml:space="preserve"> paper</w:t>
      </w:r>
      <w:r w:rsidR="004955CA" w:rsidRPr="000932A9">
        <w:rPr>
          <w:rFonts w:ascii="Times New Roman" w:hAnsi="Times New Roman" w:cs="Times New Roman"/>
        </w:rPr>
        <w:t>.</w:t>
      </w:r>
      <w:r w:rsidR="009632BB" w:rsidRPr="000932A9">
        <w:rPr>
          <w:rStyle w:val="EndnoteReference"/>
          <w:rFonts w:ascii="Times New Roman" w:hAnsi="Times New Roman" w:cs="Times New Roman"/>
        </w:rPr>
        <w:endnoteReference w:id="1"/>
      </w:r>
      <w:r w:rsidR="009632BB" w:rsidRPr="000932A9">
        <w:rPr>
          <w:rFonts w:ascii="Times New Roman" w:hAnsi="Times New Roman" w:cs="Times New Roman"/>
        </w:rPr>
        <w:t xml:space="preserve"> We confirm the original female job satisfaction premium highlighted by Clark in the early 1990s using the British Household Panel Survey (BHPS). Yet, r</w:t>
      </w:r>
      <w:r w:rsidR="009632BB">
        <w:rPr>
          <w:rFonts w:ascii="Times New Roman" w:hAnsi="Times New Roman" w:cs="Times New Roman"/>
        </w:rPr>
        <w:t>ather than take its current</w:t>
      </w:r>
      <w:r w:rsidR="009632BB" w:rsidRPr="000932A9">
        <w:rPr>
          <w:rFonts w:ascii="Times New Roman" w:hAnsi="Times New Roman" w:cs="Times New Roman"/>
        </w:rPr>
        <w:t xml:space="preserve"> existence</w:t>
      </w:r>
      <w:r w:rsidR="009632BB">
        <w:rPr>
          <w:rFonts w:ascii="Times New Roman" w:hAnsi="Times New Roman" w:cs="Times New Roman"/>
        </w:rPr>
        <w:t xml:space="preserve"> for granted</w:t>
      </w:r>
      <w:r w:rsidR="009632BB" w:rsidRPr="000932A9">
        <w:rPr>
          <w:rFonts w:ascii="Times New Roman" w:hAnsi="Times New Roman" w:cs="Times New Roman"/>
        </w:rPr>
        <w:t xml:space="preserve">, we demonstrate that the premium has now essentially </w:t>
      </w:r>
      <w:r w:rsidR="009632BB" w:rsidRPr="000932A9">
        <w:rPr>
          <w:rFonts w:ascii="Times New Roman" w:hAnsi="Times New Roman" w:cs="Times New Roman"/>
        </w:rPr>
        <w:lastRenderedPageBreak/>
        <w:t xml:space="preserve">disappeared as a result of a sharp decline in female job satisfaction over the intervening years. Thus, </w:t>
      </w:r>
      <w:r w:rsidR="009632BB">
        <w:rPr>
          <w:rFonts w:ascii="Times New Roman" w:hAnsi="Times New Roman" w:cs="Times New Roman"/>
        </w:rPr>
        <w:t>the task of explaining</w:t>
      </w:r>
      <w:r w:rsidR="009632BB" w:rsidRPr="000932A9">
        <w:rPr>
          <w:rFonts w:ascii="Times New Roman" w:hAnsi="Times New Roman" w:cs="Times New Roman"/>
        </w:rPr>
        <w:t xml:space="preserve"> </w:t>
      </w:r>
      <w:r w:rsidR="009632BB">
        <w:rPr>
          <w:rFonts w:ascii="Times New Roman" w:hAnsi="Times New Roman" w:cs="Times New Roman"/>
        </w:rPr>
        <w:t xml:space="preserve">the original </w:t>
      </w:r>
      <w:r w:rsidR="009632BB" w:rsidRPr="000932A9">
        <w:rPr>
          <w:rFonts w:ascii="Times New Roman" w:hAnsi="Times New Roman" w:cs="Times New Roman"/>
        </w:rPr>
        <w:t>contented female</w:t>
      </w:r>
      <w:r w:rsidR="009632BB">
        <w:rPr>
          <w:rFonts w:ascii="Times New Roman" w:hAnsi="Times New Roman" w:cs="Times New Roman"/>
        </w:rPr>
        <w:t xml:space="preserve"> worker</w:t>
      </w:r>
      <w:r w:rsidR="009632BB" w:rsidRPr="000932A9">
        <w:rPr>
          <w:rFonts w:ascii="Times New Roman" w:hAnsi="Times New Roman" w:cs="Times New Roman"/>
        </w:rPr>
        <w:t xml:space="preserve"> shoul</w:t>
      </w:r>
      <w:r w:rsidR="009632BB">
        <w:rPr>
          <w:rFonts w:ascii="Times New Roman" w:hAnsi="Times New Roman" w:cs="Times New Roman"/>
        </w:rPr>
        <w:t>d be augmented with the task of explaining the loss of that contentment</w:t>
      </w:r>
      <w:r w:rsidR="009632BB" w:rsidRPr="000932A9">
        <w:rPr>
          <w:rFonts w:ascii="Times New Roman" w:hAnsi="Times New Roman" w:cs="Times New Roman"/>
        </w:rPr>
        <w:t xml:space="preserve">. </w:t>
      </w:r>
    </w:p>
    <w:p w14:paraId="70FE628A" w14:textId="7E260D96" w:rsidR="009632BB" w:rsidRPr="000932A9" w:rsidRDefault="009632BB" w:rsidP="00FF12A5">
      <w:pPr>
        <w:spacing w:after="0" w:line="480" w:lineRule="auto"/>
        <w:ind w:firstLine="720"/>
        <w:jc w:val="both"/>
        <w:rPr>
          <w:rFonts w:ascii="Times New Roman" w:hAnsi="Times New Roman" w:cs="Times New Roman"/>
          <w:iCs/>
          <w:lang w:val="en-US"/>
        </w:rPr>
      </w:pPr>
      <w:r w:rsidRPr="000932A9">
        <w:rPr>
          <w:rFonts w:ascii="Times New Roman" w:hAnsi="Times New Roman" w:cs="Times New Roman"/>
        </w:rPr>
        <w:t xml:space="preserve">Our detailed examination of job satisfaction in Britain fits into a broader debate over the gender pattern of self-reported life satisfaction. Stevenson </w:t>
      </w:r>
      <w:r w:rsidRPr="00BC1137">
        <w:rPr>
          <w:rFonts w:ascii="Times New Roman" w:hAnsi="Times New Roman" w:cs="Times New Roman"/>
        </w:rPr>
        <w:t>and Wo</w:t>
      </w:r>
      <w:r w:rsidR="00796B49" w:rsidRPr="00BC1137">
        <w:rPr>
          <w:rFonts w:ascii="Times New Roman" w:hAnsi="Times New Roman" w:cs="Times New Roman"/>
        </w:rPr>
        <w:t>l</w:t>
      </w:r>
      <w:r w:rsidRPr="00BC1137">
        <w:rPr>
          <w:rFonts w:ascii="Times New Roman" w:hAnsi="Times New Roman" w:cs="Times New Roman"/>
        </w:rPr>
        <w:t xml:space="preserve">fers (2009) document </w:t>
      </w:r>
      <w:r w:rsidRPr="000932A9">
        <w:rPr>
          <w:rFonts w:ascii="Times New Roman" w:hAnsi="Times New Roman" w:cs="Times New Roman"/>
        </w:rPr>
        <w:t xml:space="preserve">that subjective life satisfaction of women has declined in the United States </w:t>
      </w:r>
      <w:r>
        <w:rPr>
          <w:rFonts w:ascii="Times New Roman" w:hAnsi="Times New Roman" w:cs="Times New Roman"/>
        </w:rPr>
        <w:t>such</w:t>
      </w:r>
      <w:r w:rsidRPr="000932A9">
        <w:rPr>
          <w:rFonts w:ascii="Times New Roman" w:hAnsi="Times New Roman" w:cs="Times New Roman"/>
        </w:rPr>
        <w:t xml:space="preserve"> that the traditional gender gap has vanished and the </w:t>
      </w:r>
      <w:r w:rsidRPr="000932A9">
        <w:rPr>
          <w:rFonts w:ascii="Times New Roman" w:hAnsi="Times New Roman" w:cs="Times New Roman"/>
          <w:iCs/>
          <w:lang w:val="en-US"/>
        </w:rPr>
        <w:t>new gender gap is one with higher subjective well-being for men.  This they see as a paradox in its own right as the lives of women (and perhaps especially the work life of women) improved over the time examine</w:t>
      </w:r>
      <w:r>
        <w:rPr>
          <w:rFonts w:ascii="Times New Roman" w:hAnsi="Times New Roman" w:cs="Times New Roman"/>
          <w:iCs/>
          <w:lang w:val="en-US"/>
        </w:rPr>
        <w:t>d</w:t>
      </w:r>
      <w:r w:rsidRPr="000932A9">
        <w:rPr>
          <w:rFonts w:ascii="Times New Roman" w:hAnsi="Times New Roman" w:cs="Times New Roman"/>
          <w:iCs/>
          <w:lang w:val="en-US"/>
        </w:rPr>
        <w:t>.</w:t>
      </w:r>
      <w:r w:rsidRPr="000932A9">
        <w:rPr>
          <w:rStyle w:val="EndnoteReference"/>
          <w:rFonts w:ascii="Times New Roman" w:hAnsi="Times New Roman" w:cs="Times New Roman"/>
          <w:iCs/>
          <w:lang w:val="en-US"/>
        </w:rPr>
        <w:endnoteReference w:id="2"/>
      </w:r>
      <w:r w:rsidRPr="000932A9">
        <w:rPr>
          <w:rFonts w:ascii="Times New Roman" w:hAnsi="Times New Roman" w:cs="Times New Roman"/>
          <w:iCs/>
          <w:lang w:val="en-US"/>
        </w:rPr>
        <w:t xml:space="preserve"> While not focusing specifically on job satisfaction, they show</w:t>
      </w:r>
      <w:r>
        <w:rPr>
          <w:rFonts w:ascii="Times New Roman" w:hAnsi="Times New Roman" w:cs="Times New Roman"/>
          <w:iCs/>
          <w:lang w:val="en-US"/>
        </w:rPr>
        <w:t xml:space="preserve"> a </w:t>
      </w:r>
      <w:r w:rsidRPr="000932A9">
        <w:rPr>
          <w:rFonts w:ascii="Times New Roman" w:hAnsi="Times New Roman" w:cs="Times New Roman"/>
          <w:iCs/>
          <w:lang w:val="en-US"/>
        </w:rPr>
        <w:t xml:space="preserve">remarkably robust </w:t>
      </w:r>
      <w:r>
        <w:rPr>
          <w:rFonts w:ascii="Times New Roman" w:hAnsi="Times New Roman" w:cs="Times New Roman"/>
          <w:iCs/>
          <w:lang w:val="en-US"/>
        </w:rPr>
        <w:t>decline that applies</w:t>
      </w:r>
      <w:r w:rsidRPr="000932A9">
        <w:rPr>
          <w:rFonts w:ascii="Times New Roman" w:hAnsi="Times New Roman" w:cs="Times New Roman"/>
          <w:iCs/>
          <w:lang w:val="en-US"/>
        </w:rPr>
        <w:t xml:space="preserve"> to those working and those not working and to those with and without dependent children. Moreover, they present evidence that the decline relative to men is common across other countries. Nonetheless, Herbst (2011) uses different data with a particularly large range of subjective measures of health and well-being to show that the decline </w:t>
      </w:r>
      <w:r>
        <w:rPr>
          <w:rFonts w:ascii="Times New Roman" w:hAnsi="Times New Roman" w:cs="Times New Roman"/>
          <w:iCs/>
          <w:lang w:val="en-US"/>
        </w:rPr>
        <w:t xml:space="preserve">for women in the United States </w:t>
      </w:r>
      <w:r w:rsidRPr="000932A9">
        <w:rPr>
          <w:rFonts w:ascii="Times New Roman" w:hAnsi="Times New Roman" w:cs="Times New Roman"/>
          <w:iCs/>
          <w:lang w:val="en-US"/>
        </w:rPr>
        <w:t>has been fully matched by an equally large decline for men.  Again, the focus is not on job satisfaction but it certainly leaves open what a detailed focus on British job satisfaction might find.</w:t>
      </w:r>
    </w:p>
    <w:p w14:paraId="6A174EDA" w14:textId="05C8EF59" w:rsidR="009632BB" w:rsidRPr="00572651" w:rsidRDefault="009632BB" w:rsidP="00487B81">
      <w:pPr>
        <w:spacing w:after="0" w:line="480" w:lineRule="auto"/>
        <w:ind w:firstLine="720"/>
        <w:jc w:val="both"/>
        <w:rPr>
          <w:rFonts w:ascii="Times New Roman" w:hAnsi="Times New Roman" w:cs="Times New Roman"/>
        </w:rPr>
      </w:pPr>
      <w:r w:rsidRPr="000932A9">
        <w:rPr>
          <w:rFonts w:ascii="Times New Roman" w:hAnsi="Times New Roman" w:cs="Times New Roman"/>
          <w:iCs/>
        </w:rPr>
        <w:t>Sousa-Poza and Sousa-Poz</w:t>
      </w:r>
      <w:r>
        <w:rPr>
          <w:rFonts w:ascii="Times New Roman" w:hAnsi="Times New Roman" w:cs="Times New Roman"/>
          <w:iCs/>
        </w:rPr>
        <w:t>a (2003) do examine British job</w:t>
      </w:r>
      <w:r w:rsidRPr="000932A9">
        <w:rPr>
          <w:rFonts w:ascii="Times New Roman" w:hAnsi="Times New Roman" w:cs="Times New Roman"/>
          <w:iCs/>
        </w:rPr>
        <w:t xml:space="preserve"> satisfaction and reveal a period of decline in the fema</w:t>
      </w:r>
      <w:r>
        <w:rPr>
          <w:rFonts w:ascii="Times New Roman" w:hAnsi="Times New Roman" w:cs="Times New Roman"/>
          <w:iCs/>
        </w:rPr>
        <w:t xml:space="preserve">le job satisfaction premium in the latter part of the </w:t>
      </w:r>
      <w:r w:rsidRPr="000932A9">
        <w:rPr>
          <w:rFonts w:ascii="Times New Roman" w:hAnsi="Times New Roman" w:cs="Times New Roman"/>
          <w:iCs/>
        </w:rPr>
        <w:t xml:space="preserve">1990s but they </w:t>
      </w:r>
      <w:r>
        <w:rPr>
          <w:rFonts w:ascii="Times New Roman" w:hAnsi="Times New Roman" w:cs="Times New Roman"/>
          <w:iCs/>
        </w:rPr>
        <w:t>continue</w:t>
      </w:r>
      <w:r w:rsidRPr="000932A9">
        <w:rPr>
          <w:rFonts w:ascii="Times New Roman" w:hAnsi="Times New Roman" w:cs="Times New Roman"/>
          <w:iCs/>
        </w:rPr>
        <w:t xml:space="preserve"> to show that a substantial female premi</w:t>
      </w:r>
      <w:r>
        <w:rPr>
          <w:rFonts w:ascii="Times New Roman" w:hAnsi="Times New Roman" w:cs="Times New Roman"/>
          <w:iCs/>
        </w:rPr>
        <w:t>um remains up to 2000, the last year of their data</w:t>
      </w:r>
      <w:r w:rsidRPr="000932A9">
        <w:rPr>
          <w:rFonts w:ascii="Times New Roman" w:hAnsi="Times New Roman" w:cs="Times New Roman"/>
          <w:iCs/>
        </w:rPr>
        <w:t xml:space="preserve">. </w:t>
      </w:r>
      <w:r>
        <w:rPr>
          <w:rFonts w:ascii="Times New Roman" w:hAnsi="Times New Roman" w:cs="Times New Roman"/>
          <w:iCs/>
        </w:rPr>
        <w:t>We confirm this</w:t>
      </w:r>
      <w:r w:rsidRPr="000932A9">
        <w:rPr>
          <w:rFonts w:ascii="Times New Roman" w:hAnsi="Times New Roman" w:cs="Times New Roman"/>
          <w:iCs/>
        </w:rPr>
        <w:t xml:space="preserve"> decline in</w:t>
      </w:r>
      <w:r>
        <w:rPr>
          <w:rFonts w:ascii="Times New Roman" w:hAnsi="Times New Roman" w:cs="Times New Roman"/>
          <w:iCs/>
        </w:rPr>
        <w:t xml:space="preserve"> the mid to late 1990s</w:t>
      </w:r>
      <w:r w:rsidRPr="000932A9">
        <w:rPr>
          <w:rFonts w:ascii="Times New Roman" w:hAnsi="Times New Roman" w:cs="Times New Roman"/>
          <w:iCs/>
        </w:rPr>
        <w:t>, reveal a period of stabilization in the early 2000s but then a continuation of the downward trend such that the advantage for women essentially vanished</w:t>
      </w:r>
      <w:r>
        <w:rPr>
          <w:rFonts w:ascii="Times New Roman" w:hAnsi="Times New Roman" w:cs="Times New Roman"/>
          <w:iCs/>
        </w:rPr>
        <w:t xml:space="preserve"> by 2014</w:t>
      </w:r>
      <w:r w:rsidRPr="000932A9">
        <w:rPr>
          <w:rFonts w:ascii="Times New Roman" w:hAnsi="Times New Roman" w:cs="Times New Roman"/>
          <w:iCs/>
        </w:rPr>
        <w:t xml:space="preserve">.  </w:t>
      </w:r>
      <w:r>
        <w:rPr>
          <w:rFonts w:ascii="Times New Roman" w:hAnsi="Times New Roman" w:cs="Times New Roman"/>
          <w:iCs/>
        </w:rPr>
        <w:t xml:space="preserve">Beyond simply adding years and documenting a further decline, we move beyond the earlier work in several ways. </w:t>
      </w:r>
      <w:r>
        <w:rPr>
          <w:rFonts w:ascii="Times New Roman" w:hAnsi="Times New Roman" w:cs="Times New Roman"/>
        </w:rPr>
        <w:t>We confirm</w:t>
      </w:r>
      <w:r w:rsidRPr="000932A9">
        <w:rPr>
          <w:rFonts w:ascii="Times New Roman" w:hAnsi="Times New Roman" w:cs="Times New Roman"/>
        </w:rPr>
        <w:t xml:space="preserve"> both </w:t>
      </w:r>
      <w:r>
        <w:rPr>
          <w:rFonts w:ascii="Times New Roman" w:hAnsi="Times New Roman" w:cs="Times New Roman"/>
        </w:rPr>
        <w:t>age</w:t>
      </w:r>
      <w:r w:rsidRPr="000932A9">
        <w:rPr>
          <w:rFonts w:ascii="Times New Roman" w:hAnsi="Times New Roman" w:cs="Times New Roman"/>
        </w:rPr>
        <w:t xml:space="preserve"> and cohort effects.</w:t>
      </w:r>
      <w:r>
        <w:rPr>
          <w:rStyle w:val="EndnoteReference"/>
          <w:rFonts w:ascii="Times New Roman" w:hAnsi="Times New Roman" w:cs="Times New Roman"/>
        </w:rPr>
        <w:endnoteReference w:id="3"/>
      </w:r>
      <w:r w:rsidRPr="000932A9">
        <w:rPr>
          <w:rFonts w:ascii="Times New Roman" w:hAnsi="Times New Roman" w:cs="Times New Roman"/>
        </w:rPr>
        <w:t xml:space="preserve"> </w:t>
      </w:r>
      <w:r>
        <w:rPr>
          <w:rFonts w:ascii="Times New Roman" w:hAnsi="Times New Roman" w:cs="Times New Roman"/>
        </w:rPr>
        <w:t>F</w:t>
      </w:r>
      <w:r w:rsidRPr="000932A9">
        <w:rPr>
          <w:rFonts w:ascii="Times New Roman" w:hAnsi="Times New Roman" w:cs="Times New Roman"/>
        </w:rPr>
        <w:t>ollow</w:t>
      </w:r>
      <w:r>
        <w:rPr>
          <w:rFonts w:ascii="Times New Roman" w:hAnsi="Times New Roman" w:cs="Times New Roman"/>
        </w:rPr>
        <w:t>ing the older cohort of women over time reveals</w:t>
      </w:r>
      <w:r w:rsidRPr="000932A9">
        <w:rPr>
          <w:rFonts w:ascii="Times New Roman" w:hAnsi="Times New Roman" w:cs="Times New Roman"/>
        </w:rPr>
        <w:t xml:space="preserve"> a decline in </w:t>
      </w:r>
      <w:r>
        <w:rPr>
          <w:rFonts w:ascii="Times New Roman" w:hAnsi="Times New Roman" w:cs="Times New Roman"/>
        </w:rPr>
        <w:t>their relative satisfaction as they gain</w:t>
      </w:r>
      <w:r w:rsidRPr="000932A9">
        <w:rPr>
          <w:rFonts w:ascii="Times New Roman" w:hAnsi="Times New Roman" w:cs="Times New Roman"/>
        </w:rPr>
        <w:t xml:space="preserve"> additiona</w:t>
      </w:r>
      <w:r>
        <w:rPr>
          <w:rFonts w:ascii="Times New Roman" w:hAnsi="Times New Roman" w:cs="Times New Roman"/>
        </w:rPr>
        <w:t>l experience. Moreover, there exist differences across cohorts with the more recent</w:t>
      </w:r>
      <w:r w:rsidRPr="000932A9">
        <w:rPr>
          <w:rFonts w:ascii="Times New Roman" w:hAnsi="Times New Roman" w:cs="Times New Roman"/>
        </w:rPr>
        <w:t xml:space="preserve"> cohorts enter</w:t>
      </w:r>
      <w:r>
        <w:rPr>
          <w:rFonts w:ascii="Times New Roman" w:hAnsi="Times New Roman" w:cs="Times New Roman"/>
        </w:rPr>
        <w:t>ing</w:t>
      </w:r>
      <w:r w:rsidRPr="000932A9">
        <w:rPr>
          <w:rFonts w:ascii="Times New Roman" w:hAnsi="Times New Roman" w:cs="Times New Roman"/>
        </w:rPr>
        <w:t xml:space="preserve"> the labour market with lower relative s</w:t>
      </w:r>
      <w:r>
        <w:rPr>
          <w:rFonts w:ascii="Times New Roman" w:hAnsi="Times New Roman" w:cs="Times New Roman"/>
        </w:rPr>
        <w:t>atisfaction than did the earlier cohorts</w:t>
      </w:r>
      <w:r w:rsidRPr="000932A9">
        <w:rPr>
          <w:rFonts w:ascii="Times New Roman" w:hAnsi="Times New Roman" w:cs="Times New Roman"/>
        </w:rPr>
        <w:t xml:space="preserve">.  </w:t>
      </w:r>
      <w:r>
        <w:rPr>
          <w:rFonts w:ascii="Times New Roman" w:hAnsi="Times New Roman" w:cs="Times New Roman"/>
        </w:rPr>
        <w:t xml:space="preserve">Thus, each effect supports the decline. </w:t>
      </w:r>
      <w:r w:rsidRPr="000932A9">
        <w:rPr>
          <w:rFonts w:ascii="Times New Roman" w:hAnsi="Times New Roman" w:cs="Times New Roman"/>
        </w:rPr>
        <w:t>Such a demonstration is possible only because of our use of panel d</w:t>
      </w:r>
      <w:r>
        <w:rPr>
          <w:rFonts w:ascii="Times New Roman" w:hAnsi="Times New Roman" w:cs="Times New Roman"/>
        </w:rPr>
        <w:t>ata and has not been examined</w:t>
      </w:r>
      <w:r w:rsidRPr="000932A9">
        <w:rPr>
          <w:rFonts w:ascii="Times New Roman" w:hAnsi="Times New Roman" w:cs="Times New Roman"/>
        </w:rPr>
        <w:t xml:space="preserve"> either </w:t>
      </w:r>
      <w:r>
        <w:rPr>
          <w:rFonts w:ascii="Times New Roman" w:hAnsi="Times New Roman" w:cs="Times New Roman"/>
        </w:rPr>
        <w:t xml:space="preserve">by </w:t>
      </w:r>
      <w:r w:rsidRPr="000932A9">
        <w:rPr>
          <w:rFonts w:ascii="Times New Roman" w:hAnsi="Times New Roman" w:cs="Times New Roman"/>
        </w:rPr>
        <w:t xml:space="preserve">those looking at broader trends in life satisfaction </w:t>
      </w:r>
      <w:r>
        <w:rPr>
          <w:rFonts w:ascii="Times New Roman" w:hAnsi="Times New Roman" w:cs="Times New Roman"/>
        </w:rPr>
        <w:t>or by the Sousa-Poza and Sousa-Poza (2003) examination of</w:t>
      </w:r>
      <w:r w:rsidRPr="000932A9">
        <w:rPr>
          <w:rFonts w:ascii="Times New Roman" w:hAnsi="Times New Roman" w:cs="Times New Roman"/>
        </w:rPr>
        <w:t xml:space="preserve"> British job satisfaction. </w:t>
      </w:r>
      <w:r>
        <w:rPr>
          <w:rFonts w:ascii="Times New Roman" w:hAnsi="Times New Roman" w:cs="Times New Roman"/>
        </w:rPr>
        <w:t xml:space="preserve"> In addition, we uniquely present decompositions identifying the changing role of differences due to </w:t>
      </w:r>
      <w:r>
        <w:rPr>
          <w:rFonts w:ascii="Times New Roman" w:hAnsi="Times New Roman" w:cs="Times New Roman"/>
        </w:rPr>
        <w:lastRenderedPageBreak/>
        <w:t xml:space="preserve">characteristics and </w:t>
      </w:r>
      <w:r w:rsidRPr="00572651">
        <w:rPr>
          <w:rFonts w:ascii="Times New Roman" w:hAnsi="Times New Roman" w:cs="Times New Roman"/>
        </w:rPr>
        <w:t xml:space="preserve">differences due to evaluation of those characteristics.  This analysis suggests that the job characteristics of women have improved </w:t>
      </w:r>
      <w:r w:rsidR="009F6FE3" w:rsidRPr="00572651">
        <w:rPr>
          <w:rFonts w:ascii="Times New Roman" w:hAnsi="Times New Roman" w:cs="Times New Roman"/>
        </w:rPr>
        <w:t xml:space="preserve">relative to men </w:t>
      </w:r>
      <w:r w:rsidRPr="00572651">
        <w:rPr>
          <w:rFonts w:ascii="Times New Roman" w:hAnsi="Times New Roman" w:cs="Times New Roman"/>
        </w:rPr>
        <w:t>even as their evaluation of the</w:t>
      </w:r>
      <w:r w:rsidR="002B29CA" w:rsidRPr="00572651">
        <w:rPr>
          <w:rFonts w:ascii="Times New Roman" w:hAnsi="Times New Roman" w:cs="Times New Roman"/>
        </w:rPr>
        <w:t>se characteristics</w:t>
      </w:r>
      <w:r w:rsidR="004D3397" w:rsidRPr="00572651">
        <w:rPr>
          <w:rFonts w:ascii="Times New Roman" w:hAnsi="Times New Roman" w:cs="Times New Roman"/>
        </w:rPr>
        <w:t xml:space="preserve"> has become less favourable</w:t>
      </w:r>
      <w:r w:rsidRPr="00572651">
        <w:rPr>
          <w:rFonts w:ascii="Times New Roman" w:hAnsi="Times New Roman" w:cs="Times New Roman"/>
        </w:rPr>
        <w:t xml:space="preserve"> and more similar </w:t>
      </w:r>
      <w:r w:rsidR="004D3397" w:rsidRPr="00572651">
        <w:rPr>
          <w:rFonts w:ascii="Times New Roman" w:hAnsi="Times New Roman" w:cs="Times New Roman"/>
        </w:rPr>
        <w:t xml:space="preserve">on net </w:t>
      </w:r>
      <w:r w:rsidRPr="00572651">
        <w:rPr>
          <w:rFonts w:ascii="Times New Roman" w:hAnsi="Times New Roman" w:cs="Times New Roman"/>
        </w:rPr>
        <w:t>to men.</w:t>
      </w:r>
    </w:p>
    <w:p w14:paraId="1B38F1D1" w14:textId="53E2FC06" w:rsidR="009632BB" w:rsidRPr="00C41DEC" w:rsidRDefault="009632BB" w:rsidP="00C41DEC">
      <w:pPr>
        <w:spacing w:after="0" w:line="480" w:lineRule="auto"/>
        <w:ind w:firstLine="720"/>
        <w:jc w:val="both"/>
        <w:rPr>
          <w:rFonts w:ascii="Times New Roman" w:hAnsi="Times New Roman" w:cs="Times New Roman"/>
          <w:iCs/>
          <w:lang w:val="en-US"/>
        </w:rPr>
      </w:pPr>
      <w:r w:rsidRPr="00572651">
        <w:rPr>
          <w:rFonts w:ascii="Times New Roman" w:hAnsi="Times New Roman" w:cs="Times New Roman"/>
          <w:iCs/>
        </w:rPr>
        <w:t>While the original paradox of the contented female worker was not unique to the UK, early evidence indicated that it was most evident in Anglo-Saxon countries (Sousa-Poza and Sousa-Poza 2000). Yet, more recent work suggests that the female job satisfaction advantage may be most evident in Nordic countries, long considered leaders in gender equality (Hauret and Williams</w:t>
      </w:r>
      <w:r w:rsidRPr="000932A9">
        <w:rPr>
          <w:rFonts w:ascii="Times New Roman" w:hAnsi="Times New Roman" w:cs="Times New Roman"/>
          <w:iCs/>
        </w:rPr>
        <w:t xml:space="preserve"> 2017). </w:t>
      </w:r>
      <w:r>
        <w:rPr>
          <w:rFonts w:ascii="Times New Roman" w:hAnsi="Times New Roman" w:cs="Times New Roman"/>
          <w:iCs/>
        </w:rPr>
        <w:t xml:space="preserve">This finding may be hard to reconcile with </w:t>
      </w:r>
      <w:r>
        <w:rPr>
          <w:rFonts w:ascii="Times New Roman" w:hAnsi="Times New Roman" w:cs="Times New Roman"/>
          <w:iCs/>
          <w:lang w:val="en-US"/>
        </w:rPr>
        <w:t>the contention by Kaiser (2007) that t</w:t>
      </w:r>
      <w:r w:rsidRPr="00C41DEC">
        <w:rPr>
          <w:rFonts w:ascii="Times New Roman" w:hAnsi="Times New Roman" w:cs="Times New Roman"/>
          <w:iCs/>
          <w:lang w:val="en-US"/>
        </w:rPr>
        <w:t xml:space="preserve">he gender </w:t>
      </w:r>
      <w:r>
        <w:rPr>
          <w:rFonts w:ascii="Times New Roman" w:hAnsi="Times New Roman" w:cs="Times New Roman"/>
          <w:iCs/>
          <w:lang w:val="en-US"/>
        </w:rPr>
        <w:t>premium</w:t>
      </w:r>
      <w:r w:rsidRPr="00C41DEC">
        <w:rPr>
          <w:rFonts w:ascii="Times New Roman" w:hAnsi="Times New Roman" w:cs="Times New Roman"/>
          <w:iCs/>
          <w:lang w:val="en-US"/>
        </w:rPr>
        <w:t xml:space="preserve"> will disappear when women have the same opportunities as men in the</w:t>
      </w:r>
      <w:r>
        <w:rPr>
          <w:rFonts w:ascii="Times New Roman" w:hAnsi="Times New Roman" w:cs="Times New Roman"/>
          <w:iCs/>
          <w:lang w:val="en-US"/>
        </w:rPr>
        <w:t xml:space="preserve"> </w:t>
      </w:r>
      <w:r w:rsidRPr="00C41DEC">
        <w:rPr>
          <w:rFonts w:ascii="Times New Roman" w:hAnsi="Times New Roman" w:cs="Times New Roman"/>
          <w:iCs/>
          <w:lang w:val="en-US"/>
        </w:rPr>
        <w:t xml:space="preserve">labor market. </w:t>
      </w:r>
      <w:r>
        <w:rPr>
          <w:rFonts w:ascii="Times New Roman" w:hAnsi="Times New Roman" w:cs="Times New Roman"/>
          <w:iCs/>
          <w:lang w:val="en-US"/>
        </w:rPr>
        <w:t xml:space="preserve">Moreover, Westover (2012) shows that the set of countries for which there is a link between gender and job satisfaction varies dramatically over time. </w:t>
      </w:r>
      <w:r w:rsidRPr="000932A9">
        <w:rPr>
          <w:rFonts w:ascii="Times New Roman" w:hAnsi="Times New Roman" w:cs="Times New Roman"/>
          <w:iCs/>
        </w:rPr>
        <w:t xml:space="preserve">Thus, we are careful not to claim that the </w:t>
      </w:r>
      <w:r>
        <w:rPr>
          <w:rFonts w:ascii="Times New Roman" w:hAnsi="Times New Roman" w:cs="Times New Roman"/>
          <w:iCs/>
        </w:rPr>
        <w:t>trends we identify extend</w:t>
      </w:r>
      <w:r w:rsidRPr="000932A9">
        <w:rPr>
          <w:rFonts w:ascii="Times New Roman" w:hAnsi="Times New Roman" w:cs="Times New Roman"/>
          <w:iCs/>
        </w:rPr>
        <w:t xml:space="preserve"> beyond the UK</w:t>
      </w:r>
      <w:r>
        <w:rPr>
          <w:rFonts w:ascii="Times New Roman" w:hAnsi="Times New Roman" w:cs="Times New Roman"/>
          <w:iCs/>
        </w:rPr>
        <w:t xml:space="preserve"> and leave such comparisons for future work</w:t>
      </w:r>
      <w:r w:rsidRPr="000932A9">
        <w:rPr>
          <w:rFonts w:ascii="Times New Roman" w:hAnsi="Times New Roman" w:cs="Times New Roman"/>
          <w:iCs/>
        </w:rPr>
        <w:t xml:space="preserve">. </w:t>
      </w:r>
    </w:p>
    <w:p w14:paraId="72A192A0" w14:textId="77777777" w:rsidR="009632BB" w:rsidRPr="000932A9" w:rsidRDefault="009632BB" w:rsidP="00712D7A">
      <w:pPr>
        <w:spacing w:after="0" w:line="480" w:lineRule="auto"/>
        <w:ind w:firstLine="720"/>
        <w:jc w:val="both"/>
        <w:rPr>
          <w:rFonts w:ascii="Times New Roman" w:hAnsi="Times New Roman" w:cs="Times New Roman"/>
        </w:rPr>
      </w:pPr>
      <w:r w:rsidRPr="000932A9">
        <w:rPr>
          <w:rFonts w:ascii="Times New Roman" w:hAnsi="Times New Roman" w:cs="Times New Roman"/>
        </w:rPr>
        <w:t xml:space="preserve">We </w:t>
      </w:r>
      <w:r>
        <w:rPr>
          <w:rFonts w:ascii="Times New Roman" w:hAnsi="Times New Roman" w:cs="Times New Roman"/>
        </w:rPr>
        <w:t xml:space="preserve">do </w:t>
      </w:r>
      <w:r w:rsidRPr="000932A9">
        <w:rPr>
          <w:rFonts w:ascii="Times New Roman" w:hAnsi="Times New Roman" w:cs="Times New Roman"/>
        </w:rPr>
        <w:t>argue that our evidence is largely consistent with Clark's original prediction.  He argued that the paradox of the contented female worker resulted from women's improved position in the labour force relative to their expectations.</w:t>
      </w:r>
      <w:r w:rsidRPr="000932A9">
        <w:rPr>
          <w:rStyle w:val="EndnoteReference"/>
          <w:rFonts w:ascii="Times New Roman" w:hAnsi="Times New Roman" w:cs="Times New Roman"/>
        </w:rPr>
        <w:endnoteReference w:id="4"/>
      </w:r>
      <w:r w:rsidRPr="000932A9">
        <w:rPr>
          <w:rFonts w:ascii="Times New Roman" w:hAnsi="Times New Roman" w:cs="Times New Roman"/>
        </w:rPr>
        <w:t xml:space="preserve">  He came to this conclusion by first supposing that expectations were closer to reality for younger and more educated workers and then showing that there was little or no satisfaction gap for the youngest and most educated workers in his sample (a finding confirmed by Donohue and Heywood 2004 for the US).  This led him to predict that the contented female worker would be a temporary phenomenon and that over time expectations would adjust to match reality. Once that match happened, the paradox would be resolved.</w:t>
      </w:r>
    </w:p>
    <w:p w14:paraId="3B82EAB4" w14:textId="3CA45FF0" w:rsidR="009632BB" w:rsidRPr="000932A9" w:rsidRDefault="009632BB" w:rsidP="00712D7A">
      <w:pPr>
        <w:spacing w:after="0" w:line="480" w:lineRule="auto"/>
        <w:ind w:firstLine="720"/>
        <w:jc w:val="both"/>
        <w:rPr>
          <w:rFonts w:ascii="Times New Roman" w:hAnsi="Times New Roman" w:cs="Times New Roman"/>
        </w:rPr>
      </w:pPr>
      <w:r w:rsidRPr="000932A9">
        <w:rPr>
          <w:rFonts w:ascii="Times New Roman" w:hAnsi="Times New Roman" w:cs="Times New Roman"/>
        </w:rPr>
        <w:t xml:space="preserve">Our evidence shows a decline in </w:t>
      </w:r>
      <w:r>
        <w:rPr>
          <w:rFonts w:ascii="Times New Roman" w:hAnsi="Times New Roman" w:cs="Times New Roman"/>
        </w:rPr>
        <w:t xml:space="preserve">both </w:t>
      </w:r>
      <w:r w:rsidRPr="000932A9">
        <w:rPr>
          <w:rFonts w:ascii="Times New Roman" w:hAnsi="Times New Roman" w:cs="Times New Roman"/>
        </w:rPr>
        <w:t xml:space="preserve">the raw gender satisfaction </w:t>
      </w:r>
      <w:r>
        <w:rPr>
          <w:rFonts w:ascii="Times New Roman" w:hAnsi="Times New Roman" w:cs="Times New Roman"/>
        </w:rPr>
        <w:t xml:space="preserve">gap and </w:t>
      </w:r>
      <w:r w:rsidRPr="000932A9">
        <w:rPr>
          <w:rFonts w:ascii="Times New Roman" w:hAnsi="Times New Roman" w:cs="Times New Roman"/>
        </w:rPr>
        <w:t>the</w:t>
      </w:r>
      <w:r>
        <w:rPr>
          <w:rFonts w:ascii="Times New Roman" w:hAnsi="Times New Roman" w:cs="Times New Roman"/>
        </w:rPr>
        <w:t xml:space="preserve"> unexplained gender gap.  We show this</w:t>
      </w:r>
      <w:r w:rsidRPr="000932A9">
        <w:rPr>
          <w:rFonts w:ascii="Times New Roman" w:hAnsi="Times New Roman" w:cs="Times New Roman"/>
        </w:rPr>
        <w:t xml:space="preserve"> decline has been more marked for older workers. </w:t>
      </w:r>
      <w:r>
        <w:rPr>
          <w:rFonts w:ascii="Times New Roman" w:hAnsi="Times New Roman" w:cs="Times New Roman"/>
        </w:rPr>
        <w:t>As emphasized</w:t>
      </w:r>
      <w:r w:rsidRPr="000932A9">
        <w:rPr>
          <w:rFonts w:ascii="Times New Roman" w:hAnsi="Times New Roman" w:cs="Times New Roman"/>
        </w:rPr>
        <w:t>, the decline comes</w:t>
      </w:r>
      <w:r w:rsidR="004D3397">
        <w:rPr>
          <w:rFonts w:ascii="Times New Roman" w:hAnsi="Times New Roman" w:cs="Times New Roman"/>
        </w:rPr>
        <w:t xml:space="preserve"> from </w:t>
      </w:r>
      <w:r w:rsidR="00081898">
        <w:rPr>
          <w:rFonts w:ascii="Times New Roman" w:hAnsi="Times New Roman" w:cs="Times New Roman"/>
        </w:rPr>
        <w:t>less favourable net</w:t>
      </w:r>
      <w:r w:rsidRPr="000932A9">
        <w:rPr>
          <w:rFonts w:ascii="Times New Roman" w:hAnsi="Times New Roman" w:cs="Times New Roman"/>
        </w:rPr>
        <w:t xml:space="preserve"> evaluation of characteristics by women. Thus, if current women workers faced the job characteristics prevalent for the women in Clark's sample of the early 1990s, they would report lower job satisfaction than observed by Clark at that time. This seems to match the view that women are developing expectations about the labour force that increasingly reflect actual experience, that are closer to those of men, and that, as Clark anticipate</w:t>
      </w:r>
      <w:r>
        <w:rPr>
          <w:rFonts w:ascii="Times New Roman" w:hAnsi="Times New Roman" w:cs="Times New Roman"/>
        </w:rPr>
        <w:t>d</w:t>
      </w:r>
      <w:r w:rsidRPr="000932A9">
        <w:rPr>
          <w:rFonts w:ascii="Times New Roman" w:hAnsi="Times New Roman" w:cs="Times New Roman"/>
        </w:rPr>
        <w:t>, the paradox is disappearing.</w:t>
      </w:r>
      <w:r w:rsidR="00081898">
        <w:rPr>
          <w:rStyle w:val="EndnoteReference"/>
          <w:rFonts w:ascii="Times New Roman" w:hAnsi="Times New Roman" w:cs="Times New Roman"/>
        </w:rPr>
        <w:endnoteReference w:id="5"/>
      </w:r>
      <w:r w:rsidRPr="000932A9">
        <w:rPr>
          <w:rFonts w:ascii="Times New Roman" w:hAnsi="Times New Roman" w:cs="Times New Roman"/>
        </w:rPr>
        <w:t xml:space="preserve"> </w:t>
      </w:r>
    </w:p>
    <w:p w14:paraId="2872C87E" w14:textId="77777777" w:rsidR="009632BB" w:rsidRPr="000932A9" w:rsidRDefault="009632BB" w:rsidP="00D437DB">
      <w:pPr>
        <w:spacing w:after="0" w:line="480" w:lineRule="auto"/>
        <w:ind w:firstLine="720"/>
        <w:jc w:val="both"/>
        <w:rPr>
          <w:rFonts w:ascii="Times New Roman" w:hAnsi="Times New Roman" w:cs="Times New Roman"/>
        </w:rPr>
      </w:pPr>
      <w:r w:rsidRPr="000932A9">
        <w:rPr>
          <w:rFonts w:ascii="Times New Roman" w:hAnsi="Times New Roman" w:cs="Times New Roman"/>
        </w:rPr>
        <w:lastRenderedPageBreak/>
        <w:t xml:space="preserve">The remainder of the paper is organised as follows: Section 2 describes the data source and provides initial evidence with respect to the gender job satisfaction gap; Section 3 examines how this gap has changed over the past 2 decades; Section 4 decomposes this trend while Section 5 concludes. </w:t>
      </w:r>
    </w:p>
    <w:p w14:paraId="62AD35C9" w14:textId="77777777" w:rsidR="009632BB" w:rsidRPr="000932A9" w:rsidRDefault="009632BB" w:rsidP="00712D7A">
      <w:pPr>
        <w:spacing w:after="0" w:line="480" w:lineRule="auto"/>
        <w:rPr>
          <w:rFonts w:ascii="Times New Roman" w:hAnsi="Times New Roman" w:cs="Times New Roman"/>
        </w:rPr>
      </w:pPr>
    </w:p>
    <w:p w14:paraId="29F53B49" w14:textId="77777777" w:rsidR="009632BB" w:rsidRPr="000932A9" w:rsidRDefault="009632BB" w:rsidP="00703A0A">
      <w:pPr>
        <w:pStyle w:val="ListParagraph"/>
        <w:numPr>
          <w:ilvl w:val="0"/>
          <w:numId w:val="6"/>
        </w:numPr>
        <w:spacing w:after="0" w:line="480" w:lineRule="auto"/>
        <w:ind w:left="360"/>
        <w:rPr>
          <w:rFonts w:ascii="Times New Roman" w:hAnsi="Times New Roman" w:cs="Times New Roman"/>
          <w:b/>
        </w:rPr>
      </w:pPr>
      <w:r w:rsidRPr="000932A9">
        <w:rPr>
          <w:rFonts w:ascii="Times New Roman" w:hAnsi="Times New Roman" w:cs="Times New Roman"/>
          <w:b/>
        </w:rPr>
        <w:t>Data</w:t>
      </w:r>
      <w:r w:rsidRPr="000932A9">
        <w:rPr>
          <w:rFonts w:ascii="Times New Roman" w:hAnsi="Times New Roman" w:cs="Times New Roman"/>
        </w:rPr>
        <w:t xml:space="preserve"> </w:t>
      </w:r>
      <w:r w:rsidRPr="000932A9">
        <w:rPr>
          <w:rFonts w:ascii="Times New Roman" w:hAnsi="Times New Roman" w:cs="Times New Roman"/>
          <w:b/>
        </w:rPr>
        <w:t xml:space="preserve">and Preliminary Evidence: </w:t>
      </w:r>
    </w:p>
    <w:p w14:paraId="3FF01C23" w14:textId="77D79674" w:rsidR="009632BB" w:rsidRPr="000932A9" w:rsidRDefault="009632BB" w:rsidP="002A2CC2">
      <w:pPr>
        <w:autoSpaceDE w:val="0"/>
        <w:autoSpaceDN w:val="0"/>
        <w:adjustRightInd w:val="0"/>
        <w:spacing w:after="0" w:line="480" w:lineRule="auto"/>
        <w:jc w:val="both"/>
        <w:rPr>
          <w:rFonts w:ascii="Times New Roman" w:hAnsi="Times New Roman" w:cs="Times New Roman"/>
          <w:lang w:eastAsia="en-GB"/>
        </w:rPr>
      </w:pPr>
      <w:r w:rsidRPr="000932A9">
        <w:rPr>
          <w:rFonts w:ascii="Times New Roman" w:hAnsi="Times New Roman" w:cs="Times New Roman"/>
          <w:lang w:eastAsia="en-GB"/>
        </w:rPr>
        <w:t xml:space="preserve">The data used in this paper are drawn from the BHPS and its subsequent expansion </w:t>
      </w:r>
      <w:r>
        <w:rPr>
          <w:rFonts w:ascii="Times New Roman" w:hAnsi="Times New Roman" w:cs="Times New Roman"/>
          <w:lang w:eastAsia="en-GB"/>
        </w:rPr>
        <w:t xml:space="preserve">into </w:t>
      </w:r>
      <w:r w:rsidRPr="000932A9">
        <w:rPr>
          <w:rFonts w:ascii="Times New Roman" w:hAnsi="Times New Roman" w:cs="Times New Roman"/>
          <w:lang w:eastAsia="en-GB"/>
        </w:rPr>
        <w:t>Understanding Society (US). The BHPS is a nationally representative yearly survey. Initially it sampled approximately 10,000 individuals from roughly 5,500 households, this was later increased in 1999 by 3,000 additional households from Scotland and Wales, and then in 2001 with 2,000 additional households from Northern Ireland. We use the waves of the BHPS corresponding to 1991-2008, after which the BHPS was discontinued and replaced with US. The coding of US allows us to follow the participants from the BHPS for every year</w:t>
      </w:r>
      <w:r>
        <w:rPr>
          <w:rFonts w:ascii="Times New Roman" w:hAnsi="Times New Roman" w:cs="Times New Roman"/>
          <w:lang w:eastAsia="en-GB"/>
        </w:rPr>
        <w:t xml:space="preserve"> to 2014</w:t>
      </w:r>
      <w:r w:rsidRPr="000932A9">
        <w:rPr>
          <w:rFonts w:ascii="Times New Roman" w:hAnsi="Times New Roman" w:cs="Times New Roman"/>
          <w:lang w:eastAsia="en-GB"/>
        </w:rPr>
        <w:t xml:space="preserve"> with the exception of </w:t>
      </w:r>
      <w:r>
        <w:rPr>
          <w:rFonts w:ascii="Times New Roman" w:hAnsi="Times New Roman" w:cs="Times New Roman"/>
          <w:lang w:eastAsia="en-GB"/>
        </w:rPr>
        <w:t xml:space="preserve">the </w:t>
      </w:r>
      <w:r w:rsidRPr="000932A9">
        <w:rPr>
          <w:rFonts w:ascii="Times New Roman" w:hAnsi="Times New Roman" w:cs="Times New Roman"/>
          <w:lang w:eastAsia="en-GB"/>
        </w:rPr>
        <w:t>starting</w:t>
      </w:r>
      <w:r>
        <w:rPr>
          <w:rFonts w:ascii="Times New Roman" w:hAnsi="Times New Roman" w:cs="Times New Roman"/>
          <w:lang w:eastAsia="en-GB"/>
        </w:rPr>
        <w:t xml:space="preserve"> year</w:t>
      </w:r>
      <w:r w:rsidRPr="000932A9">
        <w:rPr>
          <w:rFonts w:ascii="Times New Roman" w:hAnsi="Times New Roman" w:cs="Times New Roman"/>
          <w:lang w:eastAsia="en-GB"/>
        </w:rPr>
        <w:t xml:space="preserve"> 2009.</w:t>
      </w:r>
      <w:r w:rsidRPr="000932A9">
        <w:rPr>
          <w:rStyle w:val="EndnoteReference"/>
          <w:rFonts w:ascii="Times New Roman" w:hAnsi="Times New Roman" w:cs="Times New Roman"/>
          <w:lang w:eastAsia="en-GB"/>
        </w:rPr>
        <w:endnoteReference w:id="6"/>
      </w:r>
      <w:r>
        <w:rPr>
          <w:rFonts w:ascii="Times New Roman" w:hAnsi="Times New Roman" w:cs="Times New Roman"/>
          <w:lang w:eastAsia="en-GB"/>
        </w:rPr>
        <w:t xml:space="preserve"> Our sample is limited to those who are part of the BHPS from 1991 to 2014 and so we do not include those observations in US that were not part of the BHPS.</w:t>
      </w:r>
    </w:p>
    <w:p w14:paraId="4BFADDA0" w14:textId="24B3D4A8" w:rsidR="009632BB" w:rsidRDefault="009632BB" w:rsidP="00CF7A1B">
      <w:pPr>
        <w:autoSpaceDE w:val="0"/>
        <w:autoSpaceDN w:val="0"/>
        <w:adjustRightInd w:val="0"/>
        <w:spacing w:after="0" w:line="480" w:lineRule="auto"/>
        <w:ind w:firstLine="720"/>
        <w:jc w:val="both"/>
        <w:rPr>
          <w:rFonts w:ascii="Times New Roman" w:hAnsi="Times New Roman" w:cs="Times New Roman"/>
          <w:lang w:eastAsia="en-GB"/>
        </w:rPr>
      </w:pPr>
      <w:r w:rsidRPr="000932A9">
        <w:rPr>
          <w:rFonts w:ascii="Times New Roman" w:hAnsi="Times New Roman" w:cs="Times New Roman"/>
          <w:lang w:eastAsia="en-GB"/>
        </w:rPr>
        <w:t>Respondents to the BHPS and US answer a variety of job satisfaction questions, some of which have changed over the time of the survey. All job satisfaction questions in the BHPS are reported on a 7 value Likert scale, 1 being the least satisfied, 7 the most satisfied. Five job satisfaction questions are available over the entire BHPS panel. These are overall job satisfaction, satisfaction with pay, satisfaction with hours worked, satisfaction with job security, and satisfaction with the work itself.  While the primary focus is on overall job satisfaction, subsequent examination of the sub-domains of job satisfaction is instructive insofar as they convey information regarding the sources of any gender differences.  We restrict our sample to those individuals aged 16 to 64 (to 60 for women, following Clark 1997) and exclude those with missing data. This yields an unbalanced panel of 22,328 individuals. We broadly match the controls of Clark although a few changes of definitions over time force a modest deviation in specification.</w:t>
      </w:r>
      <w:r w:rsidRPr="000932A9">
        <w:rPr>
          <w:rStyle w:val="EndnoteReference"/>
          <w:rFonts w:ascii="Times New Roman" w:hAnsi="Times New Roman" w:cs="Times New Roman"/>
          <w:lang w:eastAsia="en-GB"/>
        </w:rPr>
        <w:endnoteReference w:id="7"/>
      </w:r>
      <w:r w:rsidRPr="000932A9">
        <w:rPr>
          <w:rFonts w:ascii="Times New Roman" w:hAnsi="Times New Roman" w:cs="Times New Roman"/>
          <w:lang w:eastAsia="en-GB"/>
        </w:rPr>
        <w:t xml:space="preserve"> As will be seen, we remain able to essentially reproduce Clark's 1991 point estimates. </w:t>
      </w:r>
    </w:p>
    <w:p w14:paraId="79744287" w14:textId="3D29109C" w:rsidR="009632BB" w:rsidRPr="00572651" w:rsidRDefault="009632BB" w:rsidP="00CF7A1B">
      <w:pPr>
        <w:autoSpaceDE w:val="0"/>
        <w:autoSpaceDN w:val="0"/>
        <w:adjustRightInd w:val="0"/>
        <w:spacing w:after="0" w:line="480" w:lineRule="auto"/>
        <w:ind w:firstLine="720"/>
        <w:jc w:val="both"/>
        <w:rPr>
          <w:rFonts w:ascii="Times New Roman" w:hAnsi="Times New Roman" w:cs="Times New Roman"/>
          <w:lang w:eastAsia="en-GB"/>
        </w:rPr>
      </w:pPr>
      <w:r w:rsidRPr="000932A9">
        <w:rPr>
          <w:rFonts w:ascii="Times New Roman" w:hAnsi="Times New Roman" w:cs="Times New Roman"/>
          <w:lang w:eastAsia="en-GB"/>
        </w:rPr>
        <w:t xml:space="preserve">The full list of control variables and descriptive statistics are in Appendix A1. </w:t>
      </w:r>
      <w:r>
        <w:rPr>
          <w:rFonts w:ascii="Times New Roman" w:hAnsi="Times New Roman" w:cs="Times New Roman"/>
          <w:lang w:eastAsia="en-GB"/>
        </w:rPr>
        <w:t xml:space="preserve">These demonstrate substantial changes in several of the underlying determinants.  The average work hours of </w:t>
      </w:r>
      <w:r>
        <w:rPr>
          <w:rFonts w:ascii="Times New Roman" w:hAnsi="Times New Roman" w:cs="Times New Roman"/>
          <w:lang w:eastAsia="en-GB"/>
        </w:rPr>
        <w:lastRenderedPageBreak/>
        <w:t xml:space="preserve">men and women have moved closer together. The share of women in public employment has increased dramatically while the share of unionized men has decreased.  Other determinants have moved substantially but without </w:t>
      </w:r>
      <w:r w:rsidRPr="00572651">
        <w:rPr>
          <w:rFonts w:ascii="Times New Roman" w:hAnsi="Times New Roman" w:cs="Times New Roman"/>
          <w:lang w:eastAsia="en-GB"/>
        </w:rPr>
        <w:t xml:space="preserve">large gender differences.  These include the increase in those with a degree or higher and a decline in general health.  </w:t>
      </w:r>
    </w:p>
    <w:p w14:paraId="7C2930BF" w14:textId="4E771B30" w:rsidR="009632BB" w:rsidRPr="000932A9" w:rsidRDefault="009632BB" w:rsidP="00712D7A">
      <w:pPr>
        <w:pStyle w:val="BodyTextIndent"/>
        <w:suppressAutoHyphens w:val="0"/>
        <w:autoSpaceDE w:val="0"/>
        <w:autoSpaceDN w:val="0"/>
        <w:adjustRightInd w:val="0"/>
        <w:ind w:firstLine="0"/>
        <w:rPr>
          <w:sz w:val="22"/>
          <w:szCs w:val="22"/>
          <w:lang w:val="en-GB" w:eastAsia="en-GB"/>
        </w:rPr>
      </w:pPr>
      <w:r w:rsidRPr="00572651">
        <w:rPr>
          <w:sz w:val="22"/>
          <w:szCs w:val="22"/>
          <w:lang w:val="en-GB" w:eastAsia="en-GB"/>
        </w:rPr>
        <w:tab/>
        <w:t>Figure 1 presents the mean level of overall job satisfaction on the 7-point scale by gender from 1991 to 2014.  The observations from 2010 to 2015 include all BHPS respondents who formed the basis of the larger US sample. The pattern for men shows remarkably little change with nearly all the observations, including the earliest and most recent, within a narrow band between 5.</w:t>
      </w:r>
      <w:r w:rsidR="00961207" w:rsidRPr="00572651">
        <w:rPr>
          <w:sz w:val="22"/>
          <w:szCs w:val="22"/>
          <w:lang w:val="en-GB" w:eastAsia="en-GB"/>
        </w:rPr>
        <w:t>1</w:t>
      </w:r>
      <w:r w:rsidRPr="00572651">
        <w:rPr>
          <w:sz w:val="22"/>
          <w:szCs w:val="22"/>
          <w:lang w:val="en-GB" w:eastAsia="en-GB"/>
        </w:rPr>
        <w:t xml:space="preserve"> and 5.3 satisfaction points. The change for women has been dramatic with high values in the early years nearing 5.7 points declining over the 1990s and then in the later 2000s.  Indeed, the last few observations have means for women in the 5.</w:t>
      </w:r>
      <w:r w:rsidR="00961207" w:rsidRPr="00572651">
        <w:rPr>
          <w:sz w:val="22"/>
          <w:szCs w:val="22"/>
          <w:lang w:val="en-GB" w:eastAsia="en-GB"/>
        </w:rPr>
        <w:t>2</w:t>
      </w:r>
      <w:r w:rsidRPr="00572651">
        <w:rPr>
          <w:sz w:val="22"/>
          <w:szCs w:val="22"/>
          <w:lang w:val="en-GB" w:eastAsia="en-GB"/>
        </w:rPr>
        <w:t xml:space="preserve"> to 5.3 range that is common for men.  This dramatic narrowing of the gap motivates our more detailed examination.</w:t>
      </w:r>
    </w:p>
    <w:p w14:paraId="53400B64" w14:textId="77777777" w:rsidR="009632BB" w:rsidRPr="000932A9" w:rsidRDefault="009632BB" w:rsidP="0022295C">
      <w:pPr>
        <w:pStyle w:val="BodyTextIndent"/>
        <w:suppressAutoHyphens w:val="0"/>
        <w:autoSpaceDE w:val="0"/>
        <w:autoSpaceDN w:val="0"/>
        <w:adjustRightInd w:val="0"/>
        <w:spacing w:line="240" w:lineRule="auto"/>
        <w:ind w:firstLine="0"/>
        <w:rPr>
          <w:sz w:val="22"/>
          <w:szCs w:val="22"/>
          <w:lang w:val="en-GB" w:eastAsia="en-GB"/>
        </w:rPr>
      </w:pPr>
    </w:p>
    <w:p w14:paraId="5B01ECD8" w14:textId="77777777" w:rsidR="009632BB" w:rsidRPr="000932A9" w:rsidRDefault="009632BB" w:rsidP="0022295C">
      <w:pPr>
        <w:pStyle w:val="BodyTextIndent"/>
        <w:suppressAutoHyphens w:val="0"/>
        <w:autoSpaceDE w:val="0"/>
        <w:autoSpaceDN w:val="0"/>
        <w:adjustRightInd w:val="0"/>
        <w:ind w:firstLine="0"/>
        <w:jc w:val="center"/>
        <w:rPr>
          <w:sz w:val="22"/>
          <w:szCs w:val="22"/>
          <w:lang w:val="en-GB" w:eastAsia="en-GB"/>
        </w:rPr>
      </w:pPr>
      <w:r w:rsidRPr="000932A9">
        <w:rPr>
          <w:sz w:val="22"/>
          <w:szCs w:val="22"/>
          <w:lang w:val="en-GB" w:eastAsia="en-GB"/>
        </w:rPr>
        <w:t>&lt;Figure 1 about here&gt;</w:t>
      </w:r>
    </w:p>
    <w:p w14:paraId="25A56016" w14:textId="77777777" w:rsidR="009632BB" w:rsidRPr="000932A9" w:rsidRDefault="009632BB" w:rsidP="0022295C">
      <w:pPr>
        <w:pStyle w:val="BodyTextIndent"/>
        <w:suppressAutoHyphens w:val="0"/>
        <w:autoSpaceDE w:val="0"/>
        <w:autoSpaceDN w:val="0"/>
        <w:adjustRightInd w:val="0"/>
        <w:spacing w:line="240" w:lineRule="auto"/>
        <w:ind w:firstLine="0"/>
        <w:rPr>
          <w:sz w:val="22"/>
          <w:szCs w:val="22"/>
          <w:lang w:val="en-GB" w:eastAsia="en-GB"/>
        </w:rPr>
      </w:pPr>
    </w:p>
    <w:p w14:paraId="5463FD97" w14:textId="1C22E864" w:rsidR="009632BB" w:rsidRDefault="009632BB" w:rsidP="00712D7A">
      <w:pPr>
        <w:pStyle w:val="BodyTextIndent"/>
        <w:suppressAutoHyphens w:val="0"/>
        <w:autoSpaceDE w:val="0"/>
        <w:autoSpaceDN w:val="0"/>
        <w:adjustRightInd w:val="0"/>
        <w:rPr>
          <w:sz w:val="22"/>
          <w:szCs w:val="22"/>
        </w:rPr>
      </w:pPr>
      <w:r w:rsidRPr="000932A9">
        <w:rPr>
          <w:sz w:val="22"/>
          <w:szCs w:val="22"/>
        </w:rPr>
        <w:t xml:space="preserve">Table 1 documents the well-known gender gap in overall job satisfaction as it existed in the early 1990s. For the sake of easy comparison to Clark’s main results we report average effects from ordered probits. Column 1 displays the raw differential </w:t>
      </w:r>
      <w:r>
        <w:rPr>
          <w:sz w:val="22"/>
          <w:szCs w:val="22"/>
        </w:rPr>
        <w:t xml:space="preserve">from a simple </w:t>
      </w:r>
      <w:r w:rsidRPr="000932A9">
        <w:rPr>
          <w:sz w:val="22"/>
          <w:szCs w:val="22"/>
        </w:rPr>
        <w:t xml:space="preserve">regression on gender in 1991 to be 0.305 satisfaction points. We then include the full set of individual and job characteristics as controls.  As expected, these decrease the gender gap, but not hugely. It is also worth noting that these follow the standard patterns observed in the literature. For instance, </w:t>
      </w:r>
      <w:r>
        <w:rPr>
          <w:sz w:val="22"/>
          <w:szCs w:val="22"/>
        </w:rPr>
        <w:t>age has the typical</w:t>
      </w:r>
      <w:r w:rsidRPr="000932A9">
        <w:rPr>
          <w:sz w:val="22"/>
          <w:szCs w:val="22"/>
        </w:rPr>
        <w:t xml:space="preserve"> u-shaped pattern, pay is positively associated with job satisfaction while education is negatively associated with job satisfaction </w:t>
      </w:r>
      <w:r w:rsidR="003429C5">
        <w:rPr>
          <w:sz w:val="22"/>
          <w:szCs w:val="22"/>
        </w:rPr>
        <w:t>(</w:t>
      </w:r>
      <w:r w:rsidR="003429C5" w:rsidRPr="000932A9">
        <w:rPr>
          <w:sz w:val="22"/>
          <w:szCs w:val="22"/>
        </w:rPr>
        <w:t>Clark, Kame</w:t>
      </w:r>
      <w:r w:rsidR="003429C5">
        <w:rPr>
          <w:sz w:val="22"/>
          <w:szCs w:val="22"/>
        </w:rPr>
        <w:t xml:space="preserve">saka and Tamura 201; </w:t>
      </w:r>
      <w:r w:rsidRPr="000932A9">
        <w:rPr>
          <w:sz w:val="22"/>
          <w:szCs w:val="22"/>
        </w:rPr>
        <w:t>Clark and Oswald 1996).</w:t>
      </w:r>
    </w:p>
    <w:p w14:paraId="1075918C" w14:textId="77777777" w:rsidR="009632BB" w:rsidRDefault="009632BB" w:rsidP="00087087">
      <w:pPr>
        <w:pStyle w:val="BodyTextIndent"/>
        <w:suppressAutoHyphens w:val="0"/>
        <w:autoSpaceDE w:val="0"/>
        <w:autoSpaceDN w:val="0"/>
        <w:adjustRightInd w:val="0"/>
        <w:spacing w:line="240" w:lineRule="auto"/>
        <w:rPr>
          <w:sz w:val="22"/>
          <w:szCs w:val="22"/>
        </w:rPr>
      </w:pPr>
    </w:p>
    <w:p w14:paraId="4823ED19" w14:textId="044D89F2" w:rsidR="009632BB" w:rsidRDefault="009632BB" w:rsidP="00087087">
      <w:pPr>
        <w:pStyle w:val="BodyTextIndent"/>
        <w:suppressAutoHyphens w:val="0"/>
        <w:autoSpaceDE w:val="0"/>
        <w:autoSpaceDN w:val="0"/>
        <w:adjustRightInd w:val="0"/>
        <w:jc w:val="center"/>
        <w:rPr>
          <w:sz w:val="22"/>
          <w:szCs w:val="22"/>
        </w:rPr>
      </w:pPr>
      <w:r>
        <w:rPr>
          <w:sz w:val="22"/>
          <w:szCs w:val="22"/>
        </w:rPr>
        <w:t>&lt; Table 1 &gt;</w:t>
      </w:r>
    </w:p>
    <w:p w14:paraId="2DB1BE7D" w14:textId="77777777" w:rsidR="009632BB" w:rsidRPr="000932A9" w:rsidRDefault="009632BB" w:rsidP="00087087">
      <w:pPr>
        <w:pStyle w:val="BodyTextIndent"/>
        <w:suppressAutoHyphens w:val="0"/>
        <w:autoSpaceDE w:val="0"/>
        <w:autoSpaceDN w:val="0"/>
        <w:adjustRightInd w:val="0"/>
        <w:spacing w:line="240" w:lineRule="auto"/>
        <w:jc w:val="center"/>
        <w:rPr>
          <w:sz w:val="22"/>
          <w:szCs w:val="22"/>
        </w:rPr>
      </w:pPr>
    </w:p>
    <w:p w14:paraId="1B045C47" w14:textId="36771922" w:rsidR="009632BB" w:rsidRPr="00572651" w:rsidRDefault="009632BB" w:rsidP="00712D7A">
      <w:pPr>
        <w:pStyle w:val="BodyTextIndent"/>
        <w:suppressAutoHyphens w:val="0"/>
        <w:autoSpaceDE w:val="0"/>
        <w:autoSpaceDN w:val="0"/>
        <w:adjustRightInd w:val="0"/>
        <w:rPr>
          <w:sz w:val="22"/>
          <w:szCs w:val="22"/>
        </w:rPr>
      </w:pPr>
      <w:r>
        <w:rPr>
          <w:sz w:val="22"/>
          <w:szCs w:val="22"/>
        </w:rPr>
        <w:t>As column 2 shows, the</w:t>
      </w:r>
      <w:r w:rsidRPr="000932A9">
        <w:rPr>
          <w:sz w:val="22"/>
          <w:szCs w:val="22"/>
        </w:rPr>
        <w:t xml:space="preserve"> resulting </w:t>
      </w:r>
      <w:r>
        <w:rPr>
          <w:sz w:val="22"/>
          <w:szCs w:val="22"/>
        </w:rPr>
        <w:t xml:space="preserve">conditional </w:t>
      </w:r>
      <w:r w:rsidRPr="000932A9">
        <w:rPr>
          <w:sz w:val="22"/>
          <w:szCs w:val="22"/>
        </w:rPr>
        <w:t xml:space="preserve">gap </w:t>
      </w:r>
      <w:r>
        <w:rPr>
          <w:sz w:val="22"/>
          <w:szCs w:val="22"/>
        </w:rPr>
        <w:t>of 0.242</w:t>
      </w:r>
      <w:r w:rsidRPr="000932A9">
        <w:rPr>
          <w:sz w:val="22"/>
          <w:szCs w:val="22"/>
        </w:rPr>
        <w:t xml:space="preserve"> matches very closely to Clark's </w:t>
      </w:r>
      <w:r>
        <w:rPr>
          <w:sz w:val="22"/>
          <w:szCs w:val="22"/>
        </w:rPr>
        <w:t xml:space="preserve">similar single equation </w:t>
      </w:r>
      <w:r w:rsidRPr="000932A9">
        <w:rPr>
          <w:sz w:val="22"/>
          <w:szCs w:val="22"/>
        </w:rPr>
        <w:t>estimate of 0.240. Having established an approximate replication of Clark’s results, we now take the same specification to 2008, the last year of the original BHPS.</w:t>
      </w:r>
      <w:r w:rsidRPr="000932A9">
        <w:rPr>
          <w:color w:val="FF0000"/>
          <w:sz w:val="22"/>
          <w:szCs w:val="22"/>
        </w:rPr>
        <w:t xml:space="preserve"> </w:t>
      </w:r>
      <w:r w:rsidRPr="000932A9">
        <w:rPr>
          <w:sz w:val="22"/>
          <w:szCs w:val="22"/>
        </w:rPr>
        <w:t>The estimate in column 3 indicates a raw differential of 0.1</w:t>
      </w:r>
      <w:r>
        <w:rPr>
          <w:sz w:val="22"/>
          <w:szCs w:val="22"/>
        </w:rPr>
        <w:t>89</w:t>
      </w:r>
      <w:r w:rsidRPr="000932A9">
        <w:rPr>
          <w:sz w:val="22"/>
          <w:szCs w:val="22"/>
        </w:rPr>
        <w:t xml:space="preserve">. Even more dramatic is the drop by nearly 60 percent in </w:t>
      </w:r>
      <w:r w:rsidRPr="000932A9">
        <w:rPr>
          <w:sz w:val="22"/>
          <w:szCs w:val="22"/>
        </w:rPr>
        <w:lastRenderedPageBreak/>
        <w:t xml:space="preserve">the </w:t>
      </w:r>
      <w:r w:rsidRPr="00572651">
        <w:rPr>
          <w:sz w:val="22"/>
          <w:szCs w:val="22"/>
        </w:rPr>
        <w:t xml:space="preserve">conditional gender differential in column 4 to a value of 0.108.  If we move </w:t>
      </w:r>
      <w:r w:rsidR="00EC5241" w:rsidRPr="00572651">
        <w:rPr>
          <w:sz w:val="22"/>
          <w:szCs w:val="22"/>
        </w:rPr>
        <w:t>to</w:t>
      </w:r>
      <w:r w:rsidRPr="00572651">
        <w:rPr>
          <w:sz w:val="22"/>
          <w:szCs w:val="22"/>
        </w:rPr>
        <w:t xml:space="preserve"> </w:t>
      </w:r>
      <w:r w:rsidR="00EC5241" w:rsidRPr="00572651">
        <w:rPr>
          <w:sz w:val="22"/>
          <w:szCs w:val="22"/>
        </w:rPr>
        <w:t>2012-</w:t>
      </w:r>
      <w:r w:rsidRPr="00572651">
        <w:rPr>
          <w:sz w:val="22"/>
          <w:szCs w:val="22"/>
        </w:rPr>
        <w:t>2014, the conditional differential is 0.</w:t>
      </w:r>
      <w:r w:rsidR="00B16B3D" w:rsidRPr="00572651">
        <w:rPr>
          <w:sz w:val="22"/>
          <w:szCs w:val="22"/>
        </w:rPr>
        <w:t>0</w:t>
      </w:r>
      <w:r w:rsidRPr="00572651">
        <w:rPr>
          <w:sz w:val="22"/>
          <w:szCs w:val="22"/>
        </w:rPr>
        <w:t xml:space="preserve">27, essentially zero, and statistically insignificant. </w:t>
      </w:r>
      <w:r w:rsidR="002C6638" w:rsidRPr="00572651">
        <w:rPr>
          <w:sz w:val="22"/>
          <w:szCs w:val="22"/>
        </w:rPr>
        <w:t xml:space="preserve">In unreported pooled and fully interacted models, we confirmed that the female coefficients for 1991 is statistically different at a 1% level from that for 2008 and 2012-14, respectively. The 2008 and 2012-14 female coefficients are statistically different from each other at the 5% level. </w:t>
      </w:r>
      <w:r w:rsidRPr="00572651">
        <w:rPr>
          <w:sz w:val="22"/>
          <w:szCs w:val="22"/>
        </w:rPr>
        <w:t>By the end of the time</w:t>
      </w:r>
      <w:r w:rsidR="00EC5241" w:rsidRPr="00572651">
        <w:rPr>
          <w:sz w:val="22"/>
          <w:szCs w:val="22"/>
        </w:rPr>
        <w:t xml:space="preserve"> </w:t>
      </w:r>
      <w:r w:rsidRPr="00572651">
        <w:rPr>
          <w:sz w:val="22"/>
          <w:szCs w:val="22"/>
        </w:rPr>
        <w:t>frame there appears to be no paradox. Men and women have essentially similar job satisfaction holding characteristics constant.</w:t>
      </w:r>
    </w:p>
    <w:p w14:paraId="56281898" w14:textId="77777777" w:rsidR="009632BB" w:rsidRPr="00572651" w:rsidRDefault="009632BB" w:rsidP="00087087">
      <w:pPr>
        <w:pStyle w:val="BodyTextIndent"/>
        <w:suppressAutoHyphens w:val="0"/>
        <w:autoSpaceDE w:val="0"/>
        <w:autoSpaceDN w:val="0"/>
        <w:adjustRightInd w:val="0"/>
        <w:spacing w:line="240" w:lineRule="auto"/>
        <w:rPr>
          <w:sz w:val="22"/>
          <w:szCs w:val="22"/>
        </w:rPr>
      </w:pPr>
    </w:p>
    <w:p w14:paraId="1154E224" w14:textId="2F77DEA8" w:rsidR="009632BB" w:rsidRPr="00572651" w:rsidRDefault="009632BB" w:rsidP="00FC2FD4">
      <w:pPr>
        <w:pStyle w:val="BodyTextIndent"/>
        <w:suppressAutoHyphens w:val="0"/>
        <w:autoSpaceDE w:val="0"/>
        <w:autoSpaceDN w:val="0"/>
        <w:adjustRightInd w:val="0"/>
        <w:ind w:firstLine="0"/>
        <w:jc w:val="center"/>
        <w:rPr>
          <w:sz w:val="22"/>
          <w:szCs w:val="22"/>
        </w:rPr>
      </w:pPr>
      <w:r w:rsidRPr="00572651">
        <w:rPr>
          <w:sz w:val="22"/>
          <w:szCs w:val="22"/>
        </w:rPr>
        <w:t>&lt;Figure 2 &gt;</w:t>
      </w:r>
    </w:p>
    <w:p w14:paraId="24A5A2E8" w14:textId="77777777" w:rsidR="009632BB" w:rsidRPr="00572651" w:rsidRDefault="009632BB" w:rsidP="00087087">
      <w:pPr>
        <w:pStyle w:val="BodyTextIndent"/>
        <w:suppressAutoHyphens w:val="0"/>
        <w:autoSpaceDE w:val="0"/>
        <w:autoSpaceDN w:val="0"/>
        <w:adjustRightInd w:val="0"/>
        <w:spacing w:line="240" w:lineRule="auto"/>
        <w:ind w:firstLine="0"/>
        <w:jc w:val="center"/>
        <w:rPr>
          <w:sz w:val="22"/>
          <w:szCs w:val="22"/>
        </w:rPr>
      </w:pPr>
    </w:p>
    <w:p w14:paraId="08593A02" w14:textId="65C3B6DC" w:rsidR="009632BB" w:rsidRPr="00572651" w:rsidRDefault="009632BB" w:rsidP="00102D4E">
      <w:pPr>
        <w:pStyle w:val="BodyTextIndent"/>
        <w:suppressAutoHyphens w:val="0"/>
        <w:autoSpaceDE w:val="0"/>
        <w:autoSpaceDN w:val="0"/>
        <w:adjustRightInd w:val="0"/>
        <w:rPr>
          <w:sz w:val="22"/>
          <w:szCs w:val="22"/>
        </w:rPr>
      </w:pPr>
      <w:r w:rsidRPr="00572651">
        <w:rPr>
          <w:sz w:val="22"/>
          <w:szCs w:val="22"/>
        </w:rPr>
        <w:t xml:space="preserve">Figure 2 presents the full time series of point estimates on the conditional gender differential from single equation </w:t>
      </w:r>
      <w:r w:rsidR="002E2CDD" w:rsidRPr="00572651">
        <w:rPr>
          <w:sz w:val="22"/>
          <w:szCs w:val="22"/>
        </w:rPr>
        <w:t>OLS</w:t>
      </w:r>
      <w:r w:rsidRPr="00572651">
        <w:rPr>
          <w:sz w:val="22"/>
          <w:szCs w:val="22"/>
        </w:rPr>
        <w:t xml:space="preserve"> estimates within each individual year.  While subject to fairly large variation, it shows differentials in the early years of 0.2 to 0.3 that shrink over the 1990s, partially recovers but then shrinks again from the late 2000s onwards.  This period of no change in the gender satisfaction gap in the late 1990s may reflect sample variation or may reflect a process of changing expectations that does not occur continuously. In any event, very few of the estimates from 2006 to 2015 are significantly different from zero at the 5 percent level as shown by the lower confidence bound.  This largely mirrors the dynamics seen in the raw differential in Table 1.  </w:t>
      </w:r>
    </w:p>
    <w:p w14:paraId="75C524DE" w14:textId="77777777" w:rsidR="009632BB" w:rsidRPr="00572651" w:rsidRDefault="009632BB" w:rsidP="00102D4E">
      <w:pPr>
        <w:pStyle w:val="BodyTextIndent"/>
        <w:suppressAutoHyphens w:val="0"/>
        <w:autoSpaceDE w:val="0"/>
        <w:autoSpaceDN w:val="0"/>
        <w:adjustRightInd w:val="0"/>
        <w:spacing w:line="240" w:lineRule="auto"/>
        <w:rPr>
          <w:sz w:val="22"/>
          <w:szCs w:val="22"/>
        </w:rPr>
      </w:pPr>
    </w:p>
    <w:p w14:paraId="6213077D" w14:textId="40CF75F3" w:rsidR="009632BB" w:rsidRPr="00572651" w:rsidRDefault="009632BB" w:rsidP="00200817">
      <w:pPr>
        <w:pStyle w:val="BodyTextIndent"/>
        <w:suppressAutoHyphens w:val="0"/>
        <w:autoSpaceDE w:val="0"/>
        <w:autoSpaceDN w:val="0"/>
        <w:adjustRightInd w:val="0"/>
        <w:ind w:firstLine="0"/>
        <w:jc w:val="center"/>
        <w:rPr>
          <w:sz w:val="22"/>
          <w:szCs w:val="22"/>
        </w:rPr>
      </w:pPr>
      <w:r w:rsidRPr="00572651">
        <w:rPr>
          <w:sz w:val="22"/>
          <w:szCs w:val="22"/>
        </w:rPr>
        <w:t>&lt;Table 2 &gt;</w:t>
      </w:r>
    </w:p>
    <w:p w14:paraId="71ECB395" w14:textId="77777777" w:rsidR="009632BB" w:rsidRPr="00572651" w:rsidRDefault="009632BB" w:rsidP="00102D4E">
      <w:pPr>
        <w:pStyle w:val="BodyTextIndent"/>
        <w:suppressAutoHyphens w:val="0"/>
        <w:autoSpaceDE w:val="0"/>
        <w:autoSpaceDN w:val="0"/>
        <w:adjustRightInd w:val="0"/>
        <w:spacing w:line="240" w:lineRule="auto"/>
        <w:ind w:firstLine="0"/>
        <w:jc w:val="center"/>
        <w:rPr>
          <w:sz w:val="22"/>
          <w:szCs w:val="22"/>
        </w:rPr>
      </w:pPr>
    </w:p>
    <w:p w14:paraId="4C3E58FC" w14:textId="24097405" w:rsidR="009632BB" w:rsidRPr="00572651" w:rsidRDefault="009632BB" w:rsidP="00706A4E">
      <w:pPr>
        <w:pStyle w:val="BodyTextIndent"/>
        <w:suppressAutoHyphens w:val="0"/>
        <w:autoSpaceDE w:val="0"/>
        <w:autoSpaceDN w:val="0"/>
        <w:adjustRightInd w:val="0"/>
        <w:rPr>
          <w:sz w:val="22"/>
          <w:szCs w:val="22"/>
        </w:rPr>
      </w:pPr>
      <w:r w:rsidRPr="00572651">
        <w:rPr>
          <w:sz w:val="22"/>
          <w:szCs w:val="22"/>
        </w:rPr>
        <w:t>Table 2 shows that the patterns reported in Table 1 are broadly true across all domains of job satisfaction. The table provides analogous estimates for the four dimensions of job satisfaction that are consistently measured across the BHPS.</w:t>
      </w:r>
      <w:r w:rsidRPr="00572651">
        <w:rPr>
          <w:rStyle w:val="EndnoteReference"/>
          <w:sz w:val="22"/>
          <w:szCs w:val="22"/>
        </w:rPr>
        <w:endnoteReference w:id="8"/>
      </w:r>
      <w:r w:rsidRPr="00572651">
        <w:rPr>
          <w:sz w:val="22"/>
          <w:szCs w:val="22"/>
        </w:rPr>
        <w:t xml:space="preserve"> In the case of job satisfaction with pay, security and the ‘work itself’ there is a male-female gap in job satisfaction initially. As with overall job satisfaction, these gaps tend to disappear by the end of our time series. In the case of satisfaction with hours worked there is initially no difference across genders. Yet, by the end of the time series, there is weak evidence that female workers are less happy with their hours than are men.  We now turn to further exploration of downward trend in female job satisfaction and, critically, what drives it.  This we see as broadly confirming the vanishing paradox of the contented female worker.</w:t>
      </w:r>
    </w:p>
    <w:p w14:paraId="6C6E5185" w14:textId="77777777" w:rsidR="009632BB" w:rsidRPr="00572651" w:rsidRDefault="009632BB" w:rsidP="0022295C">
      <w:pPr>
        <w:pStyle w:val="BodyTextIndent"/>
        <w:suppressAutoHyphens w:val="0"/>
        <w:autoSpaceDE w:val="0"/>
        <w:autoSpaceDN w:val="0"/>
        <w:adjustRightInd w:val="0"/>
        <w:spacing w:line="240" w:lineRule="auto"/>
        <w:ind w:firstLine="0"/>
        <w:rPr>
          <w:sz w:val="22"/>
          <w:szCs w:val="22"/>
        </w:rPr>
      </w:pPr>
    </w:p>
    <w:p w14:paraId="5F3A57C5" w14:textId="77777777" w:rsidR="009632BB" w:rsidRPr="00572651" w:rsidRDefault="009632BB" w:rsidP="00703A0A">
      <w:pPr>
        <w:pStyle w:val="ListParagraph"/>
        <w:numPr>
          <w:ilvl w:val="0"/>
          <w:numId w:val="6"/>
        </w:numPr>
        <w:spacing w:after="0" w:line="480" w:lineRule="auto"/>
        <w:ind w:left="360"/>
        <w:rPr>
          <w:rFonts w:ascii="Times New Roman" w:hAnsi="Times New Roman" w:cs="Times New Roman"/>
          <w:b/>
        </w:rPr>
      </w:pPr>
      <w:r w:rsidRPr="00572651">
        <w:rPr>
          <w:rFonts w:ascii="Times New Roman" w:hAnsi="Times New Roman" w:cs="Times New Roman"/>
          <w:b/>
        </w:rPr>
        <w:t>Exploring the Trend and its Causes</w:t>
      </w:r>
    </w:p>
    <w:p w14:paraId="07B4CAA4" w14:textId="1DFED31E" w:rsidR="009632BB" w:rsidRPr="00572651" w:rsidRDefault="009632BB" w:rsidP="00712D7A">
      <w:pPr>
        <w:spacing w:after="0" w:line="480" w:lineRule="auto"/>
        <w:ind w:firstLine="720"/>
        <w:jc w:val="both"/>
        <w:rPr>
          <w:rFonts w:ascii="Times New Roman" w:hAnsi="Times New Roman" w:cs="Times New Roman"/>
        </w:rPr>
      </w:pPr>
      <w:r w:rsidRPr="00572651">
        <w:rPr>
          <w:rFonts w:ascii="Times New Roman" w:hAnsi="Times New Roman" w:cs="Times New Roman"/>
        </w:rPr>
        <w:t>We now examine the dynamics of how the conditional gender gap has changed over time (see Table 3). As an initial step we include a yearly time trend along with an interaction between this and gender. These are included into a multi-year specification that simply pools all years of the data and is estimated by ordinary least squares with standard errors clustered by individual.</w:t>
      </w:r>
      <w:r w:rsidRPr="00572651">
        <w:rPr>
          <w:rStyle w:val="EndnoteReference"/>
          <w:rFonts w:ascii="Times New Roman" w:hAnsi="Times New Roman" w:cs="Times New Roman"/>
        </w:rPr>
        <w:endnoteReference w:id="9"/>
      </w:r>
      <w:r w:rsidRPr="00572651">
        <w:rPr>
          <w:rFonts w:ascii="Times New Roman" w:hAnsi="Times New Roman" w:cs="Times New Roman"/>
        </w:rPr>
        <w:t xml:space="preserve"> The male time trend (given by the year coefficient) is negative but essentially zero, while female job satisfaction trends down at a fast rate over the period. The difference in the rates is sufficient that projections indicate that the initial job satisfaction premium of a 0.285 for women is completely eliminated within the sample period, such that it is zero by 2012. This is reflected in the actual within year estimates that show no significant difference in male-female job satisfaction in the most recent years. The second column includes squared terms for the both the trend and the interaction.  The squared terms have positive significant coefficients which fits with the pattern reported in Figure 2 showing that the decline is greater early in the time period with the substantially larger decline in female satisfaction in the linear term again generating a projection of no difference in satisfaction by the end of the period. Finally, not shown is a third variation that simply includes a dummy for each year after 1991 and an interaction of that dummy with the female indicator.  </w:t>
      </w:r>
      <w:r w:rsidR="00C17243" w:rsidRPr="00572651">
        <w:rPr>
          <w:rFonts w:ascii="Times New Roman" w:hAnsi="Times New Roman" w:cs="Times New Roman"/>
        </w:rPr>
        <w:t>The patterns of these interactions</w:t>
      </w:r>
      <w:r w:rsidRPr="00572651">
        <w:rPr>
          <w:rFonts w:ascii="Times New Roman" w:hAnsi="Times New Roman" w:cs="Times New Roman"/>
        </w:rPr>
        <w:t xml:space="preserve"> again indicate that by the end of the period, there is no difference in job satisfaction by gender.  Thus, if we estimate a separate equation within each year as reflected in Figure 2, or a single specification across years as in Table 3, the pattern of decline to essentially zero remains evident. </w:t>
      </w:r>
    </w:p>
    <w:p w14:paraId="67437E9B" w14:textId="77777777" w:rsidR="009632BB" w:rsidRPr="00572651" w:rsidRDefault="009632BB" w:rsidP="00262F5A">
      <w:pPr>
        <w:spacing w:after="0" w:line="240" w:lineRule="auto"/>
        <w:ind w:firstLine="720"/>
        <w:jc w:val="both"/>
        <w:rPr>
          <w:rFonts w:ascii="Times New Roman" w:hAnsi="Times New Roman" w:cs="Times New Roman"/>
        </w:rPr>
      </w:pPr>
    </w:p>
    <w:p w14:paraId="3DCEACF3" w14:textId="5759063A" w:rsidR="009632BB" w:rsidRDefault="009632BB" w:rsidP="00140318">
      <w:pPr>
        <w:pStyle w:val="BodyTextIndent"/>
        <w:suppressAutoHyphens w:val="0"/>
        <w:autoSpaceDE w:val="0"/>
        <w:autoSpaceDN w:val="0"/>
        <w:adjustRightInd w:val="0"/>
        <w:ind w:firstLine="0"/>
        <w:jc w:val="center"/>
        <w:rPr>
          <w:sz w:val="22"/>
          <w:szCs w:val="22"/>
        </w:rPr>
      </w:pPr>
      <w:r w:rsidRPr="00572651">
        <w:rPr>
          <w:sz w:val="22"/>
          <w:szCs w:val="22"/>
        </w:rPr>
        <w:t>&lt;Table 3&gt;</w:t>
      </w:r>
    </w:p>
    <w:p w14:paraId="6B492A55" w14:textId="77777777" w:rsidR="009632BB" w:rsidRPr="000932A9" w:rsidRDefault="009632BB" w:rsidP="00262F5A">
      <w:pPr>
        <w:pStyle w:val="BodyTextIndent"/>
        <w:suppressAutoHyphens w:val="0"/>
        <w:autoSpaceDE w:val="0"/>
        <w:autoSpaceDN w:val="0"/>
        <w:adjustRightInd w:val="0"/>
        <w:spacing w:line="240" w:lineRule="auto"/>
        <w:ind w:firstLine="0"/>
        <w:jc w:val="center"/>
        <w:rPr>
          <w:sz w:val="22"/>
          <w:szCs w:val="22"/>
        </w:rPr>
      </w:pPr>
    </w:p>
    <w:p w14:paraId="3CCDC909" w14:textId="258800E6" w:rsidR="009632BB" w:rsidRPr="00572651" w:rsidRDefault="009632BB" w:rsidP="00712D7A">
      <w:pPr>
        <w:spacing w:after="0" w:line="480" w:lineRule="auto"/>
        <w:ind w:firstLine="720"/>
        <w:jc w:val="both"/>
        <w:rPr>
          <w:rFonts w:ascii="Times New Roman" w:hAnsi="Times New Roman" w:cs="Times New Roman"/>
        </w:rPr>
      </w:pPr>
      <w:r>
        <w:rPr>
          <w:rFonts w:ascii="Times New Roman" w:hAnsi="Times New Roman" w:cs="Times New Roman"/>
        </w:rPr>
        <w:t>We</w:t>
      </w:r>
      <w:r w:rsidRPr="000932A9">
        <w:rPr>
          <w:rFonts w:ascii="Times New Roman" w:hAnsi="Times New Roman" w:cs="Times New Roman"/>
        </w:rPr>
        <w:t xml:space="preserve"> </w:t>
      </w:r>
      <w:r>
        <w:rPr>
          <w:rFonts w:ascii="Times New Roman" w:hAnsi="Times New Roman" w:cs="Times New Roman"/>
        </w:rPr>
        <w:t>examine</w:t>
      </w:r>
      <w:r w:rsidRPr="000932A9">
        <w:rPr>
          <w:rFonts w:ascii="Times New Roman" w:hAnsi="Times New Roman" w:cs="Times New Roman"/>
        </w:rPr>
        <w:t xml:space="preserve"> </w:t>
      </w:r>
      <w:r>
        <w:rPr>
          <w:rFonts w:ascii="Times New Roman" w:hAnsi="Times New Roman" w:cs="Times New Roman"/>
        </w:rPr>
        <w:t>one potential source</w:t>
      </w:r>
      <w:r w:rsidRPr="000932A9">
        <w:rPr>
          <w:rFonts w:ascii="Times New Roman" w:hAnsi="Times New Roman" w:cs="Times New Roman"/>
        </w:rPr>
        <w:t xml:space="preserve"> </w:t>
      </w:r>
      <w:r>
        <w:rPr>
          <w:rFonts w:ascii="Times New Roman" w:hAnsi="Times New Roman" w:cs="Times New Roman"/>
        </w:rPr>
        <w:t>for the dynamics documented in T</w:t>
      </w:r>
      <w:r w:rsidRPr="000932A9">
        <w:rPr>
          <w:rFonts w:ascii="Times New Roman" w:hAnsi="Times New Roman" w:cs="Times New Roman"/>
        </w:rPr>
        <w:t>able 3 by examining the evolution of the gender satisfaction gap among workers over time.</w:t>
      </w:r>
      <w:r>
        <w:rPr>
          <w:rFonts w:ascii="Times New Roman" w:hAnsi="Times New Roman" w:cs="Times New Roman"/>
        </w:rPr>
        <w:t xml:space="preserve"> I</w:t>
      </w:r>
      <w:r w:rsidRPr="000932A9">
        <w:rPr>
          <w:rFonts w:ascii="Times New Roman" w:hAnsi="Times New Roman" w:cs="Times New Roman"/>
        </w:rPr>
        <w:t>n Table 4 we report estimates where the sample is limited to those workers who are in the survey throughout the time series.  By construction these workers are younger than average in 1991 as older workers will attrit out of the sample.  By doing this we are effectively identifying the young in Clark's sample and following them over the time series</w:t>
      </w:r>
      <w:r>
        <w:rPr>
          <w:rFonts w:ascii="Times New Roman" w:hAnsi="Times New Roman" w:cs="Times New Roman"/>
        </w:rPr>
        <w:t xml:space="preserve"> of more than 20</w:t>
      </w:r>
      <w:r w:rsidRPr="000932A9">
        <w:rPr>
          <w:rFonts w:ascii="Times New Roman" w:hAnsi="Times New Roman" w:cs="Times New Roman"/>
        </w:rPr>
        <w:t xml:space="preserve"> years.  Using the same specification as before, we find that a significant female </w:t>
      </w:r>
      <w:r w:rsidRPr="000932A9">
        <w:rPr>
          <w:rFonts w:ascii="Times New Roman" w:hAnsi="Times New Roman" w:cs="Times New Roman"/>
        </w:rPr>
        <w:lastRenderedPageBreak/>
        <w:t xml:space="preserve">satisfaction gap exists among these younger workers in 1991 estimates. The estimate is, however, only about 66 percent of the estimated gap on the entire 1991 sample from Table 1.  This merely reproduces the observation by Clark that at that time there was a smaller gap among younger workers. We then re-estimate the identical specification on this cohort as it ages.  In the last year of the BHPS, the point </w:t>
      </w:r>
      <w:r w:rsidRPr="00572651">
        <w:rPr>
          <w:rFonts w:ascii="Times New Roman" w:hAnsi="Times New Roman" w:cs="Times New Roman"/>
        </w:rPr>
        <w:t>estimate has diminished markedly and is no longer statistically significant (column 2). Moreover, there is no significant satisfaction gap in the years of the US for which we can follow the cohort.  Thus, it seems clear that the 1991 sample "aged" out of a significant gender differential in satisfaction.  Put differently, the cohort of younger women in 1991 reported decreasing job satisfaction as they aged.</w:t>
      </w:r>
    </w:p>
    <w:p w14:paraId="56347C05" w14:textId="77777777" w:rsidR="009632BB" w:rsidRPr="00572651" w:rsidRDefault="009632BB" w:rsidP="0029065A">
      <w:pPr>
        <w:spacing w:after="0" w:line="240" w:lineRule="auto"/>
        <w:ind w:firstLine="720"/>
        <w:jc w:val="both"/>
        <w:rPr>
          <w:rFonts w:ascii="Times New Roman" w:hAnsi="Times New Roman" w:cs="Times New Roman"/>
        </w:rPr>
      </w:pPr>
    </w:p>
    <w:p w14:paraId="2953C36B" w14:textId="112DECA0" w:rsidR="009632BB" w:rsidRPr="00572651" w:rsidRDefault="009632BB" w:rsidP="0029065A">
      <w:pPr>
        <w:pStyle w:val="BodyTextIndent"/>
        <w:suppressAutoHyphens w:val="0"/>
        <w:autoSpaceDE w:val="0"/>
        <w:autoSpaceDN w:val="0"/>
        <w:adjustRightInd w:val="0"/>
        <w:ind w:left="720" w:firstLine="0"/>
        <w:jc w:val="center"/>
        <w:rPr>
          <w:sz w:val="22"/>
          <w:szCs w:val="22"/>
        </w:rPr>
      </w:pPr>
      <w:r w:rsidRPr="00572651">
        <w:rPr>
          <w:sz w:val="22"/>
          <w:szCs w:val="22"/>
        </w:rPr>
        <w:t>&lt;Table 4&gt;</w:t>
      </w:r>
    </w:p>
    <w:p w14:paraId="5E12A7D3" w14:textId="77777777" w:rsidR="009632BB" w:rsidRPr="00572651" w:rsidRDefault="009632BB" w:rsidP="0029065A">
      <w:pPr>
        <w:pStyle w:val="BodyTextIndent"/>
        <w:suppressAutoHyphens w:val="0"/>
        <w:autoSpaceDE w:val="0"/>
        <w:autoSpaceDN w:val="0"/>
        <w:adjustRightInd w:val="0"/>
        <w:spacing w:line="240" w:lineRule="auto"/>
        <w:ind w:left="720" w:firstLine="0"/>
        <w:jc w:val="center"/>
        <w:rPr>
          <w:sz w:val="22"/>
          <w:szCs w:val="22"/>
        </w:rPr>
      </w:pPr>
    </w:p>
    <w:p w14:paraId="20839422" w14:textId="4E795ED1" w:rsidR="009632BB" w:rsidRPr="00572651" w:rsidRDefault="009632BB" w:rsidP="000A7288">
      <w:pPr>
        <w:spacing w:after="0" w:line="480" w:lineRule="auto"/>
        <w:jc w:val="both"/>
        <w:rPr>
          <w:rFonts w:ascii="Times New Roman" w:hAnsi="Times New Roman" w:cs="Times New Roman"/>
        </w:rPr>
      </w:pPr>
      <w:r w:rsidRPr="00572651">
        <w:rPr>
          <w:rFonts w:ascii="Times New Roman" w:hAnsi="Times New Roman" w:cs="Times New Roman"/>
        </w:rPr>
        <w:tab/>
      </w:r>
      <w:r w:rsidR="00E27881" w:rsidRPr="00572651">
        <w:rPr>
          <w:rFonts w:ascii="Times New Roman" w:hAnsi="Times New Roman" w:cs="Times New Roman"/>
        </w:rPr>
        <w:t xml:space="preserve">Following a </w:t>
      </w:r>
      <w:r w:rsidRPr="00572651">
        <w:rPr>
          <w:rFonts w:ascii="Times New Roman" w:hAnsi="Times New Roman" w:cs="Times New Roman"/>
        </w:rPr>
        <w:t xml:space="preserve">given group of workers over time </w:t>
      </w:r>
      <w:r w:rsidR="00601B9E" w:rsidRPr="00572651">
        <w:rPr>
          <w:rFonts w:ascii="Times New Roman" w:hAnsi="Times New Roman" w:cs="Times New Roman"/>
        </w:rPr>
        <w:t>means that</w:t>
      </w:r>
      <w:r w:rsidRPr="00572651">
        <w:rPr>
          <w:rFonts w:ascii="Times New Roman" w:hAnsi="Times New Roman" w:cs="Times New Roman"/>
        </w:rPr>
        <w:t xml:space="preserve"> the decline shown i</w:t>
      </w:r>
      <w:r w:rsidR="00E27881" w:rsidRPr="00572651">
        <w:rPr>
          <w:rFonts w:ascii="Times New Roman" w:hAnsi="Times New Roman" w:cs="Times New Roman"/>
        </w:rPr>
        <w:t>n</w:t>
      </w:r>
      <w:r w:rsidRPr="00572651">
        <w:rPr>
          <w:rFonts w:ascii="Times New Roman" w:hAnsi="Times New Roman" w:cs="Times New Roman"/>
        </w:rPr>
        <w:t xml:space="preserve"> Table 4 is not</w:t>
      </w:r>
      <w:r w:rsidR="00E27881" w:rsidRPr="00572651">
        <w:rPr>
          <w:rFonts w:ascii="Times New Roman" w:hAnsi="Times New Roman" w:cs="Times New Roman"/>
        </w:rPr>
        <w:t xml:space="preserve"> simply</w:t>
      </w:r>
      <w:r w:rsidRPr="00572651">
        <w:rPr>
          <w:rFonts w:ascii="Times New Roman" w:hAnsi="Times New Roman" w:cs="Times New Roman"/>
        </w:rPr>
        <w:t xml:space="preserve"> due to later entrants to the labour market having lower job satisfaction.  Such a result might generate a decline in a repeated cross-section and merely reflect the changing gender composition of the labour force. Thus, over time a larger share of women select into the labour market and this changing selection pattern might drive a change in job satisfaction.  In such a selection story one imagines that when only very few women select into the labour force they are those with unusually high job satisfaction but that this satisfaction diminishes to match men as their entry share approximates that of men.  Table 4 demonstrates that something more is happening. Again, Clark's workers aged out of their gender gap.</w:t>
      </w:r>
    </w:p>
    <w:p w14:paraId="4967A2FA" w14:textId="5A964919" w:rsidR="009632BB" w:rsidRPr="00572651" w:rsidRDefault="009632BB" w:rsidP="00712D7A">
      <w:pPr>
        <w:spacing w:after="0" w:line="480" w:lineRule="auto"/>
        <w:ind w:firstLine="720"/>
        <w:jc w:val="both"/>
        <w:rPr>
          <w:rFonts w:ascii="Times New Roman" w:hAnsi="Times New Roman" w:cs="Times New Roman"/>
        </w:rPr>
      </w:pPr>
      <w:r w:rsidRPr="00572651">
        <w:rPr>
          <w:rFonts w:ascii="Times New Roman" w:hAnsi="Times New Roman" w:cs="Times New Roman"/>
        </w:rPr>
        <w:t>Having established that the original Clark cohort of younger female workers has become relatively less satisfied over time (an age effect) we next ask what has happened to the job satisfaction of workers of different ages over our sample period. Table 5 reports estimates of gender job satisfaction gaps across the entire sample in the respective years simply dividing them by age. We arbitrarily take 35 as a cut-point but have experimented with other cut-points.</w:t>
      </w:r>
      <w:r w:rsidRPr="00572651">
        <w:rPr>
          <w:rStyle w:val="EndnoteReference"/>
          <w:rFonts w:ascii="Times New Roman" w:hAnsi="Times New Roman" w:cs="Times New Roman"/>
        </w:rPr>
        <w:endnoteReference w:id="10"/>
      </w:r>
      <w:r w:rsidRPr="00572651">
        <w:rPr>
          <w:rFonts w:ascii="Times New Roman" w:hAnsi="Times New Roman" w:cs="Times New Roman"/>
        </w:rPr>
        <w:t xml:space="preserve"> Here, rather than following the cohort through the time series, we focus on cohort effects.  The first two columns show that in 1991, among both the young and old, there exists a significant female satisfaction advantage but this advantage is greater for older workers.</w:t>
      </w:r>
      <w:r w:rsidRPr="00572651">
        <w:rPr>
          <w:rStyle w:val="EndnoteReference"/>
          <w:rFonts w:ascii="Times New Roman" w:hAnsi="Times New Roman" w:cs="Times New Roman"/>
        </w:rPr>
        <w:endnoteReference w:id="11"/>
      </w:r>
      <w:r w:rsidRPr="00572651">
        <w:rPr>
          <w:rFonts w:ascii="Times New Roman" w:hAnsi="Times New Roman" w:cs="Times New Roman"/>
        </w:rPr>
        <w:t xml:space="preserve">  By the last two years of the BHPS both point estimates are markedly reduced. While statistically insignificant for older workers, there remains a smaller statistically </w:t>
      </w:r>
      <w:r w:rsidRPr="00572651">
        <w:rPr>
          <w:rFonts w:ascii="Times New Roman" w:hAnsi="Times New Roman" w:cs="Times New Roman"/>
        </w:rPr>
        <w:lastRenderedPageBreak/>
        <w:t xml:space="preserve">significant gender gap for younger workers.  By the US period, both young and old workers show a vanishingly small point estimate that is very far from statistical significance.  </w:t>
      </w:r>
    </w:p>
    <w:p w14:paraId="110CA7EB" w14:textId="77777777" w:rsidR="009632BB" w:rsidRPr="00572651" w:rsidRDefault="009632BB" w:rsidP="00F43CE2">
      <w:pPr>
        <w:spacing w:after="0" w:line="240" w:lineRule="auto"/>
        <w:ind w:firstLine="720"/>
        <w:jc w:val="both"/>
        <w:rPr>
          <w:rFonts w:ascii="Times New Roman" w:hAnsi="Times New Roman" w:cs="Times New Roman"/>
        </w:rPr>
      </w:pPr>
    </w:p>
    <w:p w14:paraId="59479826" w14:textId="65332D96" w:rsidR="009632BB" w:rsidRPr="00572651" w:rsidRDefault="009632BB" w:rsidP="00F43CE2">
      <w:pPr>
        <w:spacing w:after="0" w:line="480" w:lineRule="auto"/>
        <w:ind w:firstLine="720"/>
        <w:jc w:val="center"/>
        <w:rPr>
          <w:rFonts w:ascii="Times New Roman" w:hAnsi="Times New Roman" w:cs="Times New Roman"/>
        </w:rPr>
      </w:pPr>
      <w:r w:rsidRPr="00572651">
        <w:rPr>
          <w:rFonts w:ascii="Times New Roman" w:hAnsi="Times New Roman" w:cs="Times New Roman"/>
        </w:rPr>
        <w:t>&lt; Table 5 &gt;</w:t>
      </w:r>
    </w:p>
    <w:p w14:paraId="7768C4EE" w14:textId="77777777" w:rsidR="009632BB" w:rsidRPr="00572651" w:rsidRDefault="009632BB" w:rsidP="00F43CE2">
      <w:pPr>
        <w:spacing w:after="0" w:line="240" w:lineRule="auto"/>
        <w:ind w:firstLine="720"/>
        <w:jc w:val="both"/>
        <w:rPr>
          <w:rFonts w:ascii="Times New Roman" w:hAnsi="Times New Roman" w:cs="Times New Roman"/>
        </w:rPr>
      </w:pPr>
    </w:p>
    <w:p w14:paraId="0D7CB452" w14:textId="7070A7AA" w:rsidR="009632BB" w:rsidRPr="00572651" w:rsidRDefault="009632BB" w:rsidP="00F43CE2">
      <w:pPr>
        <w:spacing w:after="0" w:line="480" w:lineRule="auto"/>
        <w:ind w:firstLine="360"/>
        <w:jc w:val="both"/>
        <w:rPr>
          <w:rFonts w:ascii="Times New Roman" w:hAnsi="Times New Roman" w:cs="Times New Roman"/>
        </w:rPr>
      </w:pPr>
      <w:r w:rsidRPr="00572651">
        <w:rPr>
          <w:rFonts w:ascii="Times New Roman" w:hAnsi="Times New Roman" w:cs="Times New Roman"/>
        </w:rPr>
        <w:t xml:space="preserve">This revealing result suggests that while the young 1991 cohort aged out of a gender gap, the young workers of 2012 never had one!  Our ability to demonstrate both age and cohort effects seems to fit with Clark's view that the accumulating experience of women in the labour force generates expectations that more closely match reality and those of men. </w:t>
      </w:r>
    </w:p>
    <w:p w14:paraId="041E561B" w14:textId="77777777" w:rsidR="009632BB" w:rsidRPr="00572651" w:rsidRDefault="009632BB" w:rsidP="00712D7A">
      <w:pPr>
        <w:spacing w:after="0" w:line="480" w:lineRule="auto"/>
        <w:ind w:firstLine="720"/>
        <w:jc w:val="both"/>
        <w:rPr>
          <w:rFonts w:ascii="Times New Roman" w:hAnsi="Times New Roman" w:cs="Times New Roman"/>
        </w:rPr>
      </w:pPr>
    </w:p>
    <w:p w14:paraId="1AD9F2A6" w14:textId="77777777" w:rsidR="009632BB" w:rsidRPr="00572651" w:rsidRDefault="009632BB" w:rsidP="00703A0A">
      <w:pPr>
        <w:pStyle w:val="ListParagraph"/>
        <w:numPr>
          <w:ilvl w:val="0"/>
          <w:numId w:val="6"/>
        </w:numPr>
        <w:spacing w:after="0" w:line="480" w:lineRule="auto"/>
        <w:ind w:left="360"/>
        <w:jc w:val="both"/>
        <w:rPr>
          <w:rFonts w:ascii="Times New Roman" w:hAnsi="Times New Roman" w:cs="Times New Roman"/>
          <w:b/>
        </w:rPr>
      </w:pPr>
      <w:r w:rsidRPr="00572651">
        <w:rPr>
          <w:rFonts w:ascii="Times New Roman" w:hAnsi="Times New Roman" w:cs="Times New Roman"/>
          <w:b/>
        </w:rPr>
        <w:t>Decomposing the Trend</w:t>
      </w:r>
    </w:p>
    <w:p w14:paraId="08A215C3" w14:textId="69A90883" w:rsidR="009632BB" w:rsidRPr="00572651" w:rsidRDefault="009632BB" w:rsidP="007D1F57">
      <w:pPr>
        <w:spacing w:after="0" w:line="480" w:lineRule="auto"/>
        <w:ind w:firstLine="720"/>
        <w:jc w:val="both"/>
        <w:rPr>
          <w:rFonts w:ascii="Times New Roman" w:hAnsi="Times New Roman" w:cs="Times New Roman"/>
        </w:rPr>
      </w:pPr>
      <w:r w:rsidRPr="00572651">
        <w:rPr>
          <w:rFonts w:ascii="Times New Roman" w:hAnsi="Times New Roman" w:cs="Times New Roman"/>
        </w:rPr>
        <w:t>We now retain the central measure of overall job satisfaction and explore differences in the determinants of job satisfaction by gender and how those differences have changed.  Our initial step is to estimate separate equations for job satisfaction by gender within each year. We apply a standard Oaxaca-Blinder decomposition by estimating these equations by OLS</w:t>
      </w:r>
      <w:r w:rsidRPr="00572651">
        <w:rPr>
          <w:rStyle w:val="EndnoteReference"/>
          <w:rFonts w:ascii="Times New Roman" w:hAnsi="Times New Roman" w:cs="Times New Roman"/>
        </w:rPr>
        <w:endnoteReference w:id="12"/>
      </w:r>
      <w:r w:rsidRPr="00572651">
        <w:rPr>
          <w:rFonts w:ascii="Times New Roman" w:hAnsi="Times New Roman" w:cs="Times New Roman"/>
        </w:rPr>
        <w:t xml:space="preserve">. We stress that these linear estimates largely match the patterns evident in the ordered probit, and they are reported in full for critical years in Appendix Table A2. </w:t>
      </w:r>
    </w:p>
    <w:p w14:paraId="363E7D8E" w14:textId="78CF61B2" w:rsidR="009632BB" w:rsidRPr="000932A9" w:rsidRDefault="009632BB" w:rsidP="007D1F57">
      <w:pPr>
        <w:spacing w:after="0" w:line="480" w:lineRule="auto"/>
        <w:ind w:firstLine="720"/>
        <w:jc w:val="both"/>
        <w:rPr>
          <w:rFonts w:ascii="Times New Roman" w:hAnsi="Times New Roman" w:cs="Times New Roman"/>
        </w:rPr>
      </w:pPr>
      <w:r w:rsidRPr="00572651">
        <w:rPr>
          <w:rFonts w:ascii="Times New Roman" w:hAnsi="Times New Roman" w:cs="Times New Roman"/>
        </w:rPr>
        <w:t>We adopt the approach outlined by Oaxaca and Ransom (1994) to choose the appropriate weighting matrix for the decomposition. This determines the ‘non-discriminatory’ coefficients for each year by weighting the male and female coefficients by the sample shares of males and females in that year</w:t>
      </w:r>
      <w:r w:rsidRPr="00936705">
        <w:rPr>
          <w:rFonts w:ascii="Times New Roman" w:hAnsi="Times New Roman" w:cs="Times New Roman"/>
        </w:rPr>
        <w:t>. Note, however, that the</w:t>
      </w:r>
      <w:r w:rsidRPr="000932A9">
        <w:rPr>
          <w:rFonts w:ascii="Times New Roman" w:hAnsi="Times New Roman" w:cs="Times New Roman"/>
        </w:rPr>
        <w:t xml:space="preserve"> basic results remain if we use more extreme options such as assuming either male or female coefficients are the true </w:t>
      </w:r>
      <w:r>
        <w:rPr>
          <w:rFonts w:ascii="Times New Roman" w:hAnsi="Times New Roman" w:cs="Times New Roman"/>
        </w:rPr>
        <w:t>non-discriminatory coefficients</w:t>
      </w:r>
      <w:r w:rsidRPr="000932A9">
        <w:rPr>
          <w:rFonts w:ascii="Times New Roman" w:hAnsi="Times New Roman" w:cs="Times New Roman"/>
        </w:rPr>
        <w:t xml:space="preserve">. </w:t>
      </w:r>
    </w:p>
    <w:p w14:paraId="06DEAFDD" w14:textId="0CE2F9FA" w:rsidR="009632BB" w:rsidRDefault="009632BB" w:rsidP="00932ED2">
      <w:pPr>
        <w:spacing w:after="0" w:line="480" w:lineRule="auto"/>
        <w:jc w:val="both"/>
        <w:rPr>
          <w:rFonts w:ascii="Times New Roman" w:hAnsi="Times New Roman" w:cs="Times New Roman"/>
        </w:rPr>
      </w:pPr>
      <w:r>
        <w:rPr>
          <w:rFonts w:ascii="Times New Roman" w:hAnsi="Times New Roman" w:cs="Times New Roman"/>
        </w:rPr>
        <w:tab/>
        <w:t>This methodology generates modestly different measures of the unexplained female satisfaction premium than those from single equation estimates. The solid line in Figure 3 presents the unexplained difference (the portion due to differences in coefficients) from separate decompositions undertaken in each year of the panel. The female premium begins at 0.4, modestly higher than those from the single equation estimates in Figure 2.  The decline is even more dramatic and seemingly also more continuous.  Again, by the end of the time period, the premium is essentially zero.</w:t>
      </w:r>
      <w:r>
        <w:rPr>
          <w:rStyle w:val="EndnoteReference"/>
          <w:rFonts w:ascii="Times New Roman" w:hAnsi="Times New Roman" w:cs="Times New Roman"/>
        </w:rPr>
        <w:endnoteReference w:id="13"/>
      </w:r>
    </w:p>
    <w:p w14:paraId="2A81B288" w14:textId="77777777" w:rsidR="00C31D2F" w:rsidRDefault="00C31D2F" w:rsidP="00C31D2F">
      <w:pPr>
        <w:spacing w:after="0" w:line="240" w:lineRule="auto"/>
        <w:jc w:val="both"/>
        <w:rPr>
          <w:rFonts w:ascii="Times New Roman" w:hAnsi="Times New Roman" w:cs="Times New Roman"/>
        </w:rPr>
      </w:pPr>
    </w:p>
    <w:p w14:paraId="2B12C309" w14:textId="4F26DDA3" w:rsidR="00C31D2F" w:rsidRDefault="00C31D2F" w:rsidP="00C31D2F">
      <w:pPr>
        <w:spacing w:after="0" w:line="480" w:lineRule="auto"/>
        <w:jc w:val="center"/>
        <w:rPr>
          <w:rFonts w:ascii="Times New Roman" w:hAnsi="Times New Roman" w:cs="Times New Roman"/>
        </w:rPr>
      </w:pPr>
      <w:r>
        <w:rPr>
          <w:rFonts w:ascii="Times New Roman" w:hAnsi="Times New Roman" w:cs="Times New Roman"/>
        </w:rPr>
        <w:lastRenderedPageBreak/>
        <w:t>&lt;Figure 3&gt;</w:t>
      </w:r>
    </w:p>
    <w:p w14:paraId="21119527" w14:textId="77777777" w:rsidR="00C31D2F" w:rsidRDefault="00C31D2F" w:rsidP="00C31D2F">
      <w:pPr>
        <w:spacing w:after="0" w:line="240" w:lineRule="auto"/>
        <w:jc w:val="center"/>
        <w:rPr>
          <w:rFonts w:ascii="Times New Roman" w:hAnsi="Times New Roman" w:cs="Times New Roman"/>
        </w:rPr>
      </w:pPr>
    </w:p>
    <w:p w14:paraId="0526B93D" w14:textId="04C6B439" w:rsidR="001F4F6B" w:rsidRDefault="00082D73" w:rsidP="00936705">
      <w:pPr>
        <w:spacing w:after="0" w:line="480" w:lineRule="auto"/>
        <w:ind w:firstLine="720"/>
        <w:jc w:val="both"/>
        <w:rPr>
          <w:rFonts w:ascii="Times New Roman" w:hAnsi="Times New Roman" w:cs="Times New Roman"/>
        </w:rPr>
      </w:pPr>
      <w:r w:rsidRPr="000932A9">
        <w:rPr>
          <w:rFonts w:ascii="Times New Roman" w:hAnsi="Times New Roman" w:cs="Times New Roman"/>
        </w:rPr>
        <w:t>Table 6 summarises the result</w:t>
      </w:r>
      <w:r w:rsidR="001F4F6B" w:rsidRPr="000932A9">
        <w:rPr>
          <w:rFonts w:ascii="Times New Roman" w:hAnsi="Times New Roman" w:cs="Times New Roman"/>
        </w:rPr>
        <w:t xml:space="preserve">s </w:t>
      </w:r>
      <w:r w:rsidR="00FB6764" w:rsidRPr="000932A9">
        <w:rPr>
          <w:rFonts w:ascii="Times New Roman" w:hAnsi="Times New Roman" w:cs="Times New Roman"/>
        </w:rPr>
        <w:t>of the decomposition exercise</w:t>
      </w:r>
      <w:r w:rsidR="00936705">
        <w:rPr>
          <w:rFonts w:ascii="Times New Roman" w:hAnsi="Times New Roman" w:cs="Times New Roman"/>
        </w:rPr>
        <w:t xml:space="preserve"> for critical years</w:t>
      </w:r>
      <w:r w:rsidR="00FB6764" w:rsidRPr="000932A9">
        <w:rPr>
          <w:rFonts w:ascii="Times New Roman" w:hAnsi="Times New Roman" w:cs="Times New Roman"/>
        </w:rPr>
        <w:t>. Focusing on the changes over time is the most</w:t>
      </w:r>
      <w:r w:rsidR="001F4F6B" w:rsidRPr="000932A9">
        <w:rPr>
          <w:rFonts w:ascii="Times New Roman" w:hAnsi="Times New Roman" w:cs="Times New Roman"/>
        </w:rPr>
        <w:t xml:space="preserve"> instructive. In 1991 there was a</w:t>
      </w:r>
      <w:r w:rsidR="004903DD" w:rsidRPr="000932A9">
        <w:rPr>
          <w:rFonts w:ascii="Times New Roman" w:hAnsi="Times New Roman" w:cs="Times New Roman"/>
        </w:rPr>
        <w:t xml:space="preserve"> d</w:t>
      </w:r>
      <w:r w:rsidR="001F4F6B" w:rsidRPr="000932A9">
        <w:rPr>
          <w:rFonts w:ascii="Times New Roman" w:hAnsi="Times New Roman" w:cs="Times New Roman"/>
        </w:rPr>
        <w:t>iffer</w:t>
      </w:r>
      <w:r w:rsidR="00936705">
        <w:rPr>
          <w:rFonts w:ascii="Times New Roman" w:hAnsi="Times New Roman" w:cs="Times New Roman"/>
        </w:rPr>
        <w:t>ence in favour of women of 0.400</w:t>
      </w:r>
      <w:r w:rsidR="004903DD" w:rsidRPr="000932A9">
        <w:rPr>
          <w:rFonts w:ascii="Times New Roman" w:hAnsi="Times New Roman" w:cs="Times New Roman"/>
        </w:rPr>
        <w:t xml:space="preserve"> on the 1-7 job satisfaction scale</w:t>
      </w:r>
      <w:r w:rsidR="001F4F6B" w:rsidRPr="000932A9">
        <w:rPr>
          <w:rFonts w:ascii="Times New Roman" w:hAnsi="Times New Roman" w:cs="Times New Roman"/>
        </w:rPr>
        <w:t xml:space="preserve">. </w:t>
      </w:r>
      <w:r w:rsidR="00936705">
        <w:rPr>
          <w:rFonts w:ascii="Times New Roman" w:hAnsi="Times New Roman" w:cs="Times New Roman"/>
        </w:rPr>
        <w:t xml:space="preserve">This raw gap is the difference evident in Figure 1. </w:t>
      </w:r>
      <w:r w:rsidR="001F4F6B" w:rsidRPr="000932A9">
        <w:rPr>
          <w:rFonts w:ascii="Times New Roman" w:hAnsi="Times New Roman" w:cs="Times New Roman"/>
        </w:rPr>
        <w:t>The decomposition demonstrates that this</w:t>
      </w:r>
      <w:r w:rsidR="0099163E" w:rsidRPr="000932A9">
        <w:rPr>
          <w:rFonts w:ascii="Times New Roman" w:hAnsi="Times New Roman" w:cs="Times New Roman"/>
        </w:rPr>
        <w:t xml:space="preserve"> </w:t>
      </w:r>
      <w:r w:rsidR="0029065A">
        <w:rPr>
          <w:rFonts w:ascii="Times New Roman" w:hAnsi="Times New Roman" w:cs="Times New Roman"/>
        </w:rPr>
        <w:t xml:space="preserve">is more than entirely driven by </w:t>
      </w:r>
      <w:r w:rsidR="001F4F6B" w:rsidRPr="000932A9">
        <w:rPr>
          <w:rFonts w:ascii="Times New Roman" w:hAnsi="Times New Roman" w:cs="Times New Roman"/>
        </w:rPr>
        <w:t>differences in coeffic</w:t>
      </w:r>
      <w:r w:rsidR="00155A21" w:rsidRPr="000932A9">
        <w:rPr>
          <w:rFonts w:ascii="Times New Roman" w:hAnsi="Times New Roman" w:cs="Times New Roman"/>
        </w:rPr>
        <w:t xml:space="preserve">ients. </w:t>
      </w:r>
      <w:r w:rsidR="00936705">
        <w:rPr>
          <w:rFonts w:ascii="Times New Roman" w:hAnsi="Times New Roman" w:cs="Times New Roman"/>
        </w:rPr>
        <w:t>T</w:t>
      </w:r>
      <w:r w:rsidR="0029065A">
        <w:rPr>
          <w:rFonts w:ascii="Times New Roman" w:hAnsi="Times New Roman" w:cs="Times New Roman"/>
        </w:rPr>
        <w:t>he unexplained differential is the 0.</w:t>
      </w:r>
      <w:r w:rsidR="00936705">
        <w:rPr>
          <w:rFonts w:ascii="Times New Roman" w:hAnsi="Times New Roman" w:cs="Times New Roman"/>
        </w:rPr>
        <w:t xml:space="preserve">422 </w:t>
      </w:r>
      <w:r w:rsidR="001203D2">
        <w:rPr>
          <w:rFonts w:ascii="Times New Roman" w:hAnsi="Times New Roman" w:cs="Times New Roman"/>
        </w:rPr>
        <w:t xml:space="preserve">as </w:t>
      </w:r>
      <w:r w:rsidR="00936705">
        <w:rPr>
          <w:rFonts w:ascii="Times New Roman" w:hAnsi="Times New Roman" w:cs="Times New Roman"/>
        </w:rPr>
        <w:t xml:space="preserve">shown in Figure 3. </w:t>
      </w:r>
      <w:r w:rsidR="00155A21" w:rsidRPr="000932A9">
        <w:rPr>
          <w:rFonts w:ascii="Times New Roman" w:hAnsi="Times New Roman" w:cs="Times New Roman"/>
        </w:rPr>
        <w:t xml:space="preserve">The difference in perception by </w:t>
      </w:r>
      <w:r w:rsidR="001F4F6B" w:rsidRPr="000932A9">
        <w:rPr>
          <w:rFonts w:ascii="Times New Roman" w:hAnsi="Times New Roman" w:cs="Times New Roman"/>
        </w:rPr>
        <w:t>female</w:t>
      </w:r>
      <w:r w:rsidR="00155A21" w:rsidRPr="000932A9">
        <w:rPr>
          <w:rFonts w:ascii="Times New Roman" w:hAnsi="Times New Roman" w:cs="Times New Roman"/>
        </w:rPr>
        <w:t>s of</w:t>
      </w:r>
      <w:r w:rsidR="001F4F6B" w:rsidRPr="000932A9">
        <w:rPr>
          <w:rFonts w:ascii="Times New Roman" w:hAnsi="Times New Roman" w:cs="Times New Roman"/>
        </w:rPr>
        <w:t xml:space="preserve"> given characteristics</w:t>
      </w:r>
      <w:r w:rsidR="00936705">
        <w:rPr>
          <w:rFonts w:ascii="Times New Roman" w:hAnsi="Times New Roman" w:cs="Times New Roman"/>
        </w:rPr>
        <w:t xml:space="preserve"> generates</w:t>
      </w:r>
      <w:r w:rsidR="00155A21" w:rsidRPr="000932A9">
        <w:rPr>
          <w:rFonts w:ascii="Times New Roman" w:hAnsi="Times New Roman" w:cs="Times New Roman"/>
        </w:rPr>
        <w:t xml:space="preserve"> their job satisfaction premium.</w:t>
      </w:r>
      <w:r w:rsidR="001F4F6B" w:rsidRPr="000932A9">
        <w:rPr>
          <w:rFonts w:ascii="Times New Roman" w:hAnsi="Times New Roman" w:cs="Times New Roman"/>
        </w:rPr>
        <w:t xml:space="preserve"> In fact, on average, </w:t>
      </w:r>
      <w:r w:rsidR="00E17724">
        <w:rPr>
          <w:rFonts w:ascii="Times New Roman" w:hAnsi="Times New Roman" w:cs="Times New Roman"/>
        </w:rPr>
        <w:t xml:space="preserve">when </w:t>
      </w:r>
      <w:r w:rsidR="001F4F6B" w:rsidRPr="000932A9">
        <w:rPr>
          <w:rFonts w:ascii="Times New Roman" w:hAnsi="Times New Roman" w:cs="Times New Roman"/>
        </w:rPr>
        <w:t xml:space="preserve">female workers had average characteristics associated with </w:t>
      </w:r>
      <w:r w:rsidR="00936705">
        <w:rPr>
          <w:rFonts w:ascii="Times New Roman" w:hAnsi="Times New Roman" w:cs="Times New Roman"/>
        </w:rPr>
        <w:t>mo</w:t>
      </w:r>
      <w:r w:rsidR="007C2B1A">
        <w:rPr>
          <w:rFonts w:ascii="Times New Roman" w:hAnsi="Times New Roman" w:cs="Times New Roman"/>
        </w:rPr>
        <w:t>de</w:t>
      </w:r>
      <w:r w:rsidR="00936705">
        <w:rPr>
          <w:rFonts w:ascii="Times New Roman" w:hAnsi="Times New Roman" w:cs="Times New Roman"/>
        </w:rPr>
        <w:t xml:space="preserve">stly </w:t>
      </w:r>
      <w:r w:rsidR="001F4F6B" w:rsidRPr="000932A9">
        <w:rPr>
          <w:rFonts w:ascii="Times New Roman" w:hAnsi="Times New Roman" w:cs="Times New Roman"/>
        </w:rPr>
        <w:t>worse job satisfaction than their male counterparts</w:t>
      </w:r>
      <w:r w:rsidR="0029065A">
        <w:rPr>
          <w:rFonts w:ascii="Times New Roman" w:hAnsi="Times New Roman" w:cs="Times New Roman"/>
        </w:rPr>
        <w:t>, the explained gap is -.022</w:t>
      </w:r>
      <w:r w:rsidR="001F4F6B" w:rsidRPr="000932A9">
        <w:rPr>
          <w:rFonts w:ascii="Times New Roman" w:hAnsi="Times New Roman" w:cs="Times New Roman"/>
        </w:rPr>
        <w:t xml:space="preserve">. </w:t>
      </w:r>
      <w:r w:rsidR="004903DD" w:rsidRPr="000932A9">
        <w:rPr>
          <w:rFonts w:ascii="Times New Roman" w:hAnsi="Times New Roman" w:cs="Times New Roman"/>
        </w:rPr>
        <w:t>This fits with the view that female workers in 1991 had lower expectations th</w:t>
      </w:r>
      <w:r w:rsidR="00155A21" w:rsidRPr="000932A9">
        <w:rPr>
          <w:rFonts w:ascii="Times New Roman" w:hAnsi="Times New Roman" w:cs="Times New Roman"/>
        </w:rPr>
        <w:t>an their male counterparts and</w:t>
      </w:r>
      <w:r w:rsidR="004903DD" w:rsidRPr="000932A9">
        <w:rPr>
          <w:rFonts w:ascii="Times New Roman" w:hAnsi="Times New Roman" w:cs="Times New Roman"/>
        </w:rPr>
        <w:t xml:space="preserve"> were simply more satisfied with a given set of working characteristics</w:t>
      </w:r>
      <w:r w:rsidR="00155A21" w:rsidRPr="000932A9">
        <w:rPr>
          <w:rFonts w:ascii="Times New Roman" w:hAnsi="Times New Roman" w:cs="Times New Roman"/>
        </w:rPr>
        <w:t xml:space="preserve"> because of these lower expectations</w:t>
      </w:r>
      <w:r w:rsidR="004903DD" w:rsidRPr="000932A9">
        <w:rPr>
          <w:rFonts w:ascii="Times New Roman" w:hAnsi="Times New Roman" w:cs="Times New Roman"/>
        </w:rPr>
        <w:t xml:space="preserve">. </w:t>
      </w:r>
    </w:p>
    <w:p w14:paraId="71777E7E" w14:textId="77777777" w:rsidR="00C31D2F" w:rsidRDefault="00C31D2F" w:rsidP="00C31D2F">
      <w:pPr>
        <w:spacing w:after="0" w:line="240" w:lineRule="auto"/>
        <w:ind w:firstLine="720"/>
        <w:jc w:val="both"/>
        <w:rPr>
          <w:rFonts w:ascii="Times New Roman" w:hAnsi="Times New Roman" w:cs="Times New Roman"/>
        </w:rPr>
      </w:pPr>
    </w:p>
    <w:p w14:paraId="58943A80" w14:textId="5A761C33" w:rsidR="00C31D2F" w:rsidRDefault="00C31D2F" w:rsidP="00C31D2F">
      <w:pPr>
        <w:spacing w:after="0" w:line="480" w:lineRule="auto"/>
        <w:jc w:val="center"/>
        <w:rPr>
          <w:rFonts w:ascii="Times New Roman" w:hAnsi="Times New Roman" w:cs="Times New Roman"/>
        </w:rPr>
      </w:pPr>
      <w:r>
        <w:rPr>
          <w:rFonts w:ascii="Times New Roman" w:hAnsi="Times New Roman" w:cs="Times New Roman"/>
        </w:rPr>
        <w:t>&lt; Table 6 &gt;</w:t>
      </w:r>
    </w:p>
    <w:p w14:paraId="0024B529" w14:textId="77777777" w:rsidR="00C31D2F" w:rsidRDefault="00C31D2F" w:rsidP="00C31D2F">
      <w:pPr>
        <w:spacing w:after="0" w:line="240" w:lineRule="auto"/>
        <w:jc w:val="center"/>
        <w:rPr>
          <w:rFonts w:ascii="Times New Roman" w:hAnsi="Times New Roman" w:cs="Times New Roman"/>
        </w:rPr>
      </w:pPr>
    </w:p>
    <w:p w14:paraId="31CAD02F" w14:textId="7D3DAB80" w:rsidR="00262F5A" w:rsidRPr="000932A9" w:rsidRDefault="00262F5A" w:rsidP="00936705">
      <w:pPr>
        <w:spacing w:after="0" w:line="480" w:lineRule="auto"/>
        <w:ind w:firstLine="720"/>
        <w:jc w:val="both"/>
        <w:rPr>
          <w:rFonts w:ascii="Times New Roman" w:hAnsi="Times New Roman" w:cs="Times New Roman"/>
        </w:rPr>
      </w:pPr>
      <w:r>
        <w:rPr>
          <w:rFonts w:ascii="Times New Roman" w:hAnsi="Times New Roman" w:cs="Times New Roman"/>
        </w:rPr>
        <w:t xml:space="preserve">Conti and Pudney (2008) stress that the 1991 BHPS has incomplete narration of each of the seven categories of job satisfaction. Complete narration </w:t>
      </w:r>
      <w:r w:rsidR="001203D2">
        <w:rPr>
          <w:rFonts w:ascii="Times New Roman" w:hAnsi="Times New Roman" w:cs="Times New Roman"/>
        </w:rPr>
        <w:t>(describing each of the seven potential responses</w:t>
      </w:r>
      <w:r w:rsidR="00C31D2F">
        <w:rPr>
          <w:rFonts w:ascii="Times New Roman" w:hAnsi="Times New Roman" w:cs="Times New Roman"/>
        </w:rPr>
        <w:t xml:space="preserve"> rather than just the extremes</w:t>
      </w:r>
      <w:r w:rsidR="001203D2">
        <w:rPr>
          <w:rFonts w:ascii="Times New Roman" w:hAnsi="Times New Roman" w:cs="Times New Roman"/>
        </w:rPr>
        <w:t xml:space="preserve">) </w:t>
      </w:r>
      <w:r>
        <w:rPr>
          <w:rFonts w:ascii="Times New Roman" w:hAnsi="Times New Roman" w:cs="Times New Roman"/>
        </w:rPr>
        <w:t>was introduced from 1992 onward.</w:t>
      </w:r>
      <w:r w:rsidRPr="00262F5A">
        <w:rPr>
          <w:rFonts w:ascii="Times New Roman" w:hAnsi="Times New Roman" w:cs="Times New Roman"/>
        </w:rPr>
        <w:t xml:space="preserve"> </w:t>
      </w:r>
      <w:r>
        <w:rPr>
          <w:rFonts w:ascii="Times New Roman" w:hAnsi="Times New Roman" w:cs="Times New Roman"/>
        </w:rPr>
        <w:t>To make sure this is not driving any of our trends we also decompose 1992 in Table 6.</w:t>
      </w:r>
      <w:r w:rsidRPr="00262F5A">
        <w:rPr>
          <w:rFonts w:ascii="Times New Roman" w:hAnsi="Times New Roman" w:cs="Times New Roman"/>
        </w:rPr>
        <w:t xml:space="preserve"> The overall gender gap in 1992 is actually slightly larger than</w:t>
      </w:r>
      <w:r>
        <w:rPr>
          <w:rFonts w:ascii="Times New Roman" w:hAnsi="Times New Roman" w:cs="Times New Roman"/>
        </w:rPr>
        <w:t xml:space="preserve"> in 1991 and t</w:t>
      </w:r>
      <w:r w:rsidRPr="00262F5A">
        <w:rPr>
          <w:rFonts w:ascii="Times New Roman" w:hAnsi="Times New Roman" w:cs="Times New Roman"/>
        </w:rPr>
        <w:t>he decomposition changes only modestly.  The coefficient component remains positive and equally large and many times larger in magnitude than the characteristics component.  Thus, the overall point remains essentially unchanged.  The importance of coefficients is enormous in the early years and</w:t>
      </w:r>
      <w:r>
        <w:rPr>
          <w:rFonts w:ascii="Times New Roman" w:hAnsi="Times New Roman" w:cs="Times New Roman"/>
        </w:rPr>
        <w:t>, as we will see,</w:t>
      </w:r>
      <w:r w:rsidRPr="00262F5A">
        <w:rPr>
          <w:rFonts w:ascii="Times New Roman" w:hAnsi="Times New Roman" w:cs="Times New Roman"/>
        </w:rPr>
        <w:t xml:space="preserve"> shrinks dramatically over time.  </w:t>
      </w:r>
    </w:p>
    <w:p w14:paraId="399CFFE6" w14:textId="7E55DB80" w:rsidR="00082D73" w:rsidRPr="000932A9" w:rsidRDefault="004903DD" w:rsidP="00BA2726">
      <w:pPr>
        <w:spacing w:after="0" w:line="480" w:lineRule="auto"/>
        <w:ind w:firstLine="720"/>
        <w:jc w:val="both"/>
        <w:rPr>
          <w:rFonts w:ascii="Times New Roman" w:hAnsi="Times New Roman" w:cs="Times New Roman"/>
        </w:rPr>
      </w:pPr>
      <w:r w:rsidRPr="000932A9">
        <w:rPr>
          <w:rFonts w:ascii="Times New Roman" w:hAnsi="Times New Roman" w:cs="Times New Roman"/>
        </w:rPr>
        <w:t>By 2008 the</w:t>
      </w:r>
      <w:r w:rsidR="001F4F6B" w:rsidRPr="000932A9">
        <w:rPr>
          <w:rFonts w:ascii="Times New Roman" w:hAnsi="Times New Roman" w:cs="Times New Roman"/>
        </w:rPr>
        <w:t xml:space="preserve"> gap</w:t>
      </w:r>
      <w:r w:rsidRPr="000932A9">
        <w:rPr>
          <w:rFonts w:ascii="Times New Roman" w:hAnsi="Times New Roman" w:cs="Times New Roman"/>
        </w:rPr>
        <w:t xml:space="preserve"> in job sati</w:t>
      </w:r>
      <w:r w:rsidR="00155A21" w:rsidRPr="000932A9">
        <w:rPr>
          <w:rFonts w:ascii="Times New Roman" w:hAnsi="Times New Roman" w:cs="Times New Roman"/>
        </w:rPr>
        <w:t>sfaction had more than halved. This reflects</w:t>
      </w:r>
      <w:r w:rsidR="001F4F6B" w:rsidRPr="000932A9">
        <w:rPr>
          <w:rFonts w:ascii="Times New Roman" w:hAnsi="Times New Roman" w:cs="Times New Roman"/>
        </w:rPr>
        <w:t xml:space="preserve"> two countervailing influences. </w:t>
      </w:r>
      <w:r w:rsidRPr="000932A9">
        <w:rPr>
          <w:rFonts w:ascii="Times New Roman" w:hAnsi="Times New Roman" w:cs="Times New Roman"/>
        </w:rPr>
        <w:t xml:space="preserve">First, </w:t>
      </w:r>
      <w:r w:rsidR="00155A21" w:rsidRPr="000932A9">
        <w:rPr>
          <w:rFonts w:ascii="Times New Roman" w:hAnsi="Times New Roman" w:cs="Times New Roman"/>
        </w:rPr>
        <w:t xml:space="preserve">there is </w:t>
      </w:r>
      <w:r w:rsidRPr="000932A9">
        <w:rPr>
          <w:rFonts w:ascii="Times New Roman" w:hAnsi="Times New Roman" w:cs="Times New Roman"/>
        </w:rPr>
        <w:t>a</w:t>
      </w:r>
      <w:r w:rsidR="001F4F6B" w:rsidRPr="000932A9">
        <w:rPr>
          <w:rFonts w:ascii="Times New Roman" w:hAnsi="Times New Roman" w:cs="Times New Roman"/>
        </w:rPr>
        <w:t xml:space="preserve"> marked reduction in the magni</w:t>
      </w:r>
      <w:r w:rsidRPr="000932A9">
        <w:rPr>
          <w:rFonts w:ascii="Times New Roman" w:hAnsi="Times New Roman" w:cs="Times New Roman"/>
        </w:rPr>
        <w:t>tude of the coefficient effect</w:t>
      </w:r>
      <w:r w:rsidR="00155A21" w:rsidRPr="000932A9">
        <w:rPr>
          <w:rFonts w:ascii="Times New Roman" w:hAnsi="Times New Roman" w:cs="Times New Roman"/>
        </w:rPr>
        <w:t xml:space="preserve"> (</w:t>
      </w:r>
      <w:r w:rsidR="00E17724">
        <w:rPr>
          <w:rFonts w:ascii="Times New Roman" w:hAnsi="Times New Roman" w:cs="Times New Roman"/>
        </w:rPr>
        <w:t xml:space="preserve">that </w:t>
      </w:r>
      <w:r w:rsidR="00155A21" w:rsidRPr="000932A9">
        <w:rPr>
          <w:rFonts w:ascii="Times New Roman" w:hAnsi="Times New Roman" w:cs="Times New Roman"/>
        </w:rPr>
        <w:t xml:space="preserve">the </w:t>
      </w:r>
      <w:r w:rsidR="001203D2">
        <w:rPr>
          <w:rFonts w:ascii="Times New Roman" w:hAnsi="Times New Roman" w:cs="Times New Roman"/>
        </w:rPr>
        <w:t xml:space="preserve">overall </w:t>
      </w:r>
      <w:r w:rsidR="003C5D03">
        <w:rPr>
          <w:rFonts w:ascii="Times New Roman" w:hAnsi="Times New Roman" w:cs="Times New Roman"/>
        </w:rPr>
        <w:t>perception of women is</w:t>
      </w:r>
      <w:r w:rsidR="00155A21" w:rsidRPr="000932A9">
        <w:rPr>
          <w:rFonts w:ascii="Times New Roman" w:hAnsi="Times New Roman" w:cs="Times New Roman"/>
        </w:rPr>
        <w:t xml:space="preserve"> becoming more similar to that of men).</w:t>
      </w:r>
      <w:r w:rsidRPr="000932A9">
        <w:rPr>
          <w:rFonts w:ascii="Times New Roman" w:hAnsi="Times New Roman" w:cs="Times New Roman"/>
        </w:rPr>
        <w:t xml:space="preserve"> </w:t>
      </w:r>
      <w:r w:rsidR="00155A21" w:rsidRPr="000932A9">
        <w:rPr>
          <w:rFonts w:ascii="Times New Roman" w:hAnsi="Times New Roman" w:cs="Times New Roman"/>
        </w:rPr>
        <w:t xml:space="preserve"> Second, the job and personal </w:t>
      </w:r>
      <w:r w:rsidR="001F4F6B" w:rsidRPr="000932A9">
        <w:rPr>
          <w:rFonts w:ascii="Times New Roman" w:hAnsi="Times New Roman" w:cs="Times New Roman"/>
        </w:rPr>
        <w:t>characteristics</w:t>
      </w:r>
      <w:r w:rsidR="00155A21" w:rsidRPr="000932A9">
        <w:rPr>
          <w:rFonts w:ascii="Times New Roman" w:hAnsi="Times New Roman" w:cs="Times New Roman"/>
        </w:rPr>
        <w:t xml:space="preserve"> of women improved relative to men</w:t>
      </w:r>
      <w:r w:rsidR="001F4F6B" w:rsidRPr="000932A9">
        <w:rPr>
          <w:rFonts w:ascii="Times New Roman" w:hAnsi="Times New Roman" w:cs="Times New Roman"/>
        </w:rPr>
        <w:t xml:space="preserve">.  </w:t>
      </w:r>
      <w:r w:rsidR="003C5D03" w:rsidRPr="00481A87">
        <w:rPr>
          <w:rFonts w:ascii="Times New Roman" w:hAnsi="Times New Roman" w:cs="Times New Roman"/>
        </w:rPr>
        <w:t>The explained portion of the decomposition is positive and so holding the evaluation of the characteristics constant, the mean characteristics of women generate greater satisfaction than the mean characteristics of men.</w:t>
      </w:r>
      <w:r w:rsidR="003C5D03" w:rsidRPr="00481A87">
        <w:rPr>
          <w:rFonts w:ascii="Times New Roman" w:hAnsi="Times New Roman" w:cs="Times New Roman"/>
          <w:i/>
        </w:rPr>
        <w:t xml:space="preserve">  </w:t>
      </w:r>
      <w:r w:rsidR="001F4F6B" w:rsidRPr="00481A87">
        <w:rPr>
          <w:rFonts w:ascii="Times New Roman" w:hAnsi="Times New Roman" w:cs="Times New Roman"/>
        </w:rPr>
        <w:t xml:space="preserve">This suggests that if </w:t>
      </w:r>
      <w:r w:rsidR="003C5D03" w:rsidRPr="00481A87">
        <w:rPr>
          <w:rFonts w:ascii="Times New Roman" w:hAnsi="Times New Roman" w:cs="Times New Roman"/>
        </w:rPr>
        <w:t xml:space="preserve">female </w:t>
      </w:r>
      <w:r w:rsidR="003C5D03" w:rsidRPr="00481A87">
        <w:rPr>
          <w:rFonts w:ascii="Times New Roman" w:hAnsi="Times New Roman" w:cs="Times New Roman"/>
        </w:rPr>
        <w:lastRenderedPageBreak/>
        <w:t>characteristics</w:t>
      </w:r>
      <w:r w:rsidR="001F4F6B" w:rsidRPr="00481A87">
        <w:rPr>
          <w:rFonts w:ascii="Times New Roman" w:hAnsi="Times New Roman" w:cs="Times New Roman"/>
        </w:rPr>
        <w:t xml:space="preserve"> had not im</w:t>
      </w:r>
      <w:r w:rsidR="001F4F6B" w:rsidRPr="000932A9">
        <w:rPr>
          <w:rFonts w:ascii="Times New Roman" w:hAnsi="Times New Roman" w:cs="Times New Roman"/>
        </w:rPr>
        <w:t xml:space="preserve">proved in the period between 1991 to 2008 we would have witnessed an even more marked reduction in the </w:t>
      </w:r>
      <w:r w:rsidR="00155A21" w:rsidRPr="000932A9">
        <w:rPr>
          <w:rFonts w:ascii="Times New Roman" w:hAnsi="Times New Roman" w:cs="Times New Roman"/>
        </w:rPr>
        <w:t xml:space="preserve">raw </w:t>
      </w:r>
      <w:r w:rsidR="001F4F6B" w:rsidRPr="000932A9">
        <w:rPr>
          <w:rFonts w:ascii="Times New Roman" w:hAnsi="Times New Roman" w:cs="Times New Roman"/>
        </w:rPr>
        <w:t xml:space="preserve">female to male job satisfaction gap. </w:t>
      </w:r>
    </w:p>
    <w:p w14:paraId="5711F0DF" w14:textId="23915F30" w:rsidR="001F4F6B" w:rsidRPr="00572651" w:rsidRDefault="001F4F6B" w:rsidP="00BA2726">
      <w:pPr>
        <w:spacing w:after="0" w:line="480" w:lineRule="auto"/>
        <w:ind w:firstLine="720"/>
        <w:jc w:val="both"/>
        <w:rPr>
          <w:rFonts w:ascii="Times New Roman" w:hAnsi="Times New Roman" w:cs="Times New Roman"/>
        </w:rPr>
      </w:pPr>
      <w:r w:rsidRPr="000932A9">
        <w:rPr>
          <w:rFonts w:ascii="Times New Roman" w:hAnsi="Times New Roman" w:cs="Times New Roman"/>
        </w:rPr>
        <w:t xml:space="preserve">Finally, </w:t>
      </w:r>
      <w:r w:rsidR="00155A21" w:rsidRPr="000932A9">
        <w:rPr>
          <w:rFonts w:ascii="Times New Roman" w:hAnsi="Times New Roman" w:cs="Times New Roman"/>
        </w:rPr>
        <w:t>we</w:t>
      </w:r>
      <w:r w:rsidR="0029065A">
        <w:rPr>
          <w:rFonts w:ascii="Times New Roman" w:hAnsi="Times New Roman" w:cs="Times New Roman"/>
        </w:rPr>
        <w:t xml:space="preserve"> </w:t>
      </w:r>
      <w:r w:rsidR="0029065A" w:rsidRPr="00572651">
        <w:rPr>
          <w:rFonts w:ascii="Times New Roman" w:hAnsi="Times New Roman" w:cs="Times New Roman"/>
        </w:rPr>
        <w:t xml:space="preserve">conduct the same exercise for </w:t>
      </w:r>
      <w:r w:rsidR="00C31D2F" w:rsidRPr="00572651">
        <w:rPr>
          <w:rFonts w:ascii="Times New Roman" w:hAnsi="Times New Roman" w:cs="Times New Roman"/>
        </w:rPr>
        <w:t xml:space="preserve">2012 to </w:t>
      </w:r>
      <w:r w:rsidR="0029065A" w:rsidRPr="00572651">
        <w:rPr>
          <w:rFonts w:ascii="Times New Roman" w:hAnsi="Times New Roman" w:cs="Times New Roman"/>
        </w:rPr>
        <w:t>2014</w:t>
      </w:r>
      <w:r w:rsidR="00164949" w:rsidRPr="00572651">
        <w:rPr>
          <w:rFonts w:ascii="Times New Roman" w:hAnsi="Times New Roman" w:cs="Times New Roman"/>
        </w:rPr>
        <w:t>. By this time there is</w:t>
      </w:r>
      <w:r w:rsidRPr="00572651">
        <w:rPr>
          <w:rFonts w:ascii="Times New Roman" w:hAnsi="Times New Roman" w:cs="Times New Roman"/>
        </w:rPr>
        <w:t xml:space="preserve"> essentially no </w:t>
      </w:r>
      <w:r w:rsidR="004903DD" w:rsidRPr="00572651">
        <w:rPr>
          <w:rFonts w:ascii="Times New Roman" w:hAnsi="Times New Roman" w:cs="Times New Roman"/>
        </w:rPr>
        <w:t xml:space="preserve">gender </w:t>
      </w:r>
      <w:r w:rsidRPr="00572651">
        <w:rPr>
          <w:rFonts w:ascii="Times New Roman" w:hAnsi="Times New Roman" w:cs="Times New Roman"/>
        </w:rPr>
        <w:t>gap</w:t>
      </w:r>
      <w:r w:rsidR="004903DD" w:rsidRPr="00572651">
        <w:rPr>
          <w:rFonts w:ascii="Times New Roman" w:hAnsi="Times New Roman" w:cs="Times New Roman"/>
        </w:rPr>
        <w:t xml:space="preserve"> in job satisfaction</w:t>
      </w:r>
      <w:r w:rsidR="001203D2" w:rsidRPr="00572651">
        <w:rPr>
          <w:rFonts w:ascii="Times New Roman" w:hAnsi="Times New Roman" w:cs="Times New Roman"/>
        </w:rPr>
        <w:t xml:space="preserve"> for several years</w:t>
      </w:r>
      <w:r w:rsidR="00493EB9" w:rsidRPr="00572651">
        <w:rPr>
          <w:rFonts w:ascii="Times New Roman" w:hAnsi="Times New Roman" w:cs="Times New Roman"/>
        </w:rPr>
        <w:t xml:space="preserve">. </w:t>
      </w:r>
      <w:r w:rsidR="00164949" w:rsidRPr="00572651">
        <w:rPr>
          <w:rFonts w:ascii="Times New Roman" w:hAnsi="Times New Roman" w:cs="Times New Roman"/>
        </w:rPr>
        <w:t xml:space="preserve">Again, the years are combined to improve precision. </w:t>
      </w:r>
      <w:r w:rsidR="00493EB9" w:rsidRPr="00572651">
        <w:rPr>
          <w:rFonts w:ascii="Times New Roman" w:hAnsi="Times New Roman" w:cs="Times New Roman"/>
        </w:rPr>
        <w:t>F</w:t>
      </w:r>
      <w:r w:rsidRPr="00572651">
        <w:rPr>
          <w:rFonts w:ascii="Times New Roman" w:hAnsi="Times New Roman" w:cs="Times New Roman"/>
        </w:rPr>
        <w:t>emale characteristics</w:t>
      </w:r>
      <w:r w:rsidR="00102D4E" w:rsidRPr="00572651">
        <w:rPr>
          <w:rFonts w:ascii="Times New Roman" w:hAnsi="Times New Roman" w:cs="Times New Roman"/>
        </w:rPr>
        <w:t xml:space="preserve"> remain </w:t>
      </w:r>
      <w:r w:rsidR="00164949" w:rsidRPr="00572651">
        <w:rPr>
          <w:rFonts w:ascii="Times New Roman" w:hAnsi="Times New Roman" w:cs="Times New Roman"/>
        </w:rPr>
        <w:t xml:space="preserve">very </w:t>
      </w:r>
      <w:r w:rsidR="00102D4E" w:rsidRPr="00572651">
        <w:rPr>
          <w:rFonts w:ascii="Times New Roman" w:hAnsi="Times New Roman" w:cs="Times New Roman"/>
        </w:rPr>
        <w:t>close to</w:t>
      </w:r>
      <w:r w:rsidR="00164949" w:rsidRPr="00572651">
        <w:rPr>
          <w:rFonts w:ascii="Times New Roman" w:hAnsi="Times New Roman" w:cs="Times New Roman"/>
        </w:rPr>
        <w:t xml:space="preserve"> those of men but slightly better</w:t>
      </w:r>
      <w:r w:rsidR="00102D4E" w:rsidRPr="00572651">
        <w:rPr>
          <w:rFonts w:ascii="Times New Roman" w:hAnsi="Times New Roman" w:cs="Times New Roman"/>
        </w:rPr>
        <w:t xml:space="preserve"> and their judgement of those characteristics remains </w:t>
      </w:r>
      <w:r w:rsidR="00164949" w:rsidRPr="00572651">
        <w:rPr>
          <w:rFonts w:ascii="Times New Roman" w:hAnsi="Times New Roman" w:cs="Times New Roman"/>
        </w:rPr>
        <w:t xml:space="preserve">only </w:t>
      </w:r>
      <w:r w:rsidR="00102D4E" w:rsidRPr="00572651">
        <w:rPr>
          <w:rFonts w:ascii="Times New Roman" w:hAnsi="Times New Roman" w:cs="Times New Roman"/>
        </w:rPr>
        <w:t xml:space="preserve">very modestly better than men. </w:t>
      </w:r>
      <w:r w:rsidR="009F4FEA" w:rsidRPr="00572651">
        <w:rPr>
          <w:rFonts w:ascii="Times New Roman" w:hAnsi="Times New Roman" w:cs="Times New Roman"/>
        </w:rPr>
        <w:t xml:space="preserve">The differences in satisfaction due to differences in </w:t>
      </w:r>
      <w:r w:rsidR="00320E2F" w:rsidRPr="00572651">
        <w:rPr>
          <w:rFonts w:ascii="Times New Roman" w:hAnsi="Times New Roman" w:cs="Times New Roman"/>
        </w:rPr>
        <w:t xml:space="preserve">characteristics </w:t>
      </w:r>
      <w:r w:rsidR="009F4FEA" w:rsidRPr="00572651">
        <w:rPr>
          <w:rFonts w:ascii="Times New Roman" w:hAnsi="Times New Roman" w:cs="Times New Roman"/>
        </w:rPr>
        <w:t>and due to</w:t>
      </w:r>
      <w:r w:rsidR="00FF1402" w:rsidRPr="00572651">
        <w:rPr>
          <w:rFonts w:ascii="Times New Roman" w:hAnsi="Times New Roman" w:cs="Times New Roman"/>
        </w:rPr>
        <w:t xml:space="preserve"> </w:t>
      </w:r>
      <w:r w:rsidR="009F4FEA" w:rsidRPr="00572651">
        <w:rPr>
          <w:rFonts w:ascii="Times New Roman" w:hAnsi="Times New Roman" w:cs="Times New Roman"/>
        </w:rPr>
        <w:t xml:space="preserve">differences in </w:t>
      </w:r>
      <w:r w:rsidR="00320E2F" w:rsidRPr="00572651">
        <w:rPr>
          <w:rFonts w:ascii="Times New Roman" w:hAnsi="Times New Roman" w:cs="Times New Roman"/>
        </w:rPr>
        <w:t>coefficients</w:t>
      </w:r>
      <w:r w:rsidR="009F4FEA" w:rsidRPr="00572651">
        <w:rPr>
          <w:rFonts w:ascii="Times New Roman" w:hAnsi="Times New Roman" w:cs="Times New Roman"/>
        </w:rPr>
        <w:t xml:space="preserve"> are both essentially zero</w:t>
      </w:r>
      <w:r w:rsidR="009C5ACE" w:rsidRPr="00572651">
        <w:rPr>
          <w:rFonts w:ascii="Times New Roman" w:hAnsi="Times New Roman" w:cs="Times New Roman"/>
        </w:rPr>
        <w:t xml:space="preserve">. </w:t>
      </w:r>
      <w:r w:rsidR="00164949" w:rsidRPr="00572651">
        <w:rPr>
          <w:rFonts w:ascii="Times New Roman" w:hAnsi="Times New Roman" w:cs="Times New Roman"/>
        </w:rPr>
        <w:t>T</w:t>
      </w:r>
      <w:r w:rsidRPr="00572651">
        <w:rPr>
          <w:rFonts w:ascii="Times New Roman" w:hAnsi="Times New Roman" w:cs="Times New Roman"/>
        </w:rPr>
        <w:t xml:space="preserve">hese estimates indicate that the reduction in female job satisfaction across the past </w:t>
      </w:r>
      <w:r w:rsidR="00AD760B" w:rsidRPr="00572651">
        <w:rPr>
          <w:rFonts w:ascii="Times New Roman" w:hAnsi="Times New Roman" w:cs="Times New Roman"/>
        </w:rPr>
        <w:t>two</w:t>
      </w:r>
      <w:r w:rsidR="00164949" w:rsidRPr="00572651">
        <w:rPr>
          <w:rFonts w:ascii="Times New Roman" w:hAnsi="Times New Roman" w:cs="Times New Roman"/>
        </w:rPr>
        <w:t xml:space="preserve"> and a half</w:t>
      </w:r>
      <w:r w:rsidRPr="00572651">
        <w:rPr>
          <w:rFonts w:ascii="Times New Roman" w:hAnsi="Times New Roman" w:cs="Times New Roman"/>
        </w:rPr>
        <w:t xml:space="preserve"> decades reflect a </w:t>
      </w:r>
      <w:r w:rsidR="00493EB9" w:rsidRPr="00572651">
        <w:rPr>
          <w:rFonts w:ascii="Times New Roman" w:hAnsi="Times New Roman" w:cs="Times New Roman"/>
        </w:rPr>
        <w:t xml:space="preserve">dramatic </w:t>
      </w:r>
      <w:r w:rsidRPr="00572651">
        <w:rPr>
          <w:rFonts w:ascii="Times New Roman" w:hAnsi="Times New Roman" w:cs="Times New Roman"/>
        </w:rPr>
        <w:t xml:space="preserve">downward re-adjustment of female </w:t>
      </w:r>
      <w:r w:rsidR="004E0E6D" w:rsidRPr="00572651">
        <w:rPr>
          <w:rFonts w:ascii="Times New Roman" w:hAnsi="Times New Roman" w:cs="Times New Roman"/>
        </w:rPr>
        <w:t xml:space="preserve">evaluation of their jobs. By the end of the period there is </w:t>
      </w:r>
      <w:r w:rsidR="00164949" w:rsidRPr="00572651">
        <w:rPr>
          <w:rFonts w:ascii="Times New Roman" w:hAnsi="Times New Roman" w:cs="Times New Roman"/>
        </w:rPr>
        <w:t>virtually no unexplained difference relative to men</w:t>
      </w:r>
      <w:r w:rsidRPr="00572651">
        <w:rPr>
          <w:rFonts w:ascii="Times New Roman" w:hAnsi="Times New Roman" w:cs="Times New Roman"/>
        </w:rPr>
        <w:t xml:space="preserve">. </w:t>
      </w:r>
    </w:p>
    <w:p w14:paraId="0B83FB42" w14:textId="16F6DFD5" w:rsidR="00084B70" w:rsidRPr="007D2CA9" w:rsidRDefault="004903DD" w:rsidP="00BA2726">
      <w:pPr>
        <w:spacing w:after="0" w:line="480" w:lineRule="auto"/>
        <w:ind w:firstLine="720"/>
        <w:jc w:val="both"/>
        <w:rPr>
          <w:rFonts w:ascii="Times New Roman" w:hAnsi="Times New Roman" w:cs="Times New Roman"/>
        </w:rPr>
      </w:pPr>
      <w:r w:rsidRPr="00572651">
        <w:rPr>
          <w:rFonts w:ascii="Times New Roman" w:hAnsi="Times New Roman" w:cs="Times New Roman"/>
        </w:rPr>
        <w:t>Table 7 presents decomposition results for individual covariates with</w:t>
      </w:r>
      <w:r w:rsidR="00084B70" w:rsidRPr="00572651">
        <w:rPr>
          <w:rFonts w:ascii="Times New Roman" w:hAnsi="Times New Roman" w:cs="Times New Roman"/>
        </w:rPr>
        <w:t xml:space="preserve"> the aim of exploring which are</w:t>
      </w:r>
      <w:r w:rsidRPr="00572651">
        <w:rPr>
          <w:rFonts w:ascii="Times New Roman" w:hAnsi="Times New Roman" w:cs="Times New Roman"/>
        </w:rPr>
        <w:t xml:space="preserve"> associated with the most marked changes in </w:t>
      </w:r>
      <w:r w:rsidR="00BD6321" w:rsidRPr="00572651">
        <w:rPr>
          <w:rFonts w:ascii="Times New Roman" w:hAnsi="Times New Roman" w:cs="Times New Roman"/>
        </w:rPr>
        <w:t xml:space="preserve">female-male job satisfaction over time. </w:t>
      </w:r>
      <w:r w:rsidR="00D000EC" w:rsidRPr="00572651">
        <w:rPr>
          <w:rFonts w:ascii="Times New Roman" w:hAnsi="Times New Roman" w:cs="Times New Roman"/>
        </w:rPr>
        <w:t>For clari</w:t>
      </w:r>
      <w:r w:rsidR="001203D2" w:rsidRPr="00572651">
        <w:rPr>
          <w:rFonts w:ascii="Times New Roman" w:hAnsi="Times New Roman" w:cs="Times New Roman"/>
        </w:rPr>
        <w:t xml:space="preserve">ty, we </w:t>
      </w:r>
      <w:r w:rsidR="009C5ACE" w:rsidRPr="00572651">
        <w:rPr>
          <w:rFonts w:ascii="Times New Roman" w:hAnsi="Times New Roman" w:cs="Times New Roman"/>
        </w:rPr>
        <w:t xml:space="preserve">again </w:t>
      </w:r>
      <w:r w:rsidR="001203D2" w:rsidRPr="00572651">
        <w:rPr>
          <w:rFonts w:ascii="Times New Roman" w:hAnsi="Times New Roman" w:cs="Times New Roman"/>
        </w:rPr>
        <w:t xml:space="preserve">report </w:t>
      </w:r>
      <w:r w:rsidR="009C5ACE" w:rsidRPr="00572651">
        <w:rPr>
          <w:rFonts w:ascii="Times New Roman" w:hAnsi="Times New Roman" w:cs="Times New Roman"/>
        </w:rPr>
        <w:t xml:space="preserve">only </w:t>
      </w:r>
      <w:r w:rsidR="00102D4E" w:rsidRPr="00572651">
        <w:rPr>
          <w:rFonts w:ascii="Times New Roman" w:hAnsi="Times New Roman" w:cs="Times New Roman"/>
        </w:rPr>
        <w:t>1991</w:t>
      </w:r>
      <w:r w:rsidR="009C5ACE" w:rsidRPr="00572651">
        <w:rPr>
          <w:rFonts w:ascii="Times New Roman" w:hAnsi="Times New Roman" w:cs="Times New Roman"/>
        </w:rPr>
        <w:t xml:space="preserve"> and 2012-</w:t>
      </w:r>
      <w:r w:rsidR="00102D4E" w:rsidRPr="00572651">
        <w:rPr>
          <w:rFonts w:ascii="Times New Roman" w:hAnsi="Times New Roman" w:cs="Times New Roman"/>
        </w:rPr>
        <w:t>2014</w:t>
      </w:r>
      <w:r w:rsidR="00493EB9" w:rsidRPr="00572651">
        <w:rPr>
          <w:rFonts w:ascii="Times New Roman" w:hAnsi="Times New Roman" w:cs="Times New Roman"/>
        </w:rPr>
        <w:t xml:space="preserve">. This reveals </w:t>
      </w:r>
      <w:r w:rsidR="009C5ACE" w:rsidRPr="00572651">
        <w:rPr>
          <w:rFonts w:ascii="Times New Roman" w:hAnsi="Times New Roman" w:cs="Times New Roman"/>
        </w:rPr>
        <w:t xml:space="preserve">many, but not all, of the coefficient effects moving toward zero. </w:t>
      </w:r>
      <w:r w:rsidR="00084B70" w:rsidRPr="007D2CA9">
        <w:rPr>
          <w:rFonts w:ascii="Times New Roman" w:hAnsi="Times New Roman" w:cs="Times New Roman"/>
        </w:rPr>
        <w:t xml:space="preserve">Among those with the larger movements toward zero include </w:t>
      </w:r>
      <w:r w:rsidR="009C5ACE" w:rsidRPr="007D2CA9">
        <w:rPr>
          <w:rFonts w:ascii="Times New Roman" w:hAnsi="Times New Roman" w:cs="Times New Roman"/>
        </w:rPr>
        <w:t>the coefficient effects for hours of work</w:t>
      </w:r>
      <w:r w:rsidR="00084B70" w:rsidRPr="007D2CA9">
        <w:rPr>
          <w:rFonts w:ascii="Times New Roman" w:hAnsi="Times New Roman" w:cs="Times New Roman"/>
        </w:rPr>
        <w:t xml:space="preserve">, </w:t>
      </w:r>
      <w:r w:rsidR="00010EAB" w:rsidRPr="007D2CA9">
        <w:rPr>
          <w:rFonts w:ascii="Times New Roman" w:hAnsi="Times New Roman" w:cs="Times New Roman"/>
        </w:rPr>
        <w:t>hav</w:t>
      </w:r>
      <w:r w:rsidR="008A64A3" w:rsidRPr="007D2CA9">
        <w:rPr>
          <w:rFonts w:ascii="Times New Roman" w:hAnsi="Times New Roman" w:cs="Times New Roman"/>
        </w:rPr>
        <w:t>ing</w:t>
      </w:r>
      <w:r w:rsidR="00010EAB" w:rsidRPr="007D2CA9">
        <w:rPr>
          <w:rFonts w:ascii="Times New Roman" w:hAnsi="Times New Roman" w:cs="Times New Roman"/>
        </w:rPr>
        <w:t xml:space="preserve"> a degree or higher, </w:t>
      </w:r>
      <w:r w:rsidR="00084B70" w:rsidRPr="007D2CA9">
        <w:rPr>
          <w:rFonts w:ascii="Times New Roman" w:hAnsi="Times New Roman" w:cs="Times New Roman"/>
        </w:rPr>
        <w:t>being married and occupation of employment</w:t>
      </w:r>
      <w:r w:rsidR="00D000EC" w:rsidRPr="007D2CA9">
        <w:rPr>
          <w:rFonts w:ascii="Times New Roman" w:hAnsi="Times New Roman" w:cs="Times New Roman"/>
        </w:rPr>
        <w:t xml:space="preserve">. </w:t>
      </w:r>
    </w:p>
    <w:p w14:paraId="0F24CC8F" w14:textId="77777777" w:rsidR="007D2CA9" w:rsidRPr="007D2CA9" w:rsidRDefault="00084B70" w:rsidP="007D2CA9">
      <w:pPr>
        <w:pStyle w:val="xmsonormal"/>
        <w:spacing w:line="480" w:lineRule="auto"/>
        <w:ind w:firstLine="720"/>
        <w:jc w:val="both"/>
        <w:rPr>
          <w:lang w:val="en-US"/>
        </w:rPr>
      </w:pPr>
      <w:r w:rsidRPr="007D2CA9">
        <w:rPr>
          <w:lang w:val="en-US"/>
        </w:rPr>
        <w:t xml:space="preserve">To illustrate </w:t>
      </w:r>
      <w:r w:rsidR="008A64A3" w:rsidRPr="007D2CA9">
        <w:rPr>
          <w:lang w:val="en-US"/>
        </w:rPr>
        <w:t xml:space="preserve">these changes we </w:t>
      </w:r>
      <w:r w:rsidRPr="007D2CA9">
        <w:rPr>
          <w:lang w:val="en-US"/>
        </w:rPr>
        <w:t>consider hours of work in 1991.  Here women work</w:t>
      </w:r>
      <w:r w:rsidR="008A64A3" w:rsidRPr="007D2CA9">
        <w:rPr>
          <w:lang w:val="en-US"/>
        </w:rPr>
        <w:t>ed</w:t>
      </w:r>
      <w:r w:rsidRPr="007D2CA9">
        <w:rPr>
          <w:lang w:val="en-US"/>
        </w:rPr>
        <w:t xml:space="preserve"> </w:t>
      </w:r>
      <w:r w:rsidR="005B6FD8" w:rsidRPr="007D2CA9">
        <w:rPr>
          <w:lang w:val="en-US"/>
        </w:rPr>
        <w:t xml:space="preserve">greater </w:t>
      </w:r>
      <w:r w:rsidRPr="007D2CA9">
        <w:rPr>
          <w:lang w:val="en-US"/>
        </w:rPr>
        <w:t xml:space="preserve">than 8.5 hours less than men on average and that difference makes them </w:t>
      </w:r>
      <w:r w:rsidR="00E17724" w:rsidRPr="007D2CA9">
        <w:rPr>
          <w:lang w:val="en-US"/>
        </w:rPr>
        <w:t>0</w:t>
      </w:r>
      <w:r w:rsidRPr="007D2CA9">
        <w:rPr>
          <w:lang w:val="en-US"/>
        </w:rPr>
        <w:t xml:space="preserve">.07 of </w:t>
      </w:r>
      <w:r w:rsidR="00331F9B" w:rsidRPr="007D2CA9">
        <w:rPr>
          <w:lang w:val="en-US"/>
        </w:rPr>
        <w:t xml:space="preserve">a </w:t>
      </w:r>
      <w:r w:rsidRPr="007D2CA9">
        <w:rPr>
          <w:lang w:val="en-US"/>
        </w:rPr>
        <w:t>satisfaction category more satisfied at the weighted average of male and female evaluatio</w:t>
      </w:r>
      <w:r w:rsidR="00621CD8" w:rsidRPr="007D2CA9">
        <w:rPr>
          <w:lang w:val="en-US"/>
        </w:rPr>
        <w:t>n.  At the same time, women</w:t>
      </w:r>
      <w:r w:rsidRPr="007D2CA9">
        <w:rPr>
          <w:lang w:val="en-US"/>
        </w:rPr>
        <w:t xml:space="preserve"> dislike hours of work much more </w:t>
      </w:r>
      <w:r w:rsidR="00621CD8" w:rsidRPr="007D2CA9">
        <w:rPr>
          <w:lang w:val="en-US"/>
        </w:rPr>
        <w:t xml:space="preserve">than men </w:t>
      </w:r>
      <w:r w:rsidRPr="007D2CA9">
        <w:rPr>
          <w:lang w:val="en-US"/>
        </w:rPr>
        <w:t>and so at a</w:t>
      </w:r>
      <w:r w:rsidR="00621CD8" w:rsidRPr="007D2CA9">
        <w:rPr>
          <w:lang w:val="en-US"/>
        </w:rPr>
        <w:t xml:space="preserve">verage hours of work, women are </w:t>
      </w:r>
      <w:r w:rsidR="00331F9B" w:rsidRPr="007D2CA9">
        <w:rPr>
          <w:lang w:val="en-US"/>
        </w:rPr>
        <w:t xml:space="preserve">a </w:t>
      </w:r>
      <w:r w:rsidR="00621CD8" w:rsidRPr="007D2CA9">
        <w:rPr>
          <w:lang w:val="en-US"/>
        </w:rPr>
        <w:t xml:space="preserve">remarkable </w:t>
      </w:r>
      <w:r w:rsidR="00E17724" w:rsidRPr="007D2CA9">
        <w:rPr>
          <w:lang w:val="en-US"/>
        </w:rPr>
        <w:t>0</w:t>
      </w:r>
      <w:r w:rsidR="00621CD8" w:rsidRPr="007D2CA9">
        <w:rPr>
          <w:lang w:val="en-US"/>
        </w:rPr>
        <w:t xml:space="preserve">.457 of a satisfaction category less satisfied than men.  By the end of the sample period a different story emerges. </w:t>
      </w:r>
      <w:r w:rsidR="007D2CA9" w:rsidRPr="007D2CA9">
        <w:rPr>
          <w:lang w:val="en-US"/>
        </w:rPr>
        <w:t xml:space="preserve">Now the difference in average hours worked has fallen to less than 7 and at the same time the large difference in coefficients has vanished. Thus, men and women no longer evaluate hours of work dramatically differently and so there is little contribution to the gender gap from differences in evaluation of hours of work.  </w:t>
      </w:r>
    </w:p>
    <w:p w14:paraId="5D5179AC" w14:textId="4A4A1EFA" w:rsidR="00E15455" w:rsidRPr="007D2CA9" w:rsidRDefault="00E15455" w:rsidP="00E15455">
      <w:pPr>
        <w:pStyle w:val="xmsonormal"/>
        <w:spacing w:line="480" w:lineRule="auto"/>
        <w:ind w:firstLine="720"/>
        <w:jc w:val="both"/>
        <w:rPr>
          <w:rFonts w:ascii="Calibri" w:hAnsi="Calibri" w:cs="Calibri"/>
          <w:color w:val="000000"/>
          <w:lang w:val="en-US"/>
        </w:rPr>
      </w:pPr>
    </w:p>
    <w:p w14:paraId="7E8ABE60" w14:textId="77777777" w:rsidR="00E15455" w:rsidRPr="007D2CA9" w:rsidRDefault="00E15455" w:rsidP="00BA2726">
      <w:pPr>
        <w:spacing w:after="0" w:line="480" w:lineRule="auto"/>
        <w:ind w:firstLine="720"/>
        <w:jc w:val="both"/>
        <w:rPr>
          <w:rFonts w:ascii="Times New Roman" w:hAnsi="Times New Roman" w:cs="Times New Roman"/>
          <w:lang w:val="en-US"/>
        </w:rPr>
      </w:pPr>
    </w:p>
    <w:p w14:paraId="702C7E4B" w14:textId="7A795046" w:rsidR="00010EAB" w:rsidRPr="007D2CA9" w:rsidRDefault="00936C72" w:rsidP="00BA2726">
      <w:pPr>
        <w:spacing w:after="0" w:line="480" w:lineRule="auto"/>
        <w:ind w:firstLine="720"/>
        <w:jc w:val="both"/>
        <w:rPr>
          <w:rFonts w:ascii="Times New Roman" w:hAnsi="Times New Roman" w:cs="Times New Roman"/>
        </w:rPr>
      </w:pPr>
      <w:bookmarkStart w:id="0" w:name="_GoBack"/>
      <w:bookmarkEnd w:id="0"/>
      <w:r w:rsidRPr="007D2CA9">
        <w:rPr>
          <w:rFonts w:ascii="Times New Roman" w:hAnsi="Times New Roman" w:cs="Times New Roman"/>
        </w:rPr>
        <w:lastRenderedPageBreak/>
        <w:t>T</w:t>
      </w:r>
      <w:r w:rsidR="00197C51" w:rsidRPr="007D2CA9">
        <w:rPr>
          <w:rFonts w:ascii="Times New Roman" w:hAnsi="Times New Roman" w:cs="Times New Roman"/>
        </w:rPr>
        <w:t>he</w:t>
      </w:r>
      <w:r w:rsidR="00010EAB" w:rsidRPr="007D2CA9">
        <w:rPr>
          <w:rFonts w:ascii="Times New Roman" w:hAnsi="Times New Roman" w:cs="Times New Roman"/>
        </w:rPr>
        <w:t xml:space="preserve"> </w:t>
      </w:r>
      <w:r w:rsidR="004676C8" w:rsidRPr="007D2CA9">
        <w:rPr>
          <w:rFonts w:ascii="Times New Roman" w:hAnsi="Times New Roman" w:cs="Times New Roman"/>
        </w:rPr>
        <w:t xml:space="preserve">net </w:t>
      </w:r>
      <w:r w:rsidR="00010EAB" w:rsidRPr="007D2CA9">
        <w:rPr>
          <w:rFonts w:ascii="Times New Roman" w:hAnsi="Times New Roman" w:cs="Times New Roman"/>
        </w:rPr>
        <w:t>patter</w:t>
      </w:r>
      <w:r w:rsidR="005607E5" w:rsidRPr="007D2CA9">
        <w:rPr>
          <w:rFonts w:ascii="Times New Roman" w:hAnsi="Times New Roman" w:cs="Times New Roman"/>
        </w:rPr>
        <w:t xml:space="preserve">n </w:t>
      </w:r>
      <w:r w:rsidRPr="007D2CA9">
        <w:rPr>
          <w:rFonts w:ascii="Times New Roman" w:hAnsi="Times New Roman" w:cs="Times New Roman"/>
        </w:rPr>
        <w:t xml:space="preserve">of a shrinking gender gap due to a declining difference in coefficients </w:t>
      </w:r>
      <w:r w:rsidR="005607E5" w:rsidRPr="007D2CA9">
        <w:rPr>
          <w:rFonts w:ascii="Times New Roman" w:hAnsi="Times New Roman" w:cs="Times New Roman"/>
        </w:rPr>
        <w:t xml:space="preserve">is matched by </w:t>
      </w:r>
      <w:r w:rsidRPr="007D2CA9">
        <w:rPr>
          <w:rFonts w:ascii="Times New Roman" w:hAnsi="Times New Roman" w:cs="Times New Roman"/>
        </w:rPr>
        <w:t xml:space="preserve">responses to being </w:t>
      </w:r>
      <w:r w:rsidR="00010EAB" w:rsidRPr="007D2CA9">
        <w:rPr>
          <w:rFonts w:ascii="Times New Roman" w:hAnsi="Times New Roman" w:cs="Times New Roman"/>
        </w:rPr>
        <w:t>marrie</w:t>
      </w:r>
      <w:r w:rsidRPr="007D2CA9">
        <w:rPr>
          <w:rFonts w:ascii="Times New Roman" w:hAnsi="Times New Roman" w:cs="Times New Roman"/>
        </w:rPr>
        <w:t>d</w:t>
      </w:r>
      <w:r w:rsidR="00E97798" w:rsidRPr="007D2CA9">
        <w:rPr>
          <w:rFonts w:ascii="Times New Roman" w:hAnsi="Times New Roman" w:cs="Times New Roman"/>
        </w:rPr>
        <w:t>, general health</w:t>
      </w:r>
      <w:r w:rsidR="00010EAB" w:rsidRPr="007D2CA9">
        <w:rPr>
          <w:rFonts w:ascii="Times New Roman" w:hAnsi="Times New Roman" w:cs="Times New Roman"/>
        </w:rPr>
        <w:t xml:space="preserve"> and </w:t>
      </w:r>
      <w:r w:rsidRPr="007D2CA9">
        <w:rPr>
          <w:rFonts w:ascii="Times New Roman" w:hAnsi="Times New Roman" w:cs="Times New Roman"/>
        </w:rPr>
        <w:t xml:space="preserve">several </w:t>
      </w:r>
      <w:r w:rsidR="00010EAB" w:rsidRPr="007D2CA9">
        <w:rPr>
          <w:rFonts w:ascii="Times New Roman" w:hAnsi="Times New Roman" w:cs="Times New Roman"/>
        </w:rPr>
        <w:t>other</w:t>
      </w:r>
      <w:r w:rsidRPr="007D2CA9">
        <w:rPr>
          <w:rFonts w:ascii="Times New Roman" w:hAnsi="Times New Roman" w:cs="Times New Roman"/>
        </w:rPr>
        <w:t xml:space="preserve"> v</w:t>
      </w:r>
      <w:r w:rsidR="00010EAB" w:rsidRPr="007D2CA9">
        <w:rPr>
          <w:rFonts w:ascii="Times New Roman" w:hAnsi="Times New Roman" w:cs="Times New Roman"/>
        </w:rPr>
        <w:t>ariables</w:t>
      </w:r>
      <w:r w:rsidRPr="007D2CA9">
        <w:rPr>
          <w:rFonts w:ascii="Times New Roman" w:hAnsi="Times New Roman" w:cs="Times New Roman"/>
        </w:rPr>
        <w:t xml:space="preserve">. </w:t>
      </w:r>
      <w:r w:rsidR="00010EAB" w:rsidRPr="007D2CA9">
        <w:rPr>
          <w:rFonts w:ascii="Times New Roman" w:hAnsi="Times New Roman" w:cs="Times New Roman"/>
        </w:rPr>
        <w:t xml:space="preserve"> </w:t>
      </w:r>
      <w:r w:rsidR="00E733D4" w:rsidRPr="007D2CA9">
        <w:rPr>
          <w:rFonts w:ascii="Times New Roman" w:hAnsi="Times New Roman" w:cs="Times New Roman"/>
        </w:rPr>
        <w:t>In the case of hours of work, the declining differenc</w:t>
      </w:r>
      <w:r w:rsidR="00504A17" w:rsidRPr="007D2CA9">
        <w:rPr>
          <w:rFonts w:ascii="Times New Roman" w:hAnsi="Times New Roman" w:cs="Times New Roman"/>
        </w:rPr>
        <w:t>e</w:t>
      </w:r>
      <w:r w:rsidR="00E733D4" w:rsidRPr="007D2CA9">
        <w:rPr>
          <w:rFonts w:ascii="Times New Roman" w:hAnsi="Times New Roman" w:cs="Times New Roman"/>
        </w:rPr>
        <w:t xml:space="preserve"> in coefficient</w:t>
      </w:r>
      <w:r w:rsidR="00504A17" w:rsidRPr="007D2CA9">
        <w:rPr>
          <w:rFonts w:ascii="Times New Roman" w:hAnsi="Times New Roman" w:cs="Times New Roman"/>
        </w:rPr>
        <w:t>s</w:t>
      </w:r>
      <w:r w:rsidR="00E733D4" w:rsidRPr="007D2CA9">
        <w:rPr>
          <w:rFonts w:ascii="Times New Roman" w:hAnsi="Times New Roman" w:cs="Times New Roman"/>
        </w:rPr>
        <w:t xml:space="preserve"> </w:t>
      </w:r>
      <w:r w:rsidR="00504A17" w:rsidRPr="007D2CA9">
        <w:rPr>
          <w:rFonts w:ascii="Times New Roman" w:hAnsi="Times New Roman" w:cs="Times New Roman"/>
        </w:rPr>
        <w:t>actually increases the gender gap. Women had a large negative difference due to coefficients in 1991 that vanished</w:t>
      </w:r>
      <w:r w:rsidR="000B07D0" w:rsidRPr="007D2CA9">
        <w:rPr>
          <w:rFonts w:ascii="Times New Roman" w:hAnsi="Times New Roman" w:cs="Times New Roman"/>
        </w:rPr>
        <w:t xml:space="preserve"> as just described</w:t>
      </w:r>
      <w:r w:rsidR="00504A17" w:rsidRPr="007D2CA9">
        <w:rPr>
          <w:rFonts w:ascii="Times New Roman" w:hAnsi="Times New Roman" w:cs="Times New Roman"/>
        </w:rPr>
        <w:t xml:space="preserve">.  Thus, their relative satisfaction </w:t>
      </w:r>
      <w:r w:rsidR="000B07D0" w:rsidRPr="007D2CA9">
        <w:rPr>
          <w:rFonts w:ascii="Times New Roman" w:hAnsi="Times New Roman" w:cs="Times New Roman"/>
        </w:rPr>
        <w:t xml:space="preserve">actually </w:t>
      </w:r>
      <w:r w:rsidR="00504A17" w:rsidRPr="007D2CA9">
        <w:rPr>
          <w:rFonts w:ascii="Times New Roman" w:hAnsi="Times New Roman" w:cs="Times New Roman"/>
        </w:rPr>
        <w:t xml:space="preserve">increased.  </w:t>
      </w:r>
      <w:r w:rsidR="000B07D0" w:rsidRPr="007D2CA9">
        <w:rPr>
          <w:rFonts w:ascii="Times New Roman" w:hAnsi="Times New Roman" w:cs="Times New Roman"/>
        </w:rPr>
        <w:t>In addition</w:t>
      </w:r>
      <w:r w:rsidR="00937EC8" w:rsidRPr="007D2CA9">
        <w:rPr>
          <w:rFonts w:ascii="Times New Roman" w:hAnsi="Times New Roman" w:cs="Times New Roman"/>
        </w:rPr>
        <w:t>, some characteristics</w:t>
      </w:r>
      <w:r w:rsidRPr="007D2CA9">
        <w:rPr>
          <w:rFonts w:ascii="Times New Roman" w:hAnsi="Times New Roman" w:cs="Times New Roman"/>
        </w:rPr>
        <w:t xml:space="preserve"> </w:t>
      </w:r>
      <w:r w:rsidR="005607E5" w:rsidRPr="007D2CA9">
        <w:rPr>
          <w:rFonts w:ascii="Times New Roman" w:hAnsi="Times New Roman" w:cs="Times New Roman"/>
        </w:rPr>
        <w:t xml:space="preserve">are associated with an increasing role </w:t>
      </w:r>
      <w:r w:rsidR="001128F2" w:rsidRPr="007D2CA9">
        <w:rPr>
          <w:rFonts w:ascii="Times New Roman" w:hAnsi="Times New Roman" w:cs="Times New Roman"/>
        </w:rPr>
        <w:t>for</w:t>
      </w:r>
      <w:r w:rsidR="005607E5" w:rsidRPr="007D2CA9">
        <w:rPr>
          <w:rFonts w:ascii="Times New Roman" w:hAnsi="Times New Roman" w:cs="Times New Roman"/>
        </w:rPr>
        <w:t xml:space="preserve"> the </w:t>
      </w:r>
      <w:r w:rsidRPr="007D2CA9">
        <w:rPr>
          <w:rFonts w:ascii="Times New Roman" w:hAnsi="Times New Roman" w:cs="Times New Roman"/>
        </w:rPr>
        <w:t xml:space="preserve">difference in </w:t>
      </w:r>
      <w:r w:rsidR="005607E5" w:rsidRPr="007D2CA9">
        <w:rPr>
          <w:rFonts w:ascii="Times New Roman" w:hAnsi="Times New Roman" w:cs="Times New Roman"/>
        </w:rPr>
        <w:t>coefficients.</w:t>
      </w:r>
      <w:r w:rsidR="00E97798" w:rsidRPr="007D2CA9">
        <w:rPr>
          <w:rFonts w:ascii="Times New Roman" w:hAnsi="Times New Roman" w:cs="Times New Roman"/>
        </w:rPr>
        <w:t xml:space="preserve">  </w:t>
      </w:r>
      <w:r w:rsidR="00E733D4" w:rsidRPr="007D2CA9">
        <w:rPr>
          <w:rFonts w:ascii="Times New Roman" w:hAnsi="Times New Roman" w:cs="Times New Roman"/>
        </w:rPr>
        <w:t>Th</w:t>
      </w:r>
      <w:r w:rsidR="001940DD" w:rsidRPr="007D2CA9">
        <w:rPr>
          <w:rFonts w:ascii="Times New Roman" w:hAnsi="Times New Roman" w:cs="Times New Roman"/>
        </w:rPr>
        <w:t>is</w:t>
      </w:r>
      <w:r w:rsidR="00E733D4" w:rsidRPr="007D2CA9">
        <w:rPr>
          <w:rFonts w:ascii="Times New Roman" w:hAnsi="Times New Roman" w:cs="Times New Roman"/>
        </w:rPr>
        <w:t xml:space="preserve"> </w:t>
      </w:r>
      <w:r w:rsidR="001940DD" w:rsidRPr="007D2CA9">
        <w:rPr>
          <w:rFonts w:ascii="Times New Roman" w:hAnsi="Times New Roman" w:cs="Times New Roman"/>
        </w:rPr>
        <w:t>increase</w:t>
      </w:r>
      <w:r w:rsidR="00E733D4" w:rsidRPr="007D2CA9">
        <w:rPr>
          <w:rFonts w:ascii="Times New Roman" w:hAnsi="Times New Roman" w:cs="Times New Roman"/>
        </w:rPr>
        <w:t xml:space="preserve"> in this difference </w:t>
      </w:r>
      <w:r w:rsidR="001940DD" w:rsidRPr="007D2CA9">
        <w:rPr>
          <w:rFonts w:ascii="Times New Roman" w:hAnsi="Times New Roman" w:cs="Times New Roman"/>
        </w:rPr>
        <w:t>due to coefficients can</w:t>
      </w:r>
      <w:r w:rsidR="00E733D4" w:rsidRPr="007D2CA9">
        <w:rPr>
          <w:rFonts w:ascii="Times New Roman" w:hAnsi="Times New Roman" w:cs="Times New Roman"/>
        </w:rPr>
        <w:t xml:space="preserve"> move </w:t>
      </w:r>
      <w:r w:rsidR="000B07D0" w:rsidRPr="007D2CA9">
        <w:rPr>
          <w:rFonts w:ascii="Times New Roman" w:hAnsi="Times New Roman" w:cs="Times New Roman"/>
        </w:rPr>
        <w:t xml:space="preserve">relative satisfaction in </w:t>
      </w:r>
      <w:r w:rsidR="00E733D4" w:rsidRPr="007D2CA9">
        <w:rPr>
          <w:rFonts w:ascii="Times New Roman" w:hAnsi="Times New Roman" w:cs="Times New Roman"/>
        </w:rPr>
        <w:t>either direction.</w:t>
      </w:r>
      <w:r w:rsidR="005607E5" w:rsidRPr="007D2CA9">
        <w:rPr>
          <w:rFonts w:ascii="Times New Roman" w:hAnsi="Times New Roman" w:cs="Times New Roman"/>
        </w:rPr>
        <w:t xml:space="preserve"> </w:t>
      </w:r>
      <w:r w:rsidR="001940DD" w:rsidRPr="007D2CA9">
        <w:rPr>
          <w:rFonts w:ascii="Times New Roman" w:hAnsi="Times New Roman" w:cs="Times New Roman"/>
        </w:rPr>
        <w:t xml:space="preserve">The positive difference due to coefficients for the public sector doubled and so is associated with increased female job satisfaction.  The negative difference in coefficients due to earnings became substantially more negative </w:t>
      </w:r>
      <w:r w:rsidR="001B75E0" w:rsidRPr="007D2CA9">
        <w:rPr>
          <w:rFonts w:ascii="Times New Roman" w:hAnsi="Times New Roman" w:cs="Times New Roman"/>
        </w:rPr>
        <w:t>and</w:t>
      </w:r>
      <w:r w:rsidR="001940DD" w:rsidRPr="007D2CA9">
        <w:rPr>
          <w:rFonts w:ascii="Times New Roman" w:hAnsi="Times New Roman" w:cs="Times New Roman"/>
        </w:rPr>
        <w:t xml:space="preserve"> so is associated with decreased female job satisfaction. </w:t>
      </w:r>
      <w:r w:rsidRPr="007D2CA9">
        <w:rPr>
          <w:rFonts w:ascii="Times New Roman" w:hAnsi="Times New Roman" w:cs="Times New Roman"/>
        </w:rPr>
        <w:t>Thus, in those cases where the difference due to coefficients is growing it can move either in favour of increasing or decreasingly relative satisfaction for women.</w:t>
      </w:r>
      <w:r w:rsidR="00E733D4" w:rsidRPr="007D2CA9">
        <w:rPr>
          <w:rFonts w:ascii="Times New Roman" w:hAnsi="Times New Roman" w:cs="Times New Roman"/>
        </w:rPr>
        <w:t xml:space="preserve"> </w:t>
      </w:r>
      <w:r w:rsidR="000B07D0" w:rsidRPr="007D2CA9">
        <w:rPr>
          <w:rFonts w:ascii="Times New Roman" w:hAnsi="Times New Roman" w:cs="Times New Roman"/>
        </w:rPr>
        <w:t xml:space="preserve">The net effect </w:t>
      </w:r>
      <w:r w:rsidR="00937EC8" w:rsidRPr="007D2CA9">
        <w:rPr>
          <w:rFonts w:ascii="Times New Roman" w:hAnsi="Times New Roman" w:cs="Times New Roman"/>
        </w:rPr>
        <w:t>remains</w:t>
      </w:r>
      <w:r w:rsidR="000B07D0" w:rsidRPr="007D2CA9">
        <w:rPr>
          <w:rFonts w:ascii="Times New Roman" w:hAnsi="Times New Roman" w:cs="Times New Roman"/>
        </w:rPr>
        <w:t xml:space="preserve"> a smaller role for coefficient differences.</w:t>
      </w:r>
    </w:p>
    <w:p w14:paraId="51EF19BB" w14:textId="1A95A065" w:rsidR="00F43CE2" w:rsidRPr="007D2CA9" w:rsidRDefault="001940DD" w:rsidP="00BA2726">
      <w:pPr>
        <w:spacing w:after="0" w:line="480" w:lineRule="auto"/>
        <w:ind w:firstLine="720"/>
        <w:jc w:val="both"/>
        <w:rPr>
          <w:rFonts w:ascii="Times New Roman" w:hAnsi="Times New Roman" w:cs="Times New Roman"/>
        </w:rPr>
      </w:pPr>
      <w:r w:rsidRPr="007D2CA9">
        <w:rPr>
          <w:rFonts w:ascii="Times New Roman" w:hAnsi="Times New Roman" w:cs="Times New Roman"/>
        </w:rPr>
        <w:t xml:space="preserve">Despite some changes, </w:t>
      </w:r>
      <w:r w:rsidR="005607E5" w:rsidRPr="007D2CA9">
        <w:rPr>
          <w:rFonts w:ascii="Times New Roman" w:hAnsi="Times New Roman" w:cs="Times New Roman"/>
        </w:rPr>
        <w:t>t</w:t>
      </w:r>
      <w:r w:rsidR="00274FB0" w:rsidRPr="007D2CA9">
        <w:rPr>
          <w:rFonts w:ascii="Times New Roman" w:hAnsi="Times New Roman" w:cs="Times New Roman"/>
        </w:rPr>
        <w:t xml:space="preserve">he </w:t>
      </w:r>
      <w:r w:rsidRPr="007D2CA9">
        <w:rPr>
          <w:rFonts w:ascii="Times New Roman" w:hAnsi="Times New Roman" w:cs="Times New Roman"/>
        </w:rPr>
        <w:t xml:space="preserve">basic </w:t>
      </w:r>
      <w:r w:rsidR="00274FB0" w:rsidRPr="007D2CA9">
        <w:rPr>
          <w:rFonts w:ascii="Times New Roman" w:hAnsi="Times New Roman" w:cs="Times New Roman"/>
        </w:rPr>
        <w:t>role of age and of pay seem to have large</w:t>
      </w:r>
      <w:r w:rsidR="00331F9B" w:rsidRPr="007D2CA9">
        <w:rPr>
          <w:rFonts w:ascii="Times New Roman" w:hAnsi="Times New Roman" w:cs="Times New Roman"/>
        </w:rPr>
        <w:t>ly</w:t>
      </w:r>
      <w:r w:rsidR="00274FB0" w:rsidRPr="007D2CA9">
        <w:rPr>
          <w:rFonts w:ascii="Times New Roman" w:hAnsi="Times New Roman" w:cs="Times New Roman"/>
        </w:rPr>
        <w:t xml:space="preserve"> carried over across the years.  Thus, even at the end of the time period, men appear to value additional pa</w:t>
      </w:r>
      <w:r w:rsidR="00EE1A98" w:rsidRPr="007D2CA9">
        <w:rPr>
          <w:rFonts w:ascii="Times New Roman" w:hAnsi="Times New Roman" w:cs="Times New Roman"/>
        </w:rPr>
        <w:t xml:space="preserve">y more than women.  The traditional </w:t>
      </w:r>
      <w:r w:rsidR="00274FB0" w:rsidRPr="007D2CA9">
        <w:rPr>
          <w:rFonts w:ascii="Times New Roman" w:hAnsi="Times New Roman" w:cs="Times New Roman"/>
        </w:rPr>
        <w:t xml:space="preserve">differences in </w:t>
      </w:r>
      <w:r w:rsidR="00EE1A98" w:rsidRPr="007D2CA9">
        <w:rPr>
          <w:rFonts w:ascii="Times New Roman" w:hAnsi="Times New Roman" w:cs="Times New Roman"/>
        </w:rPr>
        <w:t xml:space="preserve">how men and women </w:t>
      </w:r>
      <w:r w:rsidR="00274FB0" w:rsidRPr="007D2CA9">
        <w:rPr>
          <w:rFonts w:ascii="Times New Roman" w:hAnsi="Times New Roman" w:cs="Times New Roman"/>
        </w:rPr>
        <w:t>valu</w:t>
      </w:r>
      <w:r w:rsidR="00EE1A98" w:rsidRPr="007D2CA9">
        <w:rPr>
          <w:rFonts w:ascii="Times New Roman" w:hAnsi="Times New Roman" w:cs="Times New Roman"/>
        </w:rPr>
        <w:t>e</w:t>
      </w:r>
      <w:r w:rsidR="00274FB0" w:rsidRPr="007D2CA9">
        <w:rPr>
          <w:rFonts w:ascii="Times New Roman" w:hAnsi="Times New Roman" w:cs="Times New Roman"/>
        </w:rPr>
        <w:t xml:space="preserve"> p</w:t>
      </w:r>
      <w:r w:rsidR="00EE1A98" w:rsidRPr="007D2CA9">
        <w:rPr>
          <w:rFonts w:ascii="Times New Roman" w:hAnsi="Times New Roman" w:cs="Times New Roman"/>
        </w:rPr>
        <w:t>ay and hours has been evaluated</w:t>
      </w:r>
      <w:r w:rsidR="00274FB0" w:rsidRPr="007D2CA9">
        <w:rPr>
          <w:rFonts w:ascii="Times New Roman" w:hAnsi="Times New Roman" w:cs="Times New Roman"/>
        </w:rPr>
        <w:t xml:space="preserve"> by Conti and Pudney (2008).  They argue that the common findings that women dislike addition hours more than men and like additional pay l</w:t>
      </w:r>
      <w:r w:rsidR="00F43CE2" w:rsidRPr="007D2CA9">
        <w:rPr>
          <w:rFonts w:ascii="Times New Roman" w:hAnsi="Times New Roman" w:cs="Times New Roman"/>
        </w:rPr>
        <w:t xml:space="preserve">ess than men </w:t>
      </w:r>
      <w:r w:rsidR="00EE1A98" w:rsidRPr="007D2CA9">
        <w:rPr>
          <w:rFonts w:ascii="Times New Roman" w:hAnsi="Times New Roman" w:cs="Times New Roman"/>
        </w:rPr>
        <w:t>largely reflect</w:t>
      </w:r>
      <w:r w:rsidR="00274FB0" w:rsidRPr="007D2CA9">
        <w:rPr>
          <w:rFonts w:ascii="Times New Roman" w:hAnsi="Times New Roman" w:cs="Times New Roman"/>
        </w:rPr>
        <w:t xml:space="preserve"> differences in socialization by gender when being interviewed.  They show that a </w:t>
      </w:r>
      <w:r w:rsidR="009B5D37" w:rsidRPr="007D2CA9">
        <w:rPr>
          <w:rFonts w:ascii="Times New Roman" w:hAnsi="Times New Roman" w:cs="Times New Roman"/>
        </w:rPr>
        <w:t>self-completed questionnaire</w:t>
      </w:r>
      <w:r w:rsidR="009D3B24" w:rsidRPr="007D2CA9">
        <w:rPr>
          <w:rFonts w:ascii="Times New Roman" w:hAnsi="Times New Roman" w:cs="Times New Roman"/>
        </w:rPr>
        <w:t xml:space="preserve"> that was run parallel with standard interviews f</w:t>
      </w:r>
      <w:r w:rsidR="009B5D37" w:rsidRPr="007D2CA9">
        <w:rPr>
          <w:rFonts w:ascii="Times New Roman" w:hAnsi="Times New Roman" w:cs="Times New Roman"/>
        </w:rPr>
        <w:t xml:space="preserve">or some years of BHPS may be more accurate in identifying the scope of gender differences. This questionnaire exists </w:t>
      </w:r>
      <w:r w:rsidR="00F43CE2" w:rsidRPr="007D2CA9">
        <w:rPr>
          <w:rFonts w:ascii="Times New Roman" w:hAnsi="Times New Roman" w:cs="Times New Roman"/>
        </w:rPr>
        <w:t xml:space="preserve">only </w:t>
      </w:r>
      <w:r w:rsidR="009B5D37" w:rsidRPr="007D2CA9">
        <w:rPr>
          <w:rFonts w:ascii="Times New Roman" w:hAnsi="Times New Roman" w:cs="Times New Roman"/>
        </w:rPr>
        <w:t xml:space="preserve">for an interrupted subsample of 10 years in the BHPS. It does not exist for any of the years in Understanding Society.  </w:t>
      </w:r>
    </w:p>
    <w:p w14:paraId="41B8B473" w14:textId="209D34BE" w:rsidR="00274FB0" w:rsidRPr="007D2CA9" w:rsidRDefault="009B5D37" w:rsidP="00BA2726">
      <w:pPr>
        <w:spacing w:after="0" w:line="480" w:lineRule="auto"/>
        <w:ind w:firstLine="720"/>
        <w:jc w:val="both"/>
        <w:rPr>
          <w:rFonts w:ascii="Times New Roman" w:hAnsi="Times New Roman" w:cs="Times New Roman"/>
        </w:rPr>
      </w:pPr>
      <w:r w:rsidRPr="007D2CA9">
        <w:rPr>
          <w:rFonts w:ascii="Times New Roman" w:hAnsi="Times New Roman" w:cs="Times New Roman"/>
        </w:rPr>
        <w:t>Unfortunately</w:t>
      </w:r>
      <w:r w:rsidR="00F43CE2" w:rsidRPr="007D2CA9">
        <w:rPr>
          <w:rFonts w:ascii="Times New Roman" w:hAnsi="Times New Roman" w:cs="Times New Roman"/>
        </w:rPr>
        <w:t>,</w:t>
      </w:r>
      <w:r w:rsidRPr="007D2CA9">
        <w:rPr>
          <w:rFonts w:ascii="Times New Roman" w:hAnsi="Times New Roman" w:cs="Times New Roman"/>
        </w:rPr>
        <w:t xml:space="preserve"> </w:t>
      </w:r>
      <w:r w:rsidR="00F43CE2" w:rsidRPr="007D2CA9">
        <w:rPr>
          <w:rFonts w:ascii="Times New Roman" w:hAnsi="Times New Roman" w:cs="Times New Roman"/>
        </w:rPr>
        <w:t>the years of the self-comp</w:t>
      </w:r>
      <w:r w:rsidR="00FF218D" w:rsidRPr="007D2CA9">
        <w:rPr>
          <w:rFonts w:ascii="Times New Roman" w:hAnsi="Times New Roman" w:cs="Times New Roman"/>
        </w:rPr>
        <w:t>l</w:t>
      </w:r>
      <w:r w:rsidR="00F43CE2" w:rsidRPr="007D2CA9">
        <w:rPr>
          <w:rFonts w:ascii="Times New Roman" w:hAnsi="Times New Roman" w:cs="Times New Roman"/>
        </w:rPr>
        <w:t xml:space="preserve">eted </w:t>
      </w:r>
      <w:r w:rsidR="009D3B24" w:rsidRPr="007D2CA9">
        <w:rPr>
          <w:rFonts w:ascii="Times New Roman" w:hAnsi="Times New Roman" w:cs="Times New Roman"/>
        </w:rPr>
        <w:t>questionnaire</w:t>
      </w:r>
      <w:r w:rsidR="001679D3" w:rsidRPr="007D2CA9">
        <w:rPr>
          <w:rFonts w:ascii="Times New Roman" w:hAnsi="Times New Roman" w:cs="Times New Roman"/>
        </w:rPr>
        <w:t xml:space="preserve"> </w:t>
      </w:r>
      <w:r w:rsidRPr="007D2CA9">
        <w:rPr>
          <w:rFonts w:ascii="Times New Roman" w:hAnsi="Times New Roman" w:cs="Times New Roman"/>
        </w:rPr>
        <w:t>large</w:t>
      </w:r>
      <w:r w:rsidR="00F43CE2" w:rsidRPr="007D2CA9">
        <w:rPr>
          <w:rFonts w:ascii="Times New Roman" w:hAnsi="Times New Roman" w:cs="Times New Roman"/>
        </w:rPr>
        <w:t>ly match</w:t>
      </w:r>
      <w:r w:rsidRPr="007D2CA9">
        <w:rPr>
          <w:rFonts w:ascii="Times New Roman" w:hAnsi="Times New Roman" w:cs="Times New Roman"/>
        </w:rPr>
        <w:t xml:space="preserve"> </w:t>
      </w:r>
      <w:r w:rsidR="00E82014" w:rsidRPr="007D2CA9">
        <w:rPr>
          <w:rFonts w:ascii="Times New Roman" w:hAnsi="Times New Roman" w:cs="Times New Roman"/>
        </w:rPr>
        <w:t>the period of essentially no change in the gender satisfaction gap</w:t>
      </w:r>
      <w:r w:rsidRPr="007D2CA9">
        <w:rPr>
          <w:rFonts w:ascii="Times New Roman" w:hAnsi="Times New Roman" w:cs="Times New Roman"/>
        </w:rPr>
        <w:t xml:space="preserve"> in the data series. </w:t>
      </w:r>
      <w:r w:rsidR="00F43CE2" w:rsidRPr="007D2CA9">
        <w:rPr>
          <w:rFonts w:ascii="Times New Roman" w:hAnsi="Times New Roman" w:cs="Times New Roman"/>
        </w:rPr>
        <w:t xml:space="preserve"> Nonetheless, to examine the influence of </w:t>
      </w:r>
      <w:r w:rsidR="0099740E" w:rsidRPr="007D2CA9">
        <w:rPr>
          <w:rFonts w:ascii="Times New Roman" w:hAnsi="Times New Roman" w:cs="Times New Roman"/>
        </w:rPr>
        <w:t xml:space="preserve">the </w:t>
      </w:r>
      <w:r w:rsidR="001679D3" w:rsidRPr="007D2CA9">
        <w:rPr>
          <w:rFonts w:ascii="Times New Roman" w:hAnsi="Times New Roman" w:cs="Times New Roman"/>
        </w:rPr>
        <w:t>se</w:t>
      </w:r>
      <w:r w:rsidR="00A0680F" w:rsidRPr="007D2CA9">
        <w:rPr>
          <w:rFonts w:ascii="Times New Roman" w:hAnsi="Times New Roman" w:cs="Times New Roman"/>
        </w:rPr>
        <w:t>lf-completed survey we estimate</w:t>
      </w:r>
      <w:r w:rsidR="001679D3" w:rsidRPr="007D2CA9">
        <w:rPr>
          <w:rFonts w:ascii="Times New Roman" w:hAnsi="Times New Roman" w:cs="Times New Roman"/>
        </w:rPr>
        <w:t xml:space="preserve"> the gender satisfaction decomposition for each year that it is available.  The estimating equation is in all ways identical for both men and women </w:t>
      </w:r>
      <w:r w:rsidR="00A0680F" w:rsidRPr="007D2CA9">
        <w:rPr>
          <w:rFonts w:ascii="Times New Roman" w:hAnsi="Times New Roman" w:cs="Times New Roman"/>
        </w:rPr>
        <w:t xml:space="preserve">as before </w:t>
      </w:r>
      <w:r w:rsidR="001679D3" w:rsidRPr="007D2CA9">
        <w:rPr>
          <w:rFonts w:ascii="Times New Roman" w:hAnsi="Times New Roman" w:cs="Times New Roman"/>
        </w:rPr>
        <w:t xml:space="preserve">other than that the measure of job satisfaction comes from the self-completion survey rather than the interview. </w:t>
      </w:r>
      <w:r w:rsidR="006F72B4" w:rsidRPr="007D2CA9">
        <w:rPr>
          <w:rFonts w:ascii="Times New Roman" w:hAnsi="Times New Roman" w:cs="Times New Roman"/>
        </w:rPr>
        <w:t xml:space="preserve">The </w:t>
      </w:r>
      <w:r w:rsidR="0099740E" w:rsidRPr="007D2CA9">
        <w:rPr>
          <w:rFonts w:ascii="Times New Roman" w:hAnsi="Times New Roman" w:cs="Times New Roman"/>
        </w:rPr>
        <w:t>dashed line in Figure 3</w:t>
      </w:r>
      <w:r w:rsidR="006F72B4" w:rsidRPr="007D2CA9">
        <w:rPr>
          <w:rFonts w:ascii="Times New Roman" w:hAnsi="Times New Roman" w:cs="Times New Roman"/>
        </w:rPr>
        <w:t xml:space="preserve"> shows the share of the gap that is unexplained by characteristics (i.e. due to coefficients). </w:t>
      </w:r>
      <w:r w:rsidR="0099740E" w:rsidRPr="007D2CA9">
        <w:rPr>
          <w:rFonts w:ascii="Times New Roman" w:hAnsi="Times New Roman" w:cs="Times New Roman"/>
        </w:rPr>
        <w:t>As might be expec</w:t>
      </w:r>
      <w:r w:rsidR="00A0680F" w:rsidRPr="007D2CA9">
        <w:rPr>
          <w:rFonts w:ascii="Times New Roman" w:hAnsi="Times New Roman" w:cs="Times New Roman"/>
        </w:rPr>
        <w:t>ted, the unexplained difference</w:t>
      </w:r>
      <w:r w:rsidR="0099740E" w:rsidRPr="007D2CA9">
        <w:rPr>
          <w:rFonts w:ascii="Times New Roman" w:hAnsi="Times New Roman" w:cs="Times New Roman"/>
        </w:rPr>
        <w:t xml:space="preserve"> does not exactly match that </w:t>
      </w:r>
      <w:r w:rsidR="0099740E" w:rsidRPr="007D2CA9">
        <w:rPr>
          <w:rFonts w:ascii="Times New Roman" w:hAnsi="Times New Roman" w:cs="Times New Roman"/>
        </w:rPr>
        <w:lastRenderedPageBreak/>
        <w:t>from the interview yet it is not so very different.  It is above that from interview about as ofte</w:t>
      </w:r>
      <w:r w:rsidR="00A0680F" w:rsidRPr="007D2CA9">
        <w:rPr>
          <w:rFonts w:ascii="Times New Roman" w:hAnsi="Times New Roman" w:cs="Times New Roman"/>
        </w:rPr>
        <w:t>n as it is below and the average difference over the years is close to zero.  Moreover,</w:t>
      </w:r>
      <w:r w:rsidR="0099740E" w:rsidRPr="007D2CA9">
        <w:rPr>
          <w:rFonts w:ascii="Times New Roman" w:hAnsi="Times New Roman" w:cs="Times New Roman"/>
        </w:rPr>
        <w:t xml:space="preserve"> the two series </w:t>
      </w:r>
      <w:r w:rsidR="00A0680F" w:rsidRPr="007D2CA9">
        <w:rPr>
          <w:rFonts w:ascii="Times New Roman" w:hAnsi="Times New Roman" w:cs="Times New Roman"/>
        </w:rPr>
        <w:t xml:space="preserve">do not show </w:t>
      </w:r>
      <w:r w:rsidR="0099740E" w:rsidRPr="007D2CA9">
        <w:rPr>
          <w:rFonts w:ascii="Times New Roman" w:hAnsi="Times New Roman" w:cs="Times New Roman"/>
        </w:rPr>
        <w:t>markedly different trend</w:t>
      </w:r>
      <w:r w:rsidR="00A0680F" w:rsidRPr="007D2CA9">
        <w:rPr>
          <w:rFonts w:ascii="Times New Roman" w:hAnsi="Times New Roman" w:cs="Times New Roman"/>
        </w:rPr>
        <w:t>s</w:t>
      </w:r>
      <w:r w:rsidR="0099740E" w:rsidRPr="007D2CA9">
        <w:rPr>
          <w:rFonts w:ascii="Times New Roman" w:hAnsi="Times New Roman" w:cs="Times New Roman"/>
        </w:rPr>
        <w:t>.</w:t>
      </w:r>
      <w:r w:rsidR="00A0680F" w:rsidRPr="007D2CA9">
        <w:rPr>
          <w:rFonts w:ascii="Times New Roman" w:hAnsi="Times New Roman" w:cs="Times New Roman"/>
        </w:rPr>
        <w:t xml:space="preserve">  While not questioning the gender differences Conti and Pudney find between the two survey techniques, it seems unlikely that </w:t>
      </w:r>
      <w:r w:rsidR="00B5697B" w:rsidRPr="007D2CA9">
        <w:rPr>
          <w:rFonts w:ascii="Times New Roman" w:hAnsi="Times New Roman" w:cs="Times New Roman"/>
        </w:rPr>
        <w:t xml:space="preserve">the </w:t>
      </w:r>
      <w:r w:rsidR="00A0680F" w:rsidRPr="007D2CA9">
        <w:rPr>
          <w:rFonts w:ascii="Times New Roman" w:hAnsi="Times New Roman" w:cs="Times New Roman"/>
        </w:rPr>
        <w:t>broad trend we show would be completely absent.  Moreover,</w:t>
      </w:r>
      <w:r w:rsidR="00B5697B" w:rsidRPr="007D2CA9">
        <w:rPr>
          <w:rFonts w:ascii="Times New Roman" w:hAnsi="Times New Roman" w:cs="Times New Roman"/>
        </w:rPr>
        <w:t xml:space="preserve"> as we identify, the gap between how women and men evaluate hours of work shrinks dramatically even in the interview which Conti and Pudney claim exaggerates that difference. While it would be interesting to examine self-reported questionnaires from the 1991 to 2014, they simply are not available. </w:t>
      </w:r>
    </w:p>
    <w:p w14:paraId="66527E71" w14:textId="7D2C7810" w:rsidR="004903DD" w:rsidRPr="007D2CA9" w:rsidRDefault="00EE2192" w:rsidP="00BA2726">
      <w:pPr>
        <w:spacing w:after="0" w:line="480" w:lineRule="auto"/>
        <w:ind w:firstLine="720"/>
        <w:jc w:val="both"/>
        <w:rPr>
          <w:rFonts w:ascii="Times New Roman" w:hAnsi="Times New Roman" w:cs="Times New Roman"/>
        </w:rPr>
      </w:pPr>
      <w:r w:rsidRPr="007D2CA9">
        <w:rPr>
          <w:rFonts w:ascii="Times New Roman" w:hAnsi="Times New Roman" w:cs="Times New Roman"/>
        </w:rPr>
        <w:t>The evaluation of the BHPS suggests that the raw gap in gender satisfaction has fallen dramatically and that this drop is due to harsher evaluation of job characteristics by women. The premium for women in the early years was largely driven by substantial differences in coefficients (how the characteristic</w:t>
      </w:r>
      <w:r w:rsidR="00E10FDC" w:rsidRPr="007D2CA9">
        <w:rPr>
          <w:rFonts w:ascii="Times New Roman" w:hAnsi="Times New Roman" w:cs="Times New Roman"/>
        </w:rPr>
        <w:t>s</w:t>
      </w:r>
      <w:r w:rsidRPr="007D2CA9">
        <w:rPr>
          <w:rFonts w:ascii="Times New Roman" w:hAnsi="Times New Roman" w:cs="Times New Roman"/>
        </w:rPr>
        <w:t xml:space="preserve"> were ev</w:t>
      </w:r>
      <w:r w:rsidR="00E10FDC" w:rsidRPr="007D2CA9">
        <w:rPr>
          <w:rFonts w:ascii="Times New Roman" w:hAnsi="Times New Roman" w:cs="Times New Roman"/>
        </w:rPr>
        <w:t>aluated) and the decline in this</w:t>
      </w:r>
      <w:r w:rsidRPr="007D2CA9">
        <w:rPr>
          <w:rFonts w:ascii="Times New Roman" w:hAnsi="Times New Roman" w:cs="Times New Roman"/>
        </w:rPr>
        <w:t xml:space="preserve"> component accounts for the observed decline in the raw difference. </w:t>
      </w:r>
      <w:r w:rsidR="00E10FDC" w:rsidRPr="007D2CA9">
        <w:rPr>
          <w:rFonts w:ascii="Times New Roman" w:hAnsi="Times New Roman" w:cs="Times New Roman"/>
        </w:rPr>
        <w:t xml:space="preserve">The difference due to many individual coefficients shrunk while some increased but often in offsetting directions.  </w:t>
      </w:r>
      <w:r w:rsidRPr="007D2CA9">
        <w:rPr>
          <w:rFonts w:ascii="Times New Roman" w:eastAsia="Calibri" w:hAnsi="Times New Roman" w:cs="Times New Roman"/>
        </w:rPr>
        <w:t xml:space="preserve">While survey design issues caution against putting too much emphasis on any one characteristic, the overall pattern </w:t>
      </w:r>
      <w:r w:rsidR="00E10FDC" w:rsidRPr="007D2CA9">
        <w:rPr>
          <w:rFonts w:ascii="Times New Roman" w:eastAsia="Calibri" w:hAnsi="Times New Roman" w:cs="Times New Roman"/>
        </w:rPr>
        <w:t xml:space="preserve">of a declining overall role for coefficient differences </w:t>
      </w:r>
      <w:r w:rsidRPr="007D2CA9">
        <w:rPr>
          <w:rFonts w:ascii="Times New Roman" w:eastAsia="Calibri" w:hAnsi="Times New Roman" w:cs="Times New Roman"/>
        </w:rPr>
        <w:t xml:space="preserve">seems clear.  We do recognize that this finding is conditional on a set of observable characteristics, which may not entirely capture all changes in working conditions over time. </w:t>
      </w:r>
    </w:p>
    <w:p w14:paraId="05C99051" w14:textId="77777777" w:rsidR="00D000EC" w:rsidRPr="007D2CA9" w:rsidRDefault="00D000EC" w:rsidP="00BA2726">
      <w:pPr>
        <w:spacing w:after="0" w:line="480" w:lineRule="auto"/>
        <w:ind w:firstLine="720"/>
        <w:jc w:val="both"/>
        <w:rPr>
          <w:rFonts w:ascii="Times New Roman" w:hAnsi="Times New Roman" w:cs="Times New Roman"/>
        </w:rPr>
      </w:pPr>
    </w:p>
    <w:p w14:paraId="20B2300C" w14:textId="77777777" w:rsidR="00F566E7" w:rsidRPr="007D2CA9" w:rsidRDefault="00F566E7" w:rsidP="00703A0A">
      <w:pPr>
        <w:pStyle w:val="ListParagraph"/>
        <w:numPr>
          <w:ilvl w:val="0"/>
          <w:numId w:val="6"/>
        </w:numPr>
        <w:spacing w:after="0" w:line="480" w:lineRule="auto"/>
        <w:ind w:left="360"/>
        <w:jc w:val="both"/>
        <w:rPr>
          <w:rFonts w:ascii="Times New Roman" w:hAnsi="Times New Roman" w:cs="Times New Roman"/>
          <w:b/>
        </w:rPr>
      </w:pPr>
      <w:r w:rsidRPr="007D2CA9">
        <w:rPr>
          <w:rFonts w:ascii="Times New Roman" w:hAnsi="Times New Roman" w:cs="Times New Roman"/>
          <w:b/>
        </w:rPr>
        <w:t>Conclusion</w:t>
      </w:r>
    </w:p>
    <w:p w14:paraId="6EE9EDCF" w14:textId="77777777" w:rsidR="003265AA" w:rsidRPr="000932A9" w:rsidRDefault="00914EE3" w:rsidP="003265AA">
      <w:pPr>
        <w:spacing w:after="0" w:line="480" w:lineRule="auto"/>
        <w:jc w:val="both"/>
        <w:rPr>
          <w:rFonts w:ascii="Times New Roman" w:hAnsi="Times New Roman" w:cs="Times New Roman"/>
        </w:rPr>
      </w:pPr>
      <w:r w:rsidRPr="007D2CA9">
        <w:rPr>
          <w:rFonts w:ascii="Times New Roman" w:hAnsi="Times New Roman" w:cs="Times New Roman"/>
        </w:rPr>
        <w:t xml:space="preserve">Much attention has been paid </w:t>
      </w:r>
      <w:r w:rsidR="00876259" w:rsidRPr="007D2CA9">
        <w:rPr>
          <w:rFonts w:ascii="Times New Roman" w:hAnsi="Times New Roman" w:cs="Times New Roman"/>
        </w:rPr>
        <w:t>to explain</w:t>
      </w:r>
      <w:r w:rsidRPr="007D2CA9">
        <w:rPr>
          <w:rFonts w:ascii="Times New Roman" w:hAnsi="Times New Roman" w:cs="Times New Roman"/>
        </w:rPr>
        <w:t xml:space="preserve">ing the </w:t>
      </w:r>
      <w:r w:rsidR="003265AA" w:rsidRPr="007D2CA9">
        <w:rPr>
          <w:rFonts w:ascii="Times New Roman" w:hAnsi="Times New Roman" w:cs="Times New Roman"/>
        </w:rPr>
        <w:t>paradox of the content</w:t>
      </w:r>
      <w:r w:rsidR="00607330" w:rsidRPr="007D2CA9">
        <w:rPr>
          <w:rFonts w:ascii="Times New Roman" w:hAnsi="Times New Roman" w:cs="Times New Roman"/>
        </w:rPr>
        <w:t>ed</w:t>
      </w:r>
      <w:r w:rsidR="003265AA" w:rsidRPr="007D2CA9">
        <w:rPr>
          <w:rFonts w:ascii="Times New Roman" w:hAnsi="Times New Roman" w:cs="Times New Roman"/>
        </w:rPr>
        <w:t xml:space="preserve"> female</w:t>
      </w:r>
      <w:r w:rsidRPr="007D2CA9">
        <w:rPr>
          <w:rFonts w:ascii="Times New Roman" w:hAnsi="Times New Roman" w:cs="Times New Roman"/>
        </w:rPr>
        <w:t xml:space="preserve"> worker initially highlighted by Clark (1997). We take a different approach and</w:t>
      </w:r>
      <w:r w:rsidR="003265AA" w:rsidRPr="007D2CA9">
        <w:rPr>
          <w:rFonts w:ascii="Times New Roman" w:hAnsi="Times New Roman" w:cs="Times New Roman"/>
        </w:rPr>
        <w:t xml:space="preserve"> suggest that the contented female worker </w:t>
      </w:r>
      <w:r w:rsidRPr="007D2CA9">
        <w:rPr>
          <w:rFonts w:ascii="Times New Roman" w:hAnsi="Times New Roman" w:cs="Times New Roman"/>
        </w:rPr>
        <w:t xml:space="preserve">has essentially </w:t>
      </w:r>
      <w:r w:rsidR="003265AA" w:rsidRPr="007D2CA9">
        <w:rPr>
          <w:rFonts w:ascii="Times New Roman" w:hAnsi="Times New Roman" w:cs="Times New Roman"/>
        </w:rPr>
        <w:t>vanished</w:t>
      </w:r>
      <w:r w:rsidR="00023556" w:rsidRPr="007D2CA9">
        <w:rPr>
          <w:rFonts w:ascii="Times New Roman" w:hAnsi="Times New Roman" w:cs="Times New Roman"/>
        </w:rPr>
        <w:t xml:space="preserve"> by 2012.  The raw gender difference in job satisfaction and the unexplained gender dif</w:t>
      </w:r>
      <w:r w:rsidR="00553A5C" w:rsidRPr="007D2CA9">
        <w:rPr>
          <w:rFonts w:ascii="Times New Roman" w:hAnsi="Times New Roman" w:cs="Times New Roman"/>
        </w:rPr>
        <w:t>ference in job satisfaction</w:t>
      </w:r>
      <w:r w:rsidR="00023556" w:rsidRPr="007D2CA9">
        <w:rPr>
          <w:rFonts w:ascii="Times New Roman" w:hAnsi="Times New Roman" w:cs="Times New Roman"/>
        </w:rPr>
        <w:t xml:space="preserve"> shrunk in the 1990s and again in the late 2000s and early 2010s.  By </w:t>
      </w:r>
      <w:r w:rsidR="00553A5C" w:rsidRPr="007D2CA9">
        <w:rPr>
          <w:rFonts w:ascii="Times New Roman" w:hAnsi="Times New Roman" w:cs="Times New Roman"/>
        </w:rPr>
        <w:t>the end of our</w:t>
      </w:r>
      <w:r w:rsidR="00553A5C" w:rsidRPr="000932A9">
        <w:rPr>
          <w:rFonts w:ascii="Times New Roman" w:hAnsi="Times New Roman" w:cs="Times New Roman"/>
        </w:rPr>
        <w:t xml:space="preserve"> time series, both </w:t>
      </w:r>
      <w:r w:rsidR="00023556" w:rsidRPr="000932A9">
        <w:rPr>
          <w:rFonts w:ascii="Times New Roman" w:hAnsi="Times New Roman" w:cs="Times New Roman"/>
        </w:rPr>
        <w:t xml:space="preserve">were essentially zero.  Critically this happens for the 1991 cohort as it ages.  The finding by Clark that older women in 1991 had a particularly high level of job satisfaction </w:t>
      </w:r>
      <w:r w:rsidR="00FC40B0" w:rsidRPr="000932A9">
        <w:rPr>
          <w:rFonts w:ascii="Times New Roman" w:hAnsi="Times New Roman" w:cs="Times New Roman"/>
        </w:rPr>
        <w:t xml:space="preserve">appears to be </w:t>
      </w:r>
      <w:r w:rsidR="00023556" w:rsidRPr="000932A9">
        <w:rPr>
          <w:rFonts w:ascii="Times New Roman" w:hAnsi="Times New Roman" w:cs="Times New Roman"/>
        </w:rPr>
        <w:t>a vintage effect.  As the younger women of 1991 aged, their job satisfaction decreased rather than increased.  Moreover, the younger women of the later part of the survey enter without any elevation in job satisfaction</w:t>
      </w:r>
      <w:r w:rsidR="00FC40B0" w:rsidRPr="000932A9">
        <w:rPr>
          <w:rFonts w:ascii="Times New Roman" w:hAnsi="Times New Roman" w:cs="Times New Roman"/>
        </w:rPr>
        <w:t xml:space="preserve"> relative to men</w:t>
      </w:r>
      <w:r w:rsidR="00023556" w:rsidRPr="000932A9">
        <w:rPr>
          <w:rFonts w:ascii="Times New Roman" w:hAnsi="Times New Roman" w:cs="Times New Roman"/>
        </w:rPr>
        <w:t>.</w:t>
      </w:r>
    </w:p>
    <w:p w14:paraId="1F5519E8" w14:textId="40ECE966" w:rsidR="00FC40B0" w:rsidRPr="000932A9" w:rsidRDefault="00FC40B0" w:rsidP="003265AA">
      <w:pPr>
        <w:spacing w:after="0" w:line="480" w:lineRule="auto"/>
        <w:jc w:val="both"/>
        <w:rPr>
          <w:rFonts w:ascii="Times New Roman" w:hAnsi="Times New Roman" w:cs="Times New Roman"/>
        </w:rPr>
      </w:pPr>
      <w:r w:rsidRPr="000932A9">
        <w:rPr>
          <w:rFonts w:ascii="Times New Roman" w:hAnsi="Times New Roman" w:cs="Times New Roman"/>
        </w:rPr>
        <w:lastRenderedPageBreak/>
        <w:tab/>
        <w:t>Limiting the focus to women we find a decl</w:t>
      </w:r>
      <w:r w:rsidR="000F1AE2" w:rsidRPr="000932A9">
        <w:rPr>
          <w:rFonts w:ascii="Times New Roman" w:hAnsi="Times New Roman" w:cs="Times New Roman"/>
        </w:rPr>
        <w:t xml:space="preserve">ine in job satisfaction generated entirely by differences in coefficients.  </w:t>
      </w:r>
      <w:r w:rsidR="000F1AE2" w:rsidRPr="007D2CA9">
        <w:rPr>
          <w:rFonts w:ascii="Times New Roman" w:hAnsi="Times New Roman" w:cs="Times New Roman"/>
        </w:rPr>
        <w:t>Women evaluate jobs differently in 2012 than in 1</w:t>
      </w:r>
      <w:r w:rsidR="008F719F" w:rsidRPr="007D2CA9">
        <w:rPr>
          <w:rFonts w:ascii="Times New Roman" w:hAnsi="Times New Roman" w:cs="Times New Roman"/>
        </w:rPr>
        <w:t>991.  If anything, there is modest</w:t>
      </w:r>
      <w:r w:rsidR="000F1AE2" w:rsidRPr="007D2CA9">
        <w:rPr>
          <w:rFonts w:ascii="Times New Roman" w:hAnsi="Times New Roman" w:cs="Times New Roman"/>
        </w:rPr>
        <w:t xml:space="preserve"> evidence from both the over</w:t>
      </w:r>
      <w:r w:rsidR="008F719F" w:rsidRPr="007D2CA9">
        <w:rPr>
          <w:rFonts w:ascii="Times New Roman" w:hAnsi="Times New Roman" w:cs="Times New Roman"/>
        </w:rPr>
        <w:t>-</w:t>
      </w:r>
      <w:r w:rsidR="000F1AE2" w:rsidRPr="007D2CA9">
        <w:rPr>
          <w:rFonts w:ascii="Times New Roman" w:hAnsi="Times New Roman" w:cs="Times New Roman"/>
        </w:rPr>
        <w:t>time comparison</w:t>
      </w:r>
      <w:r w:rsidR="008C36C5" w:rsidRPr="007D2CA9">
        <w:rPr>
          <w:rFonts w:ascii="Times New Roman" w:hAnsi="Times New Roman" w:cs="Times New Roman"/>
        </w:rPr>
        <w:t xml:space="preserve"> </w:t>
      </w:r>
      <w:r w:rsidR="008F719F" w:rsidRPr="007D2CA9">
        <w:rPr>
          <w:rFonts w:ascii="Times New Roman" w:hAnsi="Times New Roman" w:cs="Times New Roman"/>
        </w:rPr>
        <w:t>and male-female comparison</w:t>
      </w:r>
      <w:r w:rsidR="008F73A4" w:rsidRPr="007D2CA9">
        <w:rPr>
          <w:rFonts w:ascii="Times New Roman" w:hAnsi="Times New Roman" w:cs="Times New Roman"/>
        </w:rPr>
        <w:t xml:space="preserve"> </w:t>
      </w:r>
      <w:r w:rsidR="000F1AE2" w:rsidRPr="007D2CA9">
        <w:rPr>
          <w:rFonts w:ascii="Times New Roman" w:hAnsi="Times New Roman" w:cs="Times New Roman"/>
        </w:rPr>
        <w:t>that the characteristics of women's jobs have improved modestly even as</w:t>
      </w:r>
      <w:r w:rsidR="00081898" w:rsidRPr="007D2CA9">
        <w:rPr>
          <w:rFonts w:ascii="Times New Roman" w:hAnsi="Times New Roman" w:cs="Times New Roman"/>
        </w:rPr>
        <w:t xml:space="preserve"> they evaluate them more unfavourably</w:t>
      </w:r>
      <w:r w:rsidR="000F1AE2" w:rsidRPr="007D2CA9">
        <w:rPr>
          <w:rFonts w:ascii="Times New Roman" w:hAnsi="Times New Roman" w:cs="Times New Roman"/>
        </w:rPr>
        <w:t>.</w:t>
      </w:r>
      <w:r w:rsidR="00081898" w:rsidRPr="007D2CA9">
        <w:rPr>
          <w:rFonts w:ascii="Times New Roman" w:hAnsi="Times New Roman" w:cs="Times New Roman"/>
        </w:rPr>
        <w:t xml:space="preserve">  We find this less favourable net</w:t>
      </w:r>
      <w:r w:rsidR="008F719F" w:rsidRPr="007D2CA9">
        <w:rPr>
          <w:rFonts w:ascii="Times New Roman" w:hAnsi="Times New Roman" w:cs="Times New Roman"/>
        </w:rPr>
        <w:t xml:space="preserve"> evaluation consistent with the original claim by Clark that women of the early 1990s had lower expectations from their work life than did men and that this explained the initial paradox.  Clark suggested that greater experience would cause women to have more realistic expectations that were more similar to those of men.  When this happened, job satisfaction would be the same and, indeed, that parity seem</w:t>
      </w:r>
      <w:r w:rsidR="00EE2192" w:rsidRPr="007D2CA9">
        <w:rPr>
          <w:rFonts w:ascii="Times New Roman" w:hAnsi="Times New Roman" w:cs="Times New Roman"/>
        </w:rPr>
        <w:t>s be occurring</w:t>
      </w:r>
      <w:r w:rsidR="008F719F" w:rsidRPr="007D2CA9">
        <w:rPr>
          <w:rFonts w:ascii="Times New Roman" w:hAnsi="Times New Roman" w:cs="Times New Roman"/>
        </w:rPr>
        <w:t>.</w:t>
      </w:r>
      <w:r w:rsidR="00081898" w:rsidRPr="007D2CA9">
        <w:rPr>
          <w:rFonts w:ascii="Times New Roman" w:hAnsi="Times New Roman" w:cs="Times New Roman"/>
        </w:rPr>
        <w:t xml:space="preserve"> We are careful not to claim too much as there remain differences due to coefficients for some characteristics.  While they offset each other in net, they remain.</w:t>
      </w:r>
      <w:r w:rsidR="00970C32" w:rsidRPr="007D2CA9">
        <w:rPr>
          <w:rFonts w:ascii="Times New Roman" w:hAnsi="Times New Roman" w:cs="Times New Roman"/>
        </w:rPr>
        <w:t xml:space="preserve">  Thus, we do not suggest that men and women evaluate every set of job characteristics iden</w:t>
      </w:r>
      <w:r w:rsidR="00887B33" w:rsidRPr="007D2CA9">
        <w:rPr>
          <w:rFonts w:ascii="Times New Roman" w:hAnsi="Times New Roman" w:cs="Times New Roman"/>
        </w:rPr>
        <w:t>tically but, rather, that the net evaluation of average characteristics has converged.</w:t>
      </w:r>
    </w:p>
    <w:p w14:paraId="1ECFAEED" w14:textId="77777777" w:rsidR="00423BE2" w:rsidRPr="000932A9" w:rsidRDefault="00423BE2">
      <w:pPr>
        <w:rPr>
          <w:rFonts w:ascii="Times New Roman" w:hAnsi="Times New Roman" w:cs="Times New Roman"/>
          <w:b/>
        </w:rPr>
      </w:pPr>
      <w:r w:rsidRPr="000932A9">
        <w:rPr>
          <w:rFonts w:ascii="Times New Roman" w:hAnsi="Times New Roman" w:cs="Times New Roman"/>
          <w:b/>
        </w:rPr>
        <w:br w:type="page"/>
      </w:r>
    </w:p>
    <w:p w14:paraId="2076852E" w14:textId="77777777" w:rsidR="004970A2" w:rsidRPr="000932A9" w:rsidRDefault="008C36C5" w:rsidP="008C36C5">
      <w:pPr>
        <w:spacing w:line="480" w:lineRule="auto"/>
        <w:jc w:val="both"/>
        <w:rPr>
          <w:rFonts w:ascii="Times New Roman" w:hAnsi="Times New Roman" w:cs="Times New Roman"/>
          <w:b/>
        </w:rPr>
      </w:pPr>
      <w:r w:rsidRPr="000932A9">
        <w:rPr>
          <w:rFonts w:ascii="Times New Roman" w:hAnsi="Times New Roman" w:cs="Times New Roman"/>
          <w:b/>
        </w:rPr>
        <w:lastRenderedPageBreak/>
        <w:t>Refe</w:t>
      </w:r>
      <w:r w:rsidR="004970A2" w:rsidRPr="000932A9">
        <w:rPr>
          <w:rFonts w:ascii="Times New Roman" w:hAnsi="Times New Roman" w:cs="Times New Roman"/>
          <w:b/>
        </w:rPr>
        <w:t>rences</w:t>
      </w:r>
    </w:p>
    <w:p w14:paraId="7E778488" w14:textId="44C416C1" w:rsidR="005C0CCB" w:rsidRDefault="005C0CCB" w:rsidP="00BF6B82">
      <w:pPr>
        <w:spacing w:after="0" w:line="480" w:lineRule="auto"/>
        <w:ind w:left="432" w:hanging="432"/>
        <w:rPr>
          <w:rFonts w:ascii="Times New Roman" w:hAnsi="Times New Roman" w:cs="Times New Roman"/>
        </w:rPr>
      </w:pPr>
      <w:r w:rsidRPr="005C0CCB">
        <w:rPr>
          <w:rFonts w:ascii="Times New Roman" w:hAnsi="Times New Roman" w:cs="Times New Roman"/>
        </w:rPr>
        <w:t xml:space="preserve">Ai, C. and Norton, E. (2003). </w:t>
      </w:r>
      <w:r w:rsidR="0000571C">
        <w:rPr>
          <w:rFonts w:ascii="Times New Roman" w:hAnsi="Times New Roman" w:cs="Times New Roman"/>
        </w:rPr>
        <w:t>‘</w:t>
      </w:r>
      <w:r w:rsidRPr="005C0CCB">
        <w:rPr>
          <w:rFonts w:ascii="Times New Roman" w:hAnsi="Times New Roman" w:cs="Times New Roman"/>
        </w:rPr>
        <w:t>Interaction Terms in Logit and Probit Models</w:t>
      </w:r>
      <w:r w:rsidR="0000571C">
        <w:rPr>
          <w:rFonts w:ascii="Times New Roman" w:hAnsi="Times New Roman" w:cs="Times New Roman"/>
        </w:rPr>
        <w:t>’</w:t>
      </w:r>
      <w:r w:rsidRPr="005C0CCB">
        <w:rPr>
          <w:rFonts w:ascii="Times New Roman" w:hAnsi="Times New Roman" w:cs="Times New Roman"/>
        </w:rPr>
        <w:t xml:space="preserve">. </w:t>
      </w:r>
      <w:r w:rsidRPr="007D2CA9">
        <w:rPr>
          <w:rFonts w:ascii="Times New Roman" w:hAnsi="Times New Roman" w:cs="Times New Roman"/>
          <w:i/>
        </w:rPr>
        <w:t>Economics Letters</w:t>
      </w:r>
      <w:r w:rsidRPr="005C0CCB">
        <w:rPr>
          <w:rFonts w:ascii="Times New Roman" w:hAnsi="Times New Roman" w:cs="Times New Roman"/>
        </w:rPr>
        <w:t>, 80</w:t>
      </w:r>
      <w:r w:rsidR="0000571C">
        <w:rPr>
          <w:rFonts w:ascii="Times New Roman" w:hAnsi="Times New Roman" w:cs="Times New Roman"/>
        </w:rPr>
        <w:t>:</w:t>
      </w:r>
      <w:r w:rsidRPr="005C0CCB">
        <w:rPr>
          <w:rFonts w:ascii="Times New Roman" w:hAnsi="Times New Roman" w:cs="Times New Roman"/>
        </w:rPr>
        <w:t xml:space="preserve"> 123-129.</w:t>
      </w:r>
    </w:p>
    <w:p w14:paraId="7DDFE955" w14:textId="72B8BFD6" w:rsidR="00BF6B82" w:rsidRPr="000932A9" w:rsidRDefault="004970A2" w:rsidP="00BF6B82">
      <w:pPr>
        <w:spacing w:after="0" w:line="480" w:lineRule="auto"/>
        <w:ind w:left="432" w:hanging="432"/>
        <w:rPr>
          <w:rFonts w:ascii="Times New Roman" w:hAnsi="Times New Roman" w:cs="Times New Roman"/>
        </w:rPr>
      </w:pPr>
      <w:r w:rsidRPr="000932A9">
        <w:rPr>
          <w:rFonts w:ascii="Times New Roman" w:hAnsi="Times New Roman" w:cs="Times New Roman"/>
        </w:rPr>
        <w:t>Bender, K</w:t>
      </w:r>
      <w:r w:rsidR="00B542FE">
        <w:rPr>
          <w:rFonts w:ascii="Times New Roman" w:hAnsi="Times New Roman" w:cs="Times New Roman"/>
        </w:rPr>
        <w:t xml:space="preserve">. </w:t>
      </w:r>
      <w:r w:rsidRPr="000932A9">
        <w:rPr>
          <w:rFonts w:ascii="Times New Roman" w:hAnsi="Times New Roman" w:cs="Times New Roman"/>
        </w:rPr>
        <w:t>A.</w:t>
      </w:r>
      <w:r w:rsidR="00B542FE">
        <w:rPr>
          <w:rFonts w:ascii="Times New Roman" w:hAnsi="Times New Roman" w:cs="Times New Roman"/>
        </w:rPr>
        <w:t xml:space="preserve">, </w:t>
      </w:r>
      <w:r w:rsidRPr="000932A9">
        <w:rPr>
          <w:rFonts w:ascii="Times New Roman" w:hAnsi="Times New Roman" w:cs="Times New Roman"/>
        </w:rPr>
        <w:t>Donohue</w:t>
      </w:r>
      <w:r w:rsidR="00B542FE">
        <w:rPr>
          <w:rFonts w:ascii="Times New Roman" w:hAnsi="Times New Roman" w:cs="Times New Roman"/>
        </w:rPr>
        <w:t>, S.M.</w:t>
      </w:r>
      <w:r w:rsidRPr="000932A9">
        <w:rPr>
          <w:rFonts w:ascii="Times New Roman" w:hAnsi="Times New Roman" w:cs="Times New Roman"/>
        </w:rPr>
        <w:t xml:space="preserve"> and Heywood</w:t>
      </w:r>
      <w:r w:rsidR="00B542FE">
        <w:rPr>
          <w:rFonts w:ascii="Times New Roman" w:hAnsi="Times New Roman" w:cs="Times New Roman"/>
        </w:rPr>
        <w:t>, J.S.</w:t>
      </w:r>
      <w:r w:rsidRPr="000932A9">
        <w:rPr>
          <w:rFonts w:ascii="Times New Roman" w:hAnsi="Times New Roman" w:cs="Times New Roman"/>
        </w:rPr>
        <w:t xml:space="preserve"> </w:t>
      </w:r>
      <w:r w:rsidR="0000571C">
        <w:rPr>
          <w:rFonts w:ascii="Times New Roman" w:hAnsi="Times New Roman" w:cs="Times New Roman"/>
        </w:rPr>
        <w:t>(</w:t>
      </w:r>
      <w:r w:rsidRPr="000932A9">
        <w:rPr>
          <w:rFonts w:ascii="Times New Roman" w:hAnsi="Times New Roman" w:cs="Times New Roman"/>
        </w:rPr>
        <w:t>2005</w:t>
      </w:r>
      <w:r w:rsidR="0000571C">
        <w:rPr>
          <w:rFonts w:ascii="Times New Roman" w:hAnsi="Times New Roman" w:cs="Times New Roman"/>
        </w:rPr>
        <w:t>)</w:t>
      </w:r>
      <w:r w:rsidRPr="000932A9">
        <w:rPr>
          <w:rFonts w:ascii="Times New Roman" w:hAnsi="Times New Roman" w:cs="Times New Roman"/>
        </w:rPr>
        <w:t xml:space="preserve">. </w:t>
      </w:r>
      <w:r w:rsidR="0000571C">
        <w:rPr>
          <w:rFonts w:ascii="Times New Roman" w:hAnsi="Times New Roman" w:cs="Times New Roman"/>
        </w:rPr>
        <w:t>‘</w:t>
      </w:r>
      <w:r w:rsidRPr="000932A9">
        <w:rPr>
          <w:rFonts w:ascii="Times New Roman" w:hAnsi="Times New Roman" w:cs="Times New Roman"/>
        </w:rPr>
        <w:t>Job Satisfaction and Gender Segregation</w:t>
      </w:r>
      <w:r w:rsidR="0000571C">
        <w:rPr>
          <w:rFonts w:ascii="Times New Roman" w:hAnsi="Times New Roman" w:cs="Times New Roman"/>
        </w:rPr>
        <w:t>’.</w:t>
      </w:r>
      <w:r w:rsidRPr="000932A9">
        <w:rPr>
          <w:rFonts w:ascii="Times New Roman" w:hAnsi="Times New Roman" w:cs="Times New Roman"/>
        </w:rPr>
        <w:t xml:space="preserve"> </w:t>
      </w:r>
      <w:r w:rsidRPr="000932A9">
        <w:rPr>
          <w:rFonts w:ascii="Times New Roman" w:hAnsi="Times New Roman" w:cs="Times New Roman"/>
          <w:i/>
        </w:rPr>
        <w:t>Oxford Economic Papers</w:t>
      </w:r>
      <w:r w:rsidR="0000571C">
        <w:rPr>
          <w:rFonts w:ascii="Times New Roman" w:hAnsi="Times New Roman" w:cs="Times New Roman"/>
        </w:rPr>
        <w:t>,</w:t>
      </w:r>
      <w:r w:rsidRPr="000932A9">
        <w:rPr>
          <w:rFonts w:ascii="Times New Roman" w:hAnsi="Times New Roman" w:cs="Times New Roman"/>
          <w:i/>
        </w:rPr>
        <w:t xml:space="preserve"> </w:t>
      </w:r>
      <w:r w:rsidRPr="000932A9">
        <w:rPr>
          <w:rFonts w:ascii="Times New Roman" w:hAnsi="Times New Roman" w:cs="Times New Roman"/>
        </w:rPr>
        <w:t>57: 479 – 96.</w:t>
      </w:r>
    </w:p>
    <w:p w14:paraId="40B37EE3" w14:textId="77777777" w:rsidR="00EC5241" w:rsidRDefault="00434587" w:rsidP="00BF6B82">
      <w:pPr>
        <w:spacing w:after="0" w:line="480" w:lineRule="auto"/>
        <w:ind w:left="432" w:hanging="432"/>
        <w:rPr>
          <w:rFonts w:ascii="Times New Roman" w:hAnsi="Times New Roman" w:cs="Times New Roman"/>
          <w:color w:val="1A1A1A"/>
          <w:lang w:val="en-US"/>
        </w:rPr>
      </w:pPr>
      <w:r w:rsidRPr="000932A9">
        <w:rPr>
          <w:rFonts w:ascii="Times New Roman" w:hAnsi="Times New Roman" w:cs="Times New Roman"/>
          <w:color w:val="1A1A1A"/>
          <w:lang w:val="en-US"/>
        </w:rPr>
        <w:t>Booth, A., Francesconi</w:t>
      </w:r>
      <w:r w:rsidR="0000571C">
        <w:rPr>
          <w:rFonts w:ascii="Times New Roman" w:hAnsi="Times New Roman" w:cs="Times New Roman"/>
          <w:color w:val="1A1A1A"/>
          <w:lang w:val="en-US"/>
        </w:rPr>
        <w:t>, M. a</w:t>
      </w:r>
      <w:r w:rsidRPr="000932A9">
        <w:rPr>
          <w:rFonts w:ascii="Times New Roman" w:hAnsi="Times New Roman" w:cs="Times New Roman"/>
          <w:color w:val="1A1A1A"/>
          <w:lang w:val="en-US"/>
        </w:rPr>
        <w:t>nd Frank</w:t>
      </w:r>
      <w:r w:rsidR="0000571C">
        <w:rPr>
          <w:rFonts w:ascii="Times New Roman" w:hAnsi="Times New Roman" w:cs="Times New Roman"/>
          <w:color w:val="1A1A1A"/>
          <w:lang w:val="en-US"/>
        </w:rPr>
        <w:t>, J</w:t>
      </w:r>
      <w:r w:rsidRPr="000932A9">
        <w:rPr>
          <w:rFonts w:ascii="Times New Roman" w:hAnsi="Times New Roman" w:cs="Times New Roman"/>
          <w:color w:val="1A1A1A"/>
          <w:lang w:val="en-US"/>
        </w:rPr>
        <w:t>.</w:t>
      </w:r>
      <w:r w:rsidR="0000571C">
        <w:rPr>
          <w:rFonts w:ascii="Times New Roman" w:hAnsi="Times New Roman" w:cs="Times New Roman"/>
          <w:color w:val="1A1A1A"/>
          <w:lang w:val="en-US"/>
        </w:rPr>
        <w:t xml:space="preserve"> (2002).</w:t>
      </w:r>
      <w:r w:rsidRPr="000932A9">
        <w:rPr>
          <w:rFonts w:ascii="Times New Roman" w:hAnsi="Times New Roman" w:cs="Times New Roman"/>
          <w:color w:val="1A1A1A"/>
          <w:lang w:val="en-US"/>
        </w:rPr>
        <w:t xml:space="preserve"> </w:t>
      </w:r>
      <w:r w:rsidR="0000571C">
        <w:rPr>
          <w:rFonts w:ascii="Times New Roman" w:hAnsi="Times New Roman" w:cs="Times New Roman"/>
          <w:color w:val="1A1A1A"/>
          <w:lang w:val="en-US"/>
        </w:rPr>
        <w:t>‘</w:t>
      </w:r>
      <w:r w:rsidRPr="000932A9">
        <w:rPr>
          <w:rFonts w:ascii="Times New Roman" w:hAnsi="Times New Roman" w:cs="Times New Roman"/>
          <w:color w:val="1A1A1A"/>
          <w:lang w:val="en-US"/>
        </w:rPr>
        <w:t>Temporary jobs</w:t>
      </w:r>
      <w:r w:rsidR="00AE3827">
        <w:rPr>
          <w:rFonts w:ascii="Times New Roman" w:hAnsi="Times New Roman" w:cs="Times New Roman"/>
          <w:color w:val="1A1A1A"/>
          <w:lang w:val="en-US"/>
        </w:rPr>
        <w:t>: stepping stones or dead ends?</w:t>
      </w:r>
      <w:r w:rsidR="0000571C">
        <w:rPr>
          <w:rFonts w:ascii="Times New Roman" w:hAnsi="Times New Roman" w:cs="Times New Roman"/>
          <w:color w:val="1A1A1A"/>
          <w:lang w:val="en-US"/>
        </w:rPr>
        <w:t>’</w:t>
      </w:r>
    </w:p>
    <w:p w14:paraId="120767DB" w14:textId="6341390A" w:rsidR="00434587" w:rsidRPr="000932A9" w:rsidRDefault="00434587" w:rsidP="00EC5241">
      <w:pPr>
        <w:spacing w:after="0" w:line="480" w:lineRule="auto"/>
        <w:ind w:left="432"/>
        <w:rPr>
          <w:rFonts w:ascii="Times New Roman" w:hAnsi="Times New Roman" w:cs="Times New Roman"/>
        </w:rPr>
      </w:pPr>
      <w:r w:rsidRPr="000932A9">
        <w:rPr>
          <w:rFonts w:ascii="Times New Roman" w:hAnsi="Times New Roman" w:cs="Times New Roman"/>
          <w:i/>
          <w:iCs/>
          <w:color w:val="1A1A1A"/>
          <w:lang w:val="en-US"/>
        </w:rPr>
        <w:t xml:space="preserve">The </w:t>
      </w:r>
      <w:r w:rsidR="00D25A9D" w:rsidRPr="000932A9">
        <w:rPr>
          <w:rFonts w:ascii="Times New Roman" w:hAnsi="Times New Roman" w:cs="Times New Roman"/>
          <w:i/>
          <w:iCs/>
          <w:color w:val="1A1A1A"/>
          <w:lang w:val="en-US"/>
        </w:rPr>
        <w:t>E</w:t>
      </w:r>
      <w:r w:rsidRPr="000932A9">
        <w:rPr>
          <w:rFonts w:ascii="Times New Roman" w:hAnsi="Times New Roman" w:cs="Times New Roman"/>
          <w:i/>
          <w:iCs/>
          <w:color w:val="1A1A1A"/>
          <w:lang w:val="en-US"/>
        </w:rPr>
        <w:t xml:space="preserve">conomic </w:t>
      </w:r>
      <w:r w:rsidR="00D25A9D" w:rsidRPr="000932A9">
        <w:rPr>
          <w:rFonts w:ascii="Times New Roman" w:hAnsi="Times New Roman" w:cs="Times New Roman"/>
          <w:i/>
          <w:iCs/>
          <w:color w:val="1A1A1A"/>
          <w:lang w:val="en-US"/>
        </w:rPr>
        <w:t>J</w:t>
      </w:r>
      <w:r w:rsidRPr="000932A9">
        <w:rPr>
          <w:rFonts w:ascii="Times New Roman" w:hAnsi="Times New Roman" w:cs="Times New Roman"/>
          <w:i/>
          <w:iCs/>
          <w:color w:val="1A1A1A"/>
          <w:lang w:val="en-US"/>
        </w:rPr>
        <w:t>ournal</w:t>
      </w:r>
      <w:r w:rsidR="0000571C">
        <w:rPr>
          <w:rFonts w:ascii="Times New Roman" w:hAnsi="Times New Roman" w:cs="Times New Roman"/>
          <w:iCs/>
          <w:color w:val="1A1A1A"/>
          <w:lang w:val="en-US"/>
        </w:rPr>
        <w:t>,</w:t>
      </w:r>
      <w:r w:rsidRPr="000932A9">
        <w:rPr>
          <w:rFonts w:ascii="Times New Roman" w:hAnsi="Times New Roman" w:cs="Times New Roman"/>
          <w:color w:val="1A1A1A"/>
          <w:lang w:val="en-US"/>
        </w:rPr>
        <w:t xml:space="preserve"> 112: F189-F213.</w:t>
      </w:r>
    </w:p>
    <w:p w14:paraId="4127E758" w14:textId="3D0450D1" w:rsidR="00C42FA2" w:rsidRPr="000932A9" w:rsidRDefault="00C42FA2" w:rsidP="0000571C">
      <w:pPr>
        <w:spacing w:after="0" w:line="480" w:lineRule="auto"/>
        <w:ind w:left="432" w:hanging="432"/>
        <w:rPr>
          <w:rFonts w:ascii="Times New Roman" w:hAnsi="Times New Roman" w:cs="Times New Roman"/>
          <w:lang w:val="en-US"/>
        </w:rPr>
      </w:pPr>
      <w:r w:rsidRPr="000932A9">
        <w:rPr>
          <w:rFonts w:ascii="Times New Roman" w:hAnsi="Times New Roman" w:cs="Times New Roman"/>
        </w:rPr>
        <w:t>Bryson, A</w:t>
      </w:r>
      <w:r w:rsidR="0000571C">
        <w:rPr>
          <w:rFonts w:ascii="Times New Roman" w:hAnsi="Times New Roman" w:cs="Times New Roman"/>
        </w:rPr>
        <w:t xml:space="preserve">., </w:t>
      </w:r>
      <w:r w:rsidR="00DA3697" w:rsidRPr="000932A9">
        <w:rPr>
          <w:rFonts w:ascii="Times New Roman" w:hAnsi="Times New Roman" w:cs="Times New Roman"/>
          <w:lang w:val="en-US"/>
        </w:rPr>
        <w:t xml:space="preserve">Cappellari. </w:t>
      </w:r>
      <w:r w:rsidR="0000571C">
        <w:rPr>
          <w:rFonts w:ascii="Times New Roman" w:hAnsi="Times New Roman" w:cs="Times New Roman"/>
          <w:lang w:val="en-US"/>
        </w:rPr>
        <w:t xml:space="preserve">L. </w:t>
      </w:r>
      <w:r w:rsidR="00DA3697" w:rsidRPr="000932A9">
        <w:rPr>
          <w:rFonts w:ascii="Times New Roman" w:hAnsi="Times New Roman" w:cs="Times New Roman"/>
          <w:lang w:val="en-US"/>
        </w:rPr>
        <w:t>and Lucifora</w:t>
      </w:r>
      <w:r w:rsidR="0000571C">
        <w:rPr>
          <w:rFonts w:ascii="Times New Roman" w:hAnsi="Times New Roman" w:cs="Times New Roman"/>
          <w:lang w:val="en-US"/>
        </w:rPr>
        <w:t>, C. (2</w:t>
      </w:r>
      <w:r w:rsidRPr="000932A9">
        <w:rPr>
          <w:rFonts w:ascii="Times New Roman" w:hAnsi="Times New Roman" w:cs="Times New Roman"/>
          <w:lang w:val="en-US"/>
        </w:rPr>
        <w:t>010</w:t>
      </w:r>
      <w:r w:rsidR="0000571C">
        <w:rPr>
          <w:rFonts w:ascii="Times New Roman" w:hAnsi="Times New Roman" w:cs="Times New Roman"/>
          <w:lang w:val="en-US"/>
        </w:rPr>
        <w:t>)</w:t>
      </w:r>
      <w:r w:rsidRPr="000932A9">
        <w:rPr>
          <w:rFonts w:ascii="Times New Roman" w:hAnsi="Times New Roman" w:cs="Times New Roman"/>
          <w:lang w:val="en-US"/>
        </w:rPr>
        <w:t xml:space="preserve">. </w:t>
      </w:r>
      <w:r w:rsidR="0000571C">
        <w:rPr>
          <w:rFonts w:ascii="Times New Roman" w:hAnsi="Times New Roman" w:cs="Times New Roman"/>
          <w:lang w:val="en-US"/>
        </w:rPr>
        <w:t>‘</w:t>
      </w:r>
      <w:r w:rsidRPr="000932A9">
        <w:rPr>
          <w:rFonts w:ascii="Times New Roman" w:hAnsi="Times New Roman" w:cs="Times New Roman"/>
          <w:lang w:val="en-US"/>
        </w:rPr>
        <w:t>Why So Unhappy? The Effects of Unionisation on J</w:t>
      </w:r>
      <w:r w:rsidR="00DA3697" w:rsidRPr="000932A9">
        <w:rPr>
          <w:rFonts w:ascii="Times New Roman" w:hAnsi="Times New Roman" w:cs="Times New Roman"/>
          <w:lang w:val="en-US"/>
        </w:rPr>
        <w:t xml:space="preserve">ob </w:t>
      </w:r>
      <w:r w:rsidRPr="000932A9">
        <w:rPr>
          <w:rFonts w:ascii="Times New Roman" w:hAnsi="Times New Roman" w:cs="Times New Roman"/>
          <w:lang w:val="en-US"/>
        </w:rPr>
        <w:t>Satisfaction</w:t>
      </w:r>
      <w:r w:rsidR="0000571C">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iCs/>
          <w:lang w:val="en-US"/>
        </w:rPr>
        <w:t>Oxford Bulletin of Economics and Statistics</w:t>
      </w:r>
      <w:r w:rsidR="0000571C">
        <w:rPr>
          <w:rFonts w:ascii="Times New Roman" w:hAnsi="Times New Roman" w:cs="Times New Roman"/>
          <w:iCs/>
          <w:lang w:val="en-US"/>
        </w:rPr>
        <w:t>,</w:t>
      </w:r>
      <w:r w:rsidRPr="000932A9">
        <w:rPr>
          <w:rFonts w:ascii="Times New Roman" w:hAnsi="Times New Roman" w:cs="Times New Roman"/>
          <w:lang w:val="en-US"/>
        </w:rPr>
        <w:t xml:space="preserve"> 72: 357</w:t>
      </w:r>
      <w:r w:rsidR="00DA3697" w:rsidRPr="000932A9">
        <w:rPr>
          <w:rFonts w:ascii="Times New Roman" w:hAnsi="Times New Roman" w:cs="Times New Roman"/>
          <w:lang w:val="en-US"/>
        </w:rPr>
        <w:t xml:space="preserve"> </w:t>
      </w:r>
      <w:r w:rsidRPr="000932A9">
        <w:rPr>
          <w:rFonts w:ascii="Times New Roman" w:hAnsi="Times New Roman" w:cs="Times New Roman"/>
          <w:lang w:val="en-US"/>
        </w:rPr>
        <w:t>–</w:t>
      </w:r>
      <w:r w:rsidR="00DA3697" w:rsidRPr="000932A9">
        <w:rPr>
          <w:rFonts w:ascii="Times New Roman" w:hAnsi="Times New Roman" w:cs="Times New Roman"/>
          <w:lang w:val="en-US"/>
        </w:rPr>
        <w:t xml:space="preserve"> </w:t>
      </w:r>
      <w:r w:rsidRPr="000932A9">
        <w:rPr>
          <w:rFonts w:ascii="Times New Roman" w:hAnsi="Times New Roman" w:cs="Times New Roman"/>
          <w:lang w:val="en-US"/>
        </w:rPr>
        <w:t>80.</w:t>
      </w:r>
    </w:p>
    <w:p w14:paraId="32E2E9F2" w14:textId="4262B2DB" w:rsidR="00141F34" w:rsidRPr="000932A9" w:rsidRDefault="00141F34" w:rsidP="00DA3697">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Carleton, C. and Clain</w:t>
      </w:r>
      <w:r w:rsidR="0000571C">
        <w:rPr>
          <w:rFonts w:ascii="Times New Roman" w:hAnsi="Times New Roman" w:cs="Times New Roman"/>
          <w:lang w:val="en-US"/>
        </w:rPr>
        <w:t>, S. (2012)</w:t>
      </w:r>
      <w:r w:rsidRPr="000932A9">
        <w:rPr>
          <w:rFonts w:ascii="Times New Roman" w:hAnsi="Times New Roman" w:cs="Times New Roman"/>
          <w:lang w:val="en-US"/>
        </w:rPr>
        <w:t xml:space="preserve">. </w:t>
      </w:r>
      <w:r w:rsidR="0000571C">
        <w:rPr>
          <w:rFonts w:ascii="Times New Roman" w:hAnsi="Times New Roman" w:cs="Times New Roman"/>
          <w:lang w:val="en-US"/>
        </w:rPr>
        <w:t>‘</w:t>
      </w:r>
      <w:r w:rsidRPr="000932A9">
        <w:rPr>
          <w:rFonts w:ascii="Times New Roman" w:hAnsi="Times New Roman" w:cs="Times New Roman"/>
          <w:lang w:val="en-US"/>
        </w:rPr>
        <w:t>Women, Men and Job Satisfaction</w:t>
      </w:r>
      <w:r w:rsidR="0000571C">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Eastern Economic Journal</w:t>
      </w:r>
      <w:r w:rsidR="0000571C">
        <w:rPr>
          <w:rFonts w:ascii="Times New Roman" w:hAnsi="Times New Roman" w:cs="Times New Roman"/>
          <w:lang w:val="en-US"/>
        </w:rPr>
        <w:t>,</w:t>
      </w:r>
      <w:r w:rsidRPr="000932A9">
        <w:rPr>
          <w:rFonts w:ascii="Times New Roman" w:hAnsi="Times New Roman" w:cs="Times New Roman"/>
          <w:lang w:val="en-US"/>
        </w:rPr>
        <w:t xml:space="preserve"> 38: 331–355.</w:t>
      </w:r>
    </w:p>
    <w:p w14:paraId="4635ADA0" w14:textId="41240AE6" w:rsidR="0046133E" w:rsidRPr="0000571C" w:rsidRDefault="008731A2" w:rsidP="00DA3697">
      <w:pPr>
        <w:spacing w:after="0" w:line="480" w:lineRule="auto"/>
        <w:ind w:left="432" w:hanging="432"/>
        <w:rPr>
          <w:rFonts w:ascii="Times New Roman" w:hAnsi="Times New Roman" w:cs="Times New Roman"/>
          <w:color w:val="1A1A1A"/>
          <w:lang w:val="en-US"/>
        </w:rPr>
      </w:pPr>
      <w:r w:rsidRPr="000932A9">
        <w:rPr>
          <w:rFonts w:ascii="Times New Roman" w:hAnsi="Times New Roman" w:cs="Times New Roman"/>
          <w:color w:val="1A1A1A"/>
          <w:lang w:val="en-US"/>
        </w:rPr>
        <w:t>Clark, A</w:t>
      </w:r>
      <w:r w:rsidR="0000571C">
        <w:rPr>
          <w:rFonts w:ascii="Times New Roman" w:hAnsi="Times New Roman" w:cs="Times New Roman"/>
          <w:color w:val="1A1A1A"/>
          <w:lang w:val="en-US"/>
        </w:rPr>
        <w:t>. (</w:t>
      </w:r>
      <w:r w:rsidRPr="000932A9">
        <w:rPr>
          <w:rFonts w:ascii="Times New Roman" w:hAnsi="Times New Roman" w:cs="Times New Roman"/>
          <w:color w:val="1A1A1A"/>
          <w:lang w:val="en-US"/>
        </w:rPr>
        <w:t>1997</w:t>
      </w:r>
      <w:r w:rsidR="0000571C">
        <w:rPr>
          <w:rFonts w:ascii="Times New Roman" w:hAnsi="Times New Roman" w:cs="Times New Roman"/>
          <w:color w:val="1A1A1A"/>
          <w:lang w:val="en-US"/>
        </w:rPr>
        <w:t>)</w:t>
      </w:r>
      <w:r w:rsidR="0046133E" w:rsidRPr="000932A9">
        <w:rPr>
          <w:rFonts w:ascii="Times New Roman" w:hAnsi="Times New Roman" w:cs="Times New Roman"/>
          <w:color w:val="1A1A1A"/>
          <w:lang w:val="en-US"/>
        </w:rPr>
        <w:t xml:space="preserve">. </w:t>
      </w:r>
      <w:r w:rsidR="0000571C">
        <w:rPr>
          <w:rFonts w:ascii="Times New Roman" w:hAnsi="Times New Roman" w:cs="Times New Roman"/>
          <w:color w:val="1A1A1A"/>
          <w:lang w:val="en-US"/>
        </w:rPr>
        <w:t>‘</w:t>
      </w:r>
      <w:r w:rsidR="0046133E" w:rsidRPr="000932A9">
        <w:rPr>
          <w:rFonts w:ascii="Times New Roman" w:hAnsi="Times New Roman" w:cs="Times New Roman"/>
          <w:color w:val="1A1A1A"/>
          <w:lang w:val="en-US"/>
        </w:rPr>
        <w:t>Job satisfaction and gender: why are women so happy at work?</w:t>
      </w:r>
      <w:r w:rsidR="0000571C">
        <w:rPr>
          <w:rFonts w:ascii="Times New Roman" w:hAnsi="Times New Roman" w:cs="Times New Roman"/>
          <w:color w:val="1A1A1A"/>
          <w:lang w:val="en-US"/>
        </w:rPr>
        <w:t>’</w:t>
      </w:r>
      <w:r w:rsidR="0046133E" w:rsidRPr="000932A9">
        <w:rPr>
          <w:rFonts w:ascii="Times New Roman" w:hAnsi="Times New Roman" w:cs="Times New Roman"/>
          <w:color w:val="1A1A1A"/>
          <w:lang w:val="en-US"/>
        </w:rPr>
        <w:t xml:space="preserve">. </w:t>
      </w:r>
      <w:r w:rsidR="0046133E" w:rsidRPr="000932A9">
        <w:rPr>
          <w:rFonts w:ascii="Times New Roman" w:hAnsi="Times New Roman" w:cs="Times New Roman"/>
          <w:i/>
          <w:iCs/>
          <w:color w:val="1A1A1A"/>
          <w:lang w:val="en-US"/>
        </w:rPr>
        <w:t xml:space="preserve">Labour </w:t>
      </w:r>
      <w:r w:rsidR="002B623D" w:rsidRPr="000932A9">
        <w:rPr>
          <w:rFonts w:ascii="Times New Roman" w:hAnsi="Times New Roman" w:cs="Times New Roman"/>
          <w:i/>
          <w:iCs/>
          <w:color w:val="1A1A1A"/>
          <w:lang w:val="en-US"/>
        </w:rPr>
        <w:t>E</w:t>
      </w:r>
      <w:r w:rsidR="0046133E" w:rsidRPr="000932A9">
        <w:rPr>
          <w:rFonts w:ascii="Times New Roman" w:hAnsi="Times New Roman" w:cs="Times New Roman"/>
          <w:i/>
          <w:iCs/>
          <w:color w:val="1A1A1A"/>
          <w:lang w:val="en-US"/>
        </w:rPr>
        <w:t>conomics</w:t>
      </w:r>
      <w:r w:rsidR="0046133E" w:rsidRPr="000932A9">
        <w:rPr>
          <w:rFonts w:ascii="Times New Roman" w:hAnsi="Times New Roman" w:cs="Times New Roman"/>
          <w:color w:val="1A1A1A"/>
          <w:lang w:val="en-US"/>
        </w:rPr>
        <w:t xml:space="preserve">, </w:t>
      </w:r>
      <w:r w:rsidR="0046133E" w:rsidRPr="0000571C">
        <w:rPr>
          <w:rFonts w:ascii="Times New Roman" w:hAnsi="Times New Roman" w:cs="Times New Roman"/>
          <w:iCs/>
          <w:color w:val="1A1A1A"/>
          <w:lang w:val="en-US"/>
        </w:rPr>
        <w:t>4</w:t>
      </w:r>
      <w:r w:rsidR="00326D37" w:rsidRPr="0000571C">
        <w:rPr>
          <w:rFonts w:ascii="Times New Roman" w:hAnsi="Times New Roman" w:cs="Times New Roman"/>
          <w:color w:val="1A1A1A"/>
          <w:lang w:val="en-US"/>
        </w:rPr>
        <w:t>:</w:t>
      </w:r>
      <w:r w:rsidR="0000571C">
        <w:rPr>
          <w:rFonts w:ascii="Times New Roman" w:hAnsi="Times New Roman" w:cs="Times New Roman"/>
          <w:color w:val="1A1A1A"/>
          <w:lang w:val="en-US"/>
        </w:rPr>
        <w:t xml:space="preserve"> </w:t>
      </w:r>
      <w:r w:rsidR="0046133E" w:rsidRPr="0000571C">
        <w:rPr>
          <w:rFonts w:ascii="Times New Roman" w:hAnsi="Times New Roman" w:cs="Times New Roman"/>
          <w:color w:val="1A1A1A"/>
          <w:lang w:val="en-US"/>
        </w:rPr>
        <w:t>341-372.</w:t>
      </w:r>
    </w:p>
    <w:p w14:paraId="14529C42" w14:textId="26B67CFF" w:rsidR="005A6A74" w:rsidRPr="000932A9" w:rsidRDefault="005A6A74" w:rsidP="00DA3697">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Clark, A</w:t>
      </w:r>
      <w:r w:rsidR="0000571C">
        <w:rPr>
          <w:rFonts w:ascii="Times New Roman" w:hAnsi="Times New Roman" w:cs="Times New Roman"/>
          <w:lang w:val="en-US"/>
        </w:rPr>
        <w:t>. (2001)</w:t>
      </w:r>
      <w:r w:rsidRPr="000932A9">
        <w:rPr>
          <w:rFonts w:ascii="Times New Roman" w:hAnsi="Times New Roman" w:cs="Times New Roman"/>
          <w:lang w:val="en-US"/>
        </w:rPr>
        <w:t xml:space="preserve">. </w:t>
      </w:r>
      <w:r w:rsidR="0000571C">
        <w:rPr>
          <w:rFonts w:ascii="Times New Roman" w:hAnsi="Times New Roman" w:cs="Times New Roman"/>
          <w:lang w:val="en-US"/>
        </w:rPr>
        <w:t>‘</w:t>
      </w:r>
      <w:r w:rsidRPr="000932A9">
        <w:rPr>
          <w:rFonts w:ascii="Times New Roman" w:hAnsi="Times New Roman" w:cs="Times New Roman"/>
          <w:lang w:val="en-US"/>
        </w:rPr>
        <w:t>What Really Matters in a Job? Hedonic Measurement Using Quit Data</w:t>
      </w:r>
      <w:r w:rsidR="0000571C">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Labour Economics</w:t>
      </w:r>
      <w:r w:rsidRPr="000932A9">
        <w:rPr>
          <w:rFonts w:ascii="Times New Roman" w:hAnsi="Times New Roman" w:cs="Times New Roman"/>
          <w:lang w:val="en-US"/>
        </w:rPr>
        <w:t>, 8:</w:t>
      </w:r>
      <w:r w:rsidR="0000571C">
        <w:rPr>
          <w:rFonts w:ascii="Times New Roman" w:hAnsi="Times New Roman" w:cs="Times New Roman"/>
          <w:lang w:val="en-US"/>
        </w:rPr>
        <w:t xml:space="preserve"> </w:t>
      </w:r>
      <w:r w:rsidRPr="000932A9">
        <w:rPr>
          <w:rFonts w:ascii="Times New Roman" w:hAnsi="Times New Roman" w:cs="Times New Roman"/>
          <w:lang w:val="en-US"/>
        </w:rPr>
        <w:t>223-242.</w:t>
      </w:r>
    </w:p>
    <w:p w14:paraId="40414E3E" w14:textId="2556AAA4" w:rsidR="002D1342" w:rsidRPr="000932A9" w:rsidRDefault="0000571C" w:rsidP="002D1342">
      <w:pPr>
        <w:spacing w:after="0" w:line="480" w:lineRule="auto"/>
        <w:ind w:left="426" w:hanging="426"/>
        <w:rPr>
          <w:rFonts w:ascii="Times New Roman" w:eastAsia="Times New Roman" w:hAnsi="Times New Roman" w:cs="Times New Roman"/>
          <w:color w:val="222222"/>
          <w:lang w:eastAsia="en-GB"/>
        </w:rPr>
      </w:pPr>
      <w:r>
        <w:rPr>
          <w:rFonts w:ascii="Times New Roman" w:hAnsi="Times New Roman" w:cs="Times New Roman"/>
          <w:color w:val="222222"/>
        </w:rPr>
        <w:t>Clark, A.</w:t>
      </w:r>
      <w:r w:rsidR="002D1342" w:rsidRPr="000932A9">
        <w:rPr>
          <w:rFonts w:ascii="Times New Roman" w:hAnsi="Times New Roman" w:cs="Times New Roman"/>
          <w:color w:val="222222"/>
        </w:rPr>
        <w:t>, Kamesaka</w:t>
      </w:r>
      <w:r>
        <w:rPr>
          <w:rFonts w:ascii="Times New Roman" w:hAnsi="Times New Roman" w:cs="Times New Roman"/>
          <w:color w:val="222222"/>
        </w:rPr>
        <w:t>., A.</w:t>
      </w:r>
      <w:r w:rsidR="002D1342" w:rsidRPr="000932A9">
        <w:rPr>
          <w:rFonts w:ascii="Times New Roman" w:hAnsi="Times New Roman" w:cs="Times New Roman"/>
          <w:color w:val="222222"/>
        </w:rPr>
        <w:t xml:space="preserve"> and Tamura</w:t>
      </w:r>
      <w:r>
        <w:rPr>
          <w:rFonts w:ascii="Times New Roman" w:hAnsi="Times New Roman" w:cs="Times New Roman"/>
          <w:color w:val="222222"/>
        </w:rPr>
        <w:t xml:space="preserve">, T. </w:t>
      </w:r>
      <w:r w:rsidR="002D1342" w:rsidRPr="000932A9">
        <w:rPr>
          <w:rFonts w:ascii="Times New Roman" w:eastAsia="Times New Roman" w:hAnsi="Times New Roman" w:cs="Times New Roman"/>
          <w:color w:val="222222"/>
          <w:lang w:eastAsia="en-GB"/>
        </w:rPr>
        <w:t xml:space="preserve">(2015). </w:t>
      </w:r>
      <w:r>
        <w:rPr>
          <w:rFonts w:ascii="Times New Roman" w:eastAsia="Times New Roman" w:hAnsi="Times New Roman" w:cs="Times New Roman"/>
          <w:color w:val="222222"/>
          <w:lang w:eastAsia="en-GB"/>
        </w:rPr>
        <w:t>‘</w:t>
      </w:r>
      <w:r w:rsidR="002D1342" w:rsidRPr="000932A9">
        <w:rPr>
          <w:rFonts w:ascii="Times New Roman" w:eastAsia="Times New Roman" w:hAnsi="Times New Roman" w:cs="Times New Roman"/>
          <w:color w:val="222222"/>
          <w:lang w:eastAsia="en-GB"/>
        </w:rPr>
        <w:t>Rising aspirations dampen satisfaction</w:t>
      </w:r>
      <w:r>
        <w:rPr>
          <w:rFonts w:ascii="Times New Roman" w:eastAsia="Times New Roman" w:hAnsi="Times New Roman" w:cs="Times New Roman"/>
          <w:color w:val="222222"/>
          <w:lang w:eastAsia="en-GB"/>
        </w:rPr>
        <w:t>’</w:t>
      </w:r>
      <w:r w:rsidR="002D1342" w:rsidRPr="000932A9">
        <w:rPr>
          <w:rFonts w:ascii="Times New Roman" w:eastAsia="Times New Roman" w:hAnsi="Times New Roman" w:cs="Times New Roman"/>
          <w:color w:val="222222"/>
          <w:lang w:eastAsia="en-GB"/>
        </w:rPr>
        <w:t xml:space="preserve">. </w:t>
      </w:r>
      <w:r w:rsidR="002D1342" w:rsidRPr="000932A9">
        <w:rPr>
          <w:rFonts w:ascii="Times New Roman" w:eastAsia="Times New Roman" w:hAnsi="Times New Roman" w:cs="Times New Roman"/>
          <w:i/>
          <w:iCs/>
          <w:color w:val="222222"/>
          <w:lang w:eastAsia="en-GB"/>
        </w:rPr>
        <w:t>Education Economics</w:t>
      </w:r>
      <w:r w:rsidR="00874D87">
        <w:rPr>
          <w:rFonts w:ascii="Times New Roman" w:eastAsia="Times New Roman" w:hAnsi="Times New Roman" w:cs="Times New Roman"/>
          <w:i/>
          <w:iCs/>
          <w:color w:val="222222"/>
          <w:lang w:eastAsia="en-GB"/>
        </w:rPr>
        <w:t>,</w:t>
      </w:r>
      <w:r w:rsidR="002D1342" w:rsidRPr="000932A9">
        <w:rPr>
          <w:rFonts w:ascii="Times New Roman" w:eastAsia="Times New Roman" w:hAnsi="Times New Roman" w:cs="Times New Roman"/>
          <w:color w:val="222222"/>
          <w:lang w:eastAsia="en-GB"/>
        </w:rPr>
        <w:t xml:space="preserve"> </w:t>
      </w:r>
      <w:r w:rsidR="002D1342" w:rsidRPr="0000571C">
        <w:rPr>
          <w:rFonts w:ascii="Times New Roman" w:eastAsia="Times New Roman" w:hAnsi="Times New Roman" w:cs="Times New Roman"/>
          <w:iCs/>
          <w:color w:val="222222"/>
          <w:lang w:eastAsia="en-GB"/>
        </w:rPr>
        <w:t>23</w:t>
      </w:r>
      <w:r w:rsidRPr="0000571C">
        <w:rPr>
          <w:rFonts w:ascii="Times New Roman" w:eastAsia="Times New Roman" w:hAnsi="Times New Roman" w:cs="Times New Roman"/>
          <w:iCs/>
          <w:color w:val="222222"/>
          <w:lang w:eastAsia="en-GB"/>
        </w:rPr>
        <w:t>:</w:t>
      </w:r>
      <w:r w:rsidR="002D1342" w:rsidRPr="000932A9">
        <w:rPr>
          <w:rFonts w:ascii="Times New Roman" w:eastAsia="Times New Roman" w:hAnsi="Times New Roman" w:cs="Times New Roman"/>
          <w:color w:val="222222"/>
          <w:lang w:eastAsia="en-GB"/>
        </w:rPr>
        <w:t xml:space="preserve"> 515-531.</w:t>
      </w:r>
    </w:p>
    <w:p w14:paraId="24637831" w14:textId="1AFFFF33" w:rsidR="00E84035" w:rsidRDefault="00E84035" w:rsidP="00AE575B">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Clark, A. and Oswald</w:t>
      </w:r>
      <w:r w:rsidR="0000571C">
        <w:rPr>
          <w:rFonts w:ascii="Times New Roman" w:hAnsi="Times New Roman" w:cs="Times New Roman"/>
          <w:lang w:val="en-US"/>
        </w:rPr>
        <w:t>, A.(1996). ‘S</w:t>
      </w:r>
      <w:r w:rsidRPr="000932A9">
        <w:rPr>
          <w:rFonts w:ascii="Times New Roman" w:hAnsi="Times New Roman" w:cs="Times New Roman"/>
          <w:lang w:val="en-US"/>
        </w:rPr>
        <w:t>atisfaction and Comparison Income</w:t>
      </w:r>
      <w:r w:rsidR="0000571C">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Journal of Public Economics</w:t>
      </w:r>
      <w:r w:rsidR="00874D87">
        <w:rPr>
          <w:rFonts w:ascii="Times New Roman" w:hAnsi="Times New Roman" w:cs="Times New Roman"/>
          <w:i/>
          <w:lang w:val="en-US"/>
        </w:rPr>
        <w:t>,</w:t>
      </w:r>
      <w:r w:rsidR="0000571C">
        <w:rPr>
          <w:rFonts w:ascii="Times New Roman" w:hAnsi="Times New Roman" w:cs="Times New Roman"/>
          <w:lang w:val="en-US"/>
        </w:rPr>
        <w:t xml:space="preserve"> 61</w:t>
      </w:r>
      <w:r w:rsidRPr="000932A9">
        <w:rPr>
          <w:rFonts w:ascii="Times New Roman" w:hAnsi="Times New Roman" w:cs="Times New Roman"/>
          <w:lang w:val="en-US"/>
        </w:rPr>
        <w:t>: 359 – 381.</w:t>
      </w:r>
    </w:p>
    <w:p w14:paraId="2852FC9F" w14:textId="797288E3" w:rsidR="00163601" w:rsidRPr="000932A9" w:rsidRDefault="00163601" w:rsidP="00AE575B">
      <w:pPr>
        <w:spacing w:after="0" w:line="480" w:lineRule="auto"/>
        <w:ind w:left="432" w:hanging="432"/>
        <w:rPr>
          <w:rFonts w:ascii="Times New Roman" w:hAnsi="Times New Roman" w:cs="Times New Roman"/>
          <w:lang w:val="en-US"/>
        </w:rPr>
      </w:pPr>
      <w:r w:rsidRPr="00163601">
        <w:rPr>
          <w:rFonts w:ascii="Times New Roman" w:hAnsi="Times New Roman" w:cs="Times New Roman"/>
        </w:rPr>
        <w:t xml:space="preserve">Conti, G. and Pudney, S. (2011). </w:t>
      </w:r>
      <w:r w:rsidR="0000571C">
        <w:rPr>
          <w:rFonts w:ascii="Times New Roman" w:hAnsi="Times New Roman" w:cs="Times New Roman"/>
        </w:rPr>
        <w:t>‘</w:t>
      </w:r>
      <w:r w:rsidRPr="00163601">
        <w:rPr>
          <w:rFonts w:ascii="Times New Roman" w:hAnsi="Times New Roman" w:cs="Times New Roman"/>
        </w:rPr>
        <w:t>Survey design and</w:t>
      </w:r>
      <w:r w:rsidR="00EF00C8">
        <w:rPr>
          <w:rFonts w:ascii="Times New Roman" w:hAnsi="Times New Roman" w:cs="Times New Roman"/>
        </w:rPr>
        <w:t xml:space="preserve"> the analysis of satisfaction</w:t>
      </w:r>
      <w:r w:rsidR="0000571C">
        <w:rPr>
          <w:rFonts w:ascii="Times New Roman" w:hAnsi="Times New Roman" w:cs="Times New Roman"/>
        </w:rPr>
        <w:t>’.</w:t>
      </w:r>
      <w:r w:rsidR="00EF00C8">
        <w:rPr>
          <w:rFonts w:ascii="Times New Roman" w:hAnsi="Times New Roman" w:cs="Times New Roman"/>
        </w:rPr>
        <w:t xml:space="preserve"> </w:t>
      </w:r>
      <w:r w:rsidRPr="00EF00C8">
        <w:rPr>
          <w:rFonts w:ascii="Times New Roman" w:hAnsi="Times New Roman" w:cs="Times New Roman"/>
          <w:i/>
        </w:rPr>
        <w:t>Review of Economics and Statistics</w:t>
      </w:r>
      <w:r w:rsidRPr="00163601">
        <w:rPr>
          <w:rFonts w:ascii="Times New Roman" w:hAnsi="Times New Roman" w:cs="Times New Roman"/>
        </w:rPr>
        <w:t>, 93</w:t>
      </w:r>
      <w:r w:rsidR="0000571C">
        <w:rPr>
          <w:rFonts w:ascii="Times New Roman" w:hAnsi="Times New Roman" w:cs="Times New Roman"/>
        </w:rPr>
        <w:t>:</w:t>
      </w:r>
      <w:r w:rsidRPr="00163601">
        <w:rPr>
          <w:rFonts w:ascii="Times New Roman" w:hAnsi="Times New Roman" w:cs="Times New Roman"/>
        </w:rPr>
        <w:t xml:space="preserve"> 1087</w:t>
      </w:r>
      <w:r w:rsidR="00EF00C8">
        <w:rPr>
          <w:rFonts w:ascii="Times New Roman" w:hAnsi="Times New Roman" w:cs="Times New Roman"/>
        </w:rPr>
        <w:t xml:space="preserve"> </w:t>
      </w:r>
      <w:r w:rsidRPr="00163601">
        <w:rPr>
          <w:rFonts w:ascii="Times New Roman" w:hAnsi="Times New Roman" w:cs="Times New Roman"/>
        </w:rPr>
        <w:t>-</w:t>
      </w:r>
      <w:r w:rsidR="00EF00C8">
        <w:rPr>
          <w:rFonts w:ascii="Times New Roman" w:hAnsi="Times New Roman" w:cs="Times New Roman"/>
        </w:rPr>
        <w:t xml:space="preserve"> </w:t>
      </w:r>
      <w:r w:rsidRPr="00163601">
        <w:rPr>
          <w:rFonts w:ascii="Times New Roman" w:hAnsi="Times New Roman" w:cs="Times New Roman"/>
        </w:rPr>
        <w:t>1093.</w:t>
      </w:r>
    </w:p>
    <w:p w14:paraId="1706B736" w14:textId="7AF2A781" w:rsidR="00290BD2" w:rsidRPr="000932A9" w:rsidRDefault="00290BD2" w:rsidP="00AE575B">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Dawson, C</w:t>
      </w:r>
      <w:r w:rsidR="00874D87">
        <w:rPr>
          <w:rFonts w:ascii="Times New Roman" w:hAnsi="Times New Roman" w:cs="Times New Roman"/>
          <w:lang w:val="en-US"/>
        </w:rPr>
        <w:t>.</w:t>
      </w:r>
      <w:r w:rsidRPr="000932A9">
        <w:rPr>
          <w:rFonts w:ascii="Times New Roman" w:hAnsi="Times New Roman" w:cs="Times New Roman"/>
          <w:lang w:val="en-US"/>
        </w:rPr>
        <w:t xml:space="preserve"> (2017). </w:t>
      </w:r>
      <w:r w:rsidR="00874D87">
        <w:rPr>
          <w:rFonts w:ascii="Times New Roman" w:hAnsi="Times New Roman" w:cs="Times New Roman"/>
          <w:lang w:val="en-US"/>
        </w:rPr>
        <w:t>‘</w:t>
      </w:r>
      <w:r w:rsidRPr="000932A9">
        <w:rPr>
          <w:rFonts w:ascii="Times New Roman" w:hAnsi="Times New Roman" w:cs="Times New Roman"/>
          <w:lang w:val="en-US"/>
        </w:rPr>
        <w:t>The upside of Pessimism: Biased Beliefs and the Paradox of the Contented Female Worker</w:t>
      </w:r>
      <w:r w:rsidR="00874D87">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Journal of Economic Behavior and Organization</w:t>
      </w:r>
      <w:r w:rsidR="00874D87">
        <w:rPr>
          <w:rFonts w:ascii="Times New Roman" w:hAnsi="Times New Roman" w:cs="Times New Roman"/>
          <w:i/>
          <w:lang w:val="en-US"/>
        </w:rPr>
        <w:t>,</w:t>
      </w:r>
      <w:r w:rsidRPr="000932A9">
        <w:rPr>
          <w:rFonts w:ascii="Times New Roman" w:hAnsi="Times New Roman" w:cs="Times New Roman"/>
          <w:lang w:val="en-US"/>
        </w:rPr>
        <w:t xml:space="preserve"> 135: 215 – 228.</w:t>
      </w:r>
    </w:p>
    <w:p w14:paraId="77AF4A10" w14:textId="5641D688" w:rsidR="00141F34" w:rsidRPr="000932A9" w:rsidRDefault="00141F34" w:rsidP="00DA3697">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 xml:space="preserve">Donohue, S. and </w:t>
      </w:r>
      <w:r w:rsidR="00874D87">
        <w:rPr>
          <w:rFonts w:ascii="Times New Roman" w:hAnsi="Times New Roman" w:cs="Times New Roman"/>
          <w:lang w:val="en-US"/>
        </w:rPr>
        <w:t>Heywood, J.S. (</w:t>
      </w:r>
      <w:r w:rsidRPr="000932A9">
        <w:rPr>
          <w:rFonts w:ascii="Times New Roman" w:hAnsi="Times New Roman" w:cs="Times New Roman"/>
          <w:lang w:val="en-US"/>
        </w:rPr>
        <w:t>2004</w:t>
      </w:r>
      <w:r w:rsidR="00874D87">
        <w:rPr>
          <w:rFonts w:ascii="Times New Roman" w:hAnsi="Times New Roman" w:cs="Times New Roman"/>
          <w:lang w:val="en-US"/>
        </w:rPr>
        <w:t>). ‘</w:t>
      </w:r>
      <w:r w:rsidRPr="000932A9">
        <w:rPr>
          <w:rFonts w:ascii="Times New Roman" w:hAnsi="Times New Roman" w:cs="Times New Roman"/>
          <w:lang w:val="en-US"/>
        </w:rPr>
        <w:t>Job Satisfaction and Gender: An Expanded Specification from the NLSY</w:t>
      </w:r>
      <w:r w:rsidR="00874D87">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International Journal of Manpower</w:t>
      </w:r>
      <w:r w:rsidR="00874D87">
        <w:rPr>
          <w:rFonts w:ascii="Times New Roman" w:hAnsi="Times New Roman" w:cs="Times New Roman"/>
          <w:i/>
          <w:lang w:val="en-US"/>
        </w:rPr>
        <w:t>,</w:t>
      </w:r>
      <w:r w:rsidRPr="000932A9">
        <w:rPr>
          <w:rFonts w:ascii="Times New Roman" w:hAnsi="Times New Roman" w:cs="Times New Roman"/>
          <w:i/>
          <w:lang w:val="en-US"/>
        </w:rPr>
        <w:t xml:space="preserve"> </w:t>
      </w:r>
      <w:r w:rsidRPr="000932A9">
        <w:rPr>
          <w:rFonts w:ascii="Times New Roman" w:hAnsi="Times New Roman" w:cs="Times New Roman"/>
          <w:lang w:val="en-US"/>
        </w:rPr>
        <w:t>25: 211 – 234.</w:t>
      </w:r>
    </w:p>
    <w:p w14:paraId="1AB9318A" w14:textId="1C7D6273" w:rsidR="00021B14" w:rsidRPr="000932A9" w:rsidRDefault="00CF641D" w:rsidP="0014755E">
      <w:pPr>
        <w:spacing w:after="0" w:line="480" w:lineRule="auto"/>
        <w:ind w:left="432" w:hanging="432"/>
        <w:rPr>
          <w:rFonts w:ascii="Times New Roman" w:hAnsi="Times New Roman" w:cs="Times New Roman"/>
          <w:bCs/>
          <w:lang w:val="en-US"/>
        </w:rPr>
      </w:pPr>
      <w:r w:rsidRPr="000932A9">
        <w:rPr>
          <w:rFonts w:ascii="Times New Roman" w:eastAsia="Times New Roman" w:hAnsi="Times New Roman" w:cs="Times New Roman"/>
          <w:lang w:eastAsia="en-GB"/>
        </w:rPr>
        <w:t>Ferrer</w:t>
      </w:r>
      <w:r w:rsidRPr="000932A9">
        <w:rPr>
          <w:rFonts w:ascii="Cambria Math" w:eastAsia="Times New Roman" w:hAnsi="Cambria Math" w:cs="Cambria Math"/>
          <w:lang w:eastAsia="en-GB"/>
        </w:rPr>
        <w:t>‐</w:t>
      </w:r>
      <w:r w:rsidRPr="000932A9">
        <w:rPr>
          <w:rFonts w:ascii="Times New Roman" w:eastAsia="Times New Roman" w:hAnsi="Times New Roman" w:cs="Times New Roman"/>
          <w:lang w:eastAsia="en-GB"/>
        </w:rPr>
        <w:t>i</w:t>
      </w:r>
      <w:r w:rsidRPr="000932A9">
        <w:rPr>
          <w:rFonts w:ascii="Cambria Math" w:eastAsia="Times New Roman" w:hAnsi="Cambria Math" w:cs="Cambria Math"/>
          <w:lang w:eastAsia="en-GB"/>
        </w:rPr>
        <w:t>‐</w:t>
      </w:r>
      <w:r w:rsidRPr="000932A9">
        <w:rPr>
          <w:rFonts w:ascii="Times New Roman" w:eastAsia="Times New Roman" w:hAnsi="Times New Roman" w:cs="Times New Roman"/>
          <w:lang w:eastAsia="en-GB"/>
        </w:rPr>
        <w:t>Car</w:t>
      </w:r>
      <w:r w:rsidR="00BB0A5E" w:rsidRPr="000932A9">
        <w:rPr>
          <w:rFonts w:ascii="Times New Roman" w:eastAsia="Times New Roman" w:hAnsi="Times New Roman" w:cs="Times New Roman"/>
          <w:lang w:eastAsia="en-GB"/>
        </w:rPr>
        <w:t>bonell, A</w:t>
      </w:r>
      <w:r w:rsidR="00874D87">
        <w:rPr>
          <w:rFonts w:ascii="Times New Roman" w:eastAsia="Times New Roman" w:hAnsi="Times New Roman" w:cs="Times New Roman"/>
          <w:lang w:eastAsia="en-GB"/>
        </w:rPr>
        <w:t>.</w:t>
      </w:r>
      <w:r w:rsidR="00BB0A5E" w:rsidRPr="000932A9">
        <w:rPr>
          <w:rFonts w:ascii="Times New Roman" w:eastAsia="Times New Roman" w:hAnsi="Times New Roman" w:cs="Times New Roman"/>
          <w:lang w:eastAsia="en-GB"/>
        </w:rPr>
        <w:t xml:space="preserve"> and Frijters,</w:t>
      </w:r>
      <w:r w:rsidR="00874D87">
        <w:rPr>
          <w:rFonts w:ascii="Times New Roman" w:eastAsia="Times New Roman" w:hAnsi="Times New Roman" w:cs="Times New Roman"/>
          <w:lang w:eastAsia="en-GB"/>
        </w:rPr>
        <w:t xml:space="preserve"> P. (2004)</w:t>
      </w:r>
      <w:r w:rsidR="00BB0A5E" w:rsidRPr="000932A9">
        <w:rPr>
          <w:rFonts w:ascii="Times New Roman" w:eastAsia="Times New Roman" w:hAnsi="Times New Roman" w:cs="Times New Roman"/>
          <w:lang w:eastAsia="en-GB"/>
        </w:rPr>
        <w:t xml:space="preserve">. </w:t>
      </w:r>
      <w:r w:rsidR="00874D87">
        <w:rPr>
          <w:rFonts w:ascii="Times New Roman" w:eastAsia="Times New Roman" w:hAnsi="Times New Roman" w:cs="Times New Roman"/>
          <w:lang w:eastAsia="en-GB"/>
        </w:rPr>
        <w:t>‘</w:t>
      </w:r>
      <w:r w:rsidRPr="000932A9">
        <w:rPr>
          <w:rFonts w:ascii="Times New Roman" w:eastAsia="Times New Roman" w:hAnsi="Times New Roman" w:cs="Times New Roman"/>
          <w:lang w:eastAsia="en-GB"/>
        </w:rPr>
        <w:t>How Important is Methodology for the estimates of</w:t>
      </w:r>
      <w:r w:rsidR="00CD602B">
        <w:rPr>
          <w:rFonts w:ascii="Times New Roman" w:eastAsia="Times New Roman" w:hAnsi="Times New Roman" w:cs="Times New Roman"/>
          <w:lang w:eastAsia="en-GB"/>
        </w:rPr>
        <w:t xml:space="preserve"> the determinants of Happiness?</w:t>
      </w:r>
      <w:r w:rsidR="00874D87">
        <w:rPr>
          <w:rFonts w:ascii="Times New Roman" w:eastAsia="Times New Roman" w:hAnsi="Times New Roman" w:cs="Times New Roman"/>
          <w:lang w:eastAsia="en-GB"/>
        </w:rPr>
        <w:t>’.</w:t>
      </w:r>
      <w:r w:rsidRPr="000932A9">
        <w:rPr>
          <w:rFonts w:ascii="Times New Roman" w:eastAsia="Times New Roman" w:hAnsi="Times New Roman" w:cs="Times New Roman"/>
          <w:lang w:eastAsia="en-GB"/>
        </w:rPr>
        <w:t xml:space="preserve"> </w:t>
      </w:r>
      <w:r w:rsidRPr="000932A9">
        <w:rPr>
          <w:rFonts w:ascii="Times New Roman" w:eastAsia="Times New Roman" w:hAnsi="Times New Roman" w:cs="Times New Roman"/>
          <w:i/>
          <w:iCs/>
          <w:lang w:eastAsia="en-GB"/>
        </w:rPr>
        <w:t>The Economic Journal</w:t>
      </w:r>
      <w:r w:rsidR="00874D87">
        <w:rPr>
          <w:rFonts w:ascii="Times New Roman" w:eastAsia="Times New Roman" w:hAnsi="Times New Roman" w:cs="Times New Roman"/>
          <w:i/>
          <w:iCs/>
          <w:lang w:eastAsia="en-GB"/>
        </w:rPr>
        <w:t xml:space="preserve">, </w:t>
      </w:r>
      <w:r w:rsidRPr="000932A9">
        <w:rPr>
          <w:rFonts w:ascii="Times New Roman" w:eastAsia="Times New Roman" w:hAnsi="Times New Roman" w:cs="Times New Roman"/>
          <w:lang w:eastAsia="en-GB"/>
        </w:rPr>
        <w:t>114</w:t>
      </w:r>
      <w:r w:rsidR="00BB0A5E" w:rsidRPr="000932A9">
        <w:rPr>
          <w:rFonts w:ascii="Times New Roman" w:eastAsia="Times New Roman" w:hAnsi="Times New Roman" w:cs="Times New Roman"/>
          <w:lang w:eastAsia="en-GB"/>
        </w:rPr>
        <w:t xml:space="preserve">: </w:t>
      </w:r>
      <w:r w:rsidRPr="000932A9">
        <w:rPr>
          <w:rFonts w:ascii="Times New Roman" w:eastAsia="Times New Roman" w:hAnsi="Times New Roman" w:cs="Times New Roman"/>
          <w:lang w:eastAsia="en-GB"/>
        </w:rPr>
        <w:t>641-659.</w:t>
      </w:r>
    </w:p>
    <w:p w14:paraId="4DAE39FF" w14:textId="1650F6A8" w:rsidR="0014755E" w:rsidRPr="000932A9" w:rsidRDefault="0014755E" w:rsidP="0014755E">
      <w:pPr>
        <w:spacing w:after="0" w:line="480" w:lineRule="auto"/>
        <w:ind w:left="432" w:hanging="432"/>
        <w:rPr>
          <w:rFonts w:ascii="Times New Roman" w:hAnsi="Times New Roman" w:cs="Times New Roman"/>
          <w:bCs/>
          <w:lang w:val="en-US"/>
        </w:rPr>
      </w:pPr>
      <w:r w:rsidRPr="000932A9">
        <w:rPr>
          <w:rFonts w:ascii="Times New Roman" w:hAnsi="Times New Roman" w:cs="Times New Roman"/>
          <w:bCs/>
          <w:lang w:val="en-US"/>
        </w:rPr>
        <w:lastRenderedPageBreak/>
        <w:t>Green, C</w:t>
      </w:r>
      <w:r w:rsidR="00874D87">
        <w:rPr>
          <w:rFonts w:ascii="Times New Roman" w:hAnsi="Times New Roman" w:cs="Times New Roman"/>
          <w:bCs/>
          <w:lang w:val="en-US"/>
        </w:rPr>
        <w:t>.</w:t>
      </w:r>
      <w:r w:rsidRPr="000932A9">
        <w:rPr>
          <w:rFonts w:ascii="Times New Roman" w:hAnsi="Times New Roman" w:cs="Times New Roman"/>
          <w:bCs/>
          <w:lang w:val="en-US"/>
        </w:rPr>
        <w:t xml:space="preserve">P. and </w:t>
      </w:r>
      <w:r w:rsidR="00874D87">
        <w:rPr>
          <w:rFonts w:ascii="Times New Roman" w:hAnsi="Times New Roman" w:cs="Times New Roman"/>
          <w:bCs/>
          <w:lang w:val="en-US"/>
        </w:rPr>
        <w:t>Heywood, J.S. (</w:t>
      </w:r>
      <w:r w:rsidRPr="000932A9">
        <w:rPr>
          <w:rFonts w:ascii="Times New Roman" w:hAnsi="Times New Roman" w:cs="Times New Roman"/>
          <w:bCs/>
          <w:lang w:val="en-US"/>
        </w:rPr>
        <w:t>2008</w:t>
      </w:r>
      <w:r w:rsidR="00874D87">
        <w:rPr>
          <w:rFonts w:ascii="Times New Roman" w:hAnsi="Times New Roman" w:cs="Times New Roman"/>
          <w:bCs/>
          <w:lang w:val="en-US"/>
        </w:rPr>
        <w:t>)</w:t>
      </w:r>
      <w:r w:rsidRPr="000932A9">
        <w:rPr>
          <w:rFonts w:ascii="Times New Roman" w:hAnsi="Times New Roman" w:cs="Times New Roman"/>
          <w:bCs/>
          <w:lang w:val="en-US"/>
        </w:rPr>
        <w:t xml:space="preserve">. </w:t>
      </w:r>
      <w:r w:rsidR="00874D87">
        <w:rPr>
          <w:rFonts w:ascii="Times New Roman" w:hAnsi="Times New Roman" w:cs="Times New Roman"/>
          <w:bCs/>
          <w:lang w:val="en-US"/>
        </w:rPr>
        <w:t>‘</w:t>
      </w:r>
      <w:r w:rsidRPr="000932A9">
        <w:rPr>
          <w:rFonts w:ascii="Times New Roman" w:hAnsi="Times New Roman" w:cs="Times New Roman"/>
          <w:bCs/>
          <w:lang w:val="en-US"/>
        </w:rPr>
        <w:t>Does Performance Pay Increase Job Satisfaction?</w:t>
      </w:r>
      <w:r w:rsidR="00874D87">
        <w:rPr>
          <w:rFonts w:ascii="Times New Roman" w:hAnsi="Times New Roman" w:cs="Times New Roman"/>
          <w:bCs/>
          <w:lang w:val="en-US"/>
        </w:rPr>
        <w:t>’</w:t>
      </w:r>
      <w:r w:rsidRPr="000932A9">
        <w:rPr>
          <w:rFonts w:ascii="Times New Roman" w:hAnsi="Times New Roman" w:cs="Times New Roman"/>
          <w:bCs/>
          <w:lang w:val="en-US"/>
        </w:rPr>
        <w:t xml:space="preserve"> </w:t>
      </w:r>
      <w:r w:rsidRPr="000932A9">
        <w:rPr>
          <w:rFonts w:ascii="Times New Roman" w:hAnsi="Times New Roman" w:cs="Times New Roman"/>
          <w:bCs/>
          <w:i/>
          <w:iCs/>
          <w:lang w:val="en-US"/>
        </w:rPr>
        <w:t>Economica</w:t>
      </w:r>
      <w:r w:rsidRPr="000932A9">
        <w:rPr>
          <w:rFonts w:ascii="Times New Roman" w:hAnsi="Times New Roman" w:cs="Times New Roman"/>
          <w:bCs/>
          <w:lang w:val="en-US"/>
        </w:rPr>
        <w:t xml:space="preserve">, 75: 710 – 728. </w:t>
      </w:r>
    </w:p>
    <w:p w14:paraId="2FF3D4B0" w14:textId="090117A8" w:rsidR="0014755E" w:rsidRPr="000932A9" w:rsidRDefault="0014755E" w:rsidP="00021B14">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Hamermesh, D.</w:t>
      </w:r>
      <w:r w:rsidR="00874D87">
        <w:rPr>
          <w:rFonts w:ascii="Times New Roman" w:hAnsi="Times New Roman" w:cs="Times New Roman"/>
          <w:lang w:val="en-US"/>
        </w:rPr>
        <w:t xml:space="preserve"> (</w:t>
      </w:r>
      <w:r w:rsidRPr="000932A9">
        <w:rPr>
          <w:rFonts w:ascii="Times New Roman" w:hAnsi="Times New Roman" w:cs="Times New Roman"/>
          <w:lang w:val="en-US"/>
        </w:rPr>
        <w:t>2001</w:t>
      </w:r>
      <w:r w:rsidR="00874D87">
        <w:rPr>
          <w:rFonts w:ascii="Times New Roman" w:hAnsi="Times New Roman" w:cs="Times New Roman"/>
          <w:lang w:val="en-US"/>
        </w:rPr>
        <w:t>)</w:t>
      </w:r>
      <w:r w:rsidRPr="000932A9">
        <w:rPr>
          <w:rFonts w:ascii="Times New Roman" w:hAnsi="Times New Roman" w:cs="Times New Roman"/>
          <w:lang w:val="en-US"/>
        </w:rPr>
        <w:t xml:space="preserve">. </w:t>
      </w:r>
      <w:r w:rsidR="00874D87">
        <w:rPr>
          <w:rFonts w:ascii="Times New Roman" w:hAnsi="Times New Roman" w:cs="Times New Roman"/>
          <w:lang w:val="en-US"/>
        </w:rPr>
        <w:t>‘</w:t>
      </w:r>
      <w:r w:rsidRPr="000932A9">
        <w:rPr>
          <w:rFonts w:ascii="Times New Roman" w:hAnsi="Times New Roman" w:cs="Times New Roman"/>
          <w:lang w:val="en-US"/>
        </w:rPr>
        <w:t>The Changing Distribution of Job Satisfaction</w:t>
      </w:r>
      <w:r w:rsidR="00874D87">
        <w:rPr>
          <w:rFonts w:ascii="Times New Roman" w:hAnsi="Times New Roman" w:cs="Times New Roman"/>
          <w:lang w:val="en-US"/>
        </w:rPr>
        <w:t>’.</w:t>
      </w:r>
      <w:r w:rsidRPr="000932A9">
        <w:rPr>
          <w:rFonts w:ascii="Times New Roman" w:hAnsi="Times New Roman" w:cs="Times New Roman"/>
          <w:lang w:val="en-US"/>
        </w:rPr>
        <w:t xml:space="preserve"> </w:t>
      </w:r>
      <w:r w:rsidRPr="00874D87">
        <w:rPr>
          <w:rFonts w:ascii="Times New Roman" w:hAnsi="Times New Roman" w:cs="Times New Roman"/>
          <w:i/>
          <w:lang w:val="en-US"/>
        </w:rPr>
        <w:t>J</w:t>
      </w:r>
      <w:r w:rsidRPr="000932A9">
        <w:rPr>
          <w:rFonts w:ascii="Times New Roman" w:hAnsi="Times New Roman" w:cs="Times New Roman"/>
          <w:i/>
          <w:lang w:val="en-US"/>
        </w:rPr>
        <w:t>ournal of Human</w:t>
      </w:r>
      <w:r w:rsidRPr="000932A9">
        <w:rPr>
          <w:rFonts w:ascii="Times New Roman" w:hAnsi="Times New Roman" w:cs="Times New Roman"/>
          <w:i/>
        </w:rPr>
        <w:t xml:space="preserve"> </w:t>
      </w:r>
      <w:r w:rsidRPr="000932A9">
        <w:rPr>
          <w:rFonts w:ascii="Times New Roman" w:hAnsi="Times New Roman" w:cs="Times New Roman"/>
          <w:i/>
          <w:lang w:val="en-US"/>
        </w:rPr>
        <w:t>Resources</w:t>
      </w:r>
      <w:r w:rsidR="00874D87">
        <w:rPr>
          <w:rFonts w:ascii="Times New Roman" w:hAnsi="Times New Roman" w:cs="Times New Roman"/>
          <w:i/>
          <w:lang w:val="en-US"/>
        </w:rPr>
        <w:t>,</w:t>
      </w:r>
      <w:r w:rsidRPr="000932A9">
        <w:rPr>
          <w:rFonts w:ascii="Times New Roman" w:hAnsi="Times New Roman" w:cs="Times New Roman"/>
          <w:lang w:val="en-US"/>
        </w:rPr>
        <w:t xml:space="preserve"> 36: 1 – 30.</w:t>
      </w:r>
    </w:p>
    <w:p w14:paraId="383330BD" w14:textId="35ACE2A8" w:rsidR="000B7D9B" w:rsidRPr="000932A9" w:rsidRDefault="00593FD1" w:rsidP="00CF641D">
      <w:pPr>
        <w:spacing w:after="0" w:line="480" w:lineRule="auto"/>
        <w:ind w:left="432" w:hanging="432"/>
        <w:rPr>
          <w:rFonts w:ascii="Times New Roman" w:eastAsia="Times New Roman" w:hAnsi="Times New Roman" w:cs="Times New Roman"/>
          <w:lang w:eastAsia="en-GB"/>
        </w:rPr>
      </w:pPr>
      <w:r>
        <w:rPr>
          <w:rFonts w:ascii="Times New Roman" w:eastAsia="Times New Roman" w:hAnsi="Times New Roman" w:cs="Times New Roman"/>
          <w:lang w:eastAsia="en-GB"/>
        </w:rPr>
        <w:t>Hauret, L.</w:t>
      </w:r>
      <w:r w:rsidR="000B7D9B" w:rsidRPr="000932A9">
        <w:rPr>
          <w:rFonts w:ascii="Times New Roman" w:eastAsia="Times New Roman" w:hAnsi="Times New Roman" w:cs="Times New Roman"/>
          <w:lang w:eastAsia="en-GB"/>
        </w:rPr>
        <w:t xml:space="preserve"> and </w:t>
      </w:r>
      <w:r>
        <w:rPr>
          <w:rFonts w:ascii="Times New Roman" w:eastAsia="Times New Roman" w:hAnsi="Times New Roman" w:cs="Times New Roman"/>
          <w:lang w:eastAsia="en-GB"/>
        </w:rPr>
        <w:t>Williams, D. (2017). ‘</w:t>
      </w:r>
      <w:r w:rsidR="000B7D9B" w:rsidRPr="000932A9">
        <w:rPr>
          <w:rFonts w:ascii="Times New Roman" w:eastAsia="Times New Roman" w:hAnsi="Times New Roman" w:cs="Times New Roman"/>
          <w:lang w:eastAsia="en-GB"/>
        </w:rPr>
        <w:t>Cross-National Analysis of Gender Differences in Job Satisfaction</w:t>
      </w:r>
      <w:r>
        <w:rPr>
          <w:rFonts w:ascii="Times New Roman" w:eastAsia="Times New Roman" w:hAnsi="Times New Roman" w:cs="Times New Roman"/>
          <w:lang w:eastAsia="en-GB"/>
        </w:rPr>
        <w:t>’.</w:t>
      </w:r>
      <w:r w:rsidR="000B7D9B" w:rsidRPr="000932A9">
        <w:rPr>
          <w:rFonts w:ascii="Times New Roman" w:eastAsia="Times New Roman" w:hAnsi="Times New Roman" w:cs="Times New Roman"/>
          <w:lang w:eastAsia="en-GB"/>
        </w:rPr>
        <w:t xml:space="preserve"> </w:t>
      </w:r>
      <w:r w:rsidR="000B7D9B" w:rsidRPr="000932A9">
        <w:rPr>
          <w:rFonts w:ascii="Times New Roman" w:eastAsia="Times New Roman" w:hAnsi="Times New Roman" w:cs="Times New Roman"/>
          <w:i/>
          <w:lang w:eastAsia="en-GB"/>
        </w:rPr>
        <w:t>Industrial Relations</w:t>
      </w:r>
      <w:r>
        <w:rPr>
          <w:rFonts w:ascii="Times New Roman" w:eastAsia="Times New Roman" w:hAnsi="Times New Roman" w:cs="Times New Roman"/>
          <w:i/>
          <w:lang w:eastAsia="en-GB"/>
        </w:rPr>
        <w:t>,</w:t>
      </w:r>
      <w:r w:rsidR="000B7D9B" w:rsidRPr="000932A9">
        <w:rPr>
          <w:rFonts w:ascii="Times New Roman" w:eastAsia="Times New Roman" w:hAnsi="Times New Roman" w:cs="Times New Roman"/>
          <w:i/>
          <w:lang w:eastAsia="en-GB"/>
        </w:rPr>
        <w:t xml:space="preserve"> </w:t>
      </w:r>
      <w:r w:rsidR="00B4157A" w:rsidRPr="000932A9">
        <w:rPr>
          <w:rFonts w:ascii="Times New Roman" w:eastAsia="Times New Roman" w:hAnsi="Times New Roman" w:cs="Times New Roman"/>
          <w:lang w:eastAsia="en-GB"/>
        </w:rPr>
        <w:t>56: 203 – 235.</w:t>
      </w:r>
    </w:p>
    <w:p w14:paraId="1EE1A378" w14:textId="0442A755" w:rsidR="0014755E" w:rsidRDefault="0014755E" w:rsidP="00021B14">
      <w:pPr>
        <w:spacing w:after="0" w:line="480" w:lineRule="auto"/>
        <w:ind w:left="432" w:hanging="432"/>
        <w:rPr>
          <w:rFonts w:ascii="Times New Roman" w:eastAsia="Times New Roman" w:hAnsi="Times New Roman" w:cs="Times New Roman"/>
          <w:lang w:val="en-US" w:eastAsia="en-GB"/>
        </w:rPr>
      </w:pPr>
      <w:r w:rsidRPr="000932A9">
        <w:rPr>
          <w:rFonts w:ascii="Times New Roman" w:eastAsia="Times New Roman" w:hAnsi="Times New Roman" w:cs="Times New Roman"/>
          <w:lang w:val="en-US" w:eastAsia="en-GB"/>
        </w:rPr>
        <w:t>Herbst, C.</w:t>
      </w:r>
      <w:r w:rsidR="00593FD1">
        <w:rPr>
          <w:rFonts w:ascii="Times New Roman" w:eastAsia="Times New Roman" w:hAnsi="Times New Roman" w:cs="Times New Roman"/>
          <w:lang w:val="en-US" w:eastAsia="en-GB"/>
        </w:rPr>
        <w:t xml:space="preserve"> (</w:t>
      </w:r>
      <w:r w:rsidRPr="000932A9">
        <w:rPr>
          <w:rFonts w:ascii="Times New Roman" w:eastAsia="Times New Roman" w:hAnsi="Times New Roman" w:cs="Times New Roman"/>
          <w:lang w:val="en-US" w:eastAsia="en-GB"/>
        </w:rPr>
        <w:t>2011</w:t>
      </w:r>
      <w:r w:rsidR="00593FD1">
        <w:rPr>
          <w:rFonts w:ascii="Times New Roman" w:eastAsia="Times New Roman" w:hAnsi="Times New Roman" w:cs="Times New Roman"/>
          <w:lang w:val="en-US" w:eastAsia="en-GB"/>
        </w:rPr>
        <w:t>)</w:t>
      </w:r>
      <w:r w:rsidRPr="000932A9">
        <w:rPr>
          <w:rFonts w:ascii="Times New Roman" w:eastAsia="Times New Roman" w:hAnsi="Times New Roman" w:cs="Times New Roman"/>
          <w:lang w:val="en-US" w:eastAsia="en-GB"/>
        </w:rPr>
        <w:t xml:space="preserve">. </w:t>
      </w:r>
      <w:r w:rsidR="00593FD1">
        <w:rPr>
          <w:rFonts w:ascii="Times New Roman" w:eastAsia="Times New Roman" w:hAnsi="Times New Roman" w:cs="Times New Roman"/>
          <w:lang w:val="en-US" w:eastAsia="en-GB"/>
        </w:rPr>
        <w:t>‘</w:t>
      </w:r>
      <w:r w:rsidRPr="000932A9">
        <w:rPr>
          <w:rFonts w:ascii="Times New Roman" w:eastAsia="Times New Roman" w:hAnsi="Times New Roman" w:cs="Times New Roman"/>
          <w:lang w:val="en-US" w:eastAsia="en-GB"/>
        </w:rPr>
        <w:t>Paradoxical Decline? Another Look at the Relative Reduction in Female Happiness</w:t>
      </w:r>
      <w:r w:rsidR="00593FD1">
        <w:rPr>
          <w:rFonts w:ascii="Times New Roman" w:eastAsia="Times New Roman" w:hAnsi="Times New Roman" w:cs="Times New Roman"/>
          <w:lang w:val="en-US" w:eastAsia="en-GB"/>
        </w:rPr>
        <w:t>’.</w:t>
      </w:r>
      <w:r w:rsidRPr="000932A9">
        <w:rPr>
          <w:rFonts w:ascii="Times New Roman" w:eastAsia="Times New Roman" w:hAnsi="Times New Roman" w:cs="Times New Roman"/>
          <w:lang w:val="en-US" w:eastAsia="en-GB"/>
        </w:rPr>
        <w:t xml:space="preserve"> </w:t>
      </w:r>
      <w:r w:rsidRPr="000932A9">
        <w:rPr>
          <w:rFonts w:ascii="Times New Roman" w:eastAsia="Times New Roman" w:hAnsi="Times New Roman" w:cs="Times New Roman"/>
          <w:i/>
          <w:lang w:val="en-US" w:eastAsia="en-GB"/>
        </w:rPr>
        <w:t>Journal of Economic Psychology</w:t>
      </w:r>
      <w:r w:rsidR="00164E8D">
        <w:rPr>
          <w:rFonts w:ascii="Times New Roman" w:eastAsia="Times New Roman" w:hAnsi="Times New Roman" w:cs="Times New Roman"/>
          <w:i/>
          <w:lang w:val="en-US" w:eastAsia="en-GB"/>
        </w:rPr>
        <w:t>,</w:t>
      </w:r>
      <w:r w:rsidRPr="000932A9">
        <w:rPr>
          <w:rFonts w:ascii="Times New Roman" w:eastAsia="Times New Roman" w:hAnsi="Times New Roman" w:cs="Times New Roman"/>
          <w:lang w:val="en-US" w:eastAsia="en-GB"/>
        </w:rPr>
        <w:t xml:space="preserve"> 32: 773-788.</w:t>
      </w:r>
    </w:p>
    <w:p w14:paraId="76D05635" w14:textId="4CDAC08C" w:rsidR="00C41DEC" w:rsidRPr="000932A9" w:rsidRDefault="00C41DEC" w:rsidP="00C41DEC">
      <w:pPr>
        <w:spacing w:after="0" w:line="480" w:lineRule="auto"/>
        <w:ind w:left="432" w:hanging="432"/>
        <w:rPr>
          <w:rFonts w:ascii="Times New Roman" w:eastAsia="Times New Roman" w:hAnsi="Times New Roman" w:cs="Times New Roman"/>
          <w:lang w:val="en-US" w:eastAsia="en-GB"/>
        </w:rPr>
      </w:pPr>
      <w:r w:rsidRPr="00C41DEC">
        <w:rPr>
          <w:rFonts w:ascii="Times New Roman" w:eastAsia="Times New Roman" w:hAnsi="Times New Roman" w:cs="Times New Roman"/>
          <w:lang w:val="en-US" w:eastAsia="en-GB"/>
        </w:rPr>
        <w:t xml:space="preserve">Kaiser, L. </w:t>
      </w:r>
      <w:r w:rsidR="00164E8D">
        <w:rPr>
          <w:rFonts w:ascii="Times New Roman" w:eastAsia="Times New Roman" w:hAnsi="Times New Roman" w:cs="Times New Roman"/>
          <w:lang w:val="en-US" w:eastAsia="en-GB"/>
        </w:rPr>
        <w:t>(</w:t>
      </w:r>
      <w:r w:rsidRPr="00C41DEC">
        <w:rPr>
          <w:rFonts w:ascii="Times New Roman" w:eastAsia="Times New Roman" w:hAnsi="Times New Roman" w:cs="Times New Roman"/>
          <w:lang w:val="en-US" w:eastAsia="en-GB"/>
        </w:rPr>
        <w:t>2007</w:t>
      </w:r>
      <w:r w:rsidR="00164E8D">
        <w:rPr>
          <w:rFonts w:ascii="Times New Roman" w:eastAsia="Times New Roman" w:hAnsi="Times New Roman" w:cs="Times New Roman"/>
          <w:lang w:val="en-US" w:eastAsia="en-GB"/>
        </w:rPr>
        <w:t>)</w:t>
      </w:r>
      <w:r w:rsidRPr="00C41DEC">
        <w:rPr>
          <w:rFonts w:ascii="Times New Roman" w:eastAsia="Times New Roman" w:hAnsi="Times New Roman" w:cs="Times New Roman"/>
          <w:lang w:val="en-US" w:eastAsia="en-GB"/>
        </w:rPr>
        <w:t xml:space="preserve">. </w:t>
      </w:r>
      <w:r w:rsidR="00164E8D">
        <w:rPr>
          <w:rFonts w:ascii="Times New Roman" w:eastAsia="Times New Roman" w:hAnsi="Times New Roman" w:cs="Times New Roman"/>
          <w:lang w:val="en-US" w:eastAsia="en-GB"/>
        </w:rPr>
        <w:t>‘</w:t>
      </w:r>
      <w:r w:rsidRPr="00C41DEC">
        <w:rPr>
          <w:rFonts w:ascii="Times New Roman" w:eastAsia="Times New Roman" w:hAnsi="Times New Roman" w:cs="Times New Roman"/>
          <w:lang w:val="en-US" w:eastAsia="en-GB"/>
        </w:rPr>
        <w:t>Gender-Job Satisfaction Differences across Europe: An Indicator for Labour Market</w:t>
      </w:r>
      <w:r>
        <w:rPr>
          <w:rFonts w:ascii="Times New Roman" w:eastAsia="Times New Roman" w:hAnsi="Times New Roman" w:cs="Times New Roman"/>
          <w:lang w:val="en-US" w:eastAsia="en-GB"/>
        </w:rPr>
        <w:t xml:space="preserve"> </w:t>
      </w:r>
      <w:r w:rsidRPr="00C41DEC">
        <w:rPr>
          <w:rFonts w:ascii="Times New Roman" w:eastAsia="Times New Roman" w:hAnsi="Times New Roman" w:cs="Times New Roman"/>
          <w:lang w:val="en-US" w:eastAsia="en-GB"/>
        </w:rPr>
        <w:t>Modernization</w:t>
      </w:r>
      <w:r w:rsidR="00164E8D">
        <w:rPr>
          <w:rFonts w:ascii="Times New Roman" w:eastAsia="Times New Roman" w:hAnsi="Times New Roman" w:cs="Times New Roman"/>
          <w:lang w:val="en-US" w:eastAsia="en-GB"/>
        </w:rPr>
        <w:t>’.</w:t>
      </w:r>
      <w:r w:rsidRPr="00C41DEC">
        <w:rPr>
          <w:rFonts w:ascii="Times New Roman" w:eastAsia="Times New Roman" w:hAnsi="Times New Roman" w:cs="Times New Roman"/>
          <w:lang w:val="en-US" w:eastAsia="en-GB"/>
        </w:rPr>
        <w:t xml:space="preserve"> </w:t>
      </w:r>
      <w:r w:rsidRPr="00C41DEC">
        <w:rPr>
          <w:rFonts w:ascii="Times New Roman" w:eastAsia="Times New Roman" w:hAnsi="Times New Roman" w:cs="Times New Roman"/>
          <w:i/>
          <w:lang w:val="en-US" w:eastAsia="en-GB"/>
        </w:rPr>
        <w:t>International Journal of Manpower</w:t>
      </w:r>
      <w:r w:rsidR="00164E8D">
        <w:rPr>
          <w:rFonts w:ascii="Times New Roman" w:eastAsia="Times New Roman" w:hAnsi="Times New Roman" w:cs="Times New Roman"/>
          <w:lang w:val="en-US" w:eastAsia="en-GB"/>
        </w:rPr>
        <w:t xml:space="preserve">, </w:t>
      </w:r>
      <w:r w:rsidRPr="00C41DEC">
        <w:rPr>
          <w:rFonts w:ascii="Times New Roman" w:eastAsia="Times New Roman" w:hAnsi="Times New Roman" w:cs="Times New Roman"/>
          <w:lang w:val="en-US" w:eastAsia="en-GB"/>
        </w:rPr>
        <w:t>28: 75–94.</w:t>
      </w:r>
    </w:p>
    <w:p w14:paraId="51490025" w14:textId="621ED141" w:rsidR="005D2531" w:rsidRPr="000932A9" w:rsidRDefault="005D2531" w:rsidP="005D2531">
      <w:pPr>
        <w:autoSpaceDE w:val="0"/>
        <w:autoSpaceDN w:val="0"/>
        <w:adjustRightInd w:val="0"/>
        <w:spacing w:after="0" w:line="480" w:lineRule="auto"/>
        <w:ind w:left="432" w:hanging="432"/>
        <w:rPr>
          <w:rFonts w:ascii="Times New Roman" w:hAnsi="Times New Roman" w:cs="Times New Roman"/>
        </w:rPr>
      </w:pPr>
      <w:r w:rsidRPr="000932A9">
        <w:rPr>
          <w:rFonts w:ascii="Times New Roman" w:hAnsi="Times New Roman" w:cs="Times New Roman"/>
        </w:rPr>
        <w:t>Kifle, T,</w:t>
      </w:r>
      <w:r w:rsidR="00516353">
        <w:rPr>
          <w:rFonts w:ascii="Times New Roman" w:hAnsi="Times New Roman" w:cs="Times New Roman"/>
        </w:rPr>
        <w:t xml:space="preserve"> Kler, P. and Shankar, S. </w:t>
      </w:r>
      <w:r w:rsidR="00164E8D">
        <w:rPr>
          <w:rFonts w:ascii="Times New Roman" w:hAnsi="Times New Roman" w:cs="Times New Roman"/>
        </w:rPr>
        <w:t>(</w:t>
      </w:r>
      <w:r w:rsidR="00516353">
        <w:rPr>
          <w:rFonts w:ascii="Times New Roman" w:hAnsi="Times New Roman" w:cs="Times New Roman"/>
        </w:rPr>
        <w:t>2014</w:t>
      </w:r>
      <w:r w:rsidR="00164E8D">
        <w:rPr>
          <w:rFonts w:ascii="Times New Roman" w:hAnsi="Times New Roman" w:cs="Times New Roman"/>
        </w:rPr>
        <w:t>)</w:t>
      </w:r>
      <w:r w:rsidRPr="000932A9">
        <w:rPr>
          <w:rFonts w:ascii="Times New Roman" w:hAnsi="Times New Roman" w:cs="Times New Roman"/>
        </w:rPr>
        <w:t xml:space="preserve">. </w:t>
      </w:r>
      <w:r w:rsidR="00164E8D">
        <w:rPr>
          <w:rFonts w:ascii="Times New Roman" w:hAnsi="Times New Roman" w:cs="Times New Roman"/>
        </w:rPr>
        <w:t>‘</w:t>
      </w:r>
      <w:r w:rsidRPr="000932A9">
        <w:rPr>
          <w:rFonts w:ascii="Times New Roman" w:hAnsi="Times New Roman" w:cs="Times New Roman"/>
        </w:rPr>
        <w:t>Are women really that happy at work? Australian evidence on the ‘contented female’</w:t>
      </w:r>
      <w:r w:rsidR="00164E8D">
        <w:rPr>
          <w:rFonts w:ascii="Times New Roman" w:hAnsi="Times New Roman" w:cs="Times New Roman"/>
        </w:rPr>
        <w:t>’</w:t>
      </w:r>
      <w:r w:rsidRPr="000932A9">
        <w:rPr>
          <w:rFonts w:ascii="Times New Roman" w:hAnsi="Times New Roman" w:cs="Times New Roman"/>
        </w:rPr>
        <w:t xml:space="preserve">. </w:t>
      </w:r>
      <w:r w:rsidRPr="000932A9">
        <w:rPr>
          <w:rFonts w:ascii="Times New Roman" w:hAnsi="Times New Roman" w:cs="Times New Roman"/>
          <w:i/>
        </w:rPr>
        <w:t>Applied Economics</w:t>
      </w:r>
      <w:r w:rsidRPr="000932A9">
        <w:rPr>
          <w:rFonts w:ascii="Times New Roman" w:hAnsi="Times New Roman" w:cs="Times New Roman"/>
        </w:rPr>
        <w:t>, 46: 686-97</w:t>
      </w:r>
      <w:r w:rsidR="00164E8D">
        <w:rPr>
          <w:rFonts w:ascii="Times New Roman" w:hAnsi="Times New Roman" w:cs="Times New Roman"/>
        </w:rPr>
        <w:t>.</w:t>
      </w:r>
    </w:p>
    <w:p w14:paraId="78976534" w14:textId="5DF57721" w:rsidR="006561E8" w:rsidRPr="000932A9" w:rsidRDefault="00141F34" w:rsidP="006561E8">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Kristensen, N</w:t>
      </w:r>
      <w:r w:rsidR="00C40C10">
        <w:rPr>
          <w:rFonts w:ascii="Times New Roman" w:hAnsi="Times New Roman" w:cs="Times New Roman"/>
          <w:lang w:val="en-US"/>
        </w:rPr>
        <w:t>.</w:t>
      </w:r>
      <w:r w:rsidR="00491E05" w:rsidRPr="000932A9">
        <w:rPr>
          <w:rFonts w:ascii="Times New Roman" w:hAnsi="Times New Roman" w:cs="Times New Roman"/>
          <w:lang w:val="en-US"/>
        </w:rPr>
        <w:t xml:space="preserve"> and Johansson</w:t>
      </w:r>
      <w:r w:rsidR="00C40C10">
        <w:rPr>
          <w:rFonts w:ascii="Times New Roman" w:hAnsi="Times New Roman" w:cs="Times New Roman"/>
          <w:lang w:val="en-US"/>
        </w:rPr>
        <w:t>, E. (</w:t>
      </w:r>
      <w:r w:rsidR="00491E05" w:rsidRPr="000932A9">
        <w:rPr>
          <w:rFonts w:ascii="Times New Roman" w:hAnsi="Times New Roman" w:cs="Times New Roman"/>
          <w:lang w:val="en-US"/>
        </w:rPr>
        <w:t>2008</w:t>
      </w:r>
      <w:r w:rsidR="00C40C10">
        <w:rPr>
          <w:rFonts w:ascii="Times New Roman" w:hAnsi="Times New Roman" w:cs="Times New Roman"/>
          <w:lang w:val="en-US"/>
        </w:rPr>
        <w:t>)</w:t>
      </w:r>
      <w:r w:rsidR="00491E05" w:rsidRPr="000932A9">
        <w:rPr>
          <w:rFonts w:ascii="Times New Roman" w:hAnsi="Times New Roman" w:cs="Times New Roman"/>
          <w:lang w:val="en-US"/>
        </w:rPr>
        <w:t xml:space="preserve">. </w:t>
      </w:r>
      <w:r w:rsidR="00C40C10">
        <w:rPr>
          <w:rFonts w:ascii="Times New Roman" w:hAnsi="Times New Roman" w:cs="Times New Roman"/>
          <w:lang w:val="en-US"/>
        </w:rPr>
        <w:t>‘</w:t>
      </w:r>
      <w:r w:rsidR="00491E05" w:rsidRPr="000932A9">
        <w:rPr>
          <w:rFonts w:ascii="Times New Roman" w:hAnsi="Times New Roman" w:cs="Times New Roman"/>
          <w:lang w:val="en-US"/>
        </w:rPr>
        <w:t>N</w:t>
      </w:r>
      <w:r w:rsidRPr="000932A9">
        <w:rPr>
          <w:rFonts w:ascii="Times New Roman" w:hAnsi="Times New Roman" w:cs="Times New Roman"/>
          <w:lang w:val="en-US"/>
        </w:rPr>
        <w:t>ew Evidence on Cross-Country Difference in Job Satisfaction using Anchoring Vignettes</w:t>
      </w:r>
      <w:r w:rsidR="00C40C10">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Labour Economics</w:t>
      </w:r>
      <w:r w:rsidRPr="000932A9">
        <w:rPr>
          <w:rFonts w:ascii="Times New Roman" w:hAnsi="Times New Roman" w:cs="Times New Roman"/>
          <w:lang w:val="en-US"/>
        </w:rPr>
        <w:t xml:space="preserve"> 15: 96 – 117.</w:t>
      </w:r>
    </w:p>
    <w:p w14:paraId="55FB4357" w14:textId="52750163" w:rsidR="00DE1462" w:rsidRDefault="00396096" w:rsidP="00DE1462">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Lalive, R</w:t>
      </w:r>
      <w:r w:rsidR="00C40C10">
        <w:rPr>
          <w:rFonts w:ascii="Times New Roman" w:hAnsi="Times New Roman" w:cs="Times New Roman"/>
          <w:lang w:val="en-US"/>
        </w:rPr>
        <w:t>.</w:t>
      </w:r>
      <w:r w:rsidRPr="000932A9">
        <w:rPr>
          <w:rFonts w:ascii="Times New Roman" w:hAnsi="Times New Roman" w:cs="Times New Roman"/>
          <w:lang w:val="en-US"/>
        </w:rPr>
        <w:t xml:space="preserve"> and Stutzer</w:t>
      </w:r>
      <w:r w:rsidR="00C40C10">
        <w:rPr>
          <w:rFonts w:ascii="Times New Roman" w:hAnsi="Times New Roman" w:cs="Times New Roman"/>
          <w:lang w:val="en-US"/>
        </w:rPr>
        <w:t>, A. (</w:t>
      </w:r>
      <w:r w:rsidR="00516353">
        <w:rPr>
          <w:rFonts w:ascii="Times New Roman" w:hAnsi="Times New Roman" w:cs="Times New Roman"/>
          <w:lang w:val="en-US"/>
        </w:rPr>
        <w:t>2010</w:t>
      </w:r>
      <w:r w:rsidR="00C40C10">
        <w:rPr>
          <w:rFonts w:ascii="Times New Roman" w:hAnsi="Times New Roman" w:cs="Times New Roman"/>
          <w:lang w:val="en-US"/>
        </w:rPr>
        <w:t>)</w:t>
      </w:r>
      <w:r w:rsidR="00516353">
        <w:rPr>
          <w:rFonts w:ascii="Times New Roman" w:hAnsi="Times New Roman" w:cs="Times New Roman"/>
          <w:lang w:val="en-US"/>
        </w:rPr>
        <w:t xml:space="preserve">. </w:t>
      </w:r>
      <w:r w:rsidR="00C40C10">
        <w:rPr>
          <w:rFonts w:ascii="Times New Roman" w:hAnsi="Times New Roman" w:cs="Times New Roman"/>
          <w:lang w:val="en-US"/>
        </w:rPr>
        <w:t>‘</w:t>
      </w:r>
      <w:r w:rsidRPr="000932A9">
        <w:rPr>
          <w:rFonts w:ascii="Times New Roman" w:hAnsi="Times New Roman" w:cs="Times New Roman"/>
          <w:lang w:val="en-US"/>
        </w:rPr>
        <w:t>Approval of Equal Rights and Gender Differences in Well-being</w:t>
      </w:r>
      <w:r w:rsidR="00C40C10">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Journal of Population Economics</w:t>
      </w:r>
      <w:r w:rsidR="00C40C10">
        <w:rPr>
          <w:rFonts w:ascii="Times New Roman" w:hAnsi="Times New Roman" w:cs="Times New Roman"/>
          <w:lang w:val="en-US"/>
        </w:rPr>
        <w:t>,</w:t>
      </w:r>
      <w:r w:rsidRPr="000932A9">
        <w:rPr>
          <w:rFonts w:ascii="Times New Roman" w:hAnsi="Times New Roman" w:cs="Times New Roman"/>
          <w:lang w:val="en-US"/>
        </w:rPr>
        <w:t xml:space="preserve"> 23: 933 - 62.</w:t>
      </w:r>
    </w:p>
    <w:p w14:paraId="739385C0" w14:textId="0CE43915" w:rsidR="00EC4C07" w:rsidRPr="00EC4C07" w:rsidRDefault="00EC4C07" w:rsidP="00EC4C07">
      <w:pPr>
        <w:pStyle w:val="CommentText"/>
        <w:spacing w:line="360" w:lineRule="auto"/>
        <w:ind w:left="425" w:hanging="425"/>
        <w:rPr>
          <w:sz w:val="22"/>
          <w:szCs w:val="22"/>
        </w:rPr>
      </w:pPr>
      <w:r w:rsidRPr="00EC4C07">
        <w:rPr>
          <w:rFonts w:ascii="Times New Roman" w:hAnsi="Times New Roman" w:cs="Times New Roman"/>
          <w:sz w:val="22"/>
          <w:szCs w:val="22"/>
        </w:rPr>
        <w:t>Long, A. (2005)</w:t>
      </w:r>
      <w:r w:rsidR="00C40C10">
        <w:rPr>
          <w:rFonts w:ascii="Times New Roman" w:hAnsi="Times New Roman" w:cs="Times New Roman"/>
          <w:sz w:val="22"/>
          <w:szCs w:val="22"/>
        </w:rPr>
        <w:t>.</w:t>
      </w:r>
      <w:r w:rsidRPr="00EC4C07">
        <w:rPr>
          <w:rFonts w:ascii="Times New Roman" w:hAnsi="Times New Roman" w:cs="Times New Roman"/>
          <w:sz w:val="22"/>
          <w:szCs w:val="22"/>
        </w:rPr>
        <w:t xml:space="preserve"> </w:t>
      </w:r>
      <w:r w:rsidR="00C40C10">
        <w:rPr>
          <w:rFonts w:ascii="Times New Roman" w:hAnsi="Times New Roman" w:cs="Times New Roman"/>
          <w:sz w:val="22"/>
          <w:szCs w:val="22"/>
        </w:rPr>
        <w:t>‘</w:t>
      </w:r>
      <w:r w:rsidRPr="00EC4C07">
        <w:rPr>
          <w:rFonts w:ascii="Times New Roman" w:hAnsi="Times New Roman" w:cs="Times New Roman"/>
          <w:sz w:val="22"/>
          <w:szCs w:val="22"/>
        </w:rPr>
        <w:t>Happily Ever After? A Study of Job Satisfaction in Australia</w:t>
      </w:r>
      <w:r w:rsidR="00C40C10">
        <w:rPr>
          <w:rFonts w:ascii="Times New Roman" w:hAnsi="Times New Roman" w:cs="Times New Roman"/>
          <w:sz w:val="22"/>
          <w:szCs w:val="22"/>
        </w:rPr>
        <w:t>’</w:t>
      </w:r>
      <w:r w:rsidRPr="00EC4C07">
        <w:rPr>
          <w:rFonts w:ascii="Times New Roman" w:hAnsi="Times New Roman" w:cs="Times New Roman"/>
          <w:sz w:val="22"/>
          <w:szCs w:val="22"/>
        </w:rPr>
        <w:t xml:space="preserve">. </w:t>
      </w:r>
      <w:r w:rsidRPr="007D4A43">
        <w:rPr>
          <w:rFonts w:ascii="Times New Roman" w:hAnsi="Times New Roman" w:cs="Times New Roman"/>
          <w:i/>
          <w:sz w:val="22"/>
          <w:szCs w:val="22"/>
        </w:rPr>
        <w:t>Economic Record</w:t>
      </w:r>
      <w:r w:rsidRPr="00EC4C07">
        <w:rPr>
          <w:rFonts w:ascii="Times New Roman" w:hAnsi="Times New Roman" w:cs="Times New Roman"/>
          <w:sz w:val="22"/>
          <w:szCs w:val="22"/>
        </w:rPr>
        <w:t>, 81</w:t>
      </w:r>
      <w:r w:rsidR="007D4A43">
        <w:rPr>
          <w:rFonts w:ascii="Times New Roman" w:hAnsi="Times New Roman" w:cs="Times New Roman"/>
          <w:sz w:val="22"/>
          <w:szCs w:val="22"/>
        </w:rPr>
        <w:t>:</w:t>
      </w:r>
      <w:r w:rsidRPr="00EC4C07">
        <w:rPr>
          <w:rFonts w:ascii="Times New Roman" w:hAnsi="Times New Roman" w:cs="Times New Roman"/>
          <w:sz w:val="22"/>
          <w:szCs w:val="22"/>
        </w:rPr>
        <w:t xml:space="preserve"> 303-21</w:t>
      </w:r>
      <w:r w:rsidRPr="00EC4C07">
        <w:rPr>
          <w:sz w:val="22"/>
          <w:szCs w:val="22"/>
        </w:rPr>
        <w:t>.</w:t>
      </w:r>
    </w:p>
    <w:p w14:paraId="3CE30DD8" w14:textId="6F1DBA7C" w:rsidR="00DE1462" w:rsidRDefault="006561E8" w:rsidP="00DE1462">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Mumford, K</w:t>
      </w:r>
      <w:r w:rsidR="009F7912">
        <w:rPr>
          <w:rFonts w:ascii="Times New Roman" w:hAnsi="Times New Roman" w:cs="Times New Roman"/>
          <w:lang w:val="en-US"/>
        </w:rPr>
        <w:t xml:space="preserve">. and </w:t>
      </w:r>
      <w:r w:rsidRPr="000932A9">
        <w:rPr>
          <w:rFonts w:ascii="Times New Roman" w:hAnsi="Times New Roman" w:cs="Times New Roman"/>
          <w:lang w:val="en-US"/>
        </w:rPr>
        <w:t>Smith</w:t>
      </w:r>
      <w:r w:rsidR="009F7912">
        <w:rPr>
          <w:rFonts w:ascii="Times New Roman" w:hAnsi="Times New Roman" w:cs="Times New Roman"/>
          <w:lang w:val="en-US"/>
        </w:rPr>
        <w:t>, P.N. (</w:t>
      </w:r>
      <w:r w:rsidR="007E1BF1" w:rsidRPr="000932A9">
        <w:rPr>
          <w:rFonts w:ascii="Times New Roman" w:hAnsi="Times New Roman" w:cs="Times New Roman"/>
          <w:lang w:val="en-US"/>
        </w:rPr>
        <w:t>201</w:t>
      </w:r>
      <w:r w:rsidR="00C506FB" w:rsidRPr="000932A9">
        <w:rPr>
          <w:rFonts w:ascii="Times New Roman" w:hAnsi="Times New Roman" w:cs="Times New Roman"/>
          <w:lang w:val="en-US"/>
        </w:rPr>
        <w:t>5</w:t>
      </w:r>
      <w:r w:rsidR="009F7912">
        <w:rPr>
          <w:rFonts w:ascii="Times New Roman" w:hAnsi="Times New Roman" w:cs="Times New Roman"/>
          <w:lang w:val="en-US"/>
        </w:rPr>
        <w:t>)</w:t>
      </w:r>
      <w:r w:rsidRPr="000932A9">
        <w:rPr>
          <w:rFonts w:ascii="Times New Roman" w:hAnsi="Times New Roman" w:cs="Times New Roman"/>
          <w:lang w:val="en-US"/>
        </w:rPr>
        <w:t xml:space="preserve">. </w:t>
      </w:r>
      <w:r w:rsidR="009F7912">
        <w:rPr>
          <w:rFonts w:ascii="Times New Roman" w:hAnsi="Times New Roman" w:cs="Times New Roman"/>
          <w:lang w:val="en-US"/>
        </w:rPr>
        <w:t>‘</w:t>
      </w:r>
      <w:r w:rsidRPr="000932A9">
        <w:rPr>
          <w:rFonts w:ascii="Times New Roman" w:hAnsi="Times New Roman" w:cs="Times New Roman"/>
          <w:lang w:val="en-US"/>
        </w:rPr>
        <w:t>Peer Salaries and Gender Differences in Job Satisfaction</w:t>
      </w:r>
      <w:r w:rsidR="009F7912">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Manchester School</w:t>
      </w:r>
      <w:r w:rsidR="00DE1462">
        <w:rPr>
          <w:rFonts w:ascii="Times New Roman" w:hAnsi="Times New Roman" w:cs="Times New Roman"/>
          <w:lang w:val="en-US"/>
        </w:rPr>
        <w:t>, 83: 307-13.</w:t>
      </w:r>
    </w:p>
    <w:p w14:paraId="47E8EDDC" w14:textId="223DF4D0" w:rsidR="00DE1462" w:rsidRDefault="00483ED3" w:rsidP="00DE1462">
      <w:pPr>
        <w:spacing w:after="0" w:line="480" w:lineRule="auto"/>
        <w:ind w:left="432" w:hanging="432"/>
        <w:rPr>
          <w:rFonts w:ascii="Times New Roman" w:hAnsi="Times New Roman" w:cs="Times New Roman"/>
          <w:lang w:val="en-US"/>
        </w:rPr>
      </w:pPr>
      <w:r w:rsidRPr="000932A9">
        <w:rPr>
          <w:rFonts w:ascii="Times New Roman" w:hAnsi="Times New Roman" w:cs="Times New Roman"/>
        </w:rPr>
        <w:t>Oaxaca, R. and Ransom, M. (1994). ‘On Discrimination and the Decomposition of</w:t>
      </w:r>
      <w:r w:rsidR="00DE1462">
        <w:rPr>
          <w:rFonts w:ascii="Times New Roman" w:hAnsi="Times New Roman" w:cs="Times New Roman"/>
          <w:lang w:val="en-US"/>
        </w:rPr>
        <w:t xml:space="preserve"> </w:t>
      </w:r>
      <w:r w:rsidRPr="000932A9">
        <w:rPr>
          <w:rFonts w:ascii="Times New Roman" w:hAnsi="Times New Roman" w:cs="Times New Roman"/>
        </w:rPr>
        <w:t>Wage Differentials’</w:t>
      </w:r>
      <w:r w:rsidR="009F7912">
        <w:rPr>
          <w:rFonts w:ascii="Times New Roman" w:hAnsi="Times New Roman" w:cs="Times New Roman"/>
        </w:rPr>
        <w:t>.</w:t>
      </w:r>
      <w:r w:rsidRPr="000932A9">
        <w:rPr>
          <w:rFonts w:ascii="Times New Roman" w:hAnsi="Times New Roman" w:cs="Times New Roman"/>
        </w:rPr>
        <w:t xml:space="preserve"> </w:t>
      </w:r>
      <w:r w:rsidRPr="000932A9">
        <w:rPr>
          <w:rFonts w:ascii="Times New Roman" w:hAnsi="Times New Roman" w:cs="Times New Roman"/>
          <w:i/>
          <w:iCs/>
        </w:rPr>
        <w:t>Journal of Econometrics</w:t>
      </w:r>
      <w:r w:rsidR="009F7912">
        <w:rPr>
          <w:rFonts w:ascii="Times New Roman" w:hAnsi="Times New Roman" w:cs="Times New Roman"/>
        </w:rPr>
        <w:t>, 61:</w:t>
      </w:r>
      <w:r w:rsidRPr="000932A9">
        <w:rPr>
          <w:rFonts w:ascii="Times New Roman" w:hAnsi="Times New Roman" w:cs="Times New Roman"/>
        </w:rPr>
        <w:t xml:space="preserve"> 5–21.</w:t>
      </w:r>
    </w:p>
    <w:p w14:paraId="09BBA5F6" w14:textId="682A5D98" w:rsidR="00141F34" w:rsidRPr="000932A9" w:rsidRDefault="00141F34" w:rsidP="00DE1462">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Sloane, P</w:t>
      </w:r>
      <w:r w:rsidR="009F7912">
        <w:rPr>
          <w:rFonts w:ascii="Times New Roman" w:hAnsi="Times New Roman" w:cs="Times New Roman"/>
          <w:lang w:val="en-US"/>
        </w:rPr>
        <w:t>.</w:t>
      </w:r>
      <w:r w:rsidRPr="000932A9">
        <w:rPr>
          <w:rFonts w:ascii="Times New Roman" w:hAnsi="Times New Roman" w:cs="Times New Roman"/>
          <w:lang w:val="en-US"/>
        </w:rPr>
        <w:t xml:space="preserve"> and </w:t>
      </w:r>
      <w:r w:rsidR="009F7912">
        <w:rPr>
          <w:rFonts w:ascii="Times New Roman" w:hAnsi="Times New Roman" w:cs="Times New Roman"/>
          <w:lang w:val="en-US"/>
        </w:rPr>
        <w:t>W</w:t>
      </w:r>
      <w:r w:rsidRPr="000932A9">
        <w:rPr>
          <w:rFonts w:ascii="Times New Roman" w:hAnsi="Times New Roman" w:cs="Times New Roman"/>
          <w:lang w:val="en-US"/>
        </w:rPr>
        <w:t>illiams</w:t>
      </w:r>
      <w:r w:rsidR="009F7912">
        <w:rPr>
          <w:rFonts w:ascii="Times New Roman" w:hAnsi="Times New Roman" w:cs="Times New Roman"/>
          <w:lang w:val="en-US"/>
        </w:rPr>
        <w:t>, H</w:t>
      </w:r>
      <w:r w:rsidRPr="000932A9">
        <w:rPr>
          <w:rFonts w:ascii="Times New Roman" w:hAnsi="Times New Roman" w:cs="Times New Roman"/>
          <w:lang w:val="en-US"/>
        </w:rPr>
        <w:t xml:space="preserve">. </w:t>
      </w:r>
      <w:r w:rsidR="009F7912">
        <w:rPr>
          <w:rFonts w:ascii="Times New Roman" w:hAnsi="Times New Roman" w:cs="Times New Roman"/>
          <w:lang w:val="en-US"/>
        </w:rPr>
        <w:t>(</w:t>
      </w:r>
      <w:r w:rsidR="00116C83" w:rsidRPr="000932A9">
        <w:rPr>
          <w:rFonts w:ascii="Times New Roman" w:hAnsi="Times New Roman" w:cs="Times New Roman"/>
          <w:lang w:val="en-US"/>
        </w:rPr>
        <w:t>2000</w:t>
      </w:r>
      <w:r w:rsidR="009F7912">
        <w:rPr>
          <w:rFonts w:ascii="Times New Roman" w:hAnsi="Times New Roman" w:cs="Times New Roman"/>
          <w:lang w:val="en-US"/>
        </w:rPr>
        <w:t>)</w:t>
      </w:r>
      <w:r w:rsidR="00116C83" w:rsidRPr="000932A9">
        <w:rPr>
          <w:rFonts w:ascii="Times New Roman" w:hAnsi="Times New Roman" w:cs="Times New Roman"/>
          <w:lang w:val="en-US"/>
        </w:rPr>
        <w:t xml:space="preserve">. </w:t>
      </w:r>
      <w:r w:rsidR="009F7912">
        <w:rPr>
          <w:rFonts w:ascii="Times New Roman" w:hAnsi="Times New Roman" w:cs="Times New Roman"/>
          <w:lang w:val="en-US"/>
        </w:rPr>
        <w:t>‘</w:t>
      </w:r>
      <w:r w:rsidR="00116C83" w:rsidRPr="000932A9">
        <w:rPr>
          <w:rFonts w:ascii="Times New Roman" w:hAnsi="Times New Roman" w:cs="Times New Roman"/>
          <w:lang w:val="en-US"/>
        </w:rPr>
        <w:t>Job Satisfaction, Comparison Earnings and Gender</w:t>
      </w:r>
      <w:r w:rsidR="009F7912">
        <w:rPr>
          <w:rFonts w:ascii="Times New Roman" w:hAnsi="Times New Roman" w:cs="Times New Roman"/>
          <w:lang w:val="en-US"/>
        </w:rPr>
        <w:t>’.</w:t>
      </w:r>
      <w:r w:rsidR="00116C83" w:rsidRPr="000932A9">
        <w:rPr>
          <w:rFonts w:ascii="Times New Roman" w:hAnsi="Times New Roman" w:cs="Times New Roman"/>
          <w:lang w:val="en-US"/>
        </w:rPr>
        <w:t xml:space="preserve"> </w:t>
      </w:r>
      <w:r w:rsidR="00116C83" w:rsidRPr="000932A9">
        <w:rPr>
          <w:rFonts w:ascii="Times New Roman" w:hAnsi="Times New Roman" w:cs="Times New Roman"/>
          <w:i/>
          <w:lang w:val="en-US"/>
        </w:rPr>
        <w:t xml:space="preserve">Labour </w:t>
      </w:r>
      <w:r w:rsidR="00116C83" w:rsidRPr="000932A9">
        <w:rPr>
          <w:rFonts w:ascii="Times New Roman" w:hAnsi="Times New Roman" w:cs="Times New Roman"/>
          <w:lang w:val="en-US"/>
        </w:rPr>
        <w:t>14 473 – 502.</w:t>
      </w:r>
    </w:p>
    <w:p w14:paraId="7EDA83A3" w14:textId="6F5ECE49" w:rsidR="002D1342" w:rsidRPr="000932A9" w:rsidRDefault="002D1342" w:rsidP="002D1342">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Sousa-Poza, A</w:t>
      </w:r>
      <w:r w:rsidR="009F7912">
        <w:rPr>
          <w:rFonts w:ascii="Times New Roman" w:hAnsi="Times New Roman" w:cs="Times New Roman"/>
          <w:lang w:val="en-US"/>
        </w:rPr>
        <w:t>.</w:t>
      </w:r>
      <w:r w:rsidRPr="000932A9">
        <w:rPr>
          <w:rFonts w:ascii="Times New Roman" w:hAnsi="Times New Roman" w:cs="Times New Roman"/>
          <w:lang w:val="en-US"/>
        </w:rPr>
        <w:t xml:space="preserve"> and Sousa-Poza</w:t>
      </w:r>
      <w:r w:rsidR="009F7912">
        <w:rPr>
          <w:rFonts w:ascii="Times New Roman" w:hAnsi="Times New Roman" w:cs="Times New Roman"/>
          <w:lang w:val="en-US"/>
        </w:rPr>
        <w:t>, A.A. (2000). ‘T</w:t>
      </w:r>
      <w:r w:rsidRPr="000932A9">
        <w:rPr>
          <w:rFonts w:ascii="Times New Roman" w:hAnsi="Times New Roman" w:cs="Times New Roman"/>
          <w:lang w:val="en-US"/>
        </w:rPr>
        <w:t>aking Another Look at the Gender Job-Satisfaction Paradox</w:t>
      </w:r>
      <w:r w:rsidR="009F7912">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KYKLOS</w:t>
      </w:r>
      <w:r w:rsidR="009F7912">
        <w:rPr>
          <w:rFonts w:ascii="Times New Roman" w:hAnsi="Times New Roman" w:cs="Times New Roman"/>
          <w:i/>
          <w:lang w:val="en-US"/>
        </w:rPr>
        <w:t xml:space="preserve">, </w:t>
      </w:r>
      <w:r w:rsidRPr="000932A9">
        <w:rPr>
          <w:rFonts w:ascii="Times New Roman" w:hAnsi="Times New Roman" w:cs="Times New Roman"/>
          <w:lang w:val="en-US"/>
        </w:rPr>
        <w:t>53: 135 – 152.</w:t>
      </w:r>
    </w:p>
    <w:p w14:paraId="1FF90A0A" w14:textId="73A42B3B" w:rsidR="007B1F59" w:rsidRPr="000932A9" w:rsidRDefault="009F7912" w:rsidP="00DA3697">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t>Sousa-Poza, A</w:t>
      </w:r>
      <w:r>
        <w:rPr>
          <w:rFonts w:ascii="Times New Roman" w:hAnsi="Times New Roman" w:cs="Times New Roman"/>
          <w:lang w:val="en-US"/>
        </w:rPr>
        <w:t>.</w:t>
      </w:r>
      <w:r w:rsidRPr="000932A9">
        <w:rPr>
          <w:rFonts w:ascii="Times New Roman" w:hAnsi="Times New Roman" w:cs="Times New Roman"/>
          <w:lang w:val="en-US"/>
        </w:rPr>
        <w:t xml:space="preserve"> and Sousa-Poza</w:t>
      </w:r>
      <w:r>
        <w:rPr>
          <w:rFonts w:ascii="Times New Roman" w:hAnsi="Times New Roman" w:cs="Times New Roman"/>
          <w:lang w:val="en-US"/>
        </w:rPr>
        <w:t>, A.A. (2003)</w:t>
      </w:r>
      <w:r w:rsidR="007B1F59" w:rsidRPr="000932A9">
        <w:rPr>
          <w:rFonts w:ascii="Times New Roman" w:hAnsi="Times New Roman" w:cs="Times New Roman"/>
          <w:lang w:val="en-US"/>
        </w:rPr>
        <w:t xml:space="preserve">. </w:t>
      </w:r>
      <w:r>
        <w:rPr>
          <w:rFonts w:ascii="Times New Roman" w:hAnsi="Times New Roman" w:cs="Times New Roman"/>
          <w:lang w:val="en-US"/>
        </w:rPr>
        <w:t>‘</w:t>
      </w:r>
      <w:r w:rsidR="007B1F59" w:rsidRPr="000932A9">
        <w:rPr>
          <w:rFonts w:ascii="Times New Roman" w:hAnsi="Times New Roman" w:cs="Times New Roman"/>
          <w:lang w:val="en-US"/>
        </w:rPr>
        <w:t xml:space="preserve">Gender Differences in Job Satisfaction in Great </w:t>
      </w:r>
      <w:r w:rsidR="00DC176B" w:rsidRPr="000932A9">
        <w:rPr>
          <w:rFonts w:ascii="Times New Roman" w:hAnsi="Times New Roman" w:cs="Times New Roman"/>
          <w:lang w:val="en-US"/>
        </w:rPr>
        <w:t>Britain, 1991-2000: Permanent or</w:t>
      </w:r>
      <w:r w:rsidR="007B1F59" w:rsidRPr="000932A9">
        <w:rPr>
          <w:rFonts w:ascii="Times New Roman" w:hAnsi="Times New Roman" w:cs="Times New Roman"/>
          <w:lang w:val="en-US"/>
        </w:rPr>
        <w:t xml:space="preserve"> Transitory?</w:t>
      </w:r>
      <w:r>
        <w:rPr>
          <w:rFonts w:ascii="Times New Roman" w:hAnsi="Times New Roman" w:cs="Times New Roman"/>
          <w:lang w:val="en-US"/>
        </w:rPr>
        <w:t>’</w:t>
      </w:r>
      <w:r w:rsidR="007B1F59" w:rsidRPr="000932A9">
        <w:rPr>
          <w:rFonts w:ascii="Times New Roman" w:hAnsi="Times New Roman" w:cs="Times New Roman"/>
          <w:lang w:val="en-US"/>
        </w:rPr>
        <w:t xml:space="preserve"> </w:t>
      </w:r>
      <w:r w:rsidR="007B1F59" w:rsidRPr="000932A9">
        <w:rPr>
          <w:rFonts w:ascii="Times New Roman" w:hAnsi="Times New Roman" w:cs="Times New Roman"/>
          <w:i/>
          <w:lang w:val="en-US"/>
        </w:rPr>
        <w:t>Applied Economics Letters</w:t>
      </w:r>
      <w:r>
        <w:rPr>
          <w:rFonts w:ascii="Times New Roman" w:hAnsi="Times New Roman" w:cs="Times New Roman"/>
          <w:i/>
          <w:lang w:val="en-US"/>
        </w:rPr>
        <w:t>,</w:t>
      </w:r>
      <w:r w:rsidR="007B1F59" w:rsidRPr="000932A9">
        <w:rPr>
          <w:rFonts w:ascii="Times New Roman" w:hAnsi="Times New Roman" w:cs="Times New Roman"/>
          <w:lang w:val="en-US"/>
        </w:rPr>
        <w:t xml:space="preserve"> 10: 691 – 694.</w:t>
      </w:r>
    </w:p>
    <w:p w14:paraId="3002E4FF" w14:textId="6573C42B" w:rsidR="008021EE" w:rsidRDefault="008021EE" w:rsidP="008021EE">
      <w:pPr>
        <w:spacing w:after="0" w:line="480" w:lineRule="auto"/>
        <w:ind w:left="432" w:hanging="432"/>
        <w:rPr>
          <w:rFonts w:ascii="Times New Roman" w:hAnsi="Times New Roman" w:cs="Times New Roman"/>
          <w:lang w:val="en-US"/>
        </w:rPr>
      </w:pPr>
      <w:r w:rsidRPr="000932A9">
        <w:rPr>
          <w:rFonts w:ascii="Times New Roman" w:hAnsi="Times New Roman" w:cs="Times New Roman"/>
          <w:lang w:val="en-US"/>
        </w:rPr>
        <w:lastRenderedPageBreak/>
        <w:t>Stevenson, B</w:t>
      </w:r>
      <w:r w:rsidR="009F7912">
        <w:rPr>
          <w:rFonts w:ascii="Times New Roman" w:hAnsi="Times New Roman" w:cs="Times New Roman"/>
          <w:lang w:val="en-US"/>
        </w:rPr>
        <w:t>.</w:t>
      </w:r>
      <w:r w:rsidRPr="000932A9">
        <w:rPr>
          <w:rFonts w:ascii="Times New Roman" w:hAnsi="Times New Roman" w:cs="Times New Roman"/>
          <w:lang w:val="en-US"/>
        </w:rPr>
        <w:t xml:space="preserve"> and Wolfers</w:t>
      </w:r>
      <w:r w:rsidR="009F7912">
        <w:rPr>
          <w:rFonts w:ascii="Times New Roman" w:hAnsi="Times New Roman" w:cs="Times New Roman"/>
          <w:lang w:val="en-US"/>
        </w:rPr>
        <w:t>, J.</w:t>
      </w:r>
      <w:r w:rsidR="000436BB">
        <w:rPr>
          <w:rFonts w:ascii="Times New Roman" w:hAnsi="Times New Roman" w:cs="Times New Roman"/>
          <w:lang w:val="en-US"/>
        </w:rPr>
        <w:t xml:space="preserve"> (2009). ‘</w:t>
      </w:r>
      <w:r w:rsidRPr="000932A9">
        <w:rPr>
          <w:rFonts w:ascii="Times New Roman" w:hAnsi="Times New Roman" w:cs="Times New Roman"/>
          <w:lang w:val="en-US"/>
        </w:rPr>
        <w:t>The Paradox of Declining Female Happiness</w:t>
      </w:r>
      <w:r w:rsidR="000436BB">
        <w:rPr>
          <w:rFonts w:ascii="Times New Roman" w:hAnsi="Times New Roman" w:cs="Times New Roman"/>
          <w:lang w:val="en-US"/>
        </w:rPr>
        <w:t>’.</w:t>
      </w:r>
      <w:r w:rsidRPr="000932A9">
        <w:rPr>
          <w:rFonts w:ascii="Times New Roman" w:hAnsi="Times New Roman" w:cs="Times New Roman"/>
          <w:lang w:val="en-US"/>
        </w:rPr>
        <w:t xml:space="preserve"> </w:t>
      </w:r>
      <w:r w:rsidRPr="000932A9">
        <w:rPr>
          <w:rFonts w:ascii="Times New Roman" w:hAnsi="Times New Roman" w:cs="Times New Roman"/>
          <w:i/>
          <w:lang w:val="en-US"/>
        </w:rPr>
        <w:t xml:space="preserve">American Economic Journal: Economic Policy </w:t>
      </w:r>
      <w:r w:rsidRPr="000932A9">
        <w:rPr>
          <w:rFonts w:ascii="Times New Roman" w:hAnsi="Times New Roman" w:cs="Times New Roman"/>
          <w:lang w:val="en-US"/>
        </w:rPr>
        <w:t>1: 190 – 225.</w:t>
      </w:r>
    </w:p>
    <w:p w14:paraId="039E454D" w14:textId="75FB5A88" w:rsidR="00C41DEC" w:rsidRPr="00C41DEC" w:rsidRDefault="00C41DEC" w:rsidP="00C41DEC">
      <w:pPr>
        <w:spacing w:after="0" w:line="480" w:lineRule="auto"/>
        <w:ind w:left="432" w:hanging="432"/>
        <w:rPr>
          <w:rFonts w:ascii="Times New Roman" w:hAnsi="Times New Roman" w:cs="Times New Roman"/>
          <w:lang w:val="en-US"/>
        </w:rPr>
      </w:pPr>
      <w:r w:rsidRPr="00C41DEC">
        <w:rPr>
          <w:rFonts w:ascii="Times New Roman" w:hAnsi="Times New Roman" w:cs="Times New Roman"/>
          <w:lang w:val="en-US"/>
        </w:rPr>
        <w:t xml:space="preserve">Westover, J. </w:t>
      </w:r>
      <w:r w:rsidR="000436BB">
        <w:rPr>
          <w:rFonts w:ascii="Times New Roman" w:hAnsi="Times New Roman" w:cs="Times New Roman"/>
          <w:lang w:val="en-US"/>
        </w:rPr>
        <w:t>(</w:t>
      </w:r>
      <w:r w:rsidRPr="00C41DEC">
        <w:rPr>
          <w:rFonts w:ascii="Times New Roman" w:hAnsi="Times New Roman" w:cs="Times New Roman"/>
          <w:lang w:val="en-US"/>
        </w:rPr>
        <w:t>2012</w:t>
      </w:r>
      <w:r w:rsidR="000436BB">
        <w:rPr>
          <w:rFonts w:ascii="Times New Roman" w:hAnsi="Times New Roman" w:cs="Times New Roman"/>
          <w:lang w:val="en-US"/>
        </w:rPr>
        <w:t>)</w:t>
      </w:r>
      <w:r w:rsidRPr="00C41DEC">
        <w:rPr>
          <w:rFonts w:ascii="Times New Roman" w:hAnsi="Times New Roman" w:cs="Times New Roman"/>
          <w:lang w:val="en-US"/>
        </w:rPr>
        <w:t xml:space="preserve">. </w:t>
      </w:r>
      <w:r w:rsidR="000436BB">
        <w:rPr>
          <w:rFonts w:ascii="Times New Roman" w:hAnsi="Times New Roman" w:cs="Times New Roman"/>
          <w:lang w:val="en-US"/>
        </w:rPr>
        <w:t>‘</w:t>
      </w:r>
      <w:r w:rsidRPr="00C41DEC">
        <w:rPr>
          <w:rFonts w:ascii="Times New Roman" w:hAnsi="Times New Roman" w:cs="Times New Roman"/>
          <w:lang w:val="en-US"/>
        </w:rPr>
        <w:t>The Job Satisfaction-Gender Paradox Revisited: A Cross-National Look at</w:t>
      </w:r>
      <w:r>
        <w:rPr>
          <w:rFonts w:ascii="Times New Roman" w:hAnsi="Times New Roman" w:cs="Times New Roman"/>
          <w:lang w:val="en-US"/>
        </w:rPr>
        <w:t xml:space="preserve"> </w:t>
      </w:r>
      <w:r w:rsidRPr="00C41DEC">
        <w:rPr>
          <w:rFonts w:ascii="Times New Roman" w:hAnsi="Times New Roman" w:cs="Times New Roman"/>
          <w:lang w:val="en-US"/>
        </w:rPr>
        <w:t>Gender Differences in Job Satisfaction 1989–</w:t>
      </w:r>
      <w:r w:rsidR="00087087">
        <w:rPr>
          <w:rFonts w:ascii="Times New Roman" w:hAnsi="Times New Roman" w:cs="Times New Roman"/>
          <w:lang w:val="en-US"/>
        </w:rPr>
        <w:t>2005</w:t>
      </w:r>
      <w:r w:rsidR="000436BB">
        <w:rPr>
          <w:rFonts w:ascii="Times New Roman" w:hAnsi="Times New Roman" w:cs="Times New Roman"/>
          <w:lang w:val="en-US"/>
        </w:rPr>
        <w:t>’.</w:t>
      </w:r>
      <w:r w:rsidRPr="00C41DEC">
        <w:rPr>
          <w:rFonts w:ascii="Times New Roman" w:hAnsi="Times New Roman" w:cs="Times New Roman"/>
          <w:lang w:val="en-US"/>
        </w:rPr>
        <w:t xml:space="preserve"> </w:t>
      </w:r>
      <w:r w:rsidRPr="00C41DEC">
        <w:rPr>
          <w:rFonts w:ascii="Times New Roman" w:hAnsi="Times New Roman" w:cs="Times New Roman"/>
          <w:i/>
          <w:lang w:val="en-US"/>
        </w:rPr>
        <w:t>Journal of Global Responsibility</w:t>
      </w:r>
      <w:r w:rsidR="000436BB">
        <w:rPr>
          <w:rFonts w:ascii="Times New Roman" w:hAnsi="Times New Roman" w:cs="Times New Roman"/>
          <w:i/>
          <w:lang w:val="en-US"/>
        </w:rPr>
        <w:t>,</w:t>
      </w:r>
      <w:r w:rsidRPr="00C41DEC">
        <w:rPr>
          <w:rFonts w:ascii="Times New Roman" w:hAnsi="Times New Roman" w:cs="Times New Roman"/>
          <w:lang w:val="en-US"/>
        </w:rPr>
        <w:t xml:space="preserve"> 3: 263–77</w:t>
      </w:r>
      <w:r w:rsidR="00047CCC">
        <w:rPr>
          <w:rFonts w:ascii="Times New Roman" w:hAnsi="Times New Roman" w:cs="Times New Roman"/>
          <w:lang w:val="en-US"/>
        </w:rPr>
        <w:t>.</w:t>
      </w:r>
    </w:p>
    <w:p w14:paraId="18867A00" w14:textId="77777777" w:rsidR="00C41DEC" w:rsidRPr="000932A9" w:rsidRDefault="00C41DEC" w:rsidP="008021EE">
      <w:pPr>
        <w:spacing w:after="0" w:line="480" w:lineRule="auto"/>
        <w:ind w:left="432" w:hanging="432"/>
        <w:rPr>
          <w:rFonts w:ascii="Times New Roman" w:hAnsi="Times New Roman" w:cs="Times New Roman"/>
          <w:lang w:val="en-US"/>
        </w:rPr>
      </w:pPr>
    </w:p>
    <w:p w14:paraId="7A17C96C" w14:textId="77777777" w:rsidR="004970A2" w:rsidRPr="000932A9" w:rsidRDefault="004970A2" w:rsidP="001A54B1">
      <w:pPr>
        <w:spacing w:line="480" w:lineRule="auto"/>
        <w:jc w:val="both"/>
        <w:rPr>
          <w:rFonts w:ascii="Times New Roman" w:hAnsi="Times New Roman" w:cs="Times New Roman"/>
        </w:rPr>
      </w:pPr>
    </w:p>
    <w:p w14:paraId="7D973CAD" w14:textId="77777777" w:rsidR="00B54F80" w:rsidRPr="000932A9" w:rsidRDefault="00B54F80">
      <w:pPr>
        <w:rPr>
          <w:rFonts w:ascii="Times New Roman" w:hAnsi="Times New Roman" w:cs="Times New Roman"/>
        </w:rPr>
      </w:pPr>
      <w:r w:rsidRPr="000932A9">
        <w:rPr>
          <w:rFonts w:ascii="Times New Roman" w:hAnsi="Times New Roman" w:cs="Times New Roman"/>
        </w:rPr>
        <w:br w:type="page"/>
      </w:r>
    </w:p>
    <w:p w14:paraId="6E2BDC2C" w14:textId="7D90C399"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b/>
        </w:rPr>
        <w:lastRenderedPageBreak/>
        <w:t>TABLE 1</w:t>
      </w:r>
      <w:r w:rsidRPr="000932A9">
        <w:rPr>
          <w:rFonts w:ascii="Times New Roman" w:hAnsi="Times New Roman" w:cs="Times New Roman"/>
        </w:rPr>
        <w:t xml:space="preserve">: Gender Differences </w:t>
      </w:r>
      <w:r w:rsidRPr="007D2CA9">
        <w:rPr>
          <w:rFonts w:ascii="Times New Roman" w:hAnsi="Times New Roman" w:cs="Times New Roman"/>
        </w:rPr>
        <w:t xml:space="preserve">in Job Satisfaction, Ordered Probit </w:t>
      </w:r>
      <w:r w:rsidR="002E2CDD" w:rsidRPr="007D2CA9">
        <w:rPr>
          <w:rFonts w:ascii="Times New Roman" w:hAnsi="Times New Roman" w:cs="Times New Roman"/>
        </w:rPr>
        <w:t>Coefficients</w:t>
      </w:r>
      <w:r w:rsidRPr="007D2CA9">
        <w:rPr>
          <w:rFonts w:ascii="Times New Roman" w:hAnsi="Times New Roman" w:cs="Times New Roman"/>
        </w:rPr>
        <w:t>, 1991</w:t>
      </w:r>
      <w:r w:rsidRPr="000932A9">
        <w:rPr>
          <w:rFonts w:ascii="Times New Roman" w:hAnsi="Times New Roman" w:cs="Times New Roman"/>
        </w:rPr>
        <w:t>, 2008 &amp; 20</w:t>
      </w:r>
      <w:r>
        <w:rPr>
          <w:rFonts w:ascii="Times New Roman" w:hAnsi="Times New Roman" w:cs="Times New Roman"/>
        </w:rPr>
        <w:t>12-20</w:t>
      </w:r>
      <w:r w:rsidRPr="000932A9">
        <w:rPr>
          <w:rFonts w:ascii="Times New Roman" w:hAnsi="Times New Roman" w:cs="Times New Roman"/>
        </w:rPr>
        <w:t>14</w:t>
      </w:r>
    </w:p>
    <w:p w14:paraId="23AA77A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bl>
      <w:tblPr>
        <w:tblW w:w="11658" w:type="dxa"/>
        <w:jc w:val="center"/>
        <w:tblLayout w:type="fixed"/>
        <w:tblCellMar>
          <w:left w:w="75" w:type="dxa"/>
          <w:right w:w="75" w:type="dxa"/>
        </w:tblCellMar>
        <w:tblLook w:val="0000" w:firstRow="0" w:lastRow="0" w:firstColumn="0" w:lastColumn="0" w:noHBand="0" w:noVBand="0"/>
      </w:tblPr>
      <w:tblGrid>
        <w:gridCol w:w="2424"/>
        <w:gridCol w:w="1314"/>
        <w:gridCol w:w="1728"/>
        <w:gridCol w:w="1440"/>
        <w:gridCol w:w="1728"/>
        <w:gridCol w:w="1440"/>
        <w:gridCol w:w="1584"/>
      </w:tblGrid>
      <w:tr w:rsidR="00164949" w:rsidRPr="000932A9" w14:paraId="1BE67E60" w14:textId="77777777" w:rsidTr="00164949">
        <w:trPr>
          <w:jc w:val="center"/>
        </w:trPr>
        <w:tc>
          <w:tcPr>
            <w:tcW w:w="2424" w:type="dxa"/>
            <w:tcBorders>
              <w:top w:val="single" w:sz="6" w:space="0" w:color="auto"/>
              <w:left w:val="nil"/>
              <w:right w:val="nil"/>
            </w:tcBorders>
          </w:tcPr>
          <w:p w14:paraId="5DBDECB5"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single" w:sz="6" w:space="0" w:color="auto"/>
              <w:left w:val="nil"/>
              <w:right w:val="nil"/>
            </w:tcBorders>
          </w:tcPr>
          <w:p w14:paraId="5A2EB2D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w:t>
            </w:r>
          </w:p>
        </w:tc>
        <w:tc>
          <w:tcPr>
            <w:tcW w:w="1728" w:type="dxa"/>
            <w:tcBorders>
              <w:top w:val="single" w:sz="6" w:space="0" w:color="auto"/>
              <w:left w:val="nil"/>
              <w:right w:val="nil"/>
            </w:tcBorders>
          </w:tcPr>
          <w:p w14:paraId="4C8EFEA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w:t>
            </w:r>
          </w:p>
        </w:tc>
        <w:tc>
          <w:tcPr>
            <w:tcW w:w="1440" w:type="dxa"/>
            <w:tcBorders>
              <w:top w:val="single" w:sz="6" w:space="0" w:color="auto"/>
              <w:left w:val="nil"/>
              <w:right w:val="nil"/>
            </w:tcBorders>
          </w:tcPr>
          <w:p w14:paraId="24CD0B4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(3)</w:t>
            </w:r>
          </w:p>
        </w:tc>
        <w:tc>
          <w:tcPr>
            <w:tcW w:w="1728" w:type="dxa"/>
            <w:tcBorders>
              <w:top w:val="single" w:sz="6" w:space="0" w:color="auto"/>
              <w:left w:val="nil"/>
              <w:right w:val="nil"/>
            </w:tcBorders>
          </w:tcPr>
          <w:p w14:paraId="6935F01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(4)</w:t>
            </w:r>
          </w:p>
        </w:tc>
        <w:tc>
          <w:tcPr>
            <w:tcW w:w="1440" w:type="dxa"/>
            <w:tcBorders>
              <w:top w:val="single" w:sz="6" w:space="0" w:color="auto"/>
              <w:left w:val="nil"/>
              <w:right w:val="nil"/>
            </w:tcBorders>
          </w:tcPr>
          <w:p w14:paraId="5547972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(5)</w:t>
            </w:r>
          </w:p>
        </w:tc>
        <w:tc>
          <w:tcPr>
            <w:tcW w:w="1584" w:type="dxa"/>
            <w:tcBorders>
              <w:top w:val="single" w:sz="6" w:space="0" w:color="auto"/>
              <w:left w:val="nil"/>
              <w:right w:val="nil"/>
            </w:tcBorders>
          </w:tcPr>
          <w:p w14:paraId="367E07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(6)</w:t>
            </w:r>
          </w:p>
        </w:tc>
      </w:tr>
      <w:tr w:rsidR="00164949" w:rsidRPr="000932A9" w14:paraId="17A82376" w14:textId="77777777" w:rsidTr="00164949">
        <w:trPr>
          <w:jc w:val="center"/>
        </w:trPr>
        <w:tc>
          <w:tcPr>
            <w:tcW w:w="2424" w:type="dxa"/>
            <w:tcBorders>
              <w:top w:val="nil"/>
              <w:left w:val="nil"/>
              <w:bottom w:val="single" w:sz="4" w:space="0" w:color="auto"/>
              <w:right w:val="nil"/>
            </w:tcBorders>
          </w:tcPr>
          <w:p w14:paraId="748AFCB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single" w:sz="4" w:space="0" w:color="auto"/>
              <w:right w:val="nil"/>
            </w:tcBorders>
          </w:tcPr>
          <w:p w14:paraId="130E028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I 1991</w:t>
            </w:r>
          </w:p>
        </w:tc>
        <w:tc>
          <w:tcPr>
            <w:tcW w:w="1728" w:type="dxa"/>
            <w:tcBorders>
              <w:top w:val="nil"/>
              <w:left w:val="nil"/>
              <w:bottom w:val="single" w:sz="4" w:space="0" w:color="auto"/>
              <w:right w:val="nil"/>
            </w:tcBorders>
          </w:tcPr>
          <w:p w14:paraId="1B82B27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II 1991</w:t>
            </w:r>
          </w:p>
        </w:tc>
        <w:tc>
          <w:tcPr>
            <w:tcW w:w="1440" w:type="dxa"/>
            <w:tcBorders>
              <w:top w:val="nil"/>
              <w:left w:val="nil"/>
              <w:bottom w:val="single" w:sz="4" w:space="0" w:color="auto"/>
              <w:right w:val="nil"/>
            </w:tcBorders>
          </w:tcPr>
          <w:p w14:paraId="0004F0B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III 2008</w:t>
            </w:r>
          </w:p>
        </w:tc>
        <w:tc>
          <w:tcPr>
            <w:tcW w:w="1728" w:type="dxa"/>
            <w:tcBorders>
              <w:top w:val="nil"/>
              <w:left w:val="nil"/>
              <w:bottom w:val="single" w:sz="4" w:space="0" w:color="auto"/>
              <w:right w:val="nil"/>
            </w:tcBorders>
          </w:tcPr>
          <w:p w14:paraId="5892AD5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IV 2008</w:t>
            </w:r>
          </w:p>
        </w:tc>
        <w:tc>
          <w:tcPr>
            <w:tcW w:w="1440" w:type="dxa"/>
            <w:tcBorders>
              <w:top w:val="nil"/>
              <w:left w:val="nil"/>
              <w:bottom w:val="single" w:sz="4" w:space="0" w:color="auto"/>
              <w:right w:val="nil"/>
            </w:tcBorders>
          </w:tcPr>
          <w:p w14:paraId="0E11945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V 20</w:t>
            </w:r>
            <w:r>
              <w:rPr>
                <w:rFonts w:ascii="Times New Roman" w:hAnsi="Times New Roman" w:cs="Times New Roman"/>
              </w:rPr>
              <w:t>12-</w:t>
            </w:r>
            <w:r w:rsidRPr="000932A9">
              <w:rPr>
                <w:rFonts w:ascii="Times New Roman" w:hAnsi="Times New Roman" w:cs="Times New Roman"/>
              </w:rPr>
              <w:t>14</w:t>
            </w:r>
          </w:p>
        </w:tc>
        <w:tc>
          <w:tcPr>
            <w:tcW w:w="1584" w:type="dxa"/>
            <w:tcBorders>
              <w:top w:val="nil"/>
              <w:left w:val="nil"/>
              <w:bottom w:val="single" w:sz="4" w:space="0" w:color="auto"/>
              <w:right w:val="nil"/>
            </w:tcBorders>
          </w:tcPr>
          <w:p w14:paraId="5373AC5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VI 20</w:t>
            </w:r>
            <w:r>
              <w:rPr>
                <w:rFonts w:ascii="Times New Roman" w:hAnsi="Times New Roman" w:cs="Times New Roman"/>
              </w:rPr>
              <w:t>12-</w:t>
            </w:r>
            <w:r w:rsidRPr="000932A9">
              <w:rPr>
                <w:rFonts w:ascii="Times New Roman" w:hAnsi="Times New Roman" w:cs="Times New Roman"/>
              </w:rPr>
              <w:t>14</w:t>
            </w:r>
          </w:p>
        </w:tc>
      </w:tr>
      <w:tr w:rsidR="00164949" w:rsidRPr="000932A9" w14:paraId="78C43A3C" w14:textId="77777777" w:rsidTr="00164949">
        <w:trPr>
          <w:jc w:val="center"/>
        </w:trPr>
        <w:tc>
          <w:tcPr>
            <w:tcW w:w="2424" w:type="dxa"/>
            <w:tcBorders>
              <w:top w:val="single" w:sz="4" w:space="0" w:color="auto"/>
              <w:left w:val="nil"/>
              <w:bottom w:val="nil"/>
              <w:right w:val="nil"/>
            </w:tcBorders>
          </w:tcPr>
          <w:p w14:paraId="286517C5"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single" w:sz="4" w:space="0" w:color="auto"/>
              <w:left w:val="nil"/>
              <w:bottom w:val="nil"/>
              <w:right w:val="nil"/>
            </w:tcBorders>
          </w:tcPr>
          <w:p w14:paraId="494DB95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single" w:sz="4" w:space="0" w:color="auto"/>
              <w:left w:val="nil"/>
              <w:bottom w:val="nil"/>
              <w:right w:val="nil"/>
            </w:tcBorders>
          </w:tcPr>
          <w:p w14:paraId="45CCBB4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single" w:sz="4" w:space="0" w:color="auto"/>
              <w:left w:val="nil"/>
              <w:bottom w:val="nil"/>
              <w:right w:val="nil"/>
            </w:tcBorders>
          </w:tcPr>
          <w:p w14:paraId="5A38E60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single" w:sz="4" w:space="0" w:color="auto"/>
              <w:left w:val="nil"/>
              <w:bottom w:val="nil"/>
              <w:right w:val="nil"/>
            </w:tcBorders>
          </w:tcPr>
          <w:p w14:paraId="53DEBCC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single" w:sz="4" w:space="0" w:color="auto"/>
              <w:left w:val="nil"/>
              <w:bottom w:val="nil"/>
              <w:right w:val="nil"/>
            </w:tcBorders>
          </w:tcPr>
          <w:p w14:paraId="22FD8E7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single" w:sz="4" w:space="0" w:color="auto"/>
              <w:left w:val="nil"/>
              <w:bottom w:val="nil"/>
              <w:right w:val="nil"/>
            </w:tcBorders>
          </w:tcPr>
          <w:p w14:paraId="744E3E9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6A9D4D41" w14:textId="77777777" w:rsidTr="00164949">
        <w:trPr>
          <w:jc w:val="center"/>
        </w:trPr>
        <w:tc>
          <w:tcPr>
            <w:tcW w:w="2424" w:type="dxa"/>
            <w:tcBorders>
              <w:top w:val="nil"/>
              <w:left w:val="nil"/>
              <w:bottom w:val="nil"/>
              <w:right w:val="nil"/>
            </w:tcBorders>
          </w:tcPr>
          <w:p w14:paraId="1AFB1B17" w14:textId="3755B0CC" w:rsidR="00164949" w:rsidRPr="000932A9" w:rsidRDefault="00DE1462"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F</w:t>
            </w:r>
            <w:r w:rsidR="00164949" w:rsidRPr="000932A9">
              <w:rPr>
                <w:rFonts w:ascii="Times New Roman" w:hAnsi="Times New Roman" w:cs="Times New Roman"/>
              </w:rPr>
              <w:t>emale</w:t>
            </w:r>
          </w:p>
        </w:tc>
        <w:tc>
          <w:tcPr>
            <w:tcW w:w="1314" w:type="dxa"/>
            <w:tcBorders>
              <w:top w:val="nil"/>
              <w:left w:val="nil"/>
              <w:bottom w:val="nil"/>
              <w:right w:val="nil"/>
            </w:tcBorders>
          </w:tcPr>
          <w:p w14:paraId="2E4B0E9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0.301***</w:t>
            </w:r>
          </w:p>
        </w:tc>
        <w:tc>
          <w:tcPr>
            <w:tcW w:w="1728" w:type="dxa"/>
            <w:tcBorders>
              <w:top w:val="nil"/>
              <w:left w:val="nil"/>
              <w:bottom w:val="nil"/>
              <w:right w:val="nil"/>
            </w:tcBorders>
          </w:tcPr>
          <w:p w14:paraId="107C349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0.242***</w:t>
            </w:r>
          </w:p>
        </w:tc>
        <w:tc>
          <w:tcPr>
            <w:tcW w:w="1440" w:type="dxa"/>
            <w:tcBorders>
              <w:top w:val="nil"/>
              <w:left w:val="nil"/>
              <w:bottom w:val="nil"/>
              <w:right w:val="nil"/>
            </w:tcBorders>
          </w:tcPr>
          <w:p w14:paraId="07F9538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0.189***</w:t>
            </w:r>
          </w:p>
        </w:tc>
        <w:tc>
          <w:tcPr>
            <w:tcW w:w="1728" w:type="dxa"/>
            <w:tcBorders>
              <w:top w:val="nil"/>
              <w:left w:val="nil"/>
              <w:bottom w:val="nil"/>
              <w:right w:val="nil"/>
            </w:tcBorders>
          </w:tcPr>
          <w:p w14:paraId="0305318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0.108***</w:t>
            </w:r>
          </w:p>
        </w:tc>
        <w:tc>
          <w:tcPr>
            <w:tcW w:w="1440" w:type="dxa"/>
            <w:tcBorders>
              <w:top w:val="nil"/>
              <w:left w:val="nil"/>
              <w:bottom w:val="nil"/>
              <w:right w:val="nil"/>
            </w:tcBorders>
          </w:tcPr>
          <w:p w14:paraId="79494A8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0.005</w:t>
            </w:r>
          </w:p>
        </w:tc>
        <w:tc>
          <w:tcPr>
            <w:tcW w:w="1584" w:type="dxa"/>
            <w:tcBorders>
              <w:top w:val="nil"/>
              <w:left w:val="nil"/>
              <w:bottom w:val="nil"/>
              <w:right w:val="nil"/>
            </w:tcBorders>
          </w:tcPr>
          <w:p w14:paraId="0BBCF20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0.027</w:t>
            </w:r>
          </w:p>
        </w:tc>
      </w:tr>
      <w:tr w:rsidR="00164949" w:rsidRPr="000932A9" w14:paraId="26959C4B" w14:textId="77777777" w:rsidTr="00164949">
        <w:trPr>
          <w:jc w:val="center"/>
        </w:trPr>
        <w:tc>
          <w:tcPr>
            <w:tcW w:w="2424" w:type="dxa"/>
            <w:tcBorders>
              <w:top w:val="nil"/>
              <w:left w:val="nil"/>
              <w:bottom w:val="nil"/>
              <w:right w:val="nil"/>
            </w:tcBorders>
          </w:tcPr>
          <w:p w14:paraId="2FA9B39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1C5BA72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(0.0343)</w:t>
            </w:r>
          </w:p>
        </w:tc>
        <w:tc>
          <w:tcPr>
            <w:tcW w:w="1728" w:type="dxa"/>
            <w:tcBorders>
              <w:top w:val="nil"/>
              <w:left w:val="nil"/>
              <w:bottom w:val="nil"/>
              <w:right w:val="nil"/>
            </w:tcBorders>
          </w:tcPr>
          <w:p w14:paraId="03289AA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(0.045)</w:t>
            </w:r>
          </w:p>
        </w:tc>
        <w:tc>
          <w:tcPr>
            <w:tcW w:w="1440" w:type="dxa"/>
            <w:tcBorders>
              <w:top w:val="nil"/>
              <w:left w:val="nil"/>
              <w:bottom w:val="nil"/>
              <w:right w:val="nil"/>
            </w:tcBorders>
          </w:tcPr>
          <w:p w14:paraId="47C29CF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(0.0316)</w:t>
            </w:r>
          </w:p>
        </w:tc>
        <w:tc>
          <w:tcPr>
            <w:tcW w:w="1728" w:type="dxa"/>
            <w:tcBorders>
              <w:top w:val="nil"/>
              <w:left w:val="nil"/>
              <w:bottom w:val="nil"/>
              <w:right w:val="nil"/>
            </w:tcBorders>
          </w:tcPr>
          <w:p w14:paraId="100C797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(0.039)</w:t>
            </w:r>
          </w:p>
        </w:tc>
        <w:tc>
          <w:tcPr>
            <w:tcW w:w="1440" w:type="dxa"/>
            <w:tcBorders>
              <w:top w:val="nil"/>
              <w:left w:val="nil"/>
              <w:bottom w:val="nil"/>
              <w:right w:val="nil"/>
            </w:tcBorders>
          </w:tcPr>
          <w:p w14:paraId="499C8A8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(0.043)</w:t>
            </w:r>
          </w:p>
        </w:tc>
        <w:tc>
          <w:tcPr>
            <w:tcW w:w="1584" w:type="dxa"/>
            <w:tcBorders>
              <w:top w:val="nil"/>
              <w:left w:val="nil"/>
              <w:bottom w:val="nil"/>
              <w:right w:val="nil"/>
            </w:tcBorders>
          </w:tcPr>
          <w:p w14:paraId="157AE45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(0.051)</w:t>
            </w:r>
          </w:p>
        </w:tc>
      </w:tr>
      <w:tr w:rsidR="00164949" w:rsidRPr="000932A9" w14:paraId="4EEA1D20" w14:textId="77777777" w:rsidTr="00164949">
        <w:trPr>
          <w:jc w:val="center"/>
        </w:trPr>
        <w:tc>
          <w:tcPr>
            <w:tcW w:w="2424" w:type="dxa"/>
            <w:tcBorders>
              <w:top w:val="nil"/>
              <w:left w:val="nil"/>
              <w:bottom w:val="nil"/>
              <w:right w:val="nil"/>
            </w:tcBorders>
          </w:tcPr>
          <w:p w14:paraId="5499AAC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age</w:t>
            </w:r>
          </w:p>
        </w:tc>
        <w:tc>
          <w:tcPr>
            <w:tcW w:w="1314" w:type="dxa"/>
            <w:tcBorders>
              <w:top w:val="nil"/>
              <w:left w:val="nil"/>
              <w:bottom w:val="nil"/>
              <w:right w:val="nil"/>
            </w:tcBorders>
          </w:tcPr>
          <w:p w14:paraId="263A9E9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1E1F29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-0.050***</w:t>
            </w:r>
          </w:p>
        </w:tc>
        <w:tc>
          <w:tcPr>
            <w:tcW w:w="1440" w:type="dxa"/>
            <w:tcBorders>
              <w:top w:val="nil"/>
              <w:left w:val="nil"/>
              <w:bottom w:val="nil"/>
              <w:right w:val="nil"/>
            </w:tcBorders>
          </w:tcPr>
          <w:p w14:paraId="4423B95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989DA1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-0.024**</w:t>
            </w:r>
          </w:p>
        </w:tc>
        <w:tc>
          <w:tcPr>
            <w:tcW w:w="1440" w:type="dxa"/>
            <w:tcBorders>
              <w:top w:val="nil"/>
              <w:left w:val="nil"/>
              <w:bottom w:val="nil"/>
              <w:right w:val="nil"/>
            </w:tcBorders>
          </w:tcPr>
          <w:p w14:paraId="28810AB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983C35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w:t>
            </w:r>
          </w:p>
        </w:tc>
      </w:tr>
      <w:tr w:rsidR="00164949" w:rsidRPr="000932A9" w14:paraId="43D2916F" w14:textId="77777777" w:rsidTr="00164949">
        <w:trPr>
          <w:jc w:val="center"/>
        </w:trPr>
        <w:tc>
          <w:tcPr>
            <w:tcW w:w="2424" w:type="dxa"/>
            <w:tcBorders>
              <w:top w:val="nil"/>
              <w:left w:val="nil"/>
              <w:bottom w:val="nil"/>
              <w:right w:val="nil"/>
            </w:tcBorders>
          </w:tcPr>
          <w:p w14:paraId="066C2EC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7F4ADC6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5F58AD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(0.012)</w:t>
            </w:r>
          </w:p>
        </w:tc>
        <w:tc>
          <w:tcPr>
            <w:tcW w:w="1440" w:type="dxa"/>
            <w:tcBorders>
              <w:top w:val="nil"/>
              <w:left w:val="nil"/>
              <w:bottom w:val="nil"/>
              <w:right w:val="nil"/>
            </w:tcBorders>
          </w:tcPr>
          <w:p w14:paraId="67DD5CC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23E5C4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(0.0107)</w:t>
            </w:r>
          </w:p>
        </w:tc>
        <w:tc>
          <w:tcPr>
            <w:tcW w:w="1440" w:type="dxa"/>
            <w:tcBorders>
              <w:top w:val="nil"/>
              <w:left w:val="nil"/>
              <w:bottom w:val="nil"/>
              <w:right w:val="nil"/>
            </w:tcBorders>
          </w:tcPr>
          <w:p w14:paraId="1D66B29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07DCFC9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(0.017)</w:t>
            </w:r>
          </w:p>
        </w:tc>
      </w:tr>
      <w:tr w:rsidR="00164949" w:rsidRPr="000932A9" w14:paraId="0E02DF9E" w14:textId="77777777" w:rsidTr="00164949">
        <w:trPr>
          <w:jc w:val="center"/>
        </w:trPr>
        <w:tc>
          <w:tcPr>
            <w:tcW w:w="2424" w:type="dxa"/>
            <w:tcBorders>
              <w:top w:val="nil"/>
              <w:left w:val="nil"/>
              <w:bottom w:val="nil"/>
              <w:right w:val="nil"/>
            </w:tcBorders>
          </w:tcPr>
          <w:p w14:paraId="002216B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vertAlign w:val="superscript"/>
              </w:rPr>
            </w:pPr>
            <w:r w:rsidRPr="000932A9">
              <w:rPr>
                <w:rFonts w:ascii="Times New Roman" w:hAnsi="Times New Roman" w:cs="Times New Roman"/>
              </w:rPr>
              <w:t>Age</w:t>
            </w:r>
            <w:r w:rsidRPr="000932A9">
              <w:rPr>
                <w:rFonts w:ascii="Times New Roman" w:hAnsi="Times New Roman" w:cs="Times New Roman"/>
                <w:vertAlign w:val="superscript"/>
              </w:rPr>
              <w:t>2</w:t>
            </w:r>
          </w:p>
        </w:tc>
        <w:tc>
          <w:tcPr>
            <w:tcW w:w="1314" w:type="dxa"/>
            <w:tcBorders>
              <w:top w:val="nil"/>
              <w:left w:val="nil"/>
              <w:bottom w:val="nil"/>
              <w:right w:val="nil"/>
            </w:tcBorders>
          </w:tcPr>
          <w:p w14:paraId="36CEE1B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9B71FC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0.0007***</w:t>
            </w:r>
          </w:p>
        </w:tc>
        <w:tc>
          <w:tcPr>
            <w:tcW w:w="1440" w:type="dxa"/>
            <w:tcBorders>
              <w:top w:val="nil"/>
              <w:left w:val="nil"/>
              <w:bottom w:val="nil"/>
              <w:right w:val="nil"/>
            </w:tcBorders>
          </w:tcPr>
          <w:p w14:paraId="4149D5E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8A0C26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0.0003**</w:t>
            </w:r>
          </w:p>
        </w:tc>
        <w:tc>
          <w:tcPr>
            <w:tcW w:w="1440" w:type="dxa"/>
            <w:tcBorders>
              <w:top w:val="nil"/>
              <w:left w:val="nil"/>
              <w:bottom w:val="nil"/>
              <w:right w:val="nil"/>
            </w:tcBorders>
          </w:tcPr>
          <w:p w14:paraId="5A4E08E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EB8AE4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9.21e-05</w:t>
            </w:r>
          </w:p>
        </w:tc>
      </w:tr>
      <w:tr w:rsidR="00164949" w:rsidRPr="000932A9" w14:paraId="09C2B28F" w14:textId="77777777" w:rsidTr="00164949">
        <w:trPr>
          <w:jc w:val="center"/>
        </w:trPr>
        <w:tc>
          <w:tcPr>
            <w:tcW w:w="2424" w:type="dxa"/>
            <w:tcBorders>
              <w:top w:val="nil"/>
              <w:left w:val="nil"/>
              <w:bottom w:val="nil"/>
              <w:right w:val="nil"/>
            </w:tcBorders>
          </w:tcPr>
          <w:p w14:paraId="1F4973C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5FEABEA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BA0089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(0.0001)</w:t>
            </w:r>
          </w:p>
        </w:tc>
        <w:tc>
          <w:tcPr>
            <w:tcW w:w="1440" w:type="dxa"/>
            <w:tcBorders>
              <w:top w:val="nil"/>
              <w:left w:val="nil"/>
              <w:bottom w:val="nil"/>
              <w:right w:val="nil"/>
            </w:tcBorders>
          </w:tcPr>
          <w:p w14:paraId="557599F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BA052C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(0.0001)</w:t>
            </w:r>
          </w:p>
        </w:tc>
        <w:tc>
          <w:tcPr>
            <w:tcW w:w="1440" w:type="dxa"/>
            <w:tcBorders>
              <w:top w:val="nil"/>
              <w:left w:val="nil"/>
              <w:bottom w:val="nil"/>
              <w:right w:val="nil"/>
            </w:tcBorders>
          </w:tcPr>
          <w:p w14:paraId="7095538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2BB2E9D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w:t>
            </w:r>
          </w:p>
        </w:tc>
      </w:tr>
      <w:tr w:rsidR="00164949" w:rsidRPr="000932A9" w14:paraId="7FA48BD6" w14:textId="77777777" w:rsidTr="00164949">
        <w:trPr>
          <w:jc w:val="center"/>
        </w:trPr>
        <w:tc>
          <w:tcPr>
            <w:tcW w:w="2424" w:type="dxa"/>
            <w:tcBorders>
              <w:top w:val="nil"/>
              <w:left w:val="nil"/>
              <w:bottom w:val="nil"/>
              <w:right w:val="nil"/>
            </w:tcBorders>
          </w:tcPr>
          <w:p w14:paraId="0D48C15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Married</w:t>
            </w:r>
          </w:p>
        </w:tc>
        <w:tc>
          <w:tcPr>
            <w:tcW w:w="1314" w:type="dxa"/>
            <w:tcBorders>
              <w:top w:val="nil"/>
              <w:left w:val="nil"/>
              <w:bottom w:val="nil"/>
              <w:right w:val="nil"/>
            </w:tcBorders>
          </w:tcPr>
          <w:p w14:paraId="3B2CD7B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25CE73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0.065</w:t>
            </w:r>
          </w:p>
        </w:tc>
        <w:tc>
          <w:tcPr>
            <w:tcW w:w="1440" w:type="dxa"/>
            <w:tcBorders>
              <w:top w:val="nil"/>
              <w:left w:val="nil"/>
              <w:bottom w:val="nil"/>
              <w:right w:val="nil"/>
            </w:tcBorders>
          </w:tcPr>
          <w:p w14:paraId="011F115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FE9AAE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0.017</w:t>
            </w:r>
          </w:p>
        </w:tc>
        <w:tc>
          <w:tcPr>
            <w:tcW w:w="1440" w:type="dxa"/>
            <w:tcBorders>
              <w:top w:val="nil"/>
              <w:left w:val="nil"/>
              <w:bottom w:val="nil"/>
              <w:right w:val="nil"/>
            </w:tcBorders>
          </w:tcPr>
          <w:p w14:paraId="624D0C8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0E72C8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-0.030</w:t>
            </w:r>
          </w:p>
        </w:tc>
      </w:tr>
      <w:tr w:rsidR="00164949" w:rsidRPr="000932A9" w14:paraId="075968E8" w14:textId="77777777" w:rsidTr="00164949">
        <w:trPr>
          <w:jc w:val="center"/>
        </w:trPr>
        <w:tc>
          <w:tcPr>
            <w:tcW w:w="2424" w:type="dxa"/>
            <w:tcBorders>
              <w:top w:val="nil"/>
              <w:left w:val="nil"/>
              <w:bottom w:val="nil"/>
              <w:right w:val="nil"/>
            </w:tcBorders>
          </w:tcPr>
          <w:p w14:paraId="66958B8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12176EF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8091CA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(0.044)</w:t>
            </w:r>
          </w:p>
        </w:tc>
        <w:tc>
          <w:tcPr>
            <w:tcW w:w="1440" w:type="dxa"/>
            <w:tcBorders>
              <w:top w:val="nil"/>
              <w:left w:val="nil"/>
              <w:bottom w:val="nil"/>
              <w:right w:val="nil"/>
            </w:tcBorders>
          </w:tcPr>
          <w:p w14:paraId="009BFB9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B10BFE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(0.037)</w:t>
            </w:r>
          </w:p>
        </w:tc>
        <w:tc>
          <w:tcPr>
            <w:tcW w:w="1440" w:type="dxa"/>
            <w:tcBorders>
              <w:top w:val="nil"/>
              <w:left w:val="nil"/>
              <w:bottom w:val="nil"/>
              <w:right w:val="nil"/>
            </w:tcBorders>
          </w:tcPr>
          <w:p w14:paraId="4C9EE32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067D134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(0.052)</w:t>
            </w:r>
          </w:p>
        </w:tc>
      </w:tr>
      <w:tr w:rsidR="00164949" w:rsidRPr="000932A9" w14:paraId="0132A887" w14:textId="77777777" w:rsidTr="00164949">
        <w:trPr>
          <w:jc w:val="center"/>
        </w:trPr>
        <w:tc>
          <w:tcPr>
            <w:tcW w:w="2424" w:type="dxa"/>
            <w:tcBorders>
              <w:top w:val="nil"/>
              <w:left w:val="nil"/>
              <w:bottom w:val="nil"/>
              <w:right w:val="nil"/>
            </w:tcBorders>
          </w:tcPr>
          <w:p w14:paraId="0C1A452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Dep Child</w:t>
            </w:r>
          </w:p>
        </w:tc>
        <w:tc>
          <w:tcPr>
            <w:tcW w:w="1314" w:type="dxa"/>
            <w:tcBorders>
              <w:top w:val="nil"/>
              <w:left w:val="nil"/>
              <w:bottom w:val="nil"/>
              <w:right w:val="nil"/>
            </w:tcBorders>
          </w:tcPr>
          <w:p w14:paraId="66DBBD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70E9E5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0.054</w:t>
            </w:r>
          </w:p>
        </w:tc>
        <w:tc>
          <w:tcPr>
            <w:tcW w:w="1440" w:type="dxa"/>
            <w:tcBorders>
              <w:top w:val="nil"/>
              <w:left w:val="nil"/>
              <w:bottom w:val="nil"/>
              <w:right w:val="nil"/>
            </w:tcBorders>
          </w:tcPr>
          <w:p w14:paraId="26DC98F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7E5FCA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0.019</w:t>
            </w:r>
          </w:p>
        </w:tc>
        <w:tc>
          <w:tcPr>
            <w:tcW w:w="1440" w:type="dxa"/>
            <w:tcBorders>
              <w:top w:val="nil"/>
              <w:left w:val="nil"/>
              <w:bottom w:val="nil"/>
              <w:right w:val="nil"/>
            </w:tcBorders>
          </w:tcPr>
          <w:p w14:paraId="4D1A44D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03D0ED7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0.039</w:t>
            </w:r>
          </w:p>
        </w:tc>
      </w:tr>
      <w:tr w:rsidR="00164949" w:rsidRPr="000932A9" w14:paraId="5AF0D4E5" w14:textId="77777777" w:rsidTr="00164949">
        <w:trPr>
          <w:jc w:val="center"/>
        </w:trPr>
        <w:tc>
          <w:tcPr>
            <w:tcW w:w="2424" w:type="dxa"/>
            <w:tcBorders>
              <w:top w:val="nil"/>
              <w:left w:val="nil"/>
              <w:bottom w:val="nil"/>
              <w:right w:val="nil"/>
            </w:tcBorders>
          </w:tcPr>
          <w:p w14:paraId="0F7802A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0A0AC90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5ACF5A1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(0.041)</w:t>
            </w:r>
          </w:p>
        </w:tc>
        <w:tc>
          <w:tcPr>
            <w:tcW w:w="1440" w:type="dxa"/>
            <w:tcBorders>
              <w:top w:val="nil"/>
              <w:left w:val="nil"/>
              <w:bottom w:val="nil"/>
              <w:right w:val="nil"/>
            </w:tcBorders>
          </w:tcPr>
          <w:p w14:paraId="5FBFF13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6194DC3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(0.037)</w:t>
            </w:r>
          </w:p>
        </w:tc>
        <w:tc>
          <w:tcPr>
            <w:tcW w:w="1440" w:type="dxa"/>
            <w:tcBorders>
              <w:top w:val="nil"/>
              <w:left w:val="nil"/>
              <w:bottom w:val="nil"/>
              <w:right w:val="nil"/>
            </w:tcBorders>
          </w:tcPr>
          <w:p w14:paraId="26D1D82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5B5EB27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(0.053)</w:t>
            </w:r>
          </w:p>
        </w:tc>
      </w:tr>
      <w:tr w:rsidR="00164949" w:rsidRPr="000932A9" w14:paraId="081D8561" w14:textId="77777777" w:rsidTr="00164949">
        <w:trPr>
          <w:jc w:val="center"/>
        </w:trPr>
        <w:tc>
          <w:tcPr>
            <w:tcW w:w="2424" w:type="dxa"/>
            <w:tcBorders>
              <w:top w:val="nil"/>
              <w:left w:val="nil"/>
              <w:bottom w:val="nil"/>
              <w:right w:val="nil"/>
            </w:tcBorders>
          </w:tcPr>
          <w:p w14:paraId="64243D57"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A-Level</w:t>
            </w:r>
          </w:p>
        </w:tc>
        <w:tc>
          <w:tcPr>
            <w:tcW w:w="1314" w:type="dxa"/>
            <w:tcBorders>
              <w:top w:val="nil"/>
              <w:left w:val="nil"/>
              <w:bottom w:val="nil"/>
              <w:right w:val="nil"/>
            </w:tcBorders>
          </w:tcPr>
          <w:p w14:paraId="5D521EE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277634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-0.264***</w:t>
            </w:r>
          </w:p>
        </w:tc>
        <w:tc>
          <w:tcPr>
            <w:tcW w:w="1440" w:type="dxa"/>
            <w:tcBorders>
              <w:top w:val="nil"/>
              <w:left w:val="nil"/>
              <w:bottom w:val="nil"/>
              <w:right w:val="nil"/>
            </w:tcBorders>
          </w:tcPr>
          <w:p w14:paraId="29283D7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7CB9BB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-0.064</w:t>
            </w:r>
          </w:p>
        </w:tc>
        <w:tc>
          <w:tcPr>
            <w:tcW w:w="1440" w:type="dxa"/>
            <w:tcBorders>
              <w:top w:val="nil"/>
              <w:left w:val="nil"/>
              <w:bottom w:val="nil"/>
              <w:right w:val="nil"/>
            </w:tcBorders>
          </w:tcPr>
          <w:p w14:paraId="29214A8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D357D8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-0.007</w:t>
            </w:r>
          </w:p>
        </w:tc>
      </w:tr>
      <w:tr w:rsidR="00164949" w:rsidRPr="000932A9" w14:paraId="6C859613" w14:textId="77777777" w:rsidTr="00164949">
        <w:trPr>
          <w:jc w:val="center"/>
        </w:trPr>
        <w:tc>
          <w:tcPr>
            <w:tcW w:w="2424" w:type="dxa"/>
            <w:tcBorders>
              <w:top w:val="nil"/>
              <w:left w:val="nil"/>
              <w:bottom w:val="nil"/>
              <w:right w:val="nil"/>
            </w:tcBorders>
          </w:tcPr>
          <w:p w14:paraId="6F928BE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640E7A4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A74FF5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(0.047)</w:t>
            </w:r>
          </w:p>
        </w:tc>
        <w:tc>
          <w:tcPr>
            <w:tcW w:w="1440" w:type="dxa"/>
            <w:tcBorders>
              <w:top w:val="nil"/>
              <w:left w:val="nil"/>
              <w:bottom w:val="nil"/>
              <w:right w:val="nil"/>
            </w:tcBorders>
          </w:tcPr>
          <w:p w14:paraId="1574330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5D7450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(0.042)</w:t>
            </w:r>
          </w:p>
        </w:tc>
        <w:tc>
          <w:tcPr>
            <w:tcW w:w="1440" w:type="dxa"/>
            <w:tcBorders>
              <w:top w:val="nil"/>
              <w:left w:val="nil"/>
              <w:bottom w:val="nil"/>
              <w:right w:val="nil"/>
            </w:tcBorders>
          </w:tcPr>
          <w:p w14:paraId="4E7FE61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1BAA3A2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(0.060)</w:t>
            </w:r>
          </w:p>
        </w:tc>
      </w:tr>
      <w:tr w:rsidR="00164949" w:rsidRPr="000932A9" w14:paraId="12E417A4" w14:textId="77777777" w:rsidTr="00164949">
        <w:trPr>
          <w:jc w:val="center"/>
        </w:trPr>
        <w:tc>
          <w:tcPr>
            <w:tcW w:w="2424" w:type="dxa"/>
            <w:tcBorders>
              <w:top w:val="nil"/>
              <w:left w:val="nil"/>
              <w:bottom w:val="nil"/>
              <w:right w:val="nil"/>
            </w:tcBorders>
          </w:tcPr>
          <w:p w14:paraId="5BDB41A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Diploma</w:t>
            </w:r>
          </w:p>
        </w:tc>
        <w:tc>
          <w:tcPr>
            <w:tcW w:w="1314" w:type="dxa"/>
            <w:tcBorders>
              <w:top w:val="nil"/>
              <w:left w:val="nil"/>
              <w:bottom w:val="nil"/>
              <w:right w:val="nil"/>
            </w:tcBorders>
          </w:tcPr>
          <w:p w14:paraId="05735D8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5D8733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-0.229***</w:t>
            </w:r>
          </w:p>
        </w:tc>
        <w:tc>
          <w:tcPr>
            <w:tcW w:w="1440" w:type="dxa"/>
            <w:tcBorders>
              <w:top w:val="nil"/>
              <w:left w:val="nil"/>
              <w:bottom w:val="nil"/>
              <w:right w:val="nil"/>
            </w:tcBorders>
          </w:tcPr>
          <w:p w14:paraId="4BC8D70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2EDFD6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-0.068</w:t>
            </w:r>
          </w:p>
        </w:tc>
        <w:tc>
          <w:tcPr>
            <w:tcW w:w="1440" w:type="dxa"/>
            <w:tcBorders>
              <w:top w:val="nil"/>
              <w:left w:val="nil"/>
              <w:bottom w:val="nil"/>
              <w:right w:val="nil"/>
            </w:tcBorders>
          </w:tcPr>
          <w:p w14:paraId="2F1F852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674310B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-0.043</w:t>
            </w:r>
          </w:p>
        </w:tc>
      </w:tr>
      <w:tr w:rsidR="00164949" w:rsidRPr="000932A9" w14:paraId="5205E32D" w14:textId="77777777" w:rsidTr="00164949">
        <w:trPr>
          <w:jc w:val="center"/>
        </w:trPr>
        <w:tc>
          <w:tcPr>
            <w:tcW w:w="2424" w:type="dxa"/>
            <w:tcBorders>
              <w:top w:val="nil"/>
              <w:left w:val="nil"/>
              <w:bottom w:val="nil"/>
              <w:right w:val="nil"/>
            </w:tcBorders>
          </w:tcPr>
          <w:p w14:paraId="536BB10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6573AAE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16FDA0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(0.068)</w:t>
            </w:r>
          </w:p>
        </w:tc>
        <w:tc>
          <w:tcPr>
            <w:tcW w:w="1440" w:type="dxa"/>
            <w:tcBorders>
              <w:top w:val="nil"/>
              <w:left w:val="nil"/>
              <w:bottom w:val="nil"/>
              <w:right w:val="nil"/>
            </w:tcBorders>
          </w:tcPr>
          <w:p w14:paraId="5B0AFE6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FCF7FE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(0.062)</w:t>
            </w:r>
          </w:p>
        </w:tc>
        <w:tc>
          <w:tcPr>
            <w:tcW w:w="1440" w:type="dxa"/>
            <w:tcBorders>
              <w:top w:val="nil"/>
              <w:left w:val="nil"/>
              <w:bottom w:val="nil"/>
              <w:right w:val="nil"/>
            </w:tcBorders>
          </w:tcPr>
          <w:p w14:paraId="666B894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67D5A8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(0.076)</w:t>
            </w:r>
          </w:p>
        </w:tc>
      </w:tr>
      <w:tr w:rsidR="00164949" w:rsidRPr="000932A9" w14:paraId="0E836C7A" w14:textId="77777777" w:rsidTr="00164949">
        <w:trPr>
          <w:jc w:val="center"/>
        </w:trPr>
        <w:tc>
          <w:tcPr>
            <w:tcW w:w="2424" w:type="dxa"/>
            <w:tcBorders>
              <w:top w:val="nil"/>
              <w:left w:val="nil"/>
              <w:bottom w:val="nil"/>
              <w:right w:val="nil"/>
            </w:tcBorders>
          </w:tcPr>
          <w:p w14:paraId="46E906C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 xml:space="preserve">Degree + </w:t>
            </w:r>
          </w:p>
        </w:tc>
        <w:tc>
          <w:tcPr>
            <w:tcW w:w="1314" w:type="dxa"/>
            <w:tcBorders>
              <w:top w:val="nil"/>
              <w:left w:val="nil"/>
              <w:bottom w:val="nil"/>
              <w:right w:val="nil"/>
            </w:tcBorders>
          </w:tcPr>
          <w:p w14:paraId="74B6849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90995C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-0.441***</w:t>
            </w:r>
          </w:p>
        </w:tc>
        <w:tc>
          <w:tcPr>
            <w:tcW w:w="1440" w:type="dxa"/>
            <w:tcBorders>
              <w:top w:val="nil"/>
              <w:left w:val="nil"/>
              <w:bottom w:val="nil"/>
              <w:right w:val="nil"/>
            </w:tcBorders>
          </w:tcPr>
          <w:p w14:paraId="1FC4F0E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615AAB6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-0.172***</w:t>
            </w:r>
          </w:p>
        </w:tc>
        <w:tc>
          <w:tcPr>
            <w:tcW w:w="1440" w:type="dxa"/>
            <w:tcBorders>
              <w:top w:val="nil"/>
              <w:left w:val="nil"/>
              <w:bottom w:val="nil"/>
              <w:right w:val="nil"/>
            </w:tcBorders>
          </w:tcPr>
          <w:p w14:paraId="6E6F68C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314C2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-0.118*</w:t>
            </w:r>
          </w:p>
        </w:tc>
      </w:tr>
      <w:tr w:rsidR="00164949" w:rsidRPr="000932A9" w14:paraId="0992F489" w14:textId="77777777" w:rsidTr="00164949">
        <w:trPr>
          <w:jc w:val="center"/>
        </w:trPr>
        <w:tc>
          <w:tcPr>
            <w:tcW w:w="2424" w:type="dxa"/>
            <w:tcBorders>
              <w:top w:val="nil"/>
              <w:left w:val="nil"/>
              <w:bottom w:val="nil"/>
              <w:right w:val="nil"/>
            </w:tcBorders>
          </w:tcPr>
          <w:p w14:paraId="62E54AE7"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11775DC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B56722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(0.063)</w:t>
            </w:r>
          </w:p>
        </w:tc>
        <w:tc>
          <w:tcPr>
            <w:tcW w:w="1440" w:type="dxa"/>
            <w:tcBorders>
              <w:top w:val="nil"/>
              <w:left w:val="nil"/>
              <w:bottom w:val="nil"/>
              <w:right w:val="nil"/>
            </w:tcBorders>
          </w:tcPr>
          <w:p w14:paraId="2E66964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0A0775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(0.050)</w:t>
            </w:r>
          </w:p>
        </w:tc>
        <w:tc>
          <w:tcPr>
            <w:tcW w:w="1440" w:type="dxa"/>
            <w:tcBorders>
              <w:top w:val="nil"/>
              <w:left w:val="nil"/>
              <w:bottom w:val="nil"/>
              <w:right w:val="nil"/>
            </w:tcBorders>
          </w:tcPr>
          <w:p w14:paraId="170F120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3832A28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(0.069)</w:t>
            </w:r>
          </w:p>
        </w:tc>
      </w:tr>
      <w:tr w:rsidR="00164949" w:rsidRPr="000932A9" w14:paraId="10924303" w14:textId="77777777" w:rsidTr="00164949">
        <w:trPr>
          <w:jc w:val="center"/>
        </w:trPr>
        <w:tc>
          <w:tcPr>
            <w:tcW w:w="2424" w:type="dxa"/>
            <w:tcBorders>
              <w:top w:val="nil"/>
              <w:left w:val="nil"/>
              <w:bottom w:val="nil"/>
              <w:right w:val="nil"/>
            </w:tcBorders>
          </w:tcPr>
          <w:p w14:paraId="65BBE22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Ln(pay)</w:t>
            </w:r>
          </w:p>
        </w:tc>
        <w:tc>
          <w:tcPr>
            <w:tcW w:w="1314" w:type="dxa"/>
            <w:tcBorders>
              <w:top w:val="nil"/>
              <w:left w:val="nil"/>
              <w:bottom w:val="nil"/>
              <w:right w:val="nil"/>
            </w:tcBorders>
          </w:tcPr>
          <w:p w14:paraId="73E0608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1E37A1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0.079***</w:t>
            </w:r>
          </w:p>
        </w:tc>
        <w:tc>
          <w:tcPr>
            <w:tcW w:w="1440" w:type="dxa"/>
            <w:tcBorders>
              <w:top w:val="nil"/>
              <w:left w:val="nil"/>
              <w:bottom w:val="nil"/>
              <w:right w:val="nil"/>
            </w:tcBorders>
          </w:tcPr>
          <w:p w14:paraId="0ECF07B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768B98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0.077***</w:t>
            </w:r>
          </w:p>
        </w:tc>
        <w:tc>
          <w:tcPr>
            <w:tcW w:w="1440" w:type="dxa"/>
            <w:tcBorders>
              <w:top w:val="nil"/>
              <w:left w:val="nil"/>
              <w:bottom w:val="nil"/>
              <w:right w:val="nil"/>
            </w:tcBorders>
          </w:tcPr>
          <w:p w14:paraId="47A22EA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33E5C3B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0.025</w:t>
            </w:r>
          </w:p>
        </w:tc>
      </w:tr>
      <w:tr w:rsidR="00164949" w:rsidRPr="000932A9" w14:paraId="0EFC6A46" w14:textId="77777777" w:rsidTr="00164949">
        <w:trPr>
          <w:jc w:val="center"/>
        </w:trPr>
        <w:tc>
          <w:tcPr>
            <w:tcW w:w="2424" w:type="dxa"/>
            <w:tcBorders>
              <w:top w:val="nil"/>
              <w:left w:val="nil"/>
              <w:bottom w:val="nil"/>
              <w:right w:val="nil"/>
            </w:tcBorders>
          </w:tcPr>
          <w:p w14:paraId="5621836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5EBB2B4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D77743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(0.025)</w:t>
            </w:r>
          </w:p>
        </w:tc>
        <w:tc>
          <w:tcPr>
            <w:tcW w:w="1440" w:type="dxa"/>
            <w:tcBorders>
              <w:top w:val="nil"/>
              <w:left w:val="nil"/>
              <w:bottom w:val="nil"/>
              <w:right w:val="nil"/>
            </w:tcBorders>
          </w:tcPr>
          <w:p w14:paraId="7AB1673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2D2C7D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(0.024)</w:t>
            </w:r>
          </w:p>
        </w:tc>
        <w:tc>
          <w:tcPr>
            <w:tcW w:w="1440" w:type="dxa"/>
            <w:tcBorders>
              <w:top w:val="nil"/>
              <w:left w:val="nil"/>
              <w:bottom w:val="nil"/>
              <w:right w:val="nil"/>
            </w:tcBorders>
          </w:tcPr>
          <w:p w14:paraId="6B4A130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13C8875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(0.037)</w:t>
            </w:r>
          </w:p>
        </w:tc>
      </w:tr>
      <w:tr w:rsidR="00164949" w:rsidRPr="000932A9" w14:paraId="17CF76C1" w14:textId="77777777" w:rsidTr="00164949">
        <w:trPr>
          <w:jc w:val="center"/>
        </w:trPr>
        <w:tc>
          <w:tcPr>
            <w:tcW w:w="2424" w:type="dxa"/>
            <w:tcBorders>
              <w:top w:val="nil"/>
              <w:left w:val="nil"/>
              <w:bottom w:val="nil"/>
              <w:right w:val="nil"/>
            </w:tcBorders>
          </w:tcPr>
          <w:p w14:paraId="0485C13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Hours</w:t>
            </w:r>
          </w:p>
        </w:tc>
        <w:tc>
          <w:tcPr>
            <w:tcW w:w="1314" w:type="dxa"/>
            <w:tcBorders>
              <w:top w:val="nil"/>
              <w:left w:val="nil"/>
              <w:bottom w:val="nil"/>
              <w:right w:val="nil"/>
            </w:tcBorders>
          </w:tcPr>
          <w:p w14:paraId="1A52474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61844E2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-0.008***</w:t>
            </w:r>
          </w:p>
        </w:tc>
        <w:tc>
          <w:tcPr>
            <w:tcW w:w="1440" w:type="dxa"/>
            <w:tcBorders>
              <w:top w:val="nil"/>
              <w:left w:val="nil"/>
              <w:bottom w:val="nil"/>
              <w:right w:val="nil"/>
            </w:tcBorders>
          </w:tcPr>
          <w:p w14:paraId="2BB6D0D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F77659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-0.008***</w:t>
            </w:r>
          </w:p>
        </w:tc>
        <w:tc>
          <w:tcPr>
            <w:tcW w:w="1440" w:type="dxa"/>
            <w:tcBorders>
              <w:top w:val="nil"/>
              <w:left w:val="nil"/>
              <w:bottom w:val="nil"/>
              <w:right w:val="nil"/>
            </w:tcBorders>
          </w:tcPr>
          <w:p w14:paraId="4280E0E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65415E6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w:t>
            </w:r>
          </w:p>
        </w:tc>
      </w:tr>
      <w:tr w:rsidR="00164949" w:rsidRPr="000932A9" w14:paraId="20E780EC" w14:textId="77777777" w:rsidTr="00164949">
        <w:trPr>
          <w:jc w:val="center"/>
        </w:trPr>
        <w:tc>
          <w:tcPr>
            <w:tcW w:w="2424" w:type="dxa"/>
            <w:tcBorders>
              <w:top w:val="nil"/>
              <w:left w:val="nil"/>
              <w:bottom w:val="nil"/>
              <w:right w:val="nil"/>
            </w:tcBorders>
          </w:tcPr>
          <w:p w14:paraId="0D0B7BB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0C95FEC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15B4C2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w:t>
            </w:r>
          </w:p>
        </w:tc>
        <w:tc>
          <w:tcPr>
            <w:tcW w:w="1440" w:type="dxa"/>
            <w:tcBorders>
              <w:top w:val="nil"/>
              <w:left w:val="nil"/>
              <w:bottom w:val="nil"/>
              <w:right w:val="nil"/>
            </w:tcBorders>
          </w:tcPr>
          <w:p w14:paraId="5685D27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66E88FD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w:t>
            </w:r>
          </w:p>
        </w:tc>
        <w:tc>
          <w:tcPr>
            <w:tcW w:w="1440" w:type="dxa"/>
            <w:tcBorders>
              <w:top w:val="nil"/>
              <w:left w:val="nil"/>
              <w:bottom w:val="nil"/>
              <w:right w:val="nil"/>
            </w:tcBorders>
          </w:tcPr>
          <w:p w14:paraId="02E2750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4AFA20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w:t>
            </w:r>
          </w:p>
        </w:tc>
      </w:tr>
      <w:tr w:rsidR="00164949" w:rsidRPr="000932A9" w14:paraId="1B05D110" w14:textId="77777777" w:rsidTr="00164949">
        <w:trPr>
          <w:jc w:val="center"/>
        </w:trPr>
        <w:tc>
          <w:tcPr>
            <w:tcW w:w="2424" w:type="dxa"/>
            <w:tcBorders>
              <w:top w:val="nil"/>
              <w:left w:val="nil"/>
              <w:bottom w:val="nil"/>
              <w:right w:val="nil"/>
            </w:tcBorders>
          </w:tcPr>
          <w:p w14:paraId="6C49A5D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Overtime</w:t>
            </w:r>
          </w:p>
        </w:tc>
        <w:tc>
          <w:tcPr>
            <w:tcW w:w="1314" w:type="dxa"/>
            <w:tcBorders>
              <w:top w:val="nil"/>
              <w:left w:val="nil"/>
              <w:bottom w:val="nil"/>
              <w:right w:val="nil"/>
            </w:tcBorders>
          </w:tcPr>
          <w:p w14:paraId="606B12B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6BA2E4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c>
          <w:tcPr>
            <w:tcW w:w="1440" w:type="dxa"/>
            <w:tcBorders>
              <w:top w:val="nil"/>
              <w:left w:val="nil"/>
              <w:bottom w:val="nil"/>
              <w:right w:val="nil"/>
            </w:tcBorders>
          </w:tcPr>
          <w:p w14:paraId="2F8E494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09E5A2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c>
          <w:tcPr>
            <w:tcW w:w="1440" w:type="dxa"/>
            <w:tcBorders>
              <w:top w:val="nil"/>
              <w:left w:val="nil"/>
              <w:bottom w:val="nil"/>
              <w:right w:val="nil"/>
            </w:tcBorders>
          </w:tcPr>
          <w:p w14:paraId="55F53B7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3BF7585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w:t>
            </w:r>
          </w:p>
        </w:tc>
      </w:tr>
      <w:tr w:rsidR="00164949" w:rsidRPr="000932A9" w14:paraId="13697468" w14:textId="77777777" w:rsidTr="00164949">
        <w:trPr>
          <w:jc w:val="center"/>
        </w:trPr>
        <w:tc>
          <w:tcPr>
            <w:tcW w:w="2424" w:type="dxa"/>
            <w:tcBorders>
              <w:top w:val="nil"/>
              <w:left w:val="nil"/>
              <w:bottom w:val="nil"/>
              <w:right w:val="nil"/>
            </w:tcBorders>
          </w:tcPr>
          <w:p w14:paraId="49320E2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2055E8F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AD78D7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w:t>
            </w:r>
          </w:p>
        </w:tc>
        <w:tc>
          <w:tcPr>
            <w:tcW w:w="1440" w:type="dxa"/>
            <w:tcBorders>
              <w:top w:val="nil"/>
              <w:left w:val="nil"/>
              <w:bottom w:val="nil"/>
              <w:right w:val="nil"/>
            </w:tcBorders>
          </w:tcPr>
          <w:p w14:paraId="5A5C105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8EB8CD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w:t>
            </w:r>
          </w:p>
        </w:tc>
        <w:tc>
          <w:tcPr>
            <w:tcW w:w="1440" w:type="dxa"/>
            <w:tcBorders>
              <w:top w:val="nil"/>
              <w:left w:val="nil"/>
              <w:bottom w:val="nil"/>
              <w:right w:val="nil"/>
            </w:tcBorders>
          </w:tcPr>
          <w:p w14:paraId="1F8790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2EC695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w:t>
            </w:r>
          </w:p>
        </w:tc>
      </w:tr>
      <w:tr w:rsidR="00164949" w:rsidRPr="000932A9" w14:paraId="3C2EC26F" w14:textId="77777777" w:rsidTr="00164949">
        <w:trPr>
          <w:jc w:val="center"/>
        </w:trPr>
        <w:tc>
          <w:tcPr>
            <w:tcW w:w="2424" w:type="dxa"/>
            <w:tcBorders>
              <w:top w:val="nil"/>
              <w:left w:val="nil"/>
              <w:bottom w:val="nil"/>
              <w:right w:val="nil"/>
            </w:tcBorders>
          </w:tcPr>
          <w:p w14:paraId="4FA369B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Union</w:t>
            </w:r>
          </w:p>
        </w:tc>
        <w:tc>
          <w:tcPr>
            <w:tcW w:w="1314" w:type="dxa"/>
            <w:tcBorders>
              <w:top w:val="nil"/>
              <w:left w:val="nil"/>
              <w:bottom w:val="nil"/>
              <w:right w:val="nil"/>
            </w:tcBorders>
          </w:tcPr>
          <w:p w14:paraId="4B1C34B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41F9E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-0.051</w:t>
            </w:r>
          </w:p>
        </w:tc>
        <w:tc>
          <w:tcPr>
            <w:tcW w:w="1440" w:type="dxa"/>
            <w:tcBorders>
              <w:top w:val="nil"/>
              <w:left w:val="nil"/>
              <w:bottom w:val="nil"/>
              <w:right w:val="nil"/>
            </w:tcBorders>
          </w:tcPr>
          <w:p w14:paraId="1C1D345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76E853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-0.053</w:t>
            </w:r>
          </w:p>
        </w:tc>
        <w:tc>
          <w:tcPr>
            <w:tcW w:w="1440" w:type="dxa"/>
            <w:tcBorders>
              <w:top w:val="nil"/>
              <w:left w:val="nil"/>
              <w:bottom w:val="nil"/>
              <w:right w:val="nil"/>
            </w:tcBorders>
          </w:tcPr>
          <w:p w14:paraId="55FA4A8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E090C6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-0.115**</w:t>
            </w:r>
          </w:p>
        </w:tc>
      </w:tr>
      <w:tr w:rsidR="00164949" w:rsidRPr="000932A9" w14:paraId="42EA22CC" w14:textId="77777777" w:rsidTr="00164949">
        <w:trPr>
          <w:jc w:val="center"/>
        </w:trPr>
        <w:tc>
          <w:tcPr>
            <w:tcW w:w="2424" w:type="dxa"/>
            <w:tcBorders>
              <w:top w:val="nil"/>
              <w:left w:val="nil"/>
              <w:bottom w:val="nil"/>
              <w:right w:val="nil"/>
            </w:tcBorders>
          </w:tcPr>
          <w:p w14:paraId="68E5FA8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59C8336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069D38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(0.041)</w:t>
            </w:r>
          </w:p>
        </w:tc>
        <w:tc>
          <w:tcPr>
            <w:tcW w:w="1440" w:type="dxa"/>
            <w:tcBorders>
              <w:top w:val="nil"/>
              <w:left w:val="nil"/>
              <w:bottom w:val="nil"/>
              <w:right w:val="nil"/>
            </w:tcBorders>
          </w:tcPr>
          <w:p w14:paraId="26E4062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4CDF88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(0.040)</w:t>
            </w:r>
          </w:p>
        </w:tc>
        <w:tc>
          <w:tcPr>
            <w:tcW w:w="1440" w:type="dxa"/>
            <w:tcBorders>
              <w:top w:val="nil"/>
              <w:left w:val="nil"/>
              <w:bottom w:val="nil"/>
              <w:right w:val="nil"/>
            </w:tcBorders>
          </w:tcPr>
          <w:p w14:paraId="3CC49A3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5D5C8F1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(0.051)</w:t>
            </w:r>
          </w:p>
        </w:tc>
      </w:tr>
      <w:tr w:rsidR="00164949" w:rsidRPr="000932A9" w14:paraId="1D887D92" w14:textId="77777777" w:rsidTr="00164949">
        <w:trPr>
          <w:jc w:val="center"/>
        </w:trPr>
        <w:tc>
          <w:tcPr>
            <w:tcW w:w="2424" w:type="dxa"/>
            <w:tcBorders>
              <w:top w:val="nil"/>
              <w:left w:val="nil"/>
              <w:bottom w:val="nil"/>
              <w:right w:val="nil"/>
            </w:tcBorders>
          </w:tcPr>
          <w:p w14:paraId="2B45C3D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Public Sector</w:t>
            </w:r>
          </w:p>
        </w:tc>
        <w:tc>
          <w:tcPr>
            <w:tcW w:w="1314" w:type="dxa"/>
            <w:tcBorders>
              <w:top w:val="nil"/>
              <w:left w:val="nil"/>
              <w:bottom w:val="nil"/>
              <w:right w:val="nil"/>
            </w:tcBorders>
          </w:tcPr>
          <w:p w14:paraId="2E77509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325ACAB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-0.089</w:t>
            </w:r>
          </w:p>
        </w:tc>
        <w:tc>
          <w:tcPr>
            <w:tcW w:w="1440" w:type="dxa"/>
            <w:tcBorders>
              <w:top w:val="nil"/>
              <w:left w:val="nil"/>
              <w:bottom w:val="nil"/>
              <w:right w:val="nil"/>
            </w:tcBorders>
          </w:tcPr>
          <w:p w14:paraId="60202BA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D3820C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0.098*</w:t>
            </w:r>
          </w:p>
        </w:tc>
        <w:tc>
          <w:tcPr>
            <w:tcW w:w="1440" w:type="dxa"/>
            <w:tcBorders>
              <w:top w:val="nil"/>
              <w:left w:val="nil"/>
              <w:bottom w:val="nil"/>
              <w:right w:val="nil"/>
            </w:tcBorders>
          </w:tcPr>
          <w:p w14:paraId="7D4D599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1B72C8A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0.075</w:t>
            </w:r>
          </w:p>
        </w:tc>
      </w:tr>
      <w:tr w:rsidR="00164949" w:rsidRPr="000932A9" w14:paraId="02501F93" w14:textId="77777777" w:rsidTr="00164949">
        <w:trPr>
          <w:jc w:val="center"/>
        </w:trPr>
        <w:tc>
          <w:tcPr>
            <w:tcW w:w="2424" w:type="dxa"/>
            <w:tcBorders>
              <w:top w:val="nil"/>
              <w:left w:val="nil"/>
              <w:bottom w:val="nil"/>
              <w:right w:val="nil"/>
            </w:tcBorders>
          </w:tcPr>
          <w:p w14:paraId="184607C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51A550E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E1DB88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(0.061)</w:t>
            </w:r>
          </w:p>
        </w:tc>
        <w:tc>
          <w:tcPr>
            <w:tcW w:w="1440" w:type="dxa"/>
            <w:tcBorders>
              <w:top w:val="nil"/>
              <w:left w:val="nil"/>
              <w:bottom w:val="nil"/>
              <w:right w:val="nil"/>
            </w:tcBorders>
          </w:tcPr>
          <w:p w14:paraId="653D3AF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90BA50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(0.056)</w:t>
            </w:r>
          </w:p>
        </w:tc>
        <w:tc>
          <w:tcPr>
            <w:tcW w:w="1440" w:type="dxa"/>
            <w:tcBorders>
              <w:top w:val="nil"/>
              <w:left w:val="nil"/>
              <w:bottom w:val="nil"/>
              <w:right w:val="nil"/>
            </w:tcBorders>
          </w:tcPr>
          <w:p w14:paraId="4EC6666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2C52DF6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(0.072)</w:t>
            </w:r>
          </w:p>
        </w:tc>
      </w:tr>
      <w:tr w:rsidR="00164949" w:rsidRPr="000932A9" w14:paraId="66D96385" w14:textId="77777777" w:rsidTr="00164949">
        <w:trPr>
          <w:jc w:val="center"/>
        </w:trPr>
        <w:tc>
          <w:tcPr>
            <w:tcW w:w="2424" w:type="dxa"/>
            <w:tcBorders>
              <w:top w:val="nil"/>
              <w:left w:val="nil"/>
              <w:bottom w:val="nil"/>
              <w:right w:val="nil"/>
            </w:tcBorders>
          </w:tcPr>
          <w:p w14:paraId="56D7F8A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Temporary Job</w:t>
            </w:r>
          </w:p>
        </w:tc>
        <w:tc>
          <w:tcPr>
            <w:tcW w:w="1314" w:type="dxa"/>
            <w:tcBorders>
              <w:top w:val="nil"/>
              <w:left w:val="nil"/>
              <w:bottom w:val="nil"/>
              <w:right w:val="nil"/>
            </w:tcBorders>
          </w:tcPr>
          <w:p w14:paraId="366A3B7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478223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0.162</w:t>
            </w:r>
          </w:p>
        </w:tc>
        <w:tc>
          <w:tcPr>
            <w:tcW w:w="1440" w:type="dxa"/>
            <w:tcBorders>
              <w:top w:val="nil"/>
              <w:left w:val="nil"/>
              <w:bottom w:val="nil"/>
              <w:right w:val="nil"/>
            </w:tcBorders>
          </w:tcPr>
          <w:p w14:paraId="2FC4831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0E632F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-0.118</w:t>
            </w:r>
          </w:p>
        </w:tc>
        <w:tc>
          <w:tcPr>
            <w:tcW w:w="1440" w:type="dxa"/>
            <w:tcBorders>
              <w:top w:val="nil"/>
              <w:left w:val="nil"/>
              <w:bottom w:val="nil"/>
              <w:right w:val="nil"/>
            </w:tcBorders>
          </w:tcPr>
          <w:p w14:paraId="3A3F1D1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224C5E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-0.084</w:t>
            </w:r>
          </w:p>
        </w:tc>
      </w:tr>
      <w:tr w:rsidR="00164949" w:rsidRPr="000932A9" w14:paraId="3A285914" w14:textId="77777777" w:rsidTr="00164949">
        <w:trPr>
          <w:jc w:val="center"/>
        </w:trPr>
        <w:tc>
          <w:tcPr>
            <w:tcW w:w="2424" w:type="dxa"/>
            <w:tcBorders>
              <w:top w:val="nil"/>
              <w:left w:val="nil"/>
              <w:bottom w:val="nil"/>
              <w:right w:val="nil"/>
            </w:tcBorders>
          </w:tcPr>
          <w:p w14:paraId="3CCBE08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747059A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52C3CA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(0.105)</w:t>
            </w:r>
          </w:p>
        </w:tc>
        <w:tc>
          <w:tcPr>
            <w:tcW w:w="1440" w:type="dxa"/>
            <w:tcBorders>
              <w:top w:val="nil"/>
              <w:left w:val="nil"/>
              <w:bottom w:val="nil"/>
              <w:right w:val="nil"/>
            </w:tcBorders>
          </w:tcPr>
          <w:p w14:paraId="5D1EA1C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B30954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(0.096)</w:t>
            </w:r>
          </w:p>
        </w:tc>
        <w:tc>
          <w:tcPr>
            <w:tcW w:w="1440" w:type="dxa"/>
            <w:tcBorders>
              <w:top w:val="nil"/>
              <w:left w:val="nil"/>
              <w:bottom w:val="nil"/>
              <w:right w:val="nil"/>
            </w:tcBorders>
          </w:tcPr>
          <w:p w14:paraId="11DC6E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507BD85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(0.109)</w:t>
            </w:r>
          </w:p>
        </w:tc>
      </w:tr>
      <w:tr w:rsidR="00164949" w:rsidRPr="000932A9" w14:paraId="61366AA9" w14:textId="77777777" w:rsidTr="00164949">
        <w:trPr>
          <w:jc w:val="center"/>
        </w:trPr>
        <w:tc>
          <w:tcPr>
            <w:tcW w:w="2424" w:type="dxa"/>
            <w:tcBorders>
              <w:top w:val="nil"/>
              <w:left w:val="nil"/>
              <w:bottom w:val="nil"/>
              <w:right w:val="nil"/>
            </w:tcBorders>
          </w:tcPr>
          <w:p w14:paraId="38EE205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Manager Supervisor</w:t>
            </w:r>
          </w:p>
        </w:tc>
        <w:tc>
          <w:tcPr>
            <w:tcW w:w="1314" w:type="dxa"/>
            <w:tcBorders>
              <w:top w:val="nil"/>
              <w:left w:val="nil"/>
              <w:bottom w:val="nil"/>
              <w:right w:val="nil"/>
            </w:tcBorders>
          </w:tcPr>
          <w:p w14:paraId="225AAB4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B69933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0.101**</w:t>
            </w:r>
          </w:p>
        </w:tc>
        <w:tc>
          <w:tcPr>
            <w:tcW w:w="1440" w:type="dxa"/>
            <w:tcBorders>
              <w:top w:val="nil"/>
              <w:left w:val="nil"/>
              <w:bottom w:val="nil"/>
              <w:right w:val="nil"/>
            </w:tcBorders>
          </w:tcPr>
          <w:p w14:paraId="6C4094D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49A03D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0.020</w:t>
            </w:r>
          </w:p>
        </w:tc>
        <w:tc>
          <w:tcPr>
            <w:tcW w:w="1440" w:type="dxa"/>
            <w:tcBorders>
              <w:top w:val="nil"/>
              <w:left w:val="nil"/>
              <w:bottom w:val="nil"/>
              <w:right w:val="nil"/>
            </w:tcBorders>
          </w:tcPr>
          <w:p w14:paraId="2392614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1AB3C5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0.026</w:t>
            </w:r>
          </w:p>
        </w:tc>
      </w:tr>
      <w:tr w:rsidR="00164949" w:rsidRPr="000932A9" w14:paraId="6D5F839E" w14:textId="77777777" w:rsidTr="00164949">
        <w:trPr>
          <w:jc w:val="center"/>
        </w:trPr>
        <w:tc>
          <w:tcPr>
            <w:tcW w:w="2424" w:type="dxa"/>
            <w:tcBorders>
              <w:top w:val="nil"/>
              <w:left w:val="nil"/>
              <w:bottom w:val="nil"/>
              <w:right w:val="nil"/>
            </w:tcBorders>
          </w:tcPr>
          <w:p w14:paraId="7FA6B0CE"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38D9BFC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49E1EC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(0.042)</w:t>
            </w:r>
          </w:p>
        </w:tc>
        <w:tc>
          <w:tcPr>
            <w:tcW w:w="1440" w:type="dxa"/>
            <w:tcBorders>
              <w:top w:val="nil"/>
              <w:left w:val="nil"/>
              <w:bottom w:val="nil"/>
              <w:right w:val="nil"/>
            </w:tcBorders>
          </w:tcPr>
          <w:p w14:paraId="110EFBE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6E2975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(0.038)</w:t>
            </w:r>
          </w:p>
        </w:tc>
        <w:tc>
          <w:tcPr>
            <w:tcW w:w="1440" w:type="dxa"/>
            <w:tcBorders>
              <w:top w:val="nil"/>
              <w:left w:val="nil"/>
              <w:bottom w:val="nil"/>
              <w:right w:val="nil"/>
            </w:tcBorders>
          </w:tcPr>
          <w:p w14:paraId="3DD40CC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0AFB7FB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(0.052)</w:t>
            </w:r>
          </w:p>
        </w:tc>
      </w:tr>
      <w:tr w:rsidR="00164949" w:rsidRPr="000932A9" w14:paraId="25DF0430" w14:textId="77777777" w:rsidTr="00164949">
        <w:trPr>
          <w:jc w:val="center"/>
        </w:trPr>
        <w:tc>
          <w:tcPr>
            <w:tcW w:w="2424" w:type="dxa"/>
            <w:tcBorders>
              <w:top w:val="nil"/>
              <w:left w:val="nil"/>
              <w:bottom w:val="nil"/>
              <w:right w:val="nil"/>
            </w:tcBorders>
          </w:tcPr>
          <w:p w14:paraId="0449331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General Health</w:t>
            </w:r>
          </w:p>
        </w:tc>
        <w:tc>
          <w:tcPr>
            <w:tcW w:w="1314" w:type="dxa"/>
            <w:tcBorders>
              <w:top w:val="nil"/>
              <w:left w:val="nil"/>
              <w:bottom w:val="nil"/>
              <w:right w:val="nil"/>
            </w:tcBorders>
          </w:tcPr>
          <w:p w14:paraId="0738F7F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2F8D313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0.159***</w:t>
            </w:r>
          </w:p>
        </w:tc>
        <w:tc>
          <w:tcPr>
            <w:tcW w:w="1440" w:type="dxa"/>
            <w:tcBorders>
              <w:top w:val="nil"/>
              <w:left w:val="nil"/>
              <w:bottom w:val="nil"/>
              <w:right w:val="nil"/>
            </w:tcBorders>
          </w:tcPr>
          <w:p w14:paraId="56A6FD0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5F46BA4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0.215***</w:t>
            </w:r>
          </w:p>
        </w:tc>
        <w:tc>
          <w:tcPr>
            <w:tcW w:w="1440" w:type="dxa"/>
            <w:tcBorders>
              <w:top w:val="nil"/>
              <w:left w:val="nil"/>
              <w:bottom w:val="nil"/>
              <w:right w:val="nil"/>
            </w:tcBorders>
          </w:tcPr>
          <w:p w14:paraId="37653E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42287A0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0.227***</w:t>
            </w:r>
          </w:p>
        </w:tc>
      </w:tr>
      <w:tr w:rsidR="00164949" w:rsidRPr="000932A9" w14:paraId="59E686CC" w14:textId="77777777" w:rsidTr="00164949">
        <w:trPr>
          <w:jc w:val="center"/>
        </w:trPr>
        <w:tc>
          <w:tcPr>
            <w:tcW w:w="2424" w:type="dxa"/>
            <w:tcBorders>
              <w:top w:val="nil"/>
              <w:left w:val="nil"/>
              <w:bottom w:val="nil"/>
              <w:right w:val="nil"/>
            </w:tcBorders>
          </w:tcPr>
          <w:p w14:paraId="77B07981"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4832426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B2B0D1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(0.0220)</w:t>
            </w:r>
          </w:p>
        </w:tc>
        <w:tc>
          <w:tcPr>
            <w:tcW w:w="1440" w:type="dxa"/>
            <w:tcBorders>
              <w:top w:val="nil"/>
              <w:left w:val="nil"/>
              <w:bottom w:val="nil"/>
              <w:right w:val="nil"/>
            </w:tcBorders>
          </w:tcPr>
          <w:p w14:paraId="4DA2F03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EE76B2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(0.021)</w:t>
            </w:r>
          </w:p>
        </w:tc>
        <w:tc>
          <w:tcPr>
            <w:tcW w:w="1440" w:type="dxa"/>
            <w:tcBorders>
              <w:top w:val="nil"/>
              <w:left w:val="nil"/>
              <w:bottom w:val="nil"/>
              <w:right w:val="nil"/>
            </w:tcBorders>
          </w:tcPr>
          <w:p w14:paraId="0F061E2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8BF31C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(0.024)</w:t>
            </w:r>
          </w:p>
        </w:tc>
      </w:tr>
      <w:tr w:rsidR="00164949" w:rsidRPr="000932A9" w14:paraId="67978EBD" w14:textId="77777777" w:rsidTr="00164949">
        <w:trPr>
          <w:jc w:val="center"/>
        </w:trPr>
        <w:tc>
          <w:tcPr>
            <w:tcW w:w="2424" w:type="dxa"/>
            <w:tcBorders>
              <w:top w:val="nil"/>
              <w:left w:val="nil"/>
              <w:bottom w:val="nil"/>
              <w:right w:val="nil"/>
            </w:tcBorders>
          </w:tcPr>
          <w:p w14:paraId="7BCE2DB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Travel Time</w:t>
            </w:r>
          </w:p>
        </w:tc>
        <w:tc>
          <w:tcPr>
            <w:tcW w:w="1314" w:type="dxa"/>
            <w:tcBorders>
              <w:top w:val="nil"/>
              <w:left w:val="nil"/>
              <w:bottom w:val="nil"/>
              <w:right w:val="nil"/>
            </w:tcBorders>
          </w:tcPr>
          <w:p w14:paraId="2FBD2EC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7B986F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c>
          <w:tcPr>
            <w:tcW w:w="1440" w:type="dxa"/>
            <w:tcBorders>
              <w:top w:val="nil"/>
              <w:left w:val="nil"/>
              <w:bottom w:val="nil"/>
              <w:right w:val="nil"/>
            </w:tcBorders>
          </w:tcPr>
          <w:p w14:paraId="737B0A9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5253304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w:t>
            </w:r>
          </w:p>
        </w:tc>
        <w:tc>
          <w:tcPr>
            <w:tcW w:w="1440" w:type="dxa"/>
            <w:tcBorders>
              <w:top w:val="nil"/>
              <w:left w:val="nil"/>
              <w:bottom w:val="nil"/>
              <w:right w:val="nil"/>
            </w:tcBorders>
          </w:tcPr>
          <w:p w14:paraId="5C700EC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51F2B85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r>
      <w:tr w:rsidR="00164949" w:rsidRPr="000932A9" w14:paraId="19F43500" w14:textId="77777777" w:rsidTr="00164949">
        <w:trPr>
          <w:jc w:val="center"/>
        </w:trPr>
        <w:tc>
          <w:tcPr>
            <w:tcW w:w="2424" w:type="dxa"/>
            <w:tcBorders>
              <w:top w:val="nil"/>
              <w:left w:val="nil"/>
              <w:bottom w:val="nil"/>
              <w:right w:val="nil"/>
            </w:tcBorders>
          </w:tcPr>
          <w:p w14:paraId="3C4BE96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4745570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A2970A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c>
          <w:tcPr>
            <w:tcW w:w="1440" w:type="dxa"/>
            <w:tcBorders>
              <w:top w:val="nil"/>
              <w:left w:val="nil"/>
              <w:bottom w:val="nil"/>
              <w:right w:val="nil"/>
            </w:tcBorders>
          </w:tcPr>
          <w:p w14:paraId="32D2A15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558439B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c>
          <w:tcPr>
            <w:tcW w:w="1440" w:type="dxa"/>
            <w:tcBorders>
              <w:top w:val="nil"/>
              <w:left w:val="nil"/>
              <w:bottom w:val="nil"/>
              <w:right w:val="nil"/>
            </w:tcBorders>
          </w:tcPr>
          <w:p w14:paraId="4CA6A9F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30D296E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w:t>
            </w:r>
          </w:p>
        </w:tc>
      </w:tr>
      <w:tr w:rsidR="00164949" w:rsidRPr="000932A9" w14:paraId="5BD7F113" w14:textId="77777777" w:rsidTr="00164949">
        <w:trPr>
          <w:jc w:val="center"/>
        </w:trPr>
        <w:tc>
          <w:tcPr>
            <w:tcW w:w="2424" w:type="dxa"/>
            <w:tcBorders>
              <w:top w:val="nil"/>
              <w:left w:val="nil"/>
              <w:bottom w:val="nil"/>
              <w:right w:val="nil"/>
            </w:tcBorders>
          </w:tcPr>
          <w:p w14:paraId="48A1F7F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Performance Pay</w:t>
            </w:r>
          </w:p>
        </w:tc>
        <w:tc>
          <w:tcPr>
            <w:tcW w:w="1314" w:type="dxa"/>
            <w:tcBorders>
              <w:top w:val="nil"/>
              <w:left w:val="nil"/>
              <w:bottom w:val="nil"/>
              <w:right w:val="nil"/>
            </w:tcBorders>
          </w:tcPr>
          <w:p w14:paraId="08B3D7E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66F038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0.0321</w:t>
            </w:r>
          </w:p>
        </w:tc>
        <w:tc>
          <w:tcPr>
            <w:tcW w:w="1440" w:type="dxa"/>
            <w:tcBorders>
              <w:top w:val="nil"/>
              <w:left w:val="nil"/>
              <w:bottom w:val="nil"/>
              <w:right w:val="nil"/>
            </w:tcBorders>
          </w:tcPr>
          <w:p w14:paraId="1BE70B8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9B186B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0.039</w:t>
            </w:r>
          </w:p>
        </w:tc>
        <w:tc>
          <w:tcPr>
            <w:tcW w:w="1440" w:type="dxa"/>
            <w:tcBorders>
              <w:top w:val="nil"/>
              <w:left w:val="nil"/>
              <w:bottom w:val="nil"/>
              <w:right w:val="nil"/>
            </w:tcBorders>
          </w:tcPr>
          <w:p w14:paraId="7A8A0A6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1CBEB95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0.087*</w:t>
            </w:r>
          </w:p>
        </w:tc>
      </w:tr>
      <w:tr w:rsidR="00164949" w:rsidRPr="000932A9" w14:paraId="08A71D49" w14:textId="77777777" w:rsidTr="00164949">
        <w:trPr>
          <w:jc w:val="center"/>
        </w:trPr>
        <w:tc>
          <w:tcPr>
            <w:tcW w:w="2424" w:type="dxa"/>
            <w:tcBorders>
              <w:top w:val="nil"/>
              <w:left w:val="nil"/>
              <w:bottom w:val="nil"/>
              <w:right w:val="nil"/>
            </w:tcBorders>
          </w:tcPr>
          <w:p w14:paraId="06485CE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21205B6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715EC68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(0.0399)</w:t>
            </w:r>
          </w:p>
        </w:tc>
        <w:tc>
          <w:tcPr>
            <w:tcW w:w="1440" w:type="dxa"/>
            <w:tcBorders>
              <w:top w:val="nil"/>
              <w:left w:val="nil"/>
              <w:bottom w:val="nil"/>
              <w:right w:val="nil"/>
            </w:tcBorders>
          </w:tcPr>
          <w:p w14:paraId="5BF2C9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0C1D0D6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(0.036)</w:t>
            </w:r>
          </w:p>
        </w:tc>
        <w:tc>
          <w:tcPr>
            <w:tcW w:w="1440" w:type="dxa"/>
            <w:tcBorders>
              <w:top w:val="nil"/>
              <w:left w:val="nil"/>
              <w:bottom w:val="nil"/>
              <w:right w:val="nil"/>
            </w:tcBorders>
          </w:tcPr>
          <w:p w14:paraId="51990A6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73007C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(0.049)</w:t>
            </w:r>
          </w:p>
        </w:tc>
      </w:tr>
      <w:tr w:rsidR="00164949" w:rsidRPr="000932A9" w14:paraId="7F78CA66" w14:textId="77777777" w:rsidTr="00164949">
        <w:trPr>
          <w:jc w:val="center"/>
        </w:trPr>
        <w:tc>
          <w:tcPr>
            <w:tcW w:w="2424" w:type="dxa"/>
            <w:tcBorders>
              <w:top w:val="nil"/>
              <w:left w:val="nil"/>
              <w:bottom w:val="nil"/>
              <w:right w:val="nil"/>
            </w:tcBorders>
          </w:tcPr>
          <w:p w14:paraId="0E1B31C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14" w:type="dxa"/>
            <w:tcBorders>
              <w:top w:val="nil"/>
              <w:left w:val="nil"/>
              <w:bottom w:val="nil"/>
              <w:right w:val="nil"/>
            </w:tcBorders>
          </w:tcPr>
          <w:p w14:paraId="4451FC0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183E9D1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14:paraId="351D618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28" w:type="dxa"/>
            <w:tcBorders>
              <w:top w:val="nil"/>
              <w:left w:val="nil"/>
              <w:bottom w:val="nil"/>
              <w:right w:val="nil"/>
            </w:tcBorders>
          </w:tcPr>
          <w:p w14:paraId="43347B7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14:paraId="4F729B1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AB4A70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23D6BF5C" w14:textId="77777777" w:rsidTr="00164949">
        <w:tblPrEx>
          <w:tblBorders>
            <w:bottom w:val="single" w:sz="6" w:space="0" w:color="auto"/>
          </w:tblBorders>
        </w:tblPrEx>
        <w:trPr>
          <w:jc w:val="center"/>
        </w:trPr>
        <w:tc>
          <w:tcPr>
            <w:tcW w:w="2424" w:type="dxa"/>
            <w:tcBorders>
              <w:top w:val="nil"/>
              <w:left w:val="nil"/>
              <w:bottom w:val="single" w:sz="6" w:space="0" w:color="auto"/>
              <w:right w:val="nil"/>
            </w:tcBorders>
          </w:tcPr>
          <w:p w14:paraId="57F9ABD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highlight w:val="yellow"/>
              </w:rPr>
            </w:pPr>
            <w:r w:rsidRPr="000932A9">
              <w:rPr>
                <w:rFonts w:ascii="Times New Roman" w:hAnsi="Times New Roman" w:cs="Times New Roman"/>
              </w:rPr>
              <w:t>Observations</w:t>
            </w:r>
          </w:p>
        </w:tc>
        <w:tc>
          <w:tcPr>
            <w:tcW w:w="1314" w:type="dxa"/>
            <w:tcBorders>
              <w:top w:val="nil"/>
              <w:left w:val="nil"/>
              <w:bottom w:val="single" w:sz="6" w:space="0" w:color="auto"/>
              <w:right w:val="nil"/>
            </w:tcBorders>
          </w:tcPr>
          <w:p w14:paraId="2042D3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highlight w:val="yellow"/>
              </w:rPr>
            </w:pPr>
            <w:r w:rsidRPr="000932A9">
              <w:rPr>
                <w:rFonts w:ascii="Times New Roman" w:hAnsi="Times New Roman" w:cs="Times New Roman"/>
              </w:rPr>
              <w:t>3,849</w:t>
            </w:r>
          </w:p>
        </w:tc>
        <w:tc>
          <w:tcPr>
            <w:tcW w:w="1728" w:type="dxa"/>
            <w:tcBorders>
              <w:top w:val="nil"/>
              <w:left w:val="nil"/>
              <w:bottom w:val="single" w:sz="6" w:space="0" w:color="auto"/>
              <w:right w:val="nil"/>
            </w:tcBorders>
          </w:tcPr>
          <w:p w14:paraId="3EBFEC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highlight w:val="yellow"/>
              </w:rPr>
            </w:pPr>
            <w:r w:rsidRPr="000932A9">
              <w:rPr>
                <w:rFonts w:ascii="Times New Roman" w:hAnsi="Times New Roman" w:cs="Times New Roman"/>
              </w:rPr>
              <w:t>3,849</w:t>
            </w:r>
          </w:p>
        </w:tc>
        <w:tc>
          <w:tcPr>
            <w:tcW w:w="1440" w:type="dxa"/>
            <w:tcBorders>
              <w:top w:val="nil"/>
              <w:left w:val="nil"/>
              <w:bottom w:val="single" w:sz="6" w:space="0" w:color="auto"/>
              <w:right w:val="nil"/>
            </w:tcBorders>
          </w:tcPr>
          <w:p w14:paraId="63E80F6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highlight w:val="yellow"/>
              </w:rPr>
            </w:pPr>
            <w:r w:rsidRPr="000932A9">
              <w:rPr>
                <w:rFonts w:ascii="Times New Roman" w:hAnsi="Times New Roman" w:cs="Times New Roman"/>
              </w:rPr>
              <w:t>4,558</w:t>
            </w:r>
          </w:p>
        </w:tc>
        <w:tc>
          <w:tcPr>
            <w:tcW w:w="1728" w:type="dxa"/>
            <w:tcBorders>
              <w:top w:val="nil"/>
              <w:left w:val="nil"/>
              <w:bottom w:val="single" w:sz="6" w:space="0" w:color="auto"/>
              <w:right w:val="nil"/>
            </w:tcBorders>
          </w:tcPr>
          <w:p w14:paraId="58A3B8B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highlight w:val="yellow"/>
              </w:rPr>
            </w:pPr>
            <w:r w:rsidRPr="000932A9">
              <w:rPr>
                <w:rFonts w:ascii="Times New Roman" w:hAnsi="Times New Roman" w:cs="Times New Roman"/>
              </w:rPr>
              <w:t>4,558</w:t>
            </w:r>
          </w:p>
        </w:tc>
        <w:tc>
          <w:tcPr>
            <w:tcW w:w="1440" w:type="dxa"/>
            <w:tcBorders>
              <w:top w:val="nil"/>
              <w:left w:val="nil"/>
              <w:bottom w:val="single" w:sz="6" w:space="0" w:color="auto"/>
              <w:right w:val="nil"/>
            </w:tcBorders>
          </w:tcPr>
          <w:p w14:paraId="1BF2E7B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highlight w:val="yellow"/>
              </w:rPr>
            </w:pPr>
            <w:r w:rsidRPr="000932A9">
              <w:rPr>
                <w:rFonts w:ascii="Times New Roman" w:hAnsi="Times New Roman" w:cs="Times New Roman"/>
              </w:rPr>
              <w:t>2,463</w:t>
            </w:r>
          </w:p>
        </w:tc>
        <w:tc>
          <w:tcPr>
            <w:tcW w:w="1584" w:type="dxa"/>
            <w:tcBorders>
              <w:top w:val="nil"/>
              <w:left w:val="nil"/>
              <w:bottom w:val="single" w:sz="6" w:space="0" w:color="auto"/>
              <w:right w:val="nil"/>
            </w:tcBorders>
          </w:tcPr>
          <w:p w14:paraId="50B0A5D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2,463</w:t>
            </w:r>
          </w:p>
        </w:tc>
      </w:tr>
    </w:tbl>
    <w:p w14:paraId="0078043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p w14:paraId="17476D8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Model 2, 4 and 6 include controls for occupation, industry, firm size, temporary contracts. Robust standard errors in Parentheses *** p&lt;0.01, ** p&lt;0.05, * p&lt;0.1</w:t>
      </w:r>
    </w:p>
    <w:p w14:paraId="2A40C36F" w14:textId="77777777" w:rsidR="00164949" w:rsidRPr="000932A9" w:rsidRDefault="00164949" w:rsidP="00164949">
      <w:pPr>
        <w:rPr>
          <w:rFonts w:ascii="Garamond" w:hAnsi="Garamond"/>
        </w:rPr>
      </w:pPr>
      <w:r w:rsidRPr="000932A9">
        <w:rPr>
          <w:rFonts w:ascii="Garamond" w:hAnsi="Garamond"/>
        </w:rPr>
        <w:br w:type="page"/>
      </w:r>
    </w:p>
    <w:p w14:paraId="119648F0" w14:textId="77777777" w:rsidR="00164949" w:rsidRPr="000932A9" w:rsidRDefault="00164949" w:rsidP="00164949">
      <w:pPr>
        <w:rPr>
          <w:rFonts w:ascii="Garamond" w:hAnsi="Garamond"/>
        </w:rPr>
      </w:pPr>
    </w:p>
    <w:p w14:paraId="4D78E595" w14:textId="77777777" w:rsidR="00164949" w:rsidRPr="000932A9" w:rsidRDefault="00164949" w:rsidP="00164949">
      <w:pPr>
        <w:spacing w:line="360" w:lineRule="auto"/>
        <w:rPr>
          <w:rFonts w:ascii="Garamond" w:hAnsi="Garamond"/>
        </w:rPr>
      </w:pPr>
      <w:r w:rsidRPr="000932A9">
        <w:rPr>
          <w:rFonts w:ascii="Garamond" w:hAnsi="Garamond"/>
          <w:b/>
        </w:rPr>
        <w:t>TABLE 2</w:t>
      </w:r>
      <w:r w:rsidRPr="000932A9">
        <w:rPr>
          <w:rFonts w:ascii="Garamond" w:hAnsi="Garamond"/>
        </w:rPr>
        <w:t>: Changes in the Male-Female Job Satisfaction Gap by Domain between 1991 and 2008, Ordered Probit Estimates, BHPS</w:t>
      </w:r>
    </w:p>
    <w:tbl>
      <w:tblPr>
        <w:tblW w:w="8454" w:type="dxa"/>
        <w:jc w:val="center"/>
        <w:tblLayout w:type="fixed"/>
        <w:tblCellMar>
          <w:left w:w="75" w:type="dxa"/>
          <w:right w:w="75" w:type="dxa"/>
        </w:tblCellMar>
        <w:tblLook w:val="0000" w:firstRow="0" w:lastRow="0" w:firstColumn="0" w:lastColumn="0" w:noHBand="0" w:noVBand="0"/>
      </w:tblPr>
      <w:tblGrid>
        <w:gridCol w:w="2124"/>
        <w:gridCol w:w="1364"/>
        <w:gridCol w:w="1449"/>
        <w:gridCol w:w="1803"/>
        <w:gridCol w:w="1714"/>
      </w:tblGrid>
      <w:tr w:rsidR="00164949" w:rsidRPr="000932A9" w14:paraId="3B63AD88" w14:textId="77777777" w:rsidTr="00164949">
        <w:trPr>
          <w:jc w:val="center"/>
        </w:trPr>
        <w:tc>
          <w:tcPr>
            <w:tcW w:w="2124" w:type="dxa"/>
            <w:tcBorders>
              <w:top w:val="single" w:sz="6" w:space="0" w:color="auto"/>
              <w:left w:val="nil"/>
              <w:bottom w:val="nil"/>
              <w:right w:val="nil"/>
            </w:tcBorders>
          </w:tcPr>
          <w:p w14:paraId="320C64C7"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64" w:type="dxa"/>
            <w:tcBorders>
              <w:top w:val="single" w:sz="6" w:space="0" w:color="auto"/>
              <w:left w:val="nil"/>
              <w:bottom w:val="nil"/>
              <w:right w:val="nil"/>
            </w:tcBorders>
          </w:tcPr>
          <w:p w14:paraId="2082E7C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w:t>
            </w:r>
          </w:p>
        </w:tc>
        <w:tc>
          <w:tcPr>
            <w:tcW w:w="1449" w:type="dxa"/>
            <w:tcBorders>
              <w:top w:val="single" w:sz="6" w:space="0" w:color="auto"/>
              <w:left w:val="nil"/>
              <w:bottom w:val="nil"/>
              <w:right w:val="nil"/>
            </w:tcBorders>
          </w:tcPr>
          <w:p w14:paraId="5902B40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w:t>
            </w:r>
          </w:p>
        </w:tc>
        <w:tc>
          <w:tcPr>
            <w:tcW w:w="1803" w:type="dxa"/>
            <w:tcBorders>
              <w:top w:val="single" w:sz="6" w:space="0" w:color="auto"/>
              <w:left w:val="nil"/>
              <w:bottom w:val="nil"/>
              <w:right w:val="nil"/>
            </w:tcBorders>
          </w:tcPr>
          <w:p w14:paraId="57C2531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(3)</w:t>
            </w:r>
          </w:p>
        </w:tc>
        <w:tc>
          <w:tcPr>
            <w:tcW w:w="1714" w:type="dxa"/>
            <w:tcBorders>
              <w:top w:val="single" w:sz="6" w:space="0" w:color="auto"/>
              <w:left w:val="nil"/>
              <w:bottom w:val="nil"/>
              <w:right w:val="nil"/>
            </w:tcBorders>
          </w:tcPr>
          <w:p w14:paraId="54FAFA5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(4)</w:t>
            </w:r>
          </w:p>
        </w:tc>
      </w:tr>
      <w:tr w:rsidR="00164949" w:rsidRPr="000932A9" w14:paraId="297E9FCA" w14:textId="77777777" w:rsidTr="00164949">
        <w:trPr>
          <w:jc w:val="center"/>
        </w:trPr>
        <w:tc>
          <w:tcPr>
            <w:tcW w:w="2124" w:type="dxa"/>
            <w:tcBorders>
              <w:top w:val="nil"/>
              <w:left w:val="nil"/>
              <w:bottom w:val="nil"/>
              <w:right w:val="nil"/>
            </w:tcBorders>
          </w:tcPr>
          <w:p w14:paraId="7A051BE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64" w:type="dxa"/>
            <w:tcBorders>
              <w:top w:val="nil"/>
              <w:left w:val="nil"/>
              <w:bottom w:val="nil"/>
              <w:right w:val="nil"/>
            </w:tcBorders>
          </w:tcPr>
          <w:p w14:paraId="310BB95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Pay</w:t>
            </w:r>
          </w:p>
        </w:tc>
        <w:tc>
          <w:tcPr>
            <w:tcW w:w="1449" w:type="dxa"/>
            <w:tcBorders>
              <w:top w:val="nil"/>
              <w:left w:val="nil"/>
              <w:bottom w:val="nil"/>
              <w:right w:val="nil"/>
            </w:tcBorders>
          </w:tcPr>
          <w:p w14:paraId="29D326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Security</w:t>
            </w:r>
          </w:p>
        </w:tc>
        <w:tc>
          <w:tcPr>
            <w:tcW w:w="1803" w:type="dxa"/>
            <w:tcBorders>
              <w:top w:val="nil"/>
              <w:left w:val="nil"/>
              <w:bottom w:val="nil"/>
              <w:right w:val="nil"/>
            </w:tcBorders>
          </w:tcPr>
          <w:p w14:paraId="246CCD8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Hours</w:t>
            </w:r>
          </w:p>
        </w:tc>
        <w:tc>
          <w:tcPr>
            <w:tcW w:w="1714" w:type="dxa"/>
            <w:tcBorders>
              <w:top w:val="nil"/>
              <w:left w:val="nil"/>
              <w:bottom w:val="nil"/>
              <w:right w:val="nil"/>
            </w:tcBorders>
          </w:tcPr>
          <w:p w14:paraId="7D14FEC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Work</w:t>
            </w:r>
          </w:p>
        </w:tc>
      </w:tr>
      <w:tr w:rsidR="00164949" w:rsidRPr="000932A9" w14:paraId="66220439" w14:textId="77777777" w:rsidTr="00164949">
        <w:trPr>
          <w:jc w:val="center"/>
        </w:trPr>
        <w:tc>
          <w:tcPr>
            <w:tcW w:w="2124" w:type="dxa"/>
            <w:tcBorders>
              <w:top w:val="nil"/>
              <w:left w:val="nil"/>
              <w:bottom w:val="single" w:sz="6" w:space="0" w:color="auto"/>
              <w:right w:val="nil"/>
            </w:tcBorders>
          </w:tcPr>
          <w:p w14:paraId="79C4C22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VARIABLES</w:t>
            </w:r>
          </w:p>
        </w:tc>
        <w:tc>
          <w:tcPr>
            <w:tcW w:w="1364" w:type="dxa"/>
            <w:tcBorders>
              <w:top w:val="nil"/>
              <w:left w:val="nil"/>
              <w:bottom w:val="single" w:sz="6" w:space="0" w:color="auto"/>
              <w:right w:val="nil"/>
            </w:tcBorders>
          </w:tcPr>
          <w:p w14:paraId="0C592DB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9" w:type="dxa"/>
            <w:tcBorders>
              <w:top w:val="nil"/>
              <w:left w:val="nil"/>
              <w:bottom w:val="single" w:sz="6" w:space="0" w:color="auto"/>
              <w:right w:val="nil"/>
            </w:tcBorders>
          </w:tcPr>
          <w:p w14:paraId="543C379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803" w:type="dxa"/>
            <w:tcBorders>
              <w:top w:val="nil"/>
              <w:left w:val="nil"/>
              <w:bottom w:val="single" w:sz="6" w:space="0" w:color="auto"/>
              <w:right w:val="nil"/>
            </w:tcBorders>
          </w:tcPr>
          <w:p w14:paraId="252CD7A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14" w:type="dxa"/>
            <w:tcBorders>
              <w:top w:val="nil"/>
              <w:left w:val="nil"/>
              <w:bottom w:val="single" w:sz="6" w:space="0" w:color="auto"/>
              <w:right w:val="nil"/>
            </w:tcBorders>
          </w:tcPr>
          <w:p w14:paraId="445AB01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6E80D5BF" w14:textId="77777777" w:rsidTr="00164949">
        <w:trPr>
          <w:jc w:val="center"/>
        </w:trPr>
        <w:tc>
          <w:tcPr>
            <w:tcW w:w="2124" w:type="dxa"/>
            <w:tcBorders>
              <w:top w:val="nil"/>
              <w:left w:val="nil"/>
              <w:bottom w:val="nil"/>
              <w:right w:val="nil"/>
            </w:tcBorders>
          </w:tcPr>
          <w:p w14:paraId="4208DC71"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64" w:type="dxa"/>
            <w:tcBorders>
              <w:top w:val="nil"/>
              <w:left w:val="nil"/>
              <w:bottom w:val="nil"/>
              <w:right w:val="nil"/>
            </w:tcBorders>
          </w:tcPr>
          <w:p w14:paraId="68FDBDC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49" w:type="dxa"/>
            <w:tcBorders>
              <w:top w:val="nil"/>
              <w:left w:val="nil"/>
              <w:bottom w:val="nil"/>
              <w:right w:val="nil"/>
            </w:tcBorders>
          </w:tcPr>
          <w:p w14:paraId="6967711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803" w:type="dxa"/>
            <w:tcBorders>
              <w:top w:val="nil"/>
              <w:left w:val="nil"/>
              <w:bottom w:val="nil"/>
              <w:right w:val="nil"/>
            </w:tcBorders>
          </w:tcPr>
          <w:p w14:paraId="406B20E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714" w:type="dxa"/>
            <w:tcBorders>
              <w:top w:val="nil"/>
              <w:left w:val="nil"/>
              <w:bottom w:val="nil"/>
              <w:right w:val="nil"/>
            </w:tcBorders>
          </w:tcPr>
          <w:p w14:paraId="68D92C2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62461F73" w14:textId="77777777" w:rsidTr="00164949">
        <w:trPr>
          <w:jc w:val="center"/>
        </w:trPr>
        <w:tc>
          <w:tcPr>
            <w:tcW w:w="2124" w:type="dxa"/>
            <w:tcBorders>
              <w:top w:val="nil"/>
              <w:left w:val="nil"/>
              <w:bottom w:val="nil"/>
              <w:right w:val="nil"/>
            </w:tcBorders>
          </w:tcPr>
          <w:p w14:paraId="5F94F5F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1991</w:t>
            </w:r>
          </w:p>
        </w:tc>
        <w:tc>
          <w:tcPr>
            <w:tcW w:w="1364" w:type="dxa"/>
            <w:tcBorders>
              <w:top w:val="nil"/>
              <w:left w:val="nil"/>
              <w:bottom w:val="nil"/>
              <w:right w:val="nil"/>
            </w:tcBorders>
          </w:tcPr>
          <w:p w14:paraId="70AC44F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w:t>
            </w:r>
            <w:r>
              <w:rPr>
                <w:rFonts w:ascii="Times New Roman" w:hAnsi="Times New Roman" w:cs="Times New Roman"/>
              </w:rPr>
              <w:t>227</w:t>
            </w:r>
            <w:r w:rsidRPr="000932A9">
              <w:rPr>
                <w:rFonts w:ascii="Times New Roman" w:hAnsi="Times New Roman" w:cs="Times New Roman"/>
              </w:rPr>
              <w:t>***</w:t>
            </w:r>
          </w:p>
        </w:tc>
        <w:tc>
          <w:tcPr>
            <w:tcW w:w="1449" w:type="dxa"/>
            <w:tcBorders>
              <w:top w:val="nil"/>
              <w:left w:val="nil"/>
              <w:bottom w:val="nil"/>
              <w:right w:val="nil"/>
            </w:tcBorders>
          </w:tcPr>
          <w:p w14:paraId="1BDEA1D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w:t>
            </w:r>
            <w:r>
              <w:rPr>
                <w:rFonts w:ascii="Times New Roman" w:hAnsi="Times New Roman" w:cs="Times New Roman"/>
              </w:rPr>
              <w:t>0834*</w:t>
            </w:r>
          </w:p>
        </w:tc>
        <w:tc>
          <w:tcPr>
            <w:tcW w:w="1803" w:type="dxa"/>
            <w:tcBorders>
              <w:top w:val="nil"/>
              <w:left w:val="nil"/>
              <w:bottom w:val="nil"/>
              <w:right w:val="nil"/>
            </w:tcBorders>
          </w:tcPr>
          <w:p w14:paraId="46F323A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24</w:t>
            </w:r>
          </w:p>
        </w:tc>
        <w:tc>
          <w:tcPr>
            <w:tcW w:w="1714" w:type="dxa"/>
            <w:tcBorders>
              <w:top w:val="nil"/>
              <w:left w:val="nil"/>
              <w:bottom w:val="nil"/>
              <w:right w:val="nil"/>
            </w:tcBorders>
          </w:tcPr>
          <w:p w14:paraId="78AB64C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w:t>
            </w:r>
            <w:r>
              <w:rPr>
                <w:rFonts w:ascii="Times New Roman" w:hAnsi="Times New Roman" w:cs="Times New Roman"/>
              </w:rPr>
              <w:t>15</w:t>
            </w:r>
            <w:r w:rsidRPr="000932A9">
              <w:rPr>
                <w:rFonts w:ascii="Times New Roman" w:hAnsi="Times New Roman" w:cs="Times New Roman"/>
              </w:rPr>
              <w:t>***</w:t>
            </w:r>
          </w:p>
        </w:tc>
      </w:tr>
      <w:tr w:rsidR="00164949" w:rsidRPr="000932A9" w14:paraId="7CFFF8CB" w14:textId="77777777" w:rsidTr="00164949">
        <w:trPr>
          <w:jc w:val="center"/>
        </w:trPr>
        <w:tc>
          <w:tcPr>
            <w:tcW w:w="2124" w:type="dxa"/>
            <w:tcBorders>
              <w:top w:val="nil"/>
              <w:left w:val="nil"/>
              <w:right w:val="nil"/>
            </w:tcBorders>
          </w:tcPr>
          <w:p w14:paraId="3731740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64" w:type="dxa"/>
            <w:tcBorders>
              <w:top w:val="nil"/>
              <w:left w:val="nil"/>
              <w:right w:val="nil"/>
            </w:tcBorders>
          </w:tcPr>
          <w:p w14:paraId="7F3D87B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45</w:t>
            </w:r>
            <w:r w:rsidRPr="000932A9">
              <w:rPr>
                <w:rFonts w:ascii="Times New Roman" w:hAnsi="Times New Roman" w:cs="Times New Roman"/>
              </w:rPr>
              <w:t>)</w:t>
            </w:r>
          </w:p>
        </w:tc>
        <w:tc>
          <w:tcPr>
            <w:tcW w:w="1449" w:type="dxa"/>
            <w:tcBorders>
              <w:top w:val="nil"/>
              <w:left w:val="nil"/>
              <w:right w:val="nil"/>
            </w:tcBorders>
          </w:tcPr>
          <w:p w14:paraId="768D2AE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46</w:t>
            </w:r>
            <w:r w:rsidRPr="000932A9">
              <w:rPr>
                <w:rFonts w:ascii="Times New Roman" w:hAnsi="Times New Roman" w:cs="Times New Roman"/>
              </w:rPr>
              <w:t>)</w:t>
            </w:r>
          </w:p>
        </w:tc>
        <w:tc>
          <w:tcPr>
            <w:tcW w:w="1803" w:type="dxa"/>
            <w:tcBorders>
              <w:top w:val="nil"/>
              <w:left w:val="nil"/>
              <w:right w:val="nil"/>
            </w:tcBorders>
          </w:tcPr>
          <w:p w14:paraId="20B410F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45</w:t>
            </w:r>
            <w:r w:rsidRPr="000932A9">
              <w:rPr>
                <w:rFonts w:ascii="Times New Roman" w:hAnsi="Times New Roman" w:cs="Times New Roman"/>
              </w:rPr>
              <w:t>)</w:t>
            </w:r>
          </w:p>
        </w:tc>
        <w:tc>
          <w:tcPr>
            <w:tcW w:w="1714" w:type="dxa"/>
            <w:tcBorders>
              <w:top w:val="nil"/>
              <w:left w:val="nil"/>
              <w:right w:val="nil"/>
            </w:tcBorders>
          </w:tcPr>
          <w:p w14:paraId="36FC02B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46</w:t>
            </w:r>
            <w:r w:rsidRPr="000932A9">
              <w:rPr>
                <w:rFonts w:ascii="Times New Roman" w:hAnsi="Times New Roman" w:cs="Times New Roman"/>
              </w:rPr>
              <w:t>)</w:t>
            </w:r>
          </w:p>
        </w:tc>
      </w:tr>
      <w:tr w:rsidR="00164949" w:rsidRPr="000932A9" w14:paraId="0CC6A4D5" w14:textId="77777777" w:rsidTr="00164949">
        <w:trPr>
          <w:jc w:val="center"/>
        </w:trPr>
        <w:tc>
          <w:tcPr>
            <w:tcW w:w="2124" w:type="dxa"/>
            <w:tcBorders>
              <w:top w:val="nil"/>
              <w:left w:val="nil"/>
              <w:bottom w:val="nil"/>
              <w:right w:val="nil"/>
            </w:tcBorders>
          </w:tcPr>
          <w:p w14:paraId="02F8824E"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2008</w:t>
            </w:r>
          </w:p>
        </w:tc>
        <w:tc>
          <w:tcPr>
            <w:tcW w:w="1364" w:type="dxa"/>
            <w:tcBorders>
              <w:top w:val="nil"/>
              <w:left w:val="nil"/>
              <w:bottom w:val="nil"/>
              <w:right w:val="nil"/>
            </w:tcBorders>
          </w:tcPr>
          <w:p w14:paraId="12AB95D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w:t>
            </w:r>
            <w:r>
              <w:rPr>
                <w:rFonts w:ascii="Times New Roman" w:hAnsi="Times New Roman" w:cs="Times New Roman"/>
              </w:rPr>
              <w:t>117</w:t>
            </w:r>
            <w:r w:rsidRPr="000932A9">
              <w:rPr>
                <w:rFonts w:ascii="Times New Roman" w:hAnsi="Times New Roman" w:cs="Times New Roman"/>
              </w:rPr>
              <w:t>**</w:t>
            </w:r>
          </w:p>
        </w:tc>
        <w:tc>
          <w:tcPr>
            <w:tcW w:w="1449" w:type="dxa"/>
            <w:tcBorders>
              <w:top w:val="nil"/>
              <w:left w:val="nil"/>
              <w:bottom w:val="nil"/>
              <w:right w:val="nil"/>
            </w:tcBorders>
          </w:tcPr>
          <w:p w14:paraId="5BA153F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w:t>
            </w:r>
            <w:r>
              <w:rPr>
                <w:rFonts w:ascii="Times New Roman" w:hAnsi="Times New Roman" w:cs="Times New Roman"/>
              </w:rPr>
              <w:t>100***</w:t>
            </w:r>
          </w:p>
        </w:tc>
        <w:tc>
          <w:tcPr>
            <w:tcW w:w="1803" w:type="dxa"/>
            <w:tcBorders>
              <w:top w:val="nil"/>
              <w:left w:val="nil"/>
              <w:bottom w:val="nil"/>
              <w:right w:val="nil"/>
            </w:tcBorders>
          </w:tcPr>
          <w:p w14:paraId="571E43C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72</w:t>
            </w:r>
            <w:r w:rsidRPr="000932A9">
              <w:rPr>
                <w:rFonts w:ascii="Times New Roman" w:hAnsi="Times New Roman" w:cs="Times New Roman"/>
              </w:rPr>
              <w:t>*</w:t>
            </w:r>
          </w:p>
        </w:tc>
        <w:tc>
          <w:tcPr>
            <w:tcW w:w="1714" w:type="dxa"/>
            <w:tcBorders>
              <w:top w:val="nil"/>
              <w:left w:val="nil"/>
              <w:bottom w:val="nil"/>
              <w:right w:val="nil"/>
            </w:tcBorders>
          </w:tcPr>
          <w:p w14:paraId="3F1B137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w:t>
            </w:r>
            <w:r>
              <w:rPr>
                <w:rFonts w:ascii="Times New Roman" w:hAnsi="Times New Roman" w:cs="Times New Roman"/>
              </w:rPr>
              <w:t>106</w:t>
            </w:r>
            <w:r w:rsidRPr="000932A9">
              <w:rPr>
                <w:rFonts w:ascii="Times New Roman" w:hAnsi="Times New Roman" w:cs="Times New Roman"/>
              </w:rPr>
              <w:t>***</w:t>
            </w:r>
          </w:p>
        </w:tc>
      </w:tr>
      <w:tr w:rsidR="00164949" w:rsidRPr="000932A9" w14:paraId="4B782E6E" w14:textId="77777777" w:rsidTr="00164949">
        <w:trPr>
          <w:jc w:val="center"/>
        </w:trPr>
        <w:tc>
          <w:tcPr>
            <w:tcW w:w="2124" w:type="dxa"/>
            <w:tcBorders>
              <w:top w:val="nil"/>
              <w:left w:val="nil"/>
              <w:bottom w:val="single" w:sz="8" w:space="0" w:color="000000" w:themeColor="text1"/>
              <w:right w:val="nil"/>
            </w:tcBorders>
          </w:tcPr>
          <w:p w14:paraId="3BAE48B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364" w:type="dxa"/>
            <w:tcBorders>
              <w:top w:val="nil"/>
              <w:left w:val="nil"/>
              <w:bottom w:val="single" w:sz="8" w:space="0" w:color="000000" w:themeColor="text1"/>
              <w:right w:val="nil"/>
            </w:tcBorders>
          </w:tcPr>
          <w:p w14:paraId="2829277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w:t>
            </w:r>
            <w:r>
              <w:rPr>
                <w:rFonts w:ascii="Times New Roman" w:hAnsi="Times New Roman" w:cs="Times New Roman"/>
              </w:rPr>
              <w:t>8</w:t>
            </w:r>
            <w:r w:rsidRPr="000932A9">
              <w:rPr>
                <w:rFonts w:ascii="Times New Roman" w:hAnsi="Times New Roman" w:cs="Times New Roman"/>
              </w:rPr>
              <w:t>)</w:t>
            </w:r>
          </w:p>
        </w:tc>
        <w:tc>
          <w:tcPr>
            <w:tcW w:w="1449" w:type="dxa"/>
            <w:tcBorders>
              <w:top w:val="nil"/>
              <w:left w:val="nil"/>
              <w:bottom w:val="single" w:sz="8" w:space="0" w:color="000000" w:themeColor="text1"/>
              <w:right w:val="nil"/>
            </w:tcBorders>
          </w:tcPr>
          <w:p w14:paraId="4DDBF1E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w:t>
            </w:r>
            <w:r>
              <w:rPr>
                <w:rFonts w:ascii="Times New Roman" w:hAnsi="Times New Roman" w:cs="Times New Roman"/>
              </w:rPr>
              <w:t>8</w:t>
            </w:r>
            <w:r w:rsidRPr="000932A9">
              <w:rPr>
                <w:rFonts w:ascii="Times New Roman" w:hAnsi="Times New Roman" w:cs="Times New Roman"/>
              </w:rPr>
              <w:t>)</w:t>
            </w:r>
          </w:p>
        </w:tc>
        <w:tc>
          <w:tcPr>
            <w:tcW w:w="1803" w:type="dxa"/>
            <w:tcBorders>
              <w:top w:val="nil"/>
              <w:left w:val="nil"/>
              <w:bottom w:val="single" w:sz="8" w:space="0" w:color="000000" w:themeColor="text1"/>
              <w:right w:val="nil"/>
            </w:tcBorders>
          </w:tcPr>
          <w:p w14:paraId="09DBCD1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38</w:t>
            </w:r>
            <w:r w:rsidRPr="000932A9">
              <w:rPr>
                <w:rFonts w:ascii="Times New Roman" w:hAnsi="Times New Roman" w:cs="Times New Roman"/>
              </w:rPr>
              <w:t>)</w:t>
            </w:r>
          </w:p>
        </w:tc>
        <w:tc>
          <w:tcPr>
            <w:tcW w:w="1714" w:type="dxa"/>
            <w:tcBorders>
              <w:top w:val="nil"/>
              <w:left w:val="nil"/>
              <w:bottom w:val="single" w:sz="8" w:space="0" w:color="000000" w:themeColor="text1"/>
              <w:right w:val="nil"/>
            </w:tcBorders>
          </w:tcPr>
          <w:p w14:paraId="5057983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w:t>
            </w:r>
            <w:r>
              <w:rPr>
                <w:rFonts w:ascii="Times New Roman" w:hAnsi="Times New Roman" w:cs="Times New Roman"/>
              </w:rPr>
              <w:t>39</w:t>
            </w:r>
            <w:r w:rsidRPr="000932A9">
              <w:rPr>
                <w:rFonts w:ascii="Times New Roman" w:hAnsi="Times New Roman" w:cs="Times New Roman"/>
              </w:rPr>
              <w:t>)</w:t>
            </w:r>
          </w:p>
        </w:tc>
      </w:tr>
    </w:tbl>
    <w:p w14:paraId="5C9A1CBB" w14:textId="77777777" w:rsidR="00164949" w:rsidRPr="000932A9" w:rsidRDefault="00164949" w:rsidP="00164949">
      <w:pPr>
        <w:rPr>
          <w:rFonts w:ascii="Garamond" w:hAnsi="Garamond"/>
        </w:rPr>
      </w:pPr>
    </w:p>
    <w:p w14:paraId="1F4D2BEB" w14:textId="77777777" w:rsidR="00164949" w:rsidRPr="000932A9" w:rsidRDefault="00164949" w:rsidP="00164949">
      <w:pPr>
        <w:rPr>
          <w:rFonts w:ascii="Garamond" w:hAnsi="Garamond"/>
        </w:rPr>
      </w:pPr>
      <w:r w:rsidRPr="000932A9">
        <w:rPr>
          <w:rFonts w:ascii="Garamond" w:hAnsi="Garamond"/>
        </w:rPr>
        <w:t xml:space="preserve">All controls as per Model (2) in Table 1. ***,**,* indicate statistical significance at the 1%, 5% and 10% level respectively. Robust standard errors clustered at the individual level in parentheses. </w:t>
      </w:r>
    </w:p>
    <w:p w14:paraId="6E9AA51E" w14:textId="77777777" w:rsidR="00164949" w:rsidRPr="000932A9" w:rsidRDefault="00164949" w:rsidP="00164949">
      <w:pPr>
        <w:rPr>
          <w:rFonts w:ascii="Garamond" w:hAnsi="Garamond"/>
        </w:rPr>
      </w:pPr>
      <w:r w:rsidRPr="000932A9">
        <w:rPr>
          <w:rFonts w:ascii="Garamond" w:hAnsi="Garamond"/>
        </w:rPr>
        <w:br w:type="page"/>
      </w:r>
    </w:p>
    <w:p w14:paraId="3DBD6C6E" w14:textId="77777777" w:rsidR="00164949" w:rsidRPr="000932A9" w:rsidRDefault="00164949" w:rsidP="00164949">
      <w:pPr>
        <w:rPr>
          <w:rFonts w:ascii="Garamond" w:hAnsi="Garamond"/>
        </w:rPr>
      </w:pPr>
    </w:p>
    <w:tbl>
      <w:tblPr>
        <w:tblpPr w:leftFromText="180" w:rightFromText="180" w:vertAnchor="text" w:tblpXSpec="center" w:tblpY="781"/>
        <w:tblOverlap w:val="never"/>
        <w:tblW w:w="0" w:type="auto"/>
        <w:tblLayout w:type="fixed"/>
        <w:tblCellMar>
          <w:left w:w="75" w:type="dxa"/>
          <w:right w:w="75" w:type="dxa"/>
        </w:tblCellMar>
        <w:tblLook w:val="0000" w:firstRow="0" w:lastRow="0" w:firstColumn="0" w:lastColumn="0" w:noHBand="0" w:noVBand="0"/>
      </w:tblPr>
      <w:tblGrid>
        <w:gridCol w:w="2627"/>
        <w:gridCol w:w="1843"/>
        <w:gridCol w:w="2409"/>
      </w:tblGrid>
      <w:tr w:rsidR="00164949" w:rsidRPr="000932A9" w14:paraId="0226B141" w14:textId="77777777" w:rsidTr="00164949">
        <w:tc>
          <w:tcPr>
            <w:tcW w:w="2627" w:type="dxa"/>
            <w:tcBorders>
              <w:top w:val="single" w:sz="6" w:space="0" w:color="auto"/>
              <w:left w:val="nil"/>
              <w:bottom w:val="nil"/>
              <w:right w:val="nil"/>
            </w:tcBorders>
          </w:tcPr>
          <w:p w14:paraId="26F58D9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single" w:sz="6" w:space="0" w:color="auto"/>
              <w:left w:val="nil"/>
              <w:bottom w:val="nil"/>
              <w:right w:val="nil"/>
            </w:tcBorders>
          </w:tcPr>
          <w:p w14:paraId="35463E6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single" w:sz="6" w:space="0" w:color="auto"/>
              <w:left w:val="nil"/>
              <w:bottom w:val="nil"/>
              <w:right w:val="nil"/>
            </w:tcBorders>
          </w:tcPr>
          <w:p w14:paraId="62D435F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27980AD4" w14:textId="77777777" w:rsidTr="00164949">
        <w:tc>
          <w:tcPr>
            <w:tcW w:w="2627" w:type="dxa"/>
            <w:tcBorders>
              <w:top w:val="nil"/>
              <w:left w:val="nil"/>
              <w:bottom w:val="nil"/>
              <w:right w:val="nil"/>
            </w:tcBorders>
          </w:tcPr>
          <w:p w14:paraId="216AB56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nil"/>
              <w:right w:val="nil"/>
            </w:tcBorders>
          </w:tcPr>
          <w:p w14:paraId="15BDD90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nil"/>
              <w:left w:val="nil"/>
              <w:bottom w:val="nil"/>
              <w:right w:val="nil"/>
            </w:tcBorders>
          </w:tcPr>
          <w:p w14:paraId="2F3BE39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1262BF7E" w14:textId="77777777" w:rsidTr="00164949">
        <w:tc>
          <w:tcPr>
            <w:tcW w:w="2627" w:type="dxa"/>
            <w:tcBorders>
              <w:top w:val="nil"/>
              <w:left w:val="nil"/>
              <w:bottom w:val="single" w:sz="6" w:space="0" w:color="auto"/>
              <w:right w:val="nil"/>
            </w:tcBorders>
          </w:tcPr>
          <w:p w14:paraId="0EE4261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single" w:sz="6" w:space="0" w:color="auto"/>
              <w:right w:val="nil"/>
            </w:tcBorders>
          </w:tcPr>
          <w:p w14:paraId="6196B16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w:t>
            </w:r>
          </w:p>
        </w:tc>
        <w:tc>
          <w:tcPr>
            <w:tcW w:w="2409" w:type="dxa"/>
            <w:tcBorders>
              <w:top w:val="nil"/>
              <w:left w:val="nil"/>
              <w:bottom w:val="single" w:sz="6" w:space="0" w:color="auto"/>
              <w:right w:val="nil"/>
            </w:tcBorders>
          </w:tcPr>
          <w:p w14:paraId="6D207CD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w:t>
            </w:r>
          </w:p>
        </w:tc>
      </w:tr>
      <w:tr w:rsidR="00164949" w:rsidRPr="000932A9" w14:paraId="59A2FED7" w14:textId="77777777" w:rsidTr="00164949">
        <w:tc>
          <w:tcPr>
            <w:tcW w:w="2627" w:type="dxa"/>
            <w:tcBorders>
              <w:top w:val="nil"/>
              <w:left w:val="nil"/>
              <w:bottom w:val="nil"/>
              <w:right w:val="nil"/>
            </w:tcBorders>
          </w:tcPr>
          <w:p w14:paraId="715907D5"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nil"/>
              <w:right w:val="nil"/>
            </w:tcBorders>
          </w:tcPr>
          <w:p w14:paraId="7F8E660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nil"/>
              <w:left w:val="nil"/>
              <w:bottom w:val="nil"/>
              <w:right w:val="nil"/>
            </w:tcBorders>
          </w:tcPr>
          <w:p w14:paraId="14ECC08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0F0227D9" w14:textId="77777777" w:rsidTr="00164949">
        <w:tc>
          <w:tcPr>
            <w:tcW w:w="2627" w:type="dxa"/>
            <w:tcBorders>
              <w:top w:val="nil"/>
              <w:left w:val="nil"/>
              <w:bottom w:val="nil"/>
              <w:right w:val="nil"/>
            </w:tcBorders>
          </w:tcPr>
          <w:p w14:paraId="5D176B5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rPr>
              <w:t>Female</w:t>
            </w:r>
          </w:p>
        </w:tc>
        <w:tc>
          <w:tcPr>
            <w:tcW w:w="1843" w:type="dxa"/>
            <w:tcBorders>
              <w:top w:val="nil"/>
              <w:left w:val="nil"/>
              <w:bottom w:val="nil"/>
              <w:right w:val="nil"/>
            </w:tcBorders>
          </w:tcPr>
          <w:p w14:paraId="667E2F1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0.327***</w:t>
            </w:r>
          </w:p>
        </w:tc>
        <w:tc>
          <w:tcPr>
            <w:tcW w:w="2409" w:type="dxa"/>
            <w:tcBorders>
              <w:top w:val="nil"/>
              <w:left w:val="nil"/>
              <w:bottom w:val="nil"/>
              <w:right w:val="nil"/>
            </w:tcBorders>
          </w:tcPr>
          <w:p w14:paraId="11E1659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0.353***</w:t>
            </w:r>
          </w:p>
        </w:tc>
      </w:tr>
      <w:tr w:rsidR="00164949" w:rsidRPr="000932A9" w14:paraId="5CDA0557" w14:textId="77777777" w:rsidTr="00164949">
        <w:tc>
          <w:tcPr>
            <w:tcW w:w="2627" w:type="dxa"/>
            <w:tcBorders>
              <w:top w:val="nil"/>
              <w:left w:val="nil"/>
              <w:bottom w:val="nil"/>
              <w:right w:val="nil"/>
            </w:tcBorders>
          </w:tcPr>
          <w:p w14:paraId="60BF5DD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nil"/>
              <w:right w:val="nil"/>
            </w:tcBorders>
          </w:tcPr>
          <w:p w14:paraId="287FC8D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(0.032)</w:t>
            </w:r>
          </w:p>
        </w:tc>
        <w:tc>
          <w:tcPr>
            <w:tcW w:w="2409" w:type="dxa"/>
            <w:tcBorders>
              <w:top w:val="nil"/>
              <w:left w:val="nil"/>
              <w:bottom w:val="nil"/>
              <w:right w:val="nil"/>
            </w:tcBorders>
          </w:tcPr>
          <w:p w14:paraId="4947A6E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(0.042)</w:t>
            </w:r>
          </w:p>
        </w:tc>
      </w:tr>
      <w:tr w:rsidR="00164949" w:rsidRPr="000932A9" w14:paraId="40506480" w14:textId="77777777" w:rsidTr="00164949">
        <w:tc>
          <w:tcPr>
            <w:tcW w:w="2627" w:type="dxa"/>
            <w:tcBorders>
              <w:top w:val="nil"/>
              <w:left w:val="nil"/>
              <w:bottom w:val="nil"/>
              <w:right w:val="nil"/>
            </w:tcBorders>
          </w:tcPr>
          <w:p w14:paraId="330BC142" w14:textId="77777777" w:rsidR="00164949" w:rsidRPr="000932A9" w:rsidRDefault="00164949" w:rsidP="00164949">
            <w:pPr>
              <w:widowControl w:val="0"/>
              <w:autoSpaceDE w:val="0"/>
              <w:autoSpaceDN w:val="0"/>
              <w:adjustRightInd w:val="0"/>
              <w:spacing w:after="0" w:line="240" w:lineRule="auto"/>
              <w:rPr>
                <w:rFonts w:ascii="Times New Roman" w:hAnsi="Times New Roman"/>
              </w:rPr>
            </w:pPr>
            <w:r w:rsidRPr="000932A9">
              <w:rPr>
                <w:rFonts w:ascii="Times New Roman" w:hAnsi="Times New Roman"/>
              </w:rPr>
              <w:t>Year trend</w:t>
            </w:r>
          </w:p>
        </w:tc>
        <w:tc>
          <w:tcPr>
            <w:tcW w:w="1843" w:type="dxa"/>
            <w:tcBorders>
              <w:top w:val="nil"/>
              <w:left w:val="nil"/>
              <w:bottom w:val="nil"/>
              <w:right w:val="nil"/>
            </w:tcBorders>
          </w:tcPr>
          <w:p w14:paraId="6501D4F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0.001</w:t>
            </w:r>
          </w:p>
        </w:tc>
        <w:tc>
          <w:tcPr>
            <w:tcW w:w="2409" w:type="dxa"/>
            <w:tcBorders>
              <w:top w:val="nil"/>
              <w:left w:val="nil"/>
              <w:bottom w:val="nil"/>
              <w:right w:val="nil"/>
            </w:tcBorders>
          </w:tcPr>
          <w:p w14:paraId="12541FB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-0.0008</w:t>
            </w:r>
          </w:p>
        </w:tc>
      </w:tr>
      <w:tr w:rsidR="00164949" w:rsidRPr="000932A9" w14:paraId="450DAA9C" w14:textId="77777777" w:rsidTr="00164949">
        <w:tc>
          <w:tcPr>
            <w:tcW w:w="2627" w:type="dxa"/>
            <w:tcBorders>
              <w:top w:val="nil"/>
              <w:left w:val="nil"/>
              <w:bottom w:val="nil"/>
              <w:right w:val="nil"/>
            </w:tcBorders>
          </w:tcPr>
          <w:p w14:paraId="672C59DD" w14:textId="77777777" w:rsidR="00164949" w:rsidRPr="000932A9" w:rsidRDefault="00164949" w:rsidP="00164949">
            <w:pPr>
              <w:widowControl w:val="0"/>
              <w:autoSpaceDE w:val="0"/>
              <w:autoSpaceDN w:val="0"/>
              <w:adjustRightInd w:val="0"/>
              <w:spacing w:after="0" w:line="240" w:lineRule="auto"/>
              <w:rPr>
                <w:rFonts w:ascii="Times New Roman" w:hAnsi="Times New Roman"/>
              </w:rPr>
            </w:pPr>
          </w:p>
        </w:tc>
        <w:tc>
          <w:tcPr>
            <w:tcW w:w="1843" w:type="dxa"/>
            <w:tcBorders>
              <w:top w:val="nil"/>
              <w:left w:val="nil"/>
              <w:bottom w:val="nil"/>
              <w:right w:val="nil"/>
            </w:tcBorders>
          </w:tcPr>
          <w:p w14:paraId="2B806B8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(0.002)</w:t>
            </w:r>
          </w:p>
        </w:tc>
        <w:tc>
          <w:tcPr>
            <w:tcW w:w="2409" w:type="dxa"/>
            <w:tcBorders>
              <w:top w:val="nil"/>
              <w:left w:val="nil"/>
              <w:bottom w:val="nil"/>
              <w:right w:val="nil"/>
            </w:tcBorders>
          </w:tcPr>
          <w:p w14:paraId="78AAA1C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(0.005)</w:t>
            </w:r>
          </w:p>
        </w:tc>
      </w:tr>
      <w:tr w:rsidR="00164949" w:rsidRPr="000932A9" w14:paraId="71D99F5B" w14:textId="77777777" w:rsidTr="00164949">
        <w:tc>
          <w:tcPr>
            <w:tcW w:w="2627" w:type="dxa"/>
            <w:tcBorders>
              <w:top w:val="nil"/>
              <w:left w:val="nil"/>
              <w:bottom w:val="nil"/>
              <w:right w:val="nil"/>
            </w:tcBorders>
          </w:tcPr>
          <w:p w14:paraId="3856EFA0" w14:textId="77777777" w:rsidR="00164949" w:rsidRPr="000932A9" w:rsidRDefault="00164949" w:rsidP="00164949">
            <w:pPr>
              <w:widowControl w:val="0"/>
              <w:autoSpaceDE w:val="0"/>
              <w:autoSpaceDN w:val="0"/>
              <w:adjustRightInd w:val="0"/>
              <w:spacing w:after="0" w:line="240" w:lineRule="auto"/>
              <w:rPr>
                <w:rFonts w:ascii="Times New Roman" w:hAnsi="Times New Roman"/>
                <w:vertAlign w:val="superscript"/>
              </w:rPr>
            </w:pPr>
            <w:r w:rsidRPr="000932A9">
              <w:rPr>
                <w:rFonts w:ascii="Times New Roman" w:hAnsi="Times New Roman"/>
              </w:rPr>
              <w:t>Year trend</w:t>
            </w:r>
            <w:r w:rsidRPr="000932A9">
              <w:rPr>
                <w:rFonts w:ascii="Times New Roman" w:hAnsi="Times New Roman"/>
                <w:vertAlign w:val="superscript"/>
              </w:rPr>
              <w:t>2</w:t>
            </w:r>
          </w:p>
        </w:tc>
        <w:tc>
          <w:tcPr>
            <w:tcW w:w="1843" w:type="dxa"/>
            <w:tcBorders>
              <w:top w:val="nil"/>
              <w:left w:val="nil"/>
              <w:bottom w:val="nil"/>
              <w:right w:val="nil"/>
            </w:tcBorders>
          </w:tcPr>
          <w:p w14:paraId="7A33958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p>
        </w:tc>
        <w:tc>
          <w:tcPr>
            <w:tcW w:w="2409" w:type="dxa"/>
            <w:tcBorders>
              <w:top w:val="nil"/>
              <w:left w:val="nil"/>
              <w:bottom w:val="nil"/>
              <w:right w:val="nil"/>
            </w:tcBorders>
          </w:tcPr>
          <w:p w14:paraId="27FB618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7.41e-05</w:t>
            </w:r>
          </w:p>
        </w:tc>
      </w:tr>
      <w:tr w:rsidR="00164949" w:rsidRPr="000932A9" w14:paraId="2597F9C0" w14:textId="77777777" w:rsidTr="00164949">
        <w:tc>
          <w:tcPr>
            <w:tcW w:w="2627" w:type="dxa"/>
            <w:tcBorders>
              <w:top w:val="nil"/>
              <w:left w:val="nil"/>
              <w:bottom w:val="nil"/>
              <w:right w:val="nil"/>
            </w:tcBorders>
          </w:tcPr>
          <w:p w14:paraId="44C3570D" w14:textId="77777777" w:rsidR="00164949" w:rsidRPr="000932A9" w:rsidRDefault="00164949" w:rsidP="00164949">
            <w:pPr>
              <w:widowControl w:val="0"/>
              <w:autoSpaceDE w:val="0"/>
              <w:autoSpaceDN w:val="0"/>
              <w:adjustRightInd w:val="0"/>
              <w:spacing w:after="0" w:line="240" w:lineRule="auto"/>
              <w:rPr>
                <w:rFonts w:ascii="Times New Roman" w:hAnsi="Times New Roman"/>
              </w:rPr>
            </w:pPr>
          </w:p>
        </w:tc>
        <w:tc>
          <w:tcPr>
            <w:tcW w:w="1843" w:type="dxa"/>
            <w:tcBorders>
              <w:top w:val="nil"/>
              <w:left w:val="nil"/>
              <w:bottom w:val="nil"/>
              <w:right w:val="nil"/>
            </w:tcBorders>
          </w:tcPr>
          <w:p w14:paraId="14EF644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p>
        </w:tc>
        <w:tc>
          <w:tcPr>
            <w:tcW w:w="2409" w:type="dxa"/>
            <w:tcBorders>
              <w:top w:val="nil"/>
              <w:left w:val="nil"/>
              <w:bottom w:val="nil"/>
              <w:right w:val="nil"/>
            </w:tcBorders>
          </w:tcPr>
          <w:p w14:paraId="3EE656A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rPr>
            </w:pPr>
            <w:r w:rsidRPr="000932A9">
              <w:rPr>
                <w:rFonts w:ascii="Times New Roman" w:hAnsi="Times New Roman" w:cs="Times New Roman"/>
              </w:rPr>
              <w:t>(0.0002)</w:t>
            </w:r>
          </w:p>
        </w:tc>
      </w:tr>
      <w:tr w:rsidR="00164949" w:rsidRPr="000932A9" w14:paraId="21981E84" w14:textId="77777777" w:rsidTr="00164949">
        <w:trPr>
          <w:trHeight w:val="80"/>
        </w:trPr>
        <w:tc>
          <w:tcPr>
            <w:tcW w:w="2627" w:type="dxa"/>
            <w:tcBorders>
              <w:top w:val="nil"/>
              <w:left w:val="nil"/>
              <w:bottom w:val="nil"/>
              <w:right w:val="nil"/>
            </w:tcBorders>
          </w:tcPr>
          <w:p w14:paraId="5254F87D"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rPr>
              <w:t>Female * Year trend</w:t>
            </w:r>
          </w:p>
        </w:tc>
        <w:tc>
          <w:tcPr>
            <w:tcW w:w="1843" w:type="dxa"/>
            <w:tcBorders>
              <w:top w:val="nil"/>
              <w:left w:val="nil"/>
              <w:bottom w:val="nil"/>
              <w:right w:val="nil"/>
            </w:tcBorders>
          </w:tcPr>
          <w:p w14:paraId="20CDC70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-0.013***</w:t>
            </w:r>
          </w:p>
        </w:tc>
        <w:tc>
          <w:tcPr>
            <w:tcW w:w="2409" w:type="dxa"/>
            <w:tcBorders>
              <w:top w:val="nil"/>
              <w:left w:val="nil"/>
              <w:bottom w:val="nil"/>
              <w:right w:val="nil"/>
            </w:tcBorders>
          </w:tcPr>
          <w:p w14:paraId="1159157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-0.020***</w:t>
            </w:r>
          </w:p>
        </w:tc>
      </w:tr>
      <w:tr w:rsidR="00164949" w:rsidRPr="000932A9" w14:paraId="62CF28A1" w14:textId="77777777" w:rsidTr="00164949">
        <w:tc>
          <w:tcPr>
            <w:tcW w:w="2627" w:type="dxa"/>
            <w:tcBorders>
              <w:top w:val="nil"/>
              <w:left w:val="nil"/>
              <w:bottom w:val="nil"/>
              <w:right w:val="nil"/>
            </w:tcBorders>
          </w:tcPr>
          <w:p w14:paraId="63D7639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vertAlign w:val="superscript"/>
              </w:rPr>
            </w:pPr>
          </w:p>
        </w:tc>
        <w:tc>
          <w:tcPr>
            <w:tcW w:w="1843" w:type="dxa"/>
            <w:tcBorders>
              <w:top w:val="nil"/>
              <w:left w:val="nil"/>
              <w:bottom w:val="nil"/>
              <w:right w:val="nil"/>
            </w:tcBorders>
          </w:tcPr>
          <w:p w14:paraId="5914E6E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w:t>
            </w:r>
          </w:p>
        </w:tc>
        <w:tc>
          <w:tcPr>
            <w:tcW w:w="2409" w:type="dxa"/>
            <w:tcBorders>
              <w:top w:val="nil"/>
              <w:left w:val="nil"/>
              <w:bottom w:val="nil"/>
              <w:right w:val="nil"/>
            </w:tcBorders>
          </w:tcPr>
          <w:p w14:paraId="11EA411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(0.007)</w:t>
            </w:r>
          </w:p>
        </w:tc>
      </w:tr>
      <w:tr w:rsidR="00164949" w:rsidRPr="000932A9" w14:paraId="5772B433" w14:textId="77777777" w:rsidTr="00164949">
        <w:tc>
          <w:tcPr>
            <w:tcW w:w="2627" w:type="dxa"/>
            <w:tcBorders>
              <w:top w:val="nil"/>
              <w:left w:val="nil"/>
              <w:bottom w:val="nil"/>
              <w:right w:val="nil"/>
            </w:tcBorders>
          </w:tcPr>
          <w:p w14:paraId="4056813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vertAlign w:val="superscript"/>
              </w:rPr>
            </w:pPr>
            <w:r w:rsidRPr="000932A9">
              <w:rPr>
                <w:rFonts w:ascii="Times New Roman" w:hAnsi="Times New Roman"/>
              </w:rPr>
              <w:t>(Female * Year trend)</w:t>
            </w:r>
            <w:r w:rsidRPr="000932A9">
              <w:rPr>
                <w:rFonts w:ascii="Times New Roman" w:hAnsi="Times New Roman"/>
                <w:vertAlign w:val="superscript"/>
              </w:rPr>
              <w:t>2</w:t>
            </w:r>
          </w:p>
        </w:tc>
        <w:tc>
          <w:tcPr>
            <w:tcW w:w="1843" w:type="dxa"/>
            <w:tcBorders>
              <w:top w:val="nil"/>
              <w:left w:val="nil"/>
              <w:bottom w:val="nil"/>
              <w:right w:val="nil"/>
            </w:tcBorders>
          </w:tcPr>
          <w:p w14:paraId="51A7842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nil"/>
              <w:left w:val="nil"/>
              <w:bottom w:val="nil"/>
              <w:right w:val="nil"/>
            </w:tcBorders>
          </w:tcPr>
          <w:p w14:paraId="2284B07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w:t>
            </w:r>
          </w:p>
        </w:tc>
      </w:tr>
      <w:tr w:rsidR="00164949" w:rsidRPr="000932A9" w14:paraId="0B55A874" w14:textId="77777777" w:rsidTr="00164949">
        <w:tc>
          <w:tcPr>
            <w:tcW w:w="2627" w:type="dxa"/>
            <w:tcBorders>
              <w:top w:val="nil"/>
              <w:left w:val="nil"/>
              <w:bottom w:val="nil"/>
              <w:right w:val="nil"/>
            </w:tcBorders>
          </w:tcPr>
          <w:p w14:paraId="6677E2BD"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nil"/>
              <w:right w:val="nil"/>
            </w:tcBorders>
          </w:tcPr>
          <w:p w14:paraId="2042612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nil"/>
              <w:left w:val="nil"/>
              <w:bottom w:val="nil"/>
              <w:right w:val="nil"/>
            </w:tcBorders>
          </w:tcPr>
          <w:p w14:paraId="2D96C02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(0.0003)</w:t>
            </w:r>
          </w:p>
        </w:tc>
      </w:tr>
      <w:tr w:rsidR="00164949" w:rsidRPr="000932A9" w14:paraId="74F2019A" w14:textId="77777777" w:rsidTr="00164949">
        <w:tc>
          <w:tcPr>
            <w:tcW w:w="2627" w:type="dxa"/>
            <w:tcBorders>
              <w:top w:val="nil"/>
              <w:left w:val="nil"/>
              <w:bottom w:val="nil"/>
              <w:right w:val="nil"/>
            </w:tcBorders>
          </w:tcPr>
          <w:p w14:paraId="702C244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43" w:type="dxa"/>
            <w:tcBorders>
              <w:top w:val="nil"/>
              <w:left w:val="nil"/>
              <w:bottom w:val="nil"/>
              <w:right w:val="nil"/>
            </w:tcBorders>
          </w:tcPr>
          <w:p w14:paraId="6878DC8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2409" w:type="dxa"/>
            <w:tcBorders>
              <w:top w:val="nil"/>
              <w:left w:val="nil"/>
              <w:bottom w:val="nil"/>
              <w:right w:val="nil"/>
            </w:tcBorders>
          </w:tcPr>
          <w:p w14:paraId="7FB2444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1D6ADFB9" w14:textId="77777777" w:rsidTr="00164949">
        <w:tc>
          <w:tcPr>
            <w:tcW w:w="2627" w:type="dxa"/>
            <w:tcBorders>
              <w:top w:val="nil"/>
              <w:left w:val="nil"/>
              <w:bottom w:val="single" w:sz="4" w:space="0" w:color="auto"/>
              <w:right w:val="nil"/>
            </w:tcBorders>
          </w:tcPr>
          <w:p w14:paraId="0334589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Observations</w:t>
            </w:r>
          </w:p>
        </w:tc>
        <w:tc>
          <w:tcPr>
            <w:tcW w:w="1843" w:type="dxa"/>
            <w:tcBorders>
              <w:top w:val="nil"/>
              <w:left w:val="nil"/>
              <w:bottom w:val="single" w:sz="4" w:space="0" w:color="auto"/>
              <w:right w:val="nil"/>
            </w:tcBorders>
          </w:tcPr>
          <w:p w14:paraId="0A36BAF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93,544</w:t>
            </w:r>
          </w:p>
        </w:tc>
        <w:tc>
          <w:tcPr>
            <w:tcW w:w="2409" w:type="dxa"/>
            <w:tcBorders>
              <w:top w:val="nil"/>
              <w:left w:val="nil"/>
              <w:bottom w:val="single" w:sz="4" w:space="0" w:color="auto"/>
              <w:right w:val="nil"/>
            </w:tcBorders>
          </w:tcPr>
          <w:p w14:paraId="70AFA57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93,544</w:t>
            </w:r>
          </w:p>
        </w:tc>
      </w:tr>
    </w:tbl>
    <w:p w14:paraId="28157455" w14:textId="77777777" w:rsidR="00164949" w:rsidRPr="000932A9" w:rsidRDefault="00164949" w:rsidP="00164949">
      <w:pPr>
        <w:rPr>
          <w:rFonts w:ascii="Garamond" w:hAnsi="Garamond"/>
        </w:rPr>
      </w:pPr>
      <w:r w:rsidRPr="000932A9">
        <w:rPr>
          <w:rFonts w:ascii="Garamond" w:hAnsi="Garamond"/>
          <w:b/>
        </w:rPr>
        <w:t>TABLE 3</w:t>
      </w:r>
      <w:r w:rsidRPr="000932A9">
        <w:rPr>
          <w:rFonts w:ascii="Garamond" w:hAnsi="Garamond"/>
        </w:rPr>
        <w:t>: The Evolution of the Male-Female Job Satisfaction Gap, OLS Estimates, BHPS/US 1991-2014</w:t>
      </w:r>
      <w:r w:rsidRPr="000932A9">
        <w:rPr>
          <w:rFonts w:ascii="Garamond" w:hAnsi="Garamond"/>
        </w:rPr>
        <w:br w:type="textWrapping" w:clear="all"/>
      </w:r>
    </w:p>
    <w:p w14:paraId="5A1C963A" w14:textId="77777777" w:rsidR="00164949" w:rsidRPr="000932A9" w:rsidRDefault="00164949" w:rsidP="00164949">
      <w:pPr>
        <w:rPr>
          <w:rFonts w:ascii="Garamond" w:hAnsi="Garamond"/>
        </w:rPr>
      </w:pPr>
    </w:p>
    <w:p w14:paraId="15BC1580" w14:textId="77777777" w:rsidR="00164949" w:rsidRPr="000932A9" w:rsidRDefault="00164949" w:rsidP="00164949">
      <w:pPr>
        <w:rPr>
          <w:rFonts w:ascii="Garamond" w:hAnsi="Garamond"/>
        </w:rPr>
      </w:pPr>
    </w:p>
    <w:p w14:paraId="6B918E96" w14:textId="77777777" w:rsidR="00164949" w:rsidRPr="000932A9" w:rsidRDefault="00164949" w:rsidP="00164949">
      <w:pPr>
        <w:rPr>
          <w:rFonts w:ascii="Garamond" w:hAnsi="Garamond"/>
        </w:rPr>
      </w:pPr>
    </w:p>
    <w:p w14:paraId="4A180E72" w14:textId="77777777" w:rsidR="00164949" w:rsidRPr="000932A9" w:rsidRDefault="00164949" w:rsidP="00164949">
      <w:pPr>
        <w:rPr>
          <w:rFonts w:ascii="Garamond" w:hAnsi="Garamond"/>
        </w:rPr>
      </w:pPr>
    </w:p>
    <w:p w14:paraId="17EF124B" w14:textId="77777777" w:rsidR="00164949" w:rsidRPr="000932A9" w:rsidRDefault="00164949" w:rsidP="00164949">
      <w:pPr>
        <w:rPr>
          <w:rFonts w:ascii="Garamond" w:hAnsi="Garamond"/>
        </w:rPr>
      </w:pPr>
    </w:p>
    <w:p w14:paraId="499D89C8" w14:textId="77777777" w:rsidR="00164949" w:rsidRPr="000932A9" w:rsidRDefault="00164949" w:rsidP="00164949">
      <w:pPr>
        <w:rPr>
          <w:rFonts w:ascii="Garamond" w:hAnsi="Garamond"/>
        </w:rPr>
      </w:pPr>
    </w:p>
    <w:p w14:paraId="3BBBA2E3" w14:textId="77777777" w:rsidR="00164949" w:rsidRPr="000932A9" w:rsidRDefault="00164949" w:rsidP="00164949">
      <w:pPr>
        <w:rPr>
          <w:rFonts w:ascii="Garamond" w:hAnsi="Garamond"/>
        </w:rPr>
      </w:pPr>
    </w:p>
    <w:p w14:paraId="2864A127" w14:textId="77777777" w:rsidR="00164949" w:rsidRPr="000932A9" w:rsidRDefault="00164949" w:rsidP="00164949">
      <w:pPr>
        <w:rPr>
          <w:rFonts w:ascii="Garamond" w:hAnsi="Garamond"/>
        </w:rPr>
      </w:pPr>
    </w:p>
    <w:p w14:paraId="378721F8" w14:textId="77777777" w:rsidR="00164949" w:rsidRPr="000932A9" w:rsidRDefault="00164949" w:rsidP="00164949">
      <w:pPr>
        <w:rPr>
          <w:rFonts w:ascii="Garamond" w:hAnsi="Garamond"/>
        </w:rPr>
      </w:pPr>
    </w:p>
    <w:p w14:paraId="562F07E6" w14:textId="77777777" w:rsidR="00164949" w:rsidRPr="000932A9" w:rsidRDefault="00164949" w:rsidP="00164949">
      <w:pPr>
        <w:rPr>
          <w:rFonts w:ascii="Garamond" w:hAnsi="Garamond"/>
        </w:rPr>
      </w:pPr>
      <w:r w:rsidRPr="000932A9">
        <w:rPr>
          <w:rFonts w:ascii="Garamond" w:hAnsi="Garamond"/>
        </w:rPr>
        <w:t>All controls as per Model (2) in Table 1. ***,**,* indicate statistical significance at the 1%, 5% and 10% level respectively</w:t>
      </w:r>
      <w:r w:rsidRPr="00B5697B">
        <w:rPr>
          <w:rFonts w:ascii="Garamond" w:hAnsi="Garamond"/>
        </w:rPr>
        <w:t>. Year trend is a variable taking the value of 1 to 24 according to calendar year of interview.  Robust standard</w:t>
      </w:r>
      <w:r w:rsidRPr="000932A9">
        <w:rPr>
          <w:rFonts w:ascii="Garamond" w:hAnsi="Garamond"/>
        </w:rPr>
        <w:t xml:space="preserve"> errors clustered at the individual level in parentheses. </w:t>
      </w:r>
    </w:p>
    <w:p w14:paraId="654EF678" w14:textId="77777777" w:rsidR="00164949" w:rsidRPr="000932A9" w:rsidRDefault="00164949" w:rsidP="00164949">
      <w:pPr>
        <w:rPr>
          <w:rFonts w:ascii="Garamond" w:hAnsi="Garamond"/>
        </w:rPr>
      </w:pPr>
    </w:p>
    <w:p w14:paraId="2152335C" w14:textId="77777777" w:rsidR="00164949" w:rsidRPr="000932A9" w:rsidRDefault="00164949" w:rsidP="00164949">
      <w:pPr>
        <w:rPr>
          <w:rFonts w:ascii="Garamond" w:hAnsi="Garamond"/>
        </w:rPr>
      </w:pPr>
      <w:r w:rsidRPr="000932A9">
        <w:rPr>
          <w:rFonts w:ascii="Garamond" w:hAnsi="Garamond"/>
        </w:rPr>
        <w:br w:type="page"/>
      </w:r>
      <w:r w:rsidRPr="000932A9">
        <w:rPr>
          <w:rFonts w:ascii="Garamond" w:hAnsi="Garamond"/>
          <w:b/>
        </w:rPr>
        <w:lastRenderedPageBreak/>
        <w:t>TABLE 4</w:t>
      </w:r>
      <w:r w:rsidRPr="000932A9">
        <w:rPr>
          <w:rFonts w:ascii="Garamond" w:hAnsi="Garamond"/>
        </w:rPr>
        <w:t xml:space="preserve"> – Cohort Effects and the Female Job Satisfaction Premium, Tracking the Clark Sample, Ordered Probit Estimates</w:t>
      </w:r>
    </w:p>
    <w:tbl>
      <w:tblPr>
        <w:tblW w:w="10443" w:type="dxa"/>
        <w:jc w:val="center"/>
        <w:tblLayout w:type="fixed"/>
        <w:tblCellMar>
          <w:left w:w="75" w:type="dxa"/>
          <w:right w:w="75" w:type="dxa"/>
        </w:tblCellMar>
        <w:tblLook w:val="0000" w:firstRow="0" w:lastRow="0" w:firstColumn="0" w:lastColumn="0" w:noHBand="0" w:noVBand="0"/>
      </w:tblPr>
      <w:tblGrid>
        <w:gridCol w:w="1947"/>
        <w:gridCol w:w="1872"/>
        <w:gridCol w:w="3312"/>
        <w:gridCol w:w="3312"/>
      </w:tblGrid>
      <w:tr w:rsidR="00164949" w:rsidRPr="000932A9" w14:paraId="7046D3DB" w14:textId="77777777" w:rsidTr="00164949">
        <w:trPr>
          <w:jc w:val="center"/>
        </w:trPr>
        <w:tc>
          <w:tcPr>
            <w:tcW w:w="1947" w:type="dxa"/>
            <w:tcBorders>
              <w:top w:val="single" w:sz="6" w:space="0" w:color="auto"/>
              <w:left w:val="nil"/>
              <w:bottom w:val="nil"/>
              <w:right w:val="nil"/>
            </w:tcBorders>
          </w:tcPr>
          <w:p w14:paraId="69891B2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72" w:type="dxa"/>
            <w:tcBorders>
              <w:top w:val="single" w:sz="6" w:space="0" w:color="auto"/>
              <w:left w:val="nil"/>
              <w:bottom w:val="nil"/>
              <w:right w:val="nil"/>
            </w:tcBorders>
          </w:tcPr>
          <w:p w14:paraId="4BE2782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w:t>
            </w:r>
          </w:p>
        </w:tc>
        <w:tc>
          <w:tcPr>
            <w:tcW w:w="3312" w:type="dxa"/>
            <w:tcBorders>
              <w:top w:val="single" w:sz="6" w:space="0" w:color="auto"/>
              <w:left w:val="nil"/>
              <w:bottom w:val="nil"/>
              <w:right w:val="nil"/>
            </w:tcBorders>
          </w:tcPr>
          <w:p w14:paraId="4A27A49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w:t>
            </w:r>
          </w:p>
        </w:tc>
        <w:tc>
          <w:tcPr>
            <w:tcW w:w="3312" w:type="dxa"/>
            <w:tcBorders>
              <w:top w:val="single" w:sz="6" w:space="0" w:color="auto"/>
              <w:left w:val="nil"/>
              <w:bottom w:val="nil"/>
              <w:right w:val="nil"/>
            </w:tcBorders>
          </w:tcPr>
          <w:p w14:paraId="6DE11DF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(3)</w:t>
            </w:r>
          </w:p>
        </w:tc>
      </w:tr>
      <w:tr w:rsidR="00164949" w:rsidRPr="000932A9" w14:paraId="6D091101" w14:textId="77777777" w:rsidTr="00164949">
        <w:trPr>
          <w:jc w:val="center"/>
        </w:trPr>
        <w:tc>
          <w:tcPr>
            <w:tcW w:w="1947" w:type="dxa"/>
            <w:tcBorders>
              <w:top w:val="nil"/>
              <w:left w:val="nil"/>
              <w:bottom w:val="nil"/>
              <w:right w:val="nil"/>
            </w:tcBorders>
          </w:tcPr>
          <w:p w14:paraId="683A7E01"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72" w:type="dxa"/>
            <w:tcBorders>
              <w:top w:val="nil"/>
              <w:left w:val="nil"/>
              <w:bottom w:val="nil"/>
              <w:right w:val="nil"/>
            </w:tcBorders>
          </w:tcPr>
          <w:p w14:paraId="2700D98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1991 matched</w:t>
            </w:r>
          </w:p>
        </w:tc>
        <w:tc>
          <w:tcPr>
            <w:tcW w:w="3312" w:type="dxa"/>
            <w:tcBorders>
              <w:top w:val="nil"/>
              <w:left w:val="nil"/>
              <w:bottom w:val="nil"/>
              <w:right w:val="nil"/>
            </w:tcBorders>
          </w:tcPr>
          <w:p w14:paraId="66A6293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Clark Sample in 2008</w:t>
            </w:r>
          </w:p>
        </w:tc>
        <w:tc>
          <w:tcPr>
            <w:tcW w:w="3312" w:type="dxa"/>
            <w:tcBorders>
              <w:top w:val="nil"/>
              <w:left w:val="nil"/>
              <w:bottom w:val="nil"/>
              <w:right w:val="nil"/>
            </w:tcBorders>
          </w:tcPr>
          <w:p w14:paraId="0F87477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Clark Sample</w:t>
            </w:r>
          </w:p>
          <w:p w14:paraId="53CE8EE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Pr="00252A22">
              <w:rPr>
                <w:rFonts w:ascii="Times New Roman" w:hAnsi="Times New Roman" w:cs="Times New Roman"/>
              </w:rPr>
              <w:t>US (2009-2014)</w:t>
            </w:r>
          </w:p>
          <w:p w14:paraId="364E185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7803F5F3" w14:textId="77777777" w:rsidTr="00164949">
        <w:trPr>
          <w:jc w:val="center"/>
        </w:trPr>
        <w:tc>
          <w:tcPr>
            <w:tcW w:w="1947" w:type="dxa"/>
            <w:tcBorders>
              <w:top w:val="nil"/>
              <w:left w:val="nil"/>
              <w:bottom w:val="nil"/>
              <w:right w:val="nil"/>
            </w:tcBorders>
          </w:tcPr>
          <w:p w14:paraId="0FDE4B2D"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Female</w:t>
            </w:r>
          </w:p>
        </w:tc>
        <w:tc>
          <w:tcPr>
            <w:tcW w:w="1872" w:type="dxa"/>
            <w:tcBorders>
              <w:top w:val="nil"/>
              <w:left w:val="nil"/>
              <w:bottom w:val="nil"/>
              <w:right w:val="nil"/>
            </w:tcBorders>
          </w:tcPr>
          <w:p w14:paraId="5DF6C1E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0.148*</w:t>
            </w:r>
          </w:p>
        </w:tc>
        <w:tc>
          <w:tcPr>
            <w:tcW w:w="3312" w:type="dxa"/>
            <w:tcBorders>
              <w:top w:val="nil"/>
              <w:left w:val="nil"/>
              <w:bottom w:val="nil"/>
              <w:right w:val="nil"/>
            </w:tcBorders>
          </w:tcPr>
          <w:p w14:paraId="5E79C2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0.027</w:t>
            </w:r>
          </w:p>
        </w:tc>
        <w:tc>
          <w:tcPr>
            <w:tcW w:w="3312" w:type="dxa"/>
            <w:tcBorders>
              <w:top w:val="nil"/>
              <w:left w:val="nil"/>
              <w:bottom w:val="nil"/>
              <w:right w:val="nil"/>
            </w:tcBorders>
          </w:tcPr>
          <w:p w14:paraId="0034789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-0.013</w:t>
            </w:r>
          </w:p>
        </w:tc>
      </w:tr>
      <w:tr w:rsidR="00164949" w:rsidRPr="000932A9" w14:paraId="6102223C" w14:textId="77777777" w:rsidTr="00164949">
        <w:trPr>
          <w:jc w:val="center"/>
        </w:trPr>
        <w:tc>
          <w:tcPr>
            <w:tcW w:w="1947" w:type="dxa"/>
            <w:tcBorders>
              <w:top w:val="nil"/>
              <w:left w:val="nil"/>
              <w:bottom w:val="nil"/>
              <w:right w:val="nil"/>
            </w:tcBorders>
          </w:tcPr>
          <w:p w14:paraId="4AFF6017"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72" w:type="dxa"/>
            <w:tcBorders>
              <w:top w:val="nil"/>
              <w:left w:val="nil"/>
              <w:bottom w:val="nil"/>
              <w:right w:val="nil"/>
            </w:tcBorders>
          </w:tcPr>
          <w:p w14:paraId="4216417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(0.081)</w:t>
            </w:r>
          </w:p>
        </w:tc>
        <w:tc>
          <w:tcPr>
            <w:tcW w:w="3312" w:type="dxa"/>
            <w:tcBorders>
              <w:top w:val="nil"/>
              <w:left w:val="nil"/>
              <w:bottom w:val="nil"/>
              <w:right w:val="nil"/>
            </w:tcBorders>
          </w:tcPr>
          <w:p w14:paraId="6ADAA71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(0.091)</w:t>
            </w:r>
          </w:p>
        </w:tc>
        <w:tc>
          <w:tcPr>
            <w:tcW w:w="3312" w:type="dxa"/>
            <w:tcBorders>
              <w:top w:val="nil"/>
              <w:left w:val="nil"/>
              <w:bottom w:val="nil"/>
              <w:right w:val="nil"/>
            </w:tcBorders>
          </w:tcPr>
          <w:p w14:paraId="6149A31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(0.050)</w:t>
            </w:r>
          </w:p>
        </w:tc>
      </w:tr>
      <w:tr w:rsidR="00164949" w:rsidRPr="000932A9" w14:paraId="6E1DF15C" w14:textId="77777777" w:rsidTr="00164949">
        <w:trPr>
          <w:jc w:val="center"/>
        </w:trPr>
        <w:tc>
          <w:tcPr>
            <w:tcW w:w="1947" w:type="dxa"/>
            <w:tcBorders>
              <w:top w:val="nil"/>
              <w:left w:val="nil"/>
              <w:bottom w:val="nil"/>
              <w:right w:val="nil"/>
            </w:tcBorders>
          </w:tcPr>
          <w:p w14:paraId="29E84E2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Observations</w:t>
            </w:r>
          </w:p>
        </w:tc>
        <w:tc>
          <w:tcPr>
            <w:tcW w:w="1872" w:type="dxa"/>
            <w:tcBorders>
              <w:top w:val="nil"/>
              <w:left w:val="nil"/>
              <w:bottom w:val="nil"/>
              <w:right w:val="nil"/>
            </w:tcBorders>
          </w:tcPr>
          <w:p w14:paraId="500C3A9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ab/>
              <w:t>1,165</w:t>
            </w:r>
            <w:r w:rsidRPr="000932A9">
              <w:rPr>
                <w:rFonts w:ascii="Times New Roman" w:hAnsi="Times New Roman" w:cs="Times New Roman"/>
              </w:rPr>
              <w:tab/>
            </w:r>
          </w:p>
        </w:tc>
        <w:tc>
          <w:tcPr>
            <w:tcW w:w="3312" w:type="dxa"/>
            <w:tcBorders>
              <w:top w:val="nil"/>
              <w:left w:val="nil"/>
              <w:bottom w:val="nil"/>
              <w:right w:val="nil"/>
            </w:tcBorders>
          </w:tcPr>
          <w:p w14:paraId="0031753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980</w:t>
            </w:r>
          </w:p>
        </w:tc>
        <w:tc>
          <w:tcPr>
            <w:tcW w:w="3312" w:type="dxa"/>
            <w:tcBorders>
              <w:top w:val="nil"/>
              <w:left w:val="nil"/>
              <w:bottom w:val="nil"/>
              <w:right w:val="nil"/>
            </w:tcBorders>
          </w:tcPr>
          <w:p w14:paraId="0469E90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2,961</w:t>
            </w:r>
          </w:p>
        </w:tc>
      </w:tr>
      <w:tr w:rsidR="00164949" w:rsidRPr="000932A9" w14:paraId="482C6BF3" w14:textId="77777777" w:rsidTr="00164949">
        <w:tblPrEx>
          <w:tblBorders>
            <w:bottom w:val="single" w:sz="6" w:space="0" w:color="auto"/>
          </w:tblBorders>
        </w:tblPrEx>
        <w:trPr>
          <w:jc w:val="center"/>
        </w:trPr>
        <w:tc>
          <w:tcPr>
            <w:tcW w:w="1947" w:type="dxa"/>
            <w:tcBorders>
              <w:top w:val="nil"/>
              <w:left w:val="nil"/>
              <w:bottom w:val="single" w:sz="6" w:space="0" w:color="auto"/>
              <w:right w:val="nil"/>
            </w:tcBorders>
          </w:tcPr>
          <w:p w14:paraId="0DC13EA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872" w:type="dxa"/>
            <w:tcBorders>
              <w:top w:val="nil"/>
              <w:left w:val="nil"/>
              <w:bottom w:val="single" w:sz="6" w:space="0" w:color="auto"/>
              <w:right w:val="nil"/>
            </w:tcBorders>
          </w:tcPr>
          <w:p w14:paraId="498CA93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3312" w:type="dxa"/>
            <w:tcBorders>
              <w:top w:val="nil"/>
              <w:left w:val="nil"/>
              <w:bottom w:val="single" w:sz="6" w:space="0" w:color="auto"/>
              <w:right w:val="nil"/>
            </w:tcBorders>
          </w:tcPr>
          <w:p w14:paraId="3445619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3312" w:type="dxa"/>
            <w:tcBorders>
              <w:top w:val="nil"/>
              <w:left w:val="nil"/>
              <w:bottom w:val="single" w:sz="6" w:space="0" w:color="auto"/>
              <w:right w:val="nil"/>
            </w:tcBorders>
          </w:tcPr>
          <w:p w14:paraId="64BD2B2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bl>
    <w:p w14:paraId="6B3636BF" w14:textId="77777777" w:rsidR="00164949" w:rsidRPr="000932A9" w:rsidRDefault="00164949" w:rsidP="00164949">
      <w:pPr>
        <w:widowControl w:val="0"/>
        <w:autoSpaceDE w:val="0"/>
        <w:autoSpaceDN w:val="0"/>
        <w:adjustRightInd w:val="0"/>
        <w:spacing w:after="0" w:line="240" w:lineRule="auto"/>
        <w:rPr>
          <w:rFonts w:ascii="Garamond" w:hAnsi="Garamond"/>
        </w:rPr>
        <w:sectPr w:rsidR="00164949" w:rsidRPr="000932A9" w:rsidSect="00003FC7">
          <w:footerReference w:type="default" r:id="rId8"/>
          <w:footerReference w:type="first" r:id="rId9"/>
          <w:endnotePr>
            <w:numFmt w:val="decimal"/>
          </w:endnotePr>
          <w:pgSz w:w="11906" w:h="16838"/>
          <w:pgMar w:top="1440" w:right="1440" w:bottom="1440" w:left="1440" w:header="708" w:footer="708" w:gutter="0"/>
          <w:cols w:space="708"/>
          <w:titlePg/>
          <w:docGrid w:linePitch="360"/>
        </w:sectPr>
      </w:pPr>
      <w:r w:rsidRPr="000932A9">
        <w:rPr>
          <w:rFonts w:ascii="Garamond" w:hAnsi="Garamond" w:cs="Times New Roman"/>
        </w:rPr>
        <w:t xml:space="preserve">Robust standard errors in parentheses. </w:t>
      </w:r>
      <w:r w:rsidRPr="000932A9">
        <w:rPr>
          <w:rFonts w:ascii="Garamond" w:hAnsi="Garamond"/>
        </w:rPr>
        <w:t>***,**,* indicate statistical significance at the 1%, 5% and 10% level respectively.</w:t>
      </w:r>
      <w:r w:rsidRPr="000932A9">
        <w:rPr>
          <w:rFonts w:ascii="Garamond" w:hAnsi="Garamond" w:cs="Times New Roman"/>
        </w:rPr>
        <w:t xml:space="preserve"> </w:t>
      </w:r>
      <w:r w:rsidRPr="000932A9">
        <w:rPr>
          <w:rFonts w:ascii="Garamond" w:hAnsi="Garamond"/>
        </w:rPr>
        <w:t>All controls as per Model (2) in Table 1.</w:t>
      </w:r>
      <w:r w:rsidRPr="000932A9">
        <w:rPr>
          <w:rFonts w:ascii="Garamond" w:hAnsi="Garamond" w:cs="Times New Roman"/>
        </w:rPr>
        <w:t xml:space="preserve"> </w:t>
      </w:r>
      <w:r w:rsidRPr="000932A9">
        <w:rPr>
          <w:rFonts w:ascii="Garamond" w:hAnsi="Garamond"/>
        </w:rPr>
        <w:t>Column (1) is only those individuals observed in both 1991 and 2008; Estimates for 1991. Column (2) individuals observed in 1991; Estimates for 2008. Column (3) individuals observed in 1991; Estimates for Understanding Society waves 2 through 6.</w:t>
      </w:r>
    </w:p>
    <w:p w14:paraId="19DF25B1" w14:textId="77777777" w:rsidR="00164949" w:rsidRPr="000932A9" w:rsidRDefault="00164949" w:rsidP="00164949">
      <w:pPr>
        <w:rPr>
          <w:rFonts w:ascii="Times New Roman" w:hAnsi="Times New Roman" w:cs="Times New Roman"/>
        </w:rPr>
      </w:pPr>
      <w:r w:rsidRPr="000932A9">
        <w:rPr>
          <w:rFonts w:ascii="Times New Roman" w:hAnsi="Times New Roman" w:cs="Times New Roman"/>
          <w:b/>
        </w:rPr>
        <w:lastRenderedPageBreak/>
        <w:t>Table 5</w:t>
      </w:r>
      <w:r w:rsidRPr="000932A9">
        <w:rPr>
          <w:rFonts w:ascii="Times New Roman" w:hAnsi="Times New Roman" w:cs="Times New Roman"/>
        </w:rPr>
        <w:t xml:space="preserve">: The Gender Satisfaction Gap by Age Heterogeneity Estimates, 1991, 2008 &amp; </w:t>
      </w:r>
      <w:r>
        <w:rPr>
          <w:rFonts w:ascii="Times New Roman" w:hAnsi="Times New Roman" w:cs="Times New Roman"/>
        </w:rPr>
        <w:t>2012-</w:t>
      </w:r>
      <w:r w:rsidRPr="000932A9">
        <w:rPr>
          <w:rFonts w:ascii="Times New Roman" w:hAnsi="Times New Roman" w:cs="Times New Roman"/>
        </w:rPr>
        <w:t xml:space="preserve">2014. </w:t>
      </w:r>
    </w:p>
    <w:tbl>
      <w:tblPr>
        <w:tblW w:w="11236" w:type="dxa"/>
        <w:jc w:val="center"/>
        <w:tblLayout w:type="fixed"/>
        <w:tblCellMar>
          <w:left w:w="75" w:type="dxa"/>
          <w:right w:w="75" w:type="dxa"/>
        </w:tblCellMar>
        <w:tblLook w:val="0000" w:firstRow="0" w:lastRow="0" w:firstColumn="0" w:lastColumn="0" w:noHBand="0" w:noVBand="0"/>
      </w:tblPr>
      <w:tblGrid>
        <w:gridCol w:w="1875"/>
        <w:gridCol w:w="1584"/>
        <w:gridCol w:w="1585"/>
        <w:gridCol w:w="1584"/>
        <w:gridCol w:w="1584"/>
        <w:gridCol w:w="1440"/>
        <w:gridCol w:w="1584"/>
      </w:tblGrid>
      <w:tr w:rsidR="00164949" w:rsidRPr="000932A9" w14:paraId="5E582058" w14:textId="77777777" w:rsidTr="00164949">
        <w:trPr>
          <w:jc w:val="center"/>
        </w:trPr>
        <w:tc>
          <w:tcPr>
            <w:tcW w:w="1875" w:type="dxa"/>
            <w:tcBorders>
              <w:top w:val="single" w:sz="6" w:space="0" w:color="auto"/>
              <w:left w:val="nil"/>
              <w:right w:val="nil"/>
            </w:tcBorders>
          </w:tcPr>
          <w:p w14:paraId="20B5A4C9"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single" w:sz="6" w:space="0" w:color="auto"/>
              <w:left w:val="nil"/>
              <w:right w:val="nil"/>
            </w:tcBorders>
          </w:tcPr>
          <w:p w14:paraId="737F704F"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(1)</w:t>
            </w:r>
          </w:p>
        </w:tc>
        <w:tc>
          <w:tcPr>
            <w:tcW w:w="1585" w:type="dxa"/>
            <w:tcBorders>
              <w:top w:val="single" w:sz="6" w:space="0" w:color="auto"/>
              <w:left w:val="nil"/>
              <w:right w:val="nil"/>
            </w:tcBorders>
          </w:tcPr>
          <w:p w14:paraId="7B0476DD"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(2)</w:t>
            </w:r>
          </w:p>
        </w:tc>
        <w:tc>
          <w:tcPr>
            <w:tcW w:w="1584" w:type="dxa"/>
            <w:tcBorders>
              <w:top w:val="single" w:sz="6" w:space="0" w:color="auto"/>
              <w:left w:val="nil"/>
              <w:right w:val="nil"/>
            </w:tcBorders>
          </w:tcPr>
          <w:p w14:paraId="7550F956"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(3)</w:t>
            </w:r>
          </w:p>
        </w:tc>
        <w:tc>
          <w:tcPr>
            <w:tcW w:w="1584" w:type="dxa"/>
            <w:tcBorders>
              <w:top w:val="single" w:sz="6" w:space="0" w:color="auto"/>
              <w:left w:val="nil"/>
              <w:right w:val="nil"/>
            </w:tcBorders>
          </w:tcPr>
          <w:p w14:paraId="3E7A5E97"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(4)</w:t>
            </w:r>
          </w:p>
        </w:tc>
        <w:tc>
          <w:tcPr>
            <w:tcW w:w="1440" w:type="dxa"/>
            <w:tcBorders>
              <w:top w:val="single" w:sz="6" w:space="0" w:color="auto"/>
              <w:left w:val="nil"/>
              <w:right w:val="nil"/>
            </w:tcBorders>
          </w:tcPr>
          <w:p w14:paraId="778B948E"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(5)</w:t>
            </w:r>
          </w:p>
        </w:tc>
        <w:tc>
          <w:tcPr>
            <w:tcW w:w="1584" w:type="dxa"/>
            <w:tcBorders>
              <w:top w:val="single" w:sz="6" w:space="0" w:color="auto"/>
              <w:left w:val="nil"/>
              <w:right w:val="nil"/>
            </w:tcBorders>
          </w:tcPr>
          <w:p w14:paraId="40CEF349"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(6)</w:t>
            </w:r>
          </w:p>
        </w:tc>
      </w:tr>
      <w:tr w:rsidR="00164949" w:rsidRPr="000932A9" w14:paraId="0856465C" w14:textId="77777777" w:rsidTr="00164949">
        <w:trPr>
          <w:jc w:val="center"/>
        </w:trPr>
        <w:tc>
          <w:tcPr>
            <w:tcW w:w="1875" w:type="dxa"/>
            <w:tcBorders>
              <w:top w:val="nil"/>
              <w:left w:val="nil"/>
              <w:right w:val="nil"/>
            </w:tcBorders>
          </w:tcPr>
          <w:p w14:paraId="75DDAE3A"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p>
        </w:tc>
        <w:tc>
          <w:tcPr>
            <w:tcW w:w="3169" w:type="dxa"/>
            <w:gridSpan w:val="2"/>
            <w:tcBorders>
              <w:top w:val="nil"/>
              <w:left w:val="nil"/>
              <w:right w:val="nil"/>
            </w:tcBorders>
          </w:tcPr>
          <w:p w14:paraId="5471D43D"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 xml:space="preserve">1991 </w:t>
            </w:r>
          </w:p>
        </w:tc>
        <w:tc>
          <w:tcPr>
            <w:tcW w:w="3168" w:type="dxa"/>
            <w:gridSpan w:val="2"/>
            <w:tcBorders>
              <w:top w:val="nil"/>
              <w:left w:val="nil"/>
              <w:right w:val="nil"/>
            </w:tcBorders>
          </w:tcPr>
          <w:p w14:paraId="2DE81B07"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 xml:space="preserve">2008 </w:t>
            </w:r>
          </w:p>
        </w:tc>
        <w:tc>
          <w:tcPr>
            <w:tcW w:w="3024" w:type="dxa"/>
            <w:gridSpan w:val="2"/>
            <w:tcBorders>
              <w:top w:val="nil"/>
              <w:left w:val="nil"/>
              <w:right w:val="nil"/>
            </w:tcBorders>
          </w:tcPr>
          <w:p w14:paraId="3C61A07A"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2012-14</w:t>
            </w:r>
          </w:p>
        </w:tc>
      </w:tr>
      <w:tr w:rsidR="00164949" w:rsidRPr="000932A9" w14:paraId="08167FCC" w14:textId="77777777" w:rsidTr="00164949">
        <w:trPr>
          <w:jc w:val="center"/>
        </w:trPr>
        <w:tc>
          <w:tcPr>
            <w:tcW w:w="1875" w:type="dxa"/>
            <w:tcBorders>
              <w:left w:val="nil"/>
              <w:bottom w:val="single" w:sz="4" w:space="0" w:color="auto"/>
              <w:right w:val="nil"/>
            </w:tcBorders>
          </w:tcPr>
          <w:p w14:paraId="70D5E952"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left w:val="nil"/>
              <w:bottom w:val="single" w:sz="4" w:space="0" w:color="auto"/>
              <w:right w:val="nil"/>
            </w:tcBorders>
          </w:tcPr>
          <w:p w14:paraId="5964EDF1"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≤35yrs</w:t>
            </w:r>
          </w:p>
        </w:tc>
        <w:tc>
          <w:tcPr>
            <w:tcW w:w="1585" w:type="dxa"/>
            <w:tcBorders>
              <w:left w:val="nil"/>
              <w:bottom w:val="single" w:sz="4" w:space="0" w:color="auto"/>
              <w:right w:val="nil"/>
            </w:tcBorders>
          </w:tcPr>
          <w:p w14:paraId="100919D6"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&gt;35yrs</w:t>
            </w:r>
          </w:p>
        </w:tc>
        <w:tc>
          <w:tcPr>
            <w:tcW w:w="1584" w:type="dxa"/>
            <w:tcBorders>
              <w:left w:val="nil"/>
              <w:bottom w:val="single" w:sz="4" w:space="0" w:color="auto"/>
              <w:right w:val="nil"/>
            </w:tcBorders>
          </w:tcPr>
          <w:p w14:paraId="4830CDB4"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≤35yrs</w:t>
            </w:r>
          </w:p>
        </w:tc>
        <w:tc>
          <w:tcPr>
            <w:tcW w:w="1584" w:type="dxa"/>
            <w:tcBorders>
              <w:left w:val="nil"/>
              <w:bottom w:val="single" w:sz="4" w:space="0" w:color="auto"/>
              <w:right w:val="nil"/>
            </w:tcBorders>
          </w:tcPr>
          <w:p w14:paraId="13505D9E"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&gt;35yrs</w:t>
            </w:r>
          </w:p>
        </w:tc>
        <w:tc>
          <w:tcPr>
            <w:tcW w:w="1440" w:type="dxa"/>
            <w:tcBorders>
              <w:left w:val="nil"/>
              <w:bottom w:val="single" w:sz="4" w:space="0" w:color="auto"/>
              <w:right w:val="nil"/>
            </w:tcBorders>
          </w:tcPr>
          <w:p w14:paraId="0D24271B"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≤35yrs</w:t>
            </w:r>
          </w:p>
        </w:tc>
        <w:tc>
          <w:tcPr>
            <w:tcW w:w="1584" w:type="dxa"/>
            <w:tcBorders>
              <w:left w:val="nil"/>
              <w:bottom w:val="single" w:sz="4" w:space="0" w:color="auto"/>
              <w:right w:val="nil"/>
            </w:tcBorders>
          </w:tcPr>
          <w:p w14:paraId="3EFCECD5"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eastAsia="Times New Roman" w:hAnsi="Times New Roman" w:cs="Times New Roman"/>
                <w:lang w:val="en-US"/>
              </w:rPr>
              <w:t>&gt;35yrs</w:t>
            </w:r>
          </w:p>
        </w:tc>
      </w:tr>
      <w:tr w:rsidR="00164949" w:rsidRPr="000932A9" w14:paraId="66CC3A7B" w14:textId="77777777" w:rsidTr="00164949">
        <w:trPr>
          <w:jc w:val="center"/>
        </w:trPr>
        <w:tc>
          <w:tcPr>
            <w:tcW w:w="1875" w:type="dxa"/>
            <w:tcBorders>
              <w:top w:val="single" w:sz="4" w:space="0" w:color="auto"/>
              <w:left w:val="nil"/>
              <w:bottom w:val="nil"/>
              <w:right w:val="nil"/>
            </w:tcBorders>
          </w:tcPr>
          <w:p w14:paraId="62317579"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single" w:sz="4" w:space="0" w:color="auto"/>
              <w:left w:val="nil"/>
              <w:bottom w:val="nil"/>
              <w:right w:val="nil"/>
            </w:tcBorders>
          </w:tcPr>
          <w:p w14:paraId="1E747DEC"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1585" w:type="dxa"/>
            <w:tcBorders>
              <w:top w:val="single" w:sz="4" w:space="0" w:color="auto"/>
              <w:left w:val="nil"/>
              <w:bottom w:val="nil"/>
              <w:right w:val="nil"/>
            </w:tcBorders>
          </w:tcPr>
          <w:p w14:paraId="760F8DD7"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1584" w:type="dxa"/>
            <w:tcBorders>
              <w:top w:val="single" w:sz="4" w:space="0" w:color="auto"/>
              <w:left w:val="nil"/>
              <w:bottom w:val="nil"/>
              <w:right w:val="nil"/>
            </w:tcBorders>
          </w:tcPr>
          <w:p w14:paraId="4DC15968"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1584" w:type="dxa"/>
            <w:tcBorders>
              <w:top w:val="single" w:sz="4" w:space="0" w:color="auto"/>
              <w:left w:val="nil"/>
              <w:bottom w:val="nil"/>
              <w:right w:val="nil"/>
            </w:tcBorders>
          </w:tcPr>
          <w:p w14:paraId="0D8FBEA1"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1440" w:type="dxa"/>
            <w:tcBorders>
              <w:top w:val="single" w:sz="4" w:space="0" w:color="auto"/>
              <w:left w:val="nil"/>
              <w:bottom w:val="nil"/>
              <w:right w:val="nil"/>
            </w:tcBorders>
          </w:tcPr>
          <w:p w14:paraId="5E90E3C7"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c>
          <w:tcPr>
            <w:tcW w:w="1584" w:type="dxa"/>
            <w:tcBorders>
              <w:top w:val="single" w:sz="4" w:space="0" w:color="auto"/>
              <w:left w:val="nil"/>
              <w:bottom w:val="nil"/>
              <w:right w:val="nil"/>
            </w:tcBorders>
          </w:tcPr>
          <w:p w14:paraId="777F3975"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r w:rsidR="00164949" w:rsidRPr="000932A9" w14:paraId="2FE0B1F3" w14:textId="77777777" w:rsidTr="00164949">
        <w:trPr>
          <w:jc w:val="center"/>
        </w:trPr>
        <w:tc>
          <w:tcPr>
            <w:tcW w:w="1875" w:type="dxa"/>
            <w:tcBorders>
              <w:top w:val="nil"/>
              <w:left w:val="nil"/>
              <w:bottom w:val="nil"/>
              <w:right w:val="nil"/>
            </w:tcBorders>
          </w:tcPr>
          <w:p w14:paraId="43EC7FFD"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r w:rsidRPr="000932A9">
              <w:rPr>
                <w:rFonts w:ascii="Times New Roman" w:eastAsia="Times New Roman" w:hAnsi="Times New Roman" w:cs="Times New Roman"/>
                <w:lang w:val="en-US"/>
              </w:rPr>
              <w:t>Female</w:t>
            </w:r>
          </w:p>
        </w:tc>
        <w:tc>
          <w:tcPr>
            <w:tcW w:w="1584" w:type="dxa"/>
            <w:tcBorders>
              <w:top w:val="nil"/>
              <w:left w:val="nil"/>
              <w:bottom w:val="nil"/>
              <w:right w:val="nil"/>
            </w:tcBorders>
          </w:tcPr>
          <w:p w14:paraId="62F6D7B0"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0.263***</w:t>
            </w:r>
          </w:p>
        </w:tc>
        <w:tc>
          <w:tcPr>
            <w:tcW w:w="1585" w:type="dxa"/>
            <w:tcBorders>
              <w:top w:val="nil"/>
              <w:left w:val="nil"/>
              <w:bottom w:val="nil"/>
              <w:right w:val="nil"/>
            </w:tcBorders>
          </w:tcPr>
          <w:p w14:paraId="32BD5F6B"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0.224***</w:t>
            </w:r>
          </w:p>
        </w:tc>
        <w:tc>
          <w:tcPr>
            <w:tcW w:w="1584" w:type="dxa"/>
            <w:tcBorders>
              <w:top w:val="nil"/>
              <w:left w:val="nil"/>
              <w:bottom w:val="nil"/>
              <w:right w:val="nil"/>
            </w:tcBorders>
          </w:tcPr>
          <w:p w14:paraId="2602559A"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highlight w:val="yellow"/>
                <w:lang w:val="en-US"/>
              </w:rPr>
            </w:pPr>
            <w:r w:rsidRPr="007C65A0">
              <w:rPr>
                <w:rFonts w:ascii="Times New Roman" w:hAnsi="Times New Roman" w:cs="Times New Roman"/>
              </w:rPr>
              <w:t>0.162***</w:t>
            </w:r>
          </w:p>
        </w:tc>
        <w:tc>
          <w:tcPr>
            <w:tcW w:w="1584" w:type="dxa"/>
            <w:tcBorders>
              <w:top w:val="nil"/>
              <w:left w:val="nil"/>
              <w:bottom w:val="nil"/>
              <w:right w:val="nil"/>
            </w:tcBorders>
          </w:tcPr>
          <w:p w14:paraId="429AC498"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0.0620</w:t>
            </w:r>
          </w:p>
        </w:tc>
        <w:tc>
          <w:tcPr>
            <w:tcW w:w="1440" w:type="dxa"/>
            <w:tcBorders>
              <w:top w:val="nil"/>
              <w:left w:val="nil"/>
              <w:bottom w:val="nil"/>
              <w:right w:val="nil"/>
            </w:tcBorders>
          </w:tcPr>
          <w:p w14:paraId="4674D848"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w:t>
            </w:r>
            <w:r>
              <w:rPr>
                <w:rFonts w:ascii="Times New Roman" w:hAnsi="Times New Roman" w:cs="Times New Roman"/>
              </w:rPr>
              <w:t>19</w:t>
            </w:r>
          </w:p>
        </w:tc>
        <w:tc>
          <w:tcPr>
            <w:tcW w:w="1584" w:type="dxa"/>
            <w:tcBorders>
              <w:top w:val="nil"/>
              <w:left w:val="nil"/>
              <w:bottom w:val="nil"/>
              <w:right w:val="nil"/>
            </w:tcBorders>
          </w:tcPr>
          <w:p w14:paraId="0B9A0C90"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0.00</w:t>
            </w:r>
            <w:r>
              <w:rPr>
                <w:rFonts w:ascii="Times New Roman" w:hAnsi="Times New Roman" w:cs="Times New Roman"/>
              </w:rPr>
              <w:t>5</w:t>
            </w:r>
          </w:p>
        </w:tc>
      </w:tr>
      <w:tr w:rsidR="00164949" w:rsidRPr="000932A9" w14:paraId="7853DE40" w14:textId="77777777" w:rsidTr="00164949">
        <w:trPr>
          <w:jc w:val="center"/>
        </w:trPr>
        <w:tc>
          <w:tcPr>
            <w:tcW w:w="1875" w:type="dxa"/>
            <w:tcBorders>
              <w:top w:val="nil"/>
              <w:left w:val="nil"/>
              <w:bottom w:val="nil"/>
              <w:right w:val="nil"/>
            </w:tcBorders>
          </w:tcPr>
          <w:p w14:paraId="5A17959C"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p>
        </w:tc>
        <w:tc>
          <w:tcPr>
            <w:tcW w:w="1584" w:type="dxa"/>
            <w:tcBorders>
              <w:top w:val="nil"/>
              <w:left w:val="nil"/>
              <w:bottom w:val="nil"/>
              <w:right w:val="nil"/>
            </w:tcBorders>
          </w:tcPr>
          <w:p w14:paraId="55D375CF"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(0.0607)</w:t>
            </w:r>
          </w:p>
        </w:tc>
        <w:tc>
          <w:tcPr>
            <w:tcW w:w="1585" w:type="dxa"/>
            <w:tcBorders>
              <w:top w:val="nil"/>
              <w:left w:val="nil"/>
              <w:bottom w:val="nil"/>
              <w:right w:val="nil"/>
            </w:tcBorders>
          </w:tcPr>
          <w:p w14:paraId="2C5B74DF"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(0.0698)</w:t>
            </w:r>
          </w:p>
        </w:tc>
        <w:tc>
          <w:tcPr>
            <w:tcW w:w="1584" w:type="dxa"/>
            <w:tcBorders>
              <w:top w:val="nil"/>
              <w:left w:val="nil"/>
              <w:bottom w:val="nil"/>
              <w:right w:val="nil"/>
            </w:tcBorders>
          </w:tcPr>
          <w:p w14:paraId="4B9F4D5A"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highlight w:val="yellow"/>
                <w:lang w:val="en-US"/>
              </w:rPr>
            </w:pPr>
            <w:r w:rsidRPr="00BD6DA2">
              <w:rPr>
                <w:rFonts w:ascii="Times New Roman" w:hAnsi="Times New Roman" w:cs="Times New Roman"/>
              </w:rPr>
              <w:t>(0.0601)</w:t>
            </w:r>
          </w:p>
        </w:tc>
        <w:tc>
          <w:tcPr>
            <w:tcW w:w="1584" w:type="dxa"/>
            <w:tcBorders>
              <w:top w:val="nil"/>
              <w:left w:val="nil"/>
              <w:bottom w:val="nil"/>
              <w:right w:val="nil"/>
            </w:tcBorders>
          </w:tcPr>
          <w:p w14:paraId="39675455"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(0.0521)</w:t>
            </w:r>
          </w:p>
        </w:tc>
        <w:tc>
          <w:tcPr>
            <w:tcW w:w="1440" w:type="dxa"/>
            <w:tcBorders>
              <w:top w:val="nil"/>
              <w:left w:val="nil"/>
              <w:bottom w:val="nil"/>
              <w:right w:val="nil"/>
            </w:tcBorders>
          </w:tcPr>
          <w:p w14:paraId="4C1B042A"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w:t>
            </w:r>
            <w:r>
              <w:rPr>
                <w:rFonts w:ascii="Times New Roman" w:hAnsi="Times New Roman" w:cs="Times New Roman"/>
              </w:rPr>
              <w:t>48</w:t>
            </w:r>
            <w:r w:rsidRPr="000932A9">
              <w:rPr>
                <w:rFonts w:ascii="Times New Roman" w:hAnsi="Times New Roman" w:cs="Times New Roman"/>
              </w:rPr>
              <w:t>)</w:t>
            </w:r>
          </w:p>
        </w:tc>
        <w:tc>
          <w:tcPr>
            <w:tcW w:w="1584" w:type="dxa"/>
            <w:tcBorders>
              <w:top w:val="nil"/>
              <w:left w:val="nil"/>
              <w:bottom w:val="nil"/>
              <w:right w:val="nil"/>
            </w:tcBorders>
          </w:tcPr>
          <w:p w14:paraId="437B9D71"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(0.0</w:t>
            </w:r>
            <w:r>
              <w:rPr>
                <w:rFonts w:ascii="Times New Roman" w:hAnsi="Times New Roman" w:cs="Times New Roman"/>
              </w:rPr>
              <w:t>35</w:t>
            </w:r>
            <w:r w:rsidRPr="000932A9">
              <w:rPr>
                <w:rFonts w:ascii="Times New Roman" w:hAnsi="Times New Roman" w:cs="Times New Roman"/>
              </w:rPr>
              <w:t>)</w:t>
            </w:r>
          </w:p>
        </w:tc>
      </w:tr>
      <w:tr w:rsidR="00164949" w:rsidRPr="000932A9" w14:paraId="1A5F51D1" w14:textId="77777777" w:rsidTr="00164949">
        <w:tblPrEx>
          <w:tblBorders>
            <w:bottom w:val="single" w:sz="6" w:space="0" w:color="auto"/>
          </w:tblBorders>
        </w:tblPrEx>
        <w:trPr>
          <w:jc w:val="center"/>
        </w:trPr>
        <w:tc>
          <w:tcPr>
            <w:tcW w:w="1875" w:type="dxa"/>
            <w:tcBorders>
              <w:top w:val="nil"/>
              <w:left w:val="nil"/>
              <w:bottom w:val="single" w:sz="6" w:space="0" w:color="auto"/>
              <w:right w:val="nil"/>
            </w:tcBorders>
          </w:tcPr>
          <w:p w14:paraId="44823429" w14:textId="77777777" w:rsidR="00164949" w:rsidRPr="000932A9" w:rsidRDefault="00164949" w:rsidP="00164949">
            <w:pPr>
              <w:widowControl w:val="0"/>
              <w:autoSpaceDE w:val="0"/>
              <w:autoSpaceDN w:val="0"/>
              <w:adjustRightInd w:val="0"/>
              <w:spacing w:after="0" w:line="240" w:lineRule="auto"/>
              <w:rPr>
                <w:rFonts w:ascii="Times New Roman" w:eastAsia="Times New Roman" w:hAnsi="Times New Roman" w:cs="Times New Roman"/>
                <w:lang w:val="en-US"/>
              </w:rPr>
            </w:pPr>
            <w:r w:rsidRPr="000932A9">
              <w:rPr>
                <w:rFonts w:ascii="Times New Roman" w:eastAsia="Times New Roman" w:hAnsi="Times New Roman" w:cs="Times New Roman"/>
                <w:lang w:val="en-US"/>
              </w:rPr>
              <w:t>Observations</w:t>
            </w:r>
          </w:p>
        </w:tc>
        <w:tc>
          <w:tcPr>
            <w:tcW w:w="1584" w:type="dxa"/>
            <w:tcBorders>
              <w:top w:val="nil"/>
              <w:left w:val="nil"/>
              <w:bottom w:val="single" w:sz="6" w:space="0" w:color="auto"/>
              <w:right w:val="nil"/>
            </w:tcBorders>
          </w:tcPr>
          <w:p w14:paraId="5217ECEC"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1,906</w:t>
            </w:r>
          </w:p>
        </w:tc>
        <w:tc>
          <w:tcPr>
            <w:tcW w:w="1585" w:type="dxa"/>
            <w:tcBorders>
              <w:top w:val="nil"/>
              <w:left w:val="nil"/>
              <w:bottom w:val="single" w:sz="6" w:space="0" w:color="auto"/>
              <w:right w:val="nil"/>
            </w:tcBorders>
          </w:tcPr>
          <w:p w14:paraId="7AE90661"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1,943</w:t>
            </w:r>
          </w:p>
        </w:tc>
        <w:tc>
          <w:tcPr>
            <w:tcW w:w="1584" w:type="dxa"/>
            <w:tcBorders>
              <w:top w:val="nil"/>
              <w:left w:val="nil"/>
              <w:bottom w:val="single" w:sz="6" w:space="0" w:color="auto"/>
              <w:right w:val="nil"/>
            </w:tcBorders>
          </w:tcPr>
          <w:p w14:paraId="58A69F9D"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1,773</w:t>
            </w:r>
          </w:p>
        </w:tc>
        <w:tc>
          <w:tcPr>
            <w:tcW w:w="1584" w:type="dxa"/>
            <w:tcBorders>
              <w:top w:val="nil"/>
              <w:left w:val="nil"/>
              <w:bottom w:val="single" w:sz="6" w:space="0" w:color="auto"/>
              <w:right w:val="nil"/>
            </w:tcBorders>
          </w:tcPr>
          <w:p w14:paraId="0B4624ED"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0932A9">
              <w:rPr>
                <w:rFonts w:ascii="Times New Roman" w:hAnsi="Times New Roman" w:cs="Times New Roman"/>
              </w:rPr>
              <w:t>2,785</w:t>
            </w:r>
          </w:p>
        </w:tc>
        <w:tc>
          <w:tcPr>
            <w:tcW w:w="1440" w:type="dxa"/>
            <w:tcBorders>
              <w:top w:val="nil"/>
              <w:left w:val="nil"/>
              <w:bottom w:val="single" w:sz="6" w:space="0" w:color="auto"/>
              <w:right w:val="nil"/>
            </w:tcBorders>
          </w:tcPr>
          <w:p w14:paraId="1D03583D"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hAnsi="Times New Roman" w:cs="Times New Roman"/>
              </w:rPr>
              <w:t>2,627</w:t>
            </w:r>
          </w:p>
        </w:tc>
        <w:tc>
          <w:tcPr>
            <w:tcW w:w="1584" w:type="dxa"/>
            <w:tcBorders>
              <w:top w:val="nil"/>
              <w:left w:val="nil"/>
              <w:bottom w:val="single" w:sz="6" w:space="0" w:color="auto"/>
              <w:right w:val="nil"/>
            </w:tcBorders>
          </w:tcPr>
          <w:p w14:paraId="245CE238" w14:textId="77777777" w:rsidR="00164949" w:rsidRPr="000932A9" w:rsidRDefault="00164949" w:rsidP="00164949">
            <w:pPr>
              <w:widowControl w:val="0"/>
              <w:autoSpaceDE w:val="0"/>
              <w:autoSpaceDN w:val="0"/>
              <w:adjustRightInd w:val="0"/>
              <w:spacing w:after="0" w:line="240" w:lineRule="auto"/>
              <w:jc w:val="center"/>
              <w:rPr>
                <w:rFonts w:ascii="Times New Roman" w:eastAsia="Times New Roman" w:hAnsi="Times New Roman" w:cs="Times New Roman"/>
                <w:lang w:val="en-US"/>
              </w:rPr>
            </w:pPr>
            <w:r>
              <w:rPr>
                <w:rFonts w:ascii="Times New Roman" w:hAnsi="Times New Roman" w:cs="Times New Roman"/>
              </w:rPr>
              <w:t>5</w:t>
            </w:r>
            <w:r w:rsidRPr="000932A9">
              <w:rPr>
                <w:rFonts w:ascii="Times New Roman" w:hAnsi="Times New Roman" w:cs="Times New Roman"/>
              </w:rPr>
              <w:t>,</w:t>
            </w:r>
            <w:r>
              <w:rPr>
                <w:rFonts w:ascii="Times New Roman" w:hAnsi="Times New Roman" w:cs="Times New Roman"/>
              </w:rPr>
              <w:t>541</w:t>
            </w:r>
          </w:p>
        </w:tc>
      </w:tr>
    </w:tbl>
    <w:p w14:paraId="55D27FBD" w14:textId="77777777" w:rsidR="00164949" w:rsidRDefault="00164949" w:rsidP="00164949">
      <w:pPr>
        <w:rPr>
          <w:rFonts w:ascii="Garamond" w:hAnsi="Garamond"/>
        </w:rPr>
      </w:pPr>
      <w:r w:rsidRPr="000932A9">
        <w:rPr>
          <w:rFonts w:ascii="Garamond" w:hAnsi="Garamond"/>
        </w:rPr>
        <w:t xml:space="preserve">All controls as per Model (2) in Table 1. ***,**,* indicate statistical significance at the 1%, 5% and 10% level respectively. </w:t>
      </w:r>
    </w:p>
    <w:p w14:paraId="077B5413" w14:textId="77777777" w:rsidR="00164949" w:rsidRDefault="00164949" w:rsidP="00164949">
      <w:pPr>
        <w:rPr>
          <w:rFonts w:ascii="Garamond" w:hAnsi="Garamond"/>
        </w:rPr>
      </w:pPr>
    </w:p>
    <w:p w14:paraId="21550B49" w14:textId="77777777" w:rsidR="00164949" w:rsidRDefault="00164949" w:rsidP="00164949">
      <w:pPr>
        <w:rPr>
          <w:rFonts w:ascii="Garamond" w:hAnsi="Garamond"/>
          <w:b/>
        </w:rPr>
      </w:pPr>
      <w:r>
        <w:rPr>
          <w:rFonts w:ascii="Garamond" w:hAnsi="Garamond"/>
          <w:b/>
        </w:rPr>
        <w:br w:type="page"/>
      </w:r>
    </w:p>
    <w:p w14:paraId="569EB3B4" w14:textId="77777777" w:rsidR="00164949" w:rsidRPr="000932A9" w:rsidRDefault="00164949" w:rsidP="00164949">
      <w:pPr>
        <w:rPr>
          <w:rFonts w:ascii="Garamond" w:hAnsi="Garamond"/>
        </w:rPr>
      </w:pPr>
      <w:r w:rsidRPr="000932A9">
        <w:rPr>
          <w:rFonts w:ascii="Garamond" w:hAnsi="Garamond"/>
          <w:b/>
        </w:rPr>
        <w:lastRenderedPageBreak/>
        <w:t>Table 6</w:t>
      </w:r>
      <w:r w:rsidRPr="000932A9">
        <w:rPr>
          <w:rFonts w:ascii="Garamond" w:hAnsi="Garamond"/>
        </w:rPr>
        <w:t xml:space="preserve"> – Linear Decompositions of Gender Job Satisfaction: The Contribution of Characteristics and Coefficients in 1991, 2008 &amp;</w:t>
      </w:r>
      <w:r>
        <w:rPr>
          <w:rFonts w:ascii="Garamond" w:hAnsi="Garamond"/>
        </w:rPr>
        <w:t xml:space="preserve"> 2012-</w:t>
      </w:r>
      <w:r w:rsidRPr="000932A9">
        <w:rPr>
          <w:rFonts w:ascii="Garamond" w:hAnsi="Garamond"/>
        </w:rPr>
        <w:t xml:space="preserve">2014. </w:t>
      </w:r>
    </w:p>
    <w:tbl>
      <w:tblPr>
        <w:tblStyle w:val="LightShading"/>
        <w:tblW w:w="0" w:type="auto"/>
        <w:tblInd w:w="-318" w:type="dxa"/>
        <w:shd w:val="clear" w:color="auto" w:fill="FFFFFF" w:themeFill="background1"/>
        <w:tblLook w:val="04A0" w:firstRow="1" w:lastRow="0" w:firstColumn="1" w:lastColumn="0" w:noHBand="0" w:noVBand="1"/>
      </w:tblPr>
      <w:tblGrid>
        <w:gridCol w:w="2048"/>
        <w:gridCol w:w="1631"/>
        <w:gridCol w:w="1615"/>
        <w:gridCol w:w="1615"/>
        <w:gridCol w:w="1624"/>
      </w:tblGrid>
      <w:tr w:rsidR="00164949" w:rsidRPr="000932A9" w14:paraId="22447FCD" w14:textId="77777777" w:rsidTr="00164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FFFFFF" w:themeFill="background1"/>
          </w:tcPr>
          <w:p w14:paraId="2160E579" w14:textId="77777777" w:rsidR="00164949" w:rsidRPr="000932A9" w:rsidRDefault="00164949" w:rsidP="00164949">
            <w:pPr>
              <w:rPr>
                <w:rFonts w:ascii="Garamond" w:hAnsi="Garamond"/>
              </w:rPr>
            </w:pPr>
          </w:p>
        </w:tc>
        <w:tc>
          <w:tcPr>
            <w:tcW w:w="6485" w:type="dxa"/>
            <w:gridSpan w:val="4"/>
            <w:shd w:val="clear" w:color="auto" w:fill="FFFFFF" w:themeFill="background1"/>
          </w:tcPr>
          <w:p w14:paraId="1D5007B6" w14:textId="77777777" w:rsidR="00164949" w:rsidRPr="000932A9" w:rsidRDefault="00164949" w:rsidP="00164949">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Decomposition Results - Summary</w:t>
            </w:r>
          </w:p>
        </w:tc>
      </w:tr>
      <w:tr w:rsidR="00164949" w:rsidRPr="000932A9" w14:paraId="6E077134" w14:textId="77777777" w:rsidTr="00164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FFFFFF" w:themeFill="background1"/>
          </w:tcPr>
          <w:p w14:paraId="38E7952B" w14:textId="77777777" w:rsidR="00164949" w:rsidRPr="000932A9" w:rsidRDefault="00164949" w:rsidP="00164949">
            <w:pPr>
              <w:rPr>
                <w:rFonts w:ascii="Garamond" w:hAnsi="Garamond"/>
              </w:rPr>
            </w:pPr>
          </w:p>
        </w:tc>
        <w:tc>
          <w:tcPr>
            <w:tcW w:w="1631" w:type="dxa"/>
            <w:shd w:val="clear" w:color="auto" w:fill="FFFFFF" w:themeFill="background1"/>
          </w:tcPr>
          <w:p w14:paraId="27526738"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1991</w:t>
            </w:r>
          </w:p>
        </w:tc>
        <w:tc>
          <w:tcPr>
            <w:tcW w:w="1615" w:type="dxa"/>
            <w:shd w:val="clear" w:color="auto" w:fill="FFFFFF" w:themeFill="background1"/>
          </w:tcPr>
          <w:p w14:paraId="1F4E8598"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1992</w:t>
            </w:r>
          </w:p>
        </w:tc>
        <w:tc>
          <w:tcPr>
            <w:tcW w:w="1615" w:type="dxa"/>
            <w:shd w:val="clear" w:color="auto" w:fill="FFFFFF" w:themeFill="background1"/>
          </w:tcPr>
          <w:p w14:paraId="2267DF2E"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sidRPr="000932A9">
              <w:rPr>
                <w:rFonts w:ascii="Garamond" w:hAnsi="Garamond"/>
              </w:rPr>
              <w:t>2008</w:t>
            </w:r>
          </w:p>
        </w:tc>
        <w:tc>
          <w:tcPr>
            <w:tcW w:w="1624" w:type="dxa"/>
            <w:shd w:val="clear" w:color="auto" w:fill="FFFFFF" w:themeFill="background1"/>
          </w:tcPr>
          <w:p w14:paraId="05E99BB7"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sidRPr="000932A9">
              <w:rPr>
                <w:rFonts w:ascii="Garamond" w:hAnsi="Garamond"/>
              </w:rPr>
              <w:t>201</w:t>
            </w:r>
            <w:r>
              <w:rPr>
                <w:rFonts w:ascii="Garamond" w:hAnsi="Garamond"/>
              </w:rPr>
              <w:t>2-2014</w:t>
            </w:r>
          </w:p>
        </w:tc>
      </w:tr>
      <w:tr w:rsidR="00164949" w:rsidRPr="000932A9" w14:paraId="426B72CE" w14:textId="77777777" w:rsidTr="00164949">
        <w:tc>
          <w:tcPr>
            <w:cnfStyle w:val="001000000000" w:firstRow="0" w:lastRow="0" w:firstColumn="1" w:lastColumn="0" w:oddVBand="0" w:evenVBand="0" w:oddHBand="0" w:evenHBand="0" w:firstRowFirstColumn="0" w:firstRowLastColumn="0" w:lastRowFirstColumn="0" w:lastRowLastColumn="0"/>
            <w:tcW w:w="2048" w:type="dxa"/>
            <w:shd w:val="clear" w:color="auto" w:fill="FFFFFF" w:themeFill="background1"/>
          </w:tcPr>
          <w:p w14:paraId="2E8EBACC" w14:textId="77777777" w:rsidR="00164949" w:rsidRPr="000932A9" w:rsidRDefault="00164949" w:rsidP="00164949">
            <w:pPr>
              <w:rPr>
                <w:rFonts w:ascii="Garamond" w:hAnsi="Garamond"/>
              </w:rPr>
            </w:pPr>
            <w:r w:rsidRPr="000932A9">
              <w:rPr>
                <w:rFonts w:ascii="Garamond" w:hAnsi="Garamond"/>
              </w:rPr>
              <w:t>Gap (female-male)</w:t>
            </w:r>
          </w:p>
        </w:tc>
        <w:tc>
          <w:tcPr>
            <w:tcW w:w="1631" w:type="dxa"/>
            <w:shd w:val="clear" w:color="auto" w:fill="FFFFFF" w:themeFill="background1"/>
          </w:tcPr>
          <w:p w14:paraId="34A0F4F5"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0.40</w:t>
            </w:r>
            <w:r>
              <w:rPr>
                <w:rFonts w:ascii="Garamond" w:hAnsi="Garamond"/>
              </w:rPr>
              <w:t>0</w:t>
            </w:r>
          </w:p>
        </w:tc>
        <w:tc>
          <w:tcPr>
            <w:tcW w:w="1615" w:type="dxa"/>
            <w:shd w:val="clear" w:color="auto" w:fill="FFFFFF" w:themeFill="background1"/>
          </w:tcPr>
          <w:p w14:paraId="1DE23478"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0.459</w:t>
            </w:r>
          </w:p>
        </w:tc>
        <w:tc>
          <w:tcPr>
            <w:tcW w:w="1615" w:type="dxa"/>
            <w:shd w:val="clear" w:color="auto" w:fill="FFFFFF" w:themeFill="background1"/>
          </w:tcPr>
          <w:p w14:paraId="0A03B4CA"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0.181</w:t>
            </w:r>
          </w:p>
        </w:tc>
        <w:tc>
          <w:tcPr>
            <w:tcW w:w="1624" w:type="dxa"/>
            <w:shd w:val="clear" w:color="auto" w:fill="FFFFFF" w:themeFill="background1"/>
          </w:tcPr>
          <w:p w14:paraId="4B3B7104"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0.0</w:t>
            </w:r>
            <w:r>
              <w:rPr>
                <w:rFonts w:ascii="Garamond" w:hAnsi="Garamond"/>
              </w:rPr>
              <w:t>13</w:t>
            </w:r>
          </w:p>
        </w:tc>
      </w:tr>
      <w:tr w:rsidR="00164949" w:rsidRPr="000932A9" w14:paraId="60EF63C4" w14:textId="77777777" w:rsidTr="00164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shd w:val="clear" w:color="auto" w:fill="FFFFFF" w:themeFill="background1"/>
          </w:tcPr>
          <w:p w14:paraId="2F202633" w14:textId="77777777" w:rsidR="00164949" w:rsidRPr="000932A9" w:rsidRDefault="00164949" w:rsidP="00164949">
            <w:pPr>
              <w:rPr>
                <w:rFonts w:ascii="Garamond" w:hAnsi="Garamond"/>
              </w:rPr>
            </w:pPr>
            <w:r w:rsidRPr="000932A9">
              <w:rPr>
                <w:rFonts w:ascii="Garamond" w:hAnsi="Garamond"/>
              </w:rPr>
              <w:t>Characteristics</w:t>
            </w:r>
          </w:p>
        </w:tc>
        <w:tc>
          <w:tcPr>
            <w:tcW w:w="1631" w:type="dxa"/>
            <w:shd w:val="clear" w:color="auto" w:fill="FFFFFF" w:themeFill="background1"/>
          </w:tcPr>
          <w:p w14:paraId="7F663270"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sidRPr="000932A9">
              <w:rPr>
                <w:rFonts w:ascii="Garamond" w:hAnsi="Garamond"/>
              </w:rPr>
              <w:t>-0.0</w:t>
            </w:r>
            <w:r>
              <w:rPr>
                <w:rFonts w:ascii="Garamond" w:hAnsi="Garamond"/>
              </w:rPr>
              <w:t>22</w:t>
            </w:r>
            <w:r w:rsidRPr="000932A9">
              <w:rPr>
                <w:rFonts w:ascii="Garamond" w:hAnsi="Garamond"/>
              </w:rPr>
              <w:t xml:space="preserve"> (-</w:t>
            </w:r>
            <w:r>
              <w:rPr>
                <w:rFonts w:ascii="Garamond" w:hAnsi="Garamond"/>
              </w:rPr>
              <w:t>5</w:t>
            </w:r>
            <w:r w:rsidRPr="000932A9">
              <w:rPr>
                <w:rFonts w:ascii="Garamond" w:hAnsi="Garamond"/>
              </w:rPr>
              <w:t>.</w:t>
            </w:r>
            <w:r>
              <w:rPr>
                <w:rFonts w:ascii="Garamond" w:hAnsi="Garamond"/>
              </w:rPr>
              <w:t>5</w:t>
            </w:r>
            <w:r w:rsidRPr="000932A9">
              <w:rPr>
                <w:rFonts w:ascii="Garamond" w:hAnsi="Garamond"/>
              </w:rPr>
              <w:t>%)</w:t>
            </w:r>
          </w:p>
        </w:tc>
        <w:tc>
          <w:tcPr>
            <w:tcW w:w="1615" w:type="dxa"/>
            <w:shd w:val="clear" w:color="auto" w:fill="FFFFFF" w:themeFill="background1"/>
          </w:tcPr>
          <w:p w14:paraId="0EA9F092"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0.021 (4.6%)</w:t>
            </w:r>
          </w:p>
        </w:tc>
        <w:tc>
          <w:tcPr>
            <w:tcW w:w="1615" w:type="dxa"/>
            <w:shd w:val="clear" w:color="auto" w:fill="FFFFFF" w:themeFill="background1"/>
          </w:tcPr>
          <w:p w14:paraId="287ECA83"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sidRPr="000932A9">
              <w:rPr>
                <w:rFonts w:ascii="Garamond" w:hAnsi="Garamond"/>
              </w:rPr>
              <w:t>0.080 (</w:t>
            </w:r>
            <w:r>
              <w:rPr>
                <w:rFonts w:ascii="Garamond" w:hAnsi="Garamond"/>
              </w:rPr>
              <w:t>43</w:t>
            </w:r>
            <w:r w:rsidRPr="000932A9">
              <w:rPr>
                <w:rFonts w:ascii="Garamond" w:hAnsi="Garamond"/>
              </w:rPr>
              <w:t>.</w:t>
            </w:r>
            <w:r>
              <w:rPr>
                <w:rFonts w:ascii="Garamond" w:hAnsi="Garamond"/>
              </w:rPr>
              <w:t>9</w:t>
            </w:r>
            <w:r w:rsidRPr="000932A9">
              <w:rPr>
                <w:rFonts w:ascii="Garamond" w:hAnsi="Garamond"/>
              </w:rPr>
              <w:t>%)</w:t>
            </w:r>
          </w:p>
        </w:tc>
        <w:tc>
          <w:tcPr>
            <w:tcW w:w="1624" w:type="dxa"/>
            <w:shd w:val="clear" w:color="auto" w:fill="FFFFFF" w:themeFill="background1"/>
          </w:tcPr>
          <w:p w14:paraId="232BC348"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r w:rsidRPr="000932A9">
              <w:rPr>
                <w:rFonts w:ascii="Garamond" w:hAnsi="Garamond"/>
              </w:rPr>
              <w:t>0.0</w:t>
            </w:r>
            <w:r>
              <w:rPr>
                <w:rFonts w:ascii="Garamond" w:hAnsi="Garamond"/>
              </w:rPr>
              <w:t>06</w:t>
            </w:r>
            <w:r w:rsidRPr="000932A9">
              <w:rPr>
                <w:rFonts w:ascii="Garamond" w:hAnsi="Garamond"/>
              </w:rPr>
              <w:t xml:space="preserve"> (</w:t>
            </w:r>
            <w:r>
              <w:rPr>
                <w:rFonts w:ascii="Garamond" w:hAnsi="Garamond"/>
              </w:rPr>
              <w:t>44.4</w:t>
            </w:r>
            <w:r w:rsidRPr="000932A9">
              <w:rPr>
                <w:rFonts w:ascii="Garamond" w:hAnsi="Garamond"/>
              </w:rPr>
              <w:t>%)</w:t>
            </w:r>
          </w:p>
        </w:tc>
      </w:tr>
      <w:tr w:rsidR="00164949" w:rsidRPr="000932A9" w14:paraId="230C5F0D" w14:textId="77777777" w:rsidTr="00164949">
        <w:tc>
          <w:tcPr>
            <w:cnfStyle w:val="001000000000" w:firstRow="0" w:lastRow="0" w:firstColumn="1" w:lastColumn="0" w:oddVBand="0" w:evenVBand="0" w:oddHBand="0" w:evenHBand="0" w:firstRowFirstColumn="0" w:firstRowLastColumn="0" w:lastRowFirstColumn="0" w:lastRowLastColumn="0"/>
            <w:tcW w:w="2048" w:type="dxa"/>
            <w:shd w:val="clear" w:color="auto" w:fill="FFFFFF" w:themeFill="background1"/>
          </w:tcPr>
          <w:p w14:paraId="5AD34266" w14:textId="77777777" w:rsidR="00164949" w:rsidRPr="000932A9" w:rsidRDefault="00164949" w:rsidP="00164949">
            <w:pPr>
              <w:rPr>
                <w:rFonts w:ascii="Garamond" w:hAnsi="Garamond"/>
              </w:rPr>
            </w:pPr>
            <w:r w:rsidRPr="000932A9">
              <w:rPr>
                <w:rFonts w:ascii="Garamond" w:hAnsi="Garamond"/>
              </w:rPr>
              <w:t>Coefficients</w:t>
            </w:r>
          </w:p>
        </w:tc>
        <w:tc>
          <w:tcPr>
            <w:tcW w:w="1631" w:type="dxa"/>
            <w:shd w:val="clear" w:color="auto" w:fill="FFFFFF" w:themeFill="background1"/>
          </w:tcPr>
          <w:p w14:paraId="75A727FB"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0.4</w:t>
            </w:r>
            <w:r>
              <w:rPr>
                <w:rFonts w:ascii="Garamond" w:hAnsi="Garamond"/>
              </w:rPr>
              <w:t>22</w:t>
            </w:r>
            <w:r w:rsidRPr="000932A9">
              <w:rPr>
                <w:rFonts w:ascii="Garamond" w:hAnsi="Garamond"/>
              </w:rPr>
              <w:t xml:space="preserve"> (</w:t>
            </w:r>
            <w:r>
              <w:rPr>
                <w:rFonts w:ascii="Garamond" w:hAnsi="Garamond"/>
              </w:rPr>
              <w:t>105</w:t>
            </w:r>
            <w:r w:rsidRPr="000932A9">
              <w:rPr>
                <w:rFonts w:ascii="Garamond" w:hAnsi="Garamond"/>
              </w:rPr>
              <w:t>.</w:t>
            </w:r>
            <w:r>
              <w:rPr>
                <w:rFonts w:ascii="Garamond" w:hAnsi="Garamond"/>
              </w:rPr>
              <w:t>5</w:t>
            </w:r>
            <w:r w:rsidRPr="000932A9">
              <w:rPr>
                <w:rFonts w:ascii="Garamond" w:hAnsi="Garamond"/>
              </w:rPr>
              <w:t>%)</w:t>
            </w:r>
          </w:p>
        </w:tc>
        <w:tc>
          <w:tcPr>
            <w:tcW w:w="1615" w:type="dxa"/>
            <w:shd w:val="clear" w:color="auto" w:fill="FFFFFF" w:themeFill="background1"/>
          </w:tcPr>
          <w:p w14:paraId="28B5BBBA"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0.438 (95.4%)</w:t>
            </w:r>
          </w:p>
        </w:tc>
        <w:tc>
          <w:tcPr>
            <w:tcW w:w="1615" w:type="dxa"/>
            <w:shd w:val="clear" w:color="auto" w:fill="FFFFFF" w:themeFill="background1"/>
          </w:tcPr>
          <w:p w14:paraId="5EEF85A4"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0.101 (</w:t>
            </w:r>
            <w:r>
              <w:rPr>
                <w:rFonts w:ascii="Garamond" w:hAnsi="Garamond"/>
              </w:rPr>
              <w:t>56</w:t>
            </w:r>
            <w:r w:rsidRPr="000932A9">
              <w:rPr>
                <w:rFonts w:ascii="Garamond" w:hAnsi="Garamond"/>
              </w:rPr>
              <w:t>.</w:t>
            </w:r>
            <w:r>
              <w:rPr>
                <w:rFonts w:ascii="Garamond" w:hAnsi="Garamond"/>
              </w:rPr>
              <w:t>1</w:t>
            </w:r>
            <w:r w:rsidRPr="000932A9">
              <w:rPr>
                <w:rFonts w:ascii="Garamond" w:hAnsi="Garamond"/>
              </w:rPr>
              <w:t>%)</w:t>
            </w:r>
          </w:p>
        </w:tc>
        <w:tc>
          <w:tcPr>
            <w:tcW w:w="1624" w:type="dxa"/>
            <w:shd w:val="clear" w:color="auto" w:fill="FFFFFF" w:themeFill="background1"/>
          </w:tcPr>
          <w:p w14:paraId="25E6D1D3" w14:textId="77777777" w:rsidR="00164949" w:rsidRPr="000932A9" w:rsidRDefault="00164949" w:rsidP="00164949">
            <w:pPr>
              <w:cnfStyle w:val="000000000000" w:firstRow="0" w:lastRow="0" w:firstColumn="0" w:lastColumn="0" w:oddVBand="0" w:evenVBand="0" w:oddHBand="0" w:evenHBand="0" w:firstRowFirstColumn="0" w:firstRowLastColumn="0" w:lastRowFirstColumn="0" w:lastRowLastColumn="0"/>
              <w:rPr>
                <w:rFonts w:ascii="Garamond" w:hAnsi="Garamond"/>
              </w:rPr>
            </w:pPr>
            <w:r w:rsidRPr="000932A9">
              <w:rPr>
                <w:rFonts w:ascii="Garamond" w:hAnsi="Garamond"/>
              </w:rPr>
              <w:t>0.0</w:t>
            </w:r>
            <w:r>
              <w:rPr>
                <w:rFonts w:ascii="Garamond" w:hAnsi="Garamond"/>
              </w:rPr>
              <w:t>07</w:t>
            </w:r>
            <w:r w:rsidRPr="000932A9">
              <w:rPr>
                <w:rFonts w:ascii="Garamond" w:hAnsi="Garamond"/>
              </w:rPr>
              <w:t xml:space="preserve"> (</w:t>
            </w:r>
            <w:r>
              <w:rPr>
                <w:rFonts w:ascii="Garamond" w:hAnsi="Garamond"/>
              </w:rPr>
              <w:t>55.6</w:t>
            </w:r>
            <w:r w:rsidRPr="000932A9">
              <w:rPr>
                <w:rFonts w:ascii="Garamond" w:hAnsi="Garamond"/>
              </w:rPr>
              <w:t>%)</w:t>
            </w:r>
          </w:p>
        </w:tc>
      </w:tr>
      <w:tr w:rsidR="00164949" w:rsidRPr="000932A9" w14:paraId="73FCC444" w14:textId="77777777" w:rsidTr="00164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8" w:type="dxa"/>
            <w:tcBorders>
              <w:bottom w:val="single" w:sz="4" w:space="0" w:color="auto"/>
            </w:tcBorders>
            <w:shd w:val="clear" w:color="auto" w:fill="FFFFFF" w:themeFill="background1"/>
          </w:tcPr>
          <w:p w14:paraId="2CA72F92" w14:textId="77777777" w:rsidR="00164949" w:rsidRPr="000932A9" w:rsidRDefault="00164949" w:rsidP="00164949">
            <w:pPr>
              <w:rPr>
                <w:rFonts w:ascii="Garamond" w:hAnsi="Garamond"/>
                <w:vertAlign w:val="superscript"/>
              </w:rPr>
            </w:pPr>
          </w:p>
        </w:tc>
        <w:tc>
          <w:tcPr>
            <w:tcW w:w="1631" w:type="dxa"/>
            <w:tcBorders>
              <w:bottom w:val="single" w:sz="4" w:space="0" w:color="auto"/>
            </w:tcBorders>
            <w:shd w:val="clear" w:color="auto" w:fill="FFFFFF" w:themeFill="background1"/>
          </w:tcPr>
          <w:p w14:paraId="24D8B035"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615" w:type="dxa"/>
            <w:tcBorders>
              <w:bottom w:val="single" w:sz="4" w:space="0" w:color="auto"/>
            </w:tcBorders>
            <w:shd w:val="clear" w:color="auto" w:fill="FFFFFF" w:themeFill="background1"/>
          </w:tcPr>
          <w:p w14:paraId="27ECB5A0"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615" w:type="dxa"/>
            <w:tcBorders>
              <w:bottom w:val="single" w:sz="4" w:space="0" w:color="auto"/>
            </w:tcBorders>
            <w:shd w:val="clear" w:color="auto" w:fill="FFFFFF" w:themeFill="background1"/>
          </w:tcPr>
          <w:p w14:paraId="3F0082D5"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624" w:type="dxa"/>
            <w:tcBorders>
              <w:bottom w:val="single" w:sz="4" w:space="0" w:color="auto"/>
            </w:tcBorders>
            <w:shd w:val="clear" w:color="auto" w:fill="FFFFFF" w:themeFill="background1"/>
          </w:tcPr>
          <w:p w14:paraId="11A7F8B4" w14:textId="77777777" w:rsidR="00164949" w:rsidRPr="000932A9" w:rsidRDefault="00164949" w:rsidP="00164949">
            <w:pPr>
              <w:cnfStyle w:val="000000100000" w:firstRow="0" w:lastRow="0" w:firstColumn="0" w:lastColumn="0" w:oddVBand="0" w:evenVBand="0" w:oddHBand="1" w:evenHBand="0" w:firstRowFirstColumn="0" w:firstRowLastColumn="0" w:lastRowFirstColumn="0" w:lastRowLastColumn="0"/>
              <w:rPr>
                <w:rFonts w:ascii="Garamond" w:hAnsi="Garamond"/>
              </w:rPr>
            </w:pPr>
          </w:p>
        </w:tc>
      </w:tr>
    </w:tbl>
    <w:p w14:paraId="43024B5B" w14:textId="77777777" w:rsidR="00164949" w:rsidRPr="000932A9" w:rsidRDefault="00164949" w:rsidP="00164949">
      <w:pPr>
        <w:rPr>
          <w:rFonts w:ascii="Garamond" w:hAnsi="Garamond"/>
        </w:rPr>
        <w:sectPr w:rsidR="00164949" w:rsidRPr="000932A9" w:rsidSect="00003FC7">
          <w:pgSz w:w="16838" w:h="11906" w:orient="landscape"/>
          <w:pgMar w:top="1440" w:right="1440" w:bottom="1440" w:left="1440" w:header="708" w:footer="708" w:gutter="0"/>
          <w:cols w:space="708"/>
          <w:titlePg/>
          <w:docGrid w:linePitch="360"/>
        </w:sectPr>
      </w:pPr>
      <w:r w:rsidRPr="001E1EA4">
        <w:rPr>
          <w:rFonts w:ascii="Garamond" w:hAnsi="Garamond"/>
        </w:rPr>
        <w:t>Estimates generated from OLS estimates with all controls as per Model (2) in Table 1. These are reported as appendix table A2.</w:t>
      </w:r>
      <w:r w:rsidRPr="000932A9">
        <w:rPr>
          <w:rFonts w:ascii="Garamond" w:hAnsi="Garamond"/>
        </w:rPr>
        <w:t xml:space="preserve"> </w:t>
      </w:r>
    </w:p>
    <w:tbl>
      <w:tblPr>
        <w:tblStyle w:val="LightShading-Accent1"/>
        <w:tblpPr w:leftFromText="180" w:rightFromText="180" w:vertAnchor="page" w:horzAnchor="margin" w:tblpY="2026"/>
        <w:tblW w:w="7645" w:type="dxa"/>
        <w:shd w:val="clear" w:color="auto" w:fill="FFFFFF" w:themeFill="background1"/>
        <w:tblLook w:val="04A0" w:firstRow="1" w:lastRow="0" w:firstColumn="1" w:lastColumn="0" w:noHBand="0" w:noVBand="1"/>
      </w:tblPr>
      <w:tblGrid>
        <w:gridCol w:w="2013"/>
        <w:gridCol w:w="1524"/>
        <w:gridCol w:w="1292"/>
        <w:gridCol w:w="1524"/>
        <w:gridCol w:w="1292"/>
      </w:tblGrid>
      <w:tr w:rsidR="009C5ACE" w:rsidRPr="000932A9" w14:paraId="43684F6D" w14:textId="77777777" w:rsidTr="009C5A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4A11B634" w14:textId="77777777" w:rsidR="009C5ACE" w:rsidRPr="000932A9" w:rsidRDefault="009C5ACE" w:rsidP="00164949">
            <w:pPr>
              <w:rPr>
                <w:rFonts w:ascii="Times New Roman" w:eastAsia="Times New Roman" w:hAnsi="Times New Roman" w:cs="Times New Roman"/>
                <w:color w:val="000000"/>
                <w:lang w:eastAsia="en-GB"/>
              </w:rPr>
            </w:pPr>
          </w:p>
        </w:tc>
        <w:tc>
          <w:tcPr>
            <w:tcW w:w="2816" w:type="dxa"/>
            <w:gridSpan w:val="2"/>
            <w:shd w:val="clear" w:color="auto" w:fill="FFFFFF" w:themeFill="background1"/>
            <w:noWrap/>
            <w:hideMark/>
          </w:tcPr>
          <w:p w14:paraId="2487C20F" w14:textId="77777777" w:rsidR="009C5ACE" w:rsidRPr="000932A9" w:rsidRDefault="009C5ACE" w:rsidP="00164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1991</w:t>
            </w:r>
          </w:p>
        </w:tc>
        <w:tc>
          <w:tcPr>
            <w:tcW w:w="2816" w:type="dxa"/>
            <w:gridSpan w:val="2"/>
            <w:shd w:val="clear" w:color="auto" w:fill="FFFFFF" w:themeFill="background1"/>
            <w:noWrap/>
            <w:hideMark/>
          </w:tcPr>
          <w:p w14:paraId="4F3BC7AE" w14:textId="77777777" w:rsidR="009C5ACE" w:rsidRPr="000932A9" w:rsidRDefault="009C5ACE" w:rsidP="00164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20</w:t>
            </w:r>
            <w:r>
              <w:rPr>
                <w:rFonts w:ascii="Times New Roman" w:eastAsia="Times New Roman" w:hAnsi="Times New Roman" w:cs="Times New Roman"/>
                <w:b w:val="0"/>
                <w:color w:val="000000"/>
                <w:lang w:eastAsia="en-GB"/>
              </w:rPr>
              <w:t>12-</w:t>
            </w:r>
            <w:r w:rsidRPr="000932A9">
              <w:rPr>
                <w:rFonts w:ascii="Times New Roman" w:eastAsia="Times New Roman" w:hAnsi="Times New Roman" w:cs="Times New Roman"/>
                <w:b w:val="0"/>
                <w:color w:val="000000"/>
                <w:lang w:eastAsia="en-GB"/>
              </w:rPr>
              <w:t>14</w:t>
            </w:r>
          </w:p>
        </w:tc>
      </w:tr>
      <w:tr w:rsidR="009C5ACE" w:rsidRPr="000932A9" w14:paraId="5F2DC12C"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13BBF40C" w14:textId="77777777" w:rsidR="009C5ACE" w:rsidRPr="000932A9" w:rsidRDefault="009C5ACE" w:rsidP="00164949">
            <w:pPr>
              <w:rPr>
                <w:rFonts w:ascii="Times New Roman" w:eastAsia="Times New Roman" w:hAnsi="Times New Roman" w:cs="Times New Roman"/>
                <w:color w:val="000000"/>
                <w:lang w:eastAsia="en-GB"/>
              </w:rPr>
            </w:pPr>
          </w:p>
        </w:tc>
        <w:tc>
          <w:tcPr>
            <w:tcW w:w="1524" w:type="dxa"/>
            <w:shd w:val="clear" w:color="auto" w:fill="FFFFFF" w:themeFill="background1"/>
            <w:noWrap/>
            <w:hideMark/>
          </w:tcPr>
          <w:p w14:paraId="2C8E35F8" w14:textId="77777777" w:rsidR="009C5ACE" w:rsidRPr="000932A9" w:rsidRDefault="009C5ACE" w:rsidP="001649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Characteristics</w:t>
            </w:r>
          </w:p>
        </w:tc>
        <w:tc>
          <w:tcPr>
            <w:tcW w:w="1292" w:type="dxa"/>
            <w:shd w:val="clear" w:color="auto" w:fill="FFFFFF" w:themeFill="background1"/>
            <w:noWrap/>
            <w:hideMark/>
          </w:tcPr>
          <w:p w14:paraId="66B93B1D" w14:textId="77777777" w:rsidR="009C5ACE" w:rsidRPr="000932A9" w:rsidRDefault="009C5ACE" w:rsidP="001649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Coefficients</w:t>
            </w:r>
          </w:p>
        </w:tc>
        <w:tc>
          <w:tcPr>
            <w:tcW w:w="1524" w:type="dxa"/>
            <w:shd w:val="clear" w:color="auto" w:fill="FFFFFF" w:themeFill="background1"/>
            <w:noWrap/>
            <w:hideMark/>
          </w:tcPr>
          <w:p w14:paraId="6A9641DA" w14:textId="77777777" w:rsidR="009C5ACE" w:rsidRPr="000932A9" w:rsidRDefault="009C5ACE" w:rsidP="001649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Characteristics</w:t>
            </w:r>
          </w:p>
        </w:tc>
        <w:tc>
          <w:tcPr>
            <w:tcW w:w="1292" w:type="dxa"/>
            <w:shd w:val="clear" w:color="auto" w:fill="FFFFFF" w:themeFill="background1"/>
            <w:noWrap/>
            <w:hideMark/>
          </w:tcPr>
          <w:p w14:paraId="2169494D" w14:textId="77777777" w:rsidR="009C5ACE" w:rsidRPr="000932A9" w:rsidRDefault="009C5ACE" w:rsidP="001649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Coefficients</w:t>
            </w:r>
          </w:p>
        </w:tc>
      </w:tr>
      <w:tr w:rsidR="009C5ACE" w:rsidRPr="000932A9" w14:paraId="4EB2D42F"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7958A9A5"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Age</w:t>
            </w:r>
          </w:p>
        </w:tc>
        <w:tc>
          <w:tcPr>
            <w:tcW w:w="1524" w:type="dxa"/>
            <w:shd w:val="clear" w:color="auto" w:fill="FFFFFF" w:themeFill="background1"/>
            <w:noWrap/>
            <w:vAlign w:val="bottom"/>
            <w:hideMark/>
          </w:tcPr>
          <w:p w14:paraId="59711806"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0.071</w:t>
            </w:r>
          </w:p>
        </w:tc>
        <w:tc>
          <w:tcPr>
            <w:tcW w:w="1292" w:type="dxa"/>
            <w:shd w:val="clear" w:color="auto" w:fill="FFFFFF" w:themeFill="background1"/>
            <w:noWrap/>
            <w:vAlign w:val="bottom"/>
            <w:hideMark/>
          </w:tcPr>
          <w:p w14:paraId="62B38C66"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1.164</w:t>
            </w:r>
          </w:p>
        </w:tc>
        <w:tc>
          <w:tcPr>
            <w:tcW w:w="1524" w:type="dxa"/>
            <w:shd w:val="clear" w:color="auto" w:fill="FFFFFF" w:themeFill="background1"/>
            <w:noWrap/>
            <w:vAlign w:val="bottom"/>
            <w:hideMark/>
          </w:tcPr>
          <w:p w14:paraId="22A6B2DA"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0.030</w:t>
            </w:r>
          </w:p>
        </w:tc>
        <w:tc>
          <w:tcPr>
            <w:tcW w:w="1292" w:type="dxa"/>
            <w:shd w:val="clear" w:color="auto" w:fill="FFFFFF" w:themeFill="background1"/>
            <w:noWrap/>
            <w:vAlign w:val="bottom"/>
            <w:hideMark/>
          </w:tcPr>
          <w:p w14:paraId="70282225"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1.433</w:t>
            </w:r>
          </w:p>
        </w:tc>
      </w:tr>
      <w:tr w:rsidR="009C5ACE" w:rsidRPr="000932A9" w14:paraId="57B09894"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3D82FAE6" w14:textId="77777777" w:rsidR="009C5ACE" w:rsidRPr="000932A9" w:rsidRDefault="009C5ACE" w:rsidP="00164949">
            <w:pPr>
              <w:rPr>
                <w:rFonts w:ascii="Times New Roman" w:eastAsia="Times New Roman" w:hAnsi="Times New Roman" w:cs="Times New Roman"/>
                <w:b w:val="0"/>
                <w:color w:val="000000"/>
                <w:vertAlign w:val="superscript"/>
                <w:lang w:eastAsia="en-GB"/>
              </w:rPr>
            </w:pPr>
            <w:r w:rsidRPr="000932A9">
              <w:rPr>
                <w:rFonts w:ascii="Times New Roman" w:eastAsia="Times New Roman" w:hAnsi="Times New Roman" w:cs="Times New Roman"/>
                <w:b w:val="0"/>
                <w:color w:val="000000"/>
                <w:lang w:eastAsia="en-GB"/>
              </w:rPr>
              <w:t>Age</w:t>
            </w:r>
            <w:r w:rsidRPr="000932A9">
              <w:rPr>
                <w:rFonts w:ascii="Times New Roman" w:eastAsia="Times New Roman" w:hAnsi="Times New Roman" w:cs="Times New Roman"/>
                <w:b w:val="0"/>
                <w:color w:val="000000"/>
                <w:vertAlign w:val="superscript"/>
                <w:lang w:eastAsia="en-GB"/>
              </w:rPr>
              <w:t>2</w:t>
            </w:r>
          </w:p>
        </w:tc>
        <w:tc>
          <w:tcPr>
            <w:tcW w:w="1524" w:type="dxa"/>
            <w:shd w:val="clear" w:color="auto" w:fill="FFFFFF" w:themeFill="background1"/>
            <w:noWrap/>
            <w:vAlign w:val="bottom"/>
            <w:hideMark/>
          </w:tcPr>
          <w:p w14:paraId="64E00BA4"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-0.097</w:t>
            </w:r>
          </w:p>
        </w:tc>
        <w:tc>
          <w:tcPr>
            <w:tcW w:w="1292" w:type="dxa"/>
            <w:shd w:val="clear" w:color="auto" w:fill="FFFFFF" w:themeFill="background1"/>
            <w:noWrap/>
            <w:vAlign w:val="bottom"/>
            <w:hideMark/>
          </w:tcPr>
          <w:p w14:paraId="022B745D"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-0.543</w:t>
            </w:r>
          </w:p>
        </w:tc>
        <w:tc>
          <w:tcPr>
            <w:tcW w:w="1524" w:type="dxa"/>
            <w:shd w:val="clear" w:color="auto" w:fill="FFFFFF" w:themeFill="background1"/>
            <w:noWrap/>
            <w:vAlign w:val="bottom"/>
            <w:hideMark/>
          </w:tcPr>
          <w:p w14:paraId="0B843E31"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-0.035</w:t>
            </w:r>
          </w:p>
        </w:tc>
        <w:tc>
          <w:tcPr>
            <w:tcW w:w="1292" w:type="dxa"/>
            <w:shd w:val="clear" w:color="auto" w:fill="FFFFFF" w:themeFill="background1"/>
            <w:noWrap/>
            <w:vAlign w:val="bottom"/>
            <w:hideMark/>
          </w:tcPr>
          <w:p w14:paraId="6B528476"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-0.694</w:t>
            </w:r>
          </w:p>
        </w:tc>
      </w:tr>
      <w:tr w:rsidR="009C5ACE" w:rsidRPr="000932A9" w14:paraId="753C83F8"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2CDA4D65"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Married</w:t>
            </w:r>
          </w:p>
        </w:tc>
        <w:tc>
          <w:tcPr>
            <w:tcW w:w="1524" w:type="dxa"/>
            <w:shd w:val="clear" w:color="auto" w:fill="FFFFFF" w:themeFill="background1"/>
            <w:noWrap/>
            <w:vAlign w:val="bottom"/>
            <w:hideMark/>
          </w:tcPr>
          <w:p w14:paraId="4DD7D72F"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6C670874"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0.074</w:t>
            </w:r>
          </w:p>
        </w:tc>
        <w:tc>
          <w:tcPr>
            <w:tcW w:w="1524" w:type="dxa"/>
            <w:shd w:val="clear" w:color="auto" w:fill="FFFFFF" w:themeFill="background1"/>
            <w:noWrap/>
            <w:vAlign w:val="bottom"/>
            <w:hideMark/>
          </w:tcPr>
          <w:p w14:paraId="49F8C249"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hideMark/>
          </w:tcPr>
          <w:p w14:paraId="67424AC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0.011</w:t>
            </w:r>
          </w:p>
        </w:tc>
      </w:tr>
      <w:tr w:rsidR="009C5ACE" w:rsidRPr="000932A9" w14:paraId="29EFC6CA"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2D9FB7B5"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Dependent Child</w:t>
            </w:r>
          </w:p>
        </w:tc>
        <w:tc>
          <w:tcPr>
            <w:tcW w:w="1524" w:type="dxa"/>
            <w:shd w:val="clear" w:color="auto" w:fill="FFFFFF" w:themeFill="background1"/>
            <w:noWrap/>
            <w:vAlign w:val="bottom"/>
            <w:hideMark/>
          </w:tcPr>
          <w:p w14:paraId="635762E8"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2A7A5B6A"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-0.007</w:t>
            </w:r>
          </w:p>
        </w:tc>
        <w:tc>
          <w:tcPr>
            <w:tcW w:w="1524" w:type="dxa"/>
            <w:shd w:val="clear" w:color="auto" w:fill="FFFFFF" w:themeFill="background1"/>
            <w:noWrap/>
            <w:vAlign w:val="bottom"/>
            <w:hideMark/>
          </w:tcPr>
          <w:p w14:paraId="6D5D1BB5"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27FCD7CE"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-0.033</w:t>
            </w:r>
          </w:p>
        </w:tc>
      </w:tr>
      <w:tr w:rsidR="009C5ACE" w:rsidRPr="000932A9" w14:paraId="0AE023CD"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6EA9FBC3"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A Level</w:t>
            </w:r>
          </w:p>
        </w:tc>
        <w:tc>
          <w:tcPr>
            <w:tcW w:w="1524" w:type="dxa"/>
            <w:shd w:val="clear" w:color="auto" w:fill="FFFFFF" w:themeFill="background1"/>
            <w:noWrap/>
            <w:vAlign w:val="bottom"/>
            <w:hideMark/>
          </w:tcPr>
          <w:p w14:paraId="0A2C5384"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0.021</w:t>
            </w:r>
          </w:p>
        </w:tc>
        <w:tc>
          <w:tcPr>
            <w:tcW w:w="1292" w:type="dxa"/>
            <w:shd w:val="clear" w:color="auto" w:fill="FFFFFF" w:themeFill="background1"/>
            <w:noWrap/>
            <w:vAlign w:val="bottom"/>
            <w:hideMark/>
          </w:tcPr>
          <w:p w14:paraId="618CA32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-0.018</w:t>
            </w:r>
          </w:p>
        </w:tc>
        <w:tc>
          <w:tcPr>
            <w:tcW w:w="1524" w:type="dxa"/>
            <w:shd w:val="clear" w:color="auto" w:fill="FFFFFF" w:themeFill="background1"/>
            <w:noWrap/>
            <w:vAlign w:val="bottom"/>
            <w:hideMark/>
          </w:tcPr>
          <w:p w14:paraId="467779DA"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0.004</w:t>
            </w:r>
          </w:p>
        </w:tc>
        <w:tc>
          <w:tcPr>
            <w:tcW w:w="1292" w:type="dxa"/>
            <w:shd w:val="clear" w:color="auto" w:fill="FFFFFF" w:themeFill="background1"/>
            <w:noWrap/>
            <w:vAlign w:val="bottom"/>
            <w:hideMark/>
          </w:tcPr>
          <w:p w14:paraId="708A760F"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-0.018</w:t>
            </w:r>
          </w:p>
        </w:tc>
      </w:tr>
      <w:tr w:rsidR="009C5ACE" w:rsidRPr="000932A9" w14:paraId="009A6704"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53CA16CF"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Diploma</w:t>
            </w:r>
          </w:p>
        </w:tc>
        <w:tc>
          <w:tcPr>
            <w:tcW w:w="1524" w:type="dxa"/>
            <w:shd w:val="clear" w:color="auto" w:fill="FFFFFF" w:themeFill="background1"/>
            <w:noWrap/>
            <w:vAlign w:val="bottom"/>
          </w:tcPr>
          <w:p w14:paraId="0AD9EAE7"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tcPr>
          <w:p w14:paraId="65156261"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-0.011</w:t>
            </w:r>
          </w:p>
        </w:tc>
        <w:tc>
          <w:tcPr>
            <w:tcW w:w="1524" w:type="dxa"/>
            <w:shd w:val="clear" w:color="auto" w:fill="FFFFFF" w:themeFill="background1"/>
            <w:noWrap/>
            <w:vAlign w:val="bottom"/>
          </w:tcPr>
          <w:p w14:paraId="049C6D22"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tcPr>
          <w:p w14:paraId="0013546C"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-0.005</w:t>
            </w:r>
          </w:p>
        </w:tc>
      </w:tr>
      <w:tr w:rsidR="009C5ACE" w:rsidRPr="000932A9" w14:paraId="0598E29D"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3E6EA546"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Degree or higher</w:t>
            </w:r>
          </w:p>
        </w:tc>
        <w:tc>
          <w:tcPr>
            <w:tcW w:w="1524" w:type="dxa"/>
            <w:shd w:val="clear" w:color="auto" w:fill="FFFFFF" w:themeFill="background1"/>
            <w:noWrap/>
            <w:vAlign w:val="bottom"/>
            <w:hideMark/>
          </w:tcPr>
          <w:p w14:paraId="35C744FE"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0.009</w:t>
            </w:r>
          </w:p>
        </w:tc>
        <w:tc>
          <w:tcPr>
            <w:tcW w:w="1292" w:type="dxa"/>
            <w:shd w:val="clear" w:color="auto" w:fill="FFFFFF" w:themeFill="background1"/>
            <w:noWrap/>
            <w:vAlign w:val="bottom"/>
            <w:hideMark/>
          </w:tcPr>
          <w:p w14:paraId="38AE88AF"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-0.050</w:t>
            </w:r>
          </w:p>
        </w:tc>
        <w:tc>
          <w:tcPr>
            <w:tcW w:w="1524" w:type="dxa"/>
            <w:shd w:val="clear" w:color="auto" w:fill="FFFFFF" w:themeFill="background1"/>
            <w:noWrap/>
            <w:vAlign w:val="bottom"/>
            <w:hideMark/>
          </w:tcPr>
          <w:p w14:paraId="5BC2602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4AF073D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0.011</w:t>
            </w:r>
          </w:p>
        </w:tc>
      </w:tr>
      <w:tr w:rsidR="009C5ACE" w:rsidRPr="000932A9" w14:paraId="6B29309D"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553A5CE7"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Ln(pay)</w:t>
            </w:r>
          </w:p>
        </w:tc>
        <w:tc>
          <w:tcPr>
            <w:tcW w:w="1524" w:type="dxa"/>
            <w:shd w:val="clear" w:color="auto" w:fill="FFFFFF" w:themeFill="background1"/>
            <w:noWrap/>
            <w:vAlign w:val="bottom"/>
            <w:hideMark/>
          </w:tcPr>
          <w:p w14:paraId="3B0AE8C7"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-0.065</w:t>
            </w:r>
          </w:p>
        </w:tc>
        <w:tc>
          <w:tcPr>
            <w:tcW w:w="1292" w:type="dxa"/>
            <w:shd w:val="clear" w:color="auto" w:fill="FFFFFF" w:themeFill="background1"/>
            <w:noWrap/>
            <w:vAlign w:val="bottom"/>
            <w:hideMark/>
          </w:tcPr>
          <w:p w14:paraId="2C90F27C"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-0.686</w:t>
            </w:r>
          </w:p>
        </w:tc>
        <w:tc>
          <w:tcPr>
            <w:tcW w:w="1524" w:type="dxa"/>
            <w:shd w:val="clear" w:color="auto" w:fill="FFFFFF" w:themeFill="background1"/>
            <w:noWrap/>
            <w:vAlign w:val="bottom"/>
            <w:hideMark/>
          </w:tcPr>
          <w:p w14:paraId="7B33ABCD"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-0.005</w:t>
            </w:r>
          </w:p>
        </w:tc>
        <w:tc>
          <w:tcPr>
            <w:tcW w:w="1292" w:type="dxa"/>
            <w:shd w:val="clear" w:color="auto" w:fill="FFFFFF" w:themeFill="background1"/>
            <w:noWrap/>
            <w:vAlign w:val="bottom"/>
            <w:hideMark/>
          </w:tcPr>
          <w:p w14:paraId="0852CA57"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-0.879</w:t>
            </w:r>
          </w:p>
        </w:tc>
      </w:tr>
      <w:tr w:rsidR="009C5ACE" w:rsidRPr="000932A9" w14:paraId="2358157A"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263ADC0A"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Normal Hours</w:t>
            </w:r>
          </w:p>
        </w:tc>
        <w:tc>
          <w:tcPr>
            <w:tcW w:w="1524" w:type="dxa"/>
            <w:shd w:val="clear" w:color="auto" w:fill="FFFFFF" w:themeFill="background1"/>
            <w:noWrap/>
            <w:vAlign w:val="bottom"/>
            <w:hideMark/>
          </w:tcPr>
          <w:p w14:paraId="3B183FC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0.070</w:t>
            </w:r>
          </w:p>
        </w:tc>
        <w:tc>
          <w:tcPr>
            <w:tcW w:w="1292" w:type="dxa"/>
            <w:shd w:val="clear" w:color="auto" w:fill="FFFFFF" w:themeFill="background1"/>
            <w:noWrap/>
            <w:vAlign w:val="bottom"/>
            <w:hideMark/>
          </w:tcPr>
          <w:p w14:paraId="2C538E76"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-0.457</w:t>
            </w:r>
          </w:p>
        </w:tc>
        <w:tc>
          <w:tcPr>
            <w:tcW w:w="1524" w:type="dxa"/>
            <w:shd w:val="clear" w:color="auto" w:fill="FFFFFF" w:themeFill="background1"/>
            <w:noWrap/>
            <w:vAlign w:val="bottom"/>
            <w:hideMark/>
          </w:tcPr>
          <w:p w14:paraId="6EF8C570"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-0.015</w:t>
            </w:r>
          </w:p>
        </w:tc>
        <w:tc>
          <w:tcPr>
            <w:tcW w:w="1292" w:type="dxa"/>
            <w:shd w:val="clear" w:color="auto" w:fill="FFFFFF" w:themeFill="background1"/>
            <w:noWrap/>
            <w:vAlign w:val="bottom"/>
            <w:hideMark/>
          </w:tcPr>
          <w:p w14:paraId="58BB4522"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0.005</w:t>
            </w:r>
          </w:p>
        </w:tc>
      </w:tr>
      <w:tr w:rsidR="009C5ACE" w:rsidRPr="000932A9" w14:paraId="232E532A"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053CA0EC"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Normal Overtime</w:t>
            </w:r>
          </w:p>
        </w:tc>
        <w:tc>
          <w:tcPr>
            <w:tcW w:w="1524" w:type="dxa"/>
            <w:shd w:val="clear" w:color="auto" w:fill="FFFFFF" w:themeFill="background1"/>
            <w:noWrap/>
            <w:vAlign w:val="bottom"/>
            <w:hideMark/>
          </w:tcPr>
          <w:p w14:paraId="01F628AC"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-0.013</w:t>
            </w:r>
          </w:p>
        </w:tc>
        <w:tc>
          <w:tcPr>
            <w:tcW w:w="1292" w:type="dxa"/>
            <w:shd w:val="clear" w:color="auto" w:fill="FFFFFF" w:themeFill="background1"/>
            <w:noWrap/>
            <w:vAlign w:val="bottom"/>
            <w:hideMark/>
          </w:tcPr>
          <w:p w14:paraId="5B830508"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0.049</w:t>
            </w:r>
          </w:p>
        </w:tc>
        <w:tc>
          <w:tcPr>
            <w:tcW w:w="1524" w:type="dxa"/>
            <w:shd w:val="clear" w:color="auto" w:fill="FFFFFF" w:themeFill="background1"/>
            <w:noWrap/>
            <w:vAlign w:val="bottom"/>
            <w:hideMark/>
          </w:tcPr>
          <w:p w14:paraId="29B1C604"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-0.004</w:t>
            </w:r>
          </w:p>
        </w:tc>
        <w:tc>
          <w:tcPr>
            <w:tcW w:w="1292" w:type="dxa"/>
            <w:shd w:val="clear" w:color="auto" w:fill="FFFFFF" w:themeFill="background1"/>
            <w:noWrap/>
            <w:vAlign w:val="bottom"/>
            <w:hideMark/>
          </w:tcPr>
          <w:p w14:paraId="24065D19"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-0.017</w:t>
            </w:r>
          </w:p>
        </w:tc>
      </w:tr>
      <w:tr w:rsidR="009C5ACE" w:rsidRPr="000932A9" w14:paraId="08352221"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433925E2"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Union Coverage</w:t>
            </w:r>
          </w:p>
        </w:tc>
        <w:tc>
          <w:tcPr>
            <w:tcW w:w="1524" w:type="dxa"/>
            <w:shd w:val="clear" w:color="auto" w:fill="FFFFFF" w:themeFill="background1"/>
            <w:noWrap/>
            <w:vAlign w:val="bottom"/>
            <w:hideMark/>
          </w:tcPr>
          <w:p w14:paraId="026F2EB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0.004</w:t>
            </w:r>
          </w:p>
        </w:tc>
        <w:tc>
          <w:tcPr>
            <w:tcW w:w="1292" w:type="dxa"/>
            <w:shd w:val="clear" w:color="auto" w:fill="FFFFFF" w:themeFill="background1"/>
            <w:noWrap/>
            <w:vAlign w:val="bottom"/>
            <w:hideMark/>
          </w:tcPr>
          <w:p w14:paraId="7E5FCD43"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-0.029</w:t>
            </w:r>
          </w:p>
        </w:tc>
        <w:tc>
          <w:tcPr>
            <w:tcW w:w="1524" w:type="dxa"/>
            <w:shd w:val="clear" w:color="auto" w:fill="FFFFFF" w:themeFill="background1"/>
            <w:noWrap/>
            <w:vAlign w:val="bottom"/>
            <w:hideMark/>
          </w:tcPr>
          <w:p w14:paraId="0703D209"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-0.006</w:t>
            </w:r>
          </w:p>
        </w:tc>
        <w:tc>
          <w:tcPr>
            <w:tcW w:w="1292" w:type="dxa"/>
            <w:shd w:val="clear" w:color="auto" w:fill="FFFFFF" w:themeFill="background1"/>
            <w:noWrap/>
            <w:vAlign w:val="bottom"/>
            <w:hideMark/>
          </w:tcPr>
          <w:p w14:paraId="389D5E3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0.005</w:t>
            </w:r>
          </w:p>
        </w:tc>
      </w:tr>
      <w:tr w:rsidR="009C5ACE" w:rsidRPr="000932A9" w14:paraId="10C3F77B"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796B08E7"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Public Sector</w:t>
            </w:r>
          </w:p>
        </w:tc>
        <w:tc>
          <w:tcPr>
            <w:tcW w:w="1524" w:type="dxa"/>
            <w:shd w:val="clear" w:color="auto" w:fill="FFFFFF" w:themeFill="background1"/>
            <w:noWrap/>
            <w:vAlign w:val="bottom"/>
            <w:hideMark/>
          </w:tcPr>
          <w:p w14:paraId="1A41799C"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-0.007</w:t>
            </w:r>
          </w:p>
        </w:tc>
        <w:tc>
          <w:tcPr>
            <w:tcW w:w="1292" w:type="dxa"/>
            <w:shd w:val="clear" w:color="auto" w:fill="FFFFFF" w:themeFill="background1"/>
            <w:noWrap/>
            <w:vAlign w:val="bottom"/>
            <w:hideMark/>
          </w:tcPr>
          <w:p w14:paraId="5CE31A88"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0.039</w:t>
            </w:r>
          </w:p>
        </w:tc>
        <w:tc>
          <w:tcPr>
            <w:tcW w:w="1524" w:type="dxa"/>
            <w:shd w:val="clear" w:color="auto" w:fill="FFFFFF" w:themeFill="background1"/>
            <w:noWrap/>
            <w:vAlign w:val="bottom"/>
            <w:hideMark/>
          </w:tcPr>
          <w:p w14:paraId="553CC862"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0.036</w:t>
            </w:r>
          </w:p>
        </w:tc>
        <w:tc>
          <w:tcPr>
            <w:tcW w:w="1292" w:type="dxa"/>
            <w:shd w:val="clear" w:color="auto" w:fill="FFFFFF" w:themeFill="background1"/>
            <w:noWrap/>
            <w:vAlign w:val="bottom"/>
            <w:hideMark/>
          </w:tcPr>
          <w:p w14:paraId="17E03E55"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0.072</w:t>
            </w:r>
          </w:p>
        </w:tc>
      </w:tr>
      <w:tr w:rsidR="009C5ACE" w:rsidRPr="000932A9" w14:paraId="6939F29F"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48F9F0CA"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Temporary Contract</w:t>
            </w:r>
          </w:p>
        </w:tc>
        <w:tc>
          <w:tcPr>
            <w:tcW w:w="1524" w:type="dxa"/>
            <w:shd w:val="clear" w:color="auto" w:fill="FFFFFF" w:themeFill="background1"/>
            <w:noWrap/>
            <w:vAlign w:val="bottom"/>
            <w:hideMark/>
          </w:tcPr>
          <w:p w14:paraId="37975DAF"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0.003</w:t>
            </w:r>
          </w:p>
        </w:tc>
        <w:tc>
          <w:tcPr>
            <w:tcW w:w="1292" w:type="dxa"/>
            <w:shd w:val="clear" w:color="auto" w:fill="FFFFFF" w:themeFill="background1"/>
            <w:noWrap/>
            <w:vAlign w:val="bottom"/>
            <w:hideMark/>
          </w:tcPr>
          <w:p w14:paraId="44F1D66B"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524" w:type="dxa"/>
            <w:shd w:val="clear" w:color="auto" w:fill="FFFFFF" w:themeFill="background1"/>
            <w:noWrap/>
            <w:vAlign w:val="bottom"/>
            <w:hideMark/>
          </w:tcPr>
          <w:p w14:paraId="3E9E4973"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hideMark/>
          </w:tcPr>
          <w:p w14:paraId="597499B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-0.009</w:t>
            </w:r>
          </w:p>
        </w:tc>
      </w:tr>
      <w:tr w:rsidR="009C5ACE" w:rsidRPr="000932A9" w14:paraId="32D80E1F"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6F1DA23D"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Manager/Supervisor</w:t>
            </w:r>
          </w:p>
        </w:tc>
        <w:tc>
          <w:tcPr>
            <w:tcW w:w="1524" w:type="dxa"/>
            <w:shd w:val="clear" w:color="auto" w:fill="FFFFFF" w:themeFill="background1"/>
            <w:noWrap/>
            <w:vAlign w:val="bottom"/>
            <w:hideMark/>
          </w:tcPr>
          <w:p w14:paraId="5EE5EE40"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-0.015</w:t>
            </w:r>
          </w:p>
        </w:tc>
        <w:tc>
          <w:tcPr>
            <w:tcW w:w="1292" w:type="dxa"/>
            <w:shd w:val="clear" w:color="auto" w:fill="FFFFFF" w:themeFill="background1"/>
            <w:noWrap/>
            <w:vAlign w:val="bottom"/>
            <w:hideMark/>
          </w:tcPr>
          <w:p w14:paraId="35F20343"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0.036</w:t>
            </w:r>
          </w:p>
        </w:tc>
        <w:tc>
          <w:tcPr>
            <w:tcW w:w="1524" w:type="dxa"/>
            <w:shd w:val="clear" w:color="auto" w:fill="FFFFFF" w:themeFill="background1"/>
            <w:noWrap/>
            <w:vAlign w:val="bottom"/>
            <w:hideMark/>
          </w:tcPr>
          <w:p w14:paraId="447B834A"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51688C37"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-0.035</w:t>
            </w:r>
          </w:p>
        </w:tc>
      </w:tr>
      <w:tr w:rsidR="009C5ACE" w:rsidRPr="000932A9" w14:paraId="36F55E89"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25A28392"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Firm Size 50-99</w:t>
            </w:r>
          </w:p>
        </w:tc>
        <w:tc>
          <w:tcPr>
            <w:tcW w:w="1524" w:type="dxa"/>
            <w:shd w:val="clear" w:color="auto" w:fill="FFFFFF" w:themeFill="background1"/>
            <w:noWrap/>
            <w:vAlign w:val="bottom"/>
            <w:hideMark/>
          </w:tcPr>
          <w:p w14:paraId="669E3661"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hideMark/>
          </w:tcPr>
          <w:p w14:paraId="5E9905DF"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-0.019</w:t>
            </w:r>
          </w:p>
        </w:tc>
        <w:tc>
          <w:tcPr>
            <w:tcW w:w="1524" w:type="dxa"/>
            <w:shd w:val="clear" w:color="auto" w:fill="FFFFFF" w:themeFill="background1"/>
            <w:noWrap/>
            <w:vAlign w:val="bottom"/>
            <w:hideMark/>
          </w:tcPr>
          <w:p w14:paraId="5E91EDF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hideMark/>
          </w:tcPr>
          <w:p w14:paraId="1F6313A5"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-0.024</w:t>
            </w:r>
          </w:p>
        </w:tc>
      </w:tr>
      <w:tr w:rsidR="009C5ACE" w:rsidRPr="000932A9" w14:paraId="1305BC51"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7E386D15"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Size 100-499</w:t>
            </w:r>
          </w:p>
        </w:tc>
        <w:tc>
          <w:tcPr>
            <w:tcW w:w="1524" w:type="dxa"/>
            <w:shd w:val="clear" w:color="auto" w:fill="FFFFFF" w:themeFill="background1"/>
            <w:noWrap/>
            <w:vAlign w:val="bottom"/>
            <w:hideMark/>
          </w:tcPr>
          <w:p w14:paraId="55BDAB20"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0.008</w:t>
            </w:r>
          </w:p>
        </w:tc>
        <w:tc>
          <w:tcPr>
            <w:tcW w:w="1292" w:type="dxa"/>
            <w:shd w:val="clear" w:color="auto" w:fill="FFFFFF" w:themeFill="background1"/>
            <w:noWrap/>
            <w:vAlign w:val="bottom"/>
            <w:hideMark/>
          </w:tcPr>
          <w:p w14:paraId="685AC510"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-0.074</w:t>
            </w:r>
          </w:p>
        </w:tc>
        <w:tc>
          <w:tcPr>
            <w:tcW w:w="1524" w:type="dxa"/>
            <w:shd w:val="clear" w:color="auto" w:fill="FFFFFF" w:themeFill="background1"/>
            <w:noWrap/>
            <w:vAlign w:val="bottom"/>
            <w:hideMark/>
          </w:tcPr>
          <w:p w14:paraId="65E78B9F"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0.005</w:t>
            </w:r>
          </w:p>
        </w:tc>
        <w:tc>
          <w:tcPr>
            <w:tcW w:w="1292" w:type="dxa"/>
            <w:shd w:val="clear" w:color="auto" w:fill="FFFFFF" w:themeFill="background1"/>
            <w:noWrap/>
            <w:vAlign w:val="bottom"/>
            <w:hideMark/>
          </w:tcPr>
          <w:p w14:paraId="7EE42FAB"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-0.039</w:t>
            </w:r>
          </w:p>
        </w:tc>
      </w:tr>
      <w:tr w:rsidR="009C5ACE" w:rsidRPr="000932A9" w14:paraId="3DAB6254"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hideMark/>
          </w:tcPr>
          <w:p w14:paraId="5E163961"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Size 500+</w:t>
            </w:r>
          </w:p>
        </w:tc>
        <w:tc>
          <w:tcPr>
            <w:tcW w:w="1524" w:type="dxa"/>
            <w:shd w:val="clear" w:color="auto" w:fill="FFFFFF" w:themeFill="background1"/>
            <w:noWrap/>
            <w:vAlign w:val="bottom"/>
            <w:hideMark/>
          </w:tcPr>
          <w:p w14:paraId="15A422CC"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0.015</w:t>
            </w:r>
          </w:p>
        </w:tc>
        <w:tc>
          <w:tcPr>
            <w:tcW w:w="1292" w:type="dxa"/>
            <w:shd w:val="clear" w:color="auto" w:fill="FFFFFF" w:themeFill="background1"/>
            <w:noWrap/>
            <w:vAlign w:val="bottom"/>
            <w:hideMark/>
          </w:tcPr>
          <w:p w14:paraId="54D79671"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0.013</w:t>
            </w:r>
          </w:p>
        </w:tc>
        <w:tc>
          <w:tcPr>
            <w:tcW w:w="1524" w:type="dxa"/>
            <w:shd w:val="clear" w:color="auto" w:fill="FFFFFF" w:themeFill="background1"/>
            <w:noWrap/>
            <w:vAlign w:val="bottom"/>
            <w:hideMark/>
          </w:tcPr>
          <w:p w14:paraId="715450D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0.002</w:t>
            </w:r>
          </w:p>
        </w:tc>
        <w:tc>
          <w:tcPr>
            <w:tcW w:w="1292" w:type="dxa"/>
            <w:shd w:val="clear" w:color="auto" w:fill="FFFFFF" w:themeFill="background1"/>
            <w:noWrap/>
            <w:vAlign w:val="bottom"/>
            <w:hideMark/>
          </w:tcPr>
          <w:p w14:paraId="4AAF2F03"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-0.023</w:t>
            </w:r>
          </w:p>
        </w:tc>
      </w:tr>
      <w:tr w:rsidR="009C5ACE" w:rsidRPr="000932A9" w14:paraId="4F89A548"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72E7FAFE"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General Health</w:t>
            </w:r>
          </w:p>
        </w:tc>
        <w:tc>
          <w:tcPr>
            <w:tcW w:w="1524" w:type="dxa"/>
            <w:shd w:val="clear" w:color="auto" w:fill="FFFFFF" w:themeFill="background1"/>
            <w:noWrap/>
            <w:vAlign w:val="bottom"/>
          </w:tcPr>
          <w:p w14:paraId="4894D13E"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-0.023</w:t>
            </w:r>
          </w:p>
        </w:tc>
        <w:tc>
          <w:tcPr>
            <w:tcW w:w="1292" w:type="dxa"/>
            <w:shd w:val="clear" w:color="auto" w:fill="FFFFFF" w:themeFill="background1"/>
            <w:noWrap/>
            <w:vAlign w:val="bottom"/>
          </w:tcPr>
          <w:p w14:paraId="102C11D1"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0.089</w:t>
            </w:r>
          </w:p>
        </w:tc>
        <w:tc>
          <w:tcPr>
            <w:tcW w:w="1524" w:type="dxa"/>
            <w:shd w:val="clear" w:color="auto" w:fill="FFFFFF" w:themeFill="background1"/>
            <w:noWrap/>
            <w:vAlign w:val="bottom"/>
          </w:tcPr>
          <w:p w14:paraId="540B1BA2"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tcPr>
          <w:p w14:paraId="492FF2FD"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-0.010</w:t>
            </w:r>
          </w:p>
        </w:tc>
      </w:tr>
      <w:tr w:rsidR="009C5ACE" w:rsidRPr="000932A9" w14:paraId="04F99B06"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6E969F08"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Travel Time</w:t>
            </w:r>
          </w:p>
        </w:tc>
        <w:tc>
          <w:tcPr>
            <w:tcW w:w="1524" w:type="dxa"/>
            <w:shd w:val="clear" w:color="auto" w:fill="FFFFFF" w:themeFill="background1"/>
            <w:noWrap/>
            <w:vAlign w:val="bottom"/>
          </w:tcPr>
          <w:p w14:paraId="235FFAFB"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0.009</w:t>
            </w:r>
          </w:p>
        </w:tc>
        <w:tc>
          <w:tcPr>
            <w:tcW w:w="1292" w:type="dxa"/>
            <w:shd w:val="clear" w:color="auto" w:fill="FFFFFF" w:themeFill="background1"/>
            <w:noWrap/>
            <w:vAlign w:val="bottom"/>
          </w:tcPr>
          <w:p w14:paraId="342C3970"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0.020</w:t>
            </w:r>
          </w:p>
        </w:tc>
        <w:tc>
          <w:tcPr>
            <w:tcW w:w="1524" w:type="dxa"/>
            <w:shd w:val="clear" w:color="auto" w:fill="FFFFFF" w:themeFill="background1"/>
            <w:noWrap/>
            <w:vAlign w:val="bottom"/>
          </w:tcPr>
          <w:p w14:paraId="3E082E8B"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0.004</w:t>
            </w:r>
          </w:p>
        </w:tc>
        <w:tc>
          <w:tcPr>
            <w:tcW w:w="1292" w:type="dxa"/>
            <w:shd w:val="clear" w:color="auto" w:fill="FFFFFF" w:themeFill="background1"/>
            <w:noWrap/>
            <w:vAlign w:val="bottom"/>
          </w:tcPr>
          <w:p w14:paraId="5AEE59D8"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0.006</w:t>
            </w:r>
          </w:p>
        </w:tc>
      </w:tr>
      <w:tr w:rsidR="009C5ACE" w:rsidRPr="000932A9" w14:paraId="40AF3084"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76BCE9B4"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Performance Pay</w:t>
            </w:r>
          </w:p>
        </w:tc>
        <w:tc>
          <w:tcPr>
            <w:tcW w:w="1524" w:type="dxa"/>
            <w:shd w:val="clear" w:color="auto" w:fill="FFFFFF" w:themeFill="background1"/>
            <w:noWrap/>
            <w:vAlign w:val="bottom"/>
          </w:tcPr>
          <w:p w14:paraId="485E84E4"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-0.009</w:t>
            </w:r>
          </w:p>
        </w:tc>
        <w:tc>
          <w:tcPr>
            <w:tcW w:w="1292" w:type="dxa"/>
            <w:shd w:val="clear" w:color="auto" w:fill="FFFFFF" w:themeFill="background1"/>
            <w:noWrap/>
            <w:vAlign w:val="bottom"/>
          </w:tcPr>
          <w:p w14:paraId="6D1D0B3F"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0.039</w:t>
            </w:r>
          </w:p>
        </w:tc>
        <w:tc>
          <w:tcPr>
            <w:tcW w:w="1524" w:type="dxa"/>
            <w:shd w:val="clear" w:color="auto" w:fill="FFFFFF" w:themeFill="background1"/>
            <w:noWrap/>
            <w:vAlign w:val="bottom"/>
          </w:tcPr>
          <w:p w14:paraId="44E820F8"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-0.006</w:t>
            </w:r>
          </w:p>
        </w:tc>
        <w:tc>
          <w:tcPr>
            <w:tcW w:w="1292" w:type="dxa"/>
            <w:shd w:val="clear" w:color="auto" w:fill="FFFFFF" w:themeFill="background1"/>
            <w:noWrap/>
            <w:vAlign w:val="bottom"/>
          </w:tcPr>
          <w:p w14:paraId="18459699"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-0.016</w:t>
            </w:r>
          </w:p>
        </w:tc>
      </w:tr>
      <w:tr w:rsidR="009C5ACE" w:rsidRPr="000932A9" w14:paraId="28261BC1"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1BE515FE"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Industry Total</w:t>
            </w:r>
          </w:p>
        </w:tc>
        <w:tc>
          <w:tcPr>
            <w:tcW w:w="1524" w:type="dxa"/>
            <w:shd w:val="clear" w:color="auto" w:fill="FFFFFF" w:themeFill="background1"/>
            <w:noWrap/>
            <w:vAlign w:val="bottom"/>
          </w:tcPr>
          <w:p w14:paraId="3E89632D"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0.058</w:t>
            </w:r>
          </w:p>
        </w:tc>
        <w:tc>
          <w:tcPr>
            <w:tcW w:w="1292" w:type="dxa"/>
            <w:shd w:val="clear" w:color="auto" w:fill="FFFFFF" w:themeFill="background1"/>
            <w:noWrap/>
            <w:vAlign w:val="bottom"/>
          </w:tcPr>
          <w:p w14:paraId="37AE8E23"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Calibri" w:hAnsi="Calibri"/>
                <w:color w:val="000000"/>
              </w:rPr>
              <w:t>0.</w:t>
            </w:r>
            <w:r>
              <w:rPr>
                <w:rFonts w:ascii="Calibri" w:hAnsi="Calibri"/>
                <w:color w:val="000000"/>
              </w:rPr>
              <w:t>015</w:t>
            </w:r>
          </w:p>
        </w:tc>
        <w:tc>
          <w:tcPr>
            <w:tcW w:w="1524" w:type="dxa"/>
            <w:shd w:val="clear" w:color="auto" w:fill="FFFFFF" w:themeFill="background1"/>
            <w:noWrap/>
            <w:vAlign w:val="bottom"/>
          </w:tcPr>
          <w:p w14:paraId="62D724B2"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-0.001</w:t>
            </w:r>
          </w:p>
        </w:tc>
        <w:tc>
          <w:tcPr>
            <w:tcW w:w="1292" w:type="dxa"/>
            <w:shd w:val="clear" w:color="auto" w:fill="FFFFFF" w:themeFill="background1"/>
            <w:noWrap/>
            <w:vAlign w:val="bottom"/>
          </w:tcPr>
          <w:p w14:paraId="72A7BDB7"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054</w:t>
            </w:r>
          </w:p>
        </w:tc>
      </w:tr>
      <w:tr w:rsidR="009C5ACE" w:rsidRPr="000932A9" w14:paraId="4A72ECAE" w14:textId="77777777" w:rsidTr="009C5A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590381C5"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Occupation Total</w:t>
            </w:r>
          </w:p>
        </w:tc>
        <w:tc>
          <w:tcPr>
            <w:tcW w:w="1524" w:type="dxa"/>
            <w:shd w:val="clear" w:color="auto" w:fill="FFFFFF" w:themeFill="background1"/>
            <w:noWrap/>
            <w:vAlign w:val="bottom"/>
          </w:tcPr>
          <w:p w14:paraId="7696476B"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w:t>
            </w:r>
            <w:r w:rsidRPr="000932A9">
              <w:rPr>
                <w:rFonts w:ascii="Calibri" w:hAnsi="Calibri"/>
                <w:color w:val="000000"/>
              </w:rPr>
              <w:t>0.0</w:t>
            </w:r>
            <w:r>
              <w:rPr>
                <w:rFonts w:ascii="Calibri" w:hAnsi="Calibri"/>
                <w:color w:val="000000"/>
              </w:rPr>
              <w:t>54</w:t>
            </w:r>
          </w:p>
        </w:tc>
        <w:tc>
          <w:tcPr>
            <w:tcW w:w="1292" w:type="dxa"/>
            <w:shd w:val="clear" w:color="auto" w:fill="FFFFFF" w:themeFill="background1"/>
            <w:noWrap/>
            <w:vAlign w:val="bottom"/>
          </w:tcPr>
          <w:p w14:paraId="7E3EC070"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Calibri" w:hAnsi="Calibri"/>
                <w:color w:val="000000"/>
              </w:rPr>
              <w:t>0.</w:t>
            </w:r>
            <w:r>
              <w:rPr>
                <w:rFonts w:ascii="Calibri" w:hAnsi="Calibri"/>
                <w:color w:val="000000"/>
              </w:rPr>
              <w:t>139</w:t>
            </w:r>
          </w:p>
        </w:tc>
        <w:tc>
          <w:tcPr>
            <w:tcW w:w="1524" w:type="dxa"/>
            <w:shd w:val="clear" w:color="auto" w:fill="FFFFFF" w:themeFill="background1"/>
            <w:noWrap/>
            <w:vAlign w:val="bottom"/>
          </w:tcPr>
          <w:p w14:paraId="20EE6C9C"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-0.007</w:t>
            </w:r>
          </w:p>
        </w:tc>
        <w:tc>
          <w:tcPr>
            <w:tcW w:w="1292" w:type="dxa"/>
            <w:shd w:val="clear" w:color="auto" w:fill="FFFFFF" w:themeFill="background1"/>
            <w:noWrap/>
          </w:tcPr>
          <w:p w14:paraId="75C966A0" w14:textId="77777777" w:rsidR="009C5ACE" w:rsidRPr="000932A9" w:rsidRDefault="009C5ACE" w:rsidP="0016494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028</w:t>
            </w:r>
          </w:p>
        </w:tc>
      </w:tr>
      <w:tr w:rsidR="009C5ACE" w:rsidRPr="000932A9" w14:paraId="58DBBF71" w14:textId="77777777" w:rsidTr="009C5ACE">
        <w:trPr>
          <w:trHeight w:val="300"/>
        </w:trPr>
        <w:tc>
          <w:tcPr>
            <w:cnfStyle w:val="001000000000" w:firstRow="0" w:lastRow="0" w:firstColumn="1" w:lastColumn="0" w:oddVBand="0" w:evenVBand="0" w:oddHBand="0" w:evenHBand="0" w:firstRowFirstColumn="0" w:firstRowLastColumn="0" w:lastRowFirstColumn="0" w:lastRowLastColumn="0"/>
            <w:tcW w:w="2013" w:type="dxa"/>
            <w:shd w:val="clear" w:color="auto" w:fill="FFFFFF" w:themeFill="background1"/>
            <w:noWrap/>
          </w:tcPr>
          <w:p w14:paraId="35EEA00F" w14:textId="77777777" w:rsidR="009C5ACE" w:rsidRPr="000932A9" w:rsidRDefault="009C5ACE" w:rsidP="00164949">
            <w:pPr>
              <w:rPr>
                <w:rFonts w:ascii="Times New Roman" w:eastAsia="Times New Roman" w:hAnsi="Times New Roman" w:cs="Times New Roman"/>
                <w:b w:val="0"/>
                <w:color w:val="000000"/>
                <w:lang w:eastAsia="en-GB"/>
              </w:rPr>
            </w:pPr>
            <w:r w:rsidRPr="000932A9">
              <w:rPr>
                <w:rFonts w:ascii="Times New Roman" w:eastAsia="Times New Roman" w:hAnsi="Times New Roman" w:cs="Times New Roman"/>
                <w:b w:val="0"/>
                <w:color w:val="000000"/>
                <w:lang w:eastAsia="en-GB"/>
              </w:rPr>
              <w:t>Regional Total</w:t>
            </w:r>
          </w:p>
        </w:tc>
        <w:tc>
          <w:tcPr>
            <w:tcW w:w="1524" w:type="dxa"/>
            <w:shd w:val="clear" w:color="auto" w:fill="FFFFFF" w:themeFill="background1"/>
            <w:noWrap/>
            <w:vAlign w:val="bottom"/>
          </w:tcPr>
          <w:p w14:paraId="1E7F38EA"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w:t>
            </w:r>
            <w:r w:rsidRPr="000932A9">
              <w:rPr>
                <w:rFonts w:ascii="Calibri" w:hAnsi="Calibri"/>
                <w:color w:val="000000"/>
              </w:rPr>
              <w:t>0.00</w:t>
            </w:r>
            <w:r>
              <w:rPr>
                <w:rFonts w:ascii="Calibri" w:hAnsi="Calibri"/>
                <w:color w:val="000000"/>
              </w:rPr>
              <w:t>2</w:t>
            </w:r>
          </w:p>
        </w:tc>
        <w:tc>
          <w:tcPr>
            <w:tcW w:w="1292" w:type="dxa"/>
            <w:shd w:val="clear" w:color="auto" w:fill="FFFFFF" w:themeFill="background1"/>
            <w:noWrap/>
            <w:vAlign w:val="bottom"/>
          </w:tcPr>
          <w:p w14:paraId="11B73E34"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Calibri" w:hAnsi="Calibri"/>
                <w:color w:val="000000"/>
              </w:rPr>
              <w:t>0.</w:t>
            </w:r>
            <w:r>
              <w:rPr>
                <w:rFonts w:ascii="Calibri" w:hAnsi="Calibri"/>
                <w:color w:val="000000"/>
              </w:rPr>
              <w:t>01</w:t>
            </w:r>
            <w:r w:rsidRPr="000932A9">
              <w:rPr>
                <w:rFonts w:ascii="Calibri" w:hAnsi="Calibri"/>
                <w:color w:val="000000"/>
              </w:rPr>
              <w:t>2</w:t>
            </w:r>
          </w:p>
        </w:tc>
        <w:tc>
          <w:tcPr>
            <w:tcW w:w="1524" w:type="dxa"/>
            <w:shd w:val="clear" w:color="auto" w:fill="FFFFFF" w:themeFill="background1"/>
            <w:noWrap/>
            <w:vAlign w:val="bottom"/>
          </w:tcPr>
          <w:p w14:paraId="535AA544"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Calibri" w:hAnsi="Calibri"/>
                <w:color w:val="000000"/>
              </w:rPr>
              <w:t>-0.003</w:t>
            </w:r>
          </w:p>
        </w:tc>
        <w:tc>
          <w:tcPr>
            <w:tcW w:w="1292" w:type="dxa"/>
            <w:shd w:val="clear" w:color="auto" w:fill="FFFFFF" w:themeFill="background1"/>
            <w:noWrap/>
          </w:tcPr>
          <w:p w14:paraId="57830821" w14:textId="77777777" w:rsidR="009C5ACE" w:rsidRPr="000932A9" w:rsidRDefault="009C5ACE" w:rsidP="0016494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0932A9">
              <w:rPr>
                <w:rFonts w:ascii="Times New Roman" w:eastAsia="Times New Roman" w:hAnsi="Times New Roman" w:cs="Times New Roman"/>
                <w:color w:val="000000"/>
                <w:lang w:eastAsia="en-GB"/>
              </w:rPr>
              <w:t>0.</w:t>
            </w:r>
            <w:r>
              <w:rPr>
                <w:rFonts w:ascii="Times New Roman" w:eastAsia="Times New Roman" w:hAnsi="Times New Roman" w:cs="Times New Roman"/>
                <w:color w:val="000000"/>
                <w:lang w:eastAsia="en-GB"/>
              </w:rPr>
              <w:t>007</w:t>
            </w:r>
          </w:p>
        </w:tc>
      </w:tr>
    </w:tbl>
    <w:p w14:paraId="014C29A5" w14:textId="12FE3C9F" w:rsidR="00164949" w:rsidRPr="000932A9" w:rsidRDefault="00164949" w:rsidP="00164949">
      <w:pPr>
        <w:rPr>
          <w:rFonts w:ascii="Garamond" w:hAnsi="Garamond"/>
        </w:rPr>
      </w:pPr>
      <w:r w:rsidRPr="000932A9">
        <w:rPr>
          <w:rFonts w:ascii="Garamond" w:hAnsi="Garamond"/>
          <w:b/>
        </w:rPr>
        <w:t>Table 7</w:t>
      </w:r>
      <w:r w:rsidRPr="000932A9">
        <w:rPr>
          <w:rFonts w:ascii="Garamond" w:hAnsi="Garamond"/>
        </w:rPr>
        <w:t>: Detailed D</w:t>
      </w:r>
      <w:r w:rsidR="009C5ACE">
        <w:rPr>
          <w:rFonts w:ascii="Garamond" w:hAnsi="Garamond"/>
        </w:rPr>
        <w:t>ecomposition Results, 1991</w:t>
      </w:r>
      <w:r w:rsidRPr="000932A9">
        <w:rPr>
          <w:rFonts w:ascii="Garamond" w:hAnsi="Garamond"/>
        </w:rPr>
        <w:t xml:space="preserve"> and 201</w:t>
      </w:r>
      <w:r w:rsidR="009C5ACE">
        <w:rPr>
          <w:rFonts w:ascii="Garamond" w:hAnsi="Garamond"/>
        </w:rPr>
        <w:t>2-1</w:t>
      </w:r>
      <w:r w:rsidRPr="000932A9">
        <w:rPr>
          <w:rFonts w:ascii="Garamond" w:hAnsi="Garamond"/>
        </w:rPr>
        <w:t>4</w:t>
      </w:r>
    </w:p>
    <w:tbl>
      <w:tblPr>
        <w:tblW w:w="3840" w:type="dxa"/>
        <w:tblInd w:w="93" w:type="dxa"/>
        <w:tblLook w:val="04A0" w:firstRow="1" w:lastRow="0" w:firstColumn="1" w:lastColumn="0" w:noHBand="0" w:noVBand="1"/>
      </w:tblPr>
      <w:tblGrid>
        <w:gridCol w:w="960"/>
        <w:gridCol w:w="960"/>
        <w:gridCol w:w="960"/>
        <w:gridCol w:w="960"/>
      </w:tblGrid>
      <w:tr w:rsidR="00164949" w:rsidRPr="000932A9" w14:paraId="262D792A" w14:textId="77777777" w:rsidTr="00164949">
        <w:trPr>
          <w:trHeight w:val="300"/>
        </w:trPr>
        <w:tc>
          <w:tcPr>
            <w:tcW w:w="960" w:type="dxa"/>
            <w:tcBorders>
              <w:top w:val="nil"/>
              <w:left w:val="nil"/>
              <w:bottom w:val="nil"/>
              <w:right w:val="nil"/>
            </w:tcBorders>
            <w:shd w:val="clear" w:color="auto" w:fill="auto"/>
            <w:noWrap/>
            <w:vAlign w:val="bottom"/>
          </w:tcPr>
          <w:p w14:paraId="61E65F61" w14:textId="77777777" w:rsidR="00164949" w:rsidRPr="000932A9" w:rsidRDefault="00164949" w:rsidP="00164949">
            <w:pPr>
              <w:jc w:val="right"/>
              <w:rPr>
                <w:rFonts w:ascii="Calibri" w:hAnsi="Calibri"/>
                <w:color w:val="000000"/>
              </w:rPr>
            </w:pPr>
          </w:p>
        </w:tc>
        <w:tc>
          <w:tcPr>
            <w:tcW w:w="960" w:type="dxa"/>
            <w:tcBorders>
              <w:top w:val="nil"/>
              <w:left w:val="nil"/>
              <w:bottom w:val="nil"/>
              <w:right w:val="nil"/>
            </w:tcBorders>
            <w:shd w:val="clear" w:color="auto" w:fill="auto"/>
            <w:noWrap/>
            <w:vAlign w:val="bottom"/>
          </w:tcPr>
          <w:p w14:paraId="5DE5EE2B" w14:textId="77777777" w:rsidR="00164949" w:rsidRPr="000932A9" w:rsidRDefault="00164949" w:rsidP="00164949">
            <w:pPr>
              <w:jc w:val="right"/>
              <w:rPr>
                <w:rFonts w:ascii="Calibri" w:hAnsi="Calibri"/>
                <w:color w:val="000000"/>
              </w:rPr>
            </w:pPr>
          </w:p>
        </w:tc>
        <w:tc>
          <w:tcPr>
            <w:tcW w:w="960" w:type="dxa"/>
            <w:tcBorders>
              <w:top w:val="nil"/>
              <w:left w:val="nil"/>
              <w:bottom w:val="nil"/>
              <w:right w:val="nil"/>
            </w:tcBorders>
            <w:shd w:val="clear" w:color="auto" w:fill="auto"/>
            <w:noWrap/>
            <w:vAlign w:val="bottom"/>
          </w:tcPr>
          <w:p w14:paraId="58EEDC6F" w14:textId="77777777" w:rsidR="00164949" w:rsidRPr="000932A9" w:rsidRDefault="00164949" w:rsidP="00164949">
            <w:pPr>
              <w:jc w:val="right"/>
              <w:rPr>
                <w:rFonts w:ascii="Calibri" w:hAnsi="Calibri"/>
                <w:color w:val="000000"/>
              </w:rPr>
            </w:pPr>
          </w:p>
        </w:tc>
        <w:tc>
          <w:tcPr>
            <w:tcW w:w="960" w:type="dxa"/>
            <w:tcBorders>
              <w:top w:val="nil"/>
              <w:left w:val="nil"/>
              <w:bottom w:val="nil"/>
              <w:right w:val="nil"/>
            </w:tcBorders>
            <w:shd w:val="clear" w:color="auto" w:fill="auto"/>
            <w:noWrap/>
            <w:vAlign w:val="bottom"/>
          </w:tcPr>
          <w:p w14:paraId="5E8B6EFB" w14:textId="77777777" w:rsidR="00164949" w:rsidRPr="000932A9" w:rsidRDefault="00164949" w:rsidP="00164949">
            <w:pPr>
              <w:jc w:val="right"/>
              <w:rPr>
                <w:rFonts w:ascii="Calibri" w:hAnsi="Calibri"/>
                <w:color w:val="000000"/>
              </w:rPr>
            </w:pPr>
          </w:p>
        </w:tc>
      </w:tr>
    </w:tbl>
    <w:p w14:paraId="345C2037" w14:textId="5E164952" w:rsidR="00D000EC" w:rsidRPr="000932A9" w:rsidRDefault="00D000EC">
      <w:pPr>
        <w:rPr>
          <w:rFonts w:ascii="Garamond" w:hAnsi="Garamond"/>
        </w:rPr>
      </w:pPr>
    </w:p>
    <w:p w14:paraId="650F2E87" w14:textId="77777777" w:rsidR="00AE451D" w:rsidRPr="000932A9" w:rsidRDefault="00AE451D">
      <w:pPr>
        <w:rPr>
          <w:rFonts w:ascii="Garamond" w:hAnsi="Garamond"/>
          <w:b/>
        </w:rPr>
        <w:sectPr w:rsidR="00AE451D" w:rsidRPr="000932A9" w:rsidSect="00AE451D">
          <w:footerReference w:type="default" r:id="rId10"/>
          <w:footerReference w:type="first" r:id="rId11"/>
          <w:pgSz w:w="16838" w:h="11906" w:orient="landscape"/>
          <w:pgMar w:top="1440" w:right="1440" w:bottom="1440" w:left="1440" w:header="708" w:footer="708" w:gutter="0"/>
          <w:cols w:space="708"/>
          <w:titlePg/>
          <w:docGrid w:linePitch="360"/>
        </w:sectPr>
      </w:pPr>
    </w:p>
    <w:p w14:paraId="71E88493" w14:textId="36EE6FB4" w:rsidR="004563A4" w:rsidRDefault="008A5364" w:rsidP="008A5364">
      <w:pPr>
        <w:pStyle w:val="Caption"/>
        <w:rPr>
          <w:noProof/>
          <w:color w:val="auto"/>
          <w:sz w:val="22"/>
          <w:szCs w:val="22"/>
          <w:lang w:eastAsia="en-GB"/>
        </w:rPr>
      </w:pPr>
      <w:r w:rsidRPr="002105C9">
        <w:rPr>
          <w:color w:val="auto"/>
          <w:sz w:val="22"/>
          <w:szCs w:val="22"/>
        </w:rPr>
        <w:lastRenderedPageBreak/>
        <w:t xml:space="preserve">Figure </w:t>
      </w:r>
      <w:r w:rsidRPr="002105C9">
        <w:rPr>
          <w:color w:val="auto"/>
          <w:sz w:val="22"/>
          <w:szCs w:val="22"/>
        </w:rPr>
        <w:fldChar w:fldCharType="begin"/>
      </w:r>
      <w:r w:rsidRPr="002105C9">
        <w:rPr>
          <w:color w:val="auto"/>
          <w:sz w:val="22"/>
          <w:szCs w:val="22"/>
        </w:rPr>
        <w:instrText xml:space="preserve"> SEQ Figure \* ARABIC </w:instrText>
      </w:r>
      <w:r w:rsidRPr="002105C9">
        <w:rPr>
          <w:color w:val="auto"/>
          <w:sz w:val="22"/>
          <w:szCs w:val="22"/>
        </w:rPr>
        <w:fldChar w:fldCharType="separate"/>
      </w:r>
      <w:r w:rsidR="005F675C">
        <w:rPr>
          <w:noProof/>
          <w:color w:val="auto"/>
          <w:sz w:val="22"/>
          <w:szCs w:val="22"/>
        </w:rPr>
        <w:t>1</w:t>
      </w:r>
      <w:r w:rsidRPr="002105C9">
        <w:rPr>
          <w:color w:val="auto"/>
          <w:sz w:val="22"/>
          <w:szCs w:val="22"/>
        </w:rPr>
        <w:fldChar w:fldCharType="end"/>
      </w:r>
      <w:r w:rsidRPr="002105C9">
        <w:rPr>
          <w:color w:val="auto"/>
          <w:sz w:val="22"/>
          <w:szCs w:val="22"/>
        </w:rPr>
        <w:t xml:space="preserve"> Average Job Satisfaction, Males and Females 1991-2015, BHPS and US</w:t>
      </w:r>
      <w:r w:rsidR="00937193" w:rsidRPr="002105C9">
        <w:rPr>
          <w:color w:val="auto"/>
          <w:sz w:val="22"/>
          <w:szCs w:val="22"/>
        </w:rPr>
        <w:t xml:space="preserve"> (BHPS Subsample)</w:t>
      </w:r>
      <w:r w:rsidR="002D7D89" w:rsidRPr="002105C9">
        <w:rPr>
          <w:noProof/>
          <w:color w:val="auto"/>
          <w:sz w:val="22"/>
          <w:szCs w:val="22"/>
          <w:lang w:eastAsia="en-GB"/>
        </w:rPr>
        <w:t xml:space="preserve"> </w:t>
      </w:r>
    </w:p>
    <w:p w14:paraId="1278EA6E" w14:textId="311AF2FC" w:rsidR="008A5364" w:rsidRPr="000932A9" w:rsidRDefault="00152036" w:rsidP="008A5364">
      <w:pPr>
        <w:pStyle w:val="Caption"/>
        <w:rPr>
          <w:sz w:val="22"/>
          <w:szCs w:val="22"/>
        </w:rPr>
      </w:pPr>
      <w:r>
        <w:rPr>
          <w:noProof/>
          <w:lang w:val="nb-NO" w:eastAsia="nb-NO"/>
        </w:rPr>
        <w:drawing>
          <wp:inline distT="0" distB="0" distL="0" distR="0" wp14:anchorId="30CBA607" wp14:editId="6C9B52C1">
            <wp:extent cx="5731510" cy="3868769"/>
            <wp:effectExtent l="0" t="0" r="254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C63B54" w14:textId="77777777" w:rsidR="008A5364" w:rsidRPr="000932A9" w:rsidRDefault="008A5364" w:rsidP="008A5364">
      <w:pPr>
        <w:keepNext/>
      </w:pPr>
    </w:p>
    <w:p w14:paraId="26DED64A" w14:textId="77777777" w:rsidR="0072488D" w:rsidRPr="000932A9" w:rsidRDefault="0072488D" w:rsidP="0072488D"/>
    <w:p w14:paraId="4DCFA761" w14:textId="77777777" w:rsidR="00DC2603" w:rsidRPr="000932A9" w:rsidRDefault="00DC2603">
      <w:pPr>
        <w:rPr>
          <w:rFonts w:ascii="Garamond" w:hAnsi="Garamond"/>
        </w:rPr>
      </w:pPr>
      <w:r w:rsidRPr="000932A9">
        <w:rPr>
          <w:rFonts w:ascii="Garamond" w:hAnsi="Garamond"/>
        </w:rPr>
        <w:br w:type="page"/>
      </w:r>
    </w:p>
    <w:p w14:paraId="32550D8E" w14:textId="77777777" w:rsidR="0072488D" w:rsidRPr="000932A9" w:rsidRDefault="0072488D" w:rsidP="00F50FE6">
      <w:pPr>
        <w:rPr>
          <w:rFonts w:ascii="Garamond" w:hAnsi="Garamond"/>
        </w:rPr>
      </w:pPr>
    </w:p>
    <w:p w14:paraId="03F5C7D9" w14:textId="77777777" w:rsidR="00DC2603" w:rsidRPr="000932A9" w:rsidRDefault="00DC2603" w:rsidP="00DC2603">
      <w:pPr>
        <w:rPr>
          <w:rFonts w:ascii="Times New Roman" w:hAnsi="Times New Roman" w:cs="Times New Roman"/>
        </w:rPr>
      </w:pPr>
      <w:r w:rsidRPr="000932A9">
        <w:rPr>
          <w:rFonts w:ascii="Times New Roman" w:hAnsi="Times New Roman" w:cs="Times New Roman"/>
          <w:b/>
        </w:rPr>
        <w:t>FIGURE 2</w:t>
      </w:r>
      <w:r w:rsidRPr="000932A9">
        <w:rPr>
          <w:rFonts w:ascii="Times New Roman" w:hAnsi="Times New Roman" w:cs="Times New Roman"/>
        </w:rPr>
        <w:t xml:space="preserve"> – Estimated Unexplained Gender Gap in Satisfaction 1991-201</w:t>
      </w:r>
      <w:r w:rsidR="001640AF" w:rsidRPr="000932A9">
        <w:rPr>
          <w:rFonts w:ascii="Times New Roman" w:hAnsi="Times New Roman" w:cs="Times New Roman"/>
        </w:rPr>
        <w:t>4</w:t>
      </w:r>
      <w:r w:rsidRPr="000932A9">
        <w:rPr>
          <w:rFonts w:ascii="Times New Roman" w:hAnsi="Times New Roman" w:cs="Times New Roman"/>
        </w:rPr>
        <w:t>, BHPS and US</w:t>
      </w:r>
      <w:r w:rsidR="004F4E59" w:rsidRPr="000932A9">
        <w:rPr>
          <w:rFonts w:ascii="Times New Roman" w:hAnsi="Times New Roman" w:cs="Times New Roman"/>
        </w:rPr>
        <w:t xml:space="preserve"> (BHPS Subsample) </w:t>
      </w:r>
    </w:p>
    <w:p w14:paraId="07007959" w14:textId="77777777" w:rsidR="00EA6C0A" w:rsidRPr="000932A9" w:rsidRDefault="00D20181" w:rsidP="00DC2603">
      <w:pPr>
        <w:rPr>
          <w:rFonts w:ascii="Times New Roman" w:hAnsi="Times New Roman" w:cs="Times New Roman"/>
        </w:rPr>
      </w:pPr>
      <w:r w:rsidRPr="000932A9">
        <w:rPr>
          <w:noProof/>
          <w:lang w:val="nb-NO" w:eastAsia="nb-NO"/>
        </w:rPr>
        <w:drawing>
          <wp:inline distT="0" distB="0" distL="0" distR="0" wp14:anchorId="030FE1A8" wp14:editId="3BD0417E">
            <wp:extent cx="5731510" cy="3889589"/>
            <wp:effectExtent l="0" t="0" r="254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3BF092" w14:textId="77777777" w:rsidR="00DC2603" w:rsidRPr="000932A9" w:rsidRDefault="00DC2603" w:rsidP="00F50FE6">
      <w:pPr>
        <w:rPr>
          <w:rFonts w:ascii="Garamond" w:hAnsi="Garamond"/>
        </w:rPr>
      </w:pPr>
    </w:p>
    <w:p w14:paraId="6E88F571" w14:textId="1106104D" w:rsidR="00DC2603" w:rsidRPr="000932A9" w:rsidRDefault="007677EF" w:rsidP="00F50FE6">
      <w:pPr>
        <w:rPr>
          <w:rFonts w:ascii="Garamond" w:hAnsi="Garamond"/>
        </w:rPr>
      </w:pPr>
      <w:r w:rsidRPr="000932A9">
        <w:rPr>
          <w:rFonts w:ascii="Garamond" w:hAnsi="Garamond"/>
        </w:rPr>
        <w:t xml:space="preserve">Note: </w:t>
      </w:r>
      <w:r w:rsidR="00DC2603" w:rsidRPr="000932A9">
        <w:rPr>
          <w:rFonts w:ascii="Garamond" w:hAnsi="Garamond"/>
        </w:rPr>
        <w:t>The coefficient</w:t>
      </w:r>
      <w:r w:rsidR="00575A4E" w:rsidRPr="000932A9">
        <w:rPr>
          <w:rFonts w:ascii="Garamond" w:hAnsi="Garamond"/>
        </w:rPr>
        <w:t>s and the 95 percent</w:t>
      </w:r>
      <w:r w:rsidR="00A422AF" w:rsidRPr="000932A9">
        <w:rPr>
          <w:rFonts w:ascii="Garamond" w:hAnsi="Garamond"/>
        </w:rPr>
        <w:t xml:space="preserve"> confidence interval come from </w:t>
      </w:r>
      <w:r w:rsidR="00920035">
        <w:rPr>
          <w:rFonts w:ascii="Garamond" w:hAnsi="Garamond"/>
        </w:rPr>
        <w:t xml:space="preserve">a single </w:t>
      </w:r>
      <w:r w:rsidR="00575A4E" w:rsidRPr="000932A9">
        <w:rPr>
          <w:rFonts w:ascii="Garamond" w:hAnsi="Garamond"/>
        </w:rPr>
        <w:t>linear regressions estimated sep</w:t>
      </w:r>
      <w:r w:rsidR="00920035">
        <w:rPr>
          <w:rFonts w:ascii="Garamond" w:hAnsi="Garamond"/>
        </w:rPr>
        <w:t xml:space="preserve">arately for each year. The </w:t>
      </w:r>
      <w:r w:rsidR="00DC2603" w:rsidRPr="000932A9">
        <w:rPr>
          <w:rFonts w:ascii="Garamond" w:hAnsi="Garamond"/>
        </w:rPr>
        <w:t xml:space="preserve">specifications include all controls from column 2 of Table </w:t>
      </w:r>
      <w:r w:rsidR="00EA6C0A" w:rsidRPr="000932A9">
        <w:rPr>
          <w:rFonts w:ascii="Garamond" w:hAnsi="Garamond"/>
        </w:rPr>
        <w:t>1.</w:t>
      </w:r>
    </w:p>
    <w:p w14:paraId="173CD92E" w14:textId="77777777" w:rsidR="0093627F" w:rsidRPr="000932A9" w:rsidRDefault="0093627F" w:rsidP="00DC2603">
      <w:pPr>
        <w:pStyle w:val="ListParagraph"/>
        <w:spacing w:line="360" w:lineRule="auto"/>
        <w:ind w:left="1080"/>
        <w:rPr>
          <w:rFonts w:ascii="Garamond" w:hAnsi="Garamond"/>
        </w:rPr>
      </w:pPr>
    </w:p>
    <w:p w14:paraId="14646732" w14:textId="77777777" w:rsidR="004970A2" w:rsidRPr="000932A9" w:rsidRDefault="004970A2" w:rsidP="004970A2">
      <w:pPr>
        <w:spacing w:line="360" w:lineRule="auto"/>
        <w:rPr>
          <w:rFonts w:ascii="Garamond" w:hAnsi="Garamond"/>
        </w:rPr>
      </w:pPr>
    </w:p>
    <w:p w14:paraId="6AD7A674" w14:textId="77777777" w:rsidR="004970A2" w:rsidRPr="000932A9" w:rsidRDefault="004970A2" w:rsidP="004970A2">
      <w:pPr>
        <w:spacing w:line="360" w:lineRule="auto"/>
        <w:rPr>
          <w:rFonts w:ascii="Garamond" w:hAnsi="Garamond"/>
        </w:rPr>
      </w:pPr>
    </w:p>
    <w:p w14:paraId="6E19A04E" w14:textId="3D718691" w:rsidR="00932ED2" w:rsidRDefault="00932ED2">
      <w:pPr>
        <w:rPr>
          <w:rFonts w:ascii="Garamond" w:hAnsi="Garamond"/>
        </w:rPr>
      </w:pPr>
      <w:r>
        <w:rPr>
          <w:rFonts w:ascii="Garamond" w:hAnsi="Garamond"/>
        </w:rPr>
        <w:br w:type="page"/>
      </w:r>
    </w:p>
    <w:p w14:paraId="4744509A" w14:textId="6CE4CB0B" w:rsidR="004970A2" w:rsidRDefault="004970A2" w:rsidP="004970A2">
      <w:pPr>
        <w:spacing w:line="360" w:lineRule="auto"/>
        <w:rPr>
          <w:rFonts w:ascii="Garamond" w:hAnsi="Garamond"/>
        </w:rPr>
      </w:pPr>
    </w:p>
    <w:p w14:paraId="7A6D0833" w14:textId="2CD0F835" w:rsidR="0099740E" w:rsidRDefault="00920035" w:rsidP="00920035">
      <w:pPr>
        <w:spacing w:line="240" w:lineRule="auto"/>
        <w:rPr>
          <w:rFonts w:ascii="Garamond" w:hAnsi="Garamond"/>
        </w:rPr>
      </w:pPr>
      <w:r w:rsidRPr="00920035">
        <w:rPr>
          <w:rFonts w:ascii="Garamond" w:hAnsi="Garamond"/>
          <w:b/>
        </w:rPr>
        <w:t xml:space="preserve">FIGURE </w:t>
      </w:r>
      <w:r w:rsidR="00BE34B0">
        <w:rPr>
          <w:rFonts w:ascii="Garamond" w:hAnsi="Garamond"/>
          <w:b/>
        </w:rPr>
        <w:t>3</w:t>
      </w:r>
      <w:r w:rsidRPr="00920035">
        <w:rPr>
          <w:rFonts w:ascii="Garamond" w:hAnsi="Garamond"/>
        </w:rPr>
        <w:t xml:space="preserve"> – Estimated Unexplained Gender Gap in Satisfaction 1991-2014, BHPS and US (BHPS Subsample) </w:t>
      </w:r>
      <w:r>
        <w:rPr>
          <w:rFonts w:ascii="Garamond" w:hAnsi="Garamond"/>
        </w:rPr>
        <w:t>from annual Decompositions</w:t>
      </w:r>
    </w:p>
    <w:p w14:paraId="204E4D26" w14:textId="6921E77F" w:rsidR="00932ED2" w:rsidRDefault="008A418C" w:rsidP="00920035">
      <w:pPr>
        <w:spacing w:line="240" w:lineRule="auto"/>
        <w:rPr>
          <w:rFonts w:ascii="Garamond" w:hAnsi="Garamond"/>
        </w:rPr>
      </w:pPr>
      <w:r>
        <w:rPr>
          <w:noProof/>
          <w:lang w:val="nb-NO" w:eastAsia="nb-NO"/>
        </w:rPr>
        <w:drawing>
          <wp:inline distT="0" distB="0" distL="0" distR="0" wp14:anchorId="54BAEFBE" wp14:editId="0A201F09">
            <wp:extent cx="5731510" cy="4432300"/>
            <wp:effectExtent l="0" t="0" r="254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613E6C" w14:textId="5D1E36AA" w:rsidR="00920035" w:rsidRPr="00920035" w:rsidRDefault="00920035" w:rsidP="00920035">
      <w:pPr>
        <w:spacing w:line="240" w:lineRule="auto"/>
        <w:rPr>
          <w:rFonts w:ascii="Garamond" w:hAnsi="Garamond"/>
        </w:rPr>
      </w:pPr>
      <w:r w:rsidRPr="00920035">
        <w:rPr>
          <w:rFonts w:ascii="Garamond" w:hAnsi="Garamond"/>
        </w:rPr>
        <w:t xml:space="preserve">Note: </w:t>
      </w:r>
      <w:r>
        <w:rPr>
          <w:rFonts w:ascii="Garamond" w:hAnsi="Garamond"/>
        </w:rPr>
        <w:t>The differential comes from separate linear regression for men and women and the associated decomposition for each year.</w:t>
      </w:r>
      <w:r w:rsidRPr="00920035">
        <w:rPr>
          <w:rFonts w:ascii="Garamond" w:hAnsi="Garamond"/>
        </w:rPr>
        <w:t xml:space="preserve"> The specifications include all controls from column 2 of Table 1.</w:t>
      </w:r>
    </w:p>
    <w:p w14:paraId="6827CD64" w14:textId="77777777" w:rsidR="004970A2" w:rsidRPr="000932A9" w:rsidRDefault="004970A2" w:rsidP="00920035">
      <w:pPr>
        <w:spacing w:line="240" w:lineRule="auto"/>
        <w:rPr>
          <w:rFonts w:ascii="Garamond" w:hAnsi="Garamond"/>
        </w:rPr>
      </w:pPr>
    </w:p>
    <w:p w14:paraId="59FF554F" w14:textId="77777777" w:rsidR="00CC5150" w:rsidRPr="000932A9" w:rsidRDefault="00CC5150" w:rsidP="004970A2">
      <w:pPr>
        <w:spacing w:line="360" w:lineRule="auto"/>
        <w:rPr>
          <w:rFonts w:ascii="Garamond" w:hAnsi="Garamond"/>
        </w:rPr>
      </w:pPr>
    </w:p>
    <w:p w14:paraId="3378ABB0" w14:textId="77777777" w:rsidR="003D120C" w:rsidRPr="000932A9" w:rsidRDefault="003D120C" w:rsidP="0011737A">
      <w:pPr>
        <w:spacing w:line="360" w:lineRule="auto"/>
        <w:rPr>
          <w:rFonts w:ascii="Garamond" w:hAnsi="Garamond"/>
          <w:i/>
        </w:rPr>
      </w:pPr>
    </w:p>
    <w:p w14:paraId="375F5FAC" w14:textId="77777777" w:rsidR="00F50FE6" w:rsidRPr="000932A9" w:rsidRDefault="00F50FE6" w:rsidP="0011737A">
      <w:pPr>
        <w:spacing w:line="360" w:lineRule="auto"/>
        <w:rPr>
          <w:rFonts w:ascii="Garamond" w:hAnsi="Garamond"/>
          <w:i/>
        </w:rPr>
        <w:sectPr w:rsidR="00F50FE6" w:rsidRPr="000932A9" w:rsidSect="00AE451D">
          <w:pgSz w:w="11906" w:h="16838"/>
          <w:pgMar w:top="1440" w:right="1440" w:bottom="1440" w:left="1440" w:header="708" w:footer="708" w:gutter="0"/>
          <w:cols w:space="708"/>
          <w:titlePg/>
          <w:docGrid w:linePitch="360"/>
        </w:sectPr>
      </w:pPr>
    </w:p>
    <w:p w14:paraId="450E42BF" w14:textId="77777777" w:rsidR="00164949" w:rsidRPr="007D2CA9" w:rsidRDefault="00164949" w:rsidP="00B37A29">
      <w:pPr>
        <w:spacing w:line="240" w:lineRule="auto"/>
        <w:rPr>
          <w:rFonts w:ascii="Garamond" w:hAnsi="Garamond"/>
        </w:rPr>
      </w:pPr>
      <w:r w:rsidRPr="007D2CA9">
        <w:rPr>
          <w:rFonts w:ascii="Garamond" w:hAnsi="Garamond"/>
          <w:b/>
        </w:rPr>
        <w:lastRenderedPageBreak/>
        <w:t>Appendix Table 1</w:t>
      </w:r>
      <w:r w:rsidRPr="007D2CA9">
        <w:rPr>
          <w:rFonts w:ascii="Garamond" w:hAnsi="Garamond"/>
        </w:rPr>
        <w:t>, 1991, 2008 and 2012-2014, Summary Statistics</w:t>
      </w:r>
    </w:p>
    <w:tbl>
      <w:tblPr>
        <w:tblStyle w:val="LightShading"/>
        <w:tblW w:w="9286" w:type="dxa"/>
        <w:tblInd w:w="-638" w:type="dxa"/>
        <w:shd w:val="clear" w:color="auto" w:fill="FFFFFF" w:themeFill="background1"/>
        <w:tblLook w:val="04A0" w:firstRow="1" w:lastRow="0" w:firstColumn="1" w:lastColumn="0" w:noHBand="0" w:noVBand="1"/>
      </w:tblPr>
      <w:tblGrid>
        <w:gridCol w:w="2103"/>
        <w:gridCol w:w="1471"/>
        <w:gridCol w:w="1148"/>
        <w:gridCol w:w="1115"/>
        <w:gridCol w:w="869"/>
        <w:gridCol w:w="1649"/>
        <w:gridCol w:w="931"/>
      </w:tblGrid>
      <w:tr w:rsidR="00164949" w:rsidRPr="007D2CA9" w14:paraId="5C2BFF58" w14:textId="77777777" w:rsidTr="004156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4F23630A" w14:textId="77777777" w:rsidR="00164949" w:rsidRPr="007D2CA9" w:rsidRDefault="00164949" w:rsidP="00164949">
            <w:pPr>
              <w:rPr>
                <w:rFonts w:ascii="Times New Roman" w:eastAsia="Times New Roman" w:hAnsi="Times New Roman" w:cs="Times New Roman"/>
                <w:color w:val="000000"/>
                <w:lang w:eastAsia="en-GB"/>
              </w:rPr>
            </w:pPr>
          </w:p>
        </w:tc>
        <w:tc>
          <w:tcPr>
            <w:tcW w:w="2619" w:type="dxa"/>
            <w:gridSpan w:val="2"/>
            <w:shd w:val="clear" w:color="auto" w:fill="FFFFFF" w:themeFill="background1"/>
            <w:noWrap/>
            <w:hideMark/>
          </w:tcPr>
          <w:p w14:paraId="1B9B65AE" w14:textId="77777777" w:rsidR="00164949" w:rsidRPr="007D2CA9" w:rsidRDefault="00164949" w:rsidP="00164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1991</w:t>
            </w:r>
          </w:p>
        </w:tc>
        <w:tc>
          <w:tcPr>
            <w:tcW w:w="1984" w:type="dxa"/>
            <w:gridSpan w:val="2"/>
            <w:shd w:val="clear" w:color="auto" w:fill="FFFFFF" w:themeFill="background1"/>
            <w:noWrap/>
            <w:hideMark/>
          </w:tcPr>
          <w:p w14:paraId="33987F08" w14:textId="77777777" w:rsidR="00164949" w:rsidRPr="007D2CA9" w:rsidRDefault="00164949" w:rsidP="00164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2008</w:t>
            </w:r>
          </w:p>
        </w:tc>
        <w:tc>
          <w:tcPr>
            <w:tcW w:w="2580" w:type="dxa"/>
            <w:gridSpan w:val="2"/>
            <w:shd w:val="clear" w:color="auto" w:fill="FFFFFF" w:themeFill="background1"/>
            <w:noWrap/>
            <w:hideMark/>
          </w:tcPr>
          <w:p w14:paraId="7C4E1FEF" w14:textId="77777777" w:rsidR="00164949" w:rsidRPr="007D2CA9" w:rsidRDefault="00164949" w:rsidP="00164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2012-2014</w:t>
            </w:r>
          </w:p>
        </w:tc>
      </w:tr>
      <w:tr w:rsidR="00164949" w:rsidRPr="007D2CA9" w14:paraId="73A3E8DC"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1EEFC5FC" w14:textId="77777777" w:rsidR="00164949" w:rsidRPr="007D2CA9" w:rsidRDefault="00164949" w:rsidP="00164949">
            <w:pPr>
              <w:rPr>
                <w:rFonts w:ascii="Times New Roman" w:eastAsia="Times New Roman" w:hAnsi="Times New Roman" w:cs="Times New Roman"/>
                <w:color w:val="000000"/>
                <w:lang w:eastAsia="en-GB"/>
              </w:rPr>
            </w:pPr>
          </w:p>
        </w:tc>
        <w:tc>
          <w:tcPr>
            <w:tcW w:w="1471" w:type="dxa"/>
            <w:shd w:val="clear" w:color="auto" w:fill="FFFFFF" w:themeFill="background1"/>
            <w:noWrap/>
            <w:hideMark/>
          </w:tcPr>
          <w:p w14:paraId="6F8B276A"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Female</w:t>
            </w:r>
          </w:p>
        </w:tc>
        <w:tc>
          <w:tcPr>
            <w:tcW w:w="1148" w:type="dxa"/>
            <w:shd w:val="clear" w:color="auto" w:fill="FFFFFF" w:themeFill="background1"/>
            <w:noWrap/>
            <w:hideMark/>
          </w:tcPr>
          <w:p w14:paraId="487409AA"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Male</w:t>
            </w:r>
          </w:p>
        </w:tc>
        <w:tc>
          <w:tcPr>
            <w:tcW w:w="1115" w:type="dxa"/>
            <w:shd w:val="clear" w:color="auto" w:fill="FFFFFF" w:themeFill="background1"/>
            <w:noWrap/>
            <w:hideMark/>
          </w:tcPr>
          <w:p w14:paraId="26A397D9"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Female</w:t>
            </w:r>
          </w:p>
        </w:tc>
        <w:tc>
          <w:tcPr>
            <w:tcW w:w="869" w:type="dxa"/>
            <w:shd w:val="clear" w:color="auto" w:fill="FFFFFF" w:themeFill="background1"/>
            <w:noWrap/>
            <w:hideMark/>
          </w:tcPr>
          <w:p w14:paraId="6D05388B"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Male</w:t>
            </w:r>
          </w:p>
        </w:tc>
        <w:tc>
          <w:tcPr>
            <w:tcW w:w="1649" w:type="dxa"/>
            <w:shd w:val="clear" w:color="auto" w:fill="FFFFFF" w:themeFill="background1"/>
            <w:noWrap/>
            <w:hideMark/>
          </w:tcPr>
          <w:p w14:paraId="7C572F18"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Female</w:t>
            </w:r>
          </w:p>
        </w:tc>
        <w:tc>
          <w:tcPr>
            <w:tcW w:w="931" w:type="dxa"/>
            <w:shd w:val="clear" w:color="auto" w:fill="FFFFFF" w:themeFill="background1"/>
            <w:noWrap/>
            <w:hideMark/>
          </w:tcPr>
          <w:p w14:paraId="37B69CA3"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Male</w:t>
            </w:r>
          </w:p>
        </w:tc>
      </w:tr>
      <w:tr w:rsidR="00164949" w:rsidRPr="007D2CA9" w14:paraId="7C4E1EF0"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72294358"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Age</w:t>
            </w:r>
          </w:p>
        </w:tc>
        <w:tc>
          <w:tcPr>
            <w:tcW w:w="1471" w:type="dxa"/>
            <w:shd w:val="clear" w:color="auto" w:fill="FFFFFF" w:themeFill="background1"/>
            <w:noWrap/>
            <w:hideMark/>
          </w:tcPr>
          <w:p w14:paraId="340977E3"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36.15</w:t>
            </w:r>
          </w:p>
        </w:tc>
        <w:tc>
          <w:tcPr>
            <w:tcW w:w="1148" w:type="dxa"/>
            <w:shd w:val="clear" w:color="auto" w:fill="FFFFFF" w:themeFill="background1"/>
            <w:noWrap/>
            <w:hideMark/>
          </w:tcPr>
          <w:p w14:paraId="6A490F1D"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37.03</w:t>
            </w:r>
          </w:p>
        </w:tc>
        <w:tc>
          <w:tcPr>
            <w:tcW w:w="1115" w:type="dxa"/>
            <w:shd w:val="clear" w:color="auto" w:fill="FFFFFF" w:themeFill="background1"/>
            <w:noWrap/>
            <w:hideMark/>
          </w:tcPr>
          <w:p w14:paraId="0FD5A899" w14:textId="4C309479"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38.95</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12B1BFFD" w14:textId="2440A619"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39.61</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481F0E8C" w14:textId="414979F6"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40.69</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6A7DEF31" w14:textId="341CBBD4"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41.70</w:t>
            </w:r>
            <w:r w:rsidR="002C3DA1" w:rsidRPr="007D2CA9">
              <w:rPr>
                <w:rFonts w:ascii="Times New Roman" w:eastAsia="Times New Roman" w:hAnsi="Times New Roman" w:cs="Times New Roman"/>
                <w:color w:val="000000"/>
                <w:lang w:eastAsia="en-GB"/>
              </w:rPr>
              <w:t>*</w:t>
            </w:r>
          </w:p>
        </w:tc>
      </w:tr>
      <w:tr w:rsidR="00164949" w:rsidRPr="007D2CA9" w14:paraId="4A7DE2C2"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5C05CBDB"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Married</w:t>
            </w:r>
          </w:p>
        </w:tc>
        <w:tc>
          <w:tcPr>
            <w:tcW w:w="1471" w:type="dxa"/>
            <w:shd w:val="clear" w:color="auto" w:fill="FFFFFF" w:themeFill="background1"/>
            <w:noWrap/>
            <w:hideMark/>
          </w:tcPr>
          <w:p w14:paraId="656A7556"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0.61</w:t>
            </w:r>
          </w:p>
        </w:tc>
        <w:tc>
          <w:tcPr>
            <w:tcW w:w="1148" w:type="dxa"/>
            <w:shd w:val="clear" w:color="auto" w:fill="FFFFFF" w:themeFill="background1"/>
            <w:noWrap/>
            <w:hideMark/>
          </w:tcPr>
          <w:p w14:paraId="402449D8"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0.65</w:t>
            </w:r>
          </w:p>
        </w:tc>
        <w:tc>
          <w:tcPr>
            <w:tcW w:w="1115" w:type="dxa"/>
            <w:shd w:val="clear" w:color="auto" w:fill="FFFFFF" w:themeFill="background1"/>
            <w:noWrap/>
            <w:hideMark/>
          </w:tcPr>
          <w:p w14:paraId="4B31C8FF" w14:textId="7C11508D"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0.52</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4FF8BD32" w14:textId="17400928"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0.53</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147F09D9" w14:textId="0563A94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0.53</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68A985C6" w14:textId="07C3F2F0"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0.57</w:t>
            </w:r>
            <w:r w:rsidR="002C3DA1" w:rsidRPr="007D2CA9">
              <w:rPr>
                <w:rFonts w:ascii="Times New Roman" w:eastAsia="Times New Roman" w:hAnsi="Times New Roman" w:cs="Times New Roman"/>
                <w:color w:val="000000"/>
                <w:lang w:eastAsia="en-GB"/>
              </w:rPr>
              <w:t>*</w:t>
            </w:r>
          </w:p>
        </w:tc>
      </w:tr>
      <w:tr w:rsidR="00164949" w:rsidRPr="007D2CA9" w14:paraId="33F48DD8"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5A71008B"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Dependent Child</w:t>
            </w:r>
          </w:p>
        </w:tc>
        <w:tc>
          <w:tcPr>
            <w:tcW w:w="1471" w:type="dxa"/>
            <w:shd w:val="clear" w:color="auto" w:fill="FFFFFF" w:themeFill="background1"/>
            <w:noWrap/>
            <w:hideMark/>
          </w:tcPr>
          <w:p w14:paraId="3C2ECD0E"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0.29</w:t>
            </w:r>
          </w:p>
        </w:tc>
        <w:tc>
          <w:tcPr>
            <w:tcW w:w="1148" w:type="dxa"/>
            <w:shd w:val="clear" w:color="auto" w:fill="FFFFFF" w:themeFill="background1"/>
            <w:noWrap/>
            <w:hideMark/>
          </w:tcPr>
          <w:p w14:paraId="6A7D75E3"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0.33</w:t>
            </w:r>
          </w:p>
        </w:tc>
        <w:tc>
          <w:tcPr>
            <w:tcW w:w="1115" w:type="dxa"/>
            <w:shd w:val="clear" w:color="auto" w:fill="FFFFFF" w:themeFill="background1"/>
            <w:noWrap/>
            <w:hideMark/>
          </w:tcPr>
          <w:p w14:paraId="6A208391" w14:textId="6D919488"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0.33</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7C644669"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0.31</w:t>
            </w:r>
          </w:p>
        </w:tc>
        <w:tc>
          <w:tcPr>
            <w:tcW w:w="1649" w:type="dxa"/>
            <w:shd w:val="clear" w:color="auto" w:fill="FFFFFF" w:themeFill="background1"/>
            <w:noWrap/>
          </w:tcPr>
          <w:p w14:paraId="2DEE2A33" w14:textId="5B61BAFE"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0.40</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24D5AA57" w14:textId="6040A3D9"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0.37</w:t>
            </w:r>
            <w:r w:rsidR="002C3DA1" w:rsidRPr="007D2CA9">
              <w:rPr>
                <w:rFonts w:ascii="Times New Roman" w:eastAsia="Times New Roman" w:hAnsi="Times New Roman" w:cs="Times New Roman"/>
                <w:color w:val="000000"/>
                <w:lang w:eastAsia="en-GB"/>
              </w:rPr>
              <w:t>**</w:t>
            </w:r>
          </w:p>
        </w:tc>
      </w:tr>
      <w:tr w:rsidR="00164949" w:rsidRPr="007D2CA9" w14:paraId="5ED7FE8B"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47F260D3"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A Level</w:t>
            </w:r>
          </w:p>
        </w:tc>
        <w:tc>
          <w:tcPr>
            <w:tcW w:w="1471" w:type="dxa"/>
            <w:shd w:val="clear" w:color="auto" w:fill="FFFFFF" w:themeFill="background1"/>
            <w:noWrap/>
            <w:hideMark/>
          </w:tcPr>
          <w:p w14:paraId="387951D3"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0.15</w:t>
            </w:r>
          </w:p>
        </w:tc>
        <w:tc>
          <w:tcPr>
            <w:tcW w:w="1148" w:type="dxa"/>
            <w:shd w:val="clear" w:color="auto" w:fill="FFFFFF" w:themeFill="background1"/>
            <w:noWrap/>
            <w:hideMark/>
          </w:tcPr>
          <w:p w14:paraId="2144D6F5"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0.21</w:t>
            </w:r>
          </w:p>
        </w:tc>
        <w:tc>
          <w:tcPr>
            <w:tcW w:w="1115" w:type="dxa"/>
            <w:shd w:val="clear" w:color="auto" w:fill="FFFFFF" w:themeFill="background1"/>
            <w:noWrap/>
            <w:hideMark/>
          </w:tcPr>
          <w:p w14:paraId="68F73D88" w14:textId="645B1F98"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0.24</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70008403" w14:textId="2D3A2CC6"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5ED55FB9" w14:textId="569F43B3"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3AC62721" w14:textId="4B201881"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0.29</w:t>
            </w:r>
            <w:r w:rsidR="002C3DA1" w:rsidRPr="007D2CA9">
              <w:rPr>
                <w:rFonts w:ascii="Times New Roman" w:eastAsia="Times New Roman" w:hAnsi="Times New Roman" w:cs="Times New Roman"/>
                <w:color w:val="000000"/>
                <w:lang w:eastAsia="en-GB"/>
              </w:rPr>
              <w:t>*</w:t>
            </w:r>
          </w:p>
        </w:tc>
      </w:tr>
      <w:tr w:rsidR="00164949" w:rsidRPr="007D2CA9" w14:paraId="153454EF"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tcPr>
          <w:p w14:paraId="1F4D075F"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Diploma</w:t>
            </w:r>
          </w:p>
        </w:tc>
        <w:tc>
          <w:tcPr>
            <w:tcW w:w="1471" w:type="dxa"/>
            <w:shd w:val="clear" w:color="auto" w:fill="FFFFFF" w:themeFill="background1"/>
            <w:noWrap/>
          </w:tcPr>
          <w:p w14:paraId="69207810"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0.06</w:t>
            </w:r>
          </w:p>
        </w:tc>
        <w:tc>
          <w:tcPr>
            <w:tcW w:w="1148" w:type="dxa"/>
            <w:shd w:val="clear" w:color="auto" w:fill="FFFFFF" w:themeFill="background1"/>
            <w:noWrap/>
          </w:tcPr>
          <w:p w14:paraId="1DAAF2A1"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0.07</w:t>
            </w:r>
          </w:p>
        </w:tc>
        <w:tc>
          <w:tcPr>
            <w:tcW w:w="1115" w:type="dxa"/>
            <w:shd w:val="clear" w:color="auto" w:fill="FFFFFF" w:themeFill="background1"/>
            <w:noWrap/>
          </w:tcPr>
          <w:p w14:paraId="422AC4C8"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0.08</w:t>
            </w:r>
          </w:p>
        </w:tc>
        <w:tc>
          <w:tcPr>
            <w:tcW w:w="869" w:type="dxa"/>
            <w:shd w:val="clear" w:color="auto" w:fill="FFFFFF" w:themeFill="background1"/>
            <w:noWrap/>
          </w:tcPr>
          <w:p w14:paraId="7DCC12A1"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0.08</w:t>
            </w:r>
          </w:p>
        </w:tc>
        <w:tc>
          <w:tcPr>
            <w:tcW w:w="1649" w:type="dxa"/>
            <w:shd w:val="clear" w:color="auto" w:fill="FFFFFF" w:themeFill="background1"/>
            <w:noWrap/>
          </w:tcPr>
          <w:p w14:paraId="18F3B2DC" w14:textId="0475707A"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0.14</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58216BE0" w14:textId="585F25AE"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0.10</w:t>
            </w:r>
            <w:r w:rsidR="002C3DA1" w:rsidRPr="007D2CA9">
              <w:rPr>
                <w:rFonts w:ascii="Times New Roman" w:eastAsia="Times New Roman" w:hAnsi="Times New Roman" w:cs="Times New Roman"/>
                <w:color w:val="000000"/>
                <w:lang w:eastAsia="en-GB"/>
              </w:rPr>
              <w:t>*</w:t>
            </w:r>
          </w:p>
        </w:tc>
      </w:tr>
      <w:tr w:rsidR="00164949" w:rsidRPr="007D2CA9" w14:paraId="748F361A"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13AAFF29"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Degree or higher</w:t>
            </w:r>
          </w:p>
        </w:tc>
        <w:tc>
          <w:tcPr>
            <w:tcW w:w="1471" w:type="dxa"/>
            <w:shd w:val="clear" w:color="auto" w:fill="FFFFFF" w:themeFill="background1"/>
            <w:noWrap/>
            <w:hideMark/>
          </w:tcPr>
          <w:p w14:paraId="220B936D"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0.10</w:t>
            </w:r>
          </w:p>
        </w:tc>
        <w:tc>
          <w:tcPr>
            <w:tcW w:w="1148" w:type="dxa"/>
            <w:shd w:val="clear" w:color="auto" w:fill="FFFFFF" w:themeFill="background1"/>
            <w:noWrap/>
            <w:hideMark/>
          </w:tcPr>
          <w:p w14:paraId="312373AC"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0.12</w:t>
            </w:r>
          </w:p>
        </w:tc>
        <w:tc>
          <w:tcPr>
            <w:tcW w:w="1115" w:type="dxa"/>
            <w:shd w:val="clear" w:color="auto" w:fill="FFFFFF" w:themeFill="background1"/>
            <w:noWrap/>
            <w:hideMark/>
          </w:tcPr>
          <w:p w14:paraId="3819545E" w14:textId="7442AAE0"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0.24</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3EC66D8B" w14:textId="750CFC10"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0.22</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5D654DB4" w14:textId="286899D1"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0.30</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1262D4ED" w14:textId="47F44D22"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r w:rsidR="002C3DA1" w:rsidRPr="007D2CA9">
              <w:rPr>
                <w:rFonts w:ascii="Times New Roman" w:eastAsia="Times New Roman" w:hAnsi="Times New Roman" w:cs="Times New Roman"/>
                <w:color w:val="000000"/>
                <w:lang w:eastAsia="en-GB"/>
              </w:rPr>
              <w:t>*</w:t>
            </w:r>
          </w:p>
        </w:tc>
      </w:tr>
      <w:tr w:rsidR="00164949" w:rsidRPr="007D2CA9" w14:paraId="7EA250B7"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351B7184"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Ln(pay)</w:t>
            </w:r>
          </w:p>
        </w:tc>
        <w:tc>
          <w:tcPr>
            <w:tcW w:w="1471" w:type="dxa"/>
            <w:shd w:val="clear" w:color="auto" w:fill="FFFFFF" w:themeFill="background1"/>
            <w:noWrap/>
            <w:hideMark/>
          </w:tcPr>
          <w:p w14:paraId="78DEA858"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5.70</w:t>
            </w:r>
          </w:p>
        </w:tc>
        <w:tc>
          <w:tcPr>
            <w:tcW w:w="1148" w:type="dxa"/>
            <w:shd w:val="clear" w:color="auto" w:fill="FFFFFF" w:themeFill="background1"/>
            <w:noWrap/>
            <w:hideMark/>
          </w:tcPr>
          <w:p w14:paraId="10ED3E8B"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6.11</w:t>
            </w:r>
          </w:p>
        </w:tc>
        <w:tc>
          <w:tcPr>
            <w:tcW w:w="1115" w:type="dxa"/>
            <w:shd w:val="clear" w:color="auto" w:fill="FFFFFF" w:themeFill="background1"/>
            <w:noWrap/>
            <w:hideMark/>
          </w:tcPr>
          <w:p w14:paraId="788516A9" w14:textId="66883BAD"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6.75</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24C34C21" w14:textId="2877EE0B"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6.97</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734C55D7" w14:textId="0E3280F6"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6.96</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528620BA" w14:textId="0FD050BA"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7.21</w:t>
            </w:r>
            <w:r w:rsidR="002C3DA1" w:rsidRPr="007D2CA9">
              <w:rPr>
                <w:rFonts w:ascii="Times New Roman" w:eastAsia="Times New Roman" w:hAnsi="Times New Roman" w:cs="Times New Roman"/>
                <w:color w:val="000000"/>
                <w:lang w:eastAsia="en-GB"/>
              </w:rPr>
              <w:t>*</w:t>
            </w:r>
          </w:p>
        </w:tc>
      </w:tr>
      <w:tr w:rsidR="00164949" w:rsidRPr="007D2CA9" w14:paraId="462AD717"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33FF71D2"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Normal Hours</w:t>
            </w:r>
          </w:p>
        </w:tc>
        <w:tc>
          <w:tcPr>
            <w:tcW w:w="1471" w:type="dxa"/>
            <w:shd w:val="clear" w:color="auto" w:fill="FFFFFF" w:themeFill="background1"/>
            <w:noWrap/>
            <w:hideMark/>
          </w:tcPr>
          <w:p w14:paraId="69BE4A25"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31.28</w:t>
            </w:r>
          </w:p>
        </w:tc>
        <w:tc>
          <w:tcPr>
            <w:tcW w:w="1148" w:type="dxa"/>
            <w:shd w:val="clear" w:color="auto" w:fill="FFFFFF" w:themeFill="background1"/>
            <w:noWrap/>
            <w:hideMark/>
          </w:tcPr>
          <w:p w14:paraId="442F6ADF"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39.89</w:t>
            </w:r>
          </w:p>
        </w:tc>
        <w:tc>
          <w:tcPr>
            <w:tcW w:w="1115" w:type="dxa"/>
            <w:shd w:val="clear" w:color="auto" w:fill="FFFFFF" w:themeFill="background1"/>
            <w:noWrap/>
            <w:hideMark/>
          </w:tcPr>
          <w:p w14:paraId="6A23C965"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31.18</w:t>
            </w:r>
          </w:p>
        </w:tc>
        <w:tc>
          <w:tcPr>
            <w:tcW w:w="869" w:type="dxa"/>
            <w:shd w:val="clear" w:color="auto" w:fill="FFFFFF" w:themeFill="background1"/>
            <w:noWrap/>
            <w:hideMark/>
          </w:tcPr>
          <w:p w14:paraId="79F22678" w14:textId="64EEBDBC"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38.58</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59BAB052"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31.29</w:t>
            </w:r>
          </w:p>
        </w:tc>
        <w:tc>
          <w:tcPr>
            <w:tcW w:w="931" w:type="dxa"/>
            <w:shd w:val="clear" w:color="auto" w:fill="FFFFFF" w:themeFill="background1"/>
            <w:noWrap/>
          </w:tcPr>
          <w:p w14:paraId="6A0B14D3" w14:textId="45B5B76D"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38.26</w:t>
            </w:r>
            <w:r w:rsidR="002C3DA1" w:rsidRPr="007D2CA9">
              <w:rPr>
                <w:rFonts w:ascii="Times New Roman" w:eastAsia="Times New Roman" w:hAnsi="Times New Roman" w:cs="Times New Roman"/>
                <w:color w:val="000000"/>
                <w:lang w:eastAsia="en-GB"/>
              </w:rPr>
              <w:t>*</w:t>
            </w:r>
          </w:p>
        </w:tc>
      </w:tr>
      <w:tr w:rsidR="00164949" w:rsidRPr="007D2CA9" w14:paraId="28C9DB5C"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748A7188"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Normal Overtime</w:t>
            </w:r>
          </w:p>
        </w:tc>
        <w:tc>
          <w:tcPr>
            <w:tcW w:w="1471" w:type="dxa"/>
            <w:shd w:val="clear" w:color="auto" w:fill="FFFFFF" w:themeFill="background1"/>
            <w:noWrap/>
            <w:hideMark/>
          </w:tcPr>
          <w:p w14:paraId="7E3268FC"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2.46</w:t>
            </w:r>
          </w:p>
        </w:tc>
        <w:tc>
          <w:tcPr>
            <w:tcW w:w="1148" w:type="dxa"/>
            <w:shd w:val="clear" w:color="auto" w:fill="FFFFFF" w:themeFill="background1"/>
            <w:noWrap/>
            <w:hideMark/>
          </w:tcPr>
          <w:p w14:paraId="6EF2920A"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5.55</w:t>
            </w:r>
          </w:p>
        </w:tc>
        <w:tc>
          <w:tcPr>
            <w:tcW w:w="1115" w:type="dxa"/>
            <w:shd w:val="clear" w:color="auto" w:fill="FFFFFF" w:themeFill="background1"/>
            <w:noWrap/>
            <w:hideMark/>
          </w:tcPr>
          <w:p w14:paraId="6AD98BA2" w14:textId="5B6F6F58"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2.77</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36CEA563" w14:textId="51F2632E"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4.05</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30AB9138" w14:textId="3EFAB923"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3.32</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40EEEB68" w14:textId="388E984C"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4.37</w:t>
            </w:r>
            <w:r w:rsidR="002C3DA1" w:rsidRPr="007D2CA9">
              <w:rPr>
                <w:rFonts w:ascii="Times New Roman" w:eastAsia="Times New Roman" w:hAnsi="Times New Roman" w:cs="Times New Roman"/>
                <w:color w:val="000000"/>
                <w:lang w:eastAsia="en-GB"/>
              </w:rPr>
              <w:t>*</w:t>
            </w:r>
          </w:p>
        </w:tc>
      </w:tr>
      <w:tr w:rsidR="00164949" w:rsidRPr="007D2CA9" w14:paraId="1F43780E"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62F12572"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Union Coverage</w:t>
            </w:r>
          </w:p>
        </w:tc>
        <w:tc>
          <w:tcPr>
            <w:tcW w:w="1471" w:type="dxa"/>
            <w:shd w:val="clear" w:color="auto" w:fill="FFFFFF" w:themeFill="background1"/>
            <w:noWrap/>
            <w:hideMark/>
          </w:tcPr>
          <w:p w14:paraId="58367C20"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0.37</w:t>
            </w:r>
          </w:p>
        </w:tc>
        <w:tc>
          <w:tcPr>
            <w:tcW w:w="1148" w:type="dxa"/>
            <w:shd w:val="clear" w:color="auto" w:fill="FFFFFF" w:themeFill="background1"/>
            <w:noWrap/>
            <w:hideMark/>
          </w:tcPr>
          <w:p w14:paraId="3D44BF2D"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0.43</w:t>
            </w:r>
          </w:p>
        </w:tc>
        <w:tc>
          <w:tcPr>
            <w:tcW w:w="1115" w:type="dxa"/>
            <w:shd w:val="clear" w:color="auto" w:fill="FFFFFF" w:themeFill="background1"/>
            <w:noWrap/>
            <w:hideMark/>
          </w:tcPr>
          <w:p w14:paraId="1166FC3D"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0.36</w:t>
            </w:r>
          </w:p>
        </w:tc>
        <w:tc>
          <w:tcPr>
            <w:tcW w:w="869" w:type="dxa"/>
            <w:shd w:val="clear" w:color="auto" w:fill="FFFFFF" w:themeFill="background1"/>
            <w:noWrap/>
            <w:hideMark/>
          </w:tcPr>
          <w:p w14:paraId="36E7704D" w14:textId="3542B093"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0.28</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67CC0007" w14:textId="3FA61EB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182A0661" w14:textId="788F24CA"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0.17</w:t>
            </w:r>
            <w:r w:rsidR="002C3DA1" w:rsidRPr="007D2CA9">
              <w:rPr>
                <w:rFonts w:ascii="Times New Roman" w:eastAsia="Times New Roman" w:hAnsi="Times New Roman" w:cs="Times New Roman"/>
                <w:color w:val="000000"/>
                <w:lang w:eastAsia="en-GB"/>
              </w:rPr>
              <w:t>*</w:t>
            </w:r>
          </w:p>
        </w:tc>
      </w:tr>
      <w:tr w:rsidR="00164949" w:rsidRPr="007D2CA9" w14:paraId="7BB0F4D6"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7A616921"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Public Sector</w:t>
            </w:r>
          </w:p>
        </w:tc>
        <w:tc>
          <w:tcPr>
            <w:tcW w:w="1471" w:type="dxa"/>
            <w:shd w:val="clear" w:color="auto" w:fill="FFFFFF" w:themeFill="background1"/>
            <w:noWrap/>
            <w:hideMark/>
          </w:tcPr>
          <w:p w14:paraId="060B1219"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0.36</w:t>
            </w:r>
          </w:p>
        </w:tc>
        <w:tc>
          <w:tcPr>
            <w:tcW w:w="1148" w:type="dxa"/>
            <w:shd w:val="clear" w:color="auto" w:fill="FFFFFF" w:themeFill="background1"/>
            <w:noWrap/>
            <w:hideMark/>
          </w:tcPr>
          <w:p w14:paraId="71C20D57"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0.22</w:t>
            </w:r>
          </w:p>
        </w:tc>
        <w:tc>
          <w:tcPr>
            <w:tcW w:w="1115" w:type="dxa"/>
            <w:shd w:val="clear" w:color="auto" w:fill="FFFFFF" w:themeFill="background1"/>
            <w:noWrap/>
            <w:hideMark/>
          </w:tcPr>
          <w:p w14:paraId="3C86AEA7" w14:textId="7E0623A9"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0.42</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15E713D0"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0.21</w:t>
            </w:r>
          </w:p>
        </w:tc>
        <w:tc>
          <w:tcPr>
            <w:tcW w:w="1649" w:type="dxa"/>
            <w:shd w:val="clear" w:color="auto" w:fill="FFFFFF" w:themeFill="background1"/>
            <w:noWrap/>
          </w:tcPr>
          <w:p w14:paraId="5CEFCF8D" w14:textId="70250980"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0.52</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76FA4EE1" w14:textId="36DB244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r w:rsidR="002C3DA1" w:rsidRPr="007D2CA9">
              <w:rPr>
                <w:rFonts w:ascii="Times New Roman" w:eastAsia="Times New Roman" w:hAnsi="Times New Roman" w:cs="Times New Roman"/>
                <w:color w:val="000000"/>
                <w:lang w:eastAsia="en-GB"/>
              </w:rPr>
              <w:t>*</w:t>
            </w:r>
          </w:p>
        </w:tc>
      </w:tr>
      <w:tr w:rsidR="00164949" w:rsidRPr="007D2CA9" w14:paraId="4AB6999C"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4EADB38C"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Temporary Contract</w:t>
            </w:r>
          </w:p>
        </w:tc>
        <w:tc>
          <w:tcPr>
            <w:tcW w:w="1471" w:type="dxa"/>
            <w:shd w:val="clear" w:color="auto" w:fill="FFFFFF" w:themeFill="background1"/>
            <w:noWrap/>
            <w:hideMark/>
          </w:tcPr>
          <w:p w14:paraId="78CDDACC"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0.03</w:t>
            </w:r>
          </w:p>
        </w:tc>
        <w:tc>
          <w:tcPr>
            <w:tcW w:w="1148" w:type="dxa"/>
            <w:shd w:val="clear" w:color="auto" w:fill="FFFFFF" w:themeFill="background1"/>
            <w:noWrap/>
            <w:hideMark/>
          </w:tcPr>
          <w:p w14:paraId="0C4FB541"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0.02</w:t>
            </w:r>
          </w:p>
        </w:tc>
        <w:tc>
          <w:tcPr>
            <w:tcW w:w="1115" w:type="dxa"/>
            <w:shd w:val="clear" w:color="auto" w:fill="FFFFFF" w:themeFill="background1"/>
            <w:noWrap/>
            <w:hideMark/>
          </w:tcPr>
          <w:p w14:paraId="68E93CE0"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0.04</w:t>
            </w:r>
          </w:p>
        </w:tc>
        <w:tc>
          <w:tcPr>
            <w:tcW w:w="869" w:type="dxa"/>
            <w:shd w:val="clear" w:color="auto" w:fill="FFFFFF" w:themeFill="background1"/>
            <w:noWrap/>
            <w:hideMark/>
          </w:tcPr>
          <w:p w14:paraId="56D15B67"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0.02</w:t>
            </w:r>
          </w:p>
        </w:tc>
        <w:tc>
          <w:tcPr>
            <w:tcW w:w="1649" w:type="dxa"/>
            <w:shd w:val="clear" w:color="auto" w:fill="FFFFFF" w:themeFill="background1"/>
            <w:noWrap/>
          </w:tcPr>
          <w:p w14:paraId="38AC6C30" w14:textId="2AB09295"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0.05</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49BF4B3F" w14:textId="414D9653"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0.04</w:t>
            </w:r>
            <w:r w:rsidR="002C3DA1" w:rsidRPr="007D2CA9">
              <w:rPr>
                <w:rFonts w:ascii="Times New Roman" w:eastAsia="Times New Roman" w:hAnsi="Times New Roman" w:cs="Times New Roman"/>
                <w:color w:val="000000"/>
                <w:lang w:eastAsia="en-GB"/>
              </w:rPr>
              <w:t>*</w:t>
            </w:r>
          </w:p>
        </w:tc>
      </w:tr>
      <w:tr w:rsidR="00164949" w:rsidRPr="007D2CA9" w14:paraId="03A49F8B"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5A2FDAD3"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Manager/Supervisor</w:t>
            </w:r>
          </w:p>
        </w:tc>
        <w:tc>
          <w:tcPr>
            <w:tcW w:w="1471" w:type="dxa"/>
            <w:shd w:val="clear" w:color="auto" w:fill="FFFFFF" w:themeFill="background1"/>
            <w:noWrap/>
            <w:hideMark/>
          </w:tcPr>
          <w:p w14:paraId="78EAB2BB"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0.33</w:t>
            </w:r>
          </w:p>
        </w:tc>
        <w:tc>
          <w:tcPr>
            <w:tcW w:w="1148" w:type="dxa"/>
            <w:shd w:val="clear" w:color="auto" w:fill="FFFFFF" w:themeFill="background1"/>
            <w:noWrap/>
            <w:hideMark/>
          </w:tcPr>
          <w:p w14:paraId="5ED7A738"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0.43</w:t>
            </w:r>
          </w:p>
        </w:tc>
        <w:tc>
          <w:tcPr>
            <w:tcW w:w="1115" w:type="dxa"/>
            <w:shd w:val="clear" w:color="auto" w:fill="FFFFFF" w:themeFill="background1"/>
            <w:noWrap/>
            <w:hideMark/>
          </w:tcPr>
          <w:p w14:paraId="1236EFC8"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0.35</w:t>
            </w:r>
          </w:p>
        </w:tc>
        <w:tc>
          <w:tcPr>
            <w:tcW w:w="869" w:type="dxa"/>
            <w:shd w:val="clear" w:color="auto" w:fill="FFFFFF" w:themeFill="background1"/>
            <w:noWrap/>
            <w:hideMark/>
          </w:tcPr>
          <w:p w14:paraId="6099765D"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0.42</w:t>
            </w:r>
          </w:p>
        </w:tc>
        <w:tc>
          <w:tcPr>
            <w:tcW w:w="1649" w:type="dxa"/>
            <w:shd w:val="clear" w:color="auto" w:fill="FFFFFF" w:themeFill="background1"/>
            <w:noWrap/>
          </w:tcPr>
          <w:p w14:paraId="7A5EBC27" w14:textId="6D395DC4"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0.37</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1F65135D"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0.44</w:t>
            </w:r>
          </w:p>
        </w:tc>
      </w:tr>
      <w:tr w:rsidR="00164949" w:rsidRPr="007D2CA9" w14:paraId="42882F25"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5D895948"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Firm Size 50-99</w:t>
            </w:r>
          </w:p>
        </w:tc>
        <w:tc>
          <w:tcPr>
            <w:tcW w:w="1471" w:type="dxa"/>
            <w:shd w:val="clear" w:color="auto" w:fill="FFFFFF" w:themeFill="background1"/>
            <w:noWrap/>
            <w:hideMark/>
          </w:tcPr>
          <w:p w14:paraId="79330B6D"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p>
        </w:tc>
        <w:tc>
          <w:tcPr>
            <w:tcW w:w="1148" w:type="dxa"/>
            <w:shd w:val="clear" w:color="auto" w:fill="FFFFFF" w:themeFill="background1"/>
            <w:noWrap/>
            <w:hideMark/>
          </w:tcPr>
          <w:p w14:paraId="364A407F"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p>
        </w:tc>
        <w:tc>
          <w:tcPr>
            <w:tcW w:w="1115" w:type="dxa"/>
            <w:shd w:val="clear" w:color="auto" w:fill="FFFFFF" w:themeFill="background1"/>
            <w:noWrap/>
            <w:hideMark/>
          </w:tcPr>
          <w:p w14:paraId="59991131"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p>
        </w:tc>
        <w:tc>
          <w:tcPr>
            <w:tcW w:w="869" w:type="dxa"/>
            <w:shd w:val="clear" w:color="auto" w:fill="FFFFFF" w:themeFill="background1"/>
            <w:noWrap/>
            <w:hideMark/>
          </w:tcPr>
          <w:p w14:paraId="60356276"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p>
        </w:tc>
        <w:tc>
          <w:tcPr>
            <w:tcW w:w="1649" w:type="dxa"/>
            <w:shd w:val="clear" w:color="auto" w:fill="FFFFFF" w:themeFill="background1"/>
            <w:noWrap/>
          </w:tcPr>
          <w:p w14:paraId="7B0F24A7"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0.28</w:t>
            </w:r>
          </w:p>
        </w:tc>
        <w:tc>
          <w:tcPr>
            <w:tcW w:w="931" w:type="dxa"/>
            <w:shd w:val="clear" w:color="auto" w:fill="FFFFFF" w:themeFill="background1"/>
            <w:noWrap/>
          </w:tcPr>
          <w:p w14:paraId="0EFE0811"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p>
        </w:tc>
      </w:tr>
      <w:tr w:rsidR="00164949" w:rsidRPr="007D2CA9" w14:paraId="75DFBA24"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7D857667"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Size 100-499</w:t>
            </w:r>
          </w:p>
        </w:tc>
        <w:tc>
          <w:tcPr>
            <w:tcW w:w="1471" w:type="dxa"/>
            <w:shd w:val="clear" w:color="auto" w:fill="FFFFFF" w:themeFill="background1"/>
            <w:noWrap/>
            <w:hideMark/>
          </w:tcPr>
          <w:p w14:paraId="041C5711"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0.23</w:t>
            </w:r>
          </w:p>
        </w:tc>
        <w:tc>
          <w:tcPr>
            <w:tcW w:w="1148" w:type="dxa"/>
            <w:shd w:val="clear" w:color="auto" w:fill="FFFFFF" w:themeFill="background1"/>
            <w:noWrap/>
            <w:hideMark/>
          </w:tcPr>
          <w:p w14:paraId="4E44CE36"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p>
        </w:tc>
        <w:tc>
          <w:tcPr>
            <w:tcW w:w="1115" w:type="dxa"/>
            <w:shd w:val="clear" w:color="auto" w:fill="FFFFFF" w:themeFill="background1"/>
            <w:noWrap/>
            <w:hideMark/>
          </w:tcPr>
          <w:p w14:paraId="40A7DFCF"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0.21</w:t>
            </w:r>
          </w:p>
        </w:tc>
        <w:tc>
          <w:tcPr>
            <w:tcW w:w="869" w:type="dxa"/>
            <w:shd w:val="clear" w:color="auto" w:fill="FFFFFF" w:themeFill="background1"/>
            <w:noWrap/>
            <w:hideMark/>
          </w:tcPr>
          <w:p w14:paraId="0341DB26"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p>
        </w:tc>
        <w:tc>
          <w:tcPr>
            <w:tcW w:w="1649" w:type="dxa"/>
            <w:shd w:val="clear" w:color="auto" w:fill="FFFFFF" w:themeFill="background1"/>
            <w:noWrap/>
          </w:tcPr>
          <w:p w14:paraId="1080F735"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0.23</w:t>
            </w:r>
          </w:p>
        </w:tc>
        <w:tc>
          <w:tcPr>
            <w:tcW w:w="931" w:type="dxa"/>
            <w:shd w:val="clear" w:color="auto" w:fill="FFFFFF" w:themeFill="background1"/>
            <w:noWrap/>
          </w:tcPr>
          <w:p w14:paraId="3E985ACA"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0.26</w:t>
            </w:r>
          </w:p>
        </w:tc>
      </w:tr>
      <w:tr w:rsidR="00164949" w:rsidRPr="007D2CA9" w14:paraId="328E57B9"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22F4F137"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Size 500+</w:t>
            </w:r>
          </w:p>
        </w:tc>
        <w:tc>
          <w:tcPr>
            <w:tcW w:w="1471" w:type="dxa"/>
            <w:shd w:val="clear" w:color="auto" w:fill="FFFFFF" w:themeFill="background1"/>
            <w:noWrap/>
            <w:hideMark/>
          </w:tcPr>
          <w:p w14:paraId="29D68174"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0.14</w:t>
            </w:r>
          </w:p>
        </w:tc>
        <w:tc>
          <w:tcPr>
            <w:tcW w:w="1148" w:type="dxa"/>
            <w:shd w:val="clear" w:color="auto" w:fill="FFFFFF" w:themeFill="background1"/>
            <w:noWrap/>
            <w:hideMark/>
          </w:tcPr>
          <w:p w14:paraId="25311B01"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0.21</w:t>
            </w:r>
          </w:p>
        </w:tc>
        <w:tc>
          <w:tcPr>
            <w:tcW w:w="1115" w:type="dxa"/>
            <w:shd w:val="clear" w:color="auto" w:fill="FFFFFF" w:themeFill="background1"/>
            <w:noWrap/>
            <w:hideMark/>
          </w:tcPr>
          <w:p w14:paraId="67E5C35D" w14:textId="79DC54AE"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0.20</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hideMark/>
          </w:tcPr>
          <w:p w14:paraId="7484A3FE"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0.19</w:t>
            </w:r>
          </w:p>
        </w:tc>
        <w:tc>
          <w:tcPr>
            <w:tcW w:w="1649" w:type="dxa"/>
            <w:shd w:val="clear" w:color="auto" w:fill="FFFFFF" w:themeFill="background1"/>
            <w:noWrap/>
          </w:tcPr>
          <w:p w14:paraId="1F9445FB" w14:textId="3E94CC38"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0.20</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164D67A8"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0.22</w:t>
            </w:r>
          </w:p>
        </w:tc>
      </w:tr>
      <w:tr w:rsidR="00164949" w:rsidRPr="007D2CA9" w14:paraId="512EE2A2"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tcPr>
          <w:p w14:paraId="19C816D2"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General Health (1-5)</w:t>
            </w:r>
          </w:p>
        </w:tc>
        <w:tc>
          <w:tcPr>
            <w:tcW w:w="1471" w:type="dxa"/>
            <w:shd w:val="clear" w:color="auto" w:fill="FFFFFF" w:themeFill="background1"/>
            <w:noWrap/>
          </w:tcPr>
          <w:p w14:paraId="2C203C20"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4.04</w:t>
            </w:r>
          </w:p>
        </w:tc>
        <w:tc>
          <w:tcPr>
            <w:tcW w:w="1148" w:type="dxa"/>
            <w:shd w:val="clear" w:color="auto" w:fill="FFFFFF" w:themeFill="background1"/>
            <w:noWrap/>
          </w:tcPr>
          <w:p w14:paraId="6BAF5630"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4.16</w:t>
            </w:r>
          </w:p>
        </w:tc>
        <w:tc>
          <w:tcPr>
            <w:tcW w:w="1115" w:type="dxa"/>
            <w:shd w:val="clear" w:color="auto" w:fill="FFFFFF" w:themeFill="background1"/>
            <w:noWrap/>
          </w:tcPr>
          <w:p w14:paraId="408A62FA" w14:textId="51E4F618"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3.98</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tcPr>
          <w:p w14:paraId="1803EE42" w14:textId="083E97C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4.00</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69D820DB" w14:textId="79B92323"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3.75</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23716B52" w14:textId="0BF343DB"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3.75</w:t>
            </w:r>
            <w:r w:rsidR="002C3DA1" w:rsidRPr="007D2CA9">
              <w:rPr>
                <w:rFonts w:ascii="Times New Roman" w:eastAsia="Times New Roman" w:hAnsi="Times New Roman" w:cs="Times New Roman"/>
                <w:color w:val="000000"/>
                <w:lang w:eastAsia="en-GB"/>
              </w:rPr>
              <w:t>*</w:t>
            </w:r>
          </w:p>
        </w:tc>
      </w:tr>
      <w:tr w:rsidR="00164949" w:rsidRPr="007D2CA9" w14:paraId="75A49669"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tcPr>
          <w:p w14:paraId="0EB94363"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Travel Time</w:t>
            </w:r>
          </w:p>
        </w:tc>
        <w:tc>
          <w:tcPr>
            <w:tcW w:w="1471" w:type="dxa"/>
            <w:shd w:val="clear" w:color="auto" w:fill="FFFFFF" w:themeFill="background1"/>
            <w:noWrap/>
          </w:tcPr>
          <w:p w14:paraId="745ADAF8"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21.30</w:t>
            </w:r>
          </w:p>
        </w:tc>
        <w:tc>
          <w:tcPr>
            <w:tcW w:w="1148" w:type="dxa"/>
            <w:shd w:val="clear" w:color="auto" w:fill="FFFFFF" w:themeFill="background1"/>
            <w:noWrap/>
          </w:tcPr>
          <w:p w14:paraId="5C8F4A29"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26.20</w:t>
            </w:r>
          </w:p>
        </w:tc>
        <w:tc>
          <w:tcPr>
            <w:tcW w:w="1115" w:type="dxa"/>
            <w:shd w:val="clear" w:color="auto" w:fill="FFFFFF" w:themeFill="background1"/>
            <w:noWrap/>
          </w:tcPr>
          <w:p w14:paraId="001D00A8"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22.31</w:t>
            </w:r>
          </w:p>
        </w:tc>
        <w:tc>
          <w:tcPr>
            <w:tcW w:w="869" w:type="dxa"/>
            <w:shd w:val="clear" w:color="auto" w:fill="FFFFFF" w:themeFill="background1"/>
            <w:noWrap/>
          </w:tcPr>
          <w:p w14:paraId="73AEE6E0"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26.77</w:t>
            </w:r>
          </w:p>
        </w:tc>
        <w:tc>
          <w:tcPr>
            <w:tcW w:w="1649" w:type="dxa"/>
            <w:shd w:val="clear" w:color="auto" w:fill="FFFFFF" w:themeFill="background1"/>
            <w:noWrap/>
          </w:tcPr>
          <w:p w14:paraId="17DC01E9" w14:textId="768FD3A9"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22.65</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6E42041C" w14:textId="76247039"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27.72</w:t>
            </w:r>
            <w:r w:rsidR="002C3DA1" w:rsidRPr="007D2CA9">
              <w:rPr>
                <w:rFonts w:ascii="Times New Roman" w:eastAsia="Times New Roman" w:hAnsi="Times New Roman" w:cs="Times New Roman"/>
                <w:color w:val="000000"/>
                <w:lang w:eastAsia="en-GB"/>
              </w:rPr>
              <w:t>**</w:t>
            </w:r>
          </w:p>
        </w:tc>
      </w:tr>
      <w:tr w:rsidR="00164949" w:rsidRPr="007D2CA9" w14:paraId="1A442DBC" w14:textId="77777777" w:rsidTr="00415651">
        <w:trPr>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tcPr>
          <w:p w14:paraId="462B3E3E"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Performance Pay</w:t>
            </w:r>
          </w:p>
        </w:tc>
        <w:tc>
          <w:tcPr>
            <w:tcW w:w="1471" w:type="dxa"/>
            <w:shd w:val="clear" w:color="auto" w:fill="FFFFFF" w:themeFill="background1"/>
            <w:noWrap/>
          </w:tcPr>
          <w:p w14:paraId="03FFB35C"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0.24</w:t>
            </w:r>
          </w:p>
        </w:tc>
        <w:tc>
          <w:tcPr>
            <w:tcW w:w="1148" w:type="dxa"/>
            <w:shd w:val="clear" w:color="auto" w:fill="FFFFFF" w:themeFill="background1"/>
            <w:noWrap/>
          </w:tcPr>
          <w:p w14:paraId="039073F1" w14:textId="77777777"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0.37</w:t>
            </w:r>
          </w:p>
        </w:tc>
        <w:tc>
          <w:tcPr>
            <w:tcW w:w="1115" w:type="dxa"/>
            <w:shd w:val="clear" w:color="auto" w:fill="FFFFFF" w:themeFill="background1"/>
            <w:noWrap/>
          </w:tcPr>
          <w:p w14:paraId="57BC9BC6" w14:textId="1529456B"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0.29</w:t>
            </w:r>
            <w:r w:rsidR="002C3DA1" w:rsidRPr="007D2CA9">
              <w:rPr>
                <w:rFonts w:ascii="Times New Roman" w:eastAsia="Times New Roman" w:hAnsi="Times New Roman" w:cs="Times New Roman"/>
                <w:color w:val="000000"/>
                <w:lang w:eastAsia="en-GB"/>
              </w:rPr>
              <w:t>*</w:t>
            </w:r>
          </w:p>
        </w:tc>
        <w:tc>
          <w:tcPr>
            <w:tcW w:w="869" w:type="dxa"/>
            <w:shd w:val="clear" w:color="auto" w:fill="FFFFFF" w:themeFill="background1"/>
            <w:noWrap/>
          </w:tcPr>
          <w:p w14:paraId="79B0CFBF" w14:textId="75DA9B60"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0.42</w:t>
            </w:r>
            <w:r w:rsidR="002C3DA1" w:rsidRPr="007D2CA9">
              <w:rPr>
                <w:rFonts w:ascii="Times New Roman" w:eastAsia="Times New Roman" w:hAnsi="Times New Roman" w:cs="Times New Roman"/>
                <w:color w:val="000000"/>
                <w:lang w:eastAsia="en-GB"/>
              </w:rPr>
              <w:t>*</w:t>
            </w:r>
          </w:p>
        </w:tc>
        <w:tc>
          <w:tcPr>
            <w:tcW w:w="1649" w:type="dxa"/>
            <w:shd w:val="clear" w:color="auto" w:fill="FFFFFF" w:themeFill="background1"/>
            <w:noWrap/>
          </w:tcPr>
          <w:p w14:paraId="0F1EC3E8" w14:textId="7FA77128"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0.17</w:t>
            </w:r>
            <w:r w:rsidR="002C3DA1" w:rsidRPr="007D2CA9">
              <w:rPr>
                <w:rFonts w:ascii="Times New Roman" w:eastAsia="Times New Roman" w:hAnsi="Times New Roman" w:cs="Times New Roman"/>
                <w:color w:val="000000"/>
                <w:lang w:eastAsia="en-GB"/>
              </w:rPr>
              <w:t>*</w:t>
            </w:r>
          </w:p>
        </w:tc>
        <w:tc>
          <w:tcPr>
            <w:tcW w:w="931" w:type="dxa"/>
            <w:shd w:val="clear" w:color="auto" w:fill="FFFFFF" w:themeFill="background1"/>
            <w:noWrap/>
          </w:tcPr>
          <w:p w14:paraId="2A4E55F4" w14:textId="6EF2239B" w:rsidR="00164949" w:rsidRPr="007D2CA9" w:rsidRDefault="00164949" w:rsidP="00164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0.27</w:t>
            </w:r>
            <w:r w:rsidR="002C3DA1" w:rsidRPr="007D2CA9">
              <w:rPr>
                <w:rFonts w:ascii="Times New Roman" w:eastAsia="Times New Roman" w:hAnsi="Times New Roman" w:cs="Times New Roman"/>
                <w:color w:val="000000"/>
                <w:lang w:eastAsia="en-GB"/>
              </w:rPr>
              <w:t>*</w:t>
            </w:r>
          </w:p>
        </w:tc>
      </w:tr>
      <w:tr w:rsidR="00164949" w:rsidRPr="007D2CA9" w14:paraId="5BA710EE" w14:textId="77777777" w:rsidTr="004156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3" w:type="dxa"/>
            <w:shd w:val="clear" w:color="auto" w:fill="FFFFFF" w:themeFill="background1"/>
            <w:noWrap/>
            <w:hideMark/>
          </w:tcPr>
          <w:p w14:paraId="449B52B3" w14:textId="77777777" w:rsidR="00164949" w:rsidRPr="007D2CA9" w:rsidRDefault="00164949" w:rsidP="00164949">
            <w:pPr>
              <w:rPr>
                <w:rFonts w:ascii="Times New Roman" w:eastAsia="Times New Roman" w:hAnsi="Times New Roman" w:cs="Times New Roman"/>
                <w:b w:val="0"/>
                <w:color w:val="000000"/>
                <w:lang w:eastAsia="en-GB"/>
              </w:rPr>
            </w:pPr>
            <w:r w:rsidRPr="007D2CA9">
              <w:rPr>
                <w:rFonts w:ascii="Times New Roman" w:eastAsia="Times New Roman" w:hAnsi="Times New Roman" w:cs="Times New Roman"/>
                <w:b w:val="0"/>
                <w:color w:val="000000"/>
                <w:lang w:eastAsia="en-GB"/>
              </w:rPr>
              <w:t>Observations</w:t>
            </w:r>
          </w:p>
        </w:tc>
        <w:tc>
          <w:tcPr>
            <w:tcW w:w="1471" w:type="dxa"/>
            <w:shd w:val="clear" w:color="auto" w:fill="FFFFFF" w:themeFill="background1"/>
            <w:noWrap/>
            <w:hideMark/>
          </w:tcPr>
          <w:p w14:paraId="15C068DC"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1,853</w:t>
            </w:r>
          </w:p>
        </w:tc>
        <w:tc>
          <w:tcPr>
            <w:tcW w:w="1148" w:type="dxa"/>
            <w:shd w:val="clear" w:color="auto" w:fill="FFFFFF" w:themeFill="background1"/>
            <w:noWrap/>
            <w:hideMark/>
          </w:tcPr>
          <w:p w14:paraId="11836C82"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1,996</w:t>
            </w:r>
          </w:p>
        </w:tc>
        <w:tc>
          <w:tcPr>
            <w:tcW w:w="1115" w:type="dxa"/>
            <w:shd w:val="clear" w:color="auto" w:fill="FFFFFF" w:themeFill="background1"/>
            <w:noWrap/>
            <w:hideMark/>
          </w:tcPr>
          <w:p w14:paraId="79E66D9F"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2,339</w:t>
            </w:r>
          </w:p>
        </w:tc>
        <w:tc>
          <w:tcPr>
            <w:tcW w:w="869" w:type="dxa"/>
            <w:shd w:val="clear" w:color="auto" w:fill="FFFFFF" w:themeFill="background1"/>
            <w:noWrap/>
            <w:hideMark/>
          </w:tcPr>
          <w:p w14:paraId="18086806"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2,219</w:t>
            </w:r>
          </w:p>
        </w:tc>
        <w:tc>
          <w:tcPr>
            <w:tcW w:w="1649" w:type="dxa"/>
            <w:shd w:val="clear" w:color="auto" w:fill="FFFFFF" w:themeFill="background1"/>
            <w:noWrap/>
          </w:tcPr>
          <w:p w14:paraId="158B5A04"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4,194</w:t>
            </w:r>
          </w:p>
        </w:tc>
        <w:tc>
          <w:tcPr>
            <w:tcW w:w="931" w:type="dxa"/>
            <w:shd w:val="clear" w:color="auto" w:fill="FFFFFF" w:themeFill="background1"/>
            <w:noWrap/>
          </w:tcPr>
          <w:p w14:paraId="1E0908E6" w14:textId="77777777" w:rsidR="00164949" w:rsidRPr="007D2CA9" w:rsidRDefault="00164949" w:rsidP="00164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7D2CA9">
              <w:rPr>
                <w:rFonts w:ascii="Times New Roman" w:eastAsia="Times New Roman" w:hAnsi="Times New Roman" w:cs="Times New Roman"/>
                <w:color w:val="000000"/>
                <w:lang w:eastAsia="en-GB"/>
              </w:rPr>
              <w:t>3,974</w:t>
            </w:r>
          </w:p>
        </w:tc>
      </w:tr>
    </w:tbl>
    <w:p w14:paraId="33416F33" w14:textId="35663272" w:rsidR="005814F7" w:rsidRDefault="00415651" w:rsidP="00192072">
      <w:pPr>
        <w:rPr>
          <w:rFonts w:ascii="Garamond" w:hAnsi="Garamond"/>
        </w:rPr>
      </w:pPr>
      <w:r w:rsidRPr="007D2CA9">
        <w:rPr>
          <w:rFonts w:ascii="Garamond" w:hAnsi="Garamond"/>
          <w:sz w:val="20"/>
          <w:szCs w:val="20"/>
        </w:rPr>
        <w:t>Where * and ** indicates that the mean is statistically different from the corresponding 1991 value at the 5% and 1% level, respectively.</w:t>
      </w:r>
      <w:r>
        <w:rPr>
          <w:rFonts w:ascii="Garamond" w:hAnsi="Garamond"/>
          <w:sz w:val="20"/>
          <w:szCs w:val="20"/>
        </w:rPr>
        <w:t xml:space="preserve"> </w:t>
      </w:r>
    </w:p>
    <w:p w14:paraId="24C9820B" w14:textId="77777777" w:rsidR="005814F7" w:rsidRPr="005814F7" w:rsidRDefault="005814F7" w:rsidP="005814F7">
      <w:pPr>
        <w:rPr>
          <w:rFonts w:ascii="Garamond" w:hAnsi="Garamond"/>
        </w:rPr>
      </w:pPr>
    </w:p>
    <w:p w14:paraId="37D30293" w14:textId="77777777" w:rsidR="005814F7" w:rsidRPr="005814F7" w:rsidRDefault="005814F7" w:rsidP="005814F7">
      <w:pPr>
        <w:rPr>
          <w:rFonts w:ascii="Garamond" w:hAnsi="Garamond"/>
        </w:rPr>
      </w:pPr>
    </w:p>
    <w:p w14:paraId="3F59EAAE" w14:textId="77777777" w:rsidR="005814F7" w:rsidRPr="005814F7" w:rsidRDefault="005814F7" w:rsidP="005814F7">
      <w:pPr>
        <w:rPr>
          <w:rFonts w:ascii="Garamond" w:hAnsi="Garamond"/>
        </w:rPr>
      </w:pPr>
    </w:p>
    <w:p w14:paraId="7231F49F" w14:textId="77777777" w:rsidR="005814F7" w:rsidRPr="005814F7" w:rsidRDefault="005814F7" w:rsidP="005814F7">
      <w:pPr>
        <w:rPr>
          <w:rFonts w:ascii="Garamond" w:hAnsi="Garamond"/>
        </w:rPr>
      </w:pPr>
    </w:p>
    <w:p w14:paraId="2CAA0759" w14:textId="781B02D2" w:rsidR="005814F7" w:rsidRDefault="005814F7" w:rsidP="005814F7">
      <w:pPr>
        <w:tabs>
          <w:tab w:val="left" w:pos="6695"/>
        </w:tabs>
        <w:rPr>
          <w:rFonts w:ascii="Garamond" w:hAnsi="Garamond"/>
        </w:rPr>
      </w:pPr>
      <w:r>
        <w:rPr>
          <w:rFonts w:ascii="Garamond" w:hAnsi="Garamond"/>
        </w:rPr>
        <w:tab/>
      </w:r>
    </w:p>
    <w:p w14:paraId="648F0E03" w14:textId="4A3983BC" w:rsidR="00D3368F" w:rsidRPr="000932A9" w:rsidRDefault="00164949" w:rsidP="00164949">
      <w:pPr>
        <w:rPr>
          <w:rFonts w:ascii="Garamond" w:hAnsi="Garamond"/>
        </w:rPr>
      </w:pPr>
      <w:r w:rsidRPr="005814F7">
        <w:rPr>
          <w:rFonts w:ascii="Garamond" w:hAnsi="Garamond"/>
        </w:rPr>
        <w:br w:type="page"/>
      </w:r>
    </w:p>
    <w:p w14:paraId="7053D137" w14:textId="77777777" w:rsidR="00164949" w:rsidRPr="000932A9" w:rsidRDefault="00164949" w:rsidP="00164949">
      <w:pPr>
        <w:spacing w:line="360" w:lineRule="auto"/>
        <w:rPr>
          <w:rFonts w:ascii="Garamond" w:hAnsi="Garamond"/>
        </w:rPr>
      </w:pPr>
      <w:r w:rsidRPr="000932A9">
        <w:rPr>
          <w:rFonts w:ascii="Garamond" w:hAnsi="Garamond"/>
          <w:b/>
        </w:rPr>
        <w:lastRenderedPageBreak/>
        <w:t xml:space="preserve">Appendix Table A2 </w:t>
      </w:r>
      <w:r w:rsidRPr="000932A9">
        <w:rPr>
          <w:rFonts w:ascii="Garamond" w:hAnsi="Garamond"/>
        </w:rPr>
        <w:t xml:space="preserve">OLS estimates of job satisfaction by gender, 1991, 2008 and </w:t>
      </w:r>
      <w:r>
        <w:rPr>
          <w:rFonts w:ascii="Garamond" w:hAnsi="Garamond"/>
        </w:rPr>
        <w:t>2012-</w:t>
      </w:r>
      <w:r w:rsidRPr="000932A9">
        <w:rPr>
          <w:rFonts w:ascii="Garamond" w:hAnsi="Garamond"/>
        </w:rPr>
        <w:t>2014</w:t>
      </w:r>
    </w:p>
    <w:tbl>
      <w:tblPr>
        <w:tblW w:w="11278" w:type="dxa"/>
        <w:jc w:val="center"/>
        <w:tblLayout w:type="fixed"/>
        <w:tblCellMar>
          <w:left w:w="75" w:type="dxa"/>
          <w:right w:w="75" w:type="dxa"/>
        </w:tblCellMar>
        <w:tblLook w:val="0000" w:firstRow="0" w:lastRow="0" w:firstColumn="0" w:lastColumn="0" w:noHBand="0" w:noVBand="0"/>
      </w:tblPr>
      <w:tblGrid>
        <w:gridCol w:w="2300"/>
        <w:gridCol w:w="1653"/>
        <w:gridCol w:w="1329"/>
        <w:gridCol w:w="1540"/>
        <w:gridCol w:w="1584"/>
        <w:gridCol w:w="1474"/>
        <w:gridCol w:w="1398"/>
      </w:tblGrid>
      <w:tr w:rsidR="00164949" w:rsidRPr="000932A9" w14:paraId="03CD4B4B" w14:textId="77777777" w:rsidTr="00164949">
        <w:trPr>
          <w:jc w:val="center"/>
        </w:trPr>
        <w:tc>
          <w:tcPr>
            <w:tcW w:w="2300" w:type="dxa"/>
            <w:tcBorders>
              <w:top w:val="single" w:sz="6" w:space="0" w:color="auto"/>
              <w:left w:val="nil"/>
              <w:bottom w:val="nil"/>
              <w:right w:val="nil"/>
            </w:tcBorders>
          </w:tcPr>
          <w:p w14:paraId="5A8E151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2982" w:type="dxa"/>
            <w:gridSpan w:val="2"/>
            <w:tcBorders>
              <w:top w:val="single" w:sz="6" w:space="0" w:color="auto"/>
              <w:left w:val="nil"/>
              <w:bottom w:val="nil"/>
              <w:right w:val="nil"/>
            </w:tcBorders>
          </w:tcPr>
          <w:p w14:paraId="17CB81E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1991</w:t>
            </w:r>
          </w:p>
        </w:tc>
        <w:tc>
          <w:tcPr>
            <w:tcW w:w="3124" w:type="dxa"/>
            <w:gridSpan w:val="2"/>
            <w:tcBorders>
              <w:top w:val="single" w:sz="6" w:space="0" w:color="auto"/>
              <w:left w:val="nil"/>
              <w:bottom w:val="nil"/>
              <w:right w:val="nil"/>
            </w:tcBorders>
          </w:tcPr>
          <w:p w14:paraId="7543220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2008</w:t>
            </w:r>
          </w:p>
        </w:tc>
        <w:tc>
          <w:tcPr>
            <w:tcW w:w="2872" w:type="dxa"/>
            <w:gridSpan w:val="2"/>
            <w:tcBorders>
              <w:top w:val="single" w:sz="6" w:space="0" w:color="auto"/>
              <w:left w:val="nil"/>
              <w:bottom w:val="nil"/>
              <w:right w:val="nil"/>
            </w:tcBorders>
          </w:tcPr>
          <w:p w14:paraId="2B7D5FB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2012-</w:t>
            </w:r>
            <w:r w:rsidRPr="000932A9">
              <w:rPr>
                <w:rFonts w:ascii="Times New Roman" w:hAnsi="Times New Roman" w:cs="Times New Roman"/>
              </w:rPr>
              <w:t>2014</w:t>
            </w:r>
          </w:p>
        </w:tc>
      </w:tr>
      <w:tr w:rsidR="00164949" w:rsidRPr="000932A9" w14:paraId="042465DA" w14:textId="77777777" w:rsidTr="00164949">
        <w:trPr>
          <w:jc w:val="center"/>
        </w:trPr>
        <w:tc>
          <w:tcPr>
            <w:tcW w:w="2300" w:type="dxa"/>
            <w:tcBorders>
              <w:top w:val="nil"/>
              <w:left w:val="nil"/>
              <w:bottom w:val="nil"/>
              <w:right w:val="nil"/>
            </w:tcBorders>
          </w:tcPr>
          <w:p w14:paraId="75CE39F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03936C2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female</w:t>
            </w:r>
          </w:p>
        </w:tc>
        <w:tc>
          <w:tcPr>
            <w:tcW w:w="1329" w:type="dxa"/>
            <w:tcBorders>
              <w:top w:val="nil"/>
              <w:left w:val="nil"/>
              <w:bottom w:val="nil"/>
              <w:right w:val="nil"/>
            </w:tcBorders>
          </w:tcPr>
          <w:p w14:paraId="49A9453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male</w:t>
            </w:r>
          </w:p>
        </w:tc>
        <w:tc>
          <w:tcPr>
            <w:tcW w:w="1540" w:type="dxa"/>
            <w:tcBorders>
              <w:top w:val="nil"/>
              <w:left w:val="nil"/>
              <w:bottom w:val="nil"/>
              <w:right w:val="nil"/>
            </w:tcBorders>
          </w:tcPr>
          <w:p w14:paraId="7DD17DD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female</w:t>
            </w:r>
          </w:p>
        </w:tc>
        <w:tc>
          <w:tcPr>
            <w:tcW w:w="1584" w:type="dxa"/>
            <w:tcBorders>
              <w:top w:val="nil"/>
              <w:left w:val="nil"/>
              <w:bottom w:val="nil"/>
              <w:right w:val="nil"/>
            </w:tcBorders>
          </w:tcPr>
          <w:p w14:paraId="68D65F2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male</w:t>
            </w:r>
          </w:p>
        </w:tc>
        <w:tc>
          <w:tcPr>
            <w:tcW w:w="1474" w:type="dxa"/>
            <w:tcBorders>
              <w:top w:val="nil"/>
              <w:left w:val="nil"/>
              <w:bottom w:val="nil"/>
              <w:right w:val="nil"/>
            </w:tcBorders>
          </w:tcPr>
          <w:p w14:paraId="030E1DB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female</w:t>
            </w:r>
          </w:p>
        </w:tc>
        <w:tc>
          <w:tcPr>
            <w:tcW w:w="1398" w:type="dxa"/>
            <w:tcBorders>
              <w:top w:val="nil"/>
              <w:left w:val="nil"/>
              <w:bottom w:val="nil"/>
              <w:right w:val="nil"/>
            </w:tcBorders>
          </w:tcPr>
          <w:p w14:paraId="4F978DB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male</w:t>
            </w:r>
          </w:p>
        </w:tc>
      </w:tr>
      <w:tr w:rsidR="00164949" w:rsidRPr="000932A9" w14:paraId="2E593321" w14:textId="77777777" w:rsidTr="00164949">
        <w:trPr>
          <w:jc w:val="center"/>
        </w:trPr>
        <w:tc>
          <w:tcPr>
            <w:tcW w:w="2300" w:type="dxa"/>
            <w:tcBorders>
              <w:top w:val="nil"/>
              <w:left w:val="nil"/>
              <w:bottom w:val="nil"/>
              <w:right w:val="nil"/>
            </w:tcBorders>
          </w:tcPr>
          <w:p w14:paraId="03640170" w14:textId="77777777" w:rsidR="00164949" w:rsidRPr="000932A9" w:rsidRDefault="00164949" w:rsidP="00164949">
            <w:pPr>
              <w:widowControl w:val="0"/>
              <w:autoSpaceDE w:val="0"/>
              <w:autoSpaceDN w:val="0"/>
              <w:adjustRightInd w:val="0"/>
              <w:spacing w:after="0" w:line="240" w:lineRule="auto"/>
              <w:ind w:left="422" w:hanging="422"/>
              <w:rPr>
                <w:rFonts w:ascii="Times New Roman" w:hAnsi="Times New Roman" w:cs="Times New Roman"/>
              </w:rPr>
            </w:pPr>
          </w:p>
        </w:tc>
        <w:tc>
          <w:tcPr>
            <w:tcW w:w="1653" w:type="dxa"/>
            <w:tcBorders>
              <w:top w:val="nil"/>
              <w:left w:val="nil"/>
              <w:bottom w:val="nil"/>
              <w:right w:val="nil"/>
            </w:tcBorders>
          </w:tcPr>
          <w:p w14:paraId="2E97E3B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29" w:type="dxa"/>
            <w:tcBorders>
              <w:top w:val="nil"/>
              <w:left w:val="nil"/>
              <w:bottom w:val="nil"/>
              <w:right w:val="nil"/>
            </w:tcBorders>
          </w:tcPr>
          <w:p w14:paraId="14083FB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40" w:type="dxa"/>
            <w:tcBorders>
              <w:top w:val="nil"/>
              <w:left w:val="nil"/>
              <w:bottom w:val="nil"/>
              <w:right w:val="nil"/>
            </w:tcBorders>
          </w:tcPr>
          <w:p w14:paraId="1B80637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2773760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74" w:type="dxa"/>
            <w:tcBorders>
              <w:top w:val="nil"/>
              <w:left w:val="nil"/>
              <w:bottom w:val="nil"/>
              <w:right w:val="nil"/>
            </w:tcBorders>
          </w:tcPr>
          <w:p w14:paraId="13831F0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98" w:type="dxa"/>
            <w:tcBorders>
              <w:top w:val="nil"/>
              <w:left w:val="nil"/>
              <w:bottom w:val="nil"/>
              <w:right w:val="nil"/>
            </w:tcBorders>
          </w:tcPr>
          <w:p w14:paraId="2849B2B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259B888E" w14:textId="77777777" w:rsidTr="00164949">
        <w:trPr>
          <w:jc w:val="center"/>
        </w:trPr>
        <w:tc>
          <w:tcPr>
            <w:tcW w:w="2300" w:type="dxa"/>
            <w:tcBorders>
              <w:top w:val="nil"/>
              <w:left w:val="nil"/>
              <w:bottom w:val="nil"/>
              <w:right w:val="nil"/>
            </w:tcBorders>
          </w:tcPr>
          <w:p w14:paraId="2F0B320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Age</w:t>
            </w:r>
          </w:p>
        </w:tc>
        <w:tc>
          <w:tcPr>
            <w:tcW w:w="1653" w:type="dxa"/>
            <w:tcBorders>
              <w:top w:val="nil"/>
              <w:left w:val="nil"/>
              <w:bottom w:val="nil"/>
              <w:right w:val="nil"/>
            </w:tcBorders>
          </w:tcPr>
          <w:p w14:paraId="5B8A595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-0.0648***</w:t>
            </w:r>
          </w:p>
        </w:tc>
        <w:tc>
          <w:tcPr>
            <w:tcW w:w="1329" w:type="dxa"/>
            <w:tcBorders>
              <w:top w:val="nil"/>
              <w:left w:val="nil"/>
              <w:bottom w:val="nil"/>
              <w:right w:val="nil"/>
            </w:tcBorders>
          </w:tcPr>
          <w:p w14:paraId="6591ED3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-0.0966***</w:t>
            </w:r>
          </w:p>
        </w:tc>
        <w:tc>
          <w:tcPr>
            <w:tcW w:w="1540" w:type="dxa"/>
            <w:tcBorders>
              <w:top w:val="nil"/>
              <w:left w:val="nil"/>
              <w:bottom w:val="nil"/>
              <w:right w:val="nil"/>
            </w:tcBorders>
          </w:tcPr>
          <w:p w14:paraId="2A4640E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-0.0198</w:t>
            </w:r>
          </w:p>
        </w:tc>
        <w:tc>
          <w:tcPr>
            <w:tcW w:w="1584" w:type="dxa"/>
            <w:tcBorders>
              <w:top w:val="nil"/>
              <w:left w:val="nil"/>
              <w:bottom w:val="nil"/>
              <w:right w:val="nil"/>
            </w:tcBorders>
          </w:tcPr>
          <w:p w14:paraId="6435BE2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-0.0171</w:t>
            </w:r>
          </w:p>
        </w:tc>
        <w:tc>
          <w:tcPr>
            <w:tcW w:w="1474" w:type="dxa"/>
            <w:tcBorders>
              <w:top w:val="nil"/>
              <w:left w:val="nil"/>
              <w:bottom w:val="nil"/>
              <w:right w:val="nil"/>
            </w:tcBorders>
          </w:tcPr>
          <w:p w14:paraId="7CCCDA3F"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-0.0129</w:t>
            </w:r>
          </w:p>
        </w:tc>
        <w:tc>
          <w:tcPr>
            <w:tcW w:w="1398" w:type="dxa"/>
            <w:tcBorders>
              <w:top w:val="nil"/>
              <w:left w:val="nil"/>
              <w:bottom w:val="nil"/>
              <w:right w:val="nil"/>
            </w:tcBorders>
          </w:tcPr>
          <w:p w14:paraId="59DD9B4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-0.0477***</w:t>
            </w:r>
          </w:p>
        </w:tc>
      </w:tr>
      <w:tr w:rsidR="00164949" w:rsidRPr="000932A9" w14:paraId="217B7343" w14:textId="77777777" w:rsidTr="00164949">
        <w:trPr>
          <w:jc w:val="center"/>
        </w:trPr>
        <w:tc>
          <w:tcPr>
            <w:tcW w:w="2300" w:type="dxa"/>
            <w:tcBorders>
              <w:top w:val="nil"/>
              <w:left w:val="nil"/>
              <w:bottom w:val="nil"/>
              <w:right w:val="nil"/>
            </w:tcBorders>
          </w:tcPr>
          <w:p w14:paraId="5AD2702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562637D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(0.0234)</w:t>
            </w:r>
          </w:p>
        </w:tc>
        <w:tc>
          <w:tcPr>
            <w:tcW w:w="1329" w:type="dxa"/>
            <w:tcBorders>
              <w:top w:val="nil"/>
              <w:left w:val="nil"/>
              <w:bottom w:val="nil"/>
              <w:right w:val="nil"/>
            </w:tcBorders>
          </w:tcPr>
          <w:p w14:paraId="1339874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(0.0220)</w:t>
            </w:r>
          </w:p>
        </w:tc>
        <w:tc>
          <w:tcPr>
            <w:tcW w:w="1540" w:type="dxa"/>
            <w:tcBorders>
              <w:top w:val="nil"/>
              <w:left w:val="nil"/>
              <w:bottom w:val="nil"/>
              <w:right w:val="nil"/>
            </w:tcBorders>
          </w:tcPr>
          <w:p w14:paraId="21087E6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(0.0165)</w:t>
            </w:r>
          </w:p>
        </w:tc>
        <w:tc>
          <w:tcPr>
            <w:tcW w:w="1584" w:type="dxa"/>
            <w:tcBorders>
              <w:top w:val="nil"/>
              <w:left w:val="nil"/>
              <w:bottom w:val="nil"/>
              <w:right w:val="nil"/>
            </w:tcBorders>
          </w:tcPr>
          <w:p w14:paraId="5DE5D85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(0.0152)</w:t>
            </w:r>
          </w:p>
        </w:tc>
        <w:tc>
          <w:tcPr>
            <w:tcW w:w="1474" w:type="dxa"/>
            <w:tcBorders>
              <w:top w:val="nil"/>
              <w:left w:val="nil"/>
              <w:bottom w:val="nil"/>
              <w:right w:val="nil"/>
            </w:tcBorders>
          </w:tcPr>
          <w:p w14:paraId="55A92771"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(0.0167)</w:t>
            </w:r>
          </w:p>
        </w:tc>
        <w:tc>
          <w:tcPr>
            <w:tcW w:w="1398" w:type="dxa"/>
            <w:tcBorders>
              <w:top w:val="nil"/>
              <w:left w:val="nil"/>
              <w:bottom w:val="nil"/>
              <w:right w:val="nil"/>
            </w:tcBorders>
          </w:tcPr>
          <w:p w14:paraId="555B0FD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(0.0146)</w:t>
            </w:r>
          </w:p>
        </w:tc>
      </w:tr>
      <w:tr w:rsidR="00164949" w:rsidRPr="000932A9" w14:paraId="4563B855" w14:textId="77777777" w:rsidTr="00164949">
        <w:trPr>
          <w:jc w:val="center"/>
        </w:trPr>
        <w:tc>
          <w:tcPr>
            <w:tcW w:w="2300" w:type="dxa"/>
            <w:tcBorders>
              <w:top w:val="nil"/>
              <w:left w:val="nil"/>
              <w:bottom w:val="nil"/>
              <w:right w:val="nil"/>
            </w:tcBorders>
          </w:tcPr>
          <w:p w14:paraId="1801A81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vertAlign w:val="superscript"/>
              </w:rPr>
            </w:pPr>
            <w:r w:rsidRPr="000932A9">
              <w:rPr>
                <w:rFonts w:ascii="Times New Roman" w:hAnsi="Times New Roman" w:cs="Times New Roman"/>
              </w:rPr>
              <w:t>Age</w:t>
            </w:r>
            <w:r w:rsidRPr="000932A9">
              <w:rPr>
                <w:rFonts w:ascii="Times New Roman" w:hAnsi="Times New Roman" w:cs="Times New Roman"/>
                <w:vertAlign w:val="superscript"/>
              </w:rPr>
              <w:t>2</w:t>
            </w:r>
          </w:p>
        </w:tc>
        <w:tc>
          <w:tcPr>
            <w:tcW w:w="1653" w:type="dxa"/>
            <w:tcBorders>
              <w:top w:val="nil"/>
              <w:left w:val="nil"/>
              <w:bottom w:val="nil"/>
              <w:right w:val="nil"/>
            </w:tcBorders>
          </w:tcPr>
          <w:p w14:paraId="129AFAB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0.000948***</w:t>
            </w:r>
          </w:p>
        </w:tc>
        <w:tc>
          <w:tcPr>
            <w:tcW w:w="1329" w:type="dxa"/>
            <w:tcBorders>
              <w:top w:val="nil"/>
              <w:left w:val="nil"/>
              <w:bottom w:val="nil"/>
              <w:right w:val="nil"/>
            </w:tcBorders>
          </w:tcPr>
          <w:p w14:paraId="5E8FF47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0.00132***</w:t>
            </w:r>
          </w:p>
        </w:tc>
        <w:tc>
          <w:tcPr>
            <w:tcW w:w="1540" w:type="dxa"/>
            <w:tcBorders>
              <w:top w:val="nil"/>
              <w:left w:val="nil"/>
              <w:bottom w:val="nil"/>
              <w:right w:val="nil"/>
            </w:tcBorders>
          </w:tcPr>
          <w:p w14:paraId="53A2AB2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0.000240</w:t>
            </w:r>
          </w:p>
        </w:tc>
        <w:tc>
          <w:tcPr>
            <w:tcW w:w="1584" w:type="dxa"/>
            <w:tcBorders>
              <w:top w:val="nil"/>
              <w:left w:val="nil"/>
              <w:bottom w:val="nil"/>
              <w:right w:val="nil"/>
            </w:tcBorders>
          </w:tcPr>
          <w:p w14:paraId="228E132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0.000231</w:t>
            </w:r>
          </w:p>
        </w:tc>
        <w:tc>
          <w:tcPr>
            <w:tcW w:w="1474" w:type="dxa"/>
            <w:tcBorders>
              <w:top w:val="nil"/>
              <w:left w:val="nil"/>
              <w:bottom w:val="nil"/>
              <w:right w:val="nil"/>
            </w:tcBorders>
          </w:tcPr>
          <w:p w14:paraId="3F807F6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0.000169</w:t>
            </w:r>
          </w:p>
        </w:tc>
        <w:tc>
          <w:tcPr>
            <w:tcW w:w="1398" w:type="dxa"/>
            <w:tcBorders>
              <w:top w:val="nil"/>
              <w:left w:val="nil"/>
              <w:bottom w:val="nil"/>
              <w:right w:val="nil"/>
            </w:tcBorders>
          </w:tcPr>
          <w:p w14:paraId="3FA5596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0.000550***</w:t>
            </w:r>
          </w:p>
        </w:tc>
      </w:tr>
      <w:tr w:rsidR="00164949" w:rsidRPr="000932A9" w14:paraId="1D003CDB" w14:textId="77777777" w:rsidTr="00164949">
        <w:trPr>
          <w:jc w:val="center"/>
        </w:trPr>
        <w:tc>
          <w:tcPr>
            <w:tcW w:w="2300" w:type="dxa"/>
            <w:tcBorders>
              <w:top w:val="nil"/>
              <w:left w:val="nil"/>
              <w:bottom w:val="nil"/>
              <w:right w:val="nil"/>
            </w:tcBorders>
          </w:tcPr>
          <w:p w14:paraId="1DA36EA5"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21D87AA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(0.000309)</w:t>
            </w:r>
          </w:p>
        </w:tc>
        <w:tc>
          <w:tcPr>
            <w:tcW w:w="1329" w:type="dxa"/>
            <w:tcBorders>
              <w:top w:val="nil"/>
              <w:left w:val="nil"/>
              <w:bottom w:val="nil"/>
              <w:right w:val="nil"/>
            </w:tcBorders>
          </w:tcPr>
          <w:p w14:paraId="08E5E97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(0.000272)</w:t>
            </w:r>
          </w:p>
        </w:tc>
        <w:tc>
          <w:tcPr>
            <w:tcW w:w="1540" w:type="dxa"/>
            <w:tcBorders>
              <w:top w:val="nil"/>
              <w:left w:val="nil"/>
              <w:bottom w:val="nil"/>
              <w:right w:val="nil"/>
            </w:tcBorders>
          </w:tcPr>
          <w:p w14:paraId="7739D4F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(0.000210)</w:t>
            </w:r>
          </w:p>
        </w:tc>
        <w:tc>
          <w:tcPr>
            <w:tcW w:w="1584" w:type="dxa"/>
            <w:tcBorders>
              <w:top w:val="nil"/>
              <w:left w:val="nil"/>
              <w:bottom w:val="nil"/>
              <w:right w:val="nil"/>
            </w:tcBorders>
          </w:tcPr>
          <w:p w14:paraId="00ACE38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(0.000184)</w:t>
            </w:r>
          </w:p>
        </w:tc>
        <w:tc>
          <w:tcPr>
            <w:tcW w:w="1474" w:type="dxa"/>
            <w:tcBorders>
              <w:top w:val="nil"/>
              <w:left w:val="nil"/>
              <w:bottom w:val="nil"/>
              <w:right w:val="nil"/>
            </w:tcBorders>
          </w:tcPr>
          <w:p w14:paraId="03A2529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(0.000210)</w:t>
            </w:r>
          </w:p>
        </w:tc>
        <w:tc>
          <w:tcPr>
            <w:tcW w:w="1398" w:type="dxa"/>
            <w:tcBorders>
              <w:top w:val="nil"/>
              <w:left w:val="nil"/>
              <w:bottom w:val="nil"/>
              <w:right w:val="nil"/>
            </w:tcBorders>
          </w:tcPr>
          <w:p w14:paraId="054757C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(0.000175)</w:t>
            </w:r>
          </w:p>
        </w:tc>
      </w:tr>
      <w:tr w:rsidR="00164949" w:rsidRPr="000932A9" w14:paraId="5E4B5BCD" w14:textId="77777777" w:rsidTr="00164949">
        <w:trPr>
          <w:jc w:val="center"/>
        </w:trPr>
        <w:tc>
          <w:tcPr>
            <w:tcW w:w="2300" w:type="dxa"/>
            <w:tcBorders>
              <w:top w:val="nil"/>
              <w:left w:val="nil"/>
              <w:bottom w:val="nil"/>
              <w:right w:val="nil"/>
            </w:tcBorders>
          </w:tcPr>
          <w:p w14:paraId="2D2B6EE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Married</w:t>
            </w:r>
          </w:p>
        </w:tc>
        <w:tc>
          <w:tcPr>
            <w:tcW w:w="1653" w:type="dxa"/>
            <w:tcBorders>
              <w:top w:val="nil"/>
              <w:left w:val="nil"/>
              <w:bottom w:val="nil"/>
              <w:right w:val="nil"/>
            </w:tcBorders>
          </w:tcPr>
          <w:p w14:paraId="764A9E6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0.126</w:t>
            </w:r>
          </w:p>
        </w:tc>
        <w:tc>
          <w:tcPr>
            <w:tcW w:w="1329" w:type="dxa"/>
            <w:tcBorders>
              <w:top w:val="nil"/>
              <w:left w:val="nil"/>
              <w:bottom w:val="nil"/>
              <w:right w:val="nil"/>
            </w:tcBorders>
          </w:tcPr>
          <w:p w14:paraId="27AB093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0.00673</w:t>
            </w:r>
          </w:p>
        </w:tc>
        <w:tc>
          <w:tcPr>
            <w:tcW w:w="1540" w:type="dxa"/>
            <w:tcBorders>
              <w:top w:val="nil"/>
              <w:left w:val="nil"/>
              <w:bottom w:val="nil"/>
              <w:right w:val="nil"/>
            </w:tcBorders>
          </w:tcPr>
          <w:p w14:paraId="678D674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0.0728</w:t>
            </w:r>
          </w:p>
        </w:tc>
        <w:tc>
          <w:tcPr>
            <w:tcW w:w="1584" w:type="dxa"/>
            <w:tcBorders>
              <w:top w:val="nil"/>
              <w:left w:val="nil"/>
              <w:bottom w:val="nil"/>
              <w:right w:val="nil"/>
            </w:tcBorders>
          </w:tcPr>
          <w:p w14:paraId="36C123D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-0.0474</w:t>
            </w:r>
          </w:p>
        </w:tc>
        <w:tc>
          <w:tcPr>
            <w:tcW w:w="1474" w:type="dxa"/>
            <w:tcBorders>
              <w:top w:val="nil"/>
              <w:left w:val="nil"/>
              <w:bottom w:val="nil"/>
              <w:right w:val="nil"/>
            </w:tcBorders>
          </w:tcPr>
          <w:p w14:paraId="2A896073"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0.0258</w:t>
            </w:r>
          </w:p>
        </w:tc>
        <w:tc>
          <w:tcPr>
            <w:tcW w:w="1398" w:type="dxa"/>
            <w:tcBorders>
              <w:top w:val="nil"/>
              <w:left w:val="nil"/>
              <w:bottom w:val="nil"/>
              <w:right w:val="nil"/>
            </w:tcBorders>
          </w:tcPr>
          <w:p w14:paraId="7345F81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0.00530</w:t>
            </w:r>
          </w:p>
        </w:tc>
      </w:tr>
      <w:tr w:rsidR="00164949" w:rsidRPr="000932A9" w14:paraId="5DCC1B82" w14:textId="77777777" w:rsidTr="00164949">
        <w:trPr>
          <w:jc w:val="center"/>
        </w:trPr>
        <w:tc>
          <w:tcPr>
            <w:tcW w:w="2300" w:type="dxa"/>
            <w:tcBorders>
              <w:top w:val="nil"/>
              <w:left w:val="nil"/>
              <w:bottom w:val="nil"/>
              <w:right w:val="nil"/>
            </w:tcBorders>
          </w:tcPr>
          <w:p w14:paraId="0C0DB26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0481AE4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(0.0800)</w:t>
            </w:r>
          </w:p>
        </w:tc>
        <w:tc>
          <w:tcPr>
            <w:tcW w:w="1329" w:type="dxa"/>
            <w:tcBorders>
              <w:top w:val="nil"/>
              <w:left w:val="nil"/>
              <w:bottom w:val="nil"/>
              <w:right w:val="nil"/>
            </w:tcBorders>
          </w:tcPr>
          <w:p w14:paraId="7E0693C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(0.0925)</w:t>
            </w:r>
          </w:p>
        </w:tc>
        <w:tc>
          <w:tcPr>
            <w:tcW w:w="1540" w:type="dxa"/>
            <w:tcBorders>
              <w:top w:val="nil"/>
              <w:left w:val="nil"/>
              <w:bottom w:val="nil"/>
              <w:right w:val="nil"/>
            </w:tcBorders>
          </w:tcPr>
          <w:p w14:paraId="5D5F506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(0.0539)</w:t>
            </w:r>
          </w:p>
        </w:tc>
        <w:tc>
          <w:tcPr>
            <w:tcW w:w="1584" w:type="dxa"/>
            <w:tcBorders>
              <w:top w:val="nil"/>
              <w:left w:val="nil"/>
              <w:bottom w:val="nil"/>
              <w:right w:val="nil"/>
            </w:tcBorders>
          </w:tcPr>
          <w:p w14:paraId="2C9C012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(0.0591)</w:t>
            </w:r>
          </w:p>
        </w:tc>
        <w:tc>
          <w:tcPr>
            <w:tcW w:w="1474" w:type="dxa"/>
            <w:tcBorders>
              <w:top w:val="nil"/>
              <w:left w:val="nil"/>
              <w:bottom w:val="nil"/>
              <w:right w:val="nil"/>
            </w:tcBorders>
          </w:tcPr>
          <w:p w14:paraId="77E4A2B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(0.0464)</w:t>
            </w:r>
          </w:p>
        </w:tc>
        <w:tc>
          <w:tcPr>
            <w:tcW w:w="1398" w:type="dxa"/>
            <w:tcBorders>
              <w:top w:val="nil"/>
              <w:left w:val="nil"/>
              <w:bottom w:val="nil"/>
              <w:right w:val="nil"/>
            </w:tcBorders>
          </w:tcPr>
          <w:p w14:paraId="1943EC47"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(0.0509)</w:t>
            </w:r>
          </w:p>
        </w:tc>
      </w:tr>
      <w:tr w:rsidR="00164949" w:rsidRPr="000932A9" w14:paraId="69F31B7C" w14:textId="77777777" w:rsidTr="00164949">
        <w:trPr>
          <w:jc w:val="center"/>
        </w:trPr>
        <w:tc>
          <w:tcPr>
            <w:tcW w:w="2300" w:type="dxa"/>
            <w:tcBorders>
              <w:top w:val="nil"/>
              <w:left w:val="nil"/>
              <w:bottom w:val="nil"/>
              <w:right w:val="nil"/>
            </w:tcBorders>
          </w:tcPr>
          <w:p w14:paraId="7A48418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Dependent Child</w:t>
            </w:r>
          </w:p>
        </w:tc>
        <w:tc>
          <w:tcPr>
            <w:tcW w:w="1653" w:type="dxa"/>
            <w:tcBorders>
              <w:top w:val="nil"/>
              <w:left w:val="nil"/>
              <w:bottom w:val="nil"/>
              <w:right w:val="nil"/>
            </w:tcBorders>
          </w:tcPr>
          <w:p w14:paraId="41061F0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0.0453</w:t>
            </w:r>
          </w:p>
        </w:tc>
        <w:tc>
          <w:tcPr>
            <w:tcW w:w="1329" w:type="dxa"/>
            <w:tcBorders>
              <w:top w:val="nil"/>
              <w:left w:val="nil"/>
              <w:bottom w:val="nil"/>
              <w:right w:val="nil"/>
            </w:tcBorders>
          </w:tcPr>
          <w:p w14:paraId="22E0FA5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0.0698</w:t>
            </w:r>
          </w:p>
        </w:tc>
        <w:tc>
          <w:tcPr>
            <w:tcW w:w="1540" w:type="dxa"/>
            <w:tcBorders>
              <w:top w:val="nil"/>
              <w:left w:val="nil"/>
              <w:bottom w:val="nil"/>
              <w:right w:val="nil"/>
            </w:tcBorders>
          </w:tcPr>
          <w:p w14:paraId="2BF0377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0.0277</w:t>
            </w:r>
          </w:p>
        </w:tc>
        <w:tc>
          <w:tcPr>
            <w:tcW w:w="1584" w:type="dxa"/>
            <w:tcBorders>
              <w:top w:val="nil"/>
              <w:left w:val="nil"/>
              <w:bottom w:val="nil"/>
              <w:right w:val="nil"/>
            </w:tcBorders>
          </w:tcPr>
          <w:p w14:paraId="398DA17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0.00303</w:t>
            </w:r>
          </w:p>
        </w:tc>
        <w:tc>
          <w:tcPr>
            <w:tcW w:w="1474" w:type="dxa"/>
            <w:tcBorders>
              <w:top w:val="nil"/>
              <w:left w:val="nil"/>
              <w:bottom w:val="nil"/>
              <w:right w:val="nil"/>
            </w:tcBorders>
          </w:tcPr>
          <w:p w14:paraId="0978DB2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0.0336</w:t>
            </w:r>
          </w:p>
        </w:tc>
        <w:tc>
          <w:tcPr>
            <w:tcW w:w="1398" w:type="dxa"/>
            <w:tcBorders>
              <w:top w:val="nil"/>
              <w:left w:val="nil"/>
              <w:bottom w:val="nil"/>
              <w:right w:val="nil"/>
            </w:tcBorders>
          </w:tcPr>
          <w:p w14:paraId="7C7D31F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0.120**</w:t>
            </w:r>
          </w:p>
        </w:tc>
      </w:tr>
      <w:tr w:rsidR="00164949" w:rsidRPr="000932A9" w14:paraId="51F22CC9" w14:textId="77777777" w:rsidTr="00164949">
        <w:trPr>
          <w:jc w:val="center"/>
        </w:trPr>
        <w:tc>
          <w:tcPr>
            <w:tcW w:w="2300" w:type="dxa"/>
            <w:tcBorders>
              <w:top w:val="nil"/>
              <w:left w:val="nil"/>
              <w:bottom w:val="nil"/>
              <w:right w:val="nil"/>
            </w:tcBorders>
          </w:tcPr>
          <w:p w14:paraId="2E7251F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72BF5C7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(0.0801)</w:t>
            </w:r>
          </w:p>
        </w:tc>
        <w:tc>
          <w:tcPr>
            <w:tcW w:w="1329" w:type="dxa"/>
            <w:tcBorders>
              <w:top w:val="nil"/>
              <w:left w:val="nil"/>
              <w:bottom w:val="nil"/>
              <w:right w:val="nil"/>
            </w:tcBorders>
          </w:tcPr>
          <w:p w14:paraId="324B95C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(0.0800)</w:t>
            </w:r>
          </w:p>
        </w:tc>
        <w:tc>
          <w:tcPr>
            <w:tcW w:w="1540" w:type="dxa"/>
            <w:tcBorders>
              <w:top w:val="nil"/>
              <w:left w:val="nil"/>
              <w:bottom w:val="nil"/>
              <w:right w:val="nil"/>
            </w:tcBorders>
          </w:tcPr>
          <w:p w14:paraId="18BEBF7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(0.0551)</w:t>
            </w:r>
          </w:p>
        </w:tc>
        <w:tc>
          <w:tcPr>
            <w:tcW w:w="1584" w:type="dxa"/>
            <w:tcBorders>
              <w:top w:val="nil"/>
              <w:left w:val="nil"/>
              <w:bottom w:val="nil"/>
              <w:right w:val="nil"/>
            </w:tcBorders>
          </w:tcPr>
          <w:p w14:paraId="68C380C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(0.0569)</w:t>
            </w:r>
          </w:p>
        </w:tc>
        <w:tc>
          <w:tcPr>
            <w:tcW w:w="1474" w:type="dxa"/>
            <w:tcBorders>
              <w:top w:val="nil"/>
              <w:left w:val="nil"/>
              <w:bottom w:val="nil"/>
              <w:right w:val="nil"/>
            </w:tcBorders>
          </w:tcPr>
          <w:p w14:paraId="2F3068FA"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(0.0528)</w:t>
            </w:r>
          </w:p>
        </w:tc>
        <w:tc>
          <w:tcPr>
            <w:tcW w:w="1398" w:type="dxa"/>
            <w:tcBorders>
              <w:top w:val="nil"/>
              <w:left w:val="nil"/>
              <w:bottom w:val="nil"/>
              <w:right w:val="nil"/>
            </w:tcBorders>
          </w:tcPr>
          <w:p w14:paraId="6F37FD02"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(0.0518)</w:t>
            </w:r>
          </w:p>
        </w:tc>
      </w:tr>
      <w:tr w:rsidR="00164949" w:rsidRPr="000932A9" w14:paraId="1567A8B2" w14:textId="77777777" w:rsidTr="00164949">
        <w:trPr>
          <w:jc w:val="center"/>
        </w:trPr>
        <w:tc>
          <w:tcPr>
            <w:tcW w:w="2300" w:type="dxa"/>
            <w:tcBorders>
              <w:top w:val="nil"/>
              <w:left w:val="nil"/>
              <w:bottom w:val="nil"/>
              <w:right w:val="nil"/>
            </w:tcBorders>
          </w:tcPr>
          <w:p w14:paraId="52AD0CF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A Level</w:t>
            </w:r>
          </w:p>
        </w:tc>
        <w:tc>
          <w:tcPr>
            <w:tcW w:w="1653" w:type="dxa"/>
            <w:tcBorders>
              <w:top w:val="nil"/>
              <w:left w:val="nil"/>
              <w:bottom w:val="nil"/>
              <w:right w:val="nil"/>
            </w:tcBorders>
          </w:tcPr>
          <w:p w14:paraId="53D803F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-0.393***</w:t>
            </w:r>
          </w:p>
        </w:tc>
        <w:tc>
          <w:tcPr>
            <w:tcW w:w="1329" w:type="dxa"/>
            <w:tcBorders>
              <w:top w:val="nil"/>
              <w:left w:val="nil"/>
              <w:bottom w:val="nil"/>
              <w:right w:val="nil"/>
            </w:tcBorders>
          </w:tcPr>
          <w:p w14:paraId="211C6A6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-0.294***</w:t>
            </w:r>
          </w:p>
        </w:tc>
        <w:tc>
          <w:tcPr>
            <w:tcW w:w="1540" w:type="dxa"/>
            <w:tcBorders>
              <w:top w:val="nil"/>
              <w:left w:val="nil"/>
              <w:bottom w:val="nil"/>
              <w:right w:val="nil"/>
            </w:tcBorders>
          </w:tcPr>
          <w:p w14:paraId="5A2AC5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0.0222</w:t>
            </w:r>
          </w:p>
        </w:tc>
        <w:tc>
          <w:tcPr>
            <w:tcW w:w="1584" w:type="dxa"/>
            <w:tcBorders>
              <w:top w:val="nil"/>
              <w:left w:val="nil"/>
              <w:bottom w:val="nil"/>
              <w:right w:val="nil"/>
            </w:tcBorders>
          </w:tcPr>
          <w:p w14:paraId="35DB9F2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-0.129**</w:t>
            </w:r>
          </w:p>
        </w:tc>
        <w:tc>
          <w:tcPr>
            <w:tcW w:w="1474" w:type="dxa"/>
            <w:tcBorders>
              <w:top w:val="nil"/>
              <w:left w:val="nil"/>
              <w:bottom w:val="nil"/>
              <w:right w:val="nil"/>
            </w:tcBorders>
          </w:tcPr>
          <w:p w14:paraId="45745C8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-0.151***</w:t>
            </w:r>
          </w:p>
        </w:tc>
        <w:tc>
          <w:tcPr>
            <w:tcW w:w="1398" w:type="dxa"/>
            <w:tcBorders>
              <w:top w:val="nil"/>
              <w:left w:val="nil"/>
              <w:bottom w:val="nil"/>
              <w:right w:val="nil"/>
            </w:tcBorders>
          </w:tcPr>
          <w:p w14:paraId="1C0F637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-0.0853</w:t>
            </w:r>
          </w:p>
        </w:tc>
      </w:tr>
      <w:tr w:rsidR="00164949" w:rsidRPr="000932A9" w14:paraId="1DEFA80A" w14:textId="77777777" w:rsidTr="00164949">
        <w:trPr>
          <w:jc w:val="center"/>
        </w:trPr>
        <w:tc>
          <w:tcPr>
            <w:tcW w:w="2300" w:type="dxa"/>
            <w:tcBorders>
              <w:top w:val="nil"/>
              <w:left w:val="nil"/>
              <w:bottom w:val="nil"/>
              <w:right w:val="nil"/>
            </w:tcBorders>
          </w:tcPr>
          <w:p w14:paraId="44BF6DA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7EDFB52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(0.101)</w:t>
            </w:r>
          </w:p>
        </w:tc>
        <w:tc>
          <w:tcPr>
            <w:tcW w:w="1329" w:type="dxa"/>
            <w:tcBorders>
              <w:top w:val="nil"/>
              <w:left w:val="nil"/>
              <w:bottom w:val="nil"/>
              <w:right w:val="nil"/>
            </w:tcBorders>
          </w:tcPr>
          <w:p w14:paraId="6736810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(0.0925)</w:t>
            </w:r>
          </w:p>
        </w:tc>
        <w:tc>
          <w:tcPr>
            <w:tcW w:w="1540" w:type="dxa"/>
            <w:tcBorders>
              <w:top w:val="nil"/>
              <w:left w:val="nil"/>
              <w:bottom w:val="nil"/>
              <w:right w:val="nil"/>
            </w:tcBorders>
          </w:tcPr>
          <w:p w14:paraId="3101936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(0.0625)</w:t>
            </w:r>
          </w:p>
        </w:tc>
        <w:tc>
          <w:tcPr>
            <w:tcW w:w="1584" w:type="dxa"/>
            <w:tcBorders>
              <w:top w:val="nil"/>
              <w:left w:val="nil"/>
              <w:bottom w:val="nil"/>
              <w:right w:val="nil"/>
            </w:tcBorders>
          </w:tcPr>
          <w:p w14:paraId="247FF14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(0.0630)</w:t>
            </w:r>
          </w:p>
        </w:tc>
        <w:tc>
          <w:tcPr>
            <w:tcW w:w="1474" w:type="dxa"/>
            <w:tcBorders>
              <w:top w:val="nil"/>
              <w:left w:val="nil"/>
              <w:bottom w:val="nil"/>
              <w:right w:val="nil"/>
            </w:tcBorders>
          </w:tcPr>
          <w:p w14:paraId="5B578F4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(0.0569)</w:t>
            </w:r>
          </w:p>
        </w:tc>
        <w:tc>
          <w:tcPr>
            <w:tcW w:w="1398" w:type="dxa"/>
            <w:tcBorders>
              <w:top w:val="nil"/>
              <w:left w:val="nil"/>
              <w:bottom w:val="nil"/>
              <w:right w:val="nil"/>
            </w:tcBorders>
          </w:tcPr>
          <w:p w14:paraId="49214F65"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(0.0545)</w:t>
            </w:r>
          </w:p>
        </w:tc>
      </w:tr>
      <w:tr w:rsidR="00164949" w:rsidRPr="000932A9" w14:paraId="7B2D755F" w14:textId="77777777" w:rsidTr="00164949">
        <w:trPr>
          <w:jc w:val="center"/>
        </w:trPr>
        <w:tc>
          <w:tcPr>
            <w:tcW w:w="2300" w:type="dxa"/>
            <w:tcBorders>
              <w:top w:val="nil"/>
              <w:left w:val="nil"/>
              <w:bottom w:val="nil"/>
              <w:right w:val="nil"/>
            </w:tcBorders>
          </w:tcPr>
          <w:p w14:paraId="0E0E530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Diploma</w:t>
            </w:r>
          </w:p>
        </w:tc>
        <w:tc>
          <w:tcPr>
            <w:tcW w:w="1653" w:type="dxa"/>
            <w:tcBorders>
              <w:top w:val="nil"/>
              <w:left w:val="nil"/>
              <w:bottom w:val="nil"/>
              <w:right w:val="nil"/>
            </w:tcBorders>
          </w:tcPr>
          <w:p w14:paraId="5693699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-0.336**</w:t>
            </w:r>
          </w:p>
        </w:tc>
        <w:tc>
          <w:tcPr>
            <w:tcW w:w="1329" w:type="dxa"/>
            <w:tcBorders>
              <w:top w:val="nil"/>
              <w:left w:val="nil"/>
              <w:bottom w:val="nil"/>
              <w:right w:val="nil"/>
            </w:tcBorders>
          </w:tcPr>
          <w:p w14:paraId="704694F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-0.168</w:t>
            </w:r>
          </w:p>
        </w:tc>
        <w:tc>
          <w:tcPr>
            <w:tcW w:w="1540" w:type="dxa"/>
            <w:tcBorders>
              <w:top w:val="nil"/>
              <w:left w:val="nil"/>
              <w:bottom w:val="nil"/>
              <w:right w:val="nil"/>
            </w:tcBorders>
          </w:tcPr>
          <w:p w14:paraId="5ECE33D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-0.0227</w:t>
            </w:r>
          </w:p>
        </w:tc>
        <w:tc>
          <w:tcPr>
            <w:tcW w:w="1584" w:type="dxa"/>
            <w:tcBorders>
              <w:top w:val="nil"/>
              <w:left w:val="nil"/>
              <w:bottom w:val="nil"/>
              <w:right w:val="nil"/>
            </w:tcBorders>
          </w:tcPr>
          <w:p w14:paraId="27A7335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-0.0570</w:t>
            </w:r>
          </w:p>
        </w:tc>
        <w:tc>
          <w:tcPr>
            <w:tcW w:w="1474" w:type="dxa"/>
            <w:tcBorders>
              <w:top w:val="nil"/>
              <w:left w:val="nil"/>
              <w:bottom w:val="nil"/>
              <w:right w:val="nil"/>
            </w:tcBorders>
          </w:tcPr>
          <w:p w14:paraId="54697CF3"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-0.0479</w:t>
            </w:r>
          </w:p>
        </w:tc>
        <w:tc>
          <w:tcPr>
            <w:tcW w:w="1398" w:type="dxa"/>
            <w:tcBorders>
              <w:top w:val="nil"/>
              <w:left w:val="nil"/>
              <w:bottom w:val="nil"/>
              <w:right w:val="nil"/>
            </w:tcBorders>
          </w:tcPr>
          <w:p w14:paraId="6DEB692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-0.00502</w:t>
            </w:r>
          </w:p>
        </w:tc>
      </w:tr>
      <w:tr w:rsidR="00164949" w:rsidRPr="000932A9" w14:paraId="0B39CA45" w14:textId="77777777" w:rsidTr="00164949">
        <w:trPr>
          <w:jc w:val="center"/>
        </w:trPr>
        <w:tc>
          <w:tcPr>
            <w:tcW w:w="2300" w:type="dxa"/>
            <w:tcBorders>
              <w:top w:val="nil"/>
              <w:left w:val="nil"/>
              <w:bottom w:val="nil"/>
              <w:right w:val="nil"/>
            </w:tcBorders>
          </w:tcPr>
          <w:p w14:paraId="19FCC1E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10A7DFF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(0.156)</w:t>
            </w:r>
          </w:p>
        </w:tc>
        <w:tc>
          <w:tcPr>
            <w:tcW w:w="1329" w:type="dxa"/>
            <w:tcBorders>
              <w:top w:val="nil"/>
              <w:left w:val="nil"/>
              <w:bottom w:val="nil"/>
              <w:right w:val="nil"/>
            </w:tcBorders>
          </w:tcPr>
          <w:p w14:paraId="1348A64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(0.150)</w:t>
            </w:r>
          </w:p>
        </w:tc>
        <w:tc>
          <w:tcPr>
            <w:tcW w:w="1540" w:type="dxa"/>
            <w:tcBorders>
              <w:top w:val="nil"/>
              <w:left w:val="nil"/>
              <w:bottom w:val="nil"/>
              <w:right w:val="nil"/>
            </w:tcBorders>
          </w:tcPr>
          <w:p w14:paraId="6520DD6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(0.0963)</w:t>
            </w:r>
          </w:p>
        </w:tc>
        <w:tc>
          <w:tcPr>
            <w:tcW w:w="1584" w:type="dxa"/>
            <w:tcBorders>
              <w:top w:val="nil"/>
              <w:left w:val="nil"/>
              <w:bottom w:val="nil"/>
              <w:right w:val="nil"/>
            </w:tcBorders>
          </w:tcPr>
          <w:p w14:paraId="38DB3EF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(0.0993)</w:t>
            </w:r>
          </w:p>
        </w:tc>
        <w:tc>
          <w:tcPr>
            <w:tcW w:w="1474" w:type="dxa"/>
            <w:tcBorders>
              <w:top w:val="nil"/>
              <w:left w:val="nil"/>
              <w:bottom w:val="nil"/>
              <w:right w:val="nil"/>
            </w:tcBorders>
          </w:tcPr>
          <w:p w14:paraId="4E0B758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(0.0711)</w:t>
            </w:r>
          </w:p>
        </w:tc>
        <w:tc>
          <w:tcPr>
            <w:tcW w:w="1398" w:type="dxa"/>
            <w:tcBorders>
              <w:top w:val="nil"/>
              <w:left w:val="nil"/>
              <w:bottom w:val="nil"/>
              <w:right w:val="nil"/>
            </w:tcBorders>
          </w:tcPr>
          <w:p w14:paraId="28A98AA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(0.0788)</w:t>
            </w:r>
          </w:p>
        </w:tc>
      </w:tr>
      <w:tr w:rsidR="00164949" w:rsidRPr="000932A9" w14:paraId="6F18A17D" w14:textId="77777777" w:rsidTr="00164949">
        <w:trPr>
          <w:jc w:val="center"/>
        </w:trPr>
        <w:tc>
          <w:tcPr>
            <w:tcW w:w="2300" w:type="dxa"/>
            <w:tcBorders>
              <w:top w:val="nil"/>
              <w:left w:val="nil"/>
              <w:bottom w:val="nil"/>
              <w:right w:val="nil"/>
            </w:tcBorders>
          </w:tcPr>
          <w:p w14:paraId="43116E1E"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Degree or Higher</w:t>
            </w:r>
          </w:p>
        </w:tc>
        <w:tc>
          <w:tcPr>
            <w:tcW w:w="1653" w:type="dxa"/>
            <w:tcBorders>
              <w:top w:val="nil"/>
              <w:left w:val="nil"/>
              <w:bottom w:val="nil"/>
              <w:right w:val="nil"/>
            </w:tcBorders>
          </w:tcPr>
          <w:p w14:paraId="0EBA3F7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-0.817***</w:t>
            </w:r>
          </w:p>
        </w:tc>
        <w:tc>
          <w:tcPr>
            <w:tcW w:w="1329" w:type="dxa"/>
            <w:tcBorders>
              <w:top w:val="nil"/>
              <w:left w:val="nil"/>
              <w:bottom w:val="nil"/>
              <w:right w:val="nil"/>
            </w:tcBorders>
          </w:tcPr>
          <w:p w14:paraId="1A2114B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-0.367***</w:t>
            </w:r>
          </w:p>
        </w:tc>
        <w:tc>
          <w:tcPr>
            <w:tcW w:w="1540" w:type="dxa"/>
            <w:tcBorders>
              <w:top w:val="nil"/>
              <w:left w:val="nil"/>
              <w:bottom w:val="nil"/>
              <w:right w:val="nil"/>
            </w:tcBorders>
          </w:tcPr>
          <w:p w14:paraId="0224869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-0.113</w:t>
            </w:r>
          </w:p>
        </w:tc>
        <w:tc>
          <w:tcPr>
            <w:tcW w:w="1584" w:type="dxa"/>
            <w:tcBorders>
              <w:top w:val="nil"/>
              <w:left w:val="nil"/>
              <w:bottom w:val="nil"/>
              <w:right w:val="nil"/>
            </w:tcBorders>
          </w:tcPr>
          <w:p w14:paraId="4E4B83E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-0.162**</w:t>
            </w:r>
          </w:p>
        </w:tc>
        <w:tc>
          <w:tcPr>
            <w:tcW w:w="1474" w:type="dxa"/>
            <w:tcBorders>
              <w:top w:val="nil"/>
              <w:left w:val="nil"/>
              <w:bottom w:val="nil"/>
              <w:right w:val="nil"/>
            </w:tcBorders>
          </w:tcPr>
          <w:p w14:paraId="421102BA"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-0.122*</w:t>
            </w:r>
          </w:p>
        </w:tc>
        <w:tc>
          <w:tcPr>
            <w:tcW w:w="1398" w:type="dxa"/>
            <w:tcBorders>
              <w:top w:val="nil"/>
              <w:left w:val="nil"/>
              <w:bottom w:val="nil"/>
              <w:right w:val="nil"/>
            </w:tcBorders>
          </w:tcPr>
          <w:p w14:paraId="21A26C12"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-0.160**</w:t>
            </w:r>
          </w:p>
        </w:tc>
      </w:tr>
      <w:tr w:rsidR="00164949" w:rsidRPr="000932A9" w14:paraId="352D6062" w14:textId="77777777" w:rsidTr="00164949">
        <w:trPr>
          <w:jc w:val="center"/>
        </w:trPr>
        <w:tc>
          <w:tcPr>
            <w:tcW w:w="2300" w:type="dxa"/>
            <w:tcBorders>
              <w:top w:val="nil"/>
              <w:left w:val="nil"/>
              <w:bottom w:val="nil"/>
              <w:right w:val="nil"/>
            </w:tcBorders>
          </w:tcPr>
          <w:p w14:paraId="1EF8260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30D7D0D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(0.136)</w:t>
            </w:r>
          </w:p>
        </w:tc>
        <w:tc>
          <w:tcPr>
            <w:tcW w:w="1329" w:type="dxa"/>
            <w:tcBorders>
              <w:top w:val="nil"/>
              <w:left w:val="nil"/>
              <w:bottom w:val="nil"/>
              <w:right w:val="nil"/>
            </w:tcBorders>
          </w:tcPr>
          <w:p w14:paraId="6274342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(0.137)</w:t>
            </w:r>
          </w:p>
        </w:tc>
        <w:tc>
          <w:tcPr>
            <w:tcW w:w="1540" w:type="dxa"/>
            <w:tcBorders>
              <w:top w:val="nil"/>
              <w:left w:val="nil"/>
              <w:bottom w:val="nil"/>
              <w:right w:val="nil"/>
            </w:tcBorders>
          </w:tcPr>
          <w:p w14:paraId="1F00B64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(0.0752)</w:t>
            </w:r>
          </w:p>
        </w:tc>
        <w:tc>
          <w:tcPr>
            <w:tcW w:w="1584" w:type="dxa"/>
            <w:tcBorders>
              <w:top w:val="nil"/>
              <w:left w:val="nil"/>
              <w:bottom w:val="nil"/>
              <w:right w:val="nil"/>
            </w:tcBorders>
          </w:tcPr>
          <w:p w14:paraId="795D5E9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(0.0784)</w:t>
            </w:r>
          </w:p>
        </w:tc>
        <w:tc>
          <w:tcPr>
            <w:tcW w:w="1474" w:type="dxa"/>
            <w:tcBorders>
              <w:top w:val="nil"/>
              <w:left w:val="nil"/>
              <w:bottom w:val="nil"/>
              <w:right w:val="nil"/>
            </w:tcBorders>
          </w:tcPr>
          <w:p w14:paraId="0E01B0E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(0.0659)</w:t>
            </w:r>
          </w:p>
        </w:tc>
        <w:tc>
          <w:tcPr>
            <w:tcW w:w="1398" w:type="dxa"/>
            <w:tcBorders>
              <w:top w:val="nil"/>
              <w:left w:val="nil"/>
              <w:bottom w:val="nil"/>
              <w:right w:val="nil"/>
            </w:tcBorders>
          </w:tcPr>
          <w:p w14:paraId="71ED3C4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(0.0646)</w:t>
            </w:r>
          </w:p>
        </w:tc>
      </w:tr>
      <w:tr w:rsidR="00164949" w:rsidRPr="000932A9" w14:paraId="7A187C40" w14:textId="77777777" w:rsidTr="00164949">
        <w:trPr>
          <w:jc w:val="center"/>
        </w:trPr>
        <w:tc>
          <w:tcPr>
            <w:tcW w:w="2300" w:type="dxa"/>
            <w:tcBorders>
              <w:top w:val="nil"/>
              <w:left w:val="nil"/>
              <w:bottom w:val="nil"/>
              <w:right w:val="nil"/>
            </w:tcBorders>
          </w:tcPr>
          <w:p w14:paraId="28D75044"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Ln(Pay)</w:t>
            </w:r>
          </w:p>
        </w:tc>
        <w:tc>
          <w:tcPr>
            <w:tcW w:w="1653" w:type="dxa"/>
            <w:tcBorders>
              <w:top w:val="nil"/>
              <w:left w:val="nil"/>
              <w:bottom w:val="nil"/>
              <w:right w:val="nil"/>
            </w:tcBorders>
          </w:tcPr>
          <w:p w14:paraId="672F112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0.0954**</w:t>
            </w:r>
          </w:p>
        </w:tc>
        <w:tc>
          <w:tcPr>
            <w:tcW w:w="1329" w:type="dxa"/>
            <w:tcBorders>
              <w:top w:val="nil"/>
              <w:left w:val="nil"/>
              <w:bottom w:val="nil"/>
              <w:right w:val="nil"/>
            </w:tcBorders>
          </w:tcPr>
          <w:p w14:paraId="13B2C85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0.212***</w:t>
            </w:r>
          </w:p>
        </w:tc>
        <w:tc>
          <w:tcPr>
            <w:tcW w:w="1540" w:type="dxa"/>
            <w:tcBorders>
              <w:top w:val="nil"/>
              <w:left w:val="nil"/>
              <w:bottom w:val="nil"/>
              <w:right w:val="nil"/>
            </w:tcBorders>
          </w:tcPr>
          <w:p w14:paraId="4CBC4EA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0.0925**</w:t>
            </w:r>
          </w:p>
        </w:tc>
        <w:tc>
          <w:tcPr>
            <w:tcW w:w="1584" w:type="dxa"/>
            <w:tcBorders>
              <w:top w:val="nil"/>
              <w:left w:val="nil"/>
              <w:bottom w:val="nil"/>
              <w:right w:val="nil"/>
            </w:tcBorders>
          </w:tcPr>
          <w:p w14:paraId="6F232EF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0.0928***</w:t>
            </w:r>
          </w:p>
        </w:tc>
        <w:tc>
          <w:tcPr>
            <w:tcW w:w="1474" w:type="dxa"/>
            <w:tcBorders>
              <w:top w:val="nil"/>
              <w:left w:val="nil"/>
              <w:bottom w:val="nil"/>
              <w:right w:val="nil"/>
            </w:tcBorders>
          </w:tcPr>
          <w:p w14:paraId="33CDBE0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-0.0384</w:t>
            </w:r>
          </w:p>
        </w:tc>
        <w:tc>
          <w:tcPr>
            <w:tcW w:w="1398" w:type="dxa"/>
            <w:tcBorders>
              <w:top w:val="nil"/>
              <w:left w:val="nil"/>
              <w:bottom w:val="nil"/>
              <w:right w:val="nil"/>
            </w:tcBorders>
          </w:tcPr>
          <w:p w14:paraId="7700F08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0.0856***</w:t>
            </w:r>
          </w:p>
        </w:tc>
      </w:tr>
      <w:tr w:rsidR="00164949" w:rsidRPr="000932A9" w14:paraId="6AAA8D5B" w14:textId="77777777" w:rsidTr="00164949">
        <w:trPr>
          <w:jc w:val="center"/>
        </w:trPr>
        <w:tc>
          <w:tcPr>
            <w:tcW w:w="2300" w:type="dxa"/>
            <w:tcBorders>
              <w:top w:val="nil"/>
              <w:left w:val="nil"/>
              <w:bottom w:val="nil"/>
              <w:right w:val="nil"/>
            </w:tcBorders>
          </w:tcPr>
          <w:p w14:paraId="1863A45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41A4E95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(0.0481)</w:t>
            </w:r>
          </w:p>
        </w:tc>
        <w:tc>
          <w:tcPr>
            <w:tcW w:w="1329" w:type="dxa"/>
            <w:tcBorders>
              <w:top w:val="nil"/>
              <w:left w:val="nil"/>
              <w:bottom w:val="nil"/>
              <w:right w:val="nil"/>
            </w:tcBorders>
          </w:tcPr>
          <w:p w14:paraId="6E985D8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(0.0519)</w:t>
            </w:r>
          </w:p>
        </w:tc>
        <w:tc>
          <w:tcPr>
            <w:tcW w:w="1540" w:type="dxa"/>
            <w:tcBorders>
              <w:top w:val="nil"/>
              <w:left w:val="nil"/>
              <w:bottom w:val="nil"/>
              <w:right w:val="nil"/>
            </w:tcBorders>
          </w:tcPr>
          <w:p w14:paraId="6648393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(0.0397)</w:t>
            </w:r>
          </w:p>
        </w:tc>
        <w:tc>
          <w:tcPr>
            <w:tcW w:w="1584" w:type="dxa"/>
            <w:tcBorders>
              <w:top w:val="nil"/>
              <w:left w:val="nil"/>
              <w:bottom w:val="nil"/>
              <w:right w:val="nil"/>
            </w:tcBorders>
          </w:tcPr>
          <w:p w14:paraId="7BC6D51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(0.0328)</w:t>
            </w:r>
          </w:p>
        </w:tc>
        <w:tc>
          <w:tcPr>
            <w:tcW w:w="1474" w:type="dxa"/>
            <w:tcBorders>
              <w:top w:val="nil"/>
              <w:left w:val="nil"/>
              <w:bottom w:val="nil"/>
              <w:right w:val="nil"/>
            </w:tcBorders>
          </w:tcPr>
          <w:p w14:paraId="15EA518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(0.0366)</w:t>
            </w:r>
          </w:p>
        </w:tc>
        <w:tc>
          <w:tcPr>
            <w:tcW w:w="1398" w:type="dxa"/>
            <w:tcBorders>
              <w:top w:val="nil"/>
              <w:left w:val="nil"/>
              <w:bottom w:val="nil"/>
              <w:right w:val="nil"/>
            </w:tcBorders>
          </w:tcPr>
          <w:p w14:paraId="5945ED3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(0.0307)</w:t>
            </w:r>
          </w:p>
        </w:tc>
      </w:tr>
      <w:tr w:rsidR="00164949" w:rsidRPr="000932A9" w14:paraId="0B6F40D1" w14:textId="77777777" w:rsidTr="00164949">
        <w:trPr>
          <w:jc w:val="center"/>
        </w:trPr>
        <w:tc>
          <w:tcPr>
            <w:tcW w:w="2300" w:type="dxa"/>
            <w:tcBorders>
              <w:top w:val="nil"/>
              <w:left w:val="nil"/>
              <w:bottom w:val="nil"/>
              <w:right w:val="nil"/>
            </w:tcBorders>
          </w:tcPr>
          <w:p w14:paraId="2BFDBA3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Normal Hours</w:t>
            </w:r>
          </w:p>
        </w:tc>
        <w:tc>
          <w:tcPr>
            <w:tcW w:w="1653" w:type="dxa"/>
            <w:tcBorders>
              <w:top w:val="nil"/>
              <w:left w:val="nil"/>
              <w:bottom w:val="nil"/>
              <w:right w:val="nil"/>
            </w:tcBorders>
          </w:tcPr>
          <w:p w14:paraId="3FDEC2B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-0.0148***</w:t>
            </w:r>
          </w:p>
        </w:tc>
        <w:tc>
          <w:tcPr>
            <w:tcW w:w="1329" w:type="dxa"/>
            <w:tcBorders>
              <w:top w:val="nil"/>
              <w:left w:val="nil"/>
              <w:bottom w:val="nil"/>
              <w:right w:val="nil"/>
            </w:tcBorders>
          </w:tcPr>
          <w:p w14:paraId="5FE12A1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-0.00190</w:t>
            </w:r>
          </w:p>
        </w:tc>
        <w:tc>
          <w:tcPr>
            <w:tcW w:w="1540" w:type="dxa"/>
            <w:tcBorders>
              <w:top w:val="nil"/>
              <w:left w:val="nil"/>
              <w:bottom w:val="nil"/>
              <w:right w:val="nil"/>
            </w:tcBorders>
          </w:tcPr>
          <w:p w14:paraId="5C19A4D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-0.00850**</w:t>
            </w:r>
          </w:p>
        </w:tc>
        <w:tc>
          <w:tcPr>
            <w:tcW w:w="1584" w:type="dxa"/>
            <w:tcBorders>
              <w:top w:val="nil"/>
              <w:left w:val="nil"/>
              <w:bottom w:val="nil"/>
              <w:right w:val="nil"/>
            </w:tcBorders>
          </w:tcPr>
          <w:p w14:paraId="5ED624D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-0.00464</w:t>
            </w:r>
          </w:p>
        </w:tc>
        <w:tc>
          <w:tcPr>
            <w:tcW w:w="1474" w:type="dxa"/>
            <w:tcBorders>
              <w:top w:val="nil"/>
              <w:left w:val="nil"/>
              <w:bottom w:val="nil"/>
              <w:right w:val="nil"/>
            </w:tcBorders>
          </w:tcPr>
          <w:p w14:paraId="58516B82"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0.00219</w:t>
            </w:r>
          </w:p>
        </w:tc>
        <w:tc>
          <w:tcPr>
            <w:tcW w:w="1398" w:type="dxa"/>
            <w:tcBorders>
              <w:top w:val="nil"/>
              <w:left w:val="nil"/>
              <w:bottom w:val="nil"/>
              <w:right w:val="nil"/>
            </w:tcBorders>
          </w:tcPr>
          <w:p w14:paraId="469634AA"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0.00205</w:t>
            </w:r>
          </w:p>
        </w:tc>
      </w:tr>
      <w:tr w:rsidR="00164949" w:rsidRPr="000932A9" w14:paraId="73FFA6AB" w14:textId="77777777" w:rsidTr="00164949">
        <w:trPr>
          <w:jc w:val="center"/>
        </w:trPr>
        <w:tc>
          <w:tcPr>
            <w:tcW w:w="2300" w:type="dxa"/>
            <w:tcBorders>
              <w:top w:val="nil"/>
              <w:left w:val="nil"/>
              <w:bottom w:val="nil"/>
              <w:right w:val="nil"/>
            </w:tcBorders>
          </w:tcPr>
          <w:p w14:paraId="46164A5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602F098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(0.00426)</w:t>
            </w:r>
          </w:p>
        </w:tc>
        <w:tc>
          <w:tcPr>
            <w:tcW w:w="1329" w:type="dxa"/>
            <w:tcBorders>
              <w:top w:val="nil"/>
              <w:left w:val="nil"/>
              <w:bottom w:val="nil"/>
              <w:right w:val="nil"/>
            </w:tcBorders>
          </w:tcPr>
          <w:p w14:paraId="078E628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(0.00463)</w:t>
            </w:r>
          </w:p>
        </w:tc>
        <w:tc>
          <w:tcPr>
            <w:tcW w:w="1540" w:type="dxa"/>
            <w:tcBorders>
              <w:top w:val="nil"/>
              <w:left w:val="nil"/>
              <w:bottom w:val="nil"/>
              <w:right w:val="nil"/>
            </w:tcBorders>
          </w:tcPr>
          <w:p w14:paraId="7C66BBF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(0.00332)</w:t>
            </w:r>
          </w:p>
        </w:tc>
        <w:tc>
          <w:tcPr>
            <w:tcW w:w="1584" w:type="dxa"/>
            <w:tcBorders>
              <w:top w:val="nil"/>
              <w:left w:val="nil"/>
              <w:bottom w:val="nil"/>
              <w:right w:val="nil"/>
            </w:tcBorders>
          </w:tcPr>
          <w:p w14:paraId="0C46EF2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(0.00390)</w:t>
            </w:r>
          </w:p>
        </w:tc>
        <w:tc>
          <w:tcPr>
            <w:tcW w:w="1474" w:type="dxa"/>
            <w:tcBorders>
              <w:top w:val="nil"/>
              <w:left w:val="nil"/>
              <w:bottom w:val="nil"/>
              <w:right w:val="nil"/>
            </w:tcBorders>
          </w:tcPr>
          <w:p w14:paraId="18511943"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(0.00283)</w:t>
            </w:r>
          </w:p>
        </w:tc>
        <w:tc>
          <w:tcPr>
            <w:tcW w:w="1398" w:type="dxa"/>
            <w:tcBorders>
              <w:top w:val="nil"/>
              <w:left w:val="nil"/>
              <w:bottom w:val="nil"/>
              <w:right w:val="nil"/>
            </w:tcBorders>
          </w:tcPr>
          <w:p w14:paraId="7A42E95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(0.00296)</w:t>
            </w:r>
          </w:p>
        </w:tc>
      </w:tr>
      <w:tr w:rsidR="00164949" w:rsidRPr="000932A9" w14:paraId="323A350E" w14:textId="77777777" w:rsidTr="00164949">
        <w:trPr>
          <w:jc w:val="center"/>
        </w:trPr>
        <w:tc>
          <w:tcPr>
            <w:tcW w:w="2300" w:type="dxa"/>
            <w:tcBorders>
              <w:top w:val="nil"/>
              <w:left w:val="nil"/>
              <w:bottom w:val="nil"/>
              <w:right w:val="nil"/>
            </w:tcBorders>
          </w:tcPr>
          <w:p w14:paraId="31A9E12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Overtime</w:t>
            </w:r>
          </w:p>
        </w:tc>
        <w:tc>
          <w:tcPr>
            <w:tcW w:w="1653" w:type="dxa"/>
            <w:tcBorders>
              <w:top w:val="nil"/>
              <w:left w:val="nil"/>
              <w:bottom w:val="nil"/>
              <w:right w:val="nil"/>
            </w:tcBorders>
          </w:tcPr>
          <w:p w14:paraId="5D2ECEA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0.0105</w:t>
            </w:r>
          </w:p>
        </w:tc>
        <w:tc>
          <w:tcPr>
            <w:tcW w:w="1329" w:type="dxa"/>
            <w:tcBorders>
              <w:top w:val="nil"/>
              <w:left w:val="nil"/>
              <w:bottom w:val="nil"/>
              <w:right w:val="nil"/>
            </w:tcBorders>
          </w:tcPr>
          <w:p w14:paraId="67BB062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-0.00185</w:t>
            </w:r>
          </w:p>
        </w:tc>
        <w:tc>
          <w:tcPr>
            <w:tcW w:w="1540" w:type="dxa"/>
            <w:tcBorders>
              <w:top w:val="nil"/>
              <w:left w:val="nil"/>
              <w:bottom w:val="nil"/>
              <w:right w:val="nil"/>
            </w:tcBorders>
          </w:tcPr>
          <w:p w14:paraId="0CE8016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-0.00516</w:t>
            </w:r>
          </w:p>
        </w:tc>
        <w:tc>
          <w:tcPr>
            <w:tcW w:w="1584" w:type="dxa"/>
            <w:tcBorders>
              <w:top w:val="nil"/>
              <w:left w:val="nil"/>
              <w:bottom w:val="nil"/>
              <w:right w:val="nil"/>
            </w:tcBorders>
          </w:tcPr>
          <w:p w14:paraId="3B8B84B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0.00244</w:t>
            </w:r>
          </w:p>
        </w:tc>
        <w:tc>
          <w:tcPr>
            <w:tcW w:w="1474" w:type="dxa"/>
            <w:tcBorders>
              <w:top w:val="nil"/>
              <w:left w:val="nil"/>
              <w:bottom w:val="nil"/>
              <w:right w:val="nil"/>
            </w:tcBorders>
          </w:tcPr>
          <w:p w14:paraId="726F63A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0.00157</w:t>
            </w:r>
          </w:p>
        </w:tc>
        <w:tc>
          <w:tcPr>
            <w:tcW w:w="1398" w:type="dxa"/>
            <w:tcBorders>
              <w:top w:val="nil"/>
              <w:left w:val="nil"/>
              <w:bottom w:val="nil"/>
              <w:right w:val="nil"/>
            </w:tcBorders>
          </w:tcPr>
          <w:p w14:paraId="364FE613"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0.00601*</w:t>
            </w:r>
          </w:p>
        </w:tc>
      </w:tr>
      <w:tr w:rsidR="00164949" w:rsidRPr="000932A9" w14:paraId="1F260670" w14:textId="77777777" w:rsidTr="00164949">
        <w:trPr>
          <w:jc w:val="center"/>
        </w:trPr>
        <w:tc>
          <w:tcPr>
            <w:tcW w:w="2300" w:type="dxa"/>
            <w:tcBorders>
              <w:top w:val="nil"/>
              <w:left w:val="nil"/>
              <w:bottom w:val="nil"/>
              <w:right w:val="nil"/>
            </w:tcBorders>
          </w:tcPr>
          <w:p w14:paraId="7E121EDE"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1837211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(0.00750)</w:t>
            </w:r>
          </w:p>
        </w:tc>
        <w:tc>
          <w:tcPr>
            <w:tcW w:w="1329" w:type="dxa"/>
            <w:tcBorders>
              <w:top w:val="nil"/>
              <w:left w:val="nil"/>
              <w:bottom w:val="nil"/>
              <w:right w:val="nil"/>
            </w:tcBorders>
          </w:tcPr>
          <w:p w14:paraId="15FE0FC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(0.00487)</w:t>
            </w:r>
          </w:p>
        </w:tc>
        <w:tc>
          <w:tcPr>
            <w:tcW w:w="1540" w:type="dxa"/>
            <w:tcBorders>
              <w:top w:val="nil"/>
              <w:left w:val="nil"/>
              <w:bottom w:val="nil"/>
              <w:right w:val="nil"/>
            </w:tcBorders>
          </w:tcPr>
          <w:p w14:paraId="4EAF3E1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(0.00505)</w:t>
            </w:r>
          </w:p>
        </w:tc>
        <w:tc>
          <w:tcPr>
            <w:tcW w:w="1584" w:type="dxa"/>
            <w:tcBorders>
              <w:top w:val="nil"/>
              <w:left w:val="nil"/>
              <w:bottom w:val="nil"/>
              <w:right w:val="nil"/>
            </w:tcBorders>
          </w:tcPr>
          <w:p w14:paraId="33EF116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(0.00408)</w:t>
            </w:r>
          </w:p>
        </w:tc>
        <w:tc>
          <w:tcPr>
            <w:tcW w:w="1474" w:type="dxa"/>
            <w:tcBorders>
              <w:top w:val="nil"/>
              <w:left w:val="nil"/>
              <w:bottom w:val="nil"/>
              <w:right w:val="nil"/>
            </w:tcBorders>
          </w:tcPr>
          <w:p w14:paraId="757AF2E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(0.00394)</w:t>
            </w:r>
          </w:p>
        </w:tc>
        <w:tc>
          <w:tcPr>
            <w:tcW w:w="1398" w:type="dxa"/>
            <w:tcBorders>
              <w:top w:val="nil"/>
              <w:left w:val="nil"/>
              <w:bottom w:val="nil"/>
              <w:right w:val="nil"/>
            </w:tcBorders>
          </w:tcPr>
          <w:p w14:paraId="08C5965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(0.00339)</w:t>
            </w:r>
          </w:p>
        </w:tc>
      </w:tr>
      <w:tr w:rsidR="00164949" w:rsidRPr="000932A9" w14:paraId="4C77DBF0" w14:textId="77777777" w:rsidTr="00164949">
        <w:trPr>
          <w:jc w:val="center"/>
        </w:trPr>
        <w:tc>
          <w:tcPr>
            <w:tcW w:w="2300" w:type="dxa"/>
            <w:tcBorders>
              <w:top w:val="nil"/>
              <w:left w:val="nil"/>
              <w:bottom w:val="nil"/>
              <w:right w:val="nil"/>
            </w:tcBorders>
          </w:tcPr>
          <w:p w14:paraId="10D1C75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Union Member</w:t>
            </w:r>
          </w:p>
        </w:tc>
        <w:tc>
          <w:tcPr>
            <w:tcW w:w="1653" w:type="dxa"/>
            <w:tcBorders>
              <w:top w:val="nil"/>
              <w:left w:val="nil"/>
              <w:bottom w:val="nil"/>
              <w:right w:val="nil"/>
            </w:tcBorders>
          </w:tcPr>
          <w:p w14:paraId="5AD80C9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-0.0947</w:t>
            </w:r>
          </w:p>
        </w:tc>
        <w:tc>
          <w:tcPr>
            <w:tcW w:w="1329" w:type="dxa"/>
            <w:tcBorders>
              <w:top w:val="nil"/>
              <w:left w:val="nil"/>
              <w:bottom w:val="nil"/>
              <w:right w:val="nil"/>
            </w:tcBorders>
          </w:tcPr>
          <w:p w14:paraId="2D69115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-0.0223</w:t>
            </w:r>
          </w:p>
        </w:tc>
        <w:tc>
          <w:tcPr>
            <w:tcW w:w="1540" w:type="dxa"/>
            <w:tcBorders>
              <w:top w:val="nil"/>
              <w:left w:val="nil"/>
              <w:bottom w:val="nil"/>
              <w:right w:val="nil"/>
            </w:tcBorders>
          </w:tcPr>
          <w:p w14:paraId="32CA3D4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-0.0723</w:t>
            </w:r>
          </w:p>
        </w:tc>
        <w:tc>
          <w:tcPr>
            <w:tcW w:w="1584" w:type="dxa"/>
            <w:tcBorders>
              <w:top w:val="nil"/>
              <w:left w:val="nil"/>
              <w:bottom w:val="nil"/>
              <w:right w:val="nil"/>
            </w:tcBorders>
          </w:tcPr>
          <w:p w14:paraId="139E638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0.00698</w:t>
            </w:r>
          </w:p>
        </w:tc>
        <w:tc>
          <w:tcPr>
            <w:tcW w:w="1474" w:type="dxa"/>
            <w:tcBorders>
              <w:top w:val="nil"/>
              <w:left w:val="nil"/>
              <w:bottom w:val="nil"/>
              <w:right w:val="nil"/>
            </w:tcBorders>
          </w:tcPr>
          <w:p w14:paraId="3E5D007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-0.0620</w:t>
            </w:r>
          </w:p>
        </w:tc>
        <w:tc>
          <w:tcPr>
            <w:tcW w:w="1398" w:type="dxa"/>
            <w:tcBorders>
              <w:top w:val="nil"/>
              <w:left w:val="nil"/>
              <w:bottom w:val="nil"/>
              <w:right w:val="nil"/>
            </w:tcBorders>
          </w:tcPr>
          <w:p w14:paraId="10E8C26F"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-0.0873</w:t>
            </w:r>
          </w:p>
        </w:tc>
      </w:tr>
      <w:tr w:rsidR="00164949" w:rsidRPr="000932A9" w14:paraId="18C7D79A" w14:textId="77777777" w:rsidTr="00164949">
        <w:trPr>
          <w:jc w:val="center"/>
        </w:trPr>
        <w:tc>
          <w:tcPr>
            <w:tcW w:w="2300" w:type="dxa"/>
            <w:tcBorders>
              <w:top w:val="nil"/>
              <w:left w:val="nil"/>
              <w:bottom w:val="nil"/>
              <w:right w:val="nil"/>
            </w:tcBorders>
          </w:tcPr>
          <w:p w14:paraId="2D3D683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27D3101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(0.0814)</w:t>
            </w:r>
          </w:p>
        </w:tc>
        <w:tc>
          <w:tcPr>
            <w:tcW w:w="1329" w:type="dxa"/>
            <w:tcBorders>
              <w:top w:val="nil"/>
              <w:left w:val="nil"/>
              <w:bottom w:val="nil"/>
              <w:right w:val="nil"/>
            </w:tcBorders>
          </w:tcPr>
          <w:p w14:paraId="671E337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(0.0853)</w:t>
            </w:r>
          </w:p>
        </w:tc>
        <w:tc>
          <w:tcPr>
            <w:tcW w:w="1540" w:type="dxa"/>
            <w:tcBorders>
              <w:top w:val="nil"/>
              <w:left w:val="nil"/>
              <w:bottom w:val="nil"/>
              <w:right w:val="nil"/>
            </w:tcBorders>
          </w:tcPr>
          <w:p w14:paraId="0CA8B9D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(0.0600)</w:t>
            </w:r>
          </w:p>
        </w:tc>
        <w:tc>
          <w:tcPr>
            <w:tcW w:w="1584" w:type="dxa"/>
            <w:tcBorders>
              <w:top w:val="nil"/>
              <w:left w:val="nil"/>
              <w:bottom w:val="nil"/>
              <w:right w:val="nil"/>
            </w:tcBorders>
          </w:tcPr>
          <w:p w14:paraId="3FEE38A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(0.0638)</w:t>
            </w:r>
          </w:p>
        </w:tc>
        <w:tc>
          <w:tcPr>
            <w:tcW w:w="1474" w:type="dxa"/>
            <w:tcBorders>
              <w:top w:val="nil"/>
              <w:left w:val="nil"/>
              <w:bottom w:val="nil"/>
              <w:right w:val="nil"/>
            </w:tcBorders>
          </w:tcPr>
          <w:p w14:paraId="30FF7C4A"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(0.0523)</w:t>
            </w:r>
          </w:p>
        </w:tc>
        <w:tc>
          <w:tcPr>
            <w:tcW w:w="1398" w:type="dxa"/>
            <w:tcBorders>
              <w:top w:val="nil"/>
              <w:left w:val="nil"/>
              <w:bottom w:val="nil"/>
              <w:right w:val="nil"/>
            </w:tcBorders>
          </w:tcPr>
          <w:p w14:paraId="544FE9C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(0.0598)</w:t>
            </w:r>
          </w:p>
        </w:tc>
      </w:tr>
      <w:tr w:rsidR="00164949" w:rsidRPr="000932A9" w14:paraId="7EB75E99" w14:textId="77777777" w:rsidTr="00164949">
        <w:trPr>
          <w:jc w:val="center"/>
        </w:trPr>
        <w:tc>
          <w:tcPr>
            <w:tcW w:w="2300" w:type="dxa"/>
            <w:tcBorders>
              <w:top w:val="nil"/>
              <w:left w:val="nil"/>
              <w:bottom w:val="nil"/>
              <w:right w:val="nil"/>
            </w:tcBorders>
          </w:tcPr>
          <w:p w14:paraId="45A6E8C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Public Sector</w:t>
            </w:r>
          </w:p>
        </w:tc>
        <w:tc>
          <w:tcPr>
            <w:tcW w:w="1653" w:type="dxa"/>
            <w:tcBorders>
              <w:top w:val="nil"/>
              <w:left w:val="nil"/>
              <w:bottom w:val="nil"/>
              <w:right w:val="nil"/>
            </w:tcBorders>
          </w:tcPr>
          <w:p w14:paraId="2F3D6FE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0.0168</w:t>
            </w:r>
          </w:p>
        </w:tc>
        <w:tc>
          <w:tcPr>
            <w:tcW w:w="1329" w:type="dxa"/>
            <w:tcBorders>
              <w:top w:val="nil"/>
              <w:left w:val="nil"/>
              <w:bottom w:val="nil"/>
              <w:right w:val="nil"/>
            </w:tcBorders>
          </w:tcPr>
          <w:p w14:paraId="62FB386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-0.119</w:t>
            </w:r>
          </w:p>
        </w:tc>
        <w:tc>
          <w:tcPr>
            <w:tcW w:w="1540" w:type="dxa"/>
            <w:tcBorders>
              <w:top w:val="nil"/>
              <w:left w:val="nil"/>
              <w:bottom w:val="nil"/>
              <w:right w:val="nil"/>
            </w:tcBorders>
          </w:tcPr>
          <w:p w14:paraId="5AAEA8F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0.0559</w:t>
            </w:r>
          </w:p>
        </w:tc>
        <w:tc>
          <w:tcPr>
            <w:tcW w:w="1584" w:type="dxa"/>
            <w:tcBorders>
              <w:top w:val="nil"/>
              <w:left w:val="nil"/>
              <w:bottom w:val="nil"/>
              <w:right w:val="nil"/>
            </w:tcBorders>
          </w:tcPr>
          <w:p w14:paraId="79941F3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0.0792</w:t>
            </w:r>
          </w:p>
        </w:tc>
        <w:tc>
          <w:tcPr>
            <w:tcW w:w="1474" w:type="dxa"/>
            <w:tcBorders>
              <w:top w:val="nil"/>
              <w:left w:val="nil"/>
              <w:bottom w:val="nil"/>
              <w:right w:val="nil"/>
            </w:tcBorders>
          </w:tcPr>
          <w:p w14:paraId="427F1A0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0.232***</w:t>
            </w:r>
          </w:p>
        </w:tc>
        <w:tc>
          <w:tcPr>
            <w:tcW w:w="1398" w:type="dxa"/>
            <w:tcBorders>
              <w:top w:val="nil"/>
              <w:left w:val="nil"/>
              <w:bottom w:val="nil"/>
              <w:right w:val="nil"/>
            </w:tcBorders>
          </w:tcPr>
          <w:p w14:paraId="2116B20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0.0461</w:t>
            </w:r>
          </w:p>
        </w:tc>
      </w:tr>
      <w:tr w:rsidR="00164949" w:rsidRPr="000932A9" w14:paraId="042BB547" w14:textId="77777777" w:rsidTr="00164949">
        <w:trPr>
          <w:jc w:val="center"/>
        </w:trPr>
        <w:tc>
          <w:tcPr>
            <w:tcW w:w="2300" w:type="dxa"/>
            <w:tcBorders>
              <w:top w:val="nil"/>
              <w:left w:val="nil"/>
              <w:bottom w:val="nil"/>
              <w:right w:val="nil"/>
            </w:tcBorders>
          </w:tcPr>
          <w:p w14:paraId="5BB5010D"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49F6381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(0.114)</w:t>
            </w:r>
          </w:p>
        </w:tc>
        <w:tc>
          <w:tcPr>
            <w:tcW w:w="1329" w:type="dxa"/>
            <w:tcBorders>
              <w:top w:val="nil"/>
              <w:left w:val="nil"/>
              <w:bottom w:val="nil"/>
              <w:right w:val="nil"/>
            </w:tcBorders>
          </w:tcPr>
          <w:p w14:paraId="05D2F1E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(0.129)</w:t>
            </w:r>
          </w:p>
        </w:tc>
        <w:tc>
          <w:tcPr>
            <w:tcW w:w="1540" w:type="dxa"/>
            <w:tcBorders>
              <w:top w:val="nil"/>
              <w:left w:val="nil"/>
              <w:bottom w:val="nil"/>
              <w:right w:val="nil"/>
            </w:tcBorders>
          </w:tcPr>
          <w:p w14:paraId="0896BDB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(0.0744)</w:t>
            </w:r>
          </w:p>
        </w:tc>
        <w:tc>
          <w:tcPr>
            <w:tcW w:w="1584" w:type="dxa"/>
            <w:tcBorders>
              <w:top w:val="nil"/>
              <w:left w:val="nil"/>
              <w:bottom w:val="nil"/>
              <w:right w:val="nil"/>
            </w:tcBorders>
          </w:tcPr>
          <w:p w14:paraId="19F952C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(0.0959)</w:t>
            </w:r>
          </w:p>
        </w:tc>
        <w:tc>
          <w:tcPr>
            <w:tcW w:w="1474" w:type="dxa"/>
            <w:tcBorders>
              <w:top w:val="nil"/>
              <w:left w:val="nil"/>
              <w:bottom w:val="nil"/>
              <w:right w:val="nil"/>
            </w:tcBorders>
          </w:tcPr>
          <w:p w14:paraId="0CE862D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(0.0614)</w:t>
            </w:r>
          </w:p>
        </w:tc>
        <w:tc>
          <w:tcPr>
            <w:tcW w:w="1398" w:type="dxa"/>
            <w:tcBorders>
              <w:top w:val="nil"/>
              <w:left w:val="nil"/>
              <w:bottom w:val="nil"/>
              <w:right w:val="nil"/>
            </w:tcBorders>
          </w:tcPr>
          <w:p w14:paraId="4A24E32B"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(0.0741)</w:t>
            </w:r>
          </w:p>
        </w:tc>
      </w:tr>
      <w:tr w:rsidR="00164949" w:rsidRPr="000932A9" w14:paraId="1ECBA438" w14:textId="77777777" w:rsidTr="00164949">
        <w:trPr>
          <w:jc w:val="center"/>
        </w:trPr>
        <w:tc>
          <w:tcPr>
            <w:tcW w:w="2300" w:type="dxa"/>
            <w:tcBorders>
              <w:top w:val="nil"/>
              <w:left w:val="nil"/>
              <w:bottom w:val="nil"/>
              <w:right w:val="nil"/>
            </w:tcBorders>
          </w:tcPr>
          <w:p w14:paraId="1BD6114E"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Temporary Job</w:t>
            </w:r>
          </w:p>
        </w:tc>
        <w:tc>
          <w:tcPr>
            <w:tcW w:w="1653" w:type="dxa"/>
            <w:tcBorders>
              <w:top w:val="nil"/>
              <w:left w:val="nil"/>
              <w:bottom w:val="nil"/>
              <w:right w:val="nil"/>
            </w:tcBorders>
          </w:tcPr>
          <w:p w14:paraId="7E628CC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0.308</w:t>
            </w:r>
          </w:p>
        </w:tc>
        <w:tc>
          <w:tcPr>
            <w:tcW w:w="1329" w:type="dxa"/>
            <w:tcBorders>
              <w:top w:val="nil"/>
              <w:left w:val="nil"/>
              <w:bottom w:val="nil"/>
              <w:right w:val="nil"/>
            </w:tcBorders>
          </w:tcPr>
          <w:p w14:paraId="25BF143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0.247</w:t>
            </w:r>
          </w:p>
        </w:tc>
        <w:tc>
          <w:tcPr>
            <w:tcW w:w="1540" w:type="dxa"/>
            <w:tcBorders>
              <w:top w:val="nil"/>
              <w:left w:val="nil"/>
              <w:bottom w:val="nil"/>
              <w:right w:val="nil"/>
            </w:tcBorders>
          </w:tcPr>
          <w:p w14:paraId="2E777A1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-0.210</w:t>
            </w:r>
          </w:p>
        </w:tc>
        <w:tc>
          <w:tcPr>
            <w:tcW w:w="1584" w:type="dxa"/>
            <w:tcBorders>
              <w:top w:val="nil"/>
              <w:left w:val="nil"/>
              <w:bottom w:val="nil"/>
              <w:right w:val="nil"/>
            </w:tcBorders>
          </w:tcPr>
          <w:p w14:paraId="3893A4B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0.0461</w:t>
            </w:r>
          </w:p>
        </w:tc>
        <w:tc>
          <w:tcPr>
            <w:tcW w:w="1474" w:type="dxa"/>
            <w:tcBorders>
              <w:top w:val="nil"/>
              <w:left w:val="nil"/>
              <w:bottom w:val="nil"/>
              <w:right w:val="nil"/>
            </w:tcBorders>
          </w:tcPr>
          <w:p w14:paraId="1322CA9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-0.191*</w:t>
            </w:r>
          </w:p>
        </w:tc>
        <w:tc>
          <w:tcPr>
            <w:tcW w:w="1398" w:type="dxa"/>
            <w:tcBorders>
              <w:top w:val="nil"/>
              <w:left w:val="nil"/>
              <w:bottom w:val="nil"/>
              <w:right w:val="nil"/>
            </w:tcBorders>
          </w:tcPr>
          <w:p w14:paraId="38C2A89F"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0.00974</w:t>
            </w:r>
          </w:p>
        </w:tc>
      </w:tr>
      <w:tr w:rsidR="00164949" w:rsidRPr="000932A9" w14:paraId="6507F961" w14:textId="77777777" w:rsidTr="00164949">
        <w:trPr>
          <w:jc w:val="center"/>
        </w:trPr>
        <w:tc>
          <w:tcPr>
            <w:tcW w:w="2300" w:type="dxa"/>
            <w:tcBorders>
              <w:top w:val="nil"/>
              <w:left w:val="nil"/>
              <w:bottom w:val="nil"/>
              <w:right w:val="nil"/>
            </w:tcBorders>
          </w:tcPr>
          <w:p w14:paraId="0567C4A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78EEDE2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(0.189)</w:t>
            </w:r>
          </w:p>
        </w:tc>
        <w:tc>
          <w:tcPr>
            <w:tcW w:w="1329" w:type="dxa"/>
            <w:tcBorders>
              <w:top w:val="nil"/>
              <w:left w:val="nil"/>
              <w:bottom w:val="nil"/>
              <w:right w:val="nil"/>
            </w:tcBorders>
          </w:tcPr>
          <w:p w14:paraId="7ECD689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(0.241)</w:t>
            </w:r>
          </w:p>
        </w:tc>
        <w:tc>
          <w:tcPr>
            <w:tcW w:w="1540" w:type="dxa"/>
            <w:tcBorders>
              <w:top w:val="nil"/>
              <w:left w:val="nil"/>
              <w:bottom w:val="nil"/>
              <w:right w:val="nil"/>
            </w:tcBorders>
          </w:tcPr>
          <w:p w14:paraId="293159D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(0.130)</w:t>
            </w:r>
          </w:p>
        </w:tc>
        <w:tc>
          <w:tcPr>
            <w:tcW w:w="1584" w:type="dxa"/>
            <w:tcBorders>
              <w:top w:val="nil"/>
              <w:left w:val="nil"/>
              <w:bottom w:val="nil"/>
              <w:right w:val="nil"/>
            </w:tcBorders>
          </w:tcPr>
          <w:p w14:paraId="654F8A5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(0.166)</w:t>
            </w:r>
          </w:p>
        </w:tc>
        <w:tc>
          <w:tcPr>
            <w:tcW w:w="1474" w:type="dxa"/>
            <w:tcBorders>
              <w:top w:val="nil"/>
              <w:left w:val="nil"/>
              <w:bottom w:val="nil"/>
              <w:right w:val="nil"/>
            </w:tcBorders>
          </w:tcPr>
          <w:p w14:paraId="377BA052"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(0.0972)</w:t>
            </w:r>
          </w:p>
        </w:tc>
        <w:tc>
          <w:tcPr>
            <w:tcW w:w="1398" w:type="dxa"/>
            <w:tcBorders>
              <w:top w:val="nil"/>
              <w:left w:val="nil"/>
              <w:bottom w:val="nil"/>
              <w:right w:val="nil"/>
            </w:tcBorders>
          </w:tcPr>
          <w:p w14:paraId="1CC24CC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(0.109)</w:t>
            </w:r>
          </w:p>
        </w:tc>
      </w:tr>
      <w:tr w:rsidR="00164949" w:rsidRPr="000932A9" w14:paraId="34631291" w14:textId="77777777" w:rsidTr="00164949">
        <w:trPr>
          <w:jc w:val="center"/>
        </w:trPr>
        <w:tc>
          <w:tcPr>
            <w:tcW w:w="2300" w:type="dxa"/>
            <w:tcBorders>
              <w:top w:val="nil"/>
              <w:left w:val="nil"/>
              <w:bottom w:val="nil"/>
              <w:right w:val="nil"/>
            </w:tcBorders>
          </w:tcPr>
          <w:p w14:paraId="7DF6F9F1"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Manager/Supervisor</w:t>
            </w:r>
          </w:p>
        </w:tc>
        <w:tc>
          <w:tcPr>
            <w:tcW w:w="1653" w:type="dxa"/>
            <w:tcBorders>
              <w:top w:val="nil"/>
              <w:left w:val="nil"/>
              <w:bottom w:val="nil"/>
              <w:right w:val="nil"/>
            </w:tcBorders>
          </w:tcPr>
          <w:p w14:paraId="06DF8E7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0.203**</w:t>
            </w:r>
          </w:p>
        </w:tc>
        <w:tc>
          <w:tcPr>
            <w:tcW w:w="1329" w:type="dxa"/>
            <w:tcBorders>
              <w:top w:val="nil"/>
              <w:left w:val="nil"/>
              <w:bottom w:val="nil"/>
              <w:right w:val="nil"/>
            </w:tcBorders>
          </w:tcPr>
          <w:p w14:paraId="4969EF4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0.107</w:t>
            </w:r>
          </w:p>
        </w:tc>
        <w:tc>
          <w:tcPr>
            <w:tcW w:w="1540" w:type="dxa"/>
            <w:tcBorders>
              <w:top w:val="nil"/>
              <w:left w:val="nil"/>
              <w:bottom w:val="nil"/>
              <w:right w:val="nil"/>
            </w:tcBorders>
          </w:tcPr>
          <w:p w14:paraId="000E6F6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0.0468</w:t>
            </w:r>
          </w:p>
        </w:tc>
        <w:tc>
          <w:tcPr>
            <w:tcW w:w="1584" w:type="dxa"/>
            <w:tcBorders>
              <w:top w:val="nil"/>
              <w:left w:val="nil"/>
              <w:bottom w:val="nil"/>
              <w:right w:val="nil"/>
            </w:tcBorders>
          </w:tcPr>
          <w:p w14:paraId="44D3D99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-0.00441</w:t>
            </w:r>
          </w:p>
        </w:tc>
        <w:tc>
          <w:tcPr>
            <w:tcW w:w="1474" w:type="dxa"/>
            <w:tcBorders>
              <w:top w:val="nil"/>
              <w:left w:val="nil"/>
              <w:bottom w:val="nil"/>
              <w:right w:val="nil"/>
            </w:tcBorders>
          </w:tcPr>
          <w:p w14:paraId="0E4F71A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-0.0121</w:t>
            </w:r>
          </w:p>
        </w:tc>
        <w:tc>
          <w:tcPr>
            <w:tcW w:w="1398" w:type="dxa"/>
            <w:tcBorders>
              <w:top w:val="nil"/>
              <w:left w:val="nil"/>
              <w:bottom w:val="nil"/>
              <w:right w:val="nil"/>
            </w:tcBorders>
          </w:tcPr>
          <w:p w14:paraId="18C7646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0.0746</w:t>
            </w:r>
          </w:p>
        </w:tc>
      </w:tr>
      <w:tr w:rsidR="00164949" w:rsidRPr="000932A9" w14:paraId="6FA0CF26" w14:textId="77777777" w:rsidTr="00164949">
        <w:trPr>
          <w:jc w:val="center"/>
        </w:trPr>
        <w:tc>
          <w:tcPr>
            <w:tcW w:w="2300" w:type="dxa"/>
            <w:tcBorders>
              <w:top w:val="nil"/>
              <w:left w:val="nil"/>
              <w:bottom w:val="nil"/>
              <w:right w:val="nil"/>
            </w:tcBorders>
          </w:tcPr>
          <w:p w14:paraId="57CC0E0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4A431C1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(0.0832)</w:t>
            </w:r>
          </w:p>
        </w:tc>
        <w:tc>
          <w:tcPr>
            <w:tcW w:w="1329" w:type="dxa"/>
            <w:tcBorders>
              <w:top w:val="nil"/>
              <w:left w:val="nil"/>
              <w:bottom w:val="nil"/>
              <w:right w:val="nil"/>
            </w:tcBorders>
          </w:tcPr>
          <w:p w14:paraId="0B98F69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(0.0859)</w:t>
            </w:r>
          </w:p>
        </w:tc>
        <w:tc>
          <w:tcPr>
            <w:tcW w:w="1540" w:type="dxa"/>
            <w:tcBorders>
              <w:top w:val="nil"/>
              <w:left w:val="nil"/>
              <w:bottom w:val="nil"/>
              <w:right w:val="nil"/>
            </w:tcBorders>
          </w:tcPr>
          <w:p w14:paraId="0638079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(0.0576)</w:t>
            </w:r>
          </w:p>
        </w:tc>
        <w:tc>
          <w:tcPr>
            <w:tcW w:w="1584" w:type="dxa"/>
            <w:tcBorders>
              <w:top w:val="nil"/>
              <w:left w:val="nil"/>
              <w:bottom w:val="nil"/>
              <w:right w:val="nil"/>
            </w:tcBorders>
          </w:tcPr>
          <w:p w14:paraId="2E873F4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(0.0610)</w:t>
            </w:r>
          </w:p>
        </w:tc>
        <w:tc>
          <w:tcPr>
            <w:tcW w:w="1474" w:type="dxa"/>
            <w:tcBorders>
              <w:top w:val="nil"/>
              <w:left w:val="nil"/>
              <w:bottom w:val="nil"/>
              <w:right w:val="nil"/>
            </w:tcBorders>
          </w:tcPr>
          <w:p w14:paraId="1593A5CB"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(0.0510)</w:t>
            </w:r>
          </w:p>
        </w:tc>
        <w:tc>
          <w:tcPr>
            <w:tcW w:w="1398" w:type="dxa"/>
            <w:tcBorders>
              <w:top w:val="nil"/>
              <w:left w:val="nil"/>
              <w:bottom w:val="nil"/>
              <w:right w:val="nil"/>
            </w:tcBorders>
          </w:tcPr>
          <w:p w14:paraId="5C4C2127"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(0.0515)</w:t>
            </w:r>
          </w:p>
        </w:tc>
      </w:tr>
      <w:tr w:rsidR="00164949" w:rsidRPr="000932A9" w14:paraId="1A3667A6" w14:textId="77777777" w:rsidTr="00164949">
        <w:trPr>
          <w:jc w:val="center"/>
        </w:trPr>
        <w:tc>
          <w:tcPr>
            <w:tcW w:w="2300" w:type="dxa"/>
            <w:tcBorders>
              <w:top w:val="nil"/>
              <w:left w:val="nil"/>
              <w:bottom w:val="nil"/>
              <w:right w:val="nil"/>
            </w:tcBorders>
          </w:tcPr>
          <w:p w14:paraId="0737D9E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Firm Size 50-99</w:t>
            </w:r>
          </w:p>
        </w:tc>
        <w:tc>
          <w:tcPr>
            <w:tcW w:w="1653" w:type="dxa"/>
            <w:tcBorders>
              <w:top w:val="nil"/>
              <w:left w:val="nil"/>
              <w:bottom w:val="nil"/>
              <w:right w:val="nil"/>
            </w:tcBorders>
          </w:tcPr>
          <w:p w14:paraId="04AFE29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-0.109</w:t>
            </w:r>
          </w:p>
        </w:tc>
        <w:tc>
          <w:tcPr>
            <w:tcW w:w="1329" w:type="dxa"/>
            <w:tcBorders>
              <w:top w:val="nil"/>
              <w:left w:val="nil"/>
              <w:bottom w:val="nil"/>
              <w:right w:val="nil"/>
            </w:tcBorders>
          </w:tcPr>
          <w:p w14:paraId="6A957D7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-0.0376</w:t>
            </w:r>
          </w:p>
        </w:tc>
        <w:tc>
          <w:tcPr>
            <w:tcW w:w="1540" w:type="dxa"/>
            <w:tcBorders>
              <w:top w:val="nil"/>
              <w:left w:val="nil"/>
              <w:bottom w:val="nil"/>
              <w:right w:val="nil"/>
            </w:tcBorders>
          </w:tcPr>
          <w:p w14:paraId="03FC508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-0.0796</w:t>
            </w:r>
          </w:p>
        </w:tc>
        <w:tc>
          <w:tcPr>
            <w:tcW w:w="1584" w:type="dxa"/>
            <w:tcBorders>
              <w:top w:val="nil"/>
              <w:left w:val="nil"/>
              <w:bottom w:val="nil"/>
              <w:right w:val="nil"/>
            </w:tcBorders>
          </w:tcPr>
          <w:p w14:paraId="01A9E0E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-0.0266</w:t>
            </w:r>
          </w:p>
        </w:tc>
        <w:tc>
          <w:tcPr>
            <w:tcW w:w="1474" w:type="dxa"/>
            <w:tcBorders>
              <w:top w:val="nil"/>
              <w:left w:val="nil"/>
              <w:bottom w:val="nil"/>
              <w:right w:val="nil"/>
            </w:tcBorders>
          </w:tcPr>
          <w:p w14:paraId="6D269912"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-0.105*</w:t>
            </w:r>
          </w:p>
        </w:tc>
        <w:tc>
          <w:tcPr>
            <w:tcW w:w="1398" w:type="dxa"/>
            <w:tcBorders>
              <w:top w:val="nil"/>
              <w:left w:val="nil"/>
              <w:bottom w:val="nil"/>
              <w:right w:val="nil"/>
            </w:tcBorders>
          </w:tcPr>
          <w:p w14:paraId="7CCB317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-0.0172</w:t>
            </w:r>
          </w:p>
        </w:tc>
      </w:tr>
      <w:tr w:rsidR="00164949" w:rsidRPr="000932A9" w14:paraId="5A9A9CC8" w14:textId="77777777" w:rsidTr="00164949">
        <w:trPr>
          <w:jc w:val="center"/>
        </w:trPr>
        <w:tc>
          <w:tcPr>
            <w:tcW w:w="2300" w:type="dxa"/>
            <w:tcBorders>
              <w:top w:val="nil"/>
              <w:left w:val="nil"/>
              <w:bottom w:val="nil"/>
              <w:right w:val="nil"/>
            </w:tcBorders>
          </w:tcPr>
          <w:p w14:paraId="3432F9B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22A1992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(0.0851)</w:t>
            </w:r>
          </w:p>
        </w:tc>
        <w:tc>
          <w:tcPr>
            <w:tcW w:w="1329" w:type="dxa"/>
            <w:tcBorders>
              <w:top w:val="nil"/>
              <w:left w:val="nil"/>
              <w:bottom w:val="nil"/>
              <w:right w:val="nil"/>
            </w:tcBorders>
          </w:tcPr>
          <w:p w14:paraId="2C7C1F5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(0.0979)</w:t>
            </w:r>
          </w:p>
        </w:tc>
        <w:tc>
          <w:tcPr>
            <w:tcW w:w="1540" w:type="dxa"/>
            <w:tcBorders>
              <w:top w:val="nil"/>
              <w:left w:val="nil"/>
              <w:bottom w:val="nil"/>
              <w:right w:val="nil"/>
            </w:tcBorders>
          </w:tcPr>
          <w:p w14:paraId="30CB27B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(0.0632)</w:t>
            </w:r>
          </w:p>
        </w:tc>
        <w:tc>
          <w:tcPr>
            <w:tcW w:w="1584" w:type="dxa"/>
            <w:tcBorders>
              <w:top w:val="nil"/>
              <w:left w:val="nil"/>
              <w:bottom w:val="nil"/>
              <w:right w:val="nil"/>
            </w:tcBorders>
          </w:tcPr>
          <w:p w14:paraId="7CBF92E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(0.0683)</w:t>
            </w:r>
          </w:p>
        </w:tc>
        <w:tc>
          <w:tcPr>
            <w:tcW w:w="1474" w:type="dxa"/>
            <w:tcBorders>
              <w:top w:val="nil"/>
              <w:left w:val="nil"/>
              <w:bottom w:val="nil"/>
              <w:right w:val="nil"/>
            </w:tcBorders>
          </w:tcPr>
          <w:p w14:paraId="5C72EE8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(0.0562)</w:t>
            </w:r>
          </w:p>
        </w:tc>
        <w:tc>
          <w:tcPr>
            <w:tcW w:w="1398" w:type="dxa"/>
            <w:tcBorders>
              <w:top w:val="nil"/>
              <w:left w:val="nil"/>
              <w:bottom w:val="nil"/>
              <w:right w:val="nil"/>
            </w:tcBorders>
          </w:tcPr>
          <w:p w14:paraId="40355F6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(0.0587)</w:t>
            </w:r>
          </w:p>
        </w:tc>
      </w:tr>
      <w:tr w:rsidR="00164949" w:rsidRPr="000932A9" w14:paraId="7C783F89" w14:textId="77777777" w:rsidTr="00164949">
        <w:trPr>
          <w:jc w:val="center"/>
        </w:trPr>
        <w:tc>
          <w:tcPr>
            <w:tcW w:w="2300" w:type="dxa"/>
            <w:tcBorders>
              <w:top w:val="nil"/>
              <w:left w:val="nil"/>
              <w:bottom w:val="nil"/>
              <w:right w:val="nil"/>
            </w:tcBorders>
          </w:tcPr>
          <w:p w14:paraId="787D89B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Size 100-499</w:t>
            </w:r>
          </w:p>
        </w:tc>
        <w:tc>
          <w:tcPr>
            <w:tcW w:w="1653" w:type="dxa"/>
            <w:tcBorders>
              <w:top w:val="nil"/>
              <w:left w:val="nil"/>
              <w:bottom w:val="nil"/>
              <w:right w:val="nil"/>
            </w:tcBorders>
          </w:tcPr>
          <w:p w14:paraId="0319CC6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-0.342***</w:t>
            </w:r>
          </w:p>
        </w:tc>
        <w:tc>
          <w:tcPr>
            <w:tcW w:w="1329" w:type="dxa"/>
            <w:tcBorders>
              <w:top w:val="nil"/>
              <w:left w:val="nil"/>
              <w:bottom w:val="nil"/>
              <w:right w:val="nil"/>
            </w:tcBorders>
          </w:tcPr>
          <w:p w14:paraId="0FC3AD3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-0.0413</w:t>
            </w:r>
          </w:p>
        </w:tc>
        <w:tc>
          <w:tcPr>
            <w:tcW w:w="1540" w:type="dxa"/>
            <w:tcBorders>
              <w:top w:val="nil"/>
              <w:left w:val="nil"/>
              <w:bottom w:val="nil"/>
              <w:right w:val="nil"/>
            </w:tcBorders>
          </w:tcPr>
          <w:p w14:paraId="60D7EA7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-0.0612</w:t>
            </w:r>
          </w:p>
        </w:tc>
        <w:tc>
          <w:tcPr>
            <w:tcW w:w="1584" w:type="dxa"/>
            <w:tcBorders>
              <w:top w:val="nil"/>
              <w:left w:val="nil"/>
              <w:bottom w:val="nil"/>
              <w:right w:val="nil"/>
            </w:tcBorders>
          </w:tcPr>
          <w:p w14:paraId="564BF5B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-0.188***</w:t>
            </w:r>
          </w:p>
        </w:tc>
        <w:tc>
          <w:tcPr>
            <w:tcW w:w="1474" w:type="dxa"/>
            <w:tcBorders>
              <w:top w:val="nil"/>
              <w:left w:val="nil"/>
              <w:bottom w:val="nil"/>
              <w:right w:val="nil"/>
            </w:tcBorders>
          </w:tcPr>
          <w:p w14:paraId="3B1F00D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-0.227***</w:t>
            </w:r>
          </w:p>
        </w:tc>
        <w:tc>
          <w:tcPr>
            <w:tcW w:w="1398" w:type="dxa"/>
            <w:tcBorders>
              <w:top w:val="nil"/>
              <w:left w:val="nil"/>
              <w:bottom w:val="nil"/>
              <w:right w:val="nil"/>
            </w:tcBorders>
          </w:tcPr>
          <w:p w14:paraId="2F70264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-0.0646</w:t>
            </w:r>
          </w:p>
        </w:tc>
      </w:tr>
      <w:tr w:rsidR="00164949" w:rsidRPr="000932A9" w14:paraId="0253EB6B" w14:textId="77777777" w:rsidTr="00164949">
        <w:trPr>
          <w:jc w:val="center"/>
        </w:trPr>
        <w:tc>
          <w:tcPr>
            <w:tcW w:w="2300" w:type="dxa"/>
            <w:tcBorders>
              <w:top w:val="nil"/>
              <w:left w:val="nil"/>
              <w:bottom w:val="nil"/>
              <w:right w:val="nil"/>
            </w:tcBorders>
          </w:tcPr>
          <w:p w14:paraId="2C2A6641"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71A18C4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(0.0941)</w:t>
            </w:r>
          </w:p>
        </w:tc>
        <w:tc>
          <w:tcPr>
            <w:tcW w:w="1329" w:type="dxa"/>
            <w:tcBorders>
              <w:top w:val="nil"/>
              <w:left w:val="nil"/>
              <w:bottom w:val="nil"/>
              <w:right w:val="nil"/>
            </w:tcBorders>
          </w:tcPr>
          <w:p w14:paraId="5D8F504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(0.101)</w:t>
            </w:r>
          </w:p>
        </w:tc>
        <w:tc>
          <w:tcPr>
            <w:tcW w:w="1540" w:type="dxa"/>
            <w:tcBorders>
              <w:top w:val="nil"/>
              <w:left w:val="nil"/>
              <w:bottom w:val="nil"/>
              <w:right w:val="nil"/>
            </w:tcBorders>
          </w:tcPr>
          <w:p w14:paraId="5E071D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(0.0699)</w:t>
            </w:r>
          </w:p>
        </w:tc>
        <w:tc>
          <w:tcPr>
            <w:tcW w:w="1584" w:type="dxa"/>
            <w:tcBorders>
              <w:top w:val="nil"/>
              <w:left w:val="nil"/>
              <w:bottom w:val="nil"/>
              <w:right w:val="nil"/>
            </w:tcBorders>
          </w:tcPr>
          <w:p w14:paraId="5210927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(0.0714)</w:t>
            </w:r>
          </w:p>
        </w:tc>
        <w:tc>
          <w:tcPr>
            <w:tcW w:w="1474" w:type="dxa"/>
            <w:tcBorders>
              <w:top w:val="nil"/>
              <w:left w:val="nil"/>
              <w:bottom w:val="nil"/>
              <w:right w:val="nil"/>
            </w:tcBorders>
          </w:tcPr>
          <w:p w14:paraId="60D03633"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(0.0607)</w:t>
            </w:r>
          </w:p>
        </w:tc>
        <w:tc>
          <w:tcPr>
            <w:tcW w:w="1398" w:type="dxa"/>
            <w:tcBorders>
              <w:top w:val="nil"/>
              <w:left w:val="nil"/>
              <w:bottom w:val="nil"/>
              <w:right w:val="nil"/>
            </w:tcBorders>
          </w:tcPr>
          <w:p w14:paraId="2EBC213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(0.0604)</w:t>
            </w:r>
          </w:p>
        </w:tc>
      </w:tr>
      <w:tr w:rsidR="00164949" w:rsidRPr="000932A9" w14:paraId="0ACB25D5" w14:textId="77777777" w:rsidTr="00164949">
        <w:trPr>
          <w:jc w:val="center"/>
        </w:trPr>
        <w:tc>
          <w:tcPr>
            <w:tcW w:w="2300" w:type="dxa"/>
            <w:tcBorders>
              <w:top w:val="nil"/>
              <w:left w:val="nil"/>
              <w:bottom w:val="nil"/>
              <w:right w:val="nil"/>
            </w:tcBorders>
          </w:tcPr>
          <w:p w14:paraId="687B1B92"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Size 500+</w:t>
            </w:r>
          </w:p>
        </w:tc>
        <w:tc>
          <w:tcPr>
            <w:tcW w:w="1653" w:type="dxa"/>
            <w:tcBorders>
              <w:top w:val="nil"/>
              <w:left w:val="nil"/>
              <w:bottom w:val="nil"/>
              <w:right w:val="nil"/>
            </w:tcBorders>
          </w:tcPr>
          <w:p w14:paraId="55DD969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-0.175</w:t>
            </w:r>
          </w:p>
        </w:tc>
        <w:tc>
          <w:tcPr>
            <w:tcW w:w="1329" w:type="dxa"/>
            <w:tcBorders>
              <w:top w:val="nil"/>
              <w:left w:val="nil"/>
              <w:bottom w:val="nil"/>
              <w:right w:val="nil"/>
            </w:tcBorders>
          </w:tcPr>
          <w:p w14:paraId="30E80F6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-0.253**</w:t>
            </w:r>
          </w:p>
        </w:tc>
        <w:tc>
          <w:tcPr>
            <w:tcW w:w="1540" w:type="dxa"/>
            <w:tcBorders>
              <w:top w:val="nil"/>
              <w:left w:val="nil"/>
              <w:bottom w:val="nil"/>
              <w:right w:val="nil"/>
            </w:tcBorders>
          </w:tcPr>
          <w:p w14:paraId="51A4B53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-0.0812</w:t>
            </w:r>
          </w:p>
        </w:tc>
        <w:tc>
          <w:tcPr>
            <w:tcW w:w="1584" w:type="dxa"/>
            <w:tcBorders>
              <w:top w:val="nil"/>
              <w:left w:val="nil"/>
              <w:bottom w:val="nil"/>
              <w:right w:val="nil"/>
            </w:tcBorders>
          </w:tcPr>
          <w:p w14:paraId="36C9F3E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-0.0954</w:t>
            </w:r>
          </w:p>
        </w:tc>
        <w:tc>
          <w:tcPr>
            <w:tcW w:w="1474" w:type="dxa"/>
            <w:tcBorders>
              <w:top w:val="nil"/>
              <w:left w:val="nil"/>
              <w:bottom w:val="nil"/>
              <w:right w:val="nil"/>
            </w:tcBorders>
          </w:tcPr>
          <w:p w14:paraId="7C9E995D"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-0.133**</w:t>
            </w:r>
          </w:p>
        </w:tc>
        <w:tc>
          <w:tcPr>
            <w:tcW w:w="1398" w:type="dxa"/>
            <w:tcBorders>
              <w:top w:val="nil"/>
              <w:left w:val="nil"/>
              <w:bottom w:val="nil"/>
              <w:right w:val="nil"/>
            </w:tcBorders>
          </w:tcPr>
          <w:p w14:paraId="6B6E8AA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-0.0246</w:t>
            </w:r>
          </w:p>
        </w:tc>
      </w:tr>
      <w:tr w:rsidR="00164949" w:rsidRPr="000932A9" w14:paraId="1457DA12" w14:textId="77777777" w:rsidTr="00164949">
        <w:trPr>
          <w:jc w:val="center"/>
        </w:trPr>
        <w:tc>
          <w:tcPr>
            <w:tcW w:w="2300" w:type="dxa"/>
            <w:tcBorders>
              <w:top w:val="nil"/>
              <w:left w:val="nil"/>
              <w:bottom w:val="nil"/>
              <w:right w:val="nil"/>
            </w:tcBorders>
          </w:tcPr>
          <w:p w14:paraId="2E77102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28B395B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(0.113)</w:t>
            </w:r>
          </w:p>
        </w:tc>
        <w:tc>
          <w:tcPr>
            <w:tcW w:w="1329" w:type="dxa"/>
            <w:tcBorders>
              <w:top w:val="nil"/>
              <w:left w:val="nil"/>
              <w:bottom w:val="nil"/>
              <w:right w:val="nil"/>
            </w:tcBorders>
          </w:tcPr>
          <w:p w14:paraId="0C83566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(0.111)</w:t>
            </w:r>
          </w:p>
        </w:tc>
        <w:tc>
          <w:tcPr>
            <w:tcW w:w="1540" w:type="dxa"/>
            <w:tcBorders>
              <w:top w:val="nil"/>
              <w:left w:val="nil"/>
              <w:bottom w:val="nil"/>
              <w:right w:val="nil"/>
            </w:tcBorders>
          </w:tcPr>
          <w:p w14:paraId="2595E3B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(0.0734)</w:t>
            </w:r>
          </w:p>
        </w:tc>
        <w:tc>
          <w:tcPr>
            <w:tcW w:w="1584" w:type="dxa"/>
            <w:tcBorders>
              <w:top w:val="nil"/>
              <w:left w:val="nil"/>
              <w:bottom w:val="nil"/>
              <w:right w:val="nil"/>
            </w:tcBorders>
          </w:tcPr>
          <w:p w14:paraId="024CBAF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(0.0799)</w:t>
            </w:r>
          </w:p>
        </w:tc>
        <w:tc>
          <w:tcPr>
            <w:tcW w:w="1474" w:type="dxa"/>
            <w:tcBorders>
              <w:top w:val="nil"/>
              <w:left w:val="nil"/>
              <w:bottom w:val="nil"/>
              <w:right w:val="nil"/>
            </w:tcBorders>
          </w:tcPr>
          <w:p w14:paraId="54AD826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(0.0661)</w:t>
            </w:r>
          </w:p>
        </w:tc>
        <w:tc>
          <w:tcPr>
            <w:tcW w:w="1398" w:type="dxa"/>
            <w:tcBorders>
              <w:top w:val="nil"/>
              <w:left w:val="nil"/>
              <w:bottom w:val="nil"/>
              <w:right w:val="nil"/>
            </w:tcBorders>
          </w:tcPr>
          <w:p w14:paraId="1F6F8541"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(0.0652)</w:t>
            </w:r>
          </w:p>
        </w:tc>
      </w:tr>
      <w:tr w:rsidR="00164949" w:rsidRPr="000932A9" w14:paraId="7F69CC78" w14:textId="77777777" w:rsidTr="00164949">
        <w:trPr>
          <w:jc w:val="center"/>
        </w:trPr>
        <w:tc>
          <w:tcPr>
            <w:tcW w:w="2300" w:type="dxa"/>
            <w:tcBorders>
              <w:top w:val="nil"/>
              <w:left w:val="nil"/>
              <w:bottom w:val="nil"/>
              <w:right w:val="nil"/>
            </w:tcBorders>
          </w:tcPr>
          <w:p w14:paraId="095594A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General Health</w:t>
            </w:r>
          </w:p>
        </w:tc>
        <w:tc>
          <w:tcPr>
            <w:tcW w:w="1653" w:type="dxa"/>
            <w:tcBorders>
              <w:top w:val="nil"/>
              <w:left w:val="nil"/>
              <w:bottom w:val="nil"/>
              <w:right w:val="nil"/>
            </w:tcBorders>
          </w:tcPr>
          <w:p w14:paraId="333448F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0.213***</w:t>
            </w:r>
          </w:p>
        </w:tc>
        <w:tc>
          <w:tcPr>
            <w:tcW w:w="1329" w:type="dxa"/>
            <w:tcBorders>
              <w:top w:val="nil"/>
              <w:left w:val="nil"/>
              <w:bottom w:val="nil"/>
              <w:right w:val="nil"/>
            </w:tcBorders>
          </w:tcPr>
          <w:p w14:paraId="77DF3EE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0.191***</w:t>
            </w:r>
          </w:p>
        </w:tc>
        <w:tc>
          <w:tcPr>
            <w:tcW w:w="1540" w:type="dxa"/>
            <w:tcBorders>
              <w:top w:val="nil"/>
              <w:left w:val="nil"/>
              <w:bottom w:val="nil"/>
              <w:right w:val="nil"/>
            </w:tcBorders>
          </w:tcPr>
          <w:p w14:paraId="4A7E3A8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0.212***</w:t>
            </w:r>
          </w:p>
        </w:tc>
        <w:tc>
          <w:tcPr>
            <w:tcW w:w="1584" w:type="dxa"/>
            <w:tcBorders>
              <w:top w:val="nil"/>
              <w:left w:val="nil"/>
              <w:bottom w:val="nil"/>
              <w:right w:val="nil"/>
            </w:tcBorders>
          </w:tcPr>
          <w:p w14:paraId="67992A6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0.232***</w:t>
            </w:r>
          </w:p>
        </w:tc>
        <w:tc>
          <w:tcPr>
            <w:tcW w:w="1474" w:type="dxa"/>
            <w:tcBorders>
              <w:top w:val="nil"/>
              <w:left w:val="nil"/>
              <w:bottom w:val="nil"/>
              <w:right w:val="nil"/>
            </w:tcBorders>
          </w:tcPr>
          <w:p w14:paraId="79FDBDC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0.248***</w:t>
            </w:r>
          </w:p>
        </w:tc>
        <w:tc>
          <w:tcPr>
            <w:tcW w:w="1398" w:type="dxa"/>
            <w:tcBorders>
              <w:top w:val="nil"/>
              <w:left w:val="nil"/>
              <w:bottom w:val="nil"/>
              <w:right w:val="nil"/>
            </w:tcBorders>
          </w:tcPr>
          <w:p w14:paraId="1666C39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0.251***</w:t>
            </w:r>
          </w:p>
        </w:tc>
      </w:tr>
      <w:tr w:rsidR="00164949" w:rsidRPr="000932A9" w14:paraId="048450FC" w14:textId="77777777" w:rsidTr="00164949">
        <w:trPr>
          <w:jc w:val="center"/>
        </w:trPr>
        <w:tc>
          <w:tcPr>
            <w:tcW w:w="2300" w:type="dxa"/>
            <w:tcBorders>
              <w:top w:val="nil"/>
              <w:left w:val="nil"/>
              <w:bottom w:val="nil"/>
              <w:right w:val="nil"/>
            </w:tcBorders>
          </w:tcPr>
          <w:p w14:paraId="18D61148"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6761AA0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(0.0387)</w:t>
            </w:r>
          </w:p>
        </w:tc>
        <w:tc>
          <w:tcPr>
            <w:tcW w:w="1329" w:type="dxa"/>
            <w:tcBorders>
              <w:top w:val="nil"/>
              <w:left w:val="nil"/>
              <w:bottom w:val="nil"/>
              <w:right w:val="nil"/>
            </w:tcBorders>
          </w:tcPr>
          <w:p w14:paraId="28C4DB8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(0.0437)</w:t>
            </w:r>
          </w:p>
        </w:tc>
        <w:tc>
          <w:tcPr>
            <w:tcW w:w="1540" w:type="dxa"/>
            <w:tcBorders>
              <w:top w:val="nil"/>
              <w:left w:val="nil"/>
              <w:bottom w:val="nil"/>
              <w:right w:val="nil"/>
            </w:tcBorders>
          </w:tcPr>
          <w:p w14:paraId="2327D0F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(0.0296)</w:t>
            </w:r>
          </w:p>
        </w:tc>
        <w:tc>
          <w:tcPr>
            <w:tcW w:w="1584" w:type="dxa"/>
            <w:tcBorders>
              <w:top w:val="nil"/>
              <w:left w:val="nil"/>
              <w:bottom w:val="nil"/>
              <w:right w:val="nil"/>
            </w:tcBorders>
          </w:tcPr>
          <w:p w14:paraId="49879F2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(0.0317)</w:t>
            </w:r>
          </w:p>
        </w:tc>
        <w:tc>
          <w:tcPr>
            <w:tcW w:w="1474" w:type="dxa"/>
            <w:tcBorders>
              <w:top w:val="nil"/>
              <w:left w:val="nil"/>
              <w:bottom w:val="nil"/>
              <w:right w:val="nil"/>
            </w:tcBorders>
          </w:tcPr>
          <w:p w14:paraId="72F1100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(0.0221)</w:t>
            </w:r>
          </w:p>
        </w:tc>
        <w:tc>
          <w:tcPr>
            <w:tcW w:w="1398" w:type="dxa"/>
            <w:tcBorders>
              <w:top w:val="nil"/>
              <w:left w:val="nil"/>
              <w:bottom w:val="nil"/>
              <w:right w:val="nil"/>
            </w:tcBorders>
          </w:tcPr>
          <w:p w14:paraId="24FFCDBB"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(0.0227)</w:t>
            </w:r>
          </w:p>
        </w:tc>
      </w:tr>
      <w:tr w:rsidR="00164949" w:rsidRPr="000932A9" w14:paraId="64985DEA" w14:textId="77777777" w:rsidTr="00164949">
        <w:trPr>
          <w:jc w:val="center"/>
        </w:trPr>
        <w:tc>
          <w:tcPr>
            <w:tcW w:w="2300" w:type="dxa"/>
            <w:tcBorders>
              <w:top w:val="nil"/>
              <w:left w:val="nil"/>
              <w:bottom w:val="nil"/>
              <w:right w:val="nil"/>
            </w:tcBorders>
          </w:tcPr>
          <w:p w14:paraId="6323830D"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Travel Time</w:t>
            </w:r>
          </w:p>
        </w:tc>
        <w:tc>
          <w:tcPr>
            <w:tcW w:w="1653" w:type="dxa"/>
            <w:tcBorders>
              <w:top w:val="nil"/>
              <w:left w:val="nil"/>
              <w:bottom w:val="nil"/>
              <w:right w:val="nil"/>
            </w:tcBorders>
          </w:tcPr>
          <w:p w14:paraId="646769B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-0.00135</w:t>
            </w:r>
          </w:p>
        </w:tc>
        <w:tc>
          <w:tcPr>
            <w:tcW w:w="1329" w:type="dxa"/>
            <w:tcBorders>
              <w:top w:val="nil"/>
              <w:left w:val="nil"/>
              <w:bottom w:val="nil"/>
              <w:right w:val="nil"/>
            </w:tcBorders>
          </w:tcPr>
          <w:p w14:paraId="6E4F126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-0.00218</w:t>
            </w:r>
          </w:p>
        </w:tc>
        <w:tc>
          <w:tcPr>
            <w:tcW w:w="1540" w:type="dxa"/>
            <w:tcBorders>
              <w:top w:val="nil"/>
              <w:left w:val="nil"/>
              <w:bottom w:val="nil"/>
              <w:right w:val="nil"/>
            </w:tcBorders>
          </w:tcPr>
          <w:p w14:paraId="6A80F3F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-0.00356***</w:t>
            </w:r>
          </w:p>
        </w:tc>
        <w:tc>
          <w:tcPr>
            <w:tcW w:w="1584" w:type="dxa"/>
            <w:tcBorders>
              <w:top w:val="nil"/>
              <w:left w:val="nil"/>
              <w:bottom w:val="nil"/>
              <w:right w:val="nil"/>
            </w:tcBorders>
          </w:tcPr>
          <w:p w14:paraId="701C5E1D"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-0.00130</w:t>
            </w:r>
          </w:p>
        </w:tc>
        <w:tc>
          <w:tcPr>
            <w:tcW w:w="1474" w:type="dxa"/>
            <w:tcBorders>
              <w:top w:val="nil"/>
              <w:left w:val="nil"/>
              <w:bottom w:val="nil"/>
              <w:right w:val="nil"/>
            </w:tcBorders>
          </w:tcPr>
          <w:p w14:paraId="0B536364"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-0.000762</w:t>
            </w:r>
          </w:p>
        </w:tc>
        <w:tc>
          <w:tcPr>
            <w:tcW w:w="1398" w:type="dxa"/>
            <w:tcBorders>
              <w:top w:val="nil"/>
              <w:left w:val="nil"/>
              <w:bottom w:val="nil"/>
              <w:right w:val="nil"/>
            </w:tcBorders>
          </w:tcPr>
          <w:p w14:paraId="1918B9B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-0.000989</w:t>
            </w:r>
          </w:p>
        </w:tc>
      </w:tr>
      <w:tr w:rsidR="00164949" w:rsidRPr="000932A9" w14:paraId="088A3670" w14:textId="77777777" w:rsidTr="00164949">
        <w:trPr>
          <w:jc w:val="center"/>
        </w:trPr>
        <w:tc>
          <w:tcPr>
            <w:tcW w:w="2300" w:type="dxa"/>
            <w:tcBorders>
              <w:top w:val="nil"/>
              <w:left w:val="nil"/>
              <w:bottom w:val="nil"/>
              <w:right w:val="nil"/>
            </w:tcBorders>
          </w:tcPr>
          <w:p w14:paraId="4457D710"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78E260B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(0.00202)</w:t>
            </w:r>
          </w:p>
        </w:tc>
        <w:tc>
          <w:tcPr>
            <w:tcW w:w="1329" w:type="dxa"/>
            <w:tcBorders>
              <w:top w:val="nil"/>
              <w:left w:val="nil"/>
              <w:bottom w:val="nil"/>
              <w:right w:val="nil"/>
            </w:tcBorders>
          </w:tcPr>
          <w:p w14:paraId="1FA55FD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(0.00135)</w:t>
            </w:r>
          </w:p>
        </w:tc>
        <w:tc>
          <w:tcPr>
            <w:tcW w:w="1540" w:type="dxa"/>
            <w:tcBorders>
              <w:top w:val="nil"/>
              <w:left w:val="nil"/>
              <w:bottom w:val="nil"/>
              <w:right w:val="nil"/>
            </w:tcBorders>
          </w:tcPr>
          <w:p w14:paraId="265B863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(0.00124)</w:t>
            </w:r>
          </w:p>
        </w:tc>
        <w:tc>
          <w:tcPr>
            <w:tcW w:w="1584" w:type="dxa"/>
            <w:tcBorders>
              <w:top w:val="nil"/>
              <w:left w:val="nil"/>
              <w:bottom w:val="nil"/>
              <w:right w:val="nil"/>
            </w:tcBorders>
          </w:tcPr>
          <w:p w14:paraId="2038B92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(0.00116)</w:t>
            </w:r>
          </w:p>
        </w:tc>
        <w:tc>
          <w:tcPr>
            <w:tcW w:w="1474" w:type="dxa"/>
            <w:tcBorders>
              <w:top w:val="nil"/>
              <w:left w:val="nil"/>
              <w:bottom w:val="nil"/>
              <w:right w:val="nil"/>
            </w:tcBorders>
          </w:tcPr>
          <w:p w14:paraId="3B2410D1"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(0.00119)</w:t>
            </w:r>
          </w:p>
        </w:tc>
        <w:tc>
          <w:tcPr>
            <w:tcW w:w="1398" w:type="dxa"/>
            <w:tcBorders>
              <w:top w:val="nil"/>
              <w:left w:val="nil"/>
              <w:bottom w:val="nil"/>
              <w:right w:val="nil"/>
            </w:tcBorders>
          </w:tcPr>
          <w:p w14:paraId="71A6013B"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(0.000871)</w:t>
            </w:r>
          </w:p>
        </w:tc>
      </w:tr>
      <w:tr w:rsidR="00164949" w:rsidRPr="000932A9" w14:paraId="06CF9F03" w14:textId="77777777" w:rsidTr="00164949">
        <w:trPr>
          <w:jc w:val="center"/>
        </w:trPr>
        <w:tc>
          <w:tcPr>
            <w:tcW w:w="2300" w:type="dxa"/>
            <w:tcBorders>
              <w:top w:val="nil"/>
              <w:left w:val="nil"/>
              <w:bottom w:val="nil"/>
              <w:right w:val="nil"/>
            </w:tcBorders>
          </w:tcPr>
          <w:p w14:paraId="39571FDC"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Performance Pay</w:t>
            </w:r>
          </w:p>
        </w:tc>
        <w:tc>
          <w:tcPr>
            <w:tcW w:w="1653" w:type="dxa"/>
            <w:tcBorders>
              <w:top w:val="nil"/>
              <w:left w:val="nil"/>
              <w:bottom w:val="nil"/>
              <w:right w:val="nil"/>
            </w:tcBorders>
          </w:tcPr>
          <w:p w14:paraId="5E6E051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0.136</w:t>
            </w:r>
          </w:p>
        </w:tc>
        <w:tc>
          <w:tcPr>
            <w:tcW w:w="1329" w:type="dxa"/>
            <w:tcBorders>
              <w:top w:val="nil"/>
              <w:left w:val="nil"/>
              <w:bottom w:val="nil"/>
              <w:right w:val="nil"/>
            </w:tcBorders>
          </w:tcPr>
          <w:p w14:paraId="3DC6898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0.00666</w:t>
            </w:r>
          </w:p>
        </w:tc>
        <w:tc>
          <w:tcPr>
            <w:tcW w:w="1540" w:type="dxa"/>
            <w:tcBorders>
              <w:top w:val="nil"/>
              <w:left w:val="nil"/>
              <w:bottom w:val="nil"/>
              <w:right w:val="nil"/>
            </w:tcBorders>
          </w:tcPr>
          <w:p w14:paraId="04975DD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-0.0249</w:t>
            </w:r>
          </w:p>
        </w:tc>
        <w:tc>
          <w:tcPr>
            <w:tcW w:w="1584" w:type="dxa"/>
            <w:tcBorders>
              <w:top w:val="nil"/>
              <w:left w:val="nil"/>
              <w:bottom w:val="nil"/>
              <w:right w:val="nil"/>
            </w:tcBorders>
          </w:tcPr>
          <w:p w14:paraId="3DF7810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0.0815</w:t>
            </w:r>
          </w:p>
        </w:tc>
        <w:tc>
          <w:tcPr>
            <w:tcW w:w="1474" w:type="dxa"/>
            <w:tcBorders>
              <w:top w:val="nil"/>
              <w:left w:val="nil"/>
              <w:bottom w:val="nil"/>
              <w:right w:val="nil"/>
            </w:tcBorders>
          </w:tcPr>
          <w:p w14:paraId="5B1DE2C7"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0.0277</w:t>
            </w:r>
          </w:p>
        </w:tc>
        <w:tc>
          <w:tcPr>
            <w:tcW w:w="1398" w:type="dxa"/>
            <w:tcBorders>
              <w:top w:val="nil"/>
              <w:left w:val="nil"/>
              <w:bottom w:val="nil"/>
              <w:right w:val="nil"/>
            </w:tcBorders>
          </w:tcPr>
          <w:p w14:paraId="2491C21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0.0975**</w:t>
            </w:r>
          </w:p>
        </w:tc>
      </w:tr>
      <w:tr w:rsidR="00164949" w:rsidRPr="000932A9" w14:paraId="3589219B" w14:textId="77777777" w:rsidTr="00164949">
        <w:trPr>
          <w:jc w:val="center"/>
        </w:trPr>
        <w:tc>
          <w:tcPr>
            <w:tcW w:w="2300" w:type="dxa"/>
            <w:tcBorders>
              <w:top w:val="nil"/>
              <w:left w:val="nil"/>
              <w:bottom w:val="nil"/>
              <w:right w:val="nil"/>
            </w:tcBorders>
          </w:tcPr>
          <w:p w14:paraId="6613E179"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23BDBF5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(0.0849)</w:t>
            </w:r>
          </w:p>
        </w:tc>
        <w:tc>
          <w:tcPr>
            <w:tcW w:w="1329" w:type="dxa"/>
            <w:tcBorders>
              <w:top w:val="nil"/>
              <w:left w:val="nil"/>
              <w:bottom w:val="nil"/>
              <w:right w:val="nil"/>
            </w:tcBorders>
          </w:tcPr>
          <w:p w14:paraId="4161508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(0.0741)</w:t>
            </w:r>
          </w:p>
        </w:tc>
        <w:tc>
          <w:tcPr>
            <w:tcW w:w="1540" w:type="dxa"/>
            <w:tcBorders>
              <w:top w:val="nil"/>
              <w:left w:val="nil"/>
              <w:bottom w:val="nil"/>
              <w:right w:val="nil"/>
            </w:tcBorders>
          </w:tcPr>
          <w:p w14:paraId="4D5B3D88"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(0.0576)</w:t>
            </w:r>
          </w:p>
        </w:tc>
        <w:tc>
          <w:tcPr>
            <w:tcW w:w="1584" w:type="dxa"/>
            <w:tcBorders>
              <w:top w:val="nil"/>
              <w:left w:val="nil"/>
              <w:bottom w:val="nil"/>
              <w:right w:val="nil"/>
            </w:tcBorders>
          </w:tcPr>
          <w:p w14:paraId="4054793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(0.0528)</w:t>
            </w:r>
          </w:p>
        </w:tc>
        <w:tc>
          <w:tcPr>
            <w:tcW w:w="1474" w:type="dxa"/>
            <w:tcBorders>
              <w:top w:val="nil"/>
              <w:left w:val="nil"/>
              <w:bottom w:val="nil"/>
              <w:right w:val="nil"/>
            </w:tcBorders>
          </w:tcPr>
          <w:p w14:paraId="03BB725A"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(0.0586)</w:t>
            </w:r>
          </w:p>
        </w:tc>
        <w:tc>
          <w:tcPr>
            <w:tcW w:w="1398" w:type="dxa"/>
            <w:tcBorders>
              <w:top w:val="nil"/>
              <w:left w:val="nil"/>
              <w:bottom w:val="nil"/>
              <w:right w:val="nil"/>
            </w:tcBorders>
          </w:tcPr>
          <w:p w14:paraId="491E96B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(0.0494)</w:t>
            </w:r>
          </w:p>
        </w:tc>
      </w:tr>
      <w:tr w:rsidR="00164949" w:rsidRPr="000932A9" w14:paraId="17456856" w14:textId="77777777" w:rsidTr="00164949">
        <w:trPr>
          <w:jc w:val="center"/>
        </w:trPr>
        <w:tc>
          <w:tcPr>
            <w:tcW w:w="2300" w:type="dxa"/>
            <w:tcBorders>
              <w:top w:val="nil"/>
              <w:left w:val="nil"/>
              <w:bottom w:val="nil"/>
              <w:right w:val="nil"/>
            </w:tcBorders>
          </w:tcPr>
          <w:p w14:paraId="68DB0E73"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36C63522"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29" w:type="dxa"/>
            <w:tcBorders>
              <w:top w:val="nil"/>
              <w:left w:val="nil"/>
              <w:bottom w:val="nil"/>
              <w:right w:val="nil"/>
            </w:tcBorders>
          </w:tcPr>
          <w:p w14:paraId="6CF12DA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40" w:type="dxa"/>
            <w:tcBorders>
              <w:top w:val="nil"/>
              <w:left w:val="nil"/>
              <w:bottom w:val="nil"/>
              <w:right w:val="nil"/>
            </w:tcBorders>
          </w:tcPr>
          <w:p w14:paraId="7B70FA0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38354F7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74" w:type="dxa"/>
            <w:tcBorders>
              <w:top w:val="nil"/>
              <w:left w:val="nil"/>
              <w:bottom w:val="nil"/>
              <w:right w:val="nil"/>
            </w:tcBorders>
          </w:tcPr>
          <w:p w14:paraId="703554A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98" w:type="dxa"/>
            <w:tcBorders>
              <w:top w:val="nil"/>
              <w:left w:val="nil"/>
              <w:bottom w:val="nil"/>
              <w:right w:val="nil"/>
            </w:tcBorders>
          </w:tcPr>
          <w:p w14:paraId="48FC6F4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297E33AD" w14:textId="77777777" w:rsidTr="00164949">
        <w:trPr>
          <w:jc w:val="center"/>
        </w:trPr>
        <w:tc>
          <w:tcPr>
            <w:tcW w:w="2300" w:type="dxa"/>
            <w:tcBorders>
              <w:top w:val="nil"/>
              <w:left w:val="nil"/>
              <w:bottom w:val="nil"/>
              <w:right w:val="nil"/>
            </w:tcBorders>
          </w:tcPr>
          <w:p w14:paraId="5CC05C8B"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Constant</w:t>
            </w:r>
          </w:p>
        </w:tc>
        <w:tc>
          <w:tcPr>
            <w:tcW w:w="1653" w:type="dxa"/>
            <w:tcBorders>
              <w:top w:val="nil"/>
              <w:left w:val="nil"/>
              <w:bottom w:val="nil"/>
              <w:right w:val="nil"/>
            </w:tcBorders>
          </w:tcPr>
          <w:p w14:paraId="5AAB2E4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6.899***</w:t>
            </w:r>
          </w:p>
        </w:tc>
        <w:tc>
          <w:tcPr>
            <w:tcW w:w="1329" w:type="dxa"/>
            <w:tcBorders>
              <w:top w:val="nil"/>
              <w:left w:val="nil"/>
              <w:bottom w:val="nil"/>
              <w:right w:val="nil"/>
            </w:tcBorders>
          </w:tcPr>
          <w:p w14:paraId="741AC48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6.091***</w:t>
            </w:r>
          </w:p>
        </w:tc>
        <w:tc>
          <w:tcPr>
            <w:tcW w:w="1540" w:type="dxa"/>
            <w:tcBorders>
              <w:top w:val="nil"/>
              <w:left w:val="nil"/>
              <w:bottom w:val="nil"/>
              <w:right w:val="nil"/>
            </w:tcBorders>
          </w:tcPr>
          <w:p w14:paraId="41F1BF5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6.597***</w:t>
            </w:r>
          </w:p>
        </w:tc>
        <w:tc>
          <w:tcPr>
            <w:tcW w:w="1584" w:type="dxa"/>
            <w:tcBorders>
              <w:top w:val="nil"/>
              <w:left w:val="nil"/>
              <w:bottom w:val="nil"/>
              <w:right w:val="nil"/>
            </w:tcBorders>
          </w:tcPr>
          <w:p w14:paraId="7245454A"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5.993***</w:t>
            </w:r>
          </w:p>
        </w:tc>
        <w:tc>
          <w:tcPr>
            <w:tcW w:w="1474" w:type="dxa"/>
            <w:tcBorders>
              <w:top w:val="nil"/>
              <w:left w:val="nil"/>
              <w:bottom w:val="nil"/>
              <w:right w:val="nil"/>
            </w:tcBorders>
          </w:tcPr>
          <w:p w14:paraId="668010EE"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4.748***</w:t>
            </w:r>
          </w:p>
        </w:tc>
        <w:tc>
          <w:tcPr>
            <w:tcW w:w="1398" w:type="dxa"/>
            <w:tcBorders>
              <w:top w:val="nil"/>
              <w:left w:val="nil"/>
              <w:bottom w:val="nil"/>
              <w:right w:val="nil"/>
            </w:tcBorders>
          </w:tcPr>
          <w:p w14:paraId="5A166DC6"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4.514***</w:t>
            </w:r>
          </w:p>
        </w:tc>
      </w:tr>
      <w:tr w:rsidR="00164949" w:rsidRPr="000932A9" w14:paraId="7F91F629" w14:textId="77777777" w:rsidTr="00164949">
        <w:trPr>
          <w:jc w:val="center"/>
        </w:trPr>
        <w:tc>
          <w:tcPr>
            <w:tcW w:w="2300" w:type="dxa"/>
            <w:tcBorders>
              <w:top w:val="nil"/>
              <w:left w:val="nil"/>
              <w:bottom w:val="nil"/>
              <w:right w:val="nil"/>
            </w:tcBorders>
          </w:tcPr>
          <w:p w14:paraId="69913927"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034A8E0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(0.686)</w:t>
            </w:r>
          </w:p>
        </w:tc>
        <w:tc>
          <w:tcPr>
            <w:tcW w:w="1329" w:type="dxa"/>
            <w:tcBorders>
              <w:top w:val="nil"/>
              <w:left w:val="nil"/>
              <w:bottom w:val="nil"/>
              <w:right w:val="nil"/>
            </w:tcBorders>
          </w:tcPr>
          <w:p w14:paraId="5E38260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(0.524)</w:t>
            </w:r>
          </w:p>
        </w:tc>
        <w:tc>
          <w:tcPr>
            <w:tcW w:w="1540" w:type="dxa"/>
            <w:tcBorders>
              <w:top w:val="nil"/>
              <w:left w:val="nil"/>
              <w:bottom w:val="nil"/>
              <w:right w:val="nil"/>
            </w:tcBorders>
          </w:tcPr>
          <w:p w14:paraId="2B17687C"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(0.469)</w:t>
            </w:r>
          </w:p>
        </w:tc>
        <w:tc>
          <w:tcPr>
            <w:tcW w:w="1584" w:type="dxa"/>
            <w:tcBorders>
              <w:top w:val="nil"/>
              <w:left w:val="nil"/>
              <w:bottom w:val="nil"/>
              <w:right w:val="nil"/>
            </w:tcBorders>
          </w:tcPr>
          <w:p w14:paraId="3C101F49"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(0.431)</w:t>
            </w:r>
          </w:p>
        </w:tc>
        <w:tc>
          <w:tcPr>
            <w:tcW w:w="1474" w:type="dxa"/>
            <w:tcBorders>
              <w:top w:val="nil"/>
              <w:left w:val="nil"/>
              <w:bottom w:val="nil"/>
              <w:right w:val="nil"/>
            </w:tcBorders>
          </w:tcPr>
          <w:p w14:paraId="518CFCE0"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(0.378)</w:t>
            </w:r>
          </w:p>
        </w:tc>
        <w:tc>
          <w:tcPr>
            <w:tcW w:w="1398" w:type="dxa"/>
            <w:tcBorders>
              <w:top w:val="nil"/>
              <w:left w:val="nil"/>
              <w:bottom w:val="nil"/>
              <w:right w:val="nil"/>
            </w:tcBorders>
          </w:tcPr>
          <w:p w14:paraId="28CDF08C"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(0.360)</w:t>
            </w:r>
          </w:p>
        </w:tc>
      </w:tr>
      <w:tr w:rsidR="00164949" w:rsidRPr="000932A9" w14:paraId="35AE7C17" w14:textId="77777777" w:rsidTr="00164949">
        <w:trPr>
          <w:jc w:val="center"/>
        </w:trPr>
        <w:tc>
          <w:tcPr>
            <w:tcW w:w="2300" w:type="dxa"/>
            <w:tcBorders>
              <w:top w:val="nil"/>
              <w:left w:val="nil"/>
              <w:bottom w:val="nil"/>
              <w:right w:val="nil"/>
            </w:tcBorders>
          </w:tcPr>
          <w:p w14:paraId="1D9D71CA"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p>
        </w:tc>
        <w:tc>
          <w:tcPr>
            <w:tcW w:w="1653" w:type="dxa"/>
            <w:tcBorders>
              <w:top w:val="nil"/>
              <w:left w:val="nil"/>
              <w:bottom w:val="nil"/>
              <w:right w:val="nil"/>
            </w:tcBorders>
          </w:tcPr>
          <w:p w14:paraId="3C2325A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29" w:type="dxa"/>
            <w:tcBorders>
              <w:top w:val="nil"/>
              <w:left w:val="nil"/>
              <w:bottom w:val="nil"/>
              <w:right w:val="nil"/>
            </w:tcBorders>
          </w:tcPr>
          <w:p w14:paraId="2B6763C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40" w:type="dxa"/>
            <w:tcBorders>
              <w:top w:val="nil"/>
              <w:left w:val="nil"/>
              <w:bottom w:val="nil"/>
              <w:right w:val="nil"/>
            </w:tcBorders>
          </w:tcPr>
          <w:p w14:paraId="386AF440"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14:paraId="7A290EDE"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474" w:type="dxa"/>
            <w:tcBorders>
              <w:top w:val="nil"/>
              <w:left w:val="nil"/>
              <w:bottom w:val="nil"/>
              <w:right w:val="nil"/>
            </w:tcBorders>
          </w:tcPr>
          <w:p w14:paraId="142C4FC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c>
          <w:tcPr>
            <w:tcW w:w="1398" w:type="dxa"/>
            <w:tcBorders>
              <w:top w:val="nil"/>
              <w:left w:val="nil"/>
              <w:bottom w:val="nil"/>
              <w:right w:val="nil"/>
            </w:tcBorders>
          </w:tcPr>
          <w:p w14:paraId="02FCC21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p>
        </w:tc>
      </w:tr>
      <w:tr w:rsidR="00164949" w:rsidRPr="000932A9" w14:paraId="79B8F38E" w14:textId="77777777" w:rsidTr="00164949">
        <w:trPr>
          <w:jc w:val="center"/>
        </w:trPr>
        <w:tc>
          <w:tcPr>
            <w:tcW w:w="2300" w:type="dxa"/>
            <w:tcBorders>
              <w:top w:val="nil"/>
              <w:left w:val="nil"/>
              <w:bottom w:val="nil"/>
              <w:right w:val="nil"/>
            </w:tcBorders>
          </w:tcPr>
          <w:p w14:paraId="01DB5DBF"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Observations</w:t>
            </w:r>
          </w:p>
        </w:tc>
        <w:tc>
          <w:tcPr>
            <w:tcW w:w="1653" w:type="dxa"/>
            <w:tcBorders>
              <w:top w:val="nil"/>
              <w:left w:val="nil"/>
              <w:bottom w:val="nil"/>
              <w:right w:val="nil"/>
            </w:tcBorders>
          </w:tcPr>
          <w:p w14:paraId="57A81545"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1,853</w:t>
            </w:r>
          </w:p>
        </w:tc>
        <w:tc>
          <w:tcPr>
            <w:tcW w:w="1329" w:type="dxa"/>
            <w:tcBorders>
              <w:top w:val="nil"/>
              <w:left w:val="nil"/>
              <w:bottom w:val="nil"/>
              <w:right w:val="nil"/>
            </w:tcBorders>
          </w:tcPr>
          <w:p w14:paraId="6644CA57"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1,996</w:t>
            </w:r>
          </w:p>
        </w:tc>
        <w:tc>
          <w:tcPr>
            <w:tcW w:w="1540" w:type="dxa"/>
            <w:tcBorders>
              <w:top w:val="nil"/>
              <w:left w:val="nil"/>
              <w:bottom w:val="nil"/>
              <w:right w:val="nil"/>
            </w:tcBorders>
          </w:tcPr>
          <w:p w14:paraId="78134704"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2,339</w:t>
            </w:r>
          </w:p>
        </w:tc>
        <w:tc>
          <w:tcPr>
            <w:tcW w:w="1584" w:type="dxa"/>
            <w:tcBorders>
              <w:top w:val="nil"/>
              <w:left w:val="nil"/>
              <w:bottom w:val="nil"/>
              <w:right w:val="nil"/>
            </w:tcBorders>
          </w:tcPr>
          <w:p w14:paraId="1698555F"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2,219</w:t>
            </w:r>
          </w:p>
        </w:tc>
        <w:tc>
          <w:tcPr>
            <w:tcW w:w="1474" w:type="dxa"/>
            <w:tcBorders>
              <w:top w:val="nil"/>
              <w:left w:val="nil"/>
              <w:bottom w:val="nil"/>
              <w:right w:val="nil"/>
            </w:tcBorders>
          </w:tcPr>
          <w:p w14:paraId="6D0FED28"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4,194</w:t>
            </w:r>
          </w:p>
        </w:tc>
        <w:tc>
          <w:tcPr>
            <w:tcW w:w="1398" w:type="dxa"/>
            <w:tcBorders>
              <w:top w:val="nil"/>
              <w:left w:val="nil"/>
              <w:bottom w:val="nil"/>
              <w:right w:val="nil"/>
            </w:tcBorders>
          </w:tcPr>
          <w:p w14:paraId="170A1AF5"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3,974</w:t>
            </w:r>
          </w:p>
        </w:tc>
      </w:tr>
      <w:tr w:rsidR="00164949" w:rsidRPr="000932A9" w14:paraId="5447DE8F" w14:textId="77777777" w:rsidTr="00164949">
        <w:tblPrEx>
          <w:tblBorders>
            <w:bottom w:val="single" w:sz="6" w:space="0" w:color="auto"/>
          </w:tblBorders>
        </w:tblPrEx>
        <w:trPr>
          <w:jc w:val="center"/>
        </w:trPr>
        <w:tc>
          <w:tcPr>
            <w:tcW w:w="2300" w:type="dxa"/>
            <w:tcBorders>
              <w:top w:val="nil"/>
              <w:left w:val="nil"/>
              <w:bottom w:val="single" w:sz="6" w:space="0" w:color="auto"/>
              <w:right w:val="nil"/>
            </w:tcBorders>
          </w:tcPr>
          <w:p w14:paraId="47648486" w14:textId="77777777" w:rsidR="00164949" w:rsidRPr="000932A9" w:rsidRDefault="00164949" w:rsidP="00164949">
            <w:pPr>
              <w:widowControl w:val="0"/>
              <w:autoSpaceDE w:val="0"/>
              <w:autoSpaceDN w:val="0"/>
              <w:adjustRightInd w:val="0"/>
              <w:spacing w:after="0" w:line="240" w:lineRule="auto"/>
              <w:rPr>
                <w:rFonts w:ascii="Times New Roman" w:hAnsi="Times New Roman" w:cs="Times New Roman"/>
              </w:rPr>
            </w:pPr>
            <w:r w:rsidRPr="000932A9">
              <w:rPr>
                <w:rFonts w:ascii="Times New Roman" w:hAnsi="Times New Roman" w:cs="Times New Roman"/>
              </w:rPr>
              <w:t>R-squared</w:t>
            </w:r>
          </w:p>
        </w:tc>
        <w:tc>
          <w:tcPr>
            <w:tcW w:w="1653" w:type="dxa"/>
            <w:tcBorders>
              <w:top w:val="nil"/>
              <w:left w:val="nil"/>
              <w:bottom w:val="single" w:sz="6" w:space="0" w:color="auto"/>
              <w:right w:val="nil"/>
            </w:tcBorders>
          </w:tcPr>
          <w:p w14:paraId="763CDEEB"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0.103</w:t>
            </w:r>
          </w:p>
        </w:tc>
        <w:tc>
          <w:tcPr>
            <w:tcW w:w="1329" w:type="dxa"/>
            <w:tcBorders>
              <w:top w:val="nil"/>
              <w:left w:val="nil"/>
              <w:bottom w:val="single" w:sz="6" w:space="0" w:color="auto"/>
              <w:right w:val="nil"/>
            </w:tcBorders>
          </w:tcPr>
          <w:p w14:paraId="1840E03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0.073</w:t>
            </w:r>
          </w:p>
        </w:tc>
        <w:tc>
          <w:tcPr>
            <w:tcW w:w="1540" w:type="dxa"/>
            <w:tcBorders>
              <w:top w:val="nil"/>
              <w:left w:val="nil"/>
              <w:bottom w:val="single" w:sz="6" w:space="0" w:color="auto"/>
              <w:right w:val="nil"/>
            </w:tcBorders>
          </w:tcPr>
          <w:p w14:paraId="0BE5BDB3"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0.049</w:t>
            </w:r>
          </w:p>
        </w:tc>
        <w:tc>
          <w:tcPr>
            <w:tcW w:w="1584" w:type="dxa"/>
            <w:tcBorders>
              <w:top w:val="nil"/>
              <w:left w:val="nil"/>
              <w:bottom w:val="single" w:sz="6" w:space="0" w:color="auto"/>
              <w:right w:val="nil"/>
            </w:tcBorders>
          </w:tcPr>
          <w:p w14:paraId="07AB4636"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0.068</w:t>
            </w:r>
          </w:p>
        </w:tc>
        <w:tc>
          <w:tcPr>
            <w:tcW w:w="1474" w:type="dxa"/>
            <w:tcBorders>
              <w:top w:val="nil"/>
              <w:left w:val="nil"/>
              <w:bottom w:val="single" w:sz="6" w:space="0" w:color="auto"/>
              <w:right w:val="nil"/>
            </w:tcBorders>
          </w:tcPr>
          <w:p w14:paraId="50B13259" w14:textId="77777777" w:rsidR="00164949" w:rsidRPr="006A1106" w:rsidRDefault="00164949" w:rsidP="00164949">
            <w:pPr>
              <w:widowControl w:val="0"/>
              <w:autoSpaceDE w:val="0"/>
              <w:autoSpaceDN w:val="0"/>
              <w:adjustRightInd w:val="0"/>
              <w:spacing w:after="0" w:line="240" w:lineRule="auto"/>
              <w:jc w:val="center"/>
              <w:rPr>
                <w:rFonts w:ascii="Times New Roman" w:hAnsi="Times New Roman" w:cs="Times New Roman"/>
              </w:rPr>
            </w:pPr>
            <w:r w:rsidRPr="006A1106">
              <w:rPr>
                <w:rFonts w:ascii="Times New Roman" w:hAnsi="Times New Roman" w:cs="Times New Roman"/>
              </w:rPr>
              <w:t>0.053</w:t>
            </w:r>
          </w:p>
        </w:tc>
        <w:tc>
          <w:tcPr>
            <w:tcW w:w="1398" w:type="dxa"/>
            <w:tcBorders>
              <w:top w:val="nil"/>
              <w:left w:val="nil"/>
              <w:bottom w:val="single" w:sz="6" w:space="0" w:color="auto"/>
              <w:right w:val="nil"/>
            </w:tcBorders>
          </w:tcPr>
          <w:p w14:paraId="38E56B08" w14:textId="6E04EE55" w:rsidR="00164949" w:rsidRPr="006A1106" w:rsidRDefault="003E1EC0" w:rsidP="0016494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0.065</w:t>
            </w:r>
          </w:p>
        </w:tc>
      </w:tr>
    </w:tbl>
    <w:p w14:paraId="6431E6D1" w14:textId="77777777" w:rsidR="00164949" w:rsidRPr="000932A9" w:rsidRDefault="00164949" w:rsidP="00164949">
      <w:pPr>
        <w:widowControl w:val="0"/>
        <w:autoSpaceDE w:val="0"/>
        <w:autoSpaceDN w:val="0"/>
        <w:adjustRightInd w:val="0"/>
        <w:spacing w:after="0" w:line="240" w:lineRule="auto"/>
        <w:jc w:val="center"/>
        <w:rPr>
          <w:rFonts w:ascii="Times New Roman" w:hAnsi="Times New Roman" w:cs="Times New Roman"/>
        </w:rPr>
      </w:pPr>
      <w:r w:rsidRPr="000932A9">
        <w:rPr>
          <w:rFonts w:ascii="Times New Roman" w:hAnsi="Times New Roman" w:cs="Times New Roman"/>
        </w:rPr>
        <w:t>All models include controls for industry, occupation and region. Standard errors in parentheses ***,**,* indicate statistical significance at the 1%, 5% and 10% level, respectively</w:t>
      </w:r>
    </w:p>
    <w:p w14:paraId="7EA2A04F" w14:textId="77777777" w:rsidR="00164949" w:rsidRDefault="00164949" w:rsidP="001E39AD">
      <w:pPr>
        <w:spacing w:line="360" w:lineRule="auto"/>
        <w:rPr>
          <w:rFonts w:ascii="Garamond" w:hAnsi="Garamond"/>
          <w:b/>
        </w:rPr>
      </w:pPr>
    </w:p>
    <w:sectPr w:rsidR="00164949" w:rsidSect="009D757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7B649" w14:textId="77777777" w:rsidR="00A76E83" w:rsidRDefault="00A76E83" w:rsidP="00E522C9">
      <w:pPr>
        <w:spacing w:after="0" w:line="240" w:lineRule="auto"/>
      </w:pPr>
      <w:r>
        <w:separator/>
      </w:r>
    </w:p>
  </w:endnote>
  <w:endnote w:type="continuationSeparator" w:id="0">
    <w:p w14:paraId="09E367A4" w14:textId="77777777" w:rsidR="00A76E83" w:rsidRDefault="00A76E83" w:rsidP="00E522C9">
      <w:pPr>
        <w:spacing w:after="0" w:line="240" w:lineRule="auto"/>
      </w:pPr>
      <w:r>
        <w:continuationSeparator/>
      </w:r>
    </w:p>
  </w:endnote>
  <w:endnote w:id="1">
    <w:p w14:paraId="16F3CA89" w14:textId="27D74BCB" w:rsidR="00572651" w:rsidRPr="007D2CA9" w:rsidRDefault="00572651">
      <w:pPr>
        <w:pStyle w:val="EndnoteText"/>
      </w:pPr>
      <w:r w:rsidRPr="004955CA">
        <w:rPr>
          <w:rStyle w:val="EndnoteReference"/>
        </w:rPr>
        <w:endnoteRef/>
      </w:r>
      <w:r w:rsidRPr="004955CA">
        <w:t xml:space="preserve"> </w:t>
      </w:r>
      <w:r w:rsidRPr="00553A5C">
        <w:t xml:space="preserve">Indeed, Google </w:t>
      </w:r>
      <w:r w:rsidRPr="007D2CA9">
        <w:t>Scholar lists over 1500 citations to Clark (1997).</w:t>
      </w:r>
    </w:p>
    <w:p w14:paraId="21ADB407" w14:textId="77777777" w:rsidR="00572651" w:rsidRPr="007D2CA9" w:rsidRDefault="00572651">
      <w:pPr>
        <w:pStyle w:val="EndnoteText"/>
      </w:pPr>
    </w:p>
  </w:endnote>
  <w:endnote w:id="2">
    <w:p w14:paraId="1FE0243F" w14:textId="77777777" w:rsidR="00572651" w:rsidRPr="007D2CA9" w:rsidRDefault="00572651" w:rsidP="0014755E">
      <w:pPr>
        <w:pStyle w:val="EndnoteText"/>
        <w:rPr>
          <w:iCs/>
        </w:rPr>
      </w:pPr>
      <w:r w:rsidRPr="007D2CA9">
        <w:rPr>
          <w:rStyle w:val="EndnoteReference"/>
        </w:rPr>
        <w:endnoteRef/>
      </w:r>
      <w:r w:rsidRPr="007D2CA9">
        <w:t xml:space="preserve"> </w:t>
      </w:r>
      <w:r w:rsidRPr="007D2CA9">
        <w:rPr>
          <w:iCs/>
        </w:rPr>
        <w:t>Lalive and Stutzer (2010) suggest that this paradox may also be reflected in their finding that women in countries with stronger equal protection legislation report lower not higher life satisfaction.</w:t>
      </w:r>
    </w:p>
    <w:p w14:paraId="1B7FA3BB" w14:textId="77777777" w:rsidR="00572651" w:rsidRPr="007D2CA9" w:rsidRDefault="00572651" w:rsidP="0014755E">
      <w:pPr>
        <w:pStyle w:val="EndnoteText"/>
      </w:pPr>
    </w:p>
  </w:endnote>
  <w:endnote w:id="3">
    <w:p w14:paraId="212463B9" w14:textId="1C32DD66" w:rsidR="00572651" w:rsidRPr="007D2CA9" w:rsidRDefault="00572651">
      <w:pPr>
        <w:pStyle w:val="EndnoteText"/>
      </w:pPr>
      <w:r w:rsidRPr="007D2CA9">
        <w:rPr>
          <w:rStyle w:val="EndnoteReference"/>
        </w:rPr>
        <w:endnoteRef/>
      </w:r>
      <w:r w:rsidRPr="007D2CA9">
        <w:t xml:space="preserve"> The age effect is the change in satisfaction of given workers over time and the cohort effect is the difference in satisfaction of later entrants compared to earlier entrants holding age constant.</w:t>
      </w:r>
    </w:p>
    <w:p w14:paraId="66645830" w14:textId="77777777" w:rsidR="00572651" w:rsidRPr="007D2CA9" w:rsidRDefault="00572651">
      <w:pPr>
        <w:pStyle w:val="EndnoteText"/>
      </w:pPr>
    </w:p>
  </w:endnote>
  <w:endnote w:id="4">
    <w:p w14:paraId="74DB4519" w14:textId="51102FD9" w:rsidR="00572651" w:rsidRPr="007D2CA9" w:rsidRDefault="00572651">
      <w:pPr>
        <w:pStyle w:val="EndnoteText"/>
      </w:pPr>
      <w:r w:rsidRPr="007D2CA9">
        <w:rPr>
          <w:rStyle w:val="EndnoteReference"/>
        </w:rPr>
        <w:endnoteRef/>
      </w:r>
      <w:r w:rsidRPr="007D2CA9">
        <w:t xml:space="preserve"> Dawson (2017) used the BHPS to support this notion by showing that during the period of the large female advantage in job satisfaction non-employed women were pessimistic about (underestimated) their eventual wage upon working while men were, if anything, overly optimistic.</w:t>
      </w:r>
    </w:p>
    <w:p w14:paraId="0AB90E02" w14:textId="77777777" w:rsidR="00572651" w:rsidRPr="007D2CA9" w:rsidRDefault="00572651">
      <w:pPr>
        <w:pStyle w:val="EndnoteText"/>
      </w:pPr>
    </w:p>
  </w:endnote>
  <w:endnote w:id="5">
    <w:p w14:paraId="09014C63" w14:textId="384F3B07" w:rsidR="00572651" w:rsidRPr="007D2CA9" w:rsidRDefault="00572651">
      <w:pPr>
        <w:pStyle w:val="EndnoteText"/>
      </w:pPr>
      <w:r w:rsidRPr="007D2CA9">
        <w:rPr>
          <w:rStyle w:val="EndnoteReference"/>
        </w:rPr>
        <w:endnoteRef/>
      </w:r>
      <w:r w:rsidRPr="007D2CA9">
        <w:t xml:space="preserve"> We note that while the net evaluation of characteristics is more similar, there will remain differences in the evaluation of specific characteristics.</w:t>
      </w:r>
    </w:p>
    <w:p w14:paraId="0B82E9C7" w14:textId="77777777" w:rsidR="00572651" w:rsidRPr="007D2CA9" w:rsidRDefault="00572651">
      <w:pPr>
        <w:pStyle w:val="EndnoteText"/>
      </w:pPr>
    </w:p>
  </w:endnote>
  <w:endnote w:id="6">
    <w:p w14:paraId="1AF6C379" w14:textId="77777777" w:rsidR="00572651" w:rsidRPr="007D2CA9" w:rsidRDefault="00572651">
      <w:pPr>
        <w:pStyle w:val="EndnoteText"/>
        <w:rPr>
          <w:rFonts w:ascii="Times" w:hAnsi="Times"/>
        </w:rPr>
      </w:pPr>
      <w:r w:rsidRPr="007D2CA9">
        <w:rPr>
          <w:rStyle w:val="EndnoteReference"/>
          <w:rFonts w:ascii="Times" w:hAnsi="Times"/>
        </w:rPr>
        <w:endnoteRef/>
      </w:r>
      <w:r w:rsidRPr="007D2CA9">
        <w:rPr>
          <w:rFonts w:ascii="Times" w:hAnsi="Times"/>
        </w:rPr>
        <w:t xml:space="preserve"> The original BHPS participants were not initially asked to participate in US and hence are missing from wave 1. They were subsequently invited to join US and entered in wave 2. </w:t>
      </w:r>
    </w:p>
    <w:p w14:paraId="785B2ABB" w14:textId="77777777" w:rsidR="00572651" w:rsidRPr="007D2CA9" w:rsidRDefault="00572651">
      <w:pPr>
        <w:pStyle w:val="EndnoteText"/>
        <w:rPr>
          <w:rFonts w:ascii="Times" w:hAnsi="Times"/>
        </w:rPr>
      </w:pPr>
    </w:p>
  </w:endnote>
  <w:endnote w:id="7">
    <w:p w14:paraId="07B5C84F" w14:textId="384AB292" w:rsidR="00572651" w:rsidRPr="007D2CA9" w:rsidRDefault="00572651" w:rsidP="002A2CC2">
      <w:pPr>
        <w:pStyle w:val="EndnoteText"/>
      </w:pPr>
      <w:r w:rsidRPr="007D2CA9">
        <w:rPr>
          <w:rStyle w:val="EndnoteReference"/>
        </w:rPr>
        <w:endnoteRef/>
      </w:r>
      <w:r w:rsidRPr="007D2CA9">
        <w:t>For example, prior to 1999, flexible contracts were aggregated not allowing variations within sub-groups of flexible contracts. For instance, fixed term contracts and agency workers were grouped together. We also add an indicator for performance related pay and general health.</w:t>
      </w:r>
    </w:p>
    <w:p w14:paraId="49FF9DFE" w14:textId="77777777" w:rsidR="00572651" w:rsidRPr="007D2CA9" w:rsidRDefault="00572651" w:rsidP="002A2CC2">
      <w:pPr>
        <w:pStyle w:val="EndnoteText"/>
      </w:pPr>
    </w:p>
  </w:endnote>
  <w:endnote w:id="8">
    <w:p w14:paraId="031C900E" w14:textId="77777777" w:rsidR="00572651" w:rsidRPr="007D2CA9" w:rsidRDefault="00572651" w:rsidP="00676D5B">
      <w:pPr>
        <w:pStyle w:val="EndnoteText"/>
        <w:tabs>
          <w:tab w:val="left" w:pos="8190"/>
        </w:tabs>
      </w:pPr>
      <w:r w:rsidRPr="007D2CA9">
        <w:rPr>
          <w:rStyle w:val="EndnoteReference"/>
        </w:rPr>
        <w:endnoteRef/>
      </w:r>
      <w:r w:rsidRPr="007D2CA9">
        <w:t xml:space="preserve"> Questions on these domains of job satisfaction were not included in Understanding Society.</w:t>
      </w:r>
    </w:p>
    <w:p w14:paraId="13E9C25B" w14:textId="2B7358A6" w:rsidR="00572651" w:rsidRPr="007D2CA9" w:rsidRDefault="00572651" w:rsidP="00676D5B">
      <w:pPr>
        <w:pStyle w:val="EndnoteText"/>
        <w:tabs>
          <w:tab w:val="left" w:pos="8190"/>
        </w:tabs>
      </w:pPr>
      <w:r w:rsidRPr="007D2CA9">
        <w:tab/>
      </w:r>
    </w:p>
  </w:endnote>
  <w:endnote w:id="9">
    <w:p w14:paraId="09D1DD33" w14:textId="42B2199E" w:rsidR="00572651" w:rsidRDefault="00572651">
      <w:pPr>
        <w:pStyle w:val="EndnoteText"/>
      </w:pPr>
      <w:r w:rsidRPr="007D2CA9">
        <w:rPr>
          <w:rStyle w:val="EndnoteReference"/>
        </w:rPr>
        <w:endnoteRef/>
      </w:r>
      <w:r w:rsidRPr="007D2CA9">
        <w:t xml:space="preserve"> In unreported results we also estimated these models by ordered probit, random-effects ordered probit and Mundlak’s correlated random effects model. Doing so has little substantive effects on the tenor of our</w:t>
      </w:r>
      <w:r>
        <w:t xml:space="preserve"> main estimates. We present the OLS results as the interpretation of the interactions is more straightforward (Ai and Norton, 2003).</w:t>
      </w:r>
    </w:p>
    <w:p w14:paraId="5C833720" w14:textId="77777777" w:rsidR="00572651" w:rsidRDefault="00572651">
      <w:pPr>
        <w:pStyle w:val="EndnoteText"/>
      </w:pPr>
    </w:p>
  </w:endnote>
  <w:endnote w:id="10">
    <w:p w14:paraId="5737DE59" w14:textId="26DD54AB" w:rsidR="00572651" w:rsidRDefault="00572651">
      <w:pPr>
        <w:pStyle w:val="EndnoteText"/>
      </w:pPr>
      <w:r>
        <w:rPr>
          <w:rStyle w:val="EndnoteReference"/>
        </w:rPr>
        <w:endnoteRef/>
      </w:r>
      <w:r>
        <w:t xml:space="preserve"> The same cut-points have been used previously in the literature, see for instance Long (2005) and Kifle Kler, and Shankar (2014).</w:t>
      </w:r>
    </w:p>
    <w:p w14:paraId="30E6B5BF" w14:textId="77777777" w:rsidR="00572651" w:rsidRPr="00EC4C07" w:rsidRDefault="00572651">
      <w:pPr>
        <w:pStyle w:val="EndnoteText"/>
      </w:pPr>
    </w:p>
  </w:endnote>
  <w:endnote w:id="11">
    <w:p w14:paraId="531FB396" w14:textId="77777777" w:rsidR="00572651" w:rsidRDefault="00572651">
      <w:pPr>
        <w:pStyle w:val="EndnoteText"/>
      </w:pPr>
      <w:r w:rsidRPr="00A97D57">
        <w:rPr>
          <w:rStyle w:val="EndnoteReference"/>
        </w:rPr>
        <w:endnoteRef/>
      </w:r>
      <w:r w:rsidRPr="00A97D57">
        <w:t xml:space="preserve"> </w:t>
      </w:r>
      <w:r w:rsidRPr="00FB6764">
        <w:t>Indeed, in estimates available from the authors, including an interaction of age and gender in a 1991 full sample estimate reveals that the female satisfaction gap increases significantly with age</w:t>
      </w:r>
      <w:r w:rsidRPr="00A97D57">
        <w:t>.</w:t>
      </w:r>
    </w:p>
    <w:p w14:paraId="1DD7222D" w14:textId="77777777" w:rsidR="00572651" w:rsidRPr="00A97D57" w:rsidRDefault="00572651">
      <w:pPr>
        <w:pStyle w:val="EndnoteText"/>
      </w:pPr>
    </w:p>
  </w:endnote>
  <w:endnote w:id="12">
    <w:p w14:paraId="023954F7" w14:textId="1B8B76A4" w:rsidR="00572651" w:rsidRDefault="00572651">
      <w:pPr>
        <w:pStyle w:val="EndnoteText"/>
      </w:pPr>
      <w:r w:rsidRPr="00CF641D">
        <w:rPr>
          <w:rStyle w:val="EndnoteReference"/>
        </w:rPr>
        <w:endnoteRef/>
      </w:r>
      <w:r w:rsidRPr="00CF641D">
        <w:t xml:space="preserve"> In unreported estimates we also estimated our models via POLS as per (Ferrer-i-Carbonell and Frijters, 2004) and the tenor of the s</w:t>
      </w:r>
      <w:r>
        <w:t>ubsequent decomposition i</w:t>
      </w:r>
      <w:r w:rsidRPr="00CF641D">
        <w:t>s essentially unchanged.</w:t>
      </w:r>
      <w:r w:rsidRPr="004903DD">
        <w:t xml:space="preserve"> </w:t>
      </w:r>
    </w:p>
    <w:p w14:paraId="50534187" w14:textId="77777777" w:rsidR="00572651" w:rsidRDefault="00572651">
      <w:pPr>
        <w:pStyle w:val="EndnoteText"/>
      </w:pPr>
    </w:p>
  </w:endnote>
  <w:endnote w:id="13">
    <w:p w14:paraId="4CC4FEF2" w14:textId="500A79C5" w:rsidR="00572651" w:rsidRPr="0029065A" w:rsidRDefault="00572651">
      <w:pPr>
        <w:pStyle w:val="EndnoteText"/>
      </w:pPr>
      <w:r>
        <w:rPr>
          <w:rStyle w:val="EndnoteReference"/>
        </w:rPr>
        <w:endnoteRef/>
      </w:r>
      <w:r>
        <w:t xml:space="preserve"> </w:t>
      </w:r>
      <w:r w:rsidRPr="0029065A">
        <w:t>There are ty</w:t>
      </w:r>
      <w:r>
        <w:t>pically no confidence intervals associated with</w:t>
      </w:r>
      <w:r w:rsidRPr="0029065A">
        <w:t xml:space="preserve"> the unexplained portion of the decomposition.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161098"/>
      <w:docPartObj>
        <w:docPartGallery w:val="Page Numbers (Bottom of Page)"/>
        <w:docPartUnique/>
      </w:docPartObj>
    </w:sdtPr>
    <w:sdtEndPr>
      <w:rPr>
        <w:noProof/>
      </w:rPr>
    </w:sdtEndPr>
    <w:sdtContent>
      <w:p w14:paraId="4C79CD91" w14:textId="141D3B4C" w:rsidR="00572651" w:rsidRDefault="00572651">
        <w:pPr>
          <w:pStyle w:val="Footer"/>
          <w:jc w:val="center"/>
        </w:pPr>
        <w:r>
          <w:fldChar w:fldCharType="begin"/>
        </w:r>
        <w:r>
          <w:instrText xml:space="preserve"> PAGE   \* MERGEFORMAT </w:instrText>
        </w:r>
        <w:r>
          <w:fldChar w:fldCharType="separate"/>
        </w:r>
        <w:r w:rsidR="00E26BBD">
          <w:rPr>
            <w:noProof/>
          </w:rPr>
          <w:t>4</w:t>
        </w:r>
        <w:r>
          <w:rPr>
            <w:noProof/>
          </w:rPr>
          <w:fldChar w:fldCharType="end"/>
        </w:r>
      </w:p>
    </w:sdtContent>
  </w:sdt>
  <w:p w14:paraId="77D0045F" w14:textId="77777777" w:rsidR="00572651" w:rsidRDefault="0057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26DB" w14:textId="77777777" w:rsidR="00572651" w:rsidRDefault="00572651">
    <w:pPr>
      <w:pStyle w:val="Footer"/>
      <w:jc w:val="center"/>
    </w:pPr>
  </w:p>
  <w:p w14:paraId="793A6671" w14:textId="77777777" w:rsidR="00572651" w:rsidRDefault="00572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69127"/>
      <w:docPartObj>
        <w:docPartGallery w:val="Page Numbers (Bottom of Page)"/>
        <w:docPartUnique/>
      </w:docPartObj>
    </w:sdtPr>
    <w:sdtEndPr>
      <w:rPr>
        <w:noProof/>
      </w:rPr>
    </w:sdtEndPr>
    <w:sdtContent>
      <w:p w14:paraId="0A0527A7" w14:textId="1B8FE96E" w:rsidR="00572651" w:rsidRDefault="00572651">
        <w:pPr>
          <w:pStyle w:val="Footer"/>
          <w:jc w:val="center"/>
        </w:pPr>
        <w:r>
          <w:fldChar w:fldCharType="begin"/>
        </w:r>
        <w:r>
          <w:instrText xml:space="preserve"> PAGE   \* MERGEFORMAT </w:instrText>
        </w:r>
        <w:r>
          <w:fldChar w:fldCharType="separate"/>
        </w:r>
        <w:r w:rsidR="00E26BBD">
          <w:rPr>
            <w:noProof/>
          </w:rPr>
          <w:t>30</w:t>
        </w:r>
        <w:r>
          <w:rPr>
            <w:noProof/>
          </w:rPr>
          <w:fldChar w:fldCharType="end"/>
        </w:r>
      </w:p>
    </w:sdtContent>
  </w:sdt>
  <w:p w14:paraId="02CED749" w14:textId="77777777" w:rsidR="00572651" w:rsidRDefault="005726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4227" w14:textId="77777777" w:rsidR="00572651" w:rsidRDefault="00572651">
    <w:pPr>
      <w:pStyle w:val="Footer"/>
      <w:jc w:val="center"/>
    </w:pPr>
  </w:p>
  <w:p w14:paraId="3E95BED0" w14:textId="77777777" w:rsidR="00572651" w:rsidRDefault="00572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7293" w14:textId="77777777" w:rsidR="00A76E83" w:rsidRDefault="00A76E83" w:rsidP="00E522C9">
      <w:pPr>
        <w:spacing w:after="0" w:line="240" w:lineRule="auto"/>
      </w:pPr>
      <w:r>
        <w:separator/>
      </w:r>
    </w:p>
  </w:footnote>
  <w:footnote w:type="continuationSeparator" w:id="0">
    <w:p w14:paraId="2AE1266F" w14:textId="77777777" w:rsidR="00A76E83" w:rsidRDefault="00A76E83" w:rsidP="00E5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0CA"/>
    <w:multiLevelType w:val="hybridMultilevel"/>
    <w:tmpl w:val="6E24D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546E0"/>
    <w:multiLevelType w:val="hybridMultilevel"/>
    <w:tmpl w:val="BB36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8630C"/>
    <w:multiLevelType w:val="hybridMultilevel"/>
    <w:tmpl w:val="5F64DD4A"/>
    <w:lvl w:ilvl="0" w:tplc="47446B1A">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F4696"/>
    <w:multiLevelType w:val="hybridMultilevel"/>
    <w:tmpl w:val="C2EA3C28"/>
    <w:lvl w:ilvl="0" w:tplc="6958D9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8F657E"/>
    <w:multiLevelType w:val="hybridMultilevel"/>
    <w:tmpl w:val="B37AD71C"/>
    <w:lvl w:ilvl="0" w:tplc="B49A27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2774A"/>
    <w:multiLevelType w:val="hybridMultilevel"/>
    <w:tmpl w:val="3B94F56E"/>
    <w:lvl w:ilvl="0" w:tplc="40460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A73C1"/>
    <w:multiLevelType w:val="hybridMultilevel"/>
    <w:tmpl w:val="A9A6B0DA"/>
    <w:lvl w:ilvl="0" w:tplc="267E06EA">
      <w:start w:val="1"/>
      <w:numFmt w:val="decimal"/>
      <w:lvlText w:val="%1."/>
      <w:lvlJc w:val="left"/>
      <w:pPr>
        <w:ind w:left="720" w:hanging="360"/>
      </w:pPr>
      <w:rPr>
        <w:rFonts w:asciiTheme="minorHAnsi" w:hAnsiTheme="minorHAnsi" w:cstheme="minorBidi"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320140F"/>
    <w:multiLevelType w:val="hybridMultilevel"/>
    <w:tmpl w:val="5062107C"/>
    <w:lvl w:ilvl="0" w:tplc="6CFEDA74">
      <w:start w:val="1"/>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3568F4"/>
    <w:multiLevelType w:val="hybridMultilevel"/>
    <w:tmpl w:val="B4DE37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1"/>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CD"/>
    <w:rsid w:val="000026F8"/>
    <w:rsid w:val="00002C52"/>
    <w:rsid w:val="00003FC7"/>
    <w:rsid w:val="00004B03"/>
    <w:rsid w:val="0000571C"/>
    <w:rsid w:val="000073C1"/>
    <w:rsid w:val="00007737"/>
    <w:rsid w:val="00010722"/>
    <w:rsid w:val="00010EAB"/>
    <w:rsid w:val="0001134D"/>
    <w:rsid w:val="00020A17"/>
    <w:rsid w:val="00021B14"/>
    <w:rsid w:val="00022626"/>
    <w:rsid w:val="00023556"/>
    <w:rsid w:val="000308B6"/>
    <w:rsid w:val="0003167A"/>
    <w:rsid w:val="00032822"/>
    <w:rsid w:val="00033946"/>
    <w:rsid w:val="000339F8"/>
    <w:rsid w:val="00036B22"/>
    <w:rsid w:val="00043129"/>
    <w:rsid w:val="000436BB"/>
    <w:rsid w:val="00047CCC"/>
    <w:rsid w:val="000519A9"/>
    <w:rsid w:val="00053C2E"/>
    <w:rsid w:val="00053DF6"/>
    <w:rsid w:val="00054285"/>
    <w:rsid w:val="00056CAC"/>
    <w:rsid w:val="00056CE2"/>
    <w:rsid w:val="00056E0B"/>
    <w:rsid w:val="00060077"/>
    <w:rsid w:val="00060DC4"/>
    <w:rsid w:val="00063D19"/>
    <w:rsid w:val="000656E6"/>
    <w:rsid w:val="000707C1"/>
    <w:rsid w:val="00074AF4"/>
    <w:rsid w:val="00075EB1"/>
    <w:rsid w:val="00076521"/>
    <w:rsid w:val="00076A25"/>
    <w:rsid w:val="00081898"/>
    <w:rsid w:val="00082D73"/>
    <w:rsid w:val="00084B70"/>
    <w:rsid w:val="00084CAA"/>
    <w:rsid w:val="00085034"/>
    <w:rsid w:val="000868E6"/>
    <w:rsid w:val="00087087"/>
    <w:rsid w:val="00090618"/>
    <w:rsid w:val="0009161D"/>
    <w:rsid w:val="00091EE5"/>
    <w:rsid w:val="00092A85"/>
    <w:rsid w:val="000932A9"/>
    <w:rsid w:val="000A12E4"/>
    <w:rsid w:val="000A2BF8"/>
    <w:rsid w:val="000A52BB"/>
    <w:rsid w:val="000A5513"/>
    <w:rsid w:val="000A712E"/>
    <w:rsid w:val="000A7288"/>
    <w:rsid w:val="000A799C"/>
    <w:rsid w:val="000B07D0"/>
    <w:rsid w:val="000B1CE9"/>
    <w:rsid w:val="000B33C6"/>
    <w:rsid w:val="000B5B79"/>
    <w:rsid w:val="000B73D4"/>
    <w:rsid w:val="000B7A7F"/>
    <w:rsid w:val="000B7D9B"/>
    <w:rsid w:val="000C13D4"/>
    <w:rsid w:val="000C1634"/>
    <w:rsid w:val="000C32DF"/>
    <w:rsid w:val="000C372F"/>
    <w:rsid w:val="000C7C10"/>
    <w:rsid w:val="000D0BCE"/>
    <w:rsid w:val="000D2A1C"/>
    <w:rsid w:val="000D2C72"/>
    <w:rsid w:val="000D40C4"/>
    <w:rsid w:val="000D4891"/>
    <w:rsid w:val="000E1E18"/>
    <w:rsid w:val="000E46E6"/>
    <w:rsid w:val="000E4C0D"/>
    <w:rsid w:val="000E7DB5"/>
    <w:rsid w:val="000F1AE2"/>
    <w:rsid w:val="000F1FE6"/>
    <w:rsid w:val="000F424D"/>
    <w:rsid w:val="000F615B"/>
    <w:rsid w:val="000F7406"/>
    <w:rsid w:val="000F78FA"/>
    <w:rsid w:val="00102D4E"/>
    <w:rsid w:val="001031B1"/>
    <w:rsid w:val="001035A5"/>
    <w:rsid w:val="001043C0"/>
    <w:rsid w:val="0010611E"/>
    <w:rsid w:val="001116CB"/>
    <w:rsid w:val="001128F2"/>
    <w:rsid w:val="00116A05"/>
    <w:rsid w:val="00116C83"/>
    <w:rsid w:val="00116D5B"/>
    <w:rsid w:val="0011737A"/>
    <w:rsid w:val="001203D2"/>
    <w:rsid w:val="001218D2"/>
    <w:rsid w:val="00122BB4"/>
    <w:rsid w:val="00122BFB"/>
    <w:rsid w:val="0012412D"/>
    <w:rsid w:val="00124FBD"/>
    <w:rsid w:val="00126343"/>
    <w:rsid w:val="00132514"/>
    <w:rsid w:val="00133175"/>
    <w:rsid w:val="00133DAE"/>
    <w:rsid w:val="0013501D"/>
    <w:rsid w:val="00137AF8"/>
    <w:rsid w:val="00140318"/>
    <w:rsid w:val="00141F34"/>
    <w:rsid w:val="00142DF0"/>
    <w:rsid w:val="00143382"/>
    <w:rsid w:val="001452DA"/>
    <w:rsid w:val="0014755E"/>
    <w:rsid w:val="00152036"/>
    <w:rsid w:val="00153EEA"/>
    <w:rsid w:val="001552DC"/>
    <w:rsid w:val="00155A21"/>
    <w:rsid w:val="00156396"/>
    <w:rsid w:val="00160378"/>
    <w:rsid w:val="00162501"/>
    <w:rsid w:val="0016259D"/>
    <w:rsid w:val="00163601"/>
    <w:rsid w:val="001640AF"/>
    <w:rsid w:val="00164949"/>
    <w:rsid w:val="00164E8D"/>
    <w:rsid w:val="001679D3"/>
    <w:rsid w:val="0017033F"/>
    <w:rsid w:val="00170A6C"/>
    <w:rsid w:val="00171634"/>
    <w:rsid w:val="00173888"/>
    <w:rsid w:val="00174484"/>
    <w:rsid w:val="001747AD"/>
    <w:rsid w:val="00174D58"/>
    <w:rsid w:val="00174D62"/>
    <w:rsid w:val="001770FB"/>
    <w:rsid w:val="00184CEE"/>
    <w:rsid w:val="00185B46"/>
    <w:rsid w:val="00186503"/>
    <w:rsid w:val="00192072"/>
    <w:rsid w:val="001927A2"/>
    <w:rsid w:val="00193B3A"/>
    <w:rsid w:val="001940DD"/>
    <w:rsid w:val="00194257"/>
    <w:rsid w:val="00197C51"/>
    <w:rsid w:val="001A25E4"/>
    <w:rsid w:val="001A32BA"/>
    <w:rsid w:val="001A4E5E"/>
    <w:rsid w:val="001A4F83"/>
    <w:rsid w:val="001A54B1"/>
    <w:rsid w:val="001A7417"/>
    <w:rsid w:val="001B154E"/>
    <w:rsid w:val="001B1E78"/>
    <w:rsid w:val="001B1FF0"/>
    <w:rsid w:val="001B45F7"/>
    <w:rsid w:val="001B6918"/>
    <w:rsid w:val="001B7036"/>
    <w:rsid w:val="001B7365"/>
    <w:rsid w:val="001B75E0"/>
    <w:rsid w:val="001C0A44"/>
    <w:rsid w:val="001C2B5D"/>
    <w:rsid w:val="001C5996"/>
    <w:rsid w:val="001D3234"/>
    <w:rsid w:val="001D3A94"/>
    <w:rsid w:val="001D3B43"/>
    <w:rsid w:val="001D50D6"/>
    <w:rsid w:val="001D6BF3"/>
    <w:rsid w:val="001D7068"/>
    <w:rsid w:val="001E001F"/>
    <w:rsid w:val="001E24A5"/>
    <w:rsid w:val="001E39AD"/>
    <w:rsid w:val="001E43C9"/>
    <w:rsid w:val="001E4518"/>
    <w:rsid w:val="001E4C5E"/>
    <w:rsid w:val="001E5984"/>
    <w:rsid w:val="001E709D"/>
    <w:rsid w:val="001F1555"/>
    <w:rsid w:val="001F1F3C"/>
    <w:rsid w:val="001F2ECB"/>
    <w:rsid w:val="001F4F6B"/>
    <w:rsid w:val="00200817"/>
    <w:rsid w:val="002015ED"/>
    <w:rsid w:val="00202047"/>
    <w:rsid w:val="00202997"/>
    <w:rsid w:val="00203D22"/>
    <w:rsid w:val="00205D83"/>
    <w:rsid w:val="002105C9"/>
    <w:rsid w:val="00214259"/>
    <w:rsid w:val="002152BC"/>
    <w:rsid w:val="00216A34"/>
    <w:rsid w:val="0022295C"/>
    <w:rsid w:val="00222DB3"/>
    <w:rsid w:val="00225396"/>
    <w:rsid w:val="002260EB"/>
    <w:rsid w:val="00226FC5"/>
    <w:rsid w:val="00227C61"/>
    <w:rsid w:val="002308C0"/>
    <w:rsid w:val="0024266D"/>
    <w:rsid w:val="00242971"/>
    <w:rsid w:val="0024351C"/>
    <w:rsid w:val="002452E1"/>
    <w:rsid w:val="0024726A"/>
    <w:rsid w:val="00251735"/>
    <w:rsid w:val="002524AC"/>
    <w:rsid w:val="00252A22"/>
    <w:rsid w:val="0025404B"/>
    <w:rsid w:val="002563A1"/>
    <w:rsid w:val="00257987"/>
    <w:rsid w:val="00260A26"/>
    <w:rsid w:val="00262F5A"/>
    <w:rsid w:val="00264792"/>
    <w:rsid w:val="00264FD6"/>
    <w:rsid w:val="00265FF3"/>
    <w:rsid w:val="0026687B"/>
    <w:rsid w:val="002712F9"/>
    <w:rsid w:val="00274FB0"/>
    <w:rsid w:val="00275128"/>
    <w:rsid w:val="002772DE"/>
    <w:rsid w:val="0027779A"/>
    <w:rsid w:val="00277A17"/>
    <w:rsid w:val="00277C5F"/>
    <w:rsid w:val="002807B0"/>
    <w:rsid w:val="00280C80"/>
    <w:rsid w:val="002831D5"/>
    <w:rsid w:val="00287A45"/>
    <w:rsid w:val="002903A6"/>
    <w:rsid w:val="0029065A"/>
    <w:rsid w:val="00290BD2"/>
    <w:rsid w:val="00292742"/>
    <w:rsid w:val="00293766"/>
    <w:rsid w:val="00295F90"/>
    <w:rsid w:val="00297597"/>
    <w:rsid w:val="002A0C79"/>
    <w:rsid w:val="002A2CC2"/>
    <w:rsid w:val="002A35AC"/>
    <w:rsid w:val="002A79F4"/>
    <w:rsid w:val="002B29CA"/>
    <w:rsid w:val="002B5918"/>
    <w:rsid w:val="002B5A69"/>
    <w:rsid w:val="002B623D"/>
    <w:rsid w:val="002B62F9"/>
    <w:rsid w:val="002C32B6"/>
    <w:rsid w:val="002C3DA1"/>
    <w:rsid w:val="002C57E4"/>
    <w:rsid w:val="002C6638"/>
    <w:rsid w:val="002C713B"/>
    <w:rsid w:val="002D1342"/>
    <w:rsid w:val="002D154E"/>
    <w:rsid w:val="002D29AE"/>
    <w:rsid w:val="002D2E14"/>
    <w:rsid w:val="002D4816"/>
    <w:rsid w:val="002D57E4"/>
    <w:rsid w:val="002D6425"/>
    <w:rsid w:val="002D6A01"/>
    <w:rsid w:val="002D7D89"/>
    <w:rsid w:val="002E2CDD"/>
    <w:rsid w:val="002E54DF"/>
    <w:rsid w:val="002E693D"/>
    <w:rsid w:val="002F0529"/>
    <w:rsid w:val="002F05C4"/>
    <w:rsid w:val="002F2C21"/>
    <w:rsid w:val="002F2E30"/>
    <w:rsid w:val="002F365D"/>
    <w:rsid w:val="002F7E4B"/>
    <w:rsid w:val="00301B59"/>
    <w:rsid w:val="003047A6"/>
    <w:rsid w:val="00305C13"/>
    <w:rsid w:val="00307BCF"/>
    <w:rsid w:val="003102C2"/>
    <w:rsid w:val="00310C8B"/>
    <w:rsid w:val="003111A2"/>
    <w:rsid w:val="00315B88"/>
    <w:rsid w:val="00315CC1"/>
    <w:rsid w:val="00320E2F"/>
    <w:rsid w:val="00321285"/>
    <w:rsid w:val="00322882"/>
    <w:rsid w:val="00323C61"/>
    <w:rsid w:val="00325DDB"/>
    <w:rsid w:val="003265AA"/>
    <w:rsid w:val="00326D37"/>
    <w:rsid w:val="00331594"/>
    <w:rsid w:val="00331A31"/>
    <w:rsid w:val="00331F7E"/>
    <w:rsid w:val="00331F9B"/>
    <w:rsid w:val="00333AB2"/>
    <w:rsid w:val="003415CC"/>
    <w:rsid w:val="00341E9A"/>
    <w:rsid w:val="003429C5"/>
    <w:rsid w:val="00343088"/>
    <w:rsid w:val="00343274"/>
    <w:rsid w:val="00344CF8"/>
    <w:rsid w:val="003533D2"/>
    <w:rsid w:val="00353F9C"/>
    <w:rsid w:val="00354C69"/>
    <w:rsid w:val="00363899"/>
    <w:rsid w:val="00364D2F"/>
    <w:rsid w:val="00372271"/>
    <w:rsid w:val="0038181B"/>
    <w:rsid w:val="00383B37"/>
    <w:rsid w:val="003857DD"/>
    <w:rsid w:val="003874D9"/>
    <w:rsid w:val="0038784F"/>
    <w:rsid w:val="00390212"/>
    <w:rsid w:val="00390A55"/>
    <w:rsid w:val="003919F1"/>
    <w:rsid w:val="003928A1"/>
    <w:rsid w:val="00396096"/>
    <w:rsid w:val="003A1A57"/>
    <w:rsid w:val="003A2E91"/>
    <w:rsid w:val="003A3A9F"/>
    <w:rsid w:val="003A7E53"/>
    <w:rsid w:val="003A7E7F"/>
    <w:rsid w:val="003B39EE"/>
    <w:rsid w:val="003C27EC"/>
    <w:rsid w:val="003C5D03"/>
    <w:rsid w:val="003C670B"/>
    <w:rsid w:val="003C7365"/>
    <w:rsid w:val="003C79FB"/>
    <w:rsid w:val="003D120C"/>
    <w:rsid w:val="003D137B"/>
    <w:rsid w:val="003D6527"/>
    <w:rsid w:val="003D7EA2"/>
    <w:rsid w:val="003E1EC0"/>
    <w:rsid w:val="003E43EB"/>
    <w:rsid w:val="003E48E5"/>
    <w:rsid w:val="003F1935"/>
    <w:rsid w:val="003F2CA7"/>
    <w:rsid w:val="003F2F46"/>
    <w:rsid w:val="003F44E5"/>
    <w:rsid w:val="0040215A"/>
    <w:rsid w:val="00402B3F"/>
    <w:rsid w:val="00404E7D"/>
    <w:rsid w:val="004071FF"/>
    <w:rsid w:val="0040738D"/>
    <w:rsid w:val="00407691"/>
    <w:rsid w:val="004128E5"/>
    <w:rsid w:val="00415651"/>
    <w:rsid w:val="004173A7"/>
    <w:rsid w:val="00420F32"/>
    <w:rsid w:val="00422D4F"/>
    <w:rsid w:val="004235D6"/>
    <w:rsid w:val="00423BE2"/>
    <w:rsid w:val="00430F88"/>
    <w:rsid w:val="0043366D"/>
    <w:rsid w:val="00434587"/>
    <w:rsid w:val="00442356"/>
    <w:rsid w:val="0044289E"/>
    <w:rsid w:val="00444EAC"/>
    <w:rsid w:val="004540EE"/>
    <w:rsid w:val="00455FD0"/>
    <w:rsid w:val="004563A4"/>
    <w:rsid w:val="00457764"/>
    <w:rsid w:val="0046133E"/>
    <w:rsid w:val="00463B3B"/>
    <w:rsid w:val="00463F84"/>
    <w:rsid w:val="0046700B"/>
    <w:rsid w:val="004676C8"/>
    <w:rsid w:val="00473A9D"/>
    <w:rsid w:val="00474B81"/>
    <w:rsid w:val="00474EA1"/>
    <w:rsid w:val="00476313"/>
    <w:rsid w:val="00476DF6"/>
    <w:rsid w:val="00481A87"/>
    <w:rsid w:val="00483EBF"/>
    <w:rsid w:val="00483ED3"/>
    <w:rsid w:val="004869A6"/>
    <w:rsid w:val="00487B81"/>
    <w:rsid w:val="004903DD"/>
    <w:rsid w:val="0049135B"/>
    <w:rsid w:val="00491B0B"/>
    <w:rsid w:val="00491E05"/>
    <w:rsid w:val="00492355"/>
    <w:rsid w:val="00492B43"/>
    <w:rsid w:val="00493EB9"/>
    <w:rsid w:val="0049466D"/>
    <w:rsid w:val="00494D7D"/>
    <w:rsid w:val="004955CA"/>
    <w:rsid w:val="004970A2"/>
    <w:rsid w:val="004A1C19"/>
    <w:rsid w:val="004A3B18"/>
    <w:rsid w:val="004B57E2"/>
    <w:rsid w:val="004B63B3"/>
    <w:rsid w:val="004B70B4"/>
    <w:rsid w:val="004B7C65"/>
    <w:rsid w:val="004C103B"/>
    <w:rsid w:val="004C2538"/>
    <w:rsid w:val="004C33ED"/>
    <w:rsid w:val="004C69F7"/>
    <w:rsid w:val="004D10D4"/>
    <w:rsid w:val="004D3397"/>
    <w:rsid w:val="004D47B3"/>
    <w:rsid w:val="004E0E6D"/>
    <w:rsid w:val="004E2A7E"/>
    <w:rsid w:val="004E376B"/>
    <w:rsid w:val="004F094E"/>
    <w:rsid w:val="004F26D6"/>
    <w:rsid w:val="004F2890"/>
    <w:rsid w:val="004F2C52"/>
    <w:rsid w:val="004F44C5"/>
    <w:rsid w:val="004F4E59"/>
    <w:rsid w:val="004F5D6B"/>
    <w:rsid w:val="004F667F"/>
    <w:rsid w:val="004F71FC"/>
    <w:rsid w:val="00500296"/>
    <w:rsid w:val="0050062C"/>
    <w:rsid w:val="00500CC7"/>
    <w:rsid w:val="0050455A"/>
    <w:rsid w:val="00504A17"/>
    <w:rsid w:val="00505137"/>
    <w:rsid w:val="0050651A"/>
    <w:rsid w:val="005078E7"/>
    <w:rsid w:val="00507B03"/>
    <w:rsid w:val="00512574"/>
    <w:rsid w:val="00516353"/>
    <w:rsid w:val="0052083B"/>
    <w:rsid w:val="00520B24"/>
    <w:rsid w:val="00522DCF"/>
    <w:rsid w:val="00523353"/>
    <w:rsid w:val="00523BF3"/>
    <w:rsid w:val="00527949"/>
    <w:rsid w:val="00527C99"/>
    <w:rsid w:val="00530671"/>
    <w:rsid w:val="005360C0"/>
    <w:rsid w:val="00536DAA"/>
    <w:rsid w:val="005408D6"/>
    <w:rsid w:val="00540A52"/>
    <w:rsid w:val="00543391"/>
    <w:rsid w:val="00544EE3"/>
    <w:rsid w:val="005466D8"/>
    <w:rsid w:val="0054762B"/>
    <w:rsid w:val="00550DFA"/>
    <w:rsid w:val="00553A5C"/>
    <w:rsid w:val="005557AC"/>
    <w:rsid w:val="00556875"/>
    <w:rsid w:val="005607E5"/>
    <w:rsid w:val="0056680A"/>
    <w:rsid w:val="00572651"/>
    <w:rsid w:val="005729AF"/>
    <w:rsid w:val="005734E1"/>
    <w:rsid w:val="00575A4E"/>
    <w:rsid w:val="005814F7"/>
    <w:rsid w:val="00582D28"/>
    <w:rsid w:val="00585E0E"/>
    <w:rsid w:val="00593FD1"/>
    <w:rsid w:val="005967FB"/>
    <w:rsid w:val="005A3901"/>
    <w:rsid w:val="005A6A74"/>
    <w:rsid w:val="005B2AA6"/>
    <w:rsid w:val="005B5871"/>
    <w:rsid w:val="005B6605"/>
    <w:rsid w:val="005B6FD8"/>
    <w:rsid w:val="005C0CCB"/>
    <w:rsid w:val="005C3E0A"/>
    <w:rsid w:val="005C5212"/>
    <w:rsid w:val="005C682F"/>
    <w:rsid w:val="005D2344"/>
    <w:rsid w:val="005D2531"/>
    <w:rsid w:val="005D405C"/>
    <w:rsid w:val="005D5108"/>
    <w:rsid w:val="005E1F4B"/>
    <w:rsid w:val="005E64F3"/>
    <w:rsid w:val="005F3072"/>
    <w:rsid w:val="005F51CE"/>
    <w:rsid w:val="005F53E8"/>
    <w:rsid w:val="005F58CD"/>
    <w:rsid w:val="005F6654"/>
    <w:rsid w:val="005F675C"/>
    <w:rsid w:val="005F6CDC"/>
    <w:rsid w:val="005F7C75"/>
    <w:rsid w:val="00600551"/>
    <w:rsid w:val="00600B13"/>
    <w:rsid w:val="00601B9E"/>
    <w:rsid w:val="00606BE5"/>
    <w:rsid w:val="00607330"/>
    <w:rsid w:val="00607B5B"/>
    <w:rsid w:val="00611634"/>
    <w:rsid w:val="00612A3B"/>
    <w:rsid w:val="006135DC"/>
    <w:rsid w:val="006149E7"/>
    <w:rsid w:val="00621CD8"/>
    <w:rsid w:val="0062231E"/>
    <w:rsid w:val="006272CB"/>
    <w:rsid w:val="00630845"/>
    <w:rsid w:val="00631F94"/>
    <w:rsid w:val="0063295B"/>
    <w:rsid w:val="006339D7"/>
    <w:rsid w:val="0063446F"/>
    <w:rsid w:val="006379C7"/>
    <w:rsid w:val="0064073E"/>
    <w:rsid w:val="00641D10"/>
    <w:rsid w:val="006420D0"/>
    <w:rsid w:val="006423A2"/>
    <w:rsid w:val="0065023E"/>
    <w:rsid w:val="006502C3"/>
    <w:rsid w:val="0065037C"/>
    <w:rsid w:val="0065047F"/>
    <w:rsid w:val="006539FF"/>
    <w:rsid w:val="00654141"/>
    <w:rsid w:val="006561E8"/>
    <w:rsid w:val="00657817"/>
    <w:rsid w:val="00657DAB"/>
    <w:rsid w:val="006602F8"/>
    <w:rsid w:val="00661A3E"/>
    <w:rsid w:val="00662058"/>
    <w:rsid w:val="00666B12"/>
    <w:rsid w:val="00666F18"/>
    <w:rsid w:val="00671528"/>
    <w:rsid w:val="00671545"/>
    <w:rsid w:val="006717FC"/>
    <w:rsid w:val="00671E23"/>
    <w:rsid w:val="00671E6E"/>
    <w:rsid w:val="00672041"/>
    <w:rsid w:val="00676D5B"/>
    <w:rsid w:val="00680A7B"/>
    <w:rsid w:val="0068500F"/>
    <w:rsid w:val="006854FE"/>
    <w:rsid w:val="00687AFC"/>
    <w:rsid w:val="00690DFA"/>
    <w:rsid w:val="00691033"/>
    <w:rsid w:val="006952A2"/>
    <w:rsid w:val="006A338F"/>
    <w:rsid w:val="006B11B1"/>
    <w:rsid w:val="006B3CA9"/>
    <w:rsid w:val="006B759B"/>
    <w:rsid w:val="006C1016"/>
    <w:rsid w:val="006C14CF"/>
    <w:rsid w:val="006C397F"/>
    <w:rsid w:val="006C42D2"/>
    <w:rsid w:val="006C5A94"/>
    <w:rsid w:val="006C6A79"/>
    <w:rsid w:val="006D0210"/>
    <w:rsid w:val="006D05E8"/>
    <w:rsid w:val="006D34BC"/>
    <w:rsid w:val="006D516E"/>
    <w:rsid w:val="006D55B9"/>
    <w:rsid w:val="006D7FB2"/>
    <w:rsid w:val="006E0ECF"/>
    <w:rsid w:val="006E1139"/>
    <w:rsid w:val="006E5288"/>
    <w:rsid w:val="006E672F"/>
    <w:rsid w:val="006F0249"/>
    <w:rsid w:val="006F688F"/>
    <w:rsid w:val="006F72B4"/>
    <w:rsid w:val="006F794B"/>
    <w:rsid w:val="006F7F00"/>
    <w:rsid w:val="006F7FE6"/>
    <w:rsid w:val="00700289"/>
    <w:rsid w:val="00703A0A"/>
    <w:rsid w:val="00704F8E"/>
    <w:rsid w:val="00706A4E"/>
    <w:rsid w:val="007102BA"/>
    <w:rsid w:val="00710C3B"/>
    <w:rsid w:val="00711537"/>
    <w:rsid w:val="00712D7A"/>
    <w:rsid w:val="00713032"/>
    <w:rsid w:val="0071543D"/>
    <w:rsid w:val="0071702B"/>
    <w:rsid w:val="00717098"/>
    <w:rsid w:val="00722C97"/>
    <w:rsid w:val="007231C2"/>
    <w:rsid w:val="007233FD"/>
    <w:rsid w:val="00723517"/>
    <w:rsid w:val="0072488D"/>
    <w:rsid w:val="00734770"/>
    <w:rsid w:val="00736DA0"/>
    <w:rsid w:val="00737142"/>
    <w:rsid w:val="007379BD"/>
    <w:rsid w:val="0074009A"/>
    <w:rsid w:val="00740916"/>
    <w:rsid w:val="00740D08"/>
    <w:rsid w:val="00740E8F"/>
    <w:rsid w:val="0074282F"/>
    <w:rsid w:val="007434E4"/>
    <w:rsid w:val="0074427A"/>
    <w:rsid w:val="007478CC"/>
    <w:rsid w:val="007507AB"/>
    <w:rsid w:val="00753E18"/>
    <w:rsid w:val="00760DF6"/>
    <w:rsid w:val="007634D0"/>
    <w:rsid w:val="007655EB"/>
    <w:rsid w:val="007677EF"/>
    <w:rsid w:val="00774562"/>
    <w:rsid w:val="00774D8F"/>
    <w:rsid w:val="00774DB6"/>
    <w:rsid w:val="00775761"/>
    <w:rsid w:val="00775ED3"/>
    <w:rsid w:val="00776E77"/>
    <w:rsid w:val="00777515"/>
    <w:rsid w:val="00787122"/>
    <w:rsid w:val="007911B1"/>
    <w:rsid w:val="00791E44"/>
    <w:rsid w:val="00795177"/>
    <w:rsid w:val="00795F8A"/>
    <w:rsid w:val="00796B49"/>
    <w:rsid w:val="007A0DCC"/>
    <w:rsid w:val="007A34AD"/>
    <w:rsid w:val="007A51A5"/>
    <w:rsid w:val="007A63DA"/>
    <w:rsid w:val="007A70EA"/>
    <w:rsid w:val="007B002C"/>
    <w:rsid w:val="007B1F59"/>
    <w:rsid w:val="007B540D"/>
    <w:rsid w:val="007B61AF"/>
    <w:rsid w:val="007C04C4"/>
    <w:rsid w:val="007C100A"/>
    <w:rsid w:val="007C2B1A"/>
    <w:rsid w:val="007C36BA"/>
    <w:rsid w:val="007C65A0"/>
    <w:rsid w:val="007D1F57"/>
    <w:rsid w:val="007D2CA9"/>
    <w:rsid w:val="007D4203"/>
    <w:rsid w:val="007D4A43"/>
    <w:rsid w:val="007E0646"/>
    <w:rsid w:val="007E1BF1"/>
    <w:rsid w:val="007E25A1"/>
    <w:rsid w:val="007E2935"/>
    <w:rsid w:val="007E6D06"/>
    <w:rsid w:val="007E7B18"/>
    <w:rsid w:val="007F584A"/>
    <w:rsid w:val="007F66E2"/>
    <w:rsid w:val="007F740D"/>
    <w:rsid w:val="007F76BD"/>
    <w:rsid w:val="008005ED"/>
    <w:rsid w:val="008021EE"/>
    <w:rsid w:val="00804247"/>
    <w:rsid w:val="00806310"/>
    <w:rsid w:val="00807CA1"/>
    <w:rsid w:val="008104EA"/>
    <w:rsid w:val="00813B15"/>
    <w:rsid w:val="008146EA"/>
    <w:rsid w:val="008160EF"/>
    <w:rsid w:val="00817037"/>
    <w:rsid w:val="00820735"/>
    <w:rsid w:val="00821FC9"/>
    <w:rsid w:val="00825C42"/>
    <w:rsid w:val="008311FB"/>
    <w:rsid w:val="008324FD"/>
    <w:rsid w:val="00833FCA"/>
    <w:rsid w:val="008373C8"/>
    <w:rsid w:val="00842BE6"/>
    <w:rsid w:val="00845D53"/>
    <w:rsid w:val="00846231"/>
    <w:rsid w:val="00851566"/>
    <w:rsid w:val="008534B3"/>
    <w:rsid w:val="00855E6A"/>
    <w:rsid w:val="00857796"/>
    <w:rsid w:val="008621C2"/>
    <w:rsid w:val="0086398B"/>
    <w:rsid w:val="008700CC"/>
    <w:rsid w:val="00870875"/>
    <w:rsid w:val="008731A2"/>
    <w:rsid w:val="00873BBC"/>
    <w:rsid w:val="00874D87"/>
    <w:rsid w:val="00876259"/>
    <w:rsid w:val="008849A6"/>
    <w:rsid w:val="00886BB6"/>
    <w:rsid w:val="0088743C"/>
    <w:rsid w:val="00887B33"/>
    <w:rsid w:val="00896FFD"/>
    <w:rsid w:val="0089784E"/>
    <w:rsid w:val="008A09B5"/>
    <w:rsid w:val="008A1D66"/>
    <w:rsid w:val="008A418C"/>
    <w:rsid w:val="008A5364"/>
    <w:rsid w:val="008A64A3"/>
    <w:rsid w:val="008A6B07"/>
    <w:rsid w:val="008A6D87"/>
    <w:rsid w:val="008A7768"/>
    <w:rsid w:val="008B0D29"/>
    <w:rsid w:val="008B1BE1"/>
    <w:rsid w:val="008C0371"/>
    <w:rsid w:val="008C1999"/>
    <w:rsid w:val="008C36C5"/>
    <w:rsid w:val="008C3C08"/>
    <w:rsid w:val="008C79AF"/>
    <w:rsid w:val="008D32D1"/>
    <w:rsid w:val="008D42DD"/>
    <w:rsid w:val="008D51B9"/>
    <w:rsid w:val="008E3CB0"/>
    <w:rsid w:val="008F0007"/>
    <w:rsid w:val="008F03E0"/>
    <w:rsid w:val="008F1D55"/>
    <w:rsid w:val="008F28EA"/>
    <w:rsid w:val="008F349C"/>
    <w:rsid w:val="008F719F"/>
    <w:rsid w:val="008F73A4"/>
    <w:rsid w:val="00900655"/>
    <w:rsid w:val="00901257"/>
    <w:rsid w:val="00902CD9"/>
    <w:rsid w:val="00904348"/>
    <w:rsid w:val="00904553"/>
    <w:rsid w:val="00912B02"/>
    <w:rsid w:val="009131F9"/>
    <w:rsid w:val="0091429E"/>
    <w:rsid w:val="009142CE"/>
    <w:rsid w:val="00914EE3"/>
    <w:rsid w:val="0091605D"/>
    <w:rsid w:val="00916187"/>
    <w:rsid w:val="00920035"/>
    <w:rsid w:val="00920EBA"/>
    <w:rsid w:val="0092344B"/>
    <w:rsid w:val="009276E1"/>
    <w:rsid w:val="009309A8"/>
    <w:rsid w:val="00932ED2"/>
    <w:rsid w:val="009341C3"/>
    <w:rsid w:val="0093627F"/>
    <w:rsid w:val="00936705"/>
    <w:rsid w:val="00936C72"/>
    <w:rsid w:val="00937193"/>
    <w:rsid w:val="00937EC8"/>
    <w:rsid w:val="00942BFE"/>
    <w:rsid w:val="00943B78"/>
    <w:rsid w:val="00944A73"/>
    <w:rsid w:val="00946008"/>
    <w:rsid w:val="00946CB5"/>
    <w:rsid w:val="00951CFA"/>
    <w:rsid w:val="009520A4"/>
    <w:rsid w:val="009531C9"/>
    <w:rsid w:val="00956E37"/>
    <w:rsid w:val="00961207"/>
    <w:rsid w:val="00962187"/>
    <w:rsid w:val="009632BB"/>
    <w:rsid w:val="00963895"/>
    <w:rsid w:val="00964BE7"/>
    <w:rsid w:val="00964F65"/>
    <w:rsid w:val="00965364"/>
    <w:rsid w:val="00965E87"/>
    <w:rsid w:val="00970358"/>
    <w:rsid w:val="00970C32"/>
    <w:rsid w:val="009712F5"/>
    <w:rsid w:val="00971D69"/>
    <w:rsid w:val="0097377B"/>
    <w:rsid w:val="00974D46"/>
    <w:rsid w:val="00975F4C"/>
    <w:rsid w:val="009761B8"/>
    <w:rsid w:val="0097684C"/>
    <w:rsid w:val="00976AE1"/>
    <w:rsid w:val="00977899"/>
    <w:rsid w:val="00987CD6"/>
    <w:rsid w:val="0099163E"/>
    <w:rsid w:val="0099202F"/>
    <w:rsid w:val="009922EE"/>
    <w:rsid w:val="00993B0D"/>
    <w:rsid w:val="009957DB"/>
    <w:rsid w:val="0099740E"/>
    <w:rsid w:val="00997F32"/>
    <w:rsid w:val="009A0416"/>
    <w:rsid w:val="009A1788"/>
    <w:rsid w:val="009B33A9"/>
    <w:rsid w:val="009B54AC"/>
    <w:rsid w:val="009B5D37"/>
    <w:rsid w:val="009C0EE0"/>
    <w:rsid w:val="009C2C6E"/>
    <w:rsid w:val="009C5ACE"/>
    <w:rsid w:val="009C769E"/>
    <w:rsid w:val="009D007E"/>
    <w:rsid w:val="009D1DA7"/>
    <w:rsid w:val="009D3B24"/>
    <w:rsid w:val="009D44D8"/>
    <w:rsid w:val="009D50BD"/>
    <w:rsid w:val="009D757A"/>
    <w:rsid w:val="009E0ACE"/>
    <w:rsid w:val="009E2768"/>
    <w:rsid w:val="009E55B2"/>
    <w:rsid w:val="009E6909"/>
    <w:rsid w:val="009E77F3"/>
    <w:rsid w:val="009F1997"/>
    <w:rsid w:val="009F23BA"/>
    <w:rsid w:val="009F25F9"/>
    <w:rsid w:val="009F2909"/>
    <w:rsid w:val="009F29B0"/>
    <w:rsid w:val="009F45C7"/>
    <w:rsid w:val="009F4FEA"/>
    <w:rsid w:val="009F6FE3"/>
    <w:rsid w:val="009F7912"/>
    <w:rsid w:val="00A01416"/>
    <w:rsid w:val="00A0273E"/>
    <w:rsid w:val="00A0520F"/>
    <w:rsid w:val="00A0680F"/>
    <w:rsid w:val="00A06BF4"/>
    <w:rsid w:val="00A07186"/>
    <w:rsid w:val="00A10C28"/>
    <w:rsid w:val="00A13FA2"/>
    <w:rsid w:val="00A20C89"/>
    <w:rsid w:val="00A25278"/>
    <w:rsid w:val="00A27E81"/>
    <w:rsid w:val="00A406DD"/>
    <w:rsid w:val="00A422AF"/>
    <w:rsid w:val="00A43295"/>
    <w:rsid w:val="00A4581D"/>
    <w:rsid w:val="00A46CE0"/>
    <w:rsid w:val="00A47B1E"/>
    <w:rsid w:val="00A47B35"/>
    <w:rsid w:val="00A55BD5"/>
    <w:rsid w:val="00A603C0"/>
    <w:rsid w:val="00A61FF7"/>
    <w:rsid w:val="00A662D8"/>
    <w:rsid w:val="00A66CDE"/>
    <w:rsid w:val="00A67085"/>
    <w:rsid w:val="00A76E83"/>
    <w:rsid w:val="00A802D1"/>
    <w:rsid w:val="00A8494E"/>
    <w:rsid w:val="00A8602C"/>
    <w:rsid w:val="00A861CD"/>
    <w:rsid w:val="00A86AF6"/>
    <w:rsid w:val="00A90CFC"/>
    <w:rsid w:val="00A93EAB"/>
    <w:rsid w:val="00A95171"/>
    <w:rsid w:val="00A95AC1"/>
    <w:rsid w:val="00A97165"/>
    <w:rsid w:val="00A9719A"/>
    <w:rsid w:val="00A97D57"/>
    <w:rsid w:val="00AA1820"/>
    <w:rsid w:val="00AA2897"/>
    <w:rsid w:val="00AA3ED0"/>
    <w:rsid w:val="00AA5168"/>
    <w:rsid w:val="00AA6273"/>
    <w:rsid w:val="00AB31B5"/>
    <w:rsid w:val="00AB3815"/>
    <w:rsid w:val="00AB579C"/>
    <w:rsid w:val="00AB64E3"/>
    <w:rsid w:val="00AC3259"/>
    <w:rsid w:val="00AC6CE5"/>
    <w:rsid w:val="00AD2A8C"/>
    <w:rsid w:val="00AD760B"/>
    <w:rsid w:val="00AE2007"/>
    <w:rsid w:val="00AE3827"/>
    <w:rsid w:val="00AE3B3B"/>
    <w:rsid w:val="00AE4321"/>
    <w:rsid w:val="00AE451D"/>
    <w:rsid w:val="00AE575B"/>
    <w:rsid w:val="00AE69EF"/>
    <w:rsid w:val="00AF091F"/>
    <w:rsid w:val="00AF21A3"/>
    <w:rsid w:val="00AF3206"/>
    <w:rsid w:val="00AF4862"/>
    <w:rsid w:val="00B00D17"/>
    <w:rsid w:val="00B020F6"/>
    <w:rsid w:val="00B03827"/>
    <w:rsid w:val="00B03CD0"/>
    <w:rsid w:val="00B11FC0"/>
    <w:rsid w:val="00B12D19"/>
    <w:rsid w:val="00B16769"/>
    <w:rsid w:val="00B16B3D"/>
    <w:rsid w:val="00B206FA"/>
    <w:rsid w:val="00B231FE"/>
    <w:rsid w:val="00B246EF"/>
    <w:rsid w:val="00B2493D"/>
    <w:rsid w:val="00B303D0"/>
    <w:rsid w:val="00B34089"/>
    <w:rsid w:val="00B35686"/>
    <w:rsid w:val="00B3665B"/>
    <w:rsid w:val="00B377DA"/>
    <w:rsid w:val="00B37A29"/>
    <w:rsid w:val="00B4157A"/>
    <w:rsid w:val="00B503E8"/>
    <w:rsid w:val="00B52A27"/>
    <w:rsid w:val="00B533B0"/>
    <w:rsid w:val="00B542FE"/>
    <w:rsid w:val="00B54F80"/>
    <w:rsid w:val="00B55EC5"/>
    <w:rsid w:val="00B5697B"/>
    <w:rsid w:val="00B67351"/>
    <w:rsid w:val="00B73CF8"/>
    <w:rsid w:val="00B80288"/>
    <w:rsid w:val="00B804B1"/>
    <w:rsid w:val="00B81965"/>
    <w:rsid w:val="00B849A2"/>
    <w:rsid w:val="00B872E5"/>
    <w:rsid w:val="00B874C0"/>
    <w:rsid w:val="00B9186F"/>
    <w:rsid w:val="00B94B42"/>
    <w:rsid w:val="00B95993"/>
    <w:rsid w:val="00B96A57"/>
    <w:rsid w:val="00BA146B"/>
    <w:rsid w:val="00BA2726"/>
    <w:rsid w:val="00BA3F66"/>
    <w:rsid w:val="00BB0A5E"/>
    <w:rsid w:val="00BB48B7"/>
    <w:rsid w:val="00BB48E0"/>
    <w:rsid w:val="00BC04DE"/>
    <w:rsid w:val="00BC1137"/>
    <w:rsid w:val="00BC792F"/>
    <w:rsid w:val="00BD0720"/>
    <w:rsid w:val="00BD2077"/>
    <w:rsid w:val="00BD35DD"/>
    <w:rsid w:val="00BD5B99"/>
    <w:rsid w:val="00BD6321"/>
    <w:rsid w:val="00BD6DA2"/>
    <w:rsid w:val="00BD6FCF"/>
    <w:rsid w:val="00BE1863"/>
    <w:rsid w:val="00BE25FA"/>
    <w:rsid w:val="00BE3160"/>
    <w:rsid w:val="00BE34B0"/>
    <w:rsid w:val="00BE3E68"/>
    <w:rsid w:val="00BE580E"/>
    <w:rsid w:val="00BF2493"/>
    <w:rsid w:val="00BF25ED"/>
    <w:rsid w:val="00BF5C47"/>
    <w:rsid w:val="00BF6B82"/>
    <w:rsid w:val="00BF75FD"/>
    <w:rsid w:val="00C0175C"/>
    <w:rsid w:val="00C03740"/>
    <w:rsid w:val="00C06E0A"/>
    <w:rsid w:val="00C07229"/>
    <w:rsid w:val="00C123F4"/>
    <w:rsid w:val="00C153F7"/>
    <w:rsid w:val="00C15B9E"/>
    <w:rsid w:val="00C17243"/>
    <w:rsid w:val="00C17CE9"/>
    <w:rsid w:val="00C20C04"/>
    <w:rsid w:val="00C2140D"/>
    <w:rsid w:val="00C228E9"/>
    <w:rsid w:val="00C31D2F"/>
    <w:rsid w:val="00C334AB"/>
    <w:rsid w:val="00C37489"/>
    <w:rsid w:val="00C37AF1"/>
    <w:rsid w:val="00C4074F"/>
    <w:rsid w:val="00C40C10"/>
    <w:rsid w:val="00C41DEC"/>
    <w:rsid w:val="00C41FCE"/>
    <w:rsid w:val="00C42FA2"/>
    <w:rsid w:val="00C46177"/>
    <w:rsid w:val="00C47571"/>
    <w:rsid w:val="00C50456"/>
    <w:rsid w:val="00C506FB"/>
    <w:rsid w:val="00C5155C"/>
    <w:rsid w:val="00C51CBE"/>
    <w:rsid w:val="00C56FAD"/>
    <w:rsid w:val="00C57C1D"/>
    <w:rsid w:val="00C712FA"/>
    <w:rsid w:val="00C733EA"/>
    <w:rsid w:val="00C73475"/>
    <w:rsid w:val="00C7578E"/>
    <w:rsid w:val="00C77474"/>
    <w:rsid w:val="00C8160E"/>
    <w:rsid w:val="00C82977"/>
    <w:rsid w:val="00C829EE"/>
    <w:rsid w:val="00C92D1C"/>
    <w:rsid w:val="00C96589"/>
    <w:rsid w:val="00C96774"/>
    <w:rsid w:val="00C979CC"/>
    <w:rsid w:val="00CA43C4"/>
    <w:rsid w:val="00CA455A"/>
    <w:rsid w:val="00CA5D1B"/>
    <w:rsid w:val="00CA604F"/>
    <w:rsid w:val="00CA7A92"/>
    <w:rsid w:val="00CB677F"/>
    <w:rsid w:val="00CC0B56"/>
    <w:rsid w:val="00CC0E34"/>
    <w:rsid w:val="00CC262D"/>
    <w:rsid w:val="00CC2F06"/>
    <w:rsid w:val="00CC42D9"/>
    <w:rsid w:val="00CC4369"/>
    <w:rsid w:val="00CC4788"/>
    <w:rsid w:val="00CC5150"/>
    <w:rsid w:val="00CC7264"/>
    <w:rsid w:val="00CD1C4B"/>
    <w:rsid w:val="00CD602B"/>
    <w:rsid w:val="00CD7F62"/>
    <w:rsid w:val="00CE1FAB"/>
    <w:rsid w:val="00CF22F8"/>
    <w:rsid w:val="00CF3051"/>
    <w:rsid w:val="00CF641D"/>
    <w:rsid w:val="00CF7A1B"/>
    <w:rsid w:val="00CF7F9B"/>
    <w:rsid w:val="00D000EC"/>
    <w:rsid w:val="00D0417A"/>
    <w:rsid w:val="00D06F19"/>
    <w:rsid w:val="00D11999"/>
    <w:rsid w:val="00D13534"/>
    <w:rsid w:val="00D145E8"/>
    <w:rsid w:val="00D153D1"/>
    <w:rsid w:val="00D20181"/>
    <w:rsid w:val="00D207CA"/>
    <w:rsid w:val="00D24F6D"/>
    <w:rsid w:val="00D25A9D"/>
    <w:rsid w:val="00D3368F"/>
    <w:rsid w:val="00D33F6E"/>
    <w:rsid w:val="00D431A6"/>
    <w:rsid w:val="00D432BA"/>
    <w:rsid w:val="00D437DB"/>
    <w:rsid w:val="00D455E8"/>
    <w:rsid w:val="00D46110"/>
    <w:rsid w:val="00D47F69"/>
    <w:rsid w:val="00D50AE7"/>
    <w:rsid w:val="00D5212E"/>
    <w:rsid w:val="00D53517"/>
    <w:rsid w:val="00D550C3"/>
    <w:rsid w:val="00D55BF3"/>
    <w:rsid w:val="00D571EA"/>
    <w:rsid w:val="00D6139E"/>
    <w:rsid w:val="00D645F0"/>
    <w:rsid w:val="00D71CE0"/>
    <w:rsid w:val="00D72FF6"/>
    <w:rsid w:val="00D73F5B"/>
    <w:rsid w:val="00D81106"/>
    <w:rsid w:val="00D832A4"/>
    <w:rsid w:val="00D84296"/>
    <w:rsid w:val="00D8644F"/>
    <w:rsid w:val="00D86F03"/>
    <w:rsid w:val="00D8730B"/>
    <w:rsid w:val="00D920B7"/>
    <w:rsid w:val="00D93A18"/>
    <w:rsid w:val="00D977A6"/>
    <w:rsid w:val="00D97CED"/>
    <w:rsid w:val="00DA1086"/>
    <w:rsid w:val="00DA3697"/>
    <w:rsid w:val="00DA516C"/>
    <w:rsid w:val="00DA6223"/>
    <w:rsid w:val="00DB07DE"/>
    <w:rsid w:val="00DB092C"/>
    <w:rsid w:val="00DB12B3"/>
    <w:rsid w:val="00DB47FF"/>
    <w:rsid w:val="00DB4C85"/>
    <w:rsid w:val="00DB6FB4"/>
    <w:rsid w:val="00DC0200"/>
    <w:rsid w:val="00DC176B"/>
    <w:rsid w:val="00DC2603"/>
    <w:rsid w:val="00DC2B0F"/>
    <w:rsid w:val="00DC39B8"/>
    <w:rsid w:val="00DC73FC"/>
    <w:rsid w:val="00DD0B5C"/>
    <w:rsid w:val="00DD145B"/>
    <w:rsid w:val="00DD1B53"/>
    <w:rsid w:val="00DD3E67"/>
    <w:rsid w:val="00DD5C79"/>
    <w:rsid w:val="00DD5E09"/>
    <w:rsid w:val="00DD5E4D"/>
    <w:rsid w:val="00DD712D"/>
    <w:rsid w:val="00DD7292"/>
    <w:rsid w:val="00DE1462"/>
    <w:rsid w:val="00DE1D52"/>
    <w:rsid w:val="00DE73D7"/>
    <w:rsid w:val="00DF02BF"/>
    <w:rsid w:val="00DF26DC"/>
    <w:rsid w:val="00E02805"/>
    <w:rsid w:val="00E044B7"/>
    <w:rsid w:val="00E046C4"/>
    <w:rsid w:val="00E048B2"/>
    <w:rsid w:val="00E049A5"/>
    <w:rsid w:val="00E053A9"/>
    <w:rsid w:val="00E05737"/>
    <w:rsid w:val="00E10FDC"/>
    <w:rsid w:val="00E15455"/>
    <w:rsid w:val="00E15BB1"/>
    <w:rsid w:val="00E17724"/>
    <w:rsid w:val="00E207EB"/>
    <w:rsid w:val="00E21200"/>
    <w:rsid w:val="00E21B92"/>
    <w:rsid w:val="00E267AE"/>
    <w:rsid w:val="00E26BBD"/>
    <w:rsid w:val="00E27881"/>
    <w:rsid w:val="00E306CC"/>
    <w:rsid w:val="00E3177E"/>
    <w:rsid w:val="00E47E9B"/>
    <w:rsid w:val="00E50C1F"/>
    <w:rsid w:val="00E522C9"/>
    <w:rsid w:val="00E53F4A"/>
    <w:rsid w:val="00E54DEE"/>
    <w:rsid w:val="00E569D6"/>
    <w:rsid w:val="00E574DE"/>
    <w:rsid w:val="00E57703"/>
    <w:rsid w:val="00E608C0"/>
    <w:rsid w:val="00E61C50"/>
    <w:rsid w:val="00E63569"/>
    <w:rsid w:val="00E64EE0"/>
    <w:rsid w:val="00E728E9"/>
    <w:rsid w:val="00E731F3"/>
    <w:rsid w:val="00E733D4"/>
    <w:rsid w:val="00E73E60"/>
    <w:rsid w:val="00E75D52"/>
    <w:rsid w:val="00E817DF"/>
    <w:rsid w:val="00E82014"/>
    <w:rsid w:val="00E82BA8"/>
    <w:rsid w:val="00E82EEB"/>
    <w:rsid w:val="00E84035"/>
    <w:rsid w:val="00E84877"/>
    <w:rsid w:val="00E87F6D"/>
    <w:rsid w:val="00E90AC7"/>
    <w:rsid w:val="00E90D50"/>
    <w:rsid w:val="00E96993"/>
    <w:rsid w:val="00E96E44"/>
    <w:rsid w:val="00E976DC"/>
    <w:rsid w:val="00E97798"/>
    <w:rsid w:val="00EA47A5"/>
    <w:rsid w:val="00EA51B4"/>
    <w:rsid w:val="00EA6C0A"/>
    <w:rsid w:val="00EB091E"/>
    <w:rsid w:val="00EB3E78"/>
    <w:rsid w:val="00EB4D40"/>
    <w:rsid w:val="00EB4F3F"/>
    <w:rsid w:val="00EB7908"/>
    <w:rsid w:val="00EC0E4F"/>
    <w:rsid w:val="00EC1833"/>
    <w:rsid w:val="00EC1A50"/>
    <w:rsid w:val="00EC2D2C"/>
    <w:rsid w:val="00EC4C07"/>
    <w:rsid w:val="00EC5241"/>
    <w:rsid w:val="00EC6335"/>
    <w:rsid w:val="00EC7AA6"/>
    <w:rsid w:val="00ED18AA"/>
    <w:rsid w:val="00ED45D3"/>
    <w:rsid w:val="00ED4669"/>
    <w:rsid w:val="00ED641D"/>
    <w:rsid w:val="00ED675C"/>
    <w:rsid w:val="00EE16E6"/>
    <w:rsid w:val="00EE17B7"/>
    <w:rsid w:val="00EE1A98"/>
    <w:rsid w:val="00EE1E9D"/>
    <w:rsid w:val="00EE2192"/>
    <w:rsid w:val="00EE31C6"/>
    <w:rsid w:val="00EE3A20"/>
    <w:rsid w:val="00EE7D39"/>
    <w:rsid w:val="00EF00C8"/>
    <w:rsid w:val="00EF02DC"/>
    <w:rsid w:val="00EF139C"/>
    <w:rsid w:val="00EF1B22"/>
    <w:rsid w:val="00EF3028"/>
    <w:rsid w:val="00EF4C9E"/>
    <w:rsid w:val="00EF7911"/>
    <w:rsid w:val="00F04973"/>
    <w:rsid w:val="00F06ADE"/>
    <w:rsid w:val="00F1195B"/>
    <w:rsid w:val="00F11C78"/>
    <w:rsid w:val="00F1474E"/>
    <w:rsid w:val="00F16589"/>
    <w:rsid w:val="00F172B5"/>
    <w:rsid w:val="00F172BC"/>
    <w:rsid w:val="00F174B7"/>
    <w:rsid w:val="00F22A96"/>
    <w:rsid w:val="00F2401E"/>
    <w:rsid w:val="00F3357B"/>
    <w:rsid w:val="00F3505A"/>
    <w:rsid w:val="00F3755C"/>
    <w:rsid w:val="00F42D2E"/>
    <w:rsid w:val="00F4371C"/>
    <w:rsid w:val="00F43CE2"/>
    <w:rsid w:val="00F44568"/>
    <w:rsid w:val="00F448AA"/>
    <w:rsid w:val="00F4497F"/>
    <w:rsid w:val="00F502D2"/>
    <w:rsid w:val="00F50FE6"/>
    <w:rsid w:val="00F566E7"/>
    <w:rsid w:val="00F57264"/>
    <w:rsid w:val="00F63071"/>
    <w:rsid w:val="00F64807"/>
    <w:rsid w:val="00F6711F"/>
    <w:rsid w:val="00F761CB"/>
    <w:rsid w:val="00F8252E"/>
    <w:rsid w:val="00F84C6B"/>
    <w:rsid w:val="00F87547"/>
    <w:rsid w:val="00F91957"/>
    <w:rsid w:val="00F9211D"/>
    <w:rsid w:val="00F94EC5"/>
    <w:rsid w:val="00F96AD8"/>
    <w:rsid w:val="00FA2379"/>
    <w:rsid w:val="00FA2903"/>
    <w:rsid w:val="00FA7EA4"/>
    <w:rsid w:val="00FB293A"/>
    <w:rsid w:val="00FB3B13"/>
    <w:rsid w:val="00FB5FF6"/>
    <w:rsid w:val="00FB6764"/>
    <w:rsid w:val="00FB747B"/>
    <w:rsid w:val="00FC0DD8"/>
    <w:rsid w:val="00FC2FD4"/>
    <w:rsid w:val="00FC40B0"/>
    <w:rsid w:val="00FC41FE"/>
    <w:rsid w:val="00FC7870"/>
    <w:rsid w:val="00FD0BB6"/>
    <w:rsid w:val="00FD5359"/>
    <w:rsid w:val="00FD7A89"/>
    <w:rsid w:val="00FE0BA6"/>
    <w:rsid w:val="00FE1489"/>
    <w:rsid w:val="00FE1EC9"/>
    <w:rsid w:val="00FE2578"/>
    <w:rsid w:val="00FF12A5"/>
    <w:rsid w:val="00FF1402"/>
    <w:rsid w:val="00FF194D"/>
    <w:rsid w:val="00FF218D"/>
    <w:rsid w:val="00FF589C"/>
    <w:rsid w:val="00FF64AF"/>
    <w:rsid w:val="00FF6D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EE21A"/>
  <w15:docId w15:val="{A7DDE702-1EF3-4B8D-ABAA-902C1DBE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2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22C9"/>
  </w:style>
  <w:style w:type="character" w:styleId="PageNumber">
    <w:name w:val="page number"/>
    <w:basedOn w:val="DefaultParagraphFont"/>
    <w:uiPriority w:val="99"/>
    <w:semiHidden/>
    <w:unhideWhenUsed/>
    <w:rsid w:val="00E522C9"/>
  </w:style>
  <w:style w:type="character" w:styleId="Hyperlink">
    <w:name w:val="Hyperlink"/>
    <w:basedOn w:val="DefaultParagraphFont"/>
    <w:uiPriority w:val="99"/>
    <w:unhideWhenUsed/>
    <w:rsid w:val="00FA2379"/>
    <w:rPr>
      <w:color w:val="0000FF" w:themeColor="hyperlink"/>
      <w:u w:val="single"/>
    </w:rPr>
  </w:style>
  <w:style w:type="character" w:styleId="PlaceholderText">
    <w:name w:val="Placeholder Text"/>
    <w:basedOn w:val="DefaultParagraphFont"/>
    <w:uiPriority w:val="99"/>
    <w:semiHidden/>
    <w:rsid w:val="0064073E"/>
    <w:rPr>
      <w:color w:val="808080"/>
    </w:rPr>
  </w:style>
  <w:style w:type="table" w:styleId="TableGrid">
    <w:name w:val="Table Grid"/>
    <w:basedOn w:val="TableNormal"/>
    <w:uiPriority w:val="59"/>
    <w:rsid w:val="0060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5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551"/>
    <w:rPr>
      <w:rFonts w:ascii="Lucida Grande" w:hAnsi="Lucida Grande" w:cs="Lucida Grande"/>
      <w:sz w:val="18"/>
      <w:szCs w:val="18"/>
    </w:rPr>
  </w:style>
  <w:style w:type="paragraph" w:styleId="FootnoteText">
    <w:name w:val="footnote text"/>
    <w:basedOn w:val="Normal"/>
    <w:link w:val="FootnoteTextChar"/>
    <w:uiPriority w:val="99"/>
    <w:unhideWhenUsed/>
    <w:rsid w:val="00774DB6"/>
    <w:pPr>
      <w:spacing w:after="0" w:line="240" w:lineRule="auto"/>
    </w:pPr>
    <w:rPr>
      <w:sz w:val="24"/>
      <w:szCs w:val="24"/>
    </w:rPr>
  </w:style>
  <w:style w:type="character" w:customStyle="1" w:styleId="FootnoteTextChar">
    <w:name w:val="Footnote Text Char"/>
    <w:basedOn w:val="DefaultParagraphFont"/>
    <w:link w:val="FootnoteText"/>
    <w:uiPriority w:val="99"/>
    <w:rsid w:val="00774DB6"/>
    <w:rPr>
      <w:sz w:val="24"/>
      <w:szCs w:val="24"/>
    </w:rPr>
  </w:style>
  <w:style w:type="character" w:styleId="FootnoteReference">
    <w:name w:val="footnote reference"/>
    <w:basedOn w:val="DefaultParagraphFont"/>
    <w:uiPriority w:val="99"/>
    <w:unhideWhenUsed/>
    <w:rsid w:val="00774DB6"/>
    <w:rPr>
      <w:vertAlign w:val="superscript"/>
    </w:rPr>
  </w:style>
  <w:style w:type="character" w:styleId="CommentReference">
    <w:name w:val="annotation reference"/>
    <w:basedOn w:val="DefaultParagraphFont"/>
    <w:uiPriority w:val="99"/>
    <w:semiHidden/>
    <w:unhideWhenUsed/>
    <w:rsid w:val="00F172B5"/>
    <w:rPr>
      <w:sz w:val="16"/>
      <w:szCs w:val="16"/>
    </w:rPr>
  </w:style>
  <w:style w:type="paragraph" w:styleId="CommentText">
    <w:name w:val="annotation text"/>
    <w:basedOn w:val="Normal"/>
    <w:link w:val="CommentTextChar"/>
    <w:uiPriority w:val="99"/>
    <w:unhideWhenUsed/>
    <w:rsid w:val="00F172B5"/>
    <w:pPr>
      <w:spacing w:line="240" w:lineRule="auto"/>
    </w:pPr>
    <w:rPr>
      <w:sz w:val="20"/>
      <w:szCs w:val="20"/>
    </w:rPr>
  </w:style>
  <w:style w:type="character" w:customStyle="1" w:styleId="CommentTextChar">
    <w:name w:val="Comment Text Char"/>
    <w:basedOn w:val="DefaultParagraphFont"/>
    <w:link w:val="CommentText"/>
    <w:uiPriority w:val="99"/>
    <w:rsid w:val="00F172B5"/>
    <w:rPr>
      <w:sz w:val="20"/>
      <w:szCs w:val="20"/>
    </w:rPr>
  </w:style>
  <w:style w:type="paragraph" w:styleId="CommentSubject">
    <w:name w:val="annotation subject"/>
    <w:basedOn w:val="CommentText"/>
    <w:next w:val="CommentText"/>
    <w:link w:val="CommentSubjectChar"/>
    <w:uiPriority w:val="99"/>
    <w:semiHidden/>
    <w:unhideWhenUsed/>
    <w:rsid w:val="00F172B5"/>
    <w:rPr>
      <w:b/>
      <w:bCs/>
    </w:rPr>
  </w:style>
  <w:style w:type="character" w:customStyle="1" w:styleId="CommentSubjectChar">
    <w:name w:val="Comment Subject Char"/>
    <w:basedOn w:val="CommentTextChar"/>
    <w:link w:val="CommentSubject"/>
    <w:uiPriority w:val="99"/>
    <w:semiHidden/>
    <w:rsid w:val="00F172B5"/>
    <w:rPr>
      <w:b/>
      <w:bCs/>
      <w:sz w:val="20"/>
      <w:szCs w:val="20"/>
    </w:rPr>
  </w:style>
  <w:style w:type="paragraph" w:styleId="ListParagraph">
    <w:name w:val="List Paragraph"/>
    <w:basedOn w:val="Normal"/>
    <w:uiPriority w:val="34"/>
    <w:qFormat/>
    <w:rsid w:val="00032822"/>
    <w:pPr>
      <w:ind w:left="720"/>
      <w:contextualSpacing/>
    </w:pPr>
  </w:style>
  <w:style w:type="paragraph" w:styleId="Header">
    <w:name w:val="header"/>
    <w:basedOn w:val="Normal"/>
    <w:link w:val="HeaderChar"/>
    <w:uiPriority w:val="99"/>
    <w:unhideWhenUsed/>
    <w:rsid w:val="008A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D87"/>
  </w:style>
  <w:style w:type="paragraph" w:styleId="EndnoteText">
    <w:name w:val="endnote text"/>
    <w:basedOn w:val="Normal"/>
    <w:link w:val="EndnoteTextChar"/>
    <w:semiHidden/>
    <w:rsid w:val="006339D7"/>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EndnoteTextChar">
    <w:name w:val="Endnote Text Char"/>
    <w:basedOn w:val="DefaultParagraphFont"/>
    <w:link w:val="EndnoteText"/>
    <w:semiHidden/>
    <w:rsid w:val="006339D7"/>
    <w:rPr>
      <w:rFonts w:ascii="Times New Roman" w:eastAsia="Times New Roman" w:hAnsi="Times New Roman" w:cs="Times New Roman"/>
      <w:sz w:val="20"/>
      <w:szCs w:val="20"/>
      <w:lang w:val="en-US" w:eastAsia="ar-SA"/>
    </w:rPr>
  </w:style>
  <w:style w:type="character" w:styleId="EndnoteReference">
    <w:name w:val="endnote reference"/>
    <w:basedOn w:val="DefaultParagraphFont"/>
    <w:semiHidden/>
    <w:rsid w:val="006339D7"/>
    <w:rPr>
      <w:vertAlign w:val="superscript"/>
    </w:rPr>
  </w:style>
  <w:style w:type="paragraph" w:styleId="BodyTextIndent">
    <w:name w:val="Body Text Indent"/>
    <w:basedOn w:val="Normal"/>
    <w:link w:val="BodyTextIndentChar"/>
    <w:semiHidden/>
    <w:rsid w:val="006339D7"/>
    <w:pPr>
      <w:suppressAutoHyphens/>
      <w:spacing w:after="0" w:line="480" w:lineRule="auto"/>
      <w:ind w:firstLine="720"/>
      <w:jc w:val="both"/>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semiHidden/>
    <w:rsid w:val="006339D7"/>
    <w:rPr>
      <w:rFonts w:ascii="Times New Roman" w:eastAsia="Times New Roman" w:hAnsi="Times New Roman" w:cs="Times New Roman"/>
      <w:sz w:val="24"/>
      <w:szCs w:val="24"/>
      <w:lang w:val="en-US" w:eastAsia="ar-SA"/>
    </w:rPr>
  </w:style>
  <w:style w:type="table" w:styleId="LightShading">
    <w:name w:val="Light Shading"/>
    <w:basedOn w:val="TableNormal"/>
    <w:uiPriority w:val="60"/>
    <w:rsid w:val="00AA51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000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8A5364"/>
    <w:pPr>
      <w:spacing w:line="240" w:lineRule="auto"/>
    </w:pPr>
    <w:rPr>
      <w:b/>
      <w:bCs/>
      <w:color w:val="4F81BD" w:themeColor="accent1"/>
      <w:sz w:val="18"/>
      <w:szCs w:val="18"/>
    </w:rPr>
  </w:style>
  <w:style w:type="character" w:customStyle="1" w:styleId="apple-converted-space">
    <w:name w:val="apple-converted-space"/>
    <w:basedOn w:val="DefaultParagraphFont"/>
    <w:rsid w:val="00BE34B0"/>
  </w:style>
  <w:style w:type="paragraph" w:customStyle="1" w:styleId="xmsonormal">
    <w:name w:val="x_msonormal"/>
    <w:basedOn w:val="Normal"/>
    <w:rsid w:val="00E15455"/>
    <w:pPr>
      <w:spacing w:after="0" w:line="240" w:lineRule="auto"/>
    </w:pPr>
    <w:rPr>
      <w:rFonts w:ascii="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9444">
      <w:bodyDiv w:val="1"/>
      <w:marLeft w:val="0"/>
      <w:marRight w:val="0"/>
      <w:marTop w:val="0"/>
      <w:marBottom w:val="0"/>
      <w:divBdr>
        <w:top w:val="none" w:sz="0" w:space="0" w:color="auto"/>
        <w:left w:val="none" w:sz="0" w:space="0" w:color="auto"/>
        <w:bottom w:val="none" w:sz="0" w:space="0" w:color="auto"/>
        <w:right w:val="none" w:sz="0" w:space="0" w:color="auto"/>
      </w:divBdr>
    </w:div>
    <w:div w:id="189488503">
      <w:bodyDiv w:val="1"/>
      <w:marLeft w:val="0"/>
      <w:marRight w:val="0"/>
      <w:marTop w:val="0"/>
      <w:marBottom w:val="0"/>
      <w:divBdr>
        <w:top w:val="none" w:sz="0" w:space="0" w:color="auto"/>
        <w:left w:val="none" w:sz="0" w:space="0" w:color="auto"/>
        <w:bottom w:val="none" w:sz="0" w:space="0" w:color="auto"/>
        <w:right w:val="none" w:sz="0" w:space="0" w:color="auto"/>
      </w:divBdr>
      <w:divsChild>
        <w:div w:id="1009792224">
          <w:marLeft w:val="0"/>
          <w:marRight w:val="0"/>
          <w:marTop w:val="0"/>
          <w:marBottom w:val="0"/>
          <w:divBdr>
            <w:top w:val="none" w:sz="0" w:space="0" w:color="auto"/>
            <w:left w:val="none" w:sz="0" w:space="0" w:color="auto"/>
            <w:bottom w:val="none" w:sz="0" w:space="0" w:color="auto"/>
            <w:right w:val="none" w:sz="0" w:space="0" w:color="auto"/>
          </w:divBdr>
        </w:div>
      </w:divsChild>
    </w:div>
    <w:div w:id="196508467">
      <w:bodyDiv w:val="1"/>
      <w:marLeft w:val="0"/>
      <w:marRight w:val="0"/>
      <w:marTop w:val="0"/>
      <w:marBottom w:val="0"/>
      <w:divBdr>
        <w:top w:val="none" w:sz="0" w:space="0" w:color="auto"/>
        <w:left w:val="none" w:sz="0" w:space="0" w:color="auto"/>
        <w:bottom w:val="none" w:sz="0" w:space="0" w:color="auto"/>
        <w:right w:val="none" w:sz="0" w:space="0" w:color="auto"/>
      </w:divBdr>
    </w:div>
    <w:div w:id="248660274">
      <w:bodyDiv w:val="1"/>
      <w:marLeft w:val="0"/>
      <w:marRight w:val="0"/>
      <w:marTop w:val="0"/>
      <w:marBottom w:val="0"/>
      <w:divBdr>
        <w:top w:val="none" w:sz="0" w:space="0" w:color="auto"/>
        <w:left w:val="none" w:sz="0" w:space="0" w:color="auto"/>
        <w:bottom w:val="none" w:sz="0" w:space="0" w:color="auto"/>
        <w:right w:val="none" w:sz="0" w:space="0" w:color="auto"/>
      </w:divBdr>
    </w:div>
    <w:div w:id="258409231">
      <w:bodyDiv w:val="1"/>
      <w:marLeft w:val="0"/>
      <w:marRight w:val="0"/>
      <w:marTop w:val="0"/>
      <w:marBottom w:val="0"/>
      <w:divBdr>
        <w:top w:val="none" w:sz="0" w:space="0" w:color="auto"/>
        <w:left w:val="none" w:sz="0" w:space="0" w:color="auto"/>
        <w:bottom w:val="none" w:sz="0" w:space="0" w:color="auto"/>
        <w:right w:val="none" w:sz="0" w:space="0" w:color="auto"/>
      </w:divBdr>
    </w:div>
    <w:div w:id="292256878">
      <w:bodyDiv w:val="1"/>
      <w:marLeft w:val="0"/>
      <w:marRight w:val="0"/>
      <w:marTop w:val="0"/>
      <w:marBottom w:val="0"/>
      <w:divBdr>
        <w:top w:val="none" w:sz="0" w:space="0" w:color="auto"/>
        <w:left w:val="none" w:sz="0" w:space="0" w:color="auto"/>
        <w:bottom w:val="none" w:sz="0" w:space="0" w:color="auto"/>
        <w:right w:val="none" w:sz="0" w:space="0" w:color="auto"/>
      </w:divBdr>
    </w:div>
    <w:div w:id="386954765">
      <w:bodyDiv w:val="1"/>
      <w:marLeft w:val="0"/>
      <w:marRight w:val="0"/>
      <w:marTop w:val="0"/>
      <w:marBottom w:val="0"/>
      <w:divBdr>
        <w:top w:val="none" w:sz="0" w:space="0" w:color="auto"/>
        <w:left w:val="none" w:sz="0" w:space="0" w:color="auto"/>
        <w:bottom w:val="none" w:sz="0" w:space="0" w:color="auto"/>
        <w:right w:val="none" w:sz="0" w:space="0" w:color="auto"/>
      </w:divBdr>
      <w:divsChild>
        <w:div w:id="1138063773">
          <w:marLeft w:val="0"/>
          <w:marRight w:val="0"/>
          <w:marTop w:val="0"/>
          <w:marBottom w:val="0"/>
          <w:divBdr>
            <w:top w:val="none" w:sz="0" w:space="0" w:color="auto"/>
            <w:left w:val="none" w:sz="0" w:space="0" w:color="auto"/>
            <w:bottom w:val="none" w:sz="0" w:space="0" w:color="auto"/>
            <w:right w:val="none" w:sz="0" w:space="0" w:color="auto"/>
          </w:divBdr>
        </w:div>
      </w:divsChild>
    </w:div>
    <w:div w:id="395595502">
      <w:bodyDiv w:val="1"/>
      <w:marLeft w:val="0"/>
      <w:marRight w:val="0"/>
      <w:marTop w:val="0"/>
      <w:marBottom w:val="0"/>
      <w:divBdr>
        <w:top w:val="none" w:sz="0" w:space="0" w:color="auto"/>
        <w:left w:val="none" w:sz="0" w:space="0" w:color="auto"/>
        <w:bottom w:val="none" w:sz="0" w:space="0" w:color="auto"/>
        <w:right w:val="none" w:sz="0" w:space="0" w:color="auto"/>
      </w:divBdr>
    </w:div>
    <w:div w:id="462189475">
      <w:bodyDiv w:val="1"/>
      <w:marLeft w:val="0"/>
      <w:marRight w:val="0"/>
      <w:marTop w:val="0"/>
      <w:marBottom w:val="0"/>
      <w:divBdr>
        <w:top w:val="none" w:sz="0" w:space="0" w:color="auto"/>
        <w:left w:val="none" w:sz="0" w:space="0" w:color="auto"/>
        <w:bottom w:val="none" w:sz="0" w:space="0" w:color="auto"/>
        <w:right w:val="none" w:sz="0" w:space="0" w:color="auto"/>
      </w:divBdr>
    </w:div>
    <w:div w:id="506361069">
      <w:bodyDiv w:val="1"/>
      <w:marLeft w:val="0"/>
      <w:marRight w:val="0"/>
      <w:marTop w:val="0"/>
      <w:marBottom w:val="0"/>
      <w:divBdr>
        <w:top w:val="none" w:sz="0" w:space="0" w:color="auto"/>
        <w:left w:val="none" w:sz="0" w:space="0" w:color="auto"/>
        <w:bottom w:val="none" w:sz="0" w:space="0" w:color="auto"/>
        <w:right w:val="none" w:sz="0" w:space="0" w:color="auto"/>
      </w:divBdr>
      <w:divsChild>
        <w:div w:id="1143085996">
          <w:marLeft w:val="0"/>
          <w:marRight w:val="0"/>
          <w:marTop w:val="0"/>
          <w:marBottom w:val="0"/>
          <w:divBdr>
            <w:top w:val="none" w:sz="0" w:space="0" w:color="auto"/>
            <w:left w:val="none" w:sz="0" w:space="0" w:color="auto"/>
            <w:bottom w:val="none" w:sz="0" w:space="0" w:color="auto"/>
            <w:right w:val="none" w:sz="0" w:space="0" w:color="auto"/>
          </w:divBdr>
        </w:div>
      </w:divsChild>
    </w:div>
    <w:div w:id="567304744">
      <w:bodyDiv w:val="1"/>
      <w:marLeft w:val="0"/>
      <w:marRight w:val="0"/>
      <w:marTop w:val="0"/>
      <w:marBottom w:val="0"/>
      <w:divBdr>
        <w:top w:val="none" w:sz="0" w:space="0" w:color="auto"/>
        <w:left w:val="none" w:sz="0" w:space="0" w:color="auto"/>
        <w:bottom w:val="none" w:sz="0" w:space="0" w:color="auto"/>
        <w:right w:val="none" w:sz="0" w:space="0" w:color="auto"/>
      </w:divBdr>
      <w:divsChild>
        <w:div w:id="703596285">
          <w:marLeft w:val="0"/>
          <w:marRight w:val="0"/>
          <w:marTop w:val="0"/>
          <w:marBottom w:val="0"/>
          <w:divBdr>
            <w:top w:val="none" w:sz="0" w:space="0" w:color="auto"/>
            <w:left w:val="none" w:sz="0" w:space="0" w:color="auto"/>
            <w:bottom w:val="none" w:sz="0" w:space="0" w:color="auto"/>
            <w:right w:val="none" w:sz="0" w:space="0" w:color="auto"/>
          </w:divBdr>
          <w:divsChild>
            <w:div w:id="1852596645">
              <w:marLeft w:val="0"/>
              <w:marRight w:val="0"/>
              <w:marTop w:val="0"/>
              <w:marBottom w:val="0"/>
              <w:divBdr>
                <w:top w:val="none" w:sz="0" w:space="0" w:color="auto"/>
                <w:left w:val="none" w:sz="0" w:space="0" w:color="auto"/>
                <w:bottom w:val="none" w:sz="0" w:space="0" w:color="auto"/>
                <w:right w:val="none" w:sz="0" w:space="0" w:color="auto"/>
              </w:divBdr>
              <w:divsChild>
                <w:div w:id="2038654279">
                  <w:marLeft w:val="0"/>
                  <w:marRight w:val="0"/>
                  <w:marTop w:val="0"/>
                  <w:marBottom w:val="0"/>
                  <w:divBdr>
                    <w:top w:val="none" w:sz="0" w:space="0" w:color="auto"/>
                    <w:left w:val="none" w:sz="0" w:space="0" w:color="auto"/>
                    <w:bottom w:val="none" w:sz="0" w:space="0" w:color="auto"/>
                    <w:right w:val="none" w:sz="0" w:space="0" w:color="auto"/>
                  </w:divBdr>
                  <w:divsChild>
                    <w:div w:id="1197544939">
                      <w:marLeft w:val="0"/>
                      <w:marRight w:val="0"/>
                      <w:marTop w:val="0"/>
                      <w:marBottom w:val="0"/>
                      <w:divBdr>
                        <w:top w:val="none" w:sz="0" w:space="0" w:color="auto"/>
                        <w:left w:val="none" w:sz="0" w:space="0" w:color="auto"/>
                        <w:bottom w:val="none" w:sz="0" w:space="0" w:color="auto"/>
                        <w:right w:val="none" w:sz="0" w:space="0" w:color="auto"/>
                      </w:divBdr>
                      <w:divsChild>
                        <w:div w:id="1679042494">
                          <w:marLeft w:val="0"/>
                          <w:marRight w:val="0"/>
                          <w:marTop w:val="0"/>
                          <w:marBottom w:val="0"/>
                          <w:divBdr>
                            <w:top w:val="none" w:sz="0" w:space="0" w:color="auto"/>
                            <w:left w:val="none" w:sz="0" w:space="0" w:color="auto"/>
                            <w:bottom w:val="none" w:sz="0" w:space="0" w:color="auto"/>
                            <w:right w:val="none" w:sz="0" w:space="0" w:color="auto"/>
                          </w:divBdr>
                          <w:divsChild>
                            <w:div w:id="1705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81628">
      <w:bodyDiv w:val="1"/>
      <w:marLeft w:val="0"/>
      <w:marRight w:val="0"/>
      <w:marTop w:val="0"/>
      <w:marBottom w:val="0"/>
      <w:divBdr>
        <w:top w:val="none" w:sz="0" w:space="0" w:color="auto"/>
        <w:left w:val="none" w:sz="0" w:space="0" w:color="auto"/>
        <w:bottom w:val="none" w:sz="0" w:space="0" w:color="auto"/>
        <w:right w:val="none" w:sz="0" w:space="0" w:color="auto"/>
      </w:divBdr>
      <w:divsChild>
        <w:div w:id="1237126039">
          <w:marLeft w:val="0"/>
          <w:marRight w:val="0"/>
          <w:marTop w:val="0"/>
          <w:marBottom w:val="0"/>
          <w:divBdr>
            <w:top w:val="none" w:sz="0" w:space="0" w:color="auto"/>
            <w:left w:val="none" w:sz="0" w:space="0" w:color="auto"/>
            <w:bottom w:val="none" w:sz="0" w:space="0" w:color="auto"/>
            <w:right w:val="none" w:sz="0" w:space="0" w:color="auto"/>
          </w:divBdr>
        </w:div>
        <w:div w:id="854466250">
          <w:marLeft w:val="0"/>
          <w:marRight w:val="0"/>
          <w:marTop w:val="0"/>
          <w:marBottom w:val="0"/>
          <w:divBdr>
            <w:top w:val="none" w:sz="0" w:space="0" w:color="auto"/>
            <w:left w:val="none" w:sz="0" w:space="0" w:color="auto"/>
            <w:bottom w:val="none" w:sz="0" w:space="0" w:color="auto"/>
            <w:right w:val="none" w:sz="0" w:space="0" w:color="auto"/>
          </w:divBdr>
        </w:div>
        <w:div w:id="1322082008">
          <w:marLeft w:val="0"/>
          <w:marRight w:val="0"/>
          <w:marTop w:val="0"/>
          <w:marBottom w:val="0"/>
          <w:divBdr>
            <w:top w:val="none" w:sz="0" w:space="0" w:color="auto"/>
            <w:left w:val="none" w:sz="0" w:space="0" w:color="auto"/>
            <w:bottom w:val="none" w:sz="0" w:space="0" w:color="auto"/>
            <w:right w:val="none" w:sz="0" w:space="0" w:color="auto"/>
          </w:divBdr>
        </w:div>
      </w:divsChild>
    </w:div>
    <w:div w:id="620768684">
      <w:bodyDiv w:val="1"/>
      <w:marLeft w:val="0"/>
      <w:marRight w:val="0"/>
      <w:marTop w:val="0"/>
      <w:marBottom w:val="0"/>
      <w:divBdr>
        <w:top w:val="none" w:sz="0" w:space="0" w:color="auto"/>
        <w:left w:val="none" w:sz="0" w:space="0" w:color="auto"/>
        <w:bottom w:val="none" w:sz="0" w:space="0" w:color="auto"/>
        <w:right w:val="none" w:sz="0" w:space="0" w:color="auto"/>
      </w:divBdr>
      <w:divsChild>
        <w:div w:id="1253859546">
          <w:marLeft w:val="0"/>
          <w:marRight w:val="0"/>
          <w:marTop w:val="0"/>
          <w:marBottom w:val="0"/>
          <w:divBdr>
            <w:top w:val="none" w:sz="0" w:space="0" w:color="auto"/>
            <w:left w:val="none" w:sz="0" w:space="0" w:color="auto"/>
            <w:bottom w:val="none" w:sz="0" w:space="0" w:color="auto"/>
            <w:right w:val="none" w:sz="0" w:space="0" w:color="auto"/>
          </w:divBdr>
        </w:div>
      </w:divsChild>
    </w:div>
    <w:div w:id="622351707">
      <w:bodyDiv w:val="1"/>
      <w:marLeft w:val="0"/>
      <w:marRight w:val="0"/>
      <w:marTop w:val="0"/>
      <w:marBottom w:val="0"/>
      <w:divBdr>
        <w:top w:val="none" w:sz="0" w:space="0" w:color="auto"/>
        <w:left w:val="none" w:sz="0" w:space="0" w:color="auto"/>
        <w:bottom w:val="none" w:sz="0" w:space="0" w:color="auto"/>
        <w:right w:val="none" w:sz="0" w:space="0" w:color="auto"/>
      </w:divBdr>
    </w:div>
    <w:div w:id="678577976">
      <w:bodyDiv w:val="1"/>
      <w:marLeft w:val="0"/>
      <w:marRight w:val="0"/>
      <w:marTop w:val="0"/>
      <w:marBottom w:val="0"/>
      <w:divBdr>
        <w:top w:val="none" w:sz="0" w:space="0" w:color="auto"/>
        <w:left w:val="none" w:sz="0" w:space="0" w:color="auto"/>
        <w:bottom w:val="none" w:sz="0" w:space="0" w:color="auto"/>
        <w:right w:val="none" w:sz="0" w:space="0" w:color="auto"/>
      </w:divBdr>
      <w:divsChild>
        <w:div w:id="1141969709">
          <w:marLeft w:val="0"/>
          <w:marRight w:val="0"/>
          <w:marTop w:val="0"/>
          <w:marBottom w:val="0"/>
          <w:divBdr>
            <w:top w:val="none" w:sz="0" w:space="0" w:color="auto"/>
            <w:left w:val="none" w:sz="0" w:space="0" w:color="auto"/>
            <w:bottom w:val="none" w:sz="0" w:space="0" w:color="auto"/>
            <w:right w:val="none" w:sz="0" w:space="0" w:color="auto"/>
          </w:divBdr>
        </w:div>
      </w:divsChild>
    </w:div>
    <w:div w:id="699742405">
      <w:bodyDiv w:val="1"/>
      <w:marLeft w:val="0"/>
      <w:marRight w:val="0"/>
      <w:marTop w:val="0"/>
      <w:marBottom w:val="0"/>
      <w:divBdr>
        <w:top w:val="none" w:sz="0" w:space="0" w:color="auto"/>
        <w:left w:val="none" w:sz="0" w:space="0" w:color="auto"/>
        <w:bottom w:val="none" w:sz="0" w:space="0" w:color="auto"/>
        <w:right w:val="none" w:sz="0" w:space="0" w:color="auto"/>
      </w:divBdr>
    </w:div>
    <w:div w:id="704252782">
      <w:bodyDiv w:val="1"/>
      <w:marLeft w:val="0"/>
      <w:marRight w:val="0"/>
      <w:marTop w:val="0"/>
      <w:marBottom w:val="0"/>
      <w:divBdr>
        <w:top w:val="none" w:sz="0" w:space="0" w:color="auto"/>
        <w:left w:val="none" w:sz="0" w:space="0" w:color="auto"/>
        <w:bottom w:val="none" w:sz="0" w:space="0" w:color="auto"/>
        <w:right w:val="none" w:sz="0" w:space="0" w:color="auto"/>
      </w:divBdr>
    </w:div>
    <w:div w:id="805045331">
      <w:bodyDiv w:val="1"/>
      <w:marLeft w:val="0"/>
      <w:marRight w:val="0"/>
      <w:marTop w:val="0"/>
      <w:marBottom w:val="0"/>
      <w:divBdr>
        <w:top w:val="none" w:sz="0" w:space="0" w:color="auto"/>
        <w:left w:val="none" w:sz="0" w:space="0" w:color="auto"/>
        <w:bottom w:val="none" w:sz="0" w:space="0" w:color="auto"/>
        <w:right w:val="none" w:sz="0" w:space="0" w:color="auto"/>
      </w:divBdr>
      <w:divsChild>
        <w:div w:id="1689679761">
          <w:marLeft w:val="0"/>
          <w:marRight w:val="0"/>
          <w:marTop w:val="0"/>
          <w:marBottom w:val="0"/>
          <w:divBdr>
            <w:top w:val="none" w:sz="0" w:space="0" w:color="auto"/>
            <w:left w:val="none" w:sz="0" w:space="0" w:color="auto"/>
            <w:bottom w:val="none" w:sz="0" w:space="0" w:color="auto"/>
            <w:right w:val="none" w:sz="0" w:space="0" w:color="auto"/>
          </w:divBdr>
        </w:div>
      </w:divsChild>
    </w:div>
    <w:div w:id="810288882">
      <w:bodyDiv w:val="1"/>
      <w:marLeft w:val="0"/>
      <w:marRight w:val="0"/>
      <w:marTop w:val="0"/>
      <w:marBottom w:val="0"/>
      <w:divBdr>
        <w:top w:val="none" w:sz="0" w:space="0" w:color="auto"/>
        <w:left w:val="none" w:sz="0" w:space="0" w:color="auto"/>
        <w:bottom w:val="none" w:sz="0" w:space="0" w:color="auto"/>
        <w:right w:val="none" w:sz="0" w:space="0" w:color="auto"/>
      </w:divBdr>
      <w:divsChild>
        <w:div w:id="941571071">
          <w:marLeft w:val="0"/>
          <w:marRight w:val="0"/>
          <w:marTop w:val="0"/>
          <w:marBottom w:val="0"/>
          <w:divBdr>
            <w:top w:val="none" w:sz="0" w:space="0" w:color="auto"/>
            <w:left w:val="none" w:sz="0" w:space="0" w:color="auto"/>
            <w:bottom w:val="none" w:sz="0" w:space="0" w:color="auto"/>
            <w:right w:val="none" w:sz="0" w:space="0" w:color="auto"/>
          </w:divBdr>
        </w:div>
      </w:divsChild>
    </w:div>
    <w:div w:id="831604177">
      <w:bodyDiv w:val="1"/>
      <w:marLeft w:val="0"/>
      <w:marRight w:val="0"/>
      <w:marTop w:val="0"/>
      <w:marBottom w:val="0"/>
      <w:divBdr>
        <w:top w:val="none" w:sz="0" w:space="0" w:color="auto"/>
        <w:left w:val="none" w:sz="0" w:space="0" w:color="auto"/>
        <w:bottom w:val="none" w:sz="0" w:space="0" w:color="auto"/>
        <w:right w:val="none" w:sz="0" w:space="0" w:color="auto"/>
      </w:divBdr>
    </w:div>
    <w:div w:id="838080298">
      <w:bodyDiv w:val="1"/>
      <w:marLeft w:val="0"/>
      <w:marRight w:val="0"/>
      <w:marTop w:val="0"/>
      <w:marBottom w:val="0"/>
      <w:divBdr>
        <w:top w:val="none" w:sz="0" w:space="0" w:color="auto"/>
        <w:left w:val="none" w:sz="0" w:space="0" w:color="auto"/>
        <w:bottom w:val="none" w:sz="0" w:space="0" w:color="auto"/>
        <w:right w:val="none" w:sz="0" w:space="0" w:color="auto"/>
      </w:divBdr>
    </w:div>
    <w:div w:id="852305810">
      <w:bodyDiv w:val="1"/>
      <w:marLeft w:val="0"/>
      <w:marRight w:val="0"/>
      <w:marTop w:val="0"/>
      <w:marBottom w:val="0"/>
      <w:divBdr>
        <w:top w:val="none" w:sz="0" w:space="0" w:color="auto"/>
        <w:left w:val="none" w:sz="0" w:space="0" w:color="auto"/>
        <w:bottom w:val="none" w:sz="0" w:space="0" w:color="auto"/>
        <w:right w:val="none" w:sz="0" w:space="0" w:color="auto"/>
      </w:divBdr>
    </w:div>
    <w:div w:id="920338319">
      <w:bodyDiv w:val="1"/>
      <w:marLeft w:val="0"/>
      <w:marRight w:val="0"/>
      <w:marTop w:val="0"/>
      <w:marBottom w:val="0"/>
      <w:divBdr>
        <w:top w:val="none" w:sz="0" w:space="0" w:color="auto"/>
        <w:left w:val="none" w:sz="0" w:space="0" w:color="auto"/>
        <w:bottom w:val="none" w:sz="0" w:space="0" w:color="auto"/>
        <w:right w:val="none" w:sz="0" w:space="0" w:color="auto"/>
      </w:divBdr>
    </w:div>
    <w:div w:id="1036155329">
      <w:bodyDiv w:val="1"/>
      <w:marLeft w:val="0"/>
      <w:marRight w:val="0"/>
      <w:marTop w:val="0"/>
      <w:marBottom w:val="0"/>
      <w:divBdr>
        <w:top w:val="none" w:sz="0" w:space="0" w:color="auto"/>
        <w:left w:val="none" w:sz="0" w:space="0" w:color="auto"/>
        <w:bottom w:val="none" w:sz="0" w:space="0" w:color="auto"/>
        <w:right w:val="none" w:sz="0" w:space="0" w:color="auto"/>
      </w:divBdr>
    </w:div>
    <w:div w:id="1046376029">
      <w:bodyDiv w:val="1"/>
      <w:marLeft w:val="0"/>
      <w:marRight w:val="0"/>
      <w:marTop w:val="0"/>
      <w:marBottom w:val="0"/>
      <w:divBdr>
        <w:top w:val="none" w:sz="0" w:space="0" w:color="auto"/>
        <w:left w:val="none" w:sz="0" w:space="0" w:color="auto"/>
        <w:bottom w:val="none" w:sz="0" w:space="0" w:color="auto"/>
        <w:right w:val="none" w:sz="0" w:space="0" w:color="auto"/>
      </w:divBdr>
      <w:divsChild>
        <w:div w:id="1968506590">
          <w:marLeft w:val="0"/>
          <w:marRight w:val="0"/>
          <w:marTop w:val="0"/>
          <w:marBottom w:val="0"/>
          <w:divBdr>
            <w:top w:val="none" w:sz="0" w:space="0" w:color="auto"/>
            <w:left w:val="none" w:sz="0" w:space="0" w:color="auto"/>
            <w:bottom w:val="none" w:sz="0" w:space="0" w:color="auto"/>
            <w:right w:val="none" w:sz="0" w:space="0" w:color="auto"/>
          </w:divBdr>
        </w:div>
        <w:div w:id="1951204484">
          <w:marLeft w:val="0"/>
          <w:marRight w:val="0"/>
          <w:marTop w:val="0"/>
          <w:marBottom w:val="0"/>
          <w:divBdr>
            <w:top w:val="none" w:sz="0" w:space="0" w:color="auto"/>
            <w:left w:val="none" w:sz="0" w:space="0" w:color="auto"/>
            <w:bottom w:val="none" w:sz="0" w:space="0" w:color="auto"/>
            <w:right w:val="none" w:sz="0" w:space="0" w:color="auto"/>
          </w:divBdr>
        </w:div>
      </w:divsChild>
    </w:div>
    <w:div w:id="1167480322">
      <w:bodyDiv w:val="1"/>
      <w:marLeft w:val="0"/>
      <w:marRight w:val="0"/>
      <w:marTop w:val="0"/>
      <w:marBottom w:val="0"/>
      <w:divBdr>
        <w:top w:val="none" w:sz="0" w:space="0" w:color="auto"/>
        <w:left w:val="none" w:sz="0" w:space="0" w:color="auto"/>
        <w:bottom w:val="none" w:sz="0" w:space="0" w:color="auto"/>
        <w:right w:val="none" w:sz="0" w:space="0" w:color="auto"/>
      </w:divBdr>
      <w:divsChild>
        <w:div w:id="1631203910">
          <w:marLeft w:val="0"/>
          <w:marRight w:val="0"/>
          <w:marTop w:val="0"/>
          <w:marBottom w:val="0"/>
          <w:divBdr>
            <w:top w:val="none" w:sz="0" w:space="0" w:color="auto"/>
            <w:left w:val="none" w:sz="0" w:space="0" w:color="auto"/>
            <w:bottom w:val="none" w:sz="0" w:space="0" w:color="auto"/>
            <w:right w:val="none" w:sz="0" w:space="0" w:color="auto"/>
          </w:divBdr>
        </w:div>
        <w:div w:id="1753770678">
          <w:marLeft w:val="0"/>
          <w:marRight w:val="0"/>
          <w:marTop w:val="0"/>
          <w:marBottom w:val="0"/>
          <w:divBdr>
            <w:top w:val="none" w:sz="0" w:space="0" w:color="auto"/>
            <w:left w:val="none" w:sz="0" w:space="0" w:color="auto"/>
            <w:bottom w:val="none" w:sz="0" w:space="0" w:color="auto"/>
            <w:right w:val="none" w:sz="0" w:space="0" w:color="auto"/>
          </w:divBdr>
        </w:div>
      </w:divsChild>
    </w:div>
    <w:div w:id="1181628846">
      <w:bodyDiv w:val="1"/>
      <w:marLeft w:val="0"/>
      <w:marRight w:val="0"/>
      <w:marTop w:val="0"/>
      <w:marBottom w:val="0"/>
      <w:divBdr>
        <w:top w:val="none" w:sz="0" w:space="0" w:color="auto"/>
        <w:left w:val="none" w:sz="0" w:space="0" w:color="auto"/>
        <w:bottom w:val="none" w:sz="0" w:space="0" w:color="auto"/>
        <w:right w:val="none" w:sz="0" w:space="0" w:color="auto"/>
      </w:divBdr>
      <w:divsChild>
        <w:div w:id="121964957">
          <w:marLeft w:val="0"/>
          <w:marRight w:val="0"/>
          <w:marTop w:val="0"/>
          <w:marBottom w:val="0"/>
          <w:divBdr>
            <w:top w:val="none" w:sz="0" w:space="0" w:color="auto"/>
            <w:left w:val="none" w:sz="0" w:space="0" w:color="auto"/>
            <w:bottom w:val="none" w:sz="0" w:space="0" w:color="auto"/>
            <w:right w:val="none" w:sz="0" w:space="0" w:color="auto"/>
          </w:divBdr>
        </w:div>
      </w:divsChild>
    </w:div>
    <w:div w:id="1217737953">
      <w:bodyDiv w:val="1"/>
      <w:marLeft w:val="0"/>
      <w:marRight w:val="0"/>
      <w:marTop w:val="0"/>
      <w:marBottom w:val="0"/>
      <w:divBdr>
        <w:top w:val="none" w:sz="0" w:space="0" w:color="auto"/>
        <w:left w:val="none" w:sz="0" w:space="0" w:color="auto"/>
        <w:bottom w:val="none" w:sz="0" w:space="0" w:color="auto"/>
        <w:right w:val="none" w:sz="0" w:space="0" w:color="auto"/>
      </w:divBdr>
    </w:div>
    <w:div w:id="1225026501">
      <w:bodyDiv w:val="1"/>
      <w:marLeft w:val="0"/>
      <w:marRight w:val="0"/>
      <w:marTop w:val="0"/>
      <w:marBottom w:val="0"/>
      <w:divBdr>
        <w:top w:val="none" w:sz="0" w:space="0" w:color="auto"/>
        <w:left w:val="none" w:sz="0" w:space="0" w:color="auto"/>
        <w:bottom w:val="none" w:sz="0" w:space="0" w:color="auto"/>
        <w:right w:val="none" w:sz="0" w:space="0" w:color="auto"/>
      </w:divBdr>
    </w:div>
    <w:div w:id="1257471663">
      <w:bodyDiv w:val="1"/>
      <w:marLeft w:val="0"/>
      <w:marRight w:val="0"/>
      <w:marTop w:val="0"/>
      <w:marBottom w:val="0"/>
      <w:divBdr>
        <w:top w:val="none" w:sz="0" w:space="0" w:color="auto"/>
        <w:left w:val="none" w:sz="0" w:space="0" w:color="auto"/>
        <w:bottom w:val="none" w:sz="0" w:space="0" w:color="auto"/>
        <w:right w:val="none" w:sz="0" w:space="0" w:color="auto"/>
      </w:divBdr>
      <w:divsChild>
        <w:div w:id="1494026019">
          <w:marLeft w:val="0"/>
          <w:marRight w:val="0"/>
          <w:marTop w:val="0"/>
          <w:marBottom w:val="0"/>
          <w:divBdr>
            <w:top w:val="none" w:sz="0" w:space="0" w:color="auto"/>
            <w:left w:val="none" w:sz="0" w:space="0" w:color="auto"/>
            <w:bottom w:val="none" w:sz="0" w:space="0" w:color="auto"/>
            <w:right w:val="none" w:sz="0" w:space="0" w:color="auto"/>
          </w:divBdr>
        </w:div>
      </w:divsChild>
    </w:div>
    <w:div w:id="1289816904">
      <w:bodyDiv w:val="1"/>
      <w:marLeft w:val="0"/>
      <w:marRight w:val="0"/>
      <w:marTop w:val="0"/>
      <w:marBottom w:val="0"/>
      <w:divBdr>
        <w:top w:val="none" w:sz="0" w:space="0" w:color="auto"/>
        <w:left w:val="none" w:sz="0" w:space="0" w:color="auto"/>
        <w:bottom w:val="none" w:sz="0" w:space="0" w:color="auto"/>
        <w:right w:val="none" w:sz="0" w:space="0" w:color="auto"/>
      </w:divBdr>
    </w:div>
    <w:div w:id="1384598305">
      <w:bodyDiv w:val="1"/>
      <w:marLeft w:val="0"/>
      <w:marRight w:val="0"/>
      <w:marTop w:val="0"/>
      <w:marBottom w:val="0"/>
      <w:divBdr>
        <w:top w:val="none" w:sz="0" w:space="0" w:color="auto"/>
        <w:left w:val="none" w:sz="0" w:space="0" w:color="auto"/>
        <w:bottom w:val="none" w:sz="0" w:space="0" w:color="auto"/>
        <w:right w:val="none" w:sz="0" w:space="0" w:color="auto"/>
      </w:divBdr>
      <w:divsChild>
        <w:div w:id="823201515">
          <w:marLeft w:val="0"/>
          <w:marRight w:val="0"/>
          <w:marTop w:val="0"/>
          <w:marBottom w:val="0"/>
          <w:divBdr>
            <w:top w:val="none" w:sz="0" w:space="0" w:color="auto"/>
            <w:left w:val="none" w:sz="0" w:space="0" w:color="auto"/>
            <w:bottom w:val="none" w:sz="0" w:space="0" w:color="auto"/>
            <w:right w:val="none" w:sz="0" w:space="0" w:color="auto"/>
          </w:divBdr>
          <w:divsChild>
            <w:div w:id="142477884">
              <w:marLeft w:val="0"/>
              <w:marRight w:val="0"/>
              <w:marTop w:val="0"/>
              <w:marBottom w:val="0"/>
              <w:divBdr>
                <w:top w:val="none" w:sz="0" w:space="0" w:color="auto"/>
                <w:left w:val="none" w:sz="0" w:space="0" w:color="auto"/>
                <w:bottom w:val="none" w:sz="0" w:space="0" w:color="auto"/>
                <w:right w:val="none" w:sz="0" w:space="0" w:color="auto"/>
              </w:divBdr>
              <w:divsChild>
                <w:div w:id="1642349753">
                  <w:marLeft w:val="0"/>
                  <w:marRight w:val="0"/>
                  <w:marTop w:val="0"/>
                  <w:marBottom w:val="0"/>
                  <w:divBdr>
                    <w:top w:val="none" w:sz="0" w:space="0" w:color="auto"/>
                    <w:left w:val="none" w:sz="0" w:space="0" w:color="auto"/>
                    <w:bottom w:val="none" w:sz="0" w:space="0" w:color="auto"/>
                    <w:right w:val="none" w:sz="0" w:space="0" w:color="auto"/>
                  </w:divBdr>
                  <w:divsChild>
                    <w:div w:id="201330074">
                      <w:marLeft w:val="0"/>
                      <w:marRight w:val="0"/>
                      <w:marTop w:val="0"/>
                      <w:marBottom w:val="0"/>
                      <w:divBdr>
                        <w:top w:val="none" w:sz="0" w:space="0" w:color="auto"/>
                        <w:left w:val="none" w:sz="0" w:space="0" w:color="auto"/>
                        <w:bottom w:val="none" w:sz="0" w:space="0" w:color="auto"/>
                        <w:right w:val="none" w:sz="0" w:space="0" w:color="auto"/>
                      </w:divBdr>
                      <w:divsChild>
                        <w:div w:id="1170946256">
                          <w:marLeft w:val="0"/>
                          <w:marRight w:val="0"/>
                          <w:marTop w:val="0"/>
                          <w:marBottom w:val="0"/>
                          <w:divBdr>
                            <w:top w:val="none" w:sz="0" w:space="0" w:color="auto"/>
                            <w:left w:val="none" w:sz="0" w:space="0" w:color="auto"/>
                            <w:bottom w:val="none" w:sz="0" w:space="0" w:color="auto"/>
                            <w:right w:val="none" w:sz="0" w:space="0" w:color="auto"/>
                          </w:divBdr>
                          <w:divsChild>
                            <w:div w:id="14249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59592">
      <w:bodyDiv w:val="1"/>
      <w:marLeft w:val="0"/>
      <w:marRight w:val="0"/>
      <w:marTop w:val="0"/>
      <w:marBottom w:val="0"/>
      <w:divBdr>
        <w:top w:val="none" w:sz="0" w:space="0" w:color="auto"/>
        <w:left w:val="none" w:sz="0" w:space="0" w:color="auto"/>
        <w:bottom w:val="none" w:sz="0" w:space="0" w:color="auto"/>
        <w:right w:val="none" w:sz="0" w:space="0" w:color="auto"/>
      </w:divBdr>
    </w:div>
    <w:div w:id="1441293218">
      <w:bodyDiv w:val="1"/>
      <w:marLeft w:val="0"/>
      <w:marRight w:val="0"/>
      <w:marTop w:val="0"/>
      <w:marBottom w:val="0"/>
      <w:divBdr>
        <w:top w:val="none" w:sz="0" w:space="0" w:color="auto"/>
        <w:left w:val="none" w:sz="0" w:space="0" w:color="auto"/>
        <w:bottom w:val="none" w:sz="0" w:space="0" w:color="auto"/>
        <w:right w:val="none" w:sz="0" w:space="0" w:color="auto"/>
      </w:divBdr>
      <w:divsChild>
        <w:div w:id="299726791">
          <w:marLeft w:val="0"/>
          <w:marRight w:val="0"/>
          <w:marTop w:val="0"/>
          <w:marBottom w:val="0"/>
          <w:divBdr>
            <w:top w:val="none" w:sz="0" w:space="0" w:color="auto"/>
            <w:left w:val="none" w:sz="0" w:space="0" w:color="auto"/>
            <w:bottom w:val="none" w:sz="0" w:space="0" w:color="auto"/>
            <w:right w:val="none" w:sz="0" w:space="0" w:color="auto"/>
          </w:divBdr>
        </w:div>
        <w:div w:id="815683329">
          <w:marLeft w:val="0"/>
          <w:marRight w:val="0"/>
          <w:marTop w:val="0"/>
          <w:marBottom w:val="0"/>
          <w:divBdr>
            <w:top w:val="none" w:sz="0" w:space="0" w:color="auto"/>
            <w:left w:val="none" w:sz="0" w:space="0" w:color="auto"/>
            <w:bottom w:val="none" w:sz="0" w:space="0" w:color="auto"/>
            <w:right w:val="none" w:sz="0" w:space="0" w:color="auto"/>
          </w:divBdr>
        </w:div>
      </w:divsChild>
    </w:div>
    <w:div w:id="1461991837">
      <w:bodyDiv w:val="1"/>
      <w:marLeft w:val="0"/>
      <w:marRight w:val="0"/>
      <w:marTop w:val="0"/>
      <w:marBottom w:val="0"/>
      <w:divBdr>
        <w:top w:val="none" w:sz="0" w:space="0" w:color="auto"/>
        <w:left w:val="none" w:sz="0" w:space="0" w:color="auto"/>
        <w:bottom w:val="none" w:sz="0" w:space="0" w:color="auto"/>
        <w:right w:val="none" w:sz="0" w:space="0" w:color="auto"/>
      </w:divBdr>
    </w:div>
    <w:div w:id="1467351269">
      <w:bodyDiv w:val="1"/>
      <w:marLeft w:val="0"/>
      <w:marRight w:val="0"/>
      <w:marTop w:val="0"/>
      <w:marBottom w:val="0"/>
      <w:divBdr>
        <w:top w:val="none" w:sz="0" w:space="0" w:color="auto"/>
        <w:left w:val="none" w:sz="0" w:space="0" w:color="auto"/>
        <w:bottom w:val="none" w:sz="0" w:space="0" w:color="auto"/>
        <w:right w:val="none" w:sz="0" w:space="0" w:color="auto"/>
      </w:divBdr>
    </w:div>
    <w:div w:id="1527324687">
      <w:bodyDiv w:val="1"/>
      <w:marLeft w:val="0"/>
      <w:marRight w:val="0"/>
      <w:marTop w:val="0"/>
      <w:marBottom w:val="0"/>
      <w:divBdr>
        <w:top w:val="none" w:sz="0" w:space="0" w:color="auto"/>
        <w:left w:val="none" w:sz="0" w:space="0" w:color="auto"/>
        <w:bottom w:val="none" w:sz="0" w:space="0" w:color="auto"/>
        <w:right w:val="none" w:sz="0" w:space="0" w:color="auto"/>
      </w:divBdr>
      <w:divsChild>
        <w:div w:id="110634319">
          <w:marLeft w:val="0"/>
          <w:marRight w:val="0"/>
          <w:marTop w:val="375"/>
          <w:marBottom w:val="0"/>
          <w:divBdr>
            <w:top w:val="none" w:sz="0" w:space="0" w:color="auto"/>
            <w:left w:val="none" w:sz="0" w:space="0" w:color="auto"/>
            <w:bottom w:val="none" w:sz="0" w:space="0" w:color="auto"/>
            <w:right w:val="none" w:sz="0" w:space="0" w:color="auto"/>
          </w:divBdr>
        </w:div>
      </w:divsChild>
    </w:div>
    <w:div w:id="1612593922">
      <w:bodyDiv w:val="1"/>
      <w:marLeft w:val="0"/>
      <w:marRight w:val="0"/>
      <w:marTop w:val="0"/>
      <w:marBottom w:val="0"/>
      <w:divBdr>
        <w:top w:val="none" w:sz="0" w:space="0" w:color="auto"/>
        <w:left w:val="none" w:sz="0" w:space="0" w:color="auto"/>
        <w:bottom w:val="none" w:sz="0" w:space="0" w:color="auto"/>
        <w:right w:val="none" w:sz="0" w:space="0" w:color="auto"/>
      </w:divBdr>
    </w:div>
    <w:div w:id="1624772069">
      <w:bodyDiv w:val="1"/>
      <w:marLeft w:val="0"/>
      <w:marRight w:val="0"/>
      <w:marTop w:val="0"/>
      <w:marBottom w:val="0"/>
      <w:divBdr>
        <w:top w:val="none" w:sz="0" w:space="0" w:color="auto"/>
        <w:left w:val="none" w:sz="0" w:space="0" w:color="auto"/>
        <w:bottom w:val="none" w:sz="0" w:space="0" w:color="auto"/>
        <w:right w:val="none" w:sz="0" w:space="0" w:color="auto"/>
      </w:divBdr>
    </w:div>
    <w:div w:id="1654947720">
      <w:bodyDiv w:val="1"/>
      <w:marLeft w:val="0"/>
      <w:marRight w:val="0"/>
      <w:marTop w:val="0"/>
      <w:marBottom w:val="0"/>
      <w:divBdr>
        <w:top w:val="none" w:sz="0" w:space="0" w:color="auto"/>
        <w:left w:val="none" w:sz="0" w:space="0" w:color="auto"/>
        <w:bottom w:val="none" w:sz="0" w:space="0" w:color="auto"/>
        <w:right w:val="none" w:sz="0" w:space="0" w:color="auto"/>
      </w:divBdr>
    </w:div>
    <w:div w:id="1843353491">
      <w:bodyDiv w:val="1"/>
      <w:marLeft w:val="0"/>
      <w:marRight w:val="0"/>
      <w:marTop w:val="0"/>
      <w:marBottom w:val="0"/>
      <w:divBdr>
        <w:top w:val="none" w:sz="0" w:space="0" w:color="auto"/>
        <w:left w:val="none" w:sz="0" w:space="0" w:color="auto"/>
        <w:bottom w:val="none" w:sz="0" w:space="0" w:color="auto"/>
        <w:right w:val="none" w:sz="0" w:space="0" w:color="auto"/>
      </w:divBdr>
    </w:div>
    <w:div w:id="1849906751">
      <w:bodyDiv w:val="1"/>
      <w:marLeft w:val="0"/>
      <w:marRight w:val="0"/>
      <w:marTop w:val="0"/>
      <w:marBottom w:val="0"/>
      <w:divBdr>
        <w:top w:val="none" w:sz="0" w:space="0" w:color="auto"/>
        <w:left w:val="none" w:sz="0" w:space="0" w:color="auto"/>
        <w:bottom w:val="none" w:sz="0" w:space="0" w:color="auto"/>
        <w:right w:val="none" w:sz="0" w:space="0" w:color="auto"/>
      </w:divBdr>
    </w:div>
    <w:div w:id="1912232696">
      <w:bodyDiv w:val="1"/>
      <w:marLeft w:val="0"/>
      <w:marRight w:val="0"/>
      <w:marTop w:val="0"/>
      <w:marBottom w:val="0"/>
      <w:divBdr>
        <w:top w:val="none" w:sz="0" w:space="0" w:color="auto"/>
        <w:left w:val="none" w:sz="0" w:space="0" w:color="auto"/>
        <w:bottom w:val="none" w:sz="0" w:space="0" w:color="auto"/>
        <w:right w:val="none" w:sz="0" w:space="0" w:color="auto"/>
      </w:divBdr>
    </w:div>
    <w:div w:id="1957253918">
      <w:bodyDiv w:val="1"/>
      <w:marLeft w:val="0"/>
      <w:marRight w:val="0"/>
      <w:marTop w:val="0"/>
      <w:marBottom w:val="0"/>
      <w:divBdr>
        <w:top w:val="none" w:sz="0" w:space="0" w:color="auto"/>
        <w:left w:val="none" w:sz="0" w:space="0" w:color="auto"/>
        <w:bottom w:val="none" w:sz="0" w:space="0" w:color="auto"/>
        <w:right w:val="none" w:sz="0" w:space="0" w:color="auto"/>
      </w:divBdr>
    </w:div>
    <w:div w:id="2017924499">
      <w:bodyDiv w:val="1"/>
      <w:marLeft w:val="0"/>
      <w:marRight w:val="0"/>
      <w:marTop w:val="0"/>
      <w:marBottom w:val="0"/>
      <w:divBdr>
        <w:top w:val="none" w:sz="0" w:space="0" w:color="auto"/>
        <w:left w:val="none" w:sz="0" w:space="0" w:color="auto"/>
        <w:bottom w:val="none" w:sz="0" w:space="0" w:color="auto"/>
        <w:right w:val="none" w:sz="0" w:space="0" w:color="auto"/>
      </w:divBdr>
    </w:div>
    <w:div w:id="2119373671">
      <w:bodyDiv w:val="1"/>
      <w:marLeft w:val="0"/>
      <w:marRight w:val="0"/>
      <w:marTop w:val="0"/>
      <w:marBottom w:val="0"/>
      <w:divBdr>
        <w:top w:val="none" w:sz="0" w:space="0" w:color="auto"/>
        <w:left w:val="none" w:sz="0" w:space="0" w:color="auto"/>
        <w:bottom w:val="none" w:sz="0" w:space="0" w:color="auto"/>
        <w:right w:val="none" w:sz="0" w:space="0" w:color="auto"/>
      </w:divBdr>
    </w:div>
    <w:div w:id="2142532603">
      <w:bodyDiv w:val="1"/>
      <w:marLeft w:val="0"/>
      <w:marRight w:val="0"/>
      <w:marTop w:val="0"/>
      <w:marBottom w:val="0"/>
      <w:divBdr>
        <w:top w:val="none" w:sz="0" w:space="0" w:color="auto"/>
        <w:left w:val="none" w:sz="0" w:space="0" w:color="auto"/>
        <w:bottom w:val="none" w:sz="0" w:space="0" w:color="auto"/>
        <w:right w:val="none" w:sz="0" w:space="0" w:color="auto"/>
      </w:divBdr>
      <w:divsChild>
        <w:div w:id="157018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encp\Colin%20G\research\Gender%20Sat\revresults\Figure1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encp\Colin%20G\research\Gender%20Sat\revresults\Figure1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oling\research\Gender%20Sat\revresults\Figur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59745362520318E-2"/>
          <c:y val="2.6530034380215461E-2"/>
          <c:w val="0.86259228699786006"/>
          <c:h val="0.9267948851218677"/>
        </c:manualLayout>
      </c:layout>
      <c:lineChart>
        <c:grouping val="standard"/>
        <c:varyColors val="0"/>
        <c:ser>
          <c:idx val="0"/>
          <c:order val="0"/>
          <c:tx>
            <c:strRef>
              <c:f>'BHPS ONly'!$B$1</c:f>
              <c:strCache>
                <c:ptCount val="1"/>
                <c:pt idx="0">
                  <c:v>Female</c:v>
                </c:pt>
              </c:strCache>
            </c:strRef>
          </c:tx>
          <c:spPr>
            <a:ln>
              <a:solidFill>
                <a:schemeClr val="tx1"/>
              </a:solidFill>
            </a:ln>
          </c:spPr>
          <c:marker>
            <c:symbol val="none"/>
          </c:marker>
          <c:cat>
            <c:numRef>
              <c:f>'BHPS ONly'!$A$2:$A$26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'BHPS ONly'!$B$2:$B$26</c:f>
              <c:numCache>
                <c:formatCode>General</c:formatCode>
                <c:ptCount val="25"/>
                <c:pt idx="0">
                  <c:v>5.6303289999999997</c:v>
                </c:pt>
                <c:pt idx="1">
                  <c:v>5.6825669999999997</c:v>
                </c:pt>
                <c:pt idx="2">
                  <c:v>5.5462090000000002</c:v>
                </c:pt>
                <c:pt idx="3">
                  <c:v>5.4587209999999997</c:v>
                </c:pt>
                <c:pt idx="4">
                  <c:v>5.4127809999999998</c:v>
                </c:pt>
                <c:pt idx="5">
                  <c:v>5.4482379999999999</c:v>
                </c:pt>
                <c:pt idx="6">
                  <c:v>5.4803610000000003</c:v>
                </c:pt>
                <c:pt idx="7">
                  <c:v>5.4043609999999997</c:v>
                </c:pt>
                <c:pt idx="8">
                  <c:v>5.3829419999999999</c:v>
                </c:pt>
                <c:pt idx="9">
                  <c:v>5.4058590000000004</c:v>
                </c:pt>
                <c:pt idx="10">
                  <c:v>5.4685079999999999</c:v>
                </c:pt>
                <c:pt idx="11">
                  <c:v>5.4251040000000001</c:v>
                </c:pt>
                <c:pt idx="12">
                  <c:v>5.4297079999999998</c:v>
                </c:pt>
                <c:pt idx="13">
                  <c:v>5.487711</c:v>
                </c:pt>
                <c:pt idx="14">
                  <c:v>5.4221709999999996</c:v>
                </c:pt>
                <c:pt idx="15">
                  <c:v>5.4457829999999996</c:v>
                </c:pt>
                <c:pt idx="16">
                  <c:v>5.433535</c:v>
                </c:pt>
                <c:pt idx="17">
                  <c:v>5.4548949999999996</c:v>
                </c:pt>
                <c:pt idx="19">
                  <c:v>5.3298139999999998</c:v>
                </c:pt>
                <c:pt idx="20">
                  <c:v>5.2164710000000003</c:v>
                </c:pt>
                <c:pt idx="21">
                  <c:v>5.2268800000000004</c:v>
                </c:pt>
                <c:pt idx="22">
                  <c:v>5.1774979999999999</c:v>
                </c:pt>
                <c:pt idx="23">
                  <c:v>5.2515869999999998</c:v>
                </c:pt>
              </c:numCache>
            </c:numRef>
          </c:val>
          <c:smooth val="0"/>
          <c:extLst>
            <c:ext xmlns:c16="http://schemas.microsoft.com/office/drawing/2014/chart" uri="{C3380CC4-5D6E-409C-BE32-E72D297353CC}">
              <c16:uniqueId val="{00000000-7681-40A2-82B9-C25BB43FE782}"/>
            </c:ext>
          </c:extLst>
        </c:ser>
        <c:ser>
          <c:idx val="1"/>
          <c:order val="1"/>
          <c:tx>
            <c:strRef>
              <c:f>'BHPS ONly'!$C$1</c:f>
              <c:strCache>
                <c:ptCount val="1"/>
                <c:pt idx="0">
                  <c:v>Male</c:v>
                </c:pt>
              </c:strCache>
            </c:strRef>
          </c:tx>
          <c:spPr>
            <a:ln>
              <a:solidFill>
                <a:schemeClr val="tx1"/>
              </a:solidFill>
              <a:prstDash val="sysDash"/>
            </a:ln>
          </c:spPr>
          <c:marker>
            <c:symbol val="none"/>
          </c:marker>
          <c:cat>
            <c:numRef>
              <c:f>'BHPS ONly'!$A$2:$A$26</c:f>
              <c:numCache>
                <c:formatCode>General</c:formatCode>
                <c:ptCount val="25"/>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'BHPS ONly'!$C$2:$C$26</c:f>
              <c:numCache>
                <c:formatCode>General</c:formatCode>
                <c:ptCount val="25"/>
                <c:pt idx="0">
                  <c:v>5.230461</c:v>
                </c:pt>
                <c:pt idx="1">
                  <c:v>5.2237539999999996</c:v>
                </c:pt>
                <c:pt idx="2">
                  <c:v>5.1580719999999998</c:v>
                </c:pt>
                <c:pt idx="3">
                  <c:v>5.1036010000000003</c:v>
                </c:pt>
                <c:pt idx="4">
                  <c:v>5.1482910000000004</c:v>
                </c:pt>
                <c:pt idx="5">
                  <c:v>5.2140950000000004</c:v>
                </c:pt>
                <c:pt idx="6">
                  <c:v>5.2831450000000002</c:v>
                </c:pt>
                <c:pt idx="7">
                  <c:v>5.185816</c:v>
                </c:pt>
                <c:pt idx="8">
                  <c:v>5.1473959999999996</c:v>
                </c:pt>
                <c:pt idx="9">
                  <c:v>5.1900940000000002</c:v>
                </c:pt>
                <c:pt idx="10">
                  <c:v>5.1870900000000004</c:v>
                </c:pt>
                <c:pt idx="11">
                  <c:v>5.1919490000000001</c:v>
                </c:pt>
                <c:pt idx="12">
                  <c:v>5.1694199999999997</c:v>
                </c:pt>
                <c:pt idx="13">
                  <c:v>5.2092280000000004</c:v>
                </c:pt>
                <c:pt idx="14">
                  <c:v>5.2135689999999997</c:v>
                </c:pt>
                <c:pt idx="15">
                  <c:v>5.2171329999999996</c:v>
                </c:pt>
                <c:pt idx="16">
                  <c:v>5.3025029999999997</c:v>
                </c:pt>
                <c:pt idx="17">
                  <c:v>5.2735469999999998</c:v>
                </c:pt>
                <c:pt idx="19">
                  <c:v>5.1996070000000003</c:v>
                </c:pt>
                <c:pt idx="20">
                  <c:v>5.1299190000000001</c:v>
                </c:pt>
                <c:pt idx="21">
                  <c:v>5.1970130000000001</c:v>
                </c:pt>
                <c:pt idx="22">
                  <c:v>5.1677660000000003</c:v>
                </c:pt>
                <c:pt idx="23">
                  <c:v>5.253533</c:v>
                </c:pt>
              </c:numCache>
            </c:numRef>
          </c:val>
          <c:smooth val="0"/>
          <c:extLst>
            <c:ext xmlns:c16="http://schemas.microsoft.com/office/drawing/2014/chart" uri="{C3380CC4-5D6E-409C-BE32-E72D297353CC}">
              <c16:uniqueId val="{00000001-7681-40A2-82B9-C25BB43FE782}"/>
            </c:ext>
          </c:extLst>
        </c:ser>
        <c:dLbls>
          <c:showLegendKey val="0"/>
          <c:showVal val="0"/>
          <c:showCatName val="0"/>
          <c:showSerName val="0"/>
          <c:showPercent val="0"/>
          <c:showBubbleSize val="0"/>
        </c:dLbls>
        <c:smooth val="0"/>
        <c:axId val="472860288"/>
        <c:axId val="472860680"/>
      </c:lineChart>
      <c:catAx>
        <c:axId val="472860288"/>
        <c:scaling>
          <c:orientation val="minMax"/>
        </c:scaling>
        <c:delete val="0"/>
        <c:axPos val="b"/>
        <c:numFmt formatCode="General" sourceLinked="1"/>
        <c:majorTickMark val="out"/>
        <c:minorTickMark val="none"/>
        <c:tickLblPos val="nextTo"/>
        <c:txPr>
          <a:bodyPr rot="5400000" vert="horz" anchor="ctr" anchorCtr="1"/>
          <a:lstStyle/>
          <a:p>
            <a:pPr>
              <a:defRPr/>
            </a:pPr>
            <a:endParaRPr lang="nb-NO"/>
          </a:p>
        </c:txPr>
        <c:crossAx val="472860680"/>
        <c:crosses val="autoZero"/>
        <c:auto val="1"/>
        <c:lblAlgn val="ctr"/>
        <c:lblOffset val="100"/>
        <c:noMultiLvlLbl val="0"/>
      </c:catAx>
      <c:valAx>
        <c:axId val="472860680"/>
        <c:scaling>
          <c:orientation val="minMax"/>
        </c:scaling>
        <c:delete val="0"/>
        <c:axPos val="l"/>
        <c:majorGridlines/>
        <c:numFmt formatCode="General" sourceLinked="1"/>
        <c:majorTickMark val="out"/>
        <c:minorTickMark val="none"/>
        <c:tickLblPos val="nextTo"/>
        <c:crossAx val="4728602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'Figure 2 BHPS'!$B$1</c:f>
              <c:strCache>
                <c:ptCount val="1"/>
                <c:pt idx="0">
                  <c:v>Lower CL</c:v>
                </c:pt>
              </c:strCache>
            </c:strRef>
          </c:tx>
          <c:spPr>
            <a:ln>
              <a:solidFill>
                <a:schemeClr val="tx1"/>
              </a:solidFill>
              <a:prstDash val="sysDash"/>
            </a:ln>
          </c:spPr>
          <c:marker>
            <c:symbol val="none"/>
          </c:marker>
          <c:cat>
            <c:numRef>
              <c:f>'Figure 2 BHPS'!$A$2:$A$25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'Figure 2 BHPS'!$B$2:$B$25</c:f>
              <c:numCache>
                <c:formatCode>General</c:formatCode>
                <c:ptCount val="24"/>
                <c:pt idx="0">
                  <c:v>0.1947314</c:v>
                </c:pt>
                <c:pt idx="1">
                  <c:v>0.27759430000000002</c:v>
                </c:pt>
                <c:pt idx="2">
                  <c:v>0.22663440000000001</c:v>
                </c:pt>
                <c:pt idx="3">
                  <c:v>0.17457619999999999</c:v>
                </c:pt>
                <c:pt idx="4">
                  <c:v>9.2204900000000006E-2</c:v>
                </c:pt>
                <c:pt idx="5">
                  <c:v>1.5768999999999998E-2</c:v>
                </c:pt>
                <c:pt idx="6">
                  <c:v>1.17067E-2</c:v>
                </c:pt>
                <c:pt idx="7">
                  <c:v>6.4697400000000002E-2</c:v>
                </c:pt>
                <c:pt idx="8">
                  <c:v>4.18795E-2</c:v>
                </c:pt>
                <c:pt idx="9">
                  <c:v>6.7887000000000003E-2</c:v>
                </c:pt>
                <c:pt idx="10">
                  <c:v>0.1668946</c:v>
                </c:pt>
                <c:pt idx="11">
                  <c:v>5.0125299999999998E-2</c:v>
                </c:pt>
                <c:pt idx="12">
                  <c:v>0.11139540000000001</c:v>
                </c:pt>
                <c:pt idx="13">
                  <c:v>0.15076519999999999</c:v>
                </c:pt>
                <c:pt idx="14">
                  <c:v>6.6945900000000003E-2</c:v>
                </c:pt>
                <c:pt idx="15">
                  <c:v>-4.3572999999999997E-3</c:v>
                </c:pt>
                <c:pt idx="16">
                  <c:v>4.2094800000000002E-2</c:v>
                </c:pt>
                <c:pt idx="17">
                  <c:v>1.7439E-2</c:v>
                </c:pt>
                <c:pt idx="19">
                  <c:v>1.53324E-2</c:v>
                </c:pt>
                <c:pt idx="20">
                  <c:v>-4.34026E-2</c:v>
                </c:pt>
                <c:pt idx="21">
                  <c:v>-7.7810199999999996E-2</c:v>
                </c:pt>
                <c:pt idx="22">
                  <c:v>-0.1223561</c:v>
                </c:pt>
                <c:pt idx="23">
                  <c:v>-8.3941399999999999E-2</c:v>
                </c:pt>
              </c:numCache>
            </c:numRef>
          </c:val>
          <c:smooth val="0"/>
          <c:extLst>
            <c:ext xmlns:c16="http://schemas.microsoft.com/office/drawing/2014/chart" uri="{C3380CC4-5D6E-409C-BE32-E72D297353CC}">
              <c16:uniqueId val="{00000000-1D68-41A3-9A90-7884C9579CFE}"/>
            </c:ext>
          </c:extLst>
        </c:ser>
        <c:ser>
          <c:idx val="1"/>
          <c:order val="1"/>
          <c:tx>
            <c:strRef>
              <c:f>'Figure 2 BHPS'!$C$1</c:f>
              <c:strCache>
                <c:ptCount val="1"/>
                <c:pt idx="0">
                  <c:v>Coefficient</c:v>
                </c:pt>
              </c:strCache>
            </c:strRef>
          </c:tx>
          <c:spPr>
            <a:ln>
              <a:solidFill>
                <a:schemeClr val="tx1"/>
              </a:solidFill>
            </a:ln>
          </c:spPr>
          <c:marker>
            <c:symbol val="none"/>
          </c:marker>
          <c:cat>
            <c:numRef>
              <c:f>'Figure 2 BHPS'!$A$2:$A$25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'Figure 2 BHPS'!$C$2:$C$25</c:f>
              <c:numCache>
                <c:formatCode>General</c:formatCode>
                <c:ptCount val="24"/>
                <c:pt idx="0">
                  <c:v>0.32040000000000002</c:v>
                </c:pt>
                <c:pt idx="1">
                  <c:v>0.38954270000000002</c:v>
                </c:pt>
                <c:pt idx="2">
                  <c:v>0.34114889999999998</c:v>
                </c:pt>
                <c:pt idx="3">
                  <c:v>0.2927131</c:v>
                </c:pt>
                <c:pt idx="4">
                  <c:v>0.20828289999999999</c:v>
                </c:pt>
                <c:pt idx="5">
                  <c:v>0.12274309999999999</c:v>
                </c:pt>
                <c:pt idx="6">
                  <c:v>0.11632339999999999</c:v>
                </c:pt>
                <c:pt idx="7">
                  <c:v>0.1614738</c:v>
                </c:pt>
                <c:pt idx="8">
                  <c:v>0.1409299</c:v>
                </c:pt>
                <c:pt idx="9">
                  <c:v>0.14801310000000001</c:v>
                </c:pt>
                <c:pt idx="10">
                  <c:v>0.24523</c:v>
                </c:pt>
                <c:pt idx="11">
                  <c:v>0.13216749999999999</c:v>
                </c:pt>
                <c:pt idx="12">
                  <c:v>0.19343630000000001</c:v>
                </c:pt>
                <c:pt idx="13">
                  <c:v>0.2359446</c:v>
                </c:pt>
                <c:pt idx="14">
                  <c:v>0.1517483</c:v>
                </c:pt>
                <c:pt idx="15">
                  <c:v>0.1089466</c:v>
                </c:pt>
                <c:pt idx="16">
                  <c:v>0.1252105</c:v>
                </c:pt>
                <c:pt idx="17">
                  <c:v>9.8883799999999994E-2</c:v>
                </c:pt>
                <c:pt idx="19">
                  <c:v>0.13262499999999999</c:v>
                </c:pt>
                <c:pt idx="20">
                  <c:v>7.0885400000000001E-2</c:v>
                </c:pt>
                <c:pt idx="21">
                  <c:v>3.9330299999999999E-2</c:v>
                </c:pt>
                <c:pt idx="22">
                  <c:v>-8.5950000000000002E-4</c:v>
                </c:pt>
                <c:pt idx="23">
                  <c:v>4.5313399999999997E-2</c:v>
                </c:pt>
              </c:numCache>
            </c:numRef>
          </c:val>
          <c:smooth val="0"/>
          <c:extLst>
            <c:ext xmlns:c16="http://schemas.microsoft.com/office/drawing/2014/chart" uri="{C3380CC4-5D6E-409C-BE32-E72D297353CC}">
              <c16:uniqueId val="{00000001-1D68-41A3-9A90-7884C9579CFE}"/>
            </c:ext>
          </c:extLst>
        </c:ser>
        <c:ser>
          <c:idx val="2"/>
          <c:order val="2"/>
          <c:tx>
            <c:strRef>
              <c:f>'Figure 2 BHPS'!$D$1</c:f>
              <c:strCache>
                <c:ptCount val="1"/>
                <c:pt idx="0">
                  <c:v>Upper CL</c:v>
                </c:pt>
              </c:strCache>
            </c:strRef>
          </c:tx>
          <c:spPr>
            <a:ln>
              <a:solidFill>
                <a:schemeClr val="tx1"/>
              </a:solidFill>
              <a:prstDash val="sysDash"/>
            </a:ln>
          </c:spPr>
          <c:marker>
            <c:symbol val="none"/>
          </c:marker>
          <c:cat>
            <c:numRef>
              <c:f>'Figure 2 BHPS'!$A$2:$A$25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'Figure 2 BHPS'!$D$2:$D$25</c:f>
              <c:numCache>
                <c:formatCode>General</c:formatCode>
                <c:ptCount val="24"/>
                <c:pt idx="0">
                  <c:v>0.44623740000000001</c:v>
                </c:pt>
                <c:pt idx="1">
                  <c:v>0.50149109999999997</c:v>
                </c:pt>
                <c:pt idx="2">
                  <c:v>0.4556634</c:v>
                </c:pt>
                <c:pt idx="3">
                  <c:v>0.4108501</c:v>
                </c:pt>
                <c:pt idx="4">
                  <c:v>0.3243608</c:v>
                </c:pt>
                <c:pt idx="5">
                  <c:v>0.22971720000000001</c:v>
                </c:pt>
                <c:pt idx="6">
                  <c:v>0.22094</c:v>
                </c:pt>
                <c:pt idx="7">
                  <c:v>0.25825029999999999</c:v>
                </c:pt>
                <c:pt idx="8">
                  <c:v>0.2399802</c:v>
                </c:pt>
                <c:pt idx="9">
                  <c:v>0.22813919999999999</c:v>
                </c:pt>
                <c:pt idx="10">
                  <c:v>0.32356550000000001</c:v>
                </c:pt>
                <c:pt idx="11">
                  <c:v>0.2142096</c:v>
                </c:pt>
                <c:pt idx="12">
                  <c:v>0.27547719999999998</c:v>
                </c:pt>
                <c:pt idx="13">
                  <c:v>0.32112400000000002</c:v>
                </c:pt>
                <c:pt idx="14">
                  <c:v>0.23655080000000001</c:v>
                </c:pt>
                <c:pt idx="15">
                  <c:v>0.22225049999999999</c:v>
                </c:pt>
                <c:pt idx="16">
                  <c:v>0.20832629999999999</c:v>
                </c:pt>
                <c:pt idx="17">
                  <c:v>0.18032860000000001</c:v>
                </c:pt>
                <c:pt idx="19">
                  <c:v>0.24991759999999999</c:v>
                </c:pt>
                <c:pt idx="20">
                  <c:v>0.18517339999999999</c:v>
                </c:pt>
                <c:pt idx="21">
                  <c:v>0.1564709</c:v>
                </c:pt>
                <c:pt idx="22">
                  <c:v>0.1206371</c:v>
                </c:pt>
                <c:pt idx="23">
                  <c:v>0.1745681</c:v>
                </c:pt>
              </c:numCache>
            </c:numRef>
          </c:val>
          <c:smooth val="0"/>
          <c:extLst>
            <c:ext xmlns:c16="http://schemas.microsoft.com/office/drawing/2014/chart" uri="{C3380CC4-5D6E-409C-BE32-E72D297353CC}">
              <c16:uniqueId val="{00000002-1D68-41A3-9A90-7884C9579CFE}"/>
            </c:ext>
          </c:extLst>
        </c:ser>
        <c:dLbls>
          <c:showLegendKey val="0"/>
          <c:showVal val="0"/>
          <c:showCatName val="0"/>
          <c:showSerName val="0"/>
          <c:showPercent val="0"/>
          <c:showBubbleSize val="0"/>
        </c:dLbls>
        <c:smooth val="0"/>
        <c:axId val="708657264"/>
        <c:axId val="708657656"/>
      </c:lineChart>
      <c:catAx>
        <c:axId val="708657264"/>
        <c:scaling>
          <c:orientation val="minMax"/>
        </c:scaling>
        <c:delete val="0"/>
        <c:axPos val="b"/>
        <c:numFmt formatCode="General" sourceLinked="1"/>
        <c:majorTickMark val="out"/>
        <c:minorTickMark val="none"/>
        <c:tickLblPos val="nextTo"/>
        <c:crossAx val="708657656"/>
        <c:crosses val="autoZero"/>
        <c:auto val="1"/>
        <c:lblAlgn val="ctr"/>
        <c:lblOffset val="100"/>
        <c:noMultiLvlLbl val="0"/>
      </c:catAx>
      <c:valAx>
        <c:axId val="708657656"/>
        <c:scaling>
          <c:orientation val="minMax"/>
        </c:scaling>
        <c:delete val="0"/>
        <c:axPos val="l"/>
        <c:majorGridlines/>
        <c:numFmt formatCode="General" sourceLinked="1"/>
        <c:majorTickMark val="out"/>
        <c:minorTickMark val="none"/>
        <c:tickLblPos val="nextTo"/>
        <c:crossAx val="7086572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622877836472969E-2"/>
          <c:y val="1.9516623013260181E-2"/>
          <c:w val="0.9330930152718252"/>
          <c:h val="0.96096675397347964"/>
        </c:manualLayout>
      </c:layout>
      <c:lineChart>
        <c:grouping val="standard"/>
        <c:varyColors val="0"/>
        <c:ser>
          <c:idx val="0"/>
          <c:order val="0"/>
          <c:tx>
            <c:strRef>
              <c:f>Sheet2!$B$1</c:f>
              <c:strCache>
                <c:ptCount val="1"/>
                <c:pt idx="0">
                  <c:v>Unexplained Gender Gap</c:v>
                </c:pt>
              </c:strCache>
            </c:strRef>
          </c:tx>
          <c:spPr>
            <a:ln>
              <a:solidFill>
                <a:schemeClr val="tx1"/>
              </a:solidFill>
            </a:ln>
          </c:spPr>
          <c:marker>
            <c:symbol val="none"/>
          </c:marker>
          <c:cat>
            <c:numRef>
              <c:f>Sheet2!$A$2:$A$25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Sheet2!$B$2:$B$25</c:f>
              <c:numCache>
                <c:formatCode>General</c:formatCode>
                <c:ptCount val="24"/>
                <c:pt idx="0">
                  <c:v>0.28139999999999998</c:v>
                </c:pt>
                <c:pt idx="1">
                  <c:v>0.35</c:v>
                </c:pt>
                <c:pt idx="2">
                  <c:v>0.28799999999999998</c:v>
                </c:pt>
                <c:pt idx="3">
                  <c:v>0.25600000000000001</c:v>
                </c:pt>
                <c:pt idx="4">
                  <c:v>0.14499999999999999</c:v>
                </c:pt>
                <c:pt idx="5">
                  <c:v>3.2599999999999997E-2</c:v>
                </c:pt>
                <c:pt idx="6">
                  <c:v>5.2999999999999999E-2</c:v>
                </c:pt>
                <c:pt idx="7">
                  <c:v>0.121</c:v>
                </c:pt>
                <c:pt idx="8">
                  <c:v>8.6999999999999994E-2</c:v>
                </c:pt>
                <c:pt idx="9">
                  <c:v>0.1159</c:v>
                </c:pt>
                <c:pt idx="10">
                  <c:v>0.22600000000000001</c:v>
                </c:pt>
                <c:pt idx="11">
                  <c:v>9.1999999999999998E-2</c:v>
                </c:pt>
                <c:pt idx="12">
                  <c:v>0.15959999999999999</c:v>
                </c:pt>
                <c:pt idx="13">
                  <c:v>0.19400000000000001</c:v>
                </c:pt>
                <c:pt idx="14">
                  <c:v>0.127</c:v>
                </c:pt>
                <c:pt idx="15">
                  <c:v>0.105</c:v>
                </c:pt>
                <c:pt idx="16">
                  <c:v>9.2200000000000004E-2</c:v>
                </c:pt>
                <c:pt idx="17">
                  <c:v>7.9500000000000001E-2</c:v>
                </c:pt>
                <c:pt idx="19">
                  <c:v>0.10100000000000001</c:v>
                </c:pt>
                <c:pt idx="20">
                  <c:v>4.0000000000000001E-3</c:v>
                </c:pt>
                <c:pt idx="21">
                  <c:v>1.5975E-2</c:v>
                </c:pt>
                <c:pt idx="22">
                  <c:v>-6.9999999999999999E-4</c:v>
                </c:pt>
                <c:pt idx="23">
                  <c:v>4.7399999999999998E-2</c:v>
                </c:pt>
              </c:numCache>
            </c:numRef>
          </c:val>
          <c:smooth val="0"/>
          <c:extLst>
            <c:ext xmlns:c16="http://schemas.microsoft.com/office/drawing/2014/chart" uri="{C3380CC4-5D6E-409C-BE32-E72D297353CC}">
              <c16:uniqueId val="{00000000-621E-4358-B26B-20884AB7D60F}"/>
            </c:ext>
          </c:extLst>
        </c:ser>
        <c:ser>
          <c:idx val="1"/>
          <c:order val="1"/>
          <c:tx>
            <c:strRef>
              <c:f>Sheet2!$C$1</c:f>
              <c:strCache>
                <c:ptCount val="1"/>
                <c:pt idx="0">
                  <c:v>Unexplained Gender Gap (Self Completed Questionairre)</c:v>
                </c:pt>
              </c:strCache>
            </c:strRef>
          </c:tx>
          <c:spPr>
            <a:ln>
              <a:prstDash val="sysDash"/>
            </a:ln>
          </c:spPr>
          <c:marker>
            <c:symbol val="none"/>
          </c:marker>
          <c:cat>
            <c:numRef>
              <c:f>Sheet2!$A$2:$A$25</c:f>
              <c:numCache>
                <c:formatCode>General</c:formatCode>
                <c:ptCount val="2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numCache>
            </c:numRef>
          </c:cat>
          <c:val>
            <c:numRef>
              <c:f>Sheet2!$C$2:$C$25</c:f>
              <c:numCache>
                <c:formatCode>General</c:formatCode>
                <c:ptCount val="24"/>
                <c:pt idx="5">
                  <c:v>0.13800000000000001</c:v>
                </c:pt>
                <c:pt idx="6">
                  <c:v>0.13</c:v>
                </c:pt>
                <c:pt idx="7">
                  <c:v>0.124</c:v>
                </c:pt>
                <c:pt idx="8">
                  <c:v>0.23899999999999999</c:v>
                </c:pt>
                <c:pt idx="9">
                  <c:v>0.16700000000000001</c:v>
                </c:pt>
                <c:pt idx="11">
                  <c:v>0.17299999999999999</c:v>
                </c:pt>
                <c:pt idx="12" formatCode="#,##0.000">
                  <c:v>0.188</c:v>
                </c:pt>
                <c:pt idx="13">
                  <c:v>0.20699999999999999</c:v>
                </c:pt>
                <c:pt idx="14">
                  <c:v>0.188</c:v>
                </c:pt>
                <c:pt idx="15">
                  <c:v>0.16500000000000001</c:v>
                </c:pt>
                <c:pt idx="16">
                  <c:v>7.6999999999999999E-2</c:v>
                </c:pt>
                <c:pt idx="17">
                  <c:v>0.13200000000000001</c:v>
                </c:pt>
              </c:numCache>
            </c:numRef>
          </c:val>
          <c:smooth val="0"/>
          <c:extLst>
            <c:ext xmlns:c16="http://schemas.microsoft.com/office/drawing/2014/chart" uri="{C3380CC4-5D6E-409C-BE32-E72D297353CC}">
              <c16:uniqueId val="{00000001-621E-4358-B26B-20884AB7D60F}"/>
            </c:ext>
          </c:extLst>
        </c:ser>
        <c:dLbls>
          <c:showLegendKey val="0"/>
          <c:showVal val="0"/>
          <c:showCatName val="0"/>
          <c:showSerName val="0"/>
          <c:showPercent val="0"/>
          <c:showBubbleSize val="0"/>
        </c:dLbls>
        <c:smooth val="0"/>
        <c:axId val="108968576"/>
        <c:axId val="109105536"/>
      </c:lineChart>
      <c:catAx>
        <c:axId val="108968576"/>
        <c:scaling>
          <c:orientation val="minMax"/>
        </c:scaling>
        <c:delete val="0"/>
        <c:axPos val="b"/>
        <c:numFmt formatCode="General" sourceLinked="1"/>
        <c:majorTickMark val="out"/>
        <c:minorTickMark val="none"/>
        <c:tickLblPos val="nextTo"/>
        <c:txPr>
          <a:bodyPr rot="-5400000" vert="horz"/>
          <a:lstStyle/>
          <a:p>
            <a:pPr>
              <a:defRPr/>
            </a:pPr>
            <a:endParaRPr lang="nb-NO"/>
          </a:p>
        </c:txPr>
        <c:crossAx val="109105536"/>
        <c:crosses val="autoZero"/>
        <c:auto val="1"/>
        <c:lblAlgn val="ctr"/>
        <c:lblOffset val="100"/>
        <c:noMultiLvlLbl val="0"/>
      </c:catAx>
      <c:valAx>
        <c:axId val="109105536"/>
        <c:scaling>
          <c:orientation val="minMax"/>
        </c:scaling>
        <c:delete val="0"/>
        <c:axPos val="l"/>
        <c:majorGridlines/>
        <c:numFmt formatCode="General" sourceLinked="1"/>
        <c:majorTickMark val="out"/>
        <c:minorTickMark val="none"/>
        <c:tickLblPos val="nextTo"/>
        <c:crossAx val="108968576"/>
        <c:crosses val="autoZero"/>
        <c:crossBetween val="between"/>
      </c:valAx>
    </c:plotArea>
    <c:legend>
      <c:legendPos val="r"/>
      <c:layout>
        <c:manualLayout>
          <c:xMode val="edge"/>
          <c:yMode val="edge"/>
          <c:x val="0.46629561843214085"/>
          <c:y val="0.1324413961148839"/>
          <c:w val="0.48376221972918132"/>
          <c:h val="0.20920628116327869"/>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5FC93-3715-497B-BF13-8983917A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7813</Words>
  <Characters>41410</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simmonsr</dc:creator>
  <cp:lastModifiedBy>Colin Green</cp:lastModifiedBy>
  <cp:revision>4</cp:revision>
  <cp:lastPrinted>2017-11-14T12:56:00Z</cp:lastPrinted>
  <dcterms:created xsi:type="dcterms:W3CDTF">2017-11-15T10:03:00Z</dcterms:created>
  <dcterms:modified xsi:type="dcterms:W3CDTF">2017-11-15T11:03:00Z</dcterms:modified>
</cp:coreProperties>
</file>