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85EFE" w14:textId="4B8AE9DA" w:rsidR="00B33FFE" w:rsidRPr="0039463F" w:rsidRDefault="00612383" w:rsidP="00F4246E">
      <w:pPr>
        <w:jc w:val="center"/>
        <w:rPr>
          <w:b/>
          <w:sz w:val="24"/>
        </w:rPr>
      </w:pPr>
      <w:r w:rsidRPr="002354EC">
        <w:rPr>
          <w:b/>
          <w:sz w:val="24"/>
        </w:rPr>
        <w:t>T</w:t>
      </w:r>
      <w:r>
        <w:rPr>
          <w:b/>
          <w:sz w:val="24"/>
        </w:rPr>
        <w:t xml:space="preserve">HE </w:t>
      </w:r>
      <w:r w:rsidR="00B33FFE">
        <w:rPr>
          <w:b/>
          <w:sz w:val="24"/>
        </w:rPr>
        <w:t xml:space="preserve">ACADEMIC NON-CONSULTATION PHENOMENON </w:t>
      </w:r>
      <w:r w:rsidR="00B33FFE" w:rsidRPr="0039463F">
        <w:rPr>
          <w:b/>
          <w:sz w:val="24"/>
        </w:rPr>
        <w:t>REVISITED: A RESEARCH AGENDA</w:t>
      </w:r>
    </w:p>
    <w:p w14:paraId="7CCDC87C" w14:textId="77777777" w:rsidR="00B33FFE" w:rsidRPr="002354EC" w:rsidRDefault="00B33FFE" w:rsidP="00F4246E">
      <w:pPr>
        <w:autoSpaceDE w:val="0"/>
        <w:autoSpaceDN w:val="0"/>
        <w:adjustRightInd w:val="0"/>
        <w:spacing w:after="0" w:line="240" w:lineRule="auto"/>
        <w:rPr>
          <w:rFonts w:cstheme="minorHAnsi"/>
          <w:b/>
          <w:bCs/>
        </w:rPr>
      </w:pPr>
      <w:r w:rsidRPr="002354EC">
        <w:rPr>
          <w:rFonts w:cstheme="minorHAnsi"/>
          <w:b/>
          <w:bCs/>
        </w:rPr>
        <w:t>Abstract</w:t>
      </w:r>
    </w:p>
    <w:p w14:paraId="7D9147A9" w14:textId="77777777" w:rsidR="00B33FFE" w:rsidRPr="002354EC" w:rsidRDefault="00B33FFE" w:rsidP="00F4246E">
      <w:pPr>
        <w:autoSpaceDE w:val="0"/>
        <w:autoSpaceDN w:val="0"/>
        <w:adjustRightInd w:val="0"/>
        <w:spacing w:after="0" w:line="240" w:lineRule="auto"/>
        <w:rPr>
          <w:rFonts w:cstheme="minorHAnsi"/>
          <w:b/>
          <w:bCs/>
        </w:rPr>
      </w:pPr>
    </w:p>
    <w:p w14:paraId="49772018" w14:textId="4D2B2079" w:rsidR="00B33FFE" w:rsidRPr="006C2771" w:rsidRDefault="00B33FFE" w:rsidP="00F4246E">
      <w:pPr>
        <w:autoSpaceDE w:val="0"/>
        <w:autoSpaceDN w:val="0"/>
        <w:adjustRightInd w:val="0"/>
        <w:spacing w:after="0" w:line="240" w:lineRule="auto"/>
        <w:rPr>
          <w:rFonts w:cstheme="minorHAnsi"/>
        </w:rPr>
      </w:pPr>
      <w:r w:rsidRPr="00A031CB">
        <w:rPr>
          <w:rFonts w:cstheme="minorHAnsi"/>
          <w:b/>
          <w:bCs/>
        </w:rPr>
        <w:t xml:space="preserve">Purpose </w:t>
      </w:r>
      <w:r w:rsidRPr="00A031CB">
        <w:rPr>
          <w:rFonts w:cstheme="minorHAnsi"/>
        </w:rPr>
        <w:t xml:space="preserve">– </w:t>
      </w:r>
      <w:r w:rsidRPr="00101049">
        <w:rPr>
          <w:rFonts w:cstheme="minorHAnsi"/>
        </w:rPr>
        <w:t>The purpose of the prese</w:t>
      </w:r>
      <w:r>
        <w:rPr>
          <w:rFonts w:cstheme="minorHAnsi"/>
        </w:rPr>
        <w:t xml:space="preserve">nt article is to revive </w:t>
      </w:r>
      <w:r w:rsidR="00B871EE">
        <w:rPr>
          <w:rFonts w:cstheme="minorHAnsi"/>
        </w:rPr>
        <w:t xml:space="preserve">interest in </w:t>
      </w:r>
      <w:r>
        <w:rPr>
          <w:rFonts w:cstheme="minorHAnsi"/>
        </w:rPr>
        <w:t>the</w:t>
      </w:r>
      <w:r w:rsidR="00B871EE">
        <w:rPr>
          <w:rFonts w:cstheme="minorHAnsi"/>
        </w:rPr>
        <w:t xml:space="preserve"> question</w:t>
      </w:r>
      <w:r w:rsidR="00270607">
        <w:rPr>
          <w:rFonts w:cstheme="minorHAnsi"/>
        </w:rPr>
        <w:t>, never definitively answered,</w:t>
      </w:r>
      <w:r>
        <w:rPr>
          <w:rFonts w:cstheme="minorHAnsi"/>
        </w:rPr>
        <w:t xml:space="preserve"> </w:t>
      </w:r>
      <w:r w:rsidR="00270607">
        <w:rPr>
          <w:rFonts w:cstheme="minorHAnsi"/>
        </w:rPr>
        <w:t xml:space="preserve">that </w:t>
      </w:r>
      <w:r w:rsidR="00B871EE">
        <w:rPr>
          <w:rFonts w:cstheme="minorHAnsi"/>
        </w:rPr>
        <w:t xml:space="preserve">Stephen </w:t>
      </w:r>
      <w:r>
        <w:rPr>
          <w:rFonts w:cstheme="minorHAnsi"/>
        </w:rPr>
        <w:t>Watson</w:t>
      </w:r>
      <w:r w:rsidR="00B871EE">
        <w:rPr>
          <w:rFonts w:cstheme="minorHAnsi"/>
        </w:rPr>
        <w:t xml:space="preserve"> raised in the title of his</w:t>
      </w:r>
      <w:r>
        <w:rPr>
          <w:rFonts w:cstheme="minorHAnsi"/>
        </w:rPr>
        <w:t xml:space="preserve"> 2000 paper </w:t>
      </w:r>
      <w:r w:rsidRPr="00101049">
        <w:rPr>
          <w:rFonts w:cstheme="minorHAnsi"/>
          <w:i/>
        </w:rPr>
        <w:t>“Why is it that management academics rarely advise on their own institutions?”</w:t>
      </w:r>
      <w:r>
        <w:rPr>
          <w:rFonts w:cstheme="minorHAnsi"/>
          <w:i/>
        </w:rPr>
        <w:t xml:space="preserve"> </w:t>
      </w:r>
      <w:r w:rsidR="00270607" w:rsidRPr="002354EC">
        <w:rPr>
          <w:rFonts w:cstheme="minorHAnsi"/>
        </w:rPr>
        <w:t>We argue that f</w:t>
      </w:r>
      <w:r w:rsidR="00B871EE" w:rsidRPr="00270607">
        <w:rPr>
          <w:rFonts w:cstheme="minorHAnsi"/>
        </w:rPr>
        <w:t>inding</w:t>
      </w:r>
      <w:r w:rsidR="00B871EE">
        <w:rPr>
          <w:rFonts w:cstheme="minorHAnsi"/>
        </w:rPr>
        <w:t xml:space="preserve"> the answer</w:t>
      </w:r>
      <w:r w:rsidR="00111E77">
        <w:rPr>
          <w:rFonts w:cstheme="minorHAnsi"/>
        </w:rPr>
        <w:t xml:space="preserve"> to the question</w:t>
      </w:r>
      <w:r w:rsidR="00B871EE">
        <w:rPr>
          <w:rFonts w:cstheme="minorHAnsi"/>
        </w:rPr>
        <w:t xml:space="preserve"> </w:t>
      </w:r>
      <w:r w:rsidRPr="001A170D">
        <w:rPr>
          <w:rFonts w:cstheme="minorHAnsi"/>
        </w:rPr>
        <w:t xml:space="preserve">would not only be interesting in and of itself but could also </w:t>
      </w:r>
      <w:r w:rsidR="00B871EE">
        <w:rPr>
          <w:rFonts w:cstheme="minorHAnsi"/>
        </w:rPr>
        <w:t xml:space="preserve">lead to valuable </w:t>
      </w:r>
      <w:r w:rsidRPr="001A170D">
        <w:rPr>
          <w:rFonts w:cstheme="minorHAnsi"/>
        </w:rPr>
        <w:t>contribut</w:t>
      </w:r>
      <w:r w:rsidR="00111E77">
        <w:rPr>
          <w:rFonts w:cstheme="minorHAnsi"/>
        </w:rPr>
        <w:t>ion</w:t>
      </w:r>
      <w:r w:rsidR="00270607">
        <w:rPr>
          <w:rFonts w:cstheme="minorHAnsi"/>
        </w:rPr>
        <w:t>s</w:t>
      </w:r>
      <w:r w:rsidRPr="001A170D">
        <w:rPr>
          <w:rFonts w:cstheme="minorHAnsi"/>
        </w:rPr>
        <w:t xml:space="preserve"> to the theory of the learning organization</w:t>
      </w:r>
      <w:r w:rsidRPr="006C2771">
        <w:rPr>
          <w:rFonts w:cstheme="minorHAnsi"/>
        </w:rPr>
        <w:t>.</w:t>
      </w:r>
    </w:p>
    <w:p w14:paraId="7A1722BD" w14:textId="77777777" w:rsidR="00B33FFE" w:rsidRPr="00B5593B" w:rsidRDefault="00B33FFE" w:rsidP="00F4246E">
      <w:pPr>
        <w:autoSpaceDE w:val="0"/>
        <w:autoSpaceDN w:val="0"/>
        <w:adjustRightInd w:val="0"/>
        <w:spacing w:after="0" w:line="240" w:lineRule="auto"/>
        <w:rPr>
          <w:rFonts w:cstheme="minorHAnsi"/>
        </w:rPr>
      </w:pPr>
      <w:bookmarkStart w:id="0" w:name="_GoBack"/>
      <w:bookmarkEnd w:id="0"/>
    </w:p>
    <w:p w14:paraId="649CADAF" w14:textId="77777777" w:rsidR="00B33FFE" w:rsidRDefault="00B33FFE" w:rsidP="00F4246E">
      <w:pPr>
        <w:autoSpaceDE w:val="0"/>
        <w:autoSpaceDN w:val="0"/>
        <w:adjustRightInd w:val="0"/>
        <w:spacing w:after="0" w:line="240" w:lineRule="auto"/>
        <w:rPr>
          <w:rFonts w:cstheme="minorHAnsi"/>
        </w:rPr>
      </w:pPr>
      <w:r w:rsidRPr="00B5593B">
        <w:rPr>
          <w:rFonts w:cstheme="minorHAnsi"/>
          <w:b/>
          <w:bCs/>
        </w:rPr>
        <w:t xml:space="preserve">Design/methodology/approach </w:t>
      </w:r>
      <w:r w:rsidRPr="00B5593B">
        <w:rPr>
          <w:rFonts w:cstheme="minorHAnsi"/>
        </w:rPr>
        <w:t>–</w:t>
      </w:r>
      <w:r>
        <w:rPr>
          <w:rFonts w:cstheme="minorHAnsi"/>
        </w:rPr>
        <w:t xml:space="preserve"> </w:t>
      </w:r>
      <w:r w:rsidRPr="006C2771">
        <w:rPr>
          <w:rFonts w:cstheme="minorHAnsi"/>
        </w:rPr>
        <w:t>Taking inspiration from Watson’s original article and a new interview we made with him in 2017, we discuss the possible explanations for why management academics rarely advise on their own institutions and set out an agenda for future research.</w:t>
      </w:r>
    </w:p>
    <w:p w14:paraId="69C00AAF" w14:textId="77777777" w:rsidR="00B33FFE" w:rsidRPr="00B5593B" w:rsidRDefault="00B33FFE" w:rsidP="00F4246E">
      <w:pPr>
        <w:autoSpaceDE w:val="0"/>
        <w:autoSpaceDN w:val="0"/>
        <w:adjustRightInd w:val="0"/>
        <w:spacing w:after="0" w:line="240" w:lineRule="auto"/>
        <w:rPr>
          <w:rFonts w:cstheme="minorHAnsi"/>
        </w:rPr>
      </w:pPr>
    </w:p>
    <w:p w14:paraId="0766BBF0" w14:textId="6CFE9848" w:rsidR="00B33FFE" w:rsidRDefault="00B33FFE" w:rsidP="00F4246E">
      <w:pPr>
        <w:autoSpaceDE w:val="0"/>
        <w:autoSpaceDN w:val="0"/>
        <w:adjustRightInd w:val="0"/>
        <w:spacing w:after="0" w:line="240" w:lineRule="auto"/>
        <w:rPr>
          <w:rFonts w:cstheme="minorHAnsi"/>
        </w:rPr>
      </w:pPr>
      <w:r w:rsidRPr="00B5593B">
        <w:rPr>
          <w:rFonts w:cstheme="minorHAnsi"/>
          <w:b/>
          <w:bCs/>
        </w:rPr>
        <w:t xml:space="preserve">Findings </w:t>
      </w:r>
      <w:r w:rsidRPr="00B5593B">
        <w:rPr>
          <w:rFonts w:cstheme="minorHAnsi"/>
        </w:rPr>
        <w:t>–</w:t>
      </w:r>
      <w:r>
        <w:rPr>
          <w:rFonts w:cstheme="minorHAnsi"/>
        </w:rPr>
        <w:t xml:space="preserve"> W</w:t>
      </w:r>
      <w:r w:rsidRPr="000E6973">
        <w:rPr>
          <w:rFonts w:cstheme="minorHAnsi"/>
        </w:rPr>
        <w:t xml:space="preserve">e suggest a simple three-way categorization of the </w:t>
      </w:r>
      <w:r>
        <w:rPr>
          <w:rFonts w:cstheme="minorHAnsi"/>
        </w:rPr>
        <w:t xml:space="preserve">nine </w:t>
      </w:r>
      <w:r w:rsidRPr="000E6973">
        <w:rPr>
          <w:rFonts w:cstheme="minorHAnsi"/>
        </w:rPr>
        <w:t>hypotheses</w:t>
      </w:r>
      <w:r>
        <w:rPr>
          <w:rFonts w:cstheme="minorHAnsi"/>
        </w:rPr>
        <w:t xml:space="preserve"> </w:t>
      </w:r>
      <w:r w:rsidR="00111E77">
        <w:rPr>
          <w:rFonts w:cstheme="minorHAnsi"/>
        </w:rPr>
        <w:t>identified by</w:t>
      </w:r>
      <w:r>
        <w:rPr>
          <w:rFonts w:cstheme="minorHAnsi"/>
        </w:rPr>
        <w:t xml:space="preserve"> Watson </w:t>
      </w:r>
      <w:r w:rsidR="00111E77">
        <w:rPr>
          <w:rFonts w:cstheme="minorHAnsi"/>
        </w:rPr>
        <w:t>(2000)</w:t>
      </w:r>
      <w:r w:rsidR="009D09D2">
        <w:rPr>
          <w:rFonts w:cstheme="minorHAnsi"/>
        </w:rPr>
        <w:t>, grouping them by the themes of</w:t>
      </w:r>
      <w:r w:rsidR="00111E77">
        <w:rPr>
          <w:rFonts w:cstheme="minorHAnsi"/>
        </w:rPr>
        <w:t xml:space="preserve"> management </w:t>
      </w:r>
      <w:r w:rsidRPr="005675B8">
        <w:rPr>
          <w:rFonts w:cstheme="minorHAnsi"/>
        </w:rPr>
        <w:t xml:space="preserve">knowledge, motivation of HEI </w:t>
      </w:r>
      <w:r w:rsidR="00111DD7">
        <w:rPr>
          <w:rFonts w:cstheme="minorHAnsi"/>
        </w:rPr>
        <w:t xml:space="preserve">(higher education institution) </w:t>
      </w:r>
      <w:r w:rsidRPr="005675B8">
        <w:rPr>
          <w:rFonts w:cstheme="minorHAnsi"/>
        </w:rPr>
        <w:t>managers,</w:t>
      </w:r>
      <w:r w:rsidR="009D09D2">
        <w:rPr>
          <w:rFonts w:cstheme="minorHAnsi"/>
        </w:rPr>
        <w:t xml:space="preserve"> and</w:t>
      </w:r>
      <w:r w:rsidRPr="005675B8">
        <w:rPr>
          <w:rFonts w:cstheme="minorHAnsi"/>
        </w:rPr>
        <w:t xml:space="preserve"> incentives for academics to engage</w:t>
      </w:r>
      <w:r w:rsidR="00FD07F1">
        <w:rPr>
          <w:rFonts w:cstheme="minorHAnsi"/>
        </w:rPr>
        <w:t>. We</w:t>
      </w:r>
      <w:r w:rsidR="009D09D2">
        <w:rPr>
          <w:rFonts w:cstheme="minorHAnsi"/>
        </w:rPr>
        <w:t xml:space="preserve"> </w:t>
      </w:r>
      <w:r>
        <w:rPr>
          <w:rFonts w:cstheme="minorHAnsi"/>
        </w:rPr>
        <w:t xml:space="preserve">propose an integrated framework to illustrate how these three categories </w:t>
      </w:r>
      <w:r w:rsidR="00510E60">
        <w:rPr>
          <w:rFonts w:cstheme="minorHAnsi"/>
        </w:rPr>
        <w:t xml:space="preserve">of hypotheses </w:t>
      </w:r>
      <w:r>
        <w:rPr>
          <w:rFonts w:cstheme="minorHAnsi"/>
        </w:rPr>
        <w:t>are connected and</w:t>
      </w:r>
      <w:r w:rsidR="00111E77">
        <w:rPr>
          <w:rFonts w:cstheme="minorHAnsi"/>
        </w:rPr>
        <w:t xml:space="preserve"> </w:t>
      </w:r>
      <w:r w:rsidR="00270607">
        <w:rPr>
          <w:rFonts w:cstheme="minorHAnsi"/>
        </w:rPr>
        <w:t>can</w:t>
      </w:r>
      <w:r>
        <w:rPr>
          <w:rFonts w:cstheme="minorHAnsi"/>
        </w:rPr>
        <w:t xml:space="preserve"> jointly explain the</w:t>
      </w:r>
      <w:r w:rsidR="009D09D2">
        <w:rPr>
          <w:rFonts w:cstheme="minorHAnsi"/>
        </w:rPr>
        <w:t xml:space="preserve"> observed</w:t>
      </w:r>
      <w:r>
        <w:rPr>
          <w:rFonts w:cstheme="minorHAnsi"/>
        </w:rPr>
        <w:t xml:space="preserve"> phenomenon</w:t>
      </w:r>
      <w:r w:rsidR="00FD07F1">
        <w:rPr>
          <w:rFonts w:cstheme="minorHAnsi"/>
        </w:rPr>
        <w:t xml:space="preserve">. </w:t>
      </w:r>
      <w:r w:rsidR="00FF3DDD">
        <w:rPr>
          <w:rFonts w:cstheme="minorHAnsi"/>
        </w:rPr>
        <w:t>We provide theoretical underpinnings for the most promising hypotheses and suggest an agenda</w:t>
      </w:r>
      <w:r w:rsidRPr="005675B8">
        <w:rPr>
          <w:rFonts w:cstheme="minorHAnsi"/>
        </w:rPr>
        <w:t xml:space="preserve"> for future research</w:t>
      </w:r>
      <w:r w:rsidR="00FF3DDD">
        <w:rPr>
          <w:rFonts w:cstheme="minorHAnsi"/>
        </w:rPr>
        <w:t xml:space="preserve">, </w:t>
      </w:r>
      <w:r w:rsidR="00D5301C">
        <w:rPr>
          <w:rFonts w:cstheme="minorHAnsi"/>
        </w:rPr>
        <w:t>emphasiz</w:t>
      </w:r>
      <w:r w:rsidR="00FF3DDD">
        <w:rPr>
          <w:rFonts w:cstheme="minorHAnsi"/>
        </w:rPr>
        <w:t>ing</w:t>
      </w:r>
      <w:r w:rsidR="00D5301C">
        <w:rPr>
          <w:rFonts w:cstheme="minorHAnsi"/>
        </w:rPr>
        <w:t xml:space="preserve"> the potential</w:t>
      </w:r>
      <w:r w:rsidRPr="005675B8">
        <w:rPr>
          <w:rFonts w:cstheme="minorHAnsi"/>
        </w:rPr>
        <w:t xml:space="preserve"> of </w:t>
      </w:r>
      <w:r w:rsidR="00FD07F1">
        <w:rPr>
          <w:rFonts w:cstheme="minorHAnsi"/>
        </w:rPr>
        <w:t>such research to</w:t>
      </w:r>
      <w:r w:rsidRPr="005675B8">
        <w:rPr>
          <w:rFonts w:cstheme="minorHAnsi"/>
        </w:rPr>
        <w:t xml:space="preserve"> </w:t>
      </w:r>
      <w:r w:rsidR="00FD07F1">
        <w:rPr>
          <w:rFonts w:cstheme="minorHAnsi"/>
        </w:rPr>
        <w:t>contribute to t</w:t>
      </w:r>
      <w:r w:rsidRPr="005675B8">
        <w:rPr>
          <w:rFonts w:cstheme="minorHAnsi"/>
        </w:rPr>
        <w:t>he learning organization field</w:t>
      </w:r>
      <w:r>
        <w:rPr>
          <w:rFonts w:cstheme="minorHAnsi"/>
        </w:rPr>
        <w:t>.</w:t>
      </w:r>
    </w:p>
    <w:p w14:paraId="0B4489EF" w14:textId="77777777" w:rsidR="00B33FFE" w:rsidRPr="00B5593B" w:rsidRDefault="00B33FFE" w:rsidP="00F4246E">
      <w:pPr>
        <w:autoSpaceDE w:val="0"/>
        <w:autoSpaceDN w:val="0"/>
        <w:adjustRightInd w:val="0"/>
        <w:spacing w:after="0" w:line="240" w:lineRule="auto"/>
        <w:rPr>
          <w:rFonts w:cstheme="minorHAnsi"/>
        </w:rPr>
      </w:pPr>
    </w:p>
    <w:p w14:paraId="5F6C3B96" w14:textId="6BC74161" w:rsidR="00B33FFE" w:rsidRDefault="00B33FFE" w:rsidP="00F4246E">
      <w:pPr>
        <w:autoSpaceDE w:val="0"/>
        <w:autoSpaceDN w:val="0"/>
        <w:adjustRightInd w:val="0"/>
        <w:spacing w:after="0" w:line="240" w:lineRule="auto"/>
        <w:rPr>
          <w:rFonts w:cstheme="minorHAnsi"/>
        </w:rPr>
      </w:pPr>
      <w:r w:rsidRPr="00B5593B">
        <w:rPr>
          <w:rFonts w:cstheme="minorHAnsi"/>
          <w:b/>
          <w:bCs/>
        </w:rPr>
        <w:t xml:space="preserve">Research limitations/implications </w:t>
      </w:r>
      <w:r w:rsidRPr="00B5593B">
        <w:rPr>
          <w:rFonts w:cstheme="minorHAnsi"/>
        </w:rPr>
        <w:t xml:space="preserve">– </w:t>
      </w:r>
      <w:r>
        <w:rPr>
          <w:rFonts w:cstheme="minorHAnsi"/>
        </w:rPr>
        <w:t>T</w:t>
      </w:r>
      <w:r w:rsidRPr="008B6A8A">
        <w:rPr>
          <w:rFonts w:cstheme="minorHAnsi"/>
        </w:rPr>
        <w:t xml:space="preserve">his article should not be interpreted </w:t>
      </w:r>
      <w:r w:rsidR="00FD07F1">
        <w:rPr>
          <w:rFonts w:cstheme="minorHAnsi"/>
        </w:rPr>
        <w:t>primarily</w:t>
      </w:r>
      <w:r w:rsidRPr="008B6A8A">
        <w:rPr>
          <w:rFonts w:cstheme="minorHAnsi"/>
        </w:rPr>
        <w:t xml:space="preserve"> as an attempt to provide support for any particular hypothesis. Rather, our</w:t>
      </w:r>
      <w:r w:rsidR="00270607">
        <w:rPr>
          <w:rFonts w:cstheme="minorHAnsi"/>
        </w:rPr>
        <w:t xml:space="preserve"> principal</w:t>
      </w:r>
      <w:r w:rsidRPr="008B6A8A">
        <w:rPr>
          <w:rFonts w:cstheme="minorHAnsi"/>
        </w:rPr>
        <w:t xml:space="preserve"> aim </w:t>
      </w:r>
      <w:r w:rsidR="00FD07F1">
        <w:rPr>
          <w:rFonts w:cstheme="minorHAnsi"/>
        </w:rPr>
        <w:t>is</w:t>
      </w:r>
      <w:r w:rsidRPr="008B6A8A">
        <w:rPr>
          <w:rFonts w:cstheme="minorHAnsi"/>
        </w:rPr>
        <w:t xml:space="preserve"> to sketch out a future research agenda and inspire others to contribute empirical evidence that can help shed light on the paradox of why management academics rarely advise on their own institutions</w:t>
      </w:r>
      <w:r w:rsidRPr="00B5593B">
        <w:rPr>
          <w:rFonts w:cstheme="minorHAnsi"/>
        </w:rPr>
        <w:t>.</w:t>
      </w:r>
    </w:p>
    <w:p w14:paraId="5636D84F" w14:textId="77777777" w:rsidR="00B33FFE" w:rsidRPr="00B5593B" w:rsidRDefault="00B33FFE" w:rsidP="00F4246E">
      <w:pPr>
        <w:autoSpaceDE w:val="0"/>
        <w:autoSpaceDN w:val="0"/>
        <w:adjustRightInd w:val="0"/>
        <w:spacing w:after="0" w:line="240" w:lineRule="auto"/>
        <w:rPr>
          <w:rFonts w:cstheme="minorHAnsi"/>
        </w:rPr>
      </w:pPr>
    </w:p>
    <w:p w14:paraId="11154158" w14:textId="3F434415" w:rsidR="00B33FFE" w:rsidRDefault="00B33FFE" w:rsidP="00F4246E">
      <w:pPr>
        <w:autoSpaceDE w:val="0"/>
        <w:autoSpaceDN w:val="0"/>
        <w:adjustRightInd w:val="0"/>
        <w:spacing w:after="0" w:line="240" w:lineRule="auto"/>
        <w:rPr>
          <w:rFonts w:cstheme="minorHAnsi"/>
        </w:rPr>
      </w:pPr>
      <w:r w:rsidRPr="00B5593B">
        <w:rPr>
          <w:rFonts w:cstheme="minorHAnsi"/>
          <w:b/>
          <w:bCs/>
        </w:rPr>
        <w:t xml:space="preserve">Originality/value </w:t>
      </w:r>
      <w:r w:rsidRPr="00B5593B">
        <w:rPr>
          <w:rFonts w:cstheme="minorHAnsi"/>
        </w:rPr>
        <w:t xml:space="preserve">– </w:t>
      </w:r>
      <w:r w:rsidRPr="008B6A8A">
        <w:rPr>
          <w:rFonts w:cstheme="minorHAnsi"/>
        </w:rPr>
        <w:t xml:space="preserve">The theoretical contribution of this article is to revive the important research topic of </w:t>
      </w:r>
      <w:r>
        <w:rPr>
          <w:rFonts w:cstheme="minorHAnsi"/>
        </w:rPr>
        <w:t>“</w:t>
      </w:r>
      <w:r w:rsidRPr="008B6A8A">
        <w:rPr>
          <w:rFonts w:cstheme="minorHAnsi"/>
        </w:rPr>
        <w:t>why management academics do not seem to be widely engaged in advising university managers</w:t>
      </w:r>
      <w:r>
        <w:rPr>
          <w:rFonts w:cstheme="minorHAnsi"/>
        </w:rPr>
        <w:t>”</w:t>
      </w:r>
      <w:r w:rsidRPr="008B6A8A">
        <w:rPr>
          <w:rFonts w:cstheme="minorHAnsi"/>
        </w:rPr>
        <w:t xml:space="preserve"> (Watson, 2000, p. 99) and to introduce a research agenda that can help realize the potential contribution of this topic to the learning organization literature. The practical contribution is to re-address the difficulties of HEIs in becoming full-fledged “learning organizations” and to suggest that HEI managers re-examine the possibilities for using hitherto untapped internal expertise.</w:t>
      </w:r>
    </w:p>
    <w:p w14:paraId="77787CFF" w14:textId="77777777" w:rsidR="00B33FFE" w:rsidRPr="00B5593B" w:rsidRDefault="00B33FFE" w:rsidP="00F4246E">
      <w:pPr>
        <w:autoSpaceDE w:val="0"/>
        <w:autoSpaceDN w:val="0"/>
        <w:adjustRightInd w:val="0"/>
        <w:spacing w:after="0" w:line="240" w:lineRule="auto"/>
        <w:rPr>
          <w:rFonts w:cstheme="minorHAnsi"/>
        </w:rPr>
      </w:pPr>
    </w:p>
    <w:p w14:paraId="64602D08" w14:textId="06123026" w:rsidR="00B33FFE" w:rsidRDefault="0012217D" w:rsidP="00F4246E">
      <w:pPr>
        <w:rPr>
          <w:sz w:val="24"/>
        </w:rPr>
      </w:pPr>
      <w:r>
        <w:rPr>
          <w:sz w:val="24"/>
        </w:rPr>
        <w:t>---------</w:t>
      </w:r>
    </w:p>
    <w:p w14:paraId="02CDCC98" w14:textId="0BA000CD" w:rsidR="0012217D" w:rsidRPr="0012217D" w:rsidRDefault="0012217D" w:rsidP="00F4246E">
      <w:pPr>
        <w:rPr>
          <w:b/>
          <w:sz w:val="24"/>
        </w:rPr>
      </w:pPr>
      <w:r w:rsidRPr="0012217D">
        <w:rPr>
          <w:b/>
          <w:sz w:val="24"/>
        </w:rPr>
        <w:t>Article:</w:t>
      </w:r>
    </w:p>
    <w:p w14:paraId="58AC8969" w14:textId="77777777" w:rsidR="00B33FFE" w:rsidRPr="0039463F" w:rsidRDefault="00B33FFE" w:rsidP="00F4246E">
      <w:pPr>
        <w:rPr>
          <w:sz w:val="24"/>
        </w:rPr>
      </w:pPr>
      <w:r w:rsidRPr="0039463F">
        <w:rPr>
          <w:sz w:val="24"/>
        </w:rPr>
        <w:t xml:space="preserve">In 2000, Stephen R. Watson published the article </w:t>
      </w:r>
      <w:r w:rsidRPr="0039463F">
        <w:rPr>
          <w:i/>
          <w:sz w:val="24"/>
        </w:rPr>
        <w:t>“Why is it that management academics rarely advise on their own institutions?”</w:t>
      </w:r>
      <w:r w:rsidRPr="0039463F">
        <w:rPr>
          <w:sz w:val="24"/>
        </w:rPr>
        <w:t xml:space="preserve"> in which he proposed various hypotheses to help answer the question posed in the article’s title, while leaving empirical testing for future research. 17 years later, little progress appears to have been made in solving the puzzle of why management academics rarely play a role in advising the managers of their own institutions.</w:t>
      </w:r>
      <w:r>
        <w:rPr>
          <w:sz w:val="24"/>
        </w:rPr>
        <w:t xml:space="preserve"> </w:t>
      </w:r>
      <w:r w:rsidRPr="0039463F">
        <w:rPr>
          <w:sz w:val="24"/>
        </w:rPr>
        <w:t xml:space="preserve">The purpose of the present article is to revive this debate. Solving the puzzle would not only be interesting in </w:t>
      </w:r>
      <w:r>
        <w:rPr>
          <w:sz w:val="24"/>
        </w:rPr>
        <w:t xml:space="preserve">and of </w:t>
      </w:r>
      <w:r w:rsidRPr="0039463F">
        <w:rPr>
          <w:sz w:val="24"/>
        </w:rPr>
        <w:t>itself but could also</w:t>
      </w:r>
      <w:r>
        <w:rPr>
          <w:sz w:val="24"/>
        </w:rPr>
        <w:t xml:space="preserve"> contribute to</w:t>
      </w:r>
      <w:r w:rsidRPr="0039463F">
        <w:rPr>
          <w:sz w:val="24"/>
        </w:rPr>
        <w:t xml:space="preserve"> the theory of the learning organization.</w:t>
      </w:r>
      <w:r>
        <w:rPr>
          <w:sz w:val="24"/>
        </w:rPr>
        <w:t xml:space="preserve"> </w:t>
      </w:r>
      <w:r w:rsidRPr="0039463F">
        <w:rPr>
          <w:sz w:val="24"/>
        </w:rPr>
        <w:t>Taking inspiration from Watson’s original article and a new interview we made with him in 2017, we</w:t>
      </w:r>
      <w:r>
        <w:rPr>
          <w:sz w:val="24"/>
        </w:rPr>
        <w:t xml:space="preserve"> discuss the possible explanations for</w:t>
      </w:r>
      <w:r w:rsidRPr="0039463F">
        <w:rPr>
          <w:sz w:val="24"/>
        </w:rPr>
        <w:t xml:space="preserve"> </w:t>
      </w:r>
      <w:r>
        <w:rPr>
          <w:sz w:val="24"/>
        </w:rPr>
        <w:t xml:space="preserve">why management academics rarely advise on their own institutions and </w:t>
      </w:r>
      <w:r w:rsidRPr="0039463F">
        <w:rPr>
          <w:sz w:val="24"/>
        </w:rPr>
        <w:t>set out a</w:t>
      </w:r>
      <w:r>
        <w:rPr>
          <w:sz w:val="24"/>
        </w:rPr>
        <w:t>n agenda for future research.</w:t>
      </w:r>
    </w:p>
    <w:p w14:paraId="6BBC56CB" w14:textId="77777777" w:rsidR="00B33FFE" w:rsidRPr="0039463F" w:rsidRDefault="00B33FFE" w:rsidP="00F4246E">
      <w:pPr>
        <w:rPr>
          <w:sz w:val="24"/>
        </w:rPr>
      </w:pPr>
      <w:r w:rsidRPr="0039463F">
        <w:rPr>
          <w:b/>
          <w:sz w:val="24"/>
        </w:rPr>
        <w:lastRenderedPageBreak/>
        <w:t>INTRODUCTION</w:t>
      </w:r>
    </w:p>
    <w:p w14:paraId="335A90EC" w14:textId="77777777" w:rsidR="00B33FFE" w:rsidRPr="0039463F" w:rsidRDefault="00B33FFE" w:rsidP="00F4246E">
      <w:pPr>
        <w:rPr>
          <w:sz w:val="24"/>
        </w:rPr>
      </w:pPr>
      <w:r w:rsidRPr="0039463F">
        <w:rPr>
          <w:sz w:val="24"/>
        </w:rPr>
        <w:t>There is no compelling reason to believe that higher education institutions (HEI) should be easier to manage than most organizations. On the contrary, managing HEIs can pose daunting challenges: HEI leaders must steer their institution along a path of financial viability while faced with ever-changing political and cultural attitudes towards education, and while overseeing a staff of independent-minded academics with a sometimes lackluster enthusiasm for implementing orders from above.</w:t>
      </w:r>
    </w:p>
    <w:p w14:paraId="34768C38" w14:textId="77777777" w:rsidR="00B33FFE" w:rsidRPr="0039463F" w:rsidRDefault="00B33FFE" w:rsidP="00F4246E">
      <w:pPr>
        <w:rPr>
          <w:sz w:val="24"/>
        </w:rPr>
      </w:pPr>
      <w:r w:rsidRPr="0039463F">
        <w:rPr>
          <w:sz w:val="24"/>
        </w:rPr>
        <w:t>Fortunately, leaders of business schools and their parent universities appear to have an ace up their sleeve: access to in-house expert advice. Whenever they grapple with intractable decision problems, such leaders can at least turn to the management professors in their own faculty for fresh ideas, perspectives, and strategies.</w:t>
      </w:r>
    </w:p>
    <w:p w14:paraId="42EE1C0E" w14:textId="77777777" w:rsidR="00B33FFE" w:rsidRPr="0039463F" w:rsidRDefault="00B33FFE" w:rsidP="00F4246E">
      <w:pPr>
        <w:rPr>
          <w:sz w:val="24"/>
        </w:rPr>
      </w:pPr>
      <w:r w:rsidRPr="0039463F">
        <w:rPr>
          <w:sz w:val="24"/>
        </w:rPr>
        <w:t xml:space="preserve">Except that they don’t. In his self-explanatorily titled, informally written article </w:t>
      </w:r>
      <w:r w:rsidRPr="0039463F">
        <w:rPr>
          <w:i/>
          <w:sz w:val="24"/>
        </w:rPr>
        <w:t xml:space="preserve">“Why is it that management academics rarely advise on their own institutions?” </w:t>
      </w:r>
      <w:r>
        <w:rPr>
          <w:noProof/>
          <w:sz w:val="24"/>
        </w:rPr>
        <w:t>(2000)</w:t>
      </w:r>
      <w:r w:rsidRPr="0039463F">
        <w:rPr>
          <w:sz w:val="24"/>
        </w:rPr>
        <w:t>, Stephen R. Watson, who had served as dean of several business schools in the United Kingdom, expressed his puzzlement at this apparent waste of opportunity on the part of business school leaders, which he had observed over the course of a long academic career. The objective of his article was to raise awareness of the question and suggest some tentative answers. But Watson, now retired, has not seen evidence that much has changed in the meantime and believes the question is as relevant as ever, according to an interview we made with him in 2017.</w:t>
      </w:r>
    </w:p>
    <w:p w14:paraId="43B72B83" w14:textId="77777777" w:rsidR="00B33FFE" w:rsidRPr="0039463F" w:rsidRDefault="00B33FFE" w:rsidP="00F4246E">
      <w:pPr>
        <w:rPr>
          <w:sz w:val="24"/>
        </w:rPr>
      </w:pPr>
      <w:r w:rsidRPr="0039463F">
        <w:rPr>
          <w:sz w:val="24"/>
        </w:rPr>
        <w:t xml:space="preserve">In this paper we aim to breathe new life into the debate by several means. First, we supplement Watson’s original article with his own up-to-date reflections from 2017. Second, we define a framework in which to fit Watson’s original list of loosely structured hypotheses, facilitating systematic future research on the reasons for the lack of in-house consulting activity in HEIs. Third, we strengthen the theoretical underpinnings of some of the hypotheses by linking them to relevant contemporary theory. Fourth, we argue that solving the wasted-opportunity puzzle can contribute important insights to the field of organizational learning. </w:t>
      </w:r>
    </w:p>
    <w:p w14:paraId="650D260A" w14:textId="12979D84" w:rsidR="00B33FFE" w:rsidRDefault="00B33FFE" w:rsidP="00F4246E">
      <w:pPr>
        <w:rPr>
          <w:sz w:val="24"/>
        </w:rPr>
      </w:pPr>
      <w:r w:rsidRPr="0039463F">
        <w:rPr>
          <w:sz w:val="24"/>
        </w:rPr>
        <w:t xml:space="preserve">The structure of this paper is as follows. We start by revisiting the original nine hypotheses from Watson’s (2000) article </w:t>
      </w:r>
      <w:r w:rsidRPr="0039463F">
        <w:rPr>
          <w:i/>
          <w:sz w:val="24"/>
        </w:rPr>
        <w:t xml:space="preserve">“Why is it that management academics rarely advise on their own institutions?” </w:t>
      </w:r>
      <w:r w:rsidRPr="0039463F">
        <w:rPr>
          <w:sz w:val="24"/>
        </w:rPr>
        <w:t>and summarizing Watson’s up-to-</w:t>
      </w:r>
      <w:r>
        <w:rPr>
          <w:sz w:val="24"/>
        </w:rPr>
        <w:t xml:space="preserve">date </w:t>
      </w:r>
      <w:r w:rsidRPr="0039463F">
        <w:rPr>
          <w:sz w:val="24"/>
        </w:rPr>
        <w:t xml:space="preserve">reflections with 17 years of hindsight on the three hypotheses (Hypotheses 7, 8, and 9) which “would seem to have greater explanatory power than others” (Watson, 2000, p. 99). Then we connect the article to learning organization theory in the context of HEIs to explain why Watson’s research question is both interesting and important to the development of this field. Next, we propose a framework that categorizes the original nine hypotheses into groups and suggest a research agenda based on this framework. We close with a conclusion and </w:t>
      </w:r>
      <w:r>
        <w:rPr>
          <w:sz w:val="24"/>
        </w:rPr>
        <w:t xml:space="preserve">a discussion of </w:t>
      </w:r>
      <w:r w:rsidRPr="0039463F">
        <w:rPr>
          <w:sz w:val="24"/>
        </w:rPr>
        <w:t>implications for theory</w:t>
      </w:r>
      <w:r>
        <w:rPr>
          <w:sz w:val="24"/>
        </w:rPr>
        <w:t xml:space="preserve"> and</w:t>
      </w:r>
      <w:r w:rsidRPr="0039463F">
        <w:rPr>
          <w:sz w:val="24"/>
        </w:rPr>
        <w:t xml:space="preserve"> practice.</w:t>
      </w:r>
    </w:p>
    <w:p w14:paraId="7C55A04A" w14:textId="77777777" w:rsidR="00B33FFE" w:rsidRPr="0039463F" w:rsidRDefault="00B33FFE" w:rsidP="00F4246E">
      <w:pPr>
        <w:rPr>
          <w:b/>
          <w:sz w:val="24"/>
        </w:rPr>
      </w:pPr>
      <w:r w:rsidRPr="0039463F">
        <w:rPr>
          <w:b/>
          <w:sz w:val="24"/>
        </w:rPr>
        <w:lastRenderedPageBreak/>
        <w:t>WATSON’S ORIGINAL HYPOTHESES AND HIS REFLECTIONS, 17 YEARS ON</w:t>
      </w:r>
    </w:p>
    <w:p w14:paraId="7BF33F2D" w14:textId="77777777" w:rsidR="00B33FFE" w:rsidRPr="0039463F" w:rsidRDefault="00B33FFE" w:rsidP="00F4246E">
      <w:pPr>
        <w:rPr>
          <w:sz w:val="24"/>
        </w:rPr>
      </w:pPr>
      <w:r w:rsidRPr="0039463F">
        <w:rPr>
          <w:sz w:val="24"/>
        </w:rPr>
        <w:t xml:space="preserve">In his 2000 article, Watson lists nine hypotheses, selected for their intuitive, theoretical, or </w:t>
      </w:r>
      <w:r>
        <w:rPr>
          <w:sz w:val="24"/>
        </w:rPr>
        <w:t>other</w:t>
      </w:r>
      <w:r w:rsidRPr="0039463F">
        <w:rPr>
          <w:sz w:val="24"/>
        </w:rPr>
        <w:t xml:space="preserve"> appeal, which might potentially explain the surprising phenomenon that “so little use of internal management experts takes place in universities” (p. 94). Discussing each hypothesis in turn, he downplays the first six as unconvincing or, at best, insufficient as a general explanation of the paradox, either on logical grounds or because these hypotheses are inconsistent with his empirical observations. But he emphasizes that each manifestation of the wasted-opportunity paradox needs to be explained individually, and that more than one factor might be at work in any given case.</w:t>
      </w:r>
    </w:p>
    <w:p w14:paraId="3DCB8AC6" w14:textId="77777777" w:rsidR="00B33FFE" w:rsidRPr="0039463F" w:rsidRDefault="00B33FFE" w:rsidP="00F4246E">
      <w:pPr>
        <w:rPr>
          <w:sz w:val="24"/>
        </w:rPr>
      </w:pPr>
      <w:r w:rsidRPr="0039463F">
        <w:rPr>
          <w:sz w:val="24"/>
        </w:rPr>
        <w:t>The nine hypotheses in Watson (2000) are:</w:t>
      </w:r>
    </w:p>
    <w:p w14:paraId="44979749"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1: </w:t>
      </w:r>
      <w:r w:rsidRPr="0039463F">
        <w:rPr>
          <w:sz w:val="24"/>
        </w:rPr>
        <w:t>There are limits to the knowledge base of any one management academic.</w:t>
      </w:r>
      <w:r>
        <w:rPr>
          <w:sz w:val="24"/>
        </w:rPr>
        <w:t>” (p. 91)</w:t>
      </w:r>
    </w:p>
    <w:p w14:paraId="06939EB2"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2: </w:t>
      </w:r>
      <w:r w:rsidRPr="0039463F">
        <w:rPr>
          <w:sz w:val="24"/>
        </w:rPr>
        <w:t>Most knowledge about management has been derived from the private sector, and so it is not applicable to universities.</w:t>
      </w:r>
      <w:r>
        <w:rPr>
          <w:sz w:val="24"/>
        </w:rPr>
        <w:t>” (p. 92)</w:t>
      </w:r>
    </w:p>
    <w:p w14:paraId="683BB79A" w14:textId="77777777" w:rsidR="00B33FFE" w:rsidRPr="0039463F" w:rsidRDefault="00B33FFE" w:rsidP="00F4246E">
      <w:pPr>
        <w:tabs>
          <w:tab w:val="left" w:pos="9639"/>
        </w:tabs>
        <w:spacing w:line="240" w:lineRule="auto"/>
        <w:ind w:left="720" w:right="720"/>
        <w:jc w:val="both"/>
        <w:rPr>
          <w:sz w:val="24"/>
        </w:rPr>
      </w:pPr>
      <w:r>
        <w:rPr>
          <w:i/>
          <w:iCs/>
          <w:sz w:val="24"/>
        </w:rPr>
        <w:t>“</w:t>
      </w:r>
      <w:r w:rsidRPr="0039463F">
        <w:rPr>
          <w:i/>
          <w:iCs/>
          <w:sz w:val="24"/>
        </w:rPr>
        <w:t xml:space="preserve">Hypothesis 3: </w:t>
      </w:r>
      <w:r w:rsidRPr="0039463F">
        <w:rPr>
          <w:sz w:val="24"/>
        </w:rPr>
        <w:t>To know about management does no</w:t>
      </w:r>
      <w:r>
        <w:rPr>
          <w:sz w:val="24"/>
        </w:rPr>
        <w:t>t entail an ability to practice m</w:t>
      </w:r>
      <w:r w:rsidRPr="0039463F">
        <w:rPr>
          <w:sz w:val="24"/>
        </w:rPr>
        <w:t>anagement; so management academics should not necessarily be expected to be able to manage well.</w:t>
      </w:r>
      <w:r>
        <w:rPr>
          <w:sz w:val="24"/>
        </w:rPr>
        <w:t>” (p. 93)</w:t>
      </w:r>
    </w:p>
    <w:p w14:paraId="55FF7DD7"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4: </w:t>
      </w:r>
      <w:r w:rsidRPr="0039463F">
        <w:rPr>
          <w:sz w:val="24"/>
        </w:rPr>
        <w:t>Analysing an organization in which the analyst works is much more difficult than a</w:t>
      </w:r>
      <w:r>
        <w:rPr>
          <w:sz w:val="24"/>
        </w:rPr>
        <w:t xml:space="preserve">nalysing any other organization.” (p. 94) </w:t>
      </w:r>
    </w:p>
    <w:p w14:paraId="458B745A"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5: </w:t>
      </w:r>
      <w:r w:rsidRPr="0039463F">
        <w:rPr>
          <w:sz w:val="24"/>
        </w:rPr>
        <w:t>Management prescriptions very rarely work anyway and so are not likely to be useful in higher education.</w:t>
      </w:r>
      <w:r>
        <w:rPr>
          <w:sz w:val="24"/>
        </w:rPr>
        <w:t>” (p. 94)</w:t>
      </w:r>
    </w:p>
    <w:p w14:paraId="11FB72F8"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6: </w:t>
      </w:r>
      <w:r w:rsidRPr="0039463F">
        <w:rPr>
          <w:sz w:val="24"/>
        </w:rPr>
        <w:t>Management theories affect practice implicitly rather than explicitly, and thus cannot be conveyed by simple advice.</w:t>
      </w:r>
      <w:r>
        <w:rPr>
          <w:sz w:val="24"/>
        </w:rPr>
        <w:t>” (p. 95)</w:t>
      </w:r>
    </w:p>
    <w:p w14:paraId="76765880" w14:textId="77777777"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7: </w:t>
      </w:r>
      <w:r w:rsidRPr="0039463F">
        <w:rPr>
          <w:sz w:val="24"/>
        </w:rPr>
        <w:t>Higher education managers are unwilling to seek advice.</w:t>
      </w:r>
      <w:r>
        <w:rPr>
          <w:sz w:val="24"/>
        </w:rPr>
        <w:t>” (p. 96)</w:t>
      </w:r>
    </w:p>
    <w:p w14:paraId="352E207C" w14:textId="77777777" w:rsidR="00B33FFE" w:rsidRPr="002354EC" w:rsidRDefault="00B33FFE" w:rsidP="002354EC">
      <w:pPr>
        <w:tabs>
          <w:tab w:val="left" w:pos="9639"/>
        </w:tabs>
        <w:ind w:left="720" w:right="720"/>
        <w:jc w:val="both"/>
        <w:rPr>
          <w:iCs/>
          <w:sz w:val="24"/>
        </w:rPr>
      </w:pPr>
      <w:r>
        <w:rPr>
          <w:i/>
          <w:iCs/>
          <w:sz w:val="24"/>
        </w:rPr>
        <w:t>“</w:t>
      </w:r>
      <w:r w:rsidRPr="0039463F">
        <w:rPr>
          <w:i/>
          <w:iCs/>
          <w:sz w:val="24"/>
        </w:rPr>
        <w:t xml:space="preserve">Hypothesis 8: </w:t>
      </w:r>
      <w:r w:rsidRPr="009335CF">
        <w:rPr>
          <w:iCs/>
          <w:sz w:val="24"/>
        </w:rPr>
        <w:t>It is difficult for university managers to believe that their own academics could be adequate advisers.” (p. 97)</w:t>
      </w:r>
    </w:p>
    <w:p w14:paraId="45A103CC" w14:textId="7660DC20" w:rsidR="00B33FFE" w:rsidRPr="0039463F" w:rsidRDefault="00B33FFE" w:rsidP="00F4246E">
      <w:pPr>
        <w:tabs>
          <w:tab w:val="left" w:pos="9639"/>
        </w:tabs>
        <w:ind w:left="720" w:right="720"/>
        <w:jc w:val="both"/>
        <w:rPr>
          <w:sz w:val="24"/>
        </w:rPr>
      </w:pPr>
      <w:r>
        <w:rPr>
          <w:i/>
          <w:iCs/>
          <w:sz w:val="24"/>
        </w:rPr>
        <w:t>“</w:t>
      </w:r>
      <w:r w:rsidRPr="0039463F">
        <w:rPr>
          <w:i/>
          <w:iCs/>
          <w:sz w:val="24"/>
        </w:rPr>
        <w:t xml:space="preserve">Hypothesis 9: </w:t>
      </w:r>
      <w:r w:rsidRPr="0039463F">
        <w:rPr>
          <w:sz w:val="24"/>
        </w:rPr>
        <w:t>There are few incentives and several disincentives for a management academic to be involved in advising the managers of his own institution.</w:t>
      </w:r>
      <w:r>
        <w:rPr>
          <w:sz w:val="24"/>
        </w:rPr>
        <w:t>”</w:t>
      </w:r>
      <w:r w:rsidRPr="0039463F">
        <w:rPr>
          <w:sz w:val="24"/>
        </w:rPr>
        <w:t xml:space="preserve"> (</w:t>
      </w:r>
      <w:r>
        <w:rPr>
          <w:sz w:val="24"/>
        </w:rPr>
        <w:t xml:space="preserve">p. </w:t>
      </w:r>
      <w:r w:rsidRPr="0039463F">
        <w:rPr>
          <w:sz w:val="24"/>
        </w:rPr>
        <w:t>97)</w:t>
      </w:r>
    </w:p>
    <w:p w14:paraId="4D1B7F47" w14:textId="77777777" w:rsidR="00B33FFE" w:rsidRPr="0039463F" w:rsidRDefault="00B33FFE" w:rsidP="00F4246E">
      <w:pPr>
        <w:rPr>
          <w:sz w:val="24"/>
        </w:rPr>
      </w:pPr>
      <w:r w:rsidRPr="0039463F">
        <w:rPr>
          <w:sz w:val="24"/>
        </w:rPr>
        <w:t>Table 1 summarizes the rationale for each hypothesis and its likely explanatory power according to Watson</w:t>
      </w:r>
      <w:r>
        <w:rPr>
          <w:sz w:val="24"/>
        </w:rPr>
        <w:t>’s 2000 article</w:t>
      </w:r>
      <w:r w:rsidRPr="0039463F">
        <w:rPr>
          <w:sz w:val="24"/>
        </w:rPr>
        <w:t xml:space="preserve">. Readers are referred to the original article for Watson’s detailed reflections on each hypothesis. At present it suffices to say that </w:t>
      </w:r>
      <w:r>
        <w:rPr>
          <w:sz w:val="24"/>
        </w:rPr>
        <w:t>Watson gives</w:t>
      </w:r>
      <w:r w:rsidRPr="0039463F">
        <w:rPr>
          <w:sz w:val="24"/>
        </w:rPr>
        <w:t xml:space="preserve"> the most credence to Hypotheses 7, 8, and 9</w:t>
      </w:r>
      <w:r>
        <w:rPr>
          <w:sz w:val="24"/>
        </w:rPr>
        <w:t>. While there might also be some truth to the</w:t>
      </w:r>
      <w:r w:rsidRPr="0039463F">
        <w:rPr>
          <w:sz w:val="24"/>
        </w:rPr>
        <w:t xml:space="preserve"> other six hypotheses</w:t>
      </w:r>
      <w:r>
        <w:rPr>
          <w:sz w:val="24"/>
        </w:rPr>
        <w:t>, they</w:t>
      </w:r>
      <w:r w:rsidRPr="0039463F">
        <w:rPr>
          <w:sz w:val="24"/>
        </w:rPr>
        <w:t xml:space="preserve"> do not “provide a satisfactory explanation for the observation that </w:t>
      </w:r>
      <w:r w:rsidRPr="0039463F">
        <w:rPr>
          <w:sz w:val="24"/>
        </w:rPr>
        <w:lastRenderedPageBreak/>
        <w:t>management academics are rarely used as management advisers in their own universities” (Watson, 2000, p. 96).</w:t>
      </w:r>
    </w:p>
    <w:p w14:paraId="32EE9C4A" w14:textId="77777777" w:rsidR="00B33FFE" w:rsidRPr="0039463F" w:rsidRDefault="00B33FFE" w:rsidP="00F4246E">
      <w:pPr>
        <w:jc w:val="center"/>
        <w:rPr>
          <w:b/>
          <w:sz w:val="24"/>
        </w:rPr>
      </w:pPr>
      <w:r w:rsidRPr="0039463F">
        <w:rPr>
          <w:b/>
          <w:sz w:val="24"/>
        </w:rPr>
        <w:t xml:space="preserve">Table 1. Summary of Watson’s </w:t>
      </w:r>
      <w:r>
        <w:rPr>
          <w:b/>
          <w:sz w:val="24"/>
        </w:rPr>
        <w:t xml:space="preserve">(2000) </w:t>
      </w:r>
      <w:r w:rsidRPr="0039463F">
        <w:rPr>
          <w:b/>
          <w:sz w:val="24"/>
        </w:rPr>
        <w:t>nine hypotheses</w:t>
      </w:r>
    </w:p>
    <w:tbl>
      <w:tblPr>
        <w:tblStyle w:val="Tabellrutenett"/>
        <w:tblW w:w="9627" w:type="dxa"/>
        <w:tblLook w:val="04A0" w:firstRow="1" w:lastRow="0" w:firstColumn="1" w:lastColumn="0" w:noHBand="0" w:noVBand="1"/>
      </w:tblPr>
      <w:tblGrid>
        <w:gridCol w:w="2830"/>
        <w:gridCol w:w="2265"/>
        <w:gridCol w:w="994"/>
        <w:gridCol w:w="3538"/>
      </w:tblGrid>
      <w:tr w:rsidR="00B33FFE" w:rsidRPr="0012217D" w14:paraId="4C95D58E" w14:textId="77777777" w:rsidTr="00F4246E">
        <w:tc>
          <w:tcPr>
            <w:tcW w:w="2830" w:type="dxa"/>
          </w:tcPr>
          <w:p w14:paraId="06EE8007" w14:textId="77777777" w:rsidR="00B33FFE" w:rsidRPr="0012217D" w:rsidRDefault="00B33FFE" w:rsidP="00F4246E">
            <w:pPr>
              <w:jc w:val="center"/>
              <w:rPr>
                <w:b/>
              </w:rPr>
            </w:pPr>
            <w:r w:rsidRPr="0012217D">
              <w:rPr>
                <w:b/>
              </w:rPr>
              <w:t>Hypothesis</w:t>
            </w:r>
          </w:p>
        </w:tc>
        <w:tc>
          <w:tcPr>
            <w:tcW w:w="2265" w:type="dxa"/>
          </w:tcPr>
          <w:p w14:paraId="06B2486A" w14:textId="77777777" w:rsidR="00B33FFE" w:rsidRPr="0012217D" w:rsidRDefault="00B33FFE" w:rsidP="00F4246E">
            <w:pPr>
              <w:jc w:val="center"/>
              <w:rPr>
                <w:b/>
              </w:rPr>
            </w:pPr>
            <w:r w:rsidRPr="0012217D">
              <w:rPr>
                <w:b/>
              </w:rPr>
              <w:t>Explanation</w:t>
            </w:r>
          </w:p>
        </w:tc>
        <w:tc>
          <w:tcPr>
            <w:tcW w:w="4532" w:type="dxa"/>
            <w:gridSpan w:val="2"/>
          </w:tcPr>
          <w:p w14:paraId="0090C302" w14:textId="77777777" w:rsidR="00B33FFE" w:rsidRPr="0012217D" w:rsidRDefault="00B33FFE">
            <w:pPr>
              <w:jc w:val="center"/>
              <w:rPr>
                <w:b/>
              </w:rPr>
            </w:pPr>
            <w:r w:rsidRPr="0012217D">
              <w:rPr>
                <w:b/>
              </w:rPr>
              <w:t>Explanatory power &amp; argumentation</w:t>
            </w:r>
          </w:p>
        </w:tc>
      </w:tr>
      <w:tr w:rsidR="00B33FFE" w:rsidRPr="0012217D" w14:paraId="07488F61" w14:textId="77777777" w:rsidTr="00F4246E">
        <w:tc>
          <w:tcPr>
            <w:tcW w:w="2830" w:type="dxa"/>
          </w:tcPr>
          <w:p w14:paraId="2B2E7A69" w14:textId="77777777" w:rsidR="00B33FFE" w:rsidRPr="0012217D" w:rsidRDefault="00B33FFE" w:rsidP="00F4246E">
            <w:r w:rsidRPr="0012217D">
              <w:rPr>
                <w:i/>
                <w:iCs/>
              </w:rPr>
              <w:t xml:space="preserve">“Hypothesis 1: </w:t>
            </w:r>
            <w:r w:rsidRPr="0012217D">
              <w:t>There are limits to the knowledge base of any one management academic.” (p. 91)</w:t>
            </w:r>
          </w:p>
        </w:tc>
        <w:tc>
          <w:tcPr>
            <w:tcW w:w="2265" w:type="dxa"/>
          </w:tcPr>
          <w:p w14:paraId="311ADA93" w14:textId="77777777" w:rsidR="00B33FFE" w:rsidRPr="0012217D" w:rsidRDefault="00B33FFE" w:rsidP="00F4246E">
            <w:r w:rsidRPr="0012217D">
              <w:t>No single scholar can be expected to know everything.</w:t>
            </w:r>
          </w:p>
        </w:tc>
        <w:tc>
          <w:tcPr>
            <w:tcW w:w="994" w:type="dxa"/>
          </w:tcPr>
          <w:p w14:paraId="6E3FF75E" w14:textId="77777777" w:rsidR="00B33FFE" w:rsidRPr="0012217D" w:rsidRDefault="00B33FFE" w:rsidP="00F4246E">
            <w:r w:rsidRPr="0012217D">
              <w:t xml:space="preserve">Weak </w:t>
            </w:r>
          </w:p>
        </w:tc>
        <w:tc>
          <w:tcPr>
            <w:tcW w:w="3538" w:type="dxa"/>
          </w:tcPr>
          <w:p w14:paraId="2701B34E" w14:textId="77777777" w:rsidR="00B33FFE" w:rsidRPr="0012217D" w:rsidRDefault="00B33FFE" w:rsidP="00F4246E">
            <w:r w:rsidRPr="0012217D">
              <w:t>Limited knowledge base is not a problem that prevents university managers from gaining some benefits from in-house expertise.</w:t>
            </w:r>
          </w:p>
        </w:tc>
      </w:tr>
      <w:tr w:rsidR="00B33FFE" w:rsidRPr="0012217D" w14:paraId="19B8C2F2" w14:textId="77777777" w:rsidTr="00F4246E">
        <w:tc>
          <w:tcPr>
            <w:tcW w:w="2830" w:type="dxa"/>
          </w:tcPr>
          <w:p w14:paraId="05B14021" w14:textId="77777777" w:rsidR="00B33FFE" w:rsidRPr="0012217D" w:rsidRDefault="00B33FFE" w:rsidP="00F4246E">
            <w:r w:rsidRPr="0012217D">
              <w:rPr>
                <w:i/>
                <w:iCs/>
              </w:rPr>
              <w:t xml:space="preserve">“Hypothesis 2: </w:t>
            </w:r>
            <w:r w:rsidRPr="0012217D">
              <w:t>Most knowledge about management has been derived from the private sector, and so it is not applicable to universities.” (p. 92)</w:t>
            </w:r>
          </w:p>
          <w:p w14:paraId="7BF5D4D4" w14:textId="77777777" w:rsidR="00B33FFE" w:rsidRPr="0012217D" w:rsidRDefault="00B33FFE" w:rsidP="00F4246E"/>
        </w:tc>
        <w:tc>
          <w:tcPr>
            <w:tcW w:w="2265" w:type="dxa"/>
          </w:tcPr>
          <w:p w14:paraId="20F2B49D" w14:textId="7CE9B188" w:rsidR="00B33FFE" w:rsidRPr="0012217D" w:rsidRDefault="00B33FFE" w:rsidP="00F4246E">
            <w:r w:rsidRPr="0012217D">
              <w:t>The structure and culture of universities are different from those of private-sector firms; hence, management knowledge derived from the latter m</w:t>
            </w:r>
            <w:r w:rsidR="001808EC">
              <w:t>ight</w:t>
            </w:r>
            <w:r w:rsidRPr="0012217D">
              <w:t xml:space="preserve"> not be applicable to the former.</w:t>
            </w:r>
          </w:p>
        </w:tc>
        <w:tc>
          <w:tcPr>
            <w:tcW w:w="994" w:type="dxa"/>
          </w:tcPr>
          <w:p w14:paraId="1A07BE95" w14:textId="77777777" w:rsidR="00B33FFE" w:rsidRPr="0012217D" w:rsidRDefault="00B33FFE" w:rsidP="00F4246E">
            <w:r w:rsidRPr="0012217D">
              <w:t>Weak</w:t>
            </w:r>
          </w:p>
        </w:tc>
        <w:tc>
          <w:tcPr>
            <w:tcW w:w="3538" w:type="dxa"/>
          </w:tcPr>
          <w:p w14:paraId="362721E9" w14:textId="77777777" w:rsidR="00B33FFE" w:rsidRPr="0012217D" w:rsidRDefault="00B33FFE" w:rsidP="00F4246E">
            <w:r w:rsidRPr="0012217D">
              <w:t>- All aspects of workplace law apply equally to both universities and private firms.</w:t>
            </w:r>
          </w:p>
          <w:p w14:paraId="164CC1F0" w14:textId="77777777" w:rsidR="00B33FFE" w:rsidRPr="0012217D" w:rsidRDefault="00B33FFE" w:rsidP="00F4246E">
            <w:r w:rsidRPr="0012217D">
              <w:t>- There is a substantial literature on the management of the public sector, including HEIs.</w:t>
            </w:r>
          </w:p>
        </w:tc>
      </w:tr>
      <w:tr w:rsidR="00B33FFE" w:rsidRPr="0012217D" w14:paraId="6E6F2E47" w14:textId="77777777" w:rsidTr="00F4246E">
        <w:tc>
          <w:tcPr>
            <w:tcW w:w="2830" w:type="dxa"/>
          </w:tcPr>
          <w:p w14:paraId="601B7E93" w14:textId="77777777" w:rsidR="00B33FFE" w:rsidRPr="0012217D" w:rsidRDefault="00B33FFE" w:rsidP="00F4246E">
            <w:r w:rsidRPr="0012217D">
              <w:rPr>
                <w:i/>
                <w:iCs/>
              </w:rPr>
              <w:t xml:space="preserve">“Hypothesis 3: </w:t>
            </w:r>
            <w:r w:rsidRPr="0012217D">
              <w:t>To know about management does not entail an ability to practise management; so management academics should not necessarily be expected to be able to manage well.” (p. 93)</w:t>
            </w:r>
          </w:p>
        </w:tc>
        <w:tc>
          <w:tcPr>
            <w:tcW w:w="2265" w:type="dxa"/>
          </w:tcPr>
          <w:p w14:paraId="19D3C43E" w14:textId="2C4C9CA1" w:rsidR="00B33FFE" w:rsidRPr="0012217D" w:rsidRDefault="00B33FFE">
            <w:r w:rsidRPr="0012217D">
              <w:t xml:space="preserve">This is </w:t>
            </w:r>
            <w:r w:rsidR="001D455B">
              <w:t>self-explanatory</w:t>
            </w:r>
            <w:r w:rsidRPr="0012217D">
              <w:t>.</w:t>
            </w:r>
          </w:p>
        </w:tc>
        <w:tc>
          <w:tcPr>
            <w:tcW w:w="994" w:type="dxa"/>
          </w:tcPr>
          <w:p w14:paraId="6C1C3525" w14:textId="77777777" w:rsidR="00B33FFE" w:rsidRPr="0012217D" w:rsidRDefault="00B33FFE" w:rsidP="00F4246E">
            <w:r w:rsidRPr="0012217D">
              <w:t xml:space="preserve">Weak </w:t>
            </w:r>
          </w:p>
        </w:tc>
        <w:tc>
          <w:tcPr>
            <w:tcW w:w="3538" w:type="dxa"/>
          </w:tcPr>
          <w:p w14:paraId="112FB63E" w14:textId="77777777" w:rsidR="00B33FFE" w:rsidRPr="0012217D" w:rsidRDefault="00B33FFE" w:rsidP="00F4246E">
            <w:r w:rsidRPr="0012217D">
              <w:t>This might explain why many academics are not directly engaged in university management, but it cannot explain why so few of them are asked to provide advice.</w:t>
            </w:r>
          </w:p>
        </w:tc>
      </w:tr>
      <w:tr w:rsidR="00B33FFE" w:rsidRPr="0012217D" w14:paraId="247598AC" w14:textId="77777777" w:rsidTr="00F4246E">
        <w:tc>
          <w:tcPr>
            <w:tcW w:w="2830" w:type="dxa"/>
          </w:tcPr>
          <w:p w14:paraId="3A4F5E1E" w14:textId="77777777" w:rsidR="00B33FFE" w:rsidRPr="0012217D" w:rsidRDefault="00B33FFE" w:rsidP="00F4246E">
            <w:r w:rsidRPr="0012217D">
              <w:rPr>
                <w:i/>
                <w:iCs/>
              </w:rPr>
              <w:t xml:space="preserve">“Hypothesis 4: </w:t>
            </w:r>
            <w:r w:rsidRPr="0012217D">
              <w:t>Analysing an organization in which the analyst works is much more difficult than analysing any other organization.” (p. 94)</w:t>
            </w:r>
          </w:p>
          <w:p w14:paraId="11DA7659" w14:textId="77777777" w:rsidR="00B33FFE" w:rsidRPr="0012217D" w:rsidRDefault="00B33FFE" w:rsidP="00F4246E"/>
        </w:tc>
        <w:tc>
          <w:tcPr>
            <w:tcW w:w="2265" w:type="dxa"/>
          </w:tcPr>
          <w:p w14:paraId="04FAF8D2" w14:textId="77777777" w:rsidR="00B33FFE" w:rsidRPr="0012217D" w:rsidRDefault="00B33FFE" w:rsidP="00F4246E">
            <w:r w:rsidRPr="0012217D">
              <w:t>The analyst’s objectivity is compromised.</w:t>
            </w:r>
          </w:p>
        </w:tc>
        <w:tc>
          <w:tcPr>
            <w:tcW w:w="994" w:type="dxa"/>
          </w:tcPr>
          <w:p w14:paraId="2B284484" w14:textId="77777777" w:rsidR="00B33FFE" w:rsidRPr="0012217D" w:rsidRDefault="00B33FFE" w:rsidP="00F4246E">
            <w:r w:rsidRPr="0012217D">
              <w:t>Weak</w:t>
            </w:r>
          </w:p>
        </w:tc>
        <w:tc>
          <w:tcPr>
            <w:tcW w:w="3538" w:type="dxa"/>
          </w:tcPr>
          <w:p w14:paraId="42D94695" w14:textId="2D65BDE0" w:rsidR="00B33FFE" w:rsidRPr="0012217D" w:rsidRDefault="00B33FFE">
            <w:r w:rsidRPr="0012217D">
              <w:t xml:space="preserve">The difference between analyzing one’s own organization and a different </w:t>
            </w:r>
            <w:r w:rsidR="001D455B">
              <w:t xml:space="preserve">is hardly </w:t>
            </w:r>
            <w:r w:rsidRPr="0012217D">
              <w:t xml:space="preserve">sufficient to explain why so little use is made of internal management expertise in universities. </w:t>
            </w:r>
          </w:p>
        </w:tc>
      </w:tr>
      <w:tr w:rsidR="00B33FFE" w:rsidRPr="0012217D" w14:paraId="05C3F9B8" w14:textId="77777777" w:rsidTr="00F4246E">
        <w:tc>
          <w:tcPr>
            <w:tcW w:w="2830" w:type="dxa"/>
          </w:tcPr>
          <w:p w14:paraId="4E6ED075" w14:textId="77777777" w:rsidR="00B33FFE" w:rsidRPr="0012217D" w:rsidRDefault="00B33FFE" w:rsidP="00F4246E">
            <w:r w:rsidRPr="0012217D">
              <w:rPr>
                <w:i/>
                <w:iCs/>
              </w:rPr>
              <w:t xml:space="preserve">“Hypothesis 5: </w:t>
            </w:r>
            <w:r w:rsidRPr="0012217D">
              <w:t>Management prescriptions very rarely work anyway and so are not likely to be useful in higher education.” (p. 94)</w:t>
            </w:r>
          </w:p>
        </w:tc>
        <w:tc>
          <w:tcPr>
            <w:tcW w:w="2265" w:type="dxa"/>
          </w:tcPr>
          <w:p w14:paraId="0C3FE768" w14:textId="77777777" w:rsidR="00B33FFE" w:rsidRPr="0012217D" w:rsidRDefault="00B33FFE" w:rsidP="00F4246E">
            <w:r w:rsidRPr="0012217D">
              <w:t>Reality is much more complicated than a simple step-by-step management guide.</w:t>
            </w:r>
          </w:p>
        </w:tc>
        <w:tc>
          <w:tcPr>
            <w:tcW w:w="994" w:type="dxa"/>
          </w:tcPr>
          <w:p w14:paraId="0A9D3E87" w14:textId="77777777" w:rsidR="00B33FFE" w:rsidRPr="0012217D" w:rsidRDefault="00B33FFE" w:rsidP="00F4246E">
            <w:r w:rsidRPr="0012217D">
              <w:t>Very weak</w:t>
            </w:r>
          </w:p>
        </w:tc>
        <w:tc>
          <w:tcPr>
            <w:tcW w:w="3538" w:type="dxa"/>
          </w:tcPr>
          <w:p w14:paraId="4D7467EE" w14:textId="77777777" w:rsidR="00B33FFE" w:rsidRPr="0012217D" w:rsidRDefault="00B33FFE" w:rsidP="00F4246E">
            <w:r w:rsidRPr="0012217D">
              <w:t>In many cases, management advice is both valid and valuable, resulting in improved outcomes.</w:t>
            </w:r>
          </w:p>
        </w:tc>
      </w:tr>
      <w:tr w:rsidR="00B33FFE" w:rsidRPr="0012217D" w14:paraId="5FEFB620" w14:textId="77777777" w:rsidTr="00F4246E">
        <w:tc>
          <w:tcPr>
            <w:tcW w:w="2830" w:type="dxa"/>
          </w:tcPr>
          <w:p w14:paraId="4A4FBCAB" w14:textId="77777777" w:rsidR="00B33FFE" w:rsidRPr="0012217D" w:rsidRDefault="00B33FFE" w:rsidP="00F4246E">
            <w:r w:rsidRPr="0012217D">
              <w:rPr>
                <w:i/>
                <w:iCs/>
              </w:rPr>
              <w:lastRenderedPageBreak/>
              <w:t xml:space="preserve">“Hypothesis 6: </w:t>
            </w:r>
            <w:r w:rsidRPr="0012217D">
              <w:t>Management theories affect practice implicitly rather than explicitly, and thus cannot be conveyed by simple advice.” (p. 95)</w:t>
            </w:r>
          </w:p>
          <w:p w14:paraId="7005C821" w14:textId="77777777" w:rsidR="00B33FFE" w:rsidRPr="0012217D" w:rsidRDefault="00B33FFE" w:rsidP="00F4246E"/>
        </w:tc>
        <w:tc>
          <w:tcPr>
            <w:tcW w:w="2265" w:type="dxa"/>
          </w:tcPr>
          <w:p w14:paraId="28DB9C4A" w14:textId="77777777" w:rsidR="00B33FFE" w:rsidRPr="0012217D" w:rsidRDefault="00B33FFE" w:rsidP="00F4246E">
            <w:r w:rsidRPr="0012217D">
              <w:t>“Simple short comments are insufficient to impart the subtleties of management theories” (p. 95).</w:t>
            </w:r>
          </w:p>
        </w:tc>
        <w:tc>
          <w:tcPr>
            <w:tcW w:w="994" w:type="dxa"/>
          </w:tcPr>
          <w:p w14:paraId="0C0797EE" w14:textId="77777777" w:rsidR="00B33FFE" w:rsidRPr="0012217D" w:rsidRDefault="00B33FFE" w:rsidP="00F4246E">
            <w:r w:rsidRPr="0012217D">
              <w:t>Weak</w:t>
            </w:r>
          </w:p>
        </w:tc>
        <w:tc>
          <w:tcPr>
            <w:tcW w:w="3538" w:type="dxa"/>
          </w:tcPr>
          <w:p w14:paraId="1A5C3F29" w14:textId="77777777" w:rsidR="00B33FFE" w:rsidRPr="0012217D" w:rsidRDefault="00B33FFE" w:rsidP="00F4246E">
            <w:r w:rsidRPr="0012217D">
              <w:t>“[It] is possible to provide useful management advice on the base of a simple intervention of limited duration.” (p. 96)</w:t>
            </w:r>
          </w:p>
        </w:tc>
      </w:tr>
      <w:tr w:rsidR="00B33FFE" w:rsidRPr="0012217D" w14:paraId="372AD995" w14:textId="77777777" w:rsidTr="00F4246E">
        <w:tc>
          <w:tcPr>
            <w:tcW w:w="2830" w:type="dxa"/>
          </w:tcPr>
          <w:p w14:paraId="0A2AC63D" w14:textId="77777777" w:rsidR="00B33FFE" w:rsidRPr="0012217D" w:rsidRDefault="00B33FFE" w:rsidP="00F4246E">
            <w:r w:rsidRPr="0012217D">
              <w:rPr>
                <w:i/>
                <w:iCs/>
              </w:rPr>
              <w:t xml:space="preserve">“Hypothesis 7: </w:t>
            </w:r>
            <w:r w:rsidRPr="0012217D">
              <w:t>Higher education managers are unwilling to seek advice.” (p. 96)</w:t>
            </w:r>
          </w:p>
          <w:p w14:paraId="2603D91F" w14:textId="77777777" w:rsidR="00B33FFE" w:rsidRPr="0012217D" w:rsidRDefault="00B33FFE" w:rsidP="00F4246E"/>
        </w:tc>
        <w:tc>
          <w:tcPr>
            <w:tcW w:w="2265" w:type="dxa"/>
          </w:tcPr>
          <w:p w14:paraId="7CAD2E42" w14:textId="77777777" w:rsidR="00B33FFE" w:rsidRPr="0012217D" w:rsidRDefault="00B33FFE" w:rsidP="00F4246E">
            <w:r w:rsidRPr="0012217D">
              <w:t>It is not that managers are unwilling to seek advice from their own experts in particular; rather, they don’t see the need to seek advice from anyone.</w:t>
            </w:r>
          </w:p>
        </w:tc>
        <w:tc>
          <w:tcPr>
            <w:tcW w:w="994" w:type="dxa"/>
          </w:tcPr>
          <w:p w14:paraId="1AD49C6E" w14:textId="77777777" w:rsidR="00B33FFE" w:rsidRPr="0012217D" w:rsidRDefault="00B33FFE" w:rsidP="00F4246E">
            <w:r w:rsidRPr="0012217D">
              <w:t>Strong</w:t>
            </w:r>
          </w:p>
        </w:tc>
        <w:tc>
          <w:tcPr>
            <w:tcW w:w="3538" w:type="dxa"/>
          </w:tcPr>
          <w:p w14:paraId="6981E493" w14:textId="77777777" w:rsidR="00B33FFE" w:rsidRPr="0012217D" w:rsidRDefault="00B33FFE" w:rsidP="00F4246E">
            <w:r w:rsidRPr="0012217D">
              <w:t>This might be one of the causes of the phenomenon.</w:t>
            </w:r>
          </w:p>
        </w:tc>
      </w:tr>
      <w:tr w:rsidR="00B33FFE" w:rsidRPr="0012217D" w14:paraId="326E419C" w14:textId="77777777" w:rsidTr="00F4246E">
        <w:tc>
          <w:tcPr>
            <w:tcW w:w="2830" w:type="dxa"/>
          </w:tcPr>
          <w:p w14:paraId="01E9FE7A" w14:textId="77777777" w:rsidR="00B33FFE" w:rsidRPr="0012217D" w:rsidRDefault="00B33FFE" w:rsidP="00F4246E">
            <w:pPr>
              <w:rPr>
                <w:rFonts w:ascii="RealpageGAL1" w:hAnsi="RealpageGAL1" w:cs="RealpageGAL1"/>
              </w:rPr>
            </w:pPr>
            <w:r w:rsidRPr="0012217D">
              <w:rPr>
                <w:i/>
                <w:iCs/>
              </w:rPr>
              <w:t xml:space="preserve">“Hypothesis 8: </w:t>
            </w:r>
            <w:r w:rsidRPr="0012217D">
              <w:t xml:space="preserve">It is difficult for university managers to believe that their own </w:t>
            </w:r>
            <w:r w:rsidRPr="0012217D">
              <w:rPr>
                <w:rFonts w:ascii="RealpageGAL1" w:hAnsi="RealpageGAL1" w:cs="RealpageGAL1"/>
              </w:rPr>
              <w:t>academics could be adequate advisers.” (p. 97)</w:t>
            </w:r>
          </w:p>
          <w:p w14:paraId="08D43D87" w14:textId="77777777" w:rsidR="00B33FFE" w:rsidRPr="0012217D" w:rsidRDefault="00B33FFE" w:rsidP="00F4246E"/>
        </w:tc>
        <w:tc>
          <w:tcPr>
            <w:tcW w:w="2265" w:type="dxa"/>
          </w:tcPr>
          <w:p w14:paraId="51492828" w14:textId="77777777" w:rsidR="00B33FFE" w:rsidRPr="0012217D" w:rsidRDefault="00B33FFE" w:rsidP="00F4246E">
            <w:r w:rsidRPr="0012217D">
              <w:t>This is due to mistrust and a prior belief in the incompetence of the other side (academics vs managers).</w:t>
            </w:r>
          </w:p>
        </w:tc>
        <w:tc>
          <w:tcPr>
            <w:tcW w:w="994" w:type="dxa"/>
          </w:tcPr>
          <w:p w14:paraId="7E965545" w14:textId="77777777" w:rsidR="00B33FFE" w:rsidRPr="0012217D" w:rsidRDefault="00B33FFE" w:rsidP="00F4246E">
            <w:r w:rsidRPr="0012217D">
              <w:t>Strong</w:t>
            </w:r>
          </w:p>
        </w:tc>
        <w:tc>
          <w:tcPr>
            <w:tcW w:w="3538" w:type="dxa"/>
          </w:tcPr>
          <w:p w14:paraId="6852254F" w14:textId="77777777" w:rsidR="00B33FFE" w:rsidRPr="0012217D" w:rsidRDefault="00B33FFE" w:rsidP="00F4246E">
            <w:r w:rsidRPr="0012217D">
              <w:t>“[Management] academics are not asked for advice because, by and large, they are not trusted by university managers.” (p. 97)</w:t>
            </w:r>
          </w:p>
        </w:tc>
      </w:tr>
      <w:tr w:rsidR="00B33FFE" w:rsidRPr="0012217D" w14:paraId="4EB635CB" w14:textId="77777777" w:rsidTr="00F4246E">
        <w:tc>
          <w:tcPr>
            <w:tcW w:w="2830" w:type="dxa"/>
          </w:tcPr>
          <w:p w14:paraId="4AD7C574" w14:textId="77777777" w:rsidR="00B33FFE" w:rsidRPr="0012217D" w:rsidRDefault="00B33FFE" w:rsidP="00F4246E">
            <w:r w:rsidRPr="0012217D">
              <w:rPr>
                <w:i/>
                <w:iCs/>
              </w:rPr>
              <w:t xml:space="preserve">“Hypothesis 9: </w:t>
            </w:r>
            <w:r w:rsidRPr="0012217D">
              <w:t>There are few incentives and several disincentives for a management academic to be involved in advising the managers of his own institution.” (p. 97)</w:t>
            </w:r>
          </w:p>
        </w:tc>
        <w:tc>
          <w:tcPr>
            <w:tcW w:w="2265" w:type="dxa"/>
          </w:tcPr>
          <w:p w14:paraId="52BECD6E" w14:textId="77777777" w:rsidR="00B33FFE" w:rsidRPr="0012217D" w:rsidRDefault="00B33FFE" w:rsidP="00F4246E">
            <w:r w:rsidRPr="0012217D">
              <w:t>Academics do not wish to be involved in providing management advice to their institutions.</w:t>
            </w:r>
          </w:p>
        </w:tc>
        <w:tc>
          <w:tcPr>
            <w:tcW w:w="994" w:type="dxa"/>
          </w:tcPr>
          <w:p w14:paraId="7CDBCA13" w14:textId="77777777" w:rsidR="00B33FFE" w:rsidRPr="0012217D" w:rsidRDefault="00B33FFE" w:rsidP="00F4246E">
            <w:r w:rsidRPr="0012217D">
              <w:t>Strong</w:t>
            </w:r>
          </w:p>
        </w:tc>
        <w:tc>
          <w:tcPr>
            <w:tcW w:w="3538" w:type="dxa"/>
          </w:tcPr>
          <w:p w14:paraId="16E4484B" w14:textId="77777777" w:rsidR="00B33FFE" w:rsidRPr="0012217D" w:rsidRDefault="00B33FFE" w:rsidP="00F4246E">
            <w:r w:rsidRPr="0012217D">
              <w:t>“[The] disincentives for agreeing to provide management advice to their universities outweigh the incentives” for most academics (p. 98).</w:t>
            </w:r>
          </w:p>
        </w:tc>
      </w:tr>
    </w:tbl>
    <w:p w14:paraId="3F3A90B3" w14:textId="77777777" w:rsidR="00B33FFE" w:rsidRPr="0039463F" w:rsidRDefault="00B33FFE" w:rsidP="00F4246E">
      <w:pPr>
        <w:spacing w:after="0" w:line="240" w:lineRule="auto"/>
      </w:pPr>
      <w:r w:rsidRPr="0039463F">
        <w:t>Note</w:t>
      </w:r>
      <w:r>
        <w:t>s</w:t>
      </w:r>
      <w:r w:rsidRPr="0039463F">
        <w:t>:</w:t>
      </w:r>
    </w:p>
    <w:p w14:paraId="44CE08B4" w14:textId="77777777" w:rsidR="00B33FFE" w:rsidRPr="0039463F" w:rsidRDefault="00B33FFE" w:rsidP="00F4246E">
      <w:pPr>
        <w:pStyle w:val="Listeavsnitt"/>
        <w:numPr>
          <w:ilvl w:val="0"/>
          <w:numId w:val="4"/>
        </w:numPr>
        <w:spacing w:line="240" w:lineRule="auto"/>
      </w:pPr>
      <w:r w:rsidRPr="0039463F">
        <w:t>Regarding explanatory power</w:t>
      </w:r>
      <w:r>
        <w:t>, “weak”</w:t>
      </w:r>
      <w:r w:rsidRPr="0039463F">
        <w:t xml:space="preserve"> means</w:t>
      </w:r>
      <w:r>
        <w:t xml:space="preserve"> that</w:t>
      </w:r>
      <w:r w:rsidRPr="0039463F">
        <w:t xml:space="preserve"> the hypothesis </w:t>
      </w:r>
      <w:r>
        <w:t>“</w:t>
      </w:r>
      <w:r w:rsidRPr="0039463F">
        <w:t xml:space="preserve">does not adequately explain the </w:t>
      </w:r>
      <w:r>
        <w:t xml:space="preserve">observed </w:t>
      </w:r>
      <w:r w:rsidRPr="0039463F">
        <w:t>phenomenon”</w:t>
      </w:r>
      <w:r>
        <w:t xml:space="preserve"> (a phrase used by Watson on p. 92);</w:t>
      </w:r>
      <w:r w:rsidRPr="0039463F">
        <w:t xml:space="preserve"> </w:t>
      </w:r>
      <w:r>
        <w:t>“s</w:t>
      </w:r>
      <w:r w:rsidRPr="0039463F">
        <w:t>trong</w:t>
      </w:r>
      <w:r>
        <w:t>”</w:t>
      </w:r>
      <w:r w:rsidRPr="0039463F">
        <w:t xml:space="preserve"> means</w:t>
      </w:r>
      <w:r>
        <w:t xml:space="preserve"> that </w:t>
      </w:r>
      <w:r w:rsidRPr="0039463F">
        <w:t xml:space="preserve">the hypothesis has </w:t>
      </w:r>
      <w:r>
        <w:t>“</w:t>
      </w:r>
      <w:r w:rsidRPr="0039463F">
        <w:t>more explanatory plausibility”</w:t>
      </w:r>
      <w:r>
        <w:t xml:space="preserve"> (p. 96).</w:t>
      </w:r>
    </w:p>
    <w:p w14:paraId="2F30CDE3" w14:textId="77777777" w:rsidR="00B33FFE" w:rsidRPr="0039463F" w:rsidRDefault="00B33FFE" w:rsidP="00F4246E">
      <w:pPr>
        <w:pStyle w:val="Listeavsnitt"/>
        <w:numPr>
          <w:ilvl w:val="0"/>
          <w:numId w:val="4"/>
        </w:numPr>
        <w:spacing w:line="240" w:lineRule="auto"/>
      </w:pPr>
      <w:r w:rsidRPr="0039463F">
        <w:t>In this table, “academics” refers to management academics, and “knowledge” refers to management knowledge</w:t>
      </w:r>
      <w:r>
        <w:t>.</w:t>
      </w:r>
    </w:p>
    <w:p w14:paraId="569917F3" w14:textId="77777777" w:rsidR="0012217D" w:rsidRDefault="0012217D" w:rsidP="00F4246E">
      <w:pPr>
        <w:rPr>
          <w:b/>
          <w:i/>
          <w:sz w:val="24"/>
        </w:rPr>
      </w:pPr>
    </w:p>
    <w:p w14:paraId="77D41BF8" w14:textId="0AB4D697" w:rsidR="00B33FFE" w:rsidRPr="0039463F" w:rsidRDefault="00B33FFE" w:rsidP="00F4246E">
      <w:pPr>
        <w:rPr>
          <w:b/>
          <w:i/>
          <w:sz w:val="24"/>
        </w:rPr>
      </w:pPr>
      <w:r w:rsidRPr="0039463F">
        <w:rPr>
          <w:b/>
          <w:i/>
          <w:sz w:val="24"/>
        </w:rPr>
        <w:t>Watson’s reflections</w:t>
      </w:r>
      <w:r>
        <w:rPr>
          <w:b/>
          <w:i/>
          <w:sz w:val="24"/>
        </w:rPr>
        <w:t xml:space="preserve"> today</w:t>
      </w:r>
    </w:p>
    <w:p w14:paraId="1F41FE65" w14:textId="77777777" w:rsidR="00B33FFE" w:rsidRPr="0039463F" w:rsidRDefault="00B33FFE" w:rsidP="00F4246E">
      <w:pPr>
        <w:rPr>
          <w:sz w:val="24"/>
        </w:rPr>
      </w:pPr>
      <w:r w:rsidRPr="0039463F">
        <w:rPr>
          <w:sz w:val="24"/>
        </w:rPr>
        <w:t>In January 2017 we interviewed Stephen Watson in order to learn whether he still considered the p</w:t>
      </w:r>
      <w:r>
        <w:rPr>
          <w:sz w:val="24"/>
        </w:rPr>
        <w:t>henomenon</w:t>
      </w:r>
      <w:r w:rsidRPr="0039463F">
        <w:rPr>
          <w:sz w:val="24"/>
        </w:rPr>
        <w:t xml:space="preserve"> he </w:t>
      </w:r>
      <w:r>
        <w:rPr>
          <w:sz w:val="24"/>
        </w:rPr>
        <w:t>wrote about</w:t>
      </w:r>
      <w:r w:rsidRPr="0039463F">
        <w:rPr>
          <w:sz w:val="24"/>
        </w:rPr>
        <w:t xml:space="preserve"> in </w:t>
      </w:r>
      <w:r>
        <w:rPr>
          <w:sz w:val="24"/>
        </w:rPr>
        <w:t xml:space="preserve">his </w:t>
      </w:r>
      <w:r w:rsidRPr="0039463F">
        <w:rPr>
          <w:sz w:val="24"/>
        </w:rPr>
        <w:t>2000</w:t>
      </w:r>
      <w:r>
        <w:rPr>
          <w:sz w:val="24"/>
        </w:rPr>
        <w:t xml:space="preserve"> article</w:t>
      </w:r>
      <w:r w:rsidRPr="0039463F">
        <w:rPr>
          <w:sz w:val="24"/>
        </w:rPr>
        <w:t xml:space="preserve"> relevant, and to let him expand on the personal experiences that </w:t>
      </w:r>
      <w:r>
        <w:rPr>
          <w:sz w:val="24"/>
        </w:rPr>
        <w:t xml:space="preserve">inspired the article and led him to conclude that his </w:t>
      </w:r>
      <w:r>
        <w:rPr>
          <w:sz w:val="24"/>
        </w:rPr>
        <w:lastRenderedPageBreak/>
        <w:t>Hypotheses 7-9 were particularly convincing potential explanations of the phenomenon of internal academic non-consultation in HEIs</w:t>
      </w:r>
      <w:r w:rsidRPr="0039463F">
        <w:rPr>
          <w:sz w:val="24"/>
        </w:rPr>
        <w:t>.</w:t>
      </w:r>
    </w:p>
    <w:p w14:paraId="41C92190" w14:textId="333207B4" w:rsidR="00B33FFE" w:rsidRPr="0039463F" w:rsidRDefault="00B33FFE" w:rsidP="00F4246E">
      <w:pPr>
        <w:rPr>
          <w:sz w:val="24"/>
        </w:rPr>
      </w:pPr>
      <w:r>
        <w:rPr>
          <w:sz w:val="24"/>
        </w:rPr>
        <w:t>T</w:t>
      </w:r>
      <w:r w:rsidRPr="0039463F">
        <w:rPr>
          <w:sz w:val="24"/>
        </w:rPr>
        <w:t xml:space="preserve">he intriguing backstory of </w:t>
      </w:r>
      <w:r>
        <w:rPr>
          <w:sz w:val="24"/>
        </w:rPr>
        <w:t>Watson’s</w:t>
      </w:r>
      <w:r w:rsidRPr="0039463F">
        <w:rPr>
          <w:sz w:val="24"/>
        </w:rPr>
        <w:t xml:space="preserve"> </w:t>
      </w:r>
      <w:r>
        <w:rPr>
          <w:sz w:val="24"/>
        </w:rPr>
        <w:t>paper</w:t>
      </w:r>
      <w:r w:rsidRPr="0039463F">
        <w:rPr>
          <w:sz w:val="24"/>
        </w:rPr>
        <w:t xml:space="preserve"> is that while the</w:t>
      </w:r>
      <w:r>
        <w:rPr>
          <w:sz w:val="24"/>
        </w:rPr>
        <w:t xml:space="preserve"> paper</w:t>
      </w:r>
      <w:r w:rsidRPr="0039463F">
        <w:rPr>
          <w:sz w:val="24"/>
        </w:rPr>
        <w:t xml:space="preserve"> suggests the attitudes of HEI managers are partly to blame for the failure to make practical use of the vast repository of in-house academic knowledge in a</w:t>
      </w:r>
      <w:r>
        <w:rPr>
          <w:sz w:val="24"/>
        </w:rPr>
        <w:t>n</w:t>
      </w:r>
      <w:r w:rsidRPr="0039463F">
        <w:rPr>
          <w:sz w:val="24"/>
        </w:rPr>
        <w:t xml:space="preserve"> HEI, Watson was himself a long-time HEI manager, having been the dean of several business schools. We asked him whether he had ever solicited the help of his own professors to make major management decisions.</w:t>
      </w:r>
    </w:p>
    <w:p w14:paraId="5C1965FB" w14:textId="215E4940" w:rsidR="00B33FFE" w:rsidRPr="0039463F" w:rsidRDefault="00B33FFE" w:rsidP="00F4246E">
      <w:pPr>
        <w:rPr>
          <w:sz w:val="24"/>
        </w:rPr>
      </w:pPr>
      <w:r w:rsidRPr="0039463F">
        <w:rPr>
          <w:sz w:val="24"/>
        </w:rPr>
        <w:t>Watson explained that he had done so on several occasions, but with mixed results. In a couple of cases the in-house experts gave advice which, though theoretically sound, lacked the specificity to make much difference in practice. In retrospect, rather than blaming the experts for the indifferent result</w:t>
      </w:r>
      <w:r w:rsidR="00505CC9">
        <w:rPr>
          <w:sz w:val="24"/>
        </w:rPr>
        <w:t>s</w:t>
      </w:r>
      <w:r w:rsidRPr="0039463F">
        <w:rPr>
          <w:sz w:val="24"/>
        </w:rPr>
        <w:t xml:space="preserve"> of their involvement, Watson believes he might have obtained a better outcome by giving the academics stronger incentives to get engaged in the process and treat the task as an important part of their job. These reflections on incentivization support Hypothesis 9 on Watson’s own list of hypotheses.</w:t>
      </w:r>
    </w:p>
    <w:p w14:paraId="556A31C3" w14:textId="77777777" w:rsidR="00B33FFE" w:rsidRPr="0039463F" w:rsidRDefault="00B33FFE" w:rsidP="00F4246E">
      <w:pPr>
        <w:rPr>
          <w:sz w:val="24"/>
        </w:rPr>
      </w:pPr>
      <w:r w:rsidRPr="0039463F">
        <w:rPr>
          <w:sz w:val="24"/>
        </w:rPr>
        <w:t>But in our interview Watson also recounted several anecdotes illustrating how the skill sets of many management academics, while well suited to teaching and research, may not be directly applicable to solving the problems faced by HEI leaders. Most management academics do not have extensive experience of tasks such as managing department budgets or making actual strategies at a detailed practical level. This suggests that the skepticism of managers expressed by Hypothesis 8 is not always unfounded. Moreover, if HEI managers tend to form a negative perception of the value of their own experts’ advice, this might well reinforce their skepticism towards seeking advice in general, which strengthens support for Hypothesis 7. As Watson has consistently pointed out, his hypotheses should not be seen as mutually exclusive.</w:t>
      </w:r>
    </w:p>
    <w:p w14:paraId="6603EF0A" w14:textId="662D57D2" w:rsidR="00B33FFE" w:rsidRPr="0039463F" w:rsidRDefault="00B33FFE" w:rsidP="00F4246E">
      <w:pPr>
        <w:rPr>
          <w:sz w:val="24"/>
        </w:rPr>
      </w:pPr>
      <w:r w:rsidRPr="0039463F">
        <w:rPr>
          <w:sz w:val="24"/>
        </w:rPr>
        <w:t xml:space="preserve">Watson’s professional observations, as exemplified by the anecdotes he told us, indicate that the divergence between management academics’ assessment of their own practical capabilities and the perception of these capabilities by business school managers can be sharp. In </w:t>
      </w:r>
      <w:r w:rsidR="00884128">
        <w:rPr>
          <w:sz w:val="24"/>
        </w:rPr>
        <w:t>situations</w:t>
      </w:r>
      <w:r w:rsidRPr="0039463F">
        <w:rPr>
          <w:sz w:val="24"/>
        </w:rPr>
        <w:t xml:space="preserve"> where managers turn out to have exercised poor judgment, resident academics are sometimes confident in their belief that </w:t>
      </w:r>
      <w:r w:rsidR="00884128">
        <w:rPr>
          <w:sz w:val="24"/>
        </w:rPr>
        <w:t xml:space="preserve">if only </w:t>
      </w:r>
      <w:r w:rsidRPr="0039463F">
        <w:rPr>
          <w:sz w:val="24"/>
        </w:rPr>
        <w:t>the</w:t>
      </w:r>
      <w:r w:rsidR="00884128">
        <w:rPr>
          <w:sz w:val="24"/>
        </w:rPr>
        <w:t xml:space="preserve">y had been </w:t>
      </w:r>
      <w:r w:rsidRPr="0039463F">
        <w:rPr>
          <w:sz w:val="24"/>
        </w:rPr>
        <w:t>involve</w:t>
      </w:r>
      <w:r w:rsidR="00884128">
        <w:rPr>
          <w:sz w:val="24"/>
        </w:rPr>
        <w:t>d</w:t>
      </w:r>
      <w:r w:rsidRPr="0039463F">
        <w:rPr>
          <w:sz w:val="24"/>
        </w:rPr>
        <w:t xml:space="preserve"> in the decision-making</w:t>
      </w:r>
      <w:r w:rsidR="00884128">
        <w:rPr>
          <w:sz w:val="24"/>
        </w:rPr>
        <w:t xml:space="preserve">, a </w:t>
      </w:r>
      <w:r w:rsidRPr="0039463F">
        <w:rPr>
          <w:sz w:val="24"/>
        </w:rPr>
        <w:t>superior outcome</w:t>
      </w:r>
      <w:r w:rsidR="00884128">
        <w:rPr>
          <w:sz w:val="24"/>
        </w:rPr>
        <w:t xml:space="preserve"> would have ensued</w:t>
      </w:r>
      <w:r w:rsidRPr="0039463F">
        <w:rPr>
          <w:sz w:val="24"/>
        </w:rPr>
        <w:t xml:space="preserve">, while the responsible managers are just as confident in rejecting this notion. Such a strong asymmetry of </w:t>
      </w:r>
      <w:r w:rsidR="00884128">
        <w:rPr>
          <w:sz w:val="24"/>
        </w:rPr>
        <w:t xml:space="preserve">mutual </w:t>
      </w:r>
      <w:r w:rsidRPr="0039463F">
        <w:rPr>
          <w:sz w:val="24"/>
        </w:rPr>
        <w:t>evaluation is hardly conducive to the smooth cooperation of managers and academics in decision-making. Overall, while Watson in retirement continues to disclaim knowledge of the ultimate answer to the question he posed in his 2000 article, his experience suggests that the overlapping involvement of managers and academics in business school decision-making is a matter fraught with challenges.</w:t>
      </w:r>
    </w:p>
    <w:p w14:paraId="3FF62D5F" w14:textId="77777777" w:rsidR="00B33FFE" w:rsidRPr="0039463F" w:rsidRDefault="00B33FFE" w:rsidP="00F4246E">
      <w:pPr>
        <w:rPr>
          <w:sz w:val="24"/>
        </w:rPr>
      </w:pPr>
      <w:r w:rsidRPr="0039463F">
        <w:rPr>
          <w:sz w:val="24"/>
        </w:rPr>
        <w:lastRenderedPageBreak/>
        <w:t>In the next section, we connect Watson’s article to the literature o</w:t>
      </w:r>
      <w:r>
        <w:rPr>
          <w:sz w:val="24"/>
        </w:rPr>
        <w:t>n</w:t>
      </w:r>
      <w:r w:rsidRPr="0039463F">
        <w:rPr>
          <w:sz w:val="24"/>
        </w:rPr>
        <w:t xml:space="preserve"> </w:t>
      </w:r>
      <w:r w:rsidRPr="0039463F">
        <w:rPr>
          <w:i/>
          <w:sz w:val="24"/>
        </w:rPr>
        <w:t>learning organizations</w:t>
      </w:r>
      <w:r w:rsidRPr="0039463F">
        <w:rPr>
          <w:sz w:val="24"/>
        </w:rPr>
        <w:t xml:space="preserve"> in the context of HEIs and examine why the research question raised by Watson is interesting and important for this stream of research.</w:t>
      </w:r>
    </w:p>
    <w:p w14:paraId="0386C392" w14:textId="748F00C2" w:rsidR="00B33FFE" w:rsidRPr="0039463F" w:rsidRDefault="00B33FFE" w:rsidP="00F4246E">
      <w:pPr>
        <w:rPr>
          <w:b/>
          <w:sz w:val="24"/>
        </w:rPr>
      </w:pPr>
      <w:r w:rsidRPr="0039463F">
        <w:rPr>
          <w:b/>
          <w:sz w:val="24"/>
        </w:rPr>
        <w:t xml:space="preserve">CONNECTION TO THE </w:t>
      </w:r>
      <w:r w:rsidRPr="0039463F">
        <w:rPr>
          <w:b/>
          <w:i/>
          <w:sz w:val="24"/>
        </w:rPr>
        <w:t>LEARNING ORGANIZATION</w:t>
      </w:r>
      <w:r w:rsidRPr="0039463F">
        <w:rPr>
          <w:b/>
          <w:sz w:val="24"/>
        </w:rPr>
        <w:t xml:space="preserve"> LITERATURE IN THE HEI CONTEXT</w:t>
      </w:r>
    </w:p>
    <w:p w14:paraId="64096465" w14:textId="77777777" w:rsidR="00B33FFE" w:rsidRPr="0039463F" w:rsidRDefault="00B33FFE" w:rsidP="00F4246E">
      <w:pPr>
        <w:rPr>
          <w:sz w:val="24"/>
        </w:rPr>
      </w:pPr>
      <w:r w:rsidRPr="0039463F">
        <w:rPr>
          <w:sz w:val="24"/>
        </w:rPr>
        <w:t>Watson, in our recent interview with him, stressed that he did not have any theories of learning organizations in mind when he wrote his 2000 article. Nevertheless, HEI</w:t>
      </w:r>
      <w:r>
        <w:rPr>
          <w:sz w:val="24"/>
        </w:rPr>
        <w:t>s, by their nature, are logically linked</w:t>
      </w:r>
      <w:r w:rsidRPr="0039463F">
        <w:rPr>
          <w:sz w:val="24"/>
        </w:rPr>
        <w:t xml:space="preserve"> to the</w:t>
      </w:r>
      <w:r>
        <w:rPr>
          <w:sz w:val="24"/>
        </w:rPr>
        <w:t xml:space="preserve"> concept</w:t>
      </w:r>
      <w:r w:rsidRPr="0039463F">
        <w:rPr>
          <w:sz w:val="24"/>
        </w:rPr>
        <w:t xml:space="preserve"> of learning organizations. The broad spectrum of criteria used to define a “learning organization” covers four</w:t>
      </w:r>
      <w:r>
        <w:rPr>
          <w:sz w:val="24"/>
        </w:rPr>
        <w:t xml:space="preserve"> aspects, as outlined by Örtenblad (2002, p. 226):</w:t>
      </w:r>
    </w:p>
    <w:p w14:paraId="575D64E9" w14:textId="77777777" w:rsidR="00B33FFE" w:rsidRPr="0039463F" w:rsidRDefault="00B33FFE" w:rsidP="00F4246E">
      <w:pPr>
        <w:pStyle w:val="Listeavsnitt"/>
        <w:numPr>
          <w:ilvl w:val="0"/>
          <w:numId w:val="2"/>
        </w:numPr>
        <w:rPr>
          <w:sz w:val="24"/>
        </w:rPr>
      </w:pPr>
      <w:r w:rsidRPr="0039463F">
        <w:rPr>
          <w:sz w:val="24"/>
        </w:rPr>
        <w:t xml:space="preserve"> An organization where employees learn while working, not by taking courses:</w:t>
      </w:r>
      <w:r>
        <w:rPr>
          <w:sz w:val="24"/>
        </w:rPr>
        <w:t xml:space="preserve"> the “l</w:t>
      </w:r>
      <w:r w:rsidRPr="0039463F">
        <w:rPr>
          <w:sz w:val="24"/>
        </w:rPr>
        <w:t>earning at work</w:t>
      </w:r>
      <w:r>
        <w:rPr>
          <w:sz w:val="24"/>
        </w:rPr>
        <w:t>”</w:t>
      </w:r>
      <w:r w:rsidRPr="0039463F">
        <w:rPr>
          <w:sz w:val="24"/>
        </w:rPr>
        <w:t xml:space="preserve"> perspective. </w:t>
      </w:r>
      <w:r w:rsidRPr="00F91F26">
        <w:rPr>
          <w:sz w:val="24"/>
        </w:rPr>
        <w:t xml:space="preserve">According </w:t>
      </w:r>
      <w:r w:rsidRPr="008A3045">
        <w:rPr>
          <w:sz w:val="24"/>
        </w:rPr>
        <w:t xml:space="preserve">to </w:t>
      </w:r>
      <w:r>
        <w:rPr>
          <w:sz w:val="24"/>
        </w:rPr>
        <w:t>Ö</w:t>
      </w:r>
      <w:r w:rsidRPr="00F91F26">
        <w:rPr>
          <w:sz w:val="24"/>
        </w:rPr>
        <w:t>rtenblad</w:t>
      </w:r>
      <w:r>
        <w:rPr>
          <w:sz w:val="24"/>
        </w:rPr>
        <w:t xml:space="preserve"> (2002), </w:t>
      </w:r>
      <w:r w:rsidRPr="0039463F">
        <w:rPr>
          <w:sz w:val="24"/>
        </w:rPr>
        <w:t xml:space="preserve">studies </w:t>
      </w:r>
      <w:r>
        <w:rPr>
          <w:sz w:val="24"/>
        </w:rPr>
        <w:t>that</w:t>
      </w:r>
      <w:r w:rsidRPr="0039463F">
        <w:rPr>
          <w:sz w:val="24"/>
        </w:rPr>
        <w:t xml:space="preserve"> understand the idea of</w:t>
      </w:r>
      <w:r>
        <w:rPr>
          <w:sz w:val="24"/>
        </w:rPr>
        <w:t xml:space="preserve"> a</w:t>
      </w:r>
      <w:r w:rsidRPr="0039463F">
        <w:rPr>
          <w:sz w:val="24"/>
        </w:rPr>
        <w:t xml:space="preserve"> learning organization according to this perspective </w:t>
      </w:r>
      <w:r>
        <w:rPr>
          <w:sz w:val="24"/>
        </w:rPr>
        <w:t>include</w:t>
      </w:r>
      <w:r w:rsidRPr="0039463F">
        <w:rPr>
          <w:sz w:val="24"/>
        </w:rPr>
        <w:t xml:space="preserve"> Jones and Hendry </w:t>
      </w:r>
      <w:r>
        <w:rPr>
          <w:noProof/>
          <w:sz w:val="24"/>
        </w:rPr>
        <w:t>(1992)</w:t>
      </w:r>
      <w:r w:rsidRPr="0039463F">
        <w:rPr>
          <w:sz w:val="24"/>
        </w:rPr>
        <w:t xml:space="preserve">, Watkins and Marsick </w:t>
      </w:r>
      <w:r>
        <w:rPr>
          <w:noProof/>
          <w:sz w:val="24"/>
        </w:rPr>
        <w:t>(1993)</w:t>
      </w:r>
      <w:r w:rsidRPr="0039463F">
        <w:rPr>
          <w:sz w:val="24"/>
        </w:rPr>
        <w:t>,</w:t>
      </w:r>
      <w:r>
        <w:rPr>
          <w:sz w:val="24"/>
        </w:rPr>
        <w:t xml:space="preserve"> and</w:t>
      </w:r>
      <w:r w:rsidRPr="0039463F">
        <w:rPr>
          <w:sz w:val="24"/>
        </w:rPr>
        <w:t xml:space="preserve"> </w:t>
      </w:r>
      <w:r>
        <w:rPr>
          <w:noProof/>
          <w:sz w:val="24"/>
        </w:rPr>
        <w:t>Jones and Hendry (1994)</w:t>
      </w:r>
      <w:r w:rsidRPr="0039463F">
        <w:rPr>
          <w:sz w:val="24"/>
        </w:rPr>
        <w:t>.</w:t>
      </w:r>
    </w:p>
    <w:p w14:paraId="34F51FE7" w14:textId="77777777" w:rsidR="00B33FFE" w:rsidRPr="0039463F" w:rsidRDefault="00B33FFE" w:rsidP="00F4246E">
      <w:pPr>
        <w:pStyle w:val="Listeavsnitt"/>
        <w:numPr>
          <w:ilvl w:val="0"/>
          <w:numId w:val="2"/>
        </w:numPr>
        <w:rPr>
          <w:sz w:val="24"/>
        </w:rPr>
      </w:pPr>
      <w:r w:rsidRPr="0039463F">
        <w:rPr>
          <w:sz w:val="24"/>
        </w:rPr>
        <w:t>An organization where a positive atmosphere for learning is facilitated:</w:t>
      </w:r>
      <w:r>
        <w:rPr>
          <w:sz w:val="24"/>
        </w:rPr>
        <w:t xml:space="preserve"> the</w:t>
      </w:r>
      <w:r w:rsidRPr="0039463F">
        <w:rPr>
          <w:sz w:val="24"/>
        </w:rPr>
        <w:t xml:space="preserve"> </w:t>
      </w:r>
      <w:r>
        <w:rPr>
          <w:sz w:val="24"/>
        </w:rPr>
        <w:t>“l</w:t>
      </w:r>
      <w:r w:rsidRPr="0039463F">
        <w:rPr>
          <w:sz w:val="24"/>
        </w:rPr>
        <w:t>earning climate</w:t>
      </w:r>
      <w:r>
        <w:rPr>
          <w:sz w:val="24"/>
        </w:rPr>
        <w:t>”</w:t>
      </w:r>
      <w:r w:rsidRPr="0039463F">
        <w:rPr>
          <w:sz w:val="24"/>
        </w:rPr>
        <w:t xml:space="preserve"> perspective. </w:t>
      </w:r>
      <w:r>
        <w:rPr>
          <w:sz w:val="24"/>
        </w:rPr>
        <w:t>According to Örtenblad (2002), s</w:t>
      </w:r>
      <w:r w:rsidRPr="0039463F">
        <w:rPr>
          <w:sz w:val="24"/>
        </w:rPr>
        <w:t xml:space="preserve">tudies </w:t>
      </w:r>
      <w:r>
        <w:rPr>
          <w:sz w:val="24"/>
        </w:rPr>
        <w:t>adopting</w:t>
      </w:r>
      <w:r w:rsidRPr="0039463F">
        <w:rPr>
          <w:sz w:val="24"/>
        </w:rPr>
        <w:t xml:space="preserve"> this perspective</w:t>
      </w:r>
      <w:r>
        <w:rPr>
          <w:sz w:val="24"/>
        </w:rPr>
        <w:t xml:space="preserve"> include</w:t>
      </w:r>
      <w:r w:rsidRPr="0039463F">
        <w:rPr>
          <w:sz w:val="24"/>
        </w:rPr>
        <w:t xml:space="preserve"> Garratt </w:t>
      </w:r>
      <w:r>
        <w:rPr>
          <w:noProof/>
          <w:sz w:val="24"/>
        </w:rPr>
        <w:t>(1990)</w:t>
      </w:r>
      <w:r w:rsidRPr="0039463F">
        <w:rPr>
          <w:sz w:val="24"/>
        </w:rPr>
        <w:t xml:space="preserve">, Lessem </w:t>
      </w:r>
      <w:r>
        <w:rPr>
          <w:noProof/>
          <w:sz w:val="24"/>
        </w:rPr>
        <w:t>(1991)</w:t>
      </w:r>
      <w:r w:rsidRPr="0039463F">
        <w:rPr>
          <w:sz w:val="24"/>
        </w:rPr>
        <w:t>, Pedler</w:t>
      </w:r>
      <w:r>
        <w:rPr>
          <w:sz w:val="24"/>
        </w:rPr>
        <w:t xml:space="preserve"> </w:t>
      </w:r>
      <w:r w:rsidRPr="002354EC">
        <w:rPr>
          <w:i/>
          <w:sz w:val="24"/>
        </w:rPr>
        <w:t>et al.</w:t>
      </w:r>
      <w:r w:rsidRPr="0039463F">
        <w:rPr>
          <w:sz w:val="24"/>
        </w:rPr>
        <w:t xml:space="preserve"> </w:t>
      </w:r>
      <w:r>
        <w:rPr>
          <w:noProof/>
          <w:sz w:val="24"/>
        </w:rPr>
        <w:t>(1991)</w:t>
      </w:r>
      <w:r w:rsidRPr="0039463F">
        <w:rPr>
          <w:sz w:val="24"/>
        </w:rPr>
        <w:t xml:space="preserve">, Watkins and Marsick (1993), Marquardt and Reynolds </w:t>
      </w:r>
      <w:r>
        <w:rPr>
          <w:noProof/>
          <w:sz w:val="24"/>
        </w:rPr>
        <w:t>(1994)</w:t>
      </w:r>
      <w:r w:rsidRPr="0039463F">
        <w:rPr>
          <w:sz w:val="24"/>
        </w:rPr>
        <w:t xml:space="preserve">, West </w:t>
      </w:r>
      <w:r>
        <w:rPr>
          <w:noProof/>
          <w:sz w:val="24"/>
        </w:rPr>
        <w:t>(1994)</w:t>
      </w:r>
      <w:r w:rsidRPr="0039463F">
        <w:rPr>
          <w:sz w:val="24"/>
        </w:rPr>
        <w:t>,</w:t>
      </w:r>
      <w:r>
        <w:rPr>
          <w:sz w:val="24"/>
        </w:rPr>
        <w:t xml:space="preserve"> and</w:t>
      </w:r>
      <w:r w:rsidRPr="0039463F">
        <w:rPr>
          <w:sz w:val="24"/>
        </w:rPr>
        <w:t xml:space="preserve"> </w:t>
      </w:r>
      <w:r>
        <w:rPr>
          <w:noProof/>
          <w:sz w:val="24"/>
        </w:rPr>
        <w:t>Pedler and Aspinwall (1998)</w:t>
      </w:r>
      <w:r w:rsidRPr="0039463F">
        <w:rPr>
          <w:sz w:val="24"/>
        </w:rPr>
        <w:t>.</w:t>
      </w:r>
    </w:p>
    <w:p w14:paraId="3AD5B1EB" w14:textId="77777777" w:rsidR="00B33FFE" w:rsidRPr="0039463F" w:rsidRDefault="00B33FFE" w:rsidP="00F4246E">
      <w:pPr>
        <w:pStyle w:val="Listeavsnitt"/>
        <w:numPr>
          <w:ilvl w:val="0"/>
          <w:numId w:val="2"/>
        </w:numPr>
        <w:rPr>
          <w:sz w:val="24"/>
        </w:rPr>
      </w:pPr>
      <w:r w:rsidRPr="0039463F">
        <w:rPr>
          <w:sz w:val="24"/>
        </w:rPr>
        <w:t xml:space="preserve">An organization with an organic structure characterized by being flexible, decentralized, informal, and team-based, </w:t>
      </w:r>
      <w:r>
        <w:rPr>
          <w:sz w:val="24"/>
        </w:rPr>
        <w:t xml:space="preserve">so that </w:t>
      </w:r>
      <w:r w:rsidRPr="0039463F">
        <w:rPr>
          <w:sz w:val="24"/>
        </w:rPr>
        <w:t>individuals</w:t>
      </w:r>
      <w:r>
        <w:rPr>
          <w:sz w:val="24"/>
        </w:rPr>
        <w:t xml:space="preserve"> are enabled</w:t>
      </w:r>
      <w:r w:rsidRPr="0039463F">
        <w:rPr>
          <w:sz w:val="24"/>
        </w:rPr>
        <w:t xml:space="preserve"> to make their own decisions:</w:t>
      </w:r>
      <w:r>
        <w:rPr>
          <w:sz w:val="24"/>
        </w:rPr>
        <w:t xml:space="preserve"> the “l</w:t>
      </w:r>
      <w:r w:rsidRPr="0039463F">
        <w:rPr>
          <w:sz w:val="24"/>
        </w:rPr>
        <w:t>earning structure</w:t>
      </w:r>
      <w:r>
        <w:rPr>
          <w:sz w:val="24"/>
        </w:rPr>
        <w:t>”</w:t>
      </w:r>
      <w:r w:rsidRPr="0039463F">
        <w:rPr>
          <w:sz w:val="24"/>
        </w:rPr>
        <w:t xml:space="preserve"> perspective. </w:t>
      </w:r>
      <w:r>
        <w:rPr>
          <w:sz w:val="24"/>
        </w:rPr>
        <w:t xml:space="preserve">As studies representing this perspective, Örtenblad (2002) lists </w:t>
      </w:r>
      <w:r>
        <w:rPr>
          <w:noProof/>
          <w:sz w:val="24"/>
        </w:rPr>
        <w:t>Senge (1990)</w:t>
      </w:r>
      <w:r w:rsidRPr="0039463F">
        <w:rPr>
          <w:sz w:val="24"/>
        </w:rPr>
        <w:t xml:space="preserve">, Jones and Hendry (1992), Watkins and Marsick (1993), West (1994), </w:t>
      </w:r>
      <w:r>
        <w:rPr>
          <w:sz w:val="24"/>
        </w:rPr>
        <w:t xml:space="preserve">and </w:t>
      </w:r>
      <w:r w:rsidRPr="0039463F">
        <w:rPr>
          <w:sz w:val="24"/>
        </w:rPr>
        <w:t>Pedler and Aspinwall (1998).</w:t>
      </w:r>
    </w:p>
    <w:p w14:paraId="33174569" w14:textId="77777777" w:rsidR="00B33FFE" w:rsidRPr="0039463F" w:rsidRDefault="00B33FFE" w:rsidP="00F4246E">
      <w:pPr>
        <w:pStyle w:val="Listeavsnitt"/>
        <w:numPr>
          <w:ilvl w:val="0"/>
          <w:numId w:val="2"/>
        </w:numPr>
        <w:rPr>
          <w:sz w:val="24"/>
        </w:rPr>
      </w:pPr>
      <w:r w:rsidRPr="0039463F">
        <w:rPr>
          <w:sz w:val="24"/>
        </w:rPr>
        <w:t>An organization where the need for learning is recognized and knowledge is stored in the organizational memory:</w:t>
      </w:r>
      <w:r>
        <w:rPr>
          <w:sz w:val="24"/>
        </w:rPr>
        <w:t xml:space="preserve"> the “o</w:t>
      </w:r>
      <w:r w:rsidRPr="0039463F">
        <w:rPr>
          <w:sz w:val="24"/>
        </w:rPr>
        <w:t>rganizational learning</w:t>
      </w:r>
      <w:r>
        <w:rPr>
          <w:sz w:val="24"/>
        </w:rPr>
        <w:t>”</w:t>
      </w:r>
      <w:r w:rsidRPr="0039463F">
        <w:rPr>
          <w:sz w:val="24"/>
        </w:rPr>
        <w:t xml:space="preserve"> perspective. </w:t>
      </w:r>
      <w:r>
        <w:rPr>
          <w:sz w:val="24"/>
        </w:rPr>
        <w:t>Here Örtenblad (2002) lists the following studies as representative:</w:t>
      </w:r>
      <w:r w:rsidRPr="0039463F">
        <w:rPr>
          <w:sz w:val="24"/>
        </w:rPr>
        <w:t xml:space="preserve"> </w:t>
      </w:r>
      <w:r>
        <w:rPr>
          <w:noProof/>
          <w:sz w:val="24"/>
        </w:rPr>
        <w:t>McGill</w:t>
      </w:r>
      <w:r w:rsidRPr="006928C8">
        <w:rPr>
          <w:i/>
          <w:noProof/>
          <w:sz w:val="24"/>
        </w:rPr>
        <w:t xml:space="preserve"> et al.</w:t>
      </w:r>
      <w:r>
        <w:rPr>
          <w:noProof/>
          <w:sz w:val="24"/>
        </w:rPr>
        <w:t xml:space="preserve"> (1992)</w:t>
      </w:r>
      <w:r w:rsidRPr="0039463F">
        <w:rPr>
          <w:sz w:val="24"/>
        </w:rPr>
        <w:t xml:space="preserve">, </w:t>
      </w:r>
      <w:r>
        <w:rPr>
          <w:noProof/>
          <w:sz w:val="24"/>
        </w:rPr>
        <w:t>Garvin (1993)</w:t>
      </w:r>
      <w:r w:rsidRPr="0039463F">
        <w:rPr>
          <w:sz w:val="24"/>
        </w:rPr>
        <w:t>, Watkins and Marsick (1993), Jones and Hendry (1994), Marquardt and Re</w:t>
      </w:r>
      <w:r>
        <w:rPr>
          <w:sz w:val="24"/>
        </w:rPr>
        <w:t>y</w:t>
      </w:r>
      <w:r w:rsidRPr="0039463F">
        <w:rPr>
          <w:sz w:val="24"/>
        </w:rPr>
        <w:t>nolds (1994),</w:t>
      </w:r>
      <w:r>
        <w:rPr>
          <w:sz w:val="24"/>
        </w:rPr>
        <w:t xml:space="preserve"> and</w:t>
      </w:r>
      <w:r w:rsidRPr="0039463F">
        <w:rPr>
          <w:sz w:val="24"/>
        </w:rPr>
        <w:t xml:space="preserve"> West (1994)</w:t>
      </w:r>
      <w:r>
        <w:rPr>
          <w:sz w:val="24"/>
        </w:rPr>
        <w:t>.</w:t>
      </w:r>
    </w:p>
    <w:p w14:paraId="1ECE9A19" w14:textId="77777777" w:rsidR="00B33FFE" w:rsidRDefault="00B33FFE" w:rsidP="00F4246E">
      <w:pPr>
        <w:rPr>
          <w:sz w:val="24"/>
        </w:rPr>
      </w:pPr>
      <w:r>
        <w:rPr>
          <w:sz w:val="24"/>
        </w:rPr>
        <w:t>There is an overlap of studies representing the different</w:t>
      </w:r>
      <w:r w:rsidRPr="0039463F">
        <w:rPr>
          <w:sz w:val="24"/>
        </w:rPr>
        <w:t xml:space="preserve"> perspective</w:t>
      </w:r>
      <w:r>
        <w:rPr>
          <w:sz w:val="24"/>
        </w:rPr>
        <w:t>s</w:t>
      </w:r>
      <w:r w:rsidRPr="0039463F">
        <w:rPr>
          <w:sz w:val="24"/>
        </w:rPr>
        <w:t>,</w:t>
      </w:r>
      <w:r>
        <w:rPr>
          <w:sz w:val="24"/>
        </w:rPr>
        <w:t xml:space="preserve"> signifying that the definitions need not be seen as mutually exclusive. Arguably</w:t>
      </w:r>
      <w:r w:rsidRPr="0039463F">
        <w:rPr>
          <w:sz w:val="24"/>
        </w:rPr>
        <w:t xml:space="preserve"> an organization can be considered</w:t>
      </w:r>
      <w:r>
        <w:rPr>
          <w:sz w:val="24"/>
        </w:rPr>
        <w:t xml:space="preserve"> </w:t>
      </w:r>
      <w:r w:rsidRPr="0074490D">
        <w:rPr>
          <w:sz w:val="24"/>
        </w:rPr>
        <w:t>a</w:t>
      </w:r>
      <w:r w:rsidRPr="00DD2077">
        <w:rPr>
          <w:sz w:val="24"/>
        </w:rPr>
        <w:t xml:space="preserve"> </w:t>
      </w:r>
      <w:r>
        <w:rPr>
          <w:sz w:val="24"/>
        </w:rPr>
        <w:t>“</w:t>
      </w:r>
      <w:r w:rsidRPr="00DD2077">
        <w:rPr>
          <w:sz w:val="24"/>
        </w:rPr>
        <w:t>l</w:t>
      </w:r>
      <w:r w:rsidRPr="0074490D">
        <w:rPr>
          <w:sz w:val="24"/>
        </w:rPr>
        <w:t>earning organization</w:t>
      </w:r>
      <w:r>
        <w:rPr>
          <w:sz w:val="24"/>
        </w:rPr>
        <w:t>”</w:t>
      </w:r>
      <w:r w:rsidRPr="0039463F">
        <w:rPr>
          <w:sz w:val="24"/>
        </w:rPr>
        <w:t xml:space="preserve"> as long as it satisfies the criteria of at least one perspective</w:t>
      </w:r>
      <w:r>
        <w:rPr>
          <w:sz w:val="24"/>
        </w:rPr>
        <w:t xml:space="preserve"> (Örtenblad, 2002)</w:t>
      </w:r>
      <w:r w:rsidRPr="0039463F">
        <w:rPr>
          <w:sz w:val="24"/>
        </w:rPr>
        <w:t xml:space="preserve">. </w:t>
      </w:r>
      <w:r>
        <w:rPr>
          <w:sz w:val="24"/>
        </w:rPr>
        <w:t>In view of the four perspectives,</w:t>
      </w:r>
      <w:r w:rsidRPr="0039463F">
        <w:rPr>
          <w:sz w:val="24"/>
        </w:rPr>
        <w:t xml:space="preserve"> HEIs </w:t>
      </w:r>
      <w:r>
        <w:rPr>
          <w:sz w:val="24"/>
        </w:rPr>
        <w:t xml:space="preserve">are inherently </w:t>
      </w:r>
      <w:r w:rsidRPr="0039463F">
        <w:rPr>
          <w:sz w:val="24"/>
        </w:rPr>
        <w:t xml:space="preserve">learning organizations to a certain extent (Örtenblad and Koris, 2014). </w:t>
      </w:r>
      <w:r>
        <w:rPr>
          <w:sz w:val="24"/>
        </w:rPr>
        <w:t>L</w:t>
      </w:r>
      <w:r w:rsidRPr="0039463F">
        <w:rPr>
          <w:sz w:val="24"/>
        </w:rPr>
        <w:t xml:space="preserve">ecturers and researchers learn while they teach and do research </w:t>
      </w:r>
      <w:r>
        <w:rPr>
          <w:noProof/>
          <w:sz w:val="24"/>
        </w:rPr>
        <w:t>(Flyvbjerg, 2006; Örtenblad and Koris, 2014)</w:t>
      </w:r>
      <w:r>
        <w:rPr>
          <w:sz w:val="24"/>
        </w:rPr>
        <w:t xml:space="preserve"> so HEIs are learning organizations according to the learning at work perspective (Örtenblad and Koris, 2014).</w:t>
      </w:r>
      <w:r w:rsidRPr="0039463F">
        <w:rPr>
          <w:sz w:val="24"/>
        </w:rPr>
        <w:t xml:space="preserve"> From </w:t>
      </w:r>
      <w:r>
        <w:rPr>
          <w:sz w:val="24"/>
        </w:rPr>
        <w:t xml:space="preserve">the </w:t>
      </w:r>
      <w:r w:rsidRPr="0039463F">
        <w:rPr>
          <w:sz w:val="24"/>
        </w:rPr>
        <w:t>learning climate perspective, HEIs are learning organizations since academic staff members are encouraged to apply for research grants and conduct research</w:t>
      </w:r>
      <w:r>
        <w:rPr>
          <w:sz w:val="24"/>
        </w:rPr>
        <w:t xml:space="preserve"> (Örtenblad and Koris, 2014).</w:t>
      </w:r>
      <w:r w:rsidRPr="0039463F">
        <w:rPr>
          <w:sz w:val="24"/>
        </w:rPr>
        <w:t xml:space="preserve"> </w:t>
      </w:r>
      <w:r>
        <w:rPr>
          <w:sz w:val="24"/>
        </w:rPr>
        <w:t>S</w:t>
      </w:r>
      <w:r w:rsidRPr="0039463F">
        <w:rPr>
          <w:sz w:val="24"/>
        </w:rPr>
        <w:t>ince they are relatively decentralized</w:t>
      </w:r>
      <w:r>
        <w:rPr>
          <w:sz w:val="24"/>
        </w:rPr>
        <w:t xml:space="preserve"> </w:t>
      </w:r>
      <w:r>
        <w:rPr>
          <w:noProof/>
          <w:sz w:val="24"/>
        </w:rPr>
        <w:t>(Watkins, 2005)</w:t>
      </w:r>
      <w:r>
        <w:rPr>
          <w:sz w:val="24"/>
        </w:rPr>
        <w:t>, HEIs can be</w:t>
      </w:r>
      <w:r w:rsidRPr="0039463F">
        <w:rPr>
          <w:sz w:val="24"/>
        </w:rPr>
        <w:t xml:space="preserve"> considered learning organization</w:t>
      </w:r>
      <w:r>
        <w:rPr>
          <w:sz w:val="24"/>
        </w:rPr>
        <w:t>s</w:t>
      </w:r>
      <w:r w:rsidRPr="0039463F">
        <w:rPr>
          <w:sz w:val="24"/>
        </w:rPr>
        <w:t xml:space="preserve"> </w:t>
      </w:r>
      <w:r>
        <w:rPr>
          <w:sz w:val="24"/>
        </w:rPr>
        <w:t>f</w:t>
      </w:r>
      <w:r w:rsidRPr="0039463F">
        <w:rPr>
          <w:sz w:val="24"/>
        </w:rPr>
        <w:t>rom</w:t>
      </w:r>
      <w:r>
        <w:rPr>
          <w:sz w:val="24"/>
        </w:rPr>
        <w:t xml:space="preserve"> the</w:t>
      </w:r>
      <w:r w:rsidRPr="0039463F">
        <w:rPr>
          <w:sz w:val="24"/>
        </w:rPr>
        <w:t xml:space="preserve"> learning structure perspective</w:t>
      </w:r>
      <w:r>
        <w:rPr>
          <w:sz w:val="24"/>
        </w:rPr>
        <w:t xml:space="preserve"> (Örtenblad and </w:t>
      </w:r>
      <w:r>
        <w:rPr>
          <w:sz w:val="24"/>
        </w:rPr>
        <w:lastRenderedPageBreak/>
        <w:t xml:space="preserve">Koris, 2014). </w:t>
      </w:r>
      <w:r w:rsidRPr="0039463F">
        <w:rPr>
          <w:sz w:val="24"/>
        </w:rPr>
        <w:t>Finally,</w:t>
      </w:r>
      <w:r>
        <w:rPr>
          <w:sz w:val="24"/>
        </w:rPr>
        <w:t xml:space="preserve"> as</w:t>
      </w:r>
      <w:r w:rsidRPr="0039463F">
        <w:rPr>
          <w:sz w:val="24"/>
        </w:rPr>
        <w:t xml:space="preserve"> knowledge is stored in university knowledge repository center</w:t>
      </w:r>
      <w:r>
        <w:rPr>
          <w:sz w:val="24"/>
        </w:rPr>
        <w:t>s</w:t>
      </w:r>
      <w:r w:rsidRPr="0039463F">
        <w:rPr>
          <w:sz w:val="24"/>
        </w:rPr>
        <w:t xml:space="preserve"> such as librar</w:t>
      </w:r>
      <w:r>
        <w:rPr>
          <w:sz w:val="24"/>
        </w:rPr>
        <w:t>ies and</w:t>
      </w:r>
      <w:r w:rsidRPr="0039463F">
        <w:rPr>
          <w:sz w:val="24"/>
        </w:rPr>
        <w:t xml:space="preserve"> online database system</w:t>
      </w:r>
      <w:r>
        <w:rPr>
          <w:sz w:val="24"/>
        </w:rPr>
        <w:t>s</w:t>
      </w:r>
      <w:r w:rsidRPr="0039463F">
        <w:rPr>
          <w:sz w:val="24"/>
        </w:rPr>
        <w:t>, HEIs a</w:t>
      </w:r>
      <w:r>
        <w:rPr>
          <w:sz w:val="24"/>
        </w:rPr>
        <w:t>re</w:t>
      </w:r>
      <w:r w:rsidRPr="0039463F">
        <w:rPr>
          <w:sz w:val="24"/>
        </w:rPr>
        <w:t xml:space="preserve"> learning organization</w:t>
      </w:r>
      <w:r>
        <w:rPr>
          <w:sz w:val="24"/>
        </w:rPr>
        <w:t>s</w:t>
      </w:r>
      <w:r w:rsidRPr="0039463F">
        <w:rPr>
          <w:sz w:val="24"/>
        </w:rPr>
        <w:t xml:space="preserve"> according to</w:t>
      </w:r>
      <w:r>
        <w:rPr>
          <w:sz w:val="24"/>
        </w:rPr>
        <w:t xml:space="preserve"> the</w:t>
      </w:r>
      <w:r w:rsidRPr="0039463F">
        <w:rPr>
          <w:sz w:val="24"/>
        </w:rPr>
        <w:t xml:space="preserve"> organizational learning perspective.</w:t>
      </w:r>
    </w:p>
    <w:p w14:paraId="76FA7976" w14:textId="77BA3C10" w:rsidR="00B33FFE" w:rsidRPr="0039463F" w:rsidRDefault="00B33FFE" w:rsidP="00F4246E">
      <w:pPr>
        <w:rPr>
          <w:sz w:val="24"/>
        </w:rPr>
      </w:pPr>
      <w:r>
        <w:rPr>
          <w:sz w:val="24"/>
        </w:rPr>
        <w:t>As</w:t>
      </w:r>
      <w:r w:rsidRPr="0039463F">
        <w:rPr>
          <w:sz w:val="24"/>
        </w:rPr>
        <w:t xml:space="preserve"> HEIs are</w:t>
      </w:r>
      <w:r>
        <w:rPr>
          <w:sz w:val="24"/>
        </w:rPr>
        <w:t xml:space="preserve"> to some degree</w:t>
      </w:r>
      <w:r w:rsidRPr="0039463F">
        <w:rPr>
          <w:sz w:val="24"/>
        </w:rPr>
        <w:t xml:space="preserve"> </w:t>
      </w:r>
      <w:r>
        <w:rPr>
          <w:sz w:val="24"/>
        </w:rPr>
        <w:t>“</w:t>
      </w:r>
      <w:r w:rsidRPr="0039463F">
        <w:rPr>
          <w:sz w:val="24"/>
        </w:rPr>
        <w:t>learning organizations</w:t>
      </w:r>
      <w:r>
        <w:rPr>
          <w:sz w:val="24"/>
        </w:rPr>
        <w:t>” by their innate nature</w:t>
      </w:r>
      <w:r w:rsidRPr="0039463F">
        <w:rPr>
          <w:sz w:val="24"/>
        </w:rPr>
        <w:t>,</w:t>
      </w:r>
      <w:r>
        <w:rPr>
          <w:sz w:val="24"/>
        </w:rPr>
        <w:t xml:space="preserve"> as explained above, one might naturally</w:t>
      </w:r>
      <w:r w:rsidRPr="0039463F">
        <w:rPr>
          <w:sz w:val="24"/>
        </w:rPr>
        <w:t xml:space="preserve"> assum</w:t>
      </w:r>
      <w:r>
        <w:rPr>
          <w:sz w:val="24"/>
        </w:rPr>
        <w:t>e</w:t>
      </w:r>
      <w:r w:rsidRPr="0039463F">
        <w:rPr>
          <w:sz w:val="24"/>
        </w:rPr>
        <w:t xml:space="preserve"> that HEIs excel in learning, and especially in extracting knowledge from their academic employees. </w:t>
      </w:r>
      <w:r>
        <w:rPr>
          <w:sz w:val="24"/>
        </w:rPr>
        <w:t>Surprisingly,</w:t>
      </w:r>
      <w:r w:rsidRPr="0039463F">
        <w:rPr>
          <w:sz w:val="24"/>
        </w:rPr>
        <w:t xml:space="preserve"> as Watson (2000) has pointed out, this is not the case</w:t>
      </w:r>
      <w:r>
        <w:rPr>
          <w:sz w:val="24"/>
        </w:rPr>
        <w:t>:</w:t>
      </w:r>
      <w:r w:rsidRPr="0039463F">
        <w:rPr>
          <w:sz w:val="24"/>
        </w:rPr>
        <w:t xml:space="preserve"> “</w:t>
      </w:r>
      <w:r w:rsidR="00215D12">
        <w:rPr>
          <w:sz w:val="24"/>
        </w:rPr>
        <w:t>[There]</w:t>
      </w:r>
      <w:r w:rsidRPr="0039463F">
        <w:rPr>
          <w:sz w:val="24"/>
        </w:rPr>
        <w:t xml:space="preserve"> is very little evidence that explicit use of the management knowledge possessed by management academics takes place in the management of higher education” (pp. 89-90). </w:t>
      </w:r>
      <w:r>
        <w:rPr>
          <w:sz w:val="24"/>
        </w:rPr>
        <w:t>It is paradoxical that</w:t>
      </w:r>
      <w:r w:rsidRPr="0039463F">
        <w:rPr>
          <w:sz w:val="24"/>
        </w:rPr>
        <w:t xml:space="preserve"> “despite employing leading experts on the practice of management, business schools and their parent universities seem not to take advice from such experts in running their own affairs” (p. 99)</w:t>
      </w:r>
      <w:r>
        <w:rPr>
          <w:sz w:val="24"/>
        </w:rPr>
        <w:t>. This phenomenon of academic non-consultation</w:t>
      </w:r>
      <w:r w:rsidRPr="0039463F">
        <w:rPr>
          <w:sz w:val="24"/>
        </w:rPr>
        <w:t xml:space="preserve"> seems to go against the common sense of the learning organization idea. </w:t>
      </w:r>
      <w:r>
        <w:rPr>
          <w:sz w:val="24"/>
        </w:rPr>
        <w:t xml:space="preserve">By challenging assumptions about HEIs that </w:t>
      </w:r>
      <w:r w:rsidR="00BC17B6">
        <w:rPr>
          <w:sz w:val="24"/>
        </w:rPr>
        <w:t>one</w:t>
      </w:r>
      <w:r>
        <w:rPr>
          <w:sz w:val="24"/>
        </w:rPr>
        <w:t xml:space="preserve"> might take for granted, Watson’s article opens up opportunities for interesting new theory development – “interesting” theories being, according to Davis</w:t>
      </w:r>
      <w:r w:rsidRPr="00280779">
        <w:rPr>
          <w:sz w:val="24"/>
        </w:rPr>
        <w:t xml:space="preserve"> </w:t>
      </w:r>
      <w:r>
        <w:rPr>
          <w:noProof/>
          <w:sz w:val="24"/>
        </w:rPr>
        <w:t>(1971)</w:t>
      </w:r>
      <w:r>
        <w:rPr>
          <w:sz w:val="24"/>
        </w:rPr>
        <w:t>, ones that “constitute an attack on the taken-for-granted world of their audience</w:t>
      </w:r>
      <w:r w:rsidRPr="00DF5DE0">
        <w:rPr>
          <w:sz w:val="24"/>
        </w:rPr>
        <w:t xml:space="preserve">.” </w:t>
      </w:r>
      <w:r w:rsidR="00DF5DE0">
        <w:rPr>
          <w:sz w:val="24"/>
        </w:rPr>
        <w:t>On the other hand, the conclusion</w:t>
      </w:r>
      <w:r w:rsidRPr="002354EC">
        <w:rPr>
          <w:sz w:val="24"/>
        </w:rPr>
        <w:t xml:space="preserve"> that HEIs are learning organizations only to a limited exten</w:t>
      </w:r>
      <w:r w:rsidR="00DF5DE0">
        <w:rPr>
          <w:sz w:val="24"/>
        </w:rPr>
        <w:t>t</w:t>
      </w:r>
      <w:r w:rsidRPr="002354EC">
        <w:rPr>
          <w:sz w:val="24"/>
        </w:rPr>
        <w:t xml:space="preserve"> is in line with </w:t>
      </w:r>
      <w:r w:rsidR="00DF5DE0">
        <w:rPr>
          <w:sz w:val="24"/>
        </w:rPr>
        <w:t>an observation</w:t>
      </w:r>
      <w:r w:rsidRPr="002354EC">
        <w:rPr>
          <w:sz w:val="24"/>
        </w:rPr>
        <w:t xml:space="preserve"> </w:t>
      </w:r>
      <w:r w:rsidR="00DF5DE0">
        <w:rPr>
          <w:sz w:val="24"/>
        </w:rPr>
        <w:t>by</w:t>
      </w:r>
      <w:r w:rsidRPr="002354EC">
        <w:rPr>
          <w:sz w:val="24"/>
        </w:rPr>
        <w:t xml:space="preserve"> Örtenblad and Koris (2014): “HEIs seem to single-loop learn (learning within the current mind-set) much more than they double-loop learn (questioning the current mind-set and learning a new one), which makes HEIs already organizational learning organizations only to a limited extent” (p. 199).</w:t>
      </w:r>
    </w:p>
    <w:p w14:paraId="02128F8B" w14:textId="7BC990F8" w:rsidR="00B33FFE" w:rsidRPr="0039463F" w:rsidRDefault="00B33FFE" w:rsidP="00F4246E">
      <w:pPr>
        <w:rPr>
          <w:b/>
          <w:sz w:val="24"/>
        </w:rPr>
      </w:pPr>
      <w:r w:rsidRPr="0039463F">
        <w:rPr>
          <w:sz w:val="24"/>
        </w:rPr>
        <w:t xml:space="preserve">The fact that managers of HEIs are either unable or unwilling to draw on the prolific knowledge of their own staff implies that barriers exist to learning within these organizations, </w:t>
      </w:r>
      <w:r w:rsidR="00A8613E">
        <w:rPr>
          <w:sz w:val="24"/>
        </w:rPr>
        <w:t xml:space="preserve">making them only partial rather than full-fledged learning organizations, </w:t>
      </w:r>
      <w:r w:rsidRPr="0039463F">
        <w:rPr>
          <w:sz w:val="24"/>
        </w:rPr>
        <w:t>to the possible detriment of their</w:t>
      </w:r>
      <w:r w:rsidR="00A8613E">
        <w:rPr>
          <w:sz w:val="24"/>
        </w:rPr>
        <w:t xml:space="preserve"> development</w:t>
      </w:r>
      <w:r w:rsidRPr="0039463F">
        <w:rPr>
          <w:sz w:val="24"/>
        </w:rPr>
        <w:t>. These barriers might not be unique to HEIs</w:t>
      </w:r>
      <w:r>
        <w:rPr>
          <w:sz w:val="24"/>
        </w:rPr>
        <w:t xml:space="preserve">, </w:t>
      </w:r>
      <w:r w:rsidRPr="0039463F">
        <w:rPr>
          <w:sz w:val="24"/>
        </w:rPr>
        <w:t>even though they manifest themselves most conspicuously in these organizations.</w:t>
      </w:r>
      <w:r>
        <w:rPr>
          <w:sz w:val="24"/>
        </w:rPr>
        <w:t xml:space="preserve"> To the extent that</w:t>
      </w:r>
      <w:r w:rsidRPr="0039463F">
        <w:rPr>
          <w:sz w:val="24"/>
        </w:rPr>
        <w:t xml:space="preserve"> they represent a more universal phenomenon, resolving the puzzle formulated by Watson </w:t>
      </w:r>
      <w:r>
        <w:rPr>
          <w:sz w:val="24"/>
        </w:rPr>
        <w:t>w</w:t>
      </w:r>
      <w:r w:rsidRPr="0039463F">
        <w:rPr>
          <w:sz w:val="24"/>
        </w:rPr>
        <w:t>ould</w:t>
      </w:r>
      <w:r>
        <w:rPr>
          <w:sz w:val="24"/>
        </w:rPr>
        <w:t xml:space="preserve"> constitute</w:t>
      </w:r>
      <w:r w:rsidRPr="0039463F">
        <w:rPr>
          <w:sz w:val="24"/>
        </w:rPr>
        <w:t xml:space="preserve"> an important contribution to the field of learning organizations. </w:t>
      </w:r>
      <w:r>
        <w:rPr>
          <w:sz w:val="24"/>
        </w:rPr>
        <w:t>In the hope that such a contribution will materialize, we</w:t>
      </w:r>
      <w:r w:rsidR="00F4246E">
        <w:rPr>
          <w:sz w:val="24"/>
        </w:rPr>
        <w:t xml:space="preserve"> will</w:t>
      </w:r>
      <w:r w:rsidRPr="0039463F">
        <w:rPr>
          <w:sz w:val="24"/>
        </w:rPr>
        <w:t xml:space="preserve"> propose a</w:t>
      </w:r>
      <w:r>
        <w:rPr>
          <w:sz w:val="24"/>
        </w:rPr>
        <w:t>n</w:t>
      </w:r>
      <w:r w:rsidRPr="0039463F">
        <w:rPr>
          <w:sz w:val="24"/>
        </w:rPr>
        <w:t xml:space="preserve"> </w:t>
      </w:r>
      <w:r>
        <w:rPr>
          <w:sz w:val="24"/>
        </w:rPr>
        <w:t xml:space="preserve">agenda for future </w:t>
      </w:r>
      <w:r w:rsidRPr="0039463F">
        <w:rPr>
          <w:sz w:val="24"/>
        </w:rPr>
        <w:t xml:space="preserve">research </w:t>
      </w:r>
      <w:r>
        <w:rPr>
          <w:sz w:val="24"/>
        </w:rPr>
        <w:t>into the puzzle of academic non-consultation in HEIs</w:t>
      </w:r>
      <w:r w:rsidRPr="0039463F">
        <w:rPr>
          <w:sz w:val="24"/>
        </w:rPr>
        <w:t>.</w:t>
      </w:r>
    </w:p>
    <w:p w14:paraId="348293D4" w14:textId="77777777" w:rsidR="0012217D" w:rsidRDefault="0012217D" w:rsidP="00F4246E">
      <w:pPr>
        <w:rPr>
          <w:b/>
          <w:sz w:val="24"/>
        </w:rPr>
      </w:pPr>
    </w:p>
    <w:p w14:paraId="75AC32D6" w14:textId="1EDDD799" w:rsidR="00B33FFE" w:rsidRPr="0039463F" w:rsidRDefault="0012217D" w:rsidP="00F4246E">
      <w:pPr>
        <w:rPr>
          <w:b/>
          <w:sz w:val="24"/>
        </w:rPr>
      </w:pPr>
      <w:r>
        <w:rPr>
          <w:b/>
          <w:sz w:val="24"/>
        </w:rPr>
        <w:t>A GENERIC FRAMEWORK</w:t>
      </w:r>
    </w:p>
    <w:p w14:paraId="6A272949" w14:textId="77777777" w:rsidR="00B33FFE" w:rsidRPr="0039463F" w:rsidRDefault="00B33FFE" w:rsidP="00F4246E">
      <w:pPr>
        <w:rPr>
          <w:sz w:val="24"/>
        </w:rPr>
      </w:pPr>
      <w:r w:rsidRPr="0039463F">
        <w:rPr>
          <w:sz w:val="24"/>
        </w:rPr>
        <w:t xml:space="preserve">We believe Watson’s 2000 article deserves renewed attention and wish to encourage more research on the paradox of the persistent absence of an in-house consulting role for management academics. A helpful first step in this endeavor could be to classify the many possible explanations for the paradox according to some of their basic characteristics, in order to see better how they relate to each other, to ease the later task of systematically testing the hypotheses, and even to facilitate the development of new hypotheses. As </w:t>
      </w:r>
      <w:r w:rsidRPr="0039463F">
        <w:rPr>
          <w:sz w:val="24"/>
        </w:rPr>
        <w:lastRenderedPageBreak/>
        <w:t>Watson points out in his article, his list of hypotheses is not necessarily exhaustive. This means that the classification scheme should be generic enough to accommodate other hypotheses than those initially proposed by Watson.</w:t>
      </w:r>
    </w:p>
    <w:p w14:paraId="7B67C4EF" w14:textId="7ECB8395" w:rsidR="00B33FFE" w:rsidRPr="0039463F" w:rsidRDefault="00B33FFE" w:rsidP="00F4246E">
      <w:pPr>
        <w:rPr>
          <w:b/>
          <w:sz w:val="24"/>
        </w:rPr>
      </w:pPr>
      <w:r w:rsidRPr="0039463F">
        <w:rPr>
          <w:sz w:val="24"/>
        </w:rPr>
        <w:t xml:space="preserve">With these aims in mind, we suggest a simple three-way categorization of the hypotheses. The shared characteristic of the hypotheses in the first category is that they pertain to </w:t>
      </w:r>
      <w:r w:rsidRPr="0039463F">
        <w:rPr>
          <w:i/>
          <w:sz w:val="24"/>
        </w:rPr>
        <w:t>management knowledge</w:t>
      </w:r>
      <w:r w:rsidRPr="0039463F">
        <w:rPr>
          <w:sz w:val="24"/>
        </w:rPr>
        <w:t xml:space="preserve">, i.e. whether sufficient management knowledge exists that is suitable for providing valuable advice on how to run HEIs, or whether there are management academics available with this knowledge. Watson’s first six hypotheses fall into this category. The second category concerns the </w:t>
      </w:r>
      <w:r w:rsidRPr="0039463F">
        <w:rPr>
          <w:i/>
          <w:sz w:val="24"/>
        </w:rPr>
        <w:t>motivation of HEI managers</w:t>
      </w:r>
      <w:r w:rsidRPr="0039463F">
        <w:rPr>
          <w:sz w:val="24"/>
        </w:rPr>
        <w:t xml:space="preserve"> to consult their own academics regarding managerial problems. This would include Watson’s Hypotheses 7 and 8. Finally, the third category relates to </w:t>
      </w:r>
      <w:r w:rsidRPr="0039463F">
        <w:rPr>
          <w:i/>
          <w:sz w:val="24"/>
        </w:rPr>
        <w:t>incentives for management academics</w:t>
      </w:r>
      <w:r w:rsidRPr="0039463F">
        <w:rPr>
          <w:sz w:val="24"/>
        </w:rPr>
        <w:t xml:space="preserve"> to get involved in such advisory activity. Watson’s Hypothesis 9 belongs in this category. Figure 1 provides an integrat</w:t>
      </w:r>
      <w:r w:rsidR="00F4246E">
        <w:rPr>
          <w:sz w:val="24"/>
        </w:rPr>
        <w:t>ed</w:t>
      </w:r>
      <w:r w:rsidRPr="0039463F">
        <w:rPr>
          <w:sz w:val="24"/>
        </w:rPr>
        <w:t xml:space="preserve"> framework that illustrates how these categories are connected and </w:t>
      </w:r>
      <w:r w:rsidR="00F4246E">
        <w:rPr>
          <w:sz w:val="24"/>
        </w:rPr>
        <w:t xml:space="preserve">can </w:t>
      </w:r>
      <w:r w:rsidRPr="0039463F">
        <w:rPr>
          <w:sz w:val="24"/>
        </w:rPr>
        <w:t xml:space="preserve">jointly explain the phenomenon in question. </w:t>
      </w:r>
    </w:p>
    <w:p w14:paraId="0D1F621C" w14:textId="77777777" w:rsidR="00B33FFE" w:rsidRPr="0039463F" w:rsidRDefault="00B33FFE" w:rsidP="00F4246E">
      <w:pPr>
        <w:ind w:firstLine="851"/>
        <w:jc w:val="center"/>
        <w:rPr>
          <w:b/>
          <w:sz w:val="24"/>
        </w:rPr>
      </w:pPr>
      <w:r w:rsidRPr="0039463F">
        <w:rPr>
          <w:b/>
          <w:sz w:val="24"/>
        </w:rPr>
        <w:t>Figure 1. Integrated framework explain</w:t>
      </w:r>
      <w:r>
        <w:rPr>
          <w:b/>
          <w:sz w:val="24"/>
        </w:rPr>
        <w:t>ing</w:t>
      </w:r>
      <w:r w:rsidRPr="0039463F">
        <w:rPr>
          <w:b/>
          <w:sz w:val="24"/>
        </w:rPr>
        <w:t xml:space="preserve"> the phenomenon of academic non-consultation in HEIs</w:t>
      </w:r>
    </w:p>
    <w:p w14:paraId="08037D41" w14:textId="77777777" w:rsidR="00B33FFE" w:rsidRPr="0039463F" w:rsidRDefault="00B33FFE" w:rsidP="00F4246E">
      <w:pPr>
        <w:rPr>
          <w:sz w:val="24"/>
        </w:rPr>
      </w:pPr>
      <w:r w:rsidRPr="0039463F">
        <w:rPr>
          <w:noProof/>
          <w:sz w:val="24"/>
          <w:lang w:val="nb-NO" w:eastAsia="nb-NO"/>
        </w:rPr>
        <mc:AlternateContent>
          <mc:Choice Requires="wpg">
            <w:drawing>
              <wp:anchor distT="0" distB="0" distL="114300" distR="114300" simplePos="0" relativeHeight="251659264" behindDoc="0" locked="0" layoutInCell="1" allowOverlap="1" wp14:anchorId="7060602E" wp14:editId="3C56B913">
                <wp:simplePos x="0" y="0"/>
                <wp:positionH relativeFrom="margin">
                  <wp:align>center</wp:align>
                </wp:positionH>
                <wp:positionV relativeFrom="paragraph">
                  <wp:posOffset>29845</wp:posOffset>
                </wp:positionV>
                <wp:extent cx="5923915" cy="2878455"/>
                <wp:effectExtent l="0" t="0" r="0" b="0"/>
                <wp:wrapNone/>
                <wp:docPr id="36" name="Gruppe 35"/>
                <wp:cNvGraphicFramePr/>
                <a:graphic xmlns:a="http://schemas.openxmlformats.org/drawingml/2006/main">
                  <a:graphicData uri="http://schemas.microsoft.com/office/word/2010/wordprocessingGroup">
                    <wpg:wgp>
                      <wpg:cNvGrpSpPr/>
                      <wpg:grpSpPr>
                        <a:xfrm>
                          <a:off x="0" y="0"/>
                          <a:ext cx="5923915" cy="2878455"/>
                          <a:chOff x="0" y="-21122"/>
                          <a:chExt cx="6442681" cy="2855176"/>
                        </a:xfrm>
                      </wpg:grpSpPr>
                      <wpg:grpSp>
                        <wpg:cNvPr id="2" name="Gruppe 2"/>
                        <wpg:cNvGrpSpPr/>
                        <wpg:grpSpPr>
                          <a:xfrm>
                            <a:off x="28508" y="-21122"/>
                            <a:ext cx="6414173" cy="2763316"/>
                            <a:chOff x="28508" y="-21125"/>
                            <a:chExt cx="6414514" cy="2763745"/>
                          </a:xfrm>
                        </wpg:grpSpPr>
                        <wps:wsp>
                          <wps:cNvPr id="5" name="TekstSylinder 2"/>
                          <wps:cNvSpPr txBox="1"/>
                          <wps:spPr>
                            <a:xfrm>
                              <a:off x="28508" y="0"/>
                              <a:ext cx="1771903" cy="276999"/>
                            </a:xfrm>
                            <a:prstGeom prst="rect">
                              <a:avLst/>
                            </a:prstGeom>
                            <a:noFill/>
                          </wps:spPr>
                          <wps:txbx>
                            <w:txbxContent>
                              <w:p w14:paraId="0ED89887"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Possible antecedents</w:t>
                                </w:r>
                              </w:p>
                            </w:txbxContent>
                          </wps:txbx>
                          <wps:bodyPr wrap="square" rtlCol="0">
                            <a:noAutofit/>
                          </wps:bodyPr>
                        </wps:wsp>
                        <wps:wsp>
                          <wps:cNvPr id="6" name="TekstSylinder 3"/>
                          <wps:cNvSpPr txBox="1"/>
                          <wps:spPr>
                            <a:xfrm>
                              <a:off x="2345131" y="0"/>
                              <a:ext cx="1502675" cy="276999"/>
                            </a:xfrm>
                            <a:prstGeom prst="rect">
                              <a:avLst/>
                            </a:prstGeom>
                            <a:noFill/>
                          </wps:spPr>
                          <wps:txbx>
                            <w:txbxContent>
                              <w:p w14:paraId="51A14EC3"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Plausible causes</w:t>
                                </w:r>
                              </w:p>
                            </w:txbxContent>
                          </wps:txbx>
                          <wps:bodyPr wrap="square" rtlCol="0">
                            <a:noAutofit/>
                          </wps:bodyPr>
                        </wps:wsp>
                        <wps:wsp>
                          <wps:cNvPr id="7" name="TekstSylinder 4"/>
                          <wps:cNvSpPr txBox="1"/>
                          <wps:spPr>
                            <a:xfrm>
                              <a:off x="4422507" y="-21125"/>
                              <a:ext cx="2020515" cy="276999"/>
                            </a:xfrm>
                            <a:prstGeom prst="rect">
                              <a:avLst/>
                            </a:prstGeom>
                            <a:noFill/>
                          </wps:spPr>
                          <wps:txbx>
                            <w:txbxContent>
                              <w:p w14:paraId="1BFB02FC"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Observed phenomenon</w:t>
                                </w:r>
                              </w:p>
                            </w:txbxContent>
                          </wps:txbx>
                          <wps:bodyPr wrap="square" rtlCol="0">
                            <a:noAutofit/>
                          </wps:bodyPr>
                        </wps:wsp>
                        <wpg:grpSp>
                          <wpg:cNvPr id="8" name="Gruppe 8"/>
                          <wpg:cNvGrpSpPr/>
                          <wpg:grpSpPr>
                            <a:xfrm>
                              <a:off x="4740621" y="793269"/>
                              <a:ext cx="1648548" cy="1342140"/>
                              <a:chOff x="4740881" y="793269"/>
                              <a:chExt cx="1389500" cy="634278"/>
                            </a:xfrm>
                          </wpg:grpSpPr>
                          <wps:wsp>
                            <wps:cNvPr id="34" name="Ellipse 34"/>
                            <wps:cNvSpPr/>
                            <wps:spPr>
                              <a:xfrm>
                                <a:off x="4748301" y="793269"/>
                                <a:ext cx="1319572" cy="63427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TekstSylinder 6"/>
                            <wps:cNvSpPr txBox="1"/>
                            <wps:spPr>
                              <a:xfrm>
                                <a:off x="4740881" y="951007"/>
                                <a:ext cx="1389500" cy="350863"/>
                              </a:xfrm>
                              <a:prstGeom prst="rect">
                                <a:avLst/>
                              </a:prstGeom>
                              <a:noFill/>
                            </wps:spPr>
                            <wps:txbx>
                              <w:txbxContent>
                                <w:p w14:paraId="41A9B8B2" w14:textId="77777777" w:rsidR="00F4246E" w:rsidRDefault="00F4246E" w:rsidP="00F4246E">
                                  <w:pPr>
                                    <w:pStyle w:val="NormalWeb"/>
                                    <w:spacing w:before="0" w:beforeAutospacing="0" w:after="0" w:afterAutospacing="0"/>
                                    <w:jc w:val="center"/>
                                    <w:rPr>
                                      <w:rFonts w:ascii="Calibri" w:eastAsia="SimSun" w:hAnsi="Calibri"/>
                                      <w:b/>
                                      <w:bCs/>
                                      <w:color w:val="000000"/>
                                      <w:kern w:val="24"/>
                                      <w:sz w:val="28"/>
                                      <w:szCs w:val="32"/>
                                      <w:lang w:val="nb-NO"/>
                                    </w:rPr>
                                  </w:pPr>
                                  <w:r w:rsidRPr="00375CCE">
                                    <w:rPr>
                                      <w:rFonts w:ascii="Calibri" w:eastAsia="SimSun" w:hAnsi="Calibri"/>
                                      <w:b/>
                                      <w:bCs/>
                                      <w:color w:val="000000"/>
                                      <w:kern w:val="24"/>
                                      <w:sz w:val="28"/>
                                      <w:szCs w:val="32"/>
                                      <w:lang w:val="nb-NO"/>
                                    </w:rPr>
                                    <w:t xml:space="preserve">Academic non-consultation </w:t>
                                  </w:r>
                                </w:p>
                                <w:p w14:paraId="271F5A4F" w14:textId="77777777" w:rsidR="00F4246E" w:rsidRPr="00375CCE" w:rsidRDefault="00F4246E" w:rsidP="00F4246E">
                                  <w:pPr>
                                    <w:pStyle w:val="NormalWeb"/>
                                    <w:spacing w:before="0" w:beforeAutospacing="0" w:after="0" w:afterAutospacing="0"/>
                                    <w:jc w:val="center"/>
                                    <w:rPr>
                                      <w:sz w:val="22"/>
                                    </w:rPr>
                                  </w:pPr>
                                  <w:r w:rsidRPr="00375CCE">
                                    <w:rPr>
                                      <w:rFonts w:ascii="Calibri" w:eastAsia="SimSun" w:hAnsi="Calibri"/>
                                      <w:b/>
                                      <w:bCs/>
                                      <w:color w:val="000000"/>
                                      <w:kern w:val="24"/>
                                      <w:sz w:val="28"/>
                                      <w:szCs w:val="32"/>
                                      <w:lang w:val="nb-NO"/>
                                    </w:rPr>
                                    <w:t>in HEIs</w:t>
                                  </w:r>
                                </w:p>
                              </w:txbxContent>
                            </wps:txbx>
                            <wps:bodyPr wrap="square" rtlCol="0">
                              <a:noAutofit/>
                            </wps:bodyPr>
                          </wps:wsp>
                        </wpg:grpSp>
                        <wpg:grpSp>
                          <wpg:cNvPr id="9" name="Gruppe 9"/>
                          <wpg:cNvGrpSpPr/>
                          <wpg:grpSpPr>
                            <a:xfrm>
                              <a:off x="2339129" y="372824"/>
                              <a:ext cx="1208401" cy="742336"/>
                              <a:chOff x="2339129" y="372824"/>
                              <a:chExt cx="1208401" cy="742336"/>
                            </a:xfrm>
                          </wpg:grpSpPr>
                          <wps:wsp>
                            <wps:cNvPr id="32" name="Rektangel: avrundede hjørner 32"/>
                            <wps:cNvSpPr/>
                            <wps:spPr>
                              <a:xfrm>
                                <a:off x="2339129" y="372824"/>
                                <a:ext cx="1208401" cy="7423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TekstSylinder 8"/>
                            <wps:cNvSpPr txBox="1"/>
                            <wps:spPr>
                              <a:xfrm>
                                <a:off x="2366491" y="434235"/>
                                <a:ext cx="1136088" cy="633535"/>
                              </a:xfrm>
                              <a:prstGeom prst="rect">
                                <a:avLst/>
                              </a:prstGeom>
                              <a:noFill/>
                            </wps:spPr>
                            <wps:txbx>
                              <w:txbxContent>
                                <w:p w14:paraId="1E12D349" w14:textId="77777777" w:rsidR="00F4246E" w:rsidRPr="00B27220" w:rsidRDefault="00F4246E" w:rsidP="00F4246E">
                                  <w:pPr>
                                    <w:pStyle w:val="NormalWeb"/>
                                    <w:spacing w:before="0" w:beforeAutospacing="0" w:after="0" w:afterAutospacing="0"/>
                                    <w:jc w:val="center"/>
                                    <w:rPr>
                                      <w:sz w:val="22"/>
                                    </w:rPr>
                                  </w:pPr>
                                  <w:r>
                                    <w:rPr>
                                      <w:rFonts w:ascii="Calibri" w:eastAsia="SimSun" w:hAnsi="Calibri"/>
                                      <w:color w:val="000000"/>
                                      <w:kern w:val="24"/>
                                      <w:sz w:val="22"/>
                                    </w:rPr>
                                    <w:t>Lack of motivation of HEI</w:t>
                                  </w:r>
                                  <w:r w:rsidRPr="00B27220">
                                    <w:rPr>
                                      <w:rFonts w:ascii="Calibri" w:eastAsia="SimSun" w:hAnsi="Calibri"/>
                                      <w:color w:val="000000"/>
                                      <w:kern w:val="24"/>
                                      <w:sz w:val="22"/>
                                    </w:rPr>
                                    <w:t xml:space="preserve"> managers</w:t>
                                  </w:r>
                                </w:p>
                              </w:txbxContent>
                            </wps:txbx>
                            <wps:bodyPr wrap="square" rtlCol="0">
                              <a:noAutofit/>
                            </wps:bodyPr>
                          </wps:wsp>
                        </wpg:grpSp>
                        <wpg:grpSp>
                          <wpg:cNvPr id="10" name="Gruppe 10"/>
                          <wpg:cNvGrpSpPr/>
                          <wpg:grpSpPr>
                            <a:xfrm>
                              <a:off x="2370750" y="1878083"/>
                              <a:ext cx="1208401" cy="864537"/>
                              <a:chOff x="2370750" y="1878083"/>
                              <a:chExt cx="1208401" cy="864537"/>
                            </a:xfrm>
                          </wpg:grpSpPr>
                          <wps:wsp>
                            <wps:cNvPr id="30" name="Rektangel: avrundede hjørner 30"/>
                            <wps:cNvSpPr/>
                            <wps:spPr>
                              <a:xfrm>
                                <a:off x="2370750" y="1878083"/>
                                <a:ext cx="1208401" cy="7423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TekstSylinder 10"/>
                            <wps:cNvSpPr txBox="1"/>
                            <wps:spPr>
                              <a:xfrm>
                                <a:off x="2403109" y="2029159"/>
                                <a:ext cx="1120744" cy="713461"/>
                              </a:xfrm>
                              <a:prstGeom prst="rect">
                                <a:avLst/>
                              </a:prstGeom>
                              <a:noFill/>
                            </wps:spPr>
                            <wps:txbx>
                              <w:txbxContent>
                                <w:p w14:paraId="656A2038" w14:textId="77777777" w:rsidR="00F4246E" w:rsidRPr="00B27220" w:rsidRDefault="00F4246E" w:rsidP="00F4246E">
                                  <w:pPr>
                                    <w:pStyle w:val="NormalWeb"/>
                                    <w:spacing w:before="0" w:beforeAutospacing="0" w:after="0" w:afterAutospacing="0"/>
                                    <w:jc w:val="center"/>
                                    <w:rPr>
                                      <w:sz w:val="22"/>
                                    </w:rPr>
                                  </w:pPr>
                                  <w:r w:rsidRPr="00B27220">
                                    <w:rPr>
                                      <w:rFonts w:ascii="Calibri" w:eastAsia="SimSun" w:hAnsi="Calibri"/>
                                      <w:color w:val="000000"/>
                                      <w:kern w:val="24"/>
                                      <w:sz w:val="22"/>
                                      <w:lang w:val="nb-NO"/>
                                    </w:rPr>
                                    <w:t>Disincentives for academics</w:t>
                                  </w:r>
                                </w:p>
                              </w:txbxContent>
                            </wps:txbx>
                            <wps:bodyPr wrap="square" rtlCol="0">
                              <a:noAutofit/>
                            </wps:bodyPr>
                          </wps:wsp>
                        </wpg:grpSp>
                        <wpg:grpSp>
                          <wpg:cNvPr id="11" name="Gruppe 11"/>
                          <wpg:cNvGrpSpPr/>
                          <wpg:grpSpPr>
                            <a:xfrm>
                              <a:off x="82868" y="753637"/>
                              <a:ext cx="1188085" cy="647714"/>
                              <a:chOff x="82868" y="753637"/>
                              <a:chExt cx="1188085" cy="647714"/>
                            </a:xfrm>
                          </wpg:grpSpPr>
                          <wps:wsp>
                            <wps:cNvPr id="28" name="Rektangel 28"/>
                            <wps:cNvSpPr/>
                            <wps:spPr>
                              <a:xfrm>
                                <a:off x="182869" y="780715"/>
                                <a:ext cx="1058133" cy="620636"/>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TekstSylinder 12"/>
                            <wps:cNvSpPr txBox="1"/>
                            <wps:spPr>
                              <a:xfrm>
                                <a:off x="82868" y="753637"/>
                                <a:ext cx="1188085" cy="625770"/>
                              </a:xfrm>
                              <a:prstGeom prst="rect">
                                <a:avLst/>
                              </a:prstGeom>
                              <a:noFill/>
                            </wps:spPr>
                            <wps:txbx>
                              <w:txbxContent>
                                <w:p w14:paraId="76735A65" w14:textId="77777777" w:rsidR="00F4246E" w:rsidRPr="00B92AB3" w:rsidRDefault="00F4246E" w:rsidP="00F4246E">
                                  <w:pPr>
                                    <w:pStyle w:val="NormalWeb"/>
                                    <w:spacing w:before="0" w:beforeAutospacing="0" w:after="0" w:afterAutospacing="0"/>
                                    <w:jc w:val="center"/>
                                    <w:rPr>
                                      <w:rFonts w:ascii="Calibri" w:eastAsia="SimSun" w:hAnsi="Calibri"/>
                                      <w:i/>
                                      <w:iCs/>
                                      <w:color w:val="000000"/>
                                      <w:kern w:val="24"/>
                                      <w:sz w:val="18"/>
                                      <w:szCs w:val="21"/>
                                    </w:rPr>
                                  </w:pPr>
                                  <w:r w:rsidRPr="00B92AB3">
                                    <w:rPr>
                                      <w:rFonts w:ascii="Calibri" w:eastAsia="SimSun" w:hAnsi="Calibri"/>
                                      <w:i/>
                                      <w:iCs/>
                                      <w:color w:val="000000"/>
                                      <w:kern w:val="24"/>
                                      <w:sz w:val="18"/>
                                      <w:szCs w:val="21"/>
                                    </w:rPr>
                                    <w:t xml:space="preserve">Lack of </w:t>
                                  </w:r>
                                </w:p>
                                <w:p w14:paraId="425FC0AA" w14:textId="77777777" w:rsidR="00F4246E" w:rsidRPr="00B92AB3" w:rsidRDefault="00F4246E" w:rsidP="00F4246E">
                                  <w:pPr>
                                    <w:pStyle w:val="NormalWeb"/>
                                    <w:spacing w:before="0" w:beforeAutospacing="0" w:after="0" w:afterAutospacing="0"/>
                                    <w:jc w:val="center"/>
                                    <w:rPr>
                                      <w:sz w:val="20"/>
                                    </w:rPr>
                                  </w:pPr>
                                  <w:r w:rsidRPr="00B92AB3">
                                    <w:rPr>
                                      <w:rFonts w:ascii="Calibri" w:eastAsia="SimSun" w:hAnsi="Calibri"/>
                                      <w:i/>
                                      <w:iCs/>
                                      <w:color w:val="000000"/>
                                      <w:kern w:val="24"/>
                                      <w:sz w:val="18"/>
                                      <w:szCs w:val="21"/>
                                    </w:rPr>
                                    <w:t>academics with sufficient knowledge</w:t>
                                  </w:r>
                                </w:p>
                              </w:txbxContent>
                            </wps:txbx>
                            <wps:bodyPr wrap="square" rtlCol="0">
                              <a:noAutofit/>
                            </wps:bodyPr>
                          </wps:wsp>
                        </wpg:grpSp>
                        <wpg:grpSp>
                          <wpg:cNvPr id="12" name="Gruppe 12"/>
                          <wpg:cNvGrpSpPr/>
                          <wpg:grpSpPr>
                            <a:xfrm>
                              <a:off x="181959" y="1628069"/>
                              <a:ext cx="1136397" cy="640966"/>
                              <a:chOff x="181959" y="1628069"/>
                              <a:chExt cx="1136397" cy="640966"/>
                            </a:xfrm>
                          </wpg:grpSpPr>
                          <wps:wsp>
                            <wps:cNvPr id="26" name="Rektangel 26"/>
                            <wps:cNvSpPr/>
                            <wps:spPr>
                              <a:xfrm>
                                <a:off x="203562" y="1628069"/>
                                <a:ext cx="1058133" cy="627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kstSylinder 14"/>
                            <wps:cNvSpPr txBox="1"/>
                            <wps:spPr>
                              <a:xfrm>
                                <a:off x="181959" y="1691954"/>
                                <a:ext cx="1136397" cy="577081"/>
                              </a:xfrm>
                              <a:prstGeom prst="rect">
                                <a:avLst/>
                              </a:prstGeom>
                              <a:noFill/>
                            </wps:spPr>
                            <wps:txbx>
                              <w:txbxContent>
                                <w:p w14:paraId="34D9F711" w14:textId="77777777" w:rsidR="00F4246E" w:rsidRPr="00B92AB3" w:rsidRDefault="00F4246E" w:rsidP="00F4246E">
                                  <w:pPr>
                                    <w:pStyle w:val="NormalWeb"/>
                                    <w:spacing w:before="0" w:beforeAutospacing="0" w:after="0" w:afterAutospacing="0"/>
                                    <w:jc w:val="center"/>
                                    <w:rPr>
                                      <w:sz w:val="18"/>
                                      <w:szCs w:val="18"/>
                                    </w:rPr>
                                  </w:pPr>
                                  <w:r w:rsidRPr="00B92AB3">
                                    <w:rPr>
                                      <w:rFonts w:ascii="Calibri" w:eastAsia="SimSun" w:hAnsi="Calibri"/>
                                      <w:i/>
                                      <w:iCs/>
                                      <w:color w:val="000000"/>
                                      <w:kern w:val="24"/>
                                      <w:sz w:val="18"/>
                                      <w:szCs w:val="18"/>
                                      <w:lang w:val="nb-NO"/>
                                    </w:rPr>
                                    <w:t>Lack of sufficient management knowledge</w:t>
                                  </w:r>
                                </w:p>
                              </w:txbxContent>
                            </wps:txbx>
                            <wps:bodyPr wrap="square" rtlCol="0">
                              <a:noAutofit/>
                            </wps:bodyPr>
                          </wps:wsp>
                        </wpg:grpSp>
                        <wps:wsp>
                          <wps:cNvPr id="13" name="Rett pilkobling 13"/>
                          <wps:cNvCnPr>
                            <a:stCxn id="32" idx="3"/>
                          </wps:cNvCnPr>
                          <wps:spPr>
                            <a:xfrm>
                              <a:off x="3547530" y="743992"/>
                              <a:ext cx="1299581" cy="34704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4" name="Rett pilkobling 14"/>
                          <wps:cNvCnPr/>
                          <wps:spPr>
                            <a:xfrm flipV="1">
                              <a:off x="3624826" y="1878083"/>
                              <a:ext cx="1296647" cy="48202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5" name="TekstSylinder 22"/>
                          <wps:cNvSpPr txBox="1"/>
                          <wps:spPr>
                            <a:xfrm>
                              <a:off x="3871341" y="574166"/>
                              <a:ext cx="789551" cy="276999"/>
                            </a:xfrm>
                            <a:prstGeom prst="rect">
                              <a:avLst/>
                            </a:prstGeom>
                            <a:noFill/>
                          </wps:spPr>
                          <wps:txbx>
                            <w:txbxContent>
                              <w:p w14:paraId="6C026B3A"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H7,8 </w:t>
                                </w:r>
                              </w:p>
                            </w:txbxContent>
                          </wps:txbx>
                          <wps:bodyPr wrap="square" rtlCol="0">
                            <a:noAutofit/>
                          </wps:bodyPr>
                        </wps:wsp>
                        <wps:wsp>
                          <wps:cNvPr id="16" name="TekstSylinder 23"/>
                          <wps:cNvSpPr txBox="1"/>
                          <wps:spPr>
                            <a:xfrm>
                              <a:off x="3878373" y="2219250"/>
                              <a:ext cx="789551" cy="276999"/>
                            </a:xfrm>
                            <a:prstGeom prst="rect">
                              <a:avLst/>
                            </a:prstGeom>
                            <a:noFill/>
                          </wps:spPr>
                          <wps:txbx>
                            <w:txbxContent>
                              <w:p w14:paraId="13A57BE4"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H9 </w:t>
                                </w:r>
                              </w:p>
                            </w:txbxContent>
                          </wps:txbx>
                          <wps:bodyPr wrap="square" rtlCol="0">
                            <a:noAutofit/>
                          </wps:bodyPr>
                        </wps:wsp>
                        <wps:wsp>
                          <wps:cNvPr id="17" name="Rett pilkobling 17"/>
                          <wps:cNvCnPr>
                            <a:stCxn id="32" idx="2"/>
                          </wps:cNvCnPr>
                          <wps:spPr>
                            <a:xfrm flipH="1">
                              <a:off x="2943329" y="1115160"/>
                              <a:ext cx="1" cy="756000"/>
                            </a:xfrm>
                            <a:prstGeom prst="straightConnector1">
                              <a:avLst/>
                            </a:prstGeom>
                            <a:ln w="15875">
                              <a:solidFill>
                                <a:srgbClr val="C00000"/>
                              </a:solidFill>
                              <a:prstDash val="dash"/>
                              <a:headEnd type="triangle"/>
                              <a:tailEnd type="triangle"/>
                            </a:ln>
                          </wps:spPr>
                          <wps:style>
                            <a:lnRef idx="3">
                              <a:schemeClr val="accent2"/>
                            </a:lnRef>
                            <a:fillRef idx="0">
                              <a:schemeClr val="accent2"/>
                            </a:fillRef>
                            <a:effectRef idx="2">
                              <a:schemeClr val="accent2"/>
                            </a:effectRef>
                            <a:fontRef idx="minor">
                              <a:schemeClr val="tx1"/>
                            </a:fontRef>
                          </wps:style>
                          <wps:bodyPr/>
                        </wps:wsp>
                        <wps:wsp>
                          <wps:cNvPr id="18" name="Rett pilkobling 18"/>
                          <wps:cNvCnPr/>
                          <wps:spPr>
                            <a:xfrm>
                              <a:off x="1290547" y="1263847"/>
                              <a:ext cx="349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Rett pilkobling 19"/>
                          <wps:cNvCnPr/>
                          <wps:spPr>
                            <a:xfrm>
                              <a:off x="1260458" y="1727711"/>
                              <a:ext cx="3528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TekstSylinder 43"/>
                          <wps:cNvSpPr txBox="1"/>
                          <wps:spPr>
                            <a:xfrm>
                              <a:off x="3878373" y="1005095"/>
                              <a:ext cx="789551" cy="276999"/>
                            </a:xfrm>
                            <a:prstGeom prst="rect">
                              <a:avLst/>
                            </a:prstGeom>
                            <a:noFill/>
                          </wps:spPr>
                          <wps:txbx>
                            <w:txbxContent>
                              <w:p w14:paraId="4DE999D8"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H1 </w:t>
                                </w:r>
                              </w:p>
                            </w:txbxContent>
                          </wps:txbx>
                          <wps:bodyPr wrap="square" rtlCol="0">
                            <a:noAutofit/>
                          </wps:bodyPr>
                        </wps:wsp>
                        <wps:wsp>
                          <wps:cNvPr id="21" name="TekstSylinder 44"/>
                          <wps:cNvSpPr txBox="1"/>
                          <wps:spPr>
                            <a:xfrm>
                              <a:off x="3878373" y="1459876"/>
                              <a:ext cx="789551" cy="276999"/>
                            </a:xfrm>
                            <a:prstGeom prst="rect">
                              <a:avLst/>
                            </a:prstGeom>
                            <a:noFill/>
                          </wps:spPr>
                          <wps:txbx>
                            <w:txbxContent>
                              <w:p w14:paraId="7A53BFF2"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H2 - 6 </w:t>
                                </w:r>
                              </w:p>
                            </w:txbxContent>
                          </wps:txbx>
                          <wps:bodyPr wrap="square" rtlCol="0">
                            <a:noAutofit/>
                          </wps:bodyPr>
                        </wps:wsp>
                        <wps:wsp>
                          <wps:cNvPr id="22" name="Rett pilkobling 22"/>
                          <wps:cNvCnPr/>
                          <wps:spPr>
                            <a:xfrm flipH="1">
                              <a:off x="1286742" y="2109000"/>
                              <a:ext cx="1080000" cy="0"/>
                            </a:xfrm>
                            <a:prstGeom prst="straightConnector1">
                              <a:avLst/>
                            </a:prstGeom>
                            <a:ln w="15875">
                              <a:solidFill>
                                <a:srgbClr val="00B050"/>
                              </a:solidFill>
                              <a:prstDash val="dash"/>
                              <a:headEnd type="triangle"/>
                              <a:tailEnd type="triangle"/>
                            </a:ln>
                          </wps:spPr>
                          <wps:style>
                            <a:lnRef idx="3">
                              <a:schemeClr val="accent2"/>
                            </a:lnRef>
                            <a:fillRef idx="0">
                              <a:schemeClr val="accent2"/>
                            </a:fillRef>
                            <a:effectRef idx="2">
                              <a:schemeClr val="accent2"/>
                            </a:effectRef>
                            <a:fontRef idx="minor">
                              <a:schemeClr val="tx1"/>
                            </a:fontRef>
                          </wps:style>
                          <wps:bodyPr/>
                        </wps:wsp>
                        <wps:wsp>
                          <wps:cNvPr id="23" name="Rett pilkobling 23"/>
                          <wps:cNvCnPr/>
                          <wps:spPr>
                            <a:xfrm flipH="1">
                              <a:off x="1267286" y="925485"/>
                              <a:ext cx="1080000" cy="0"/>
                            </a:xfrm>
                            <a:prstGeom prst="straightConnector1">
                              <a:avLst/>
                            </a:prstGeom>
                            <a:ln w="15875">
                              <a:solidFill>
                                <a:schemeClr val="accent6">
                                  <a:lumMod val="75000"/>
                                </a:schemeClr>
                              </a:solidFill>
                              <a:prstDash val="dash"/>
                              <a:headEnd type="triangle"/>
                              <a:tailEnd type="triangle"/>
                            </a:ln>
                          </wps:spPr>
                          <wps:style>
                            <a:lnRef idx="3">
                              <a:schemeClr val="accent2"/>
                            </a:lnRef>
                            <a:fillRef idx="0">
                              <a:schemeClr val="accent2"/>
                            </a:fillRef>
                            <a:effectRef idx="2">
                              <a:schemeClr val="accent2"/>
                            </a:effectRef>
                            <a:fontRef idx="minor">
                              <a:schemeClr val="tx1"/>
                            </a:fontRef>
                          </wps:style>
                          <wps:bodyPr/>
                        </wps:wsp>
                        <wps:wsp>
                          <wps:cNvPr id="24" name="Rett pilkobling 24"/>
                          <wps:cNvCnPr>
                            <a:stCxn id="27" idx="3"/>
                          </wps:cNvCnPr>
                          <wps:spPr>
                            <a:xfrm flipV="1">
                              <a:off x="1318358" y="1091026"/>
                              <a:ext cx="1052386" cy="889468"/>
                            </a:xfrm>
                            <a:prstGeom prst="straightConnector1">
                              <a:avLst/>
                            </a:prstGeom>
                            <a:ln w="15875">
                              <a:solidFill>
                                <a:srgbClr val="00B050"/>
                              </a:solidFill>
                              <a:prstDash val="dash"/>
                              <a:headEnd type="triangle"/>
                              <a:tailEnd type="triangle"/>
                            </a:ln>
                          </wps:spPr>
                          <wps:style>
                            <a:lnRef idx="3">
                              <a:schemeClr val="accent2"/>
                            </a:lnRef>
                            <a:fillRef idx="0">
                              <a:schemeClr val="accent2"/>
                            </a:fillRef>
                            <a:effectRef idx="2">
                              <a:schemeClr val="accent2"/>
                            </a:effectRef>
                            <a:fontRef idx="minor">
                              <a:schemeClr val="tx1"/>
                            </a:fontRef>
                          </wps:style>
                          <wps:bodyPr/>
                        </wps:wsp>
                        <wps:wsp>
                          <wps:cNvPr id="25" name="Rett pilkobling 25"/>
                          <wps:cNvCnPr>
                            <a:stCxn id="29" idx="3"/>
                          </wps:cNvCnPr>
                          <wps:spPr>
                            <a:xfrm>
                              <a:off x="1270952" y="1066522"/>
                              <a:ext cx="1038744" cy="907149"/>
                            </a:xfrm>
                            <a:prstGeom prst="straightConnector1">
                              <a:avLst/>
                            </a:prstGeom>
                            <a:ln w="15875">
                              <a:solidFill>
                                <a:schemeClr val="accent6">
                                  <a:lumMod val="75000"/>
                                </a:schemeClr>
                              </a:solidFill>
                              <a:prstDash val="dash"/>
                              <a:headEnd type="triangle"/>
                              <a:tailEnd type="triangle"/>
                            </a:ln>
                          </wps:spPr>
                          <wps:style>
                            <a:lnRef idx="3">
                              <a:schemeClr val="accent2"/>
                            </a:lnRef>
                            <a:fillRef idx="0">
                              <a:schemeClr val="accent2"/>
                            </a:fillRef>
                            <a:effectRef idx="2">
                              <a:schemeClr val="accent2"/>
                            </a:effectRef>
                            <a:fontRef idx="minor">
                              <a:schemeClr val="tx1"/>
                            </a:fontRef>
                          </wps:style>
                          <wps:bodyPr/>
                        </wps:wsp>
                      </wpg:grpSp>
                      <wps:wsp>
                        <wps:cNvPr id="3" name="Rektangel: avrundede hjørner 3"/>
                        <wps:cNvSpPr/>
                        <wps:spPr>
                          <a:xfrm>
                            <a:off x="36208" y="672844"/>
                            <a:ext cx="1382978" cy="168690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TekstSylinder 34"/>
                        <wps:cNvSpPr txBox="1"/>
                        <wps:spPr>
                          <a:xfrm>
                            <a:off x="0" y="2372389"/>
                            <a:ext cx="1502595" cy="461665"/>
                          </a:xfrm>
                          <a:prstGeom prst="rect">
                            <a:avLst/>
                          </a:prstGeom>
                          <a:noFill/>
                        </wps:spPr>
                        <wps:txbx>
                          <w:txbxContent>
                            <w:p w14:paraId="2BB66860" w14:textId="77777777" w:rsidR="00F4246E" w:rsidRPr="00B27220" w:rsidRDefault="00F4246E" w:rsidP="00F4246E">
                              <w:pPr>
                                <w:pStyle w:val="NormalWeb"/>
                                <w:spacing w:before="0" w:beforeAutospacing="0" w:after="0" w:afterAutospacing="0"/>
                                <w:jc w:val="center"/>
                                <w:rPr>
                                  <w:sz w:val="22"/>
                                </w:rPr>
                              </w:pPr>
                              <w:r w:rsidRPr="00B27220">
                                <w:rPr>
                                  <w:rFonts w:ascii="Calibri" w:eastAsia="SimSun" w:hAnsi="Calibri"/>
                                  <w:color w:val="000000"/>
                                  <w:kern w:val="24"/>
                                  <w:sz w:val="22"/>
                                  <w:lang w:val="nb-NO"/>
                                </w:rPr>
                                <w:t>Management knowledge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060602E" id="Gruppe 35" o:spid="_x0000_s1026" style="position:absolute;margin-left:0;margin-top:2.35pt;width:466.45pt;height:226.65pt;z-index:251659264;mso-position-horizontal:center;mso-position-horizontal-relative:margin;mso-width-relative:margin;mso-height-relative:margin" coordorigin=",-211" coordsize="64426,2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">
                <v:group id="Gruppe 2" o:spid="_x0000_s1027" style="position:absolute;left:285;top:-211;width:64141;height:27632" coordorigin="285,-211" coordsize="64145,2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kstSylinder 2" o:spid="_x0000_s1028" type="#_x0000_t202" style="position:absolute;left:285;width:1771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ED89887"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Possible antecedents</w:t>
                          </w:r>
                        </w:p>
                      </w:txbxContent>
                    </v:textbox>
                  </v:shape>
                  <v:shape id="TekstSylinder 3" o:spid="_x0000_s1029" type="#_x0000_t202" style="position:absolute;left:23451;width:1502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1A14EC3"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Plausible causes</w:t>
                          </w:r>
                        </w:p>
                      </w:txbxContent>
                    </v:textbox>
                  </v:shape>
                  <v:shape id="TekstSylinder 4" o:spid="_x0000_s1030" type="#_x0000_t202" style="position:absolute;left:44225;top:-211;width:2020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BFB02FC" w14:textId="77777777" w:rsidR="00F4246E" w:rsidRDefault="00F4246E" w:rsidP="00F4246E">
                          <w:pPr>
                            <w:pStyle w:val="NormalWeb"/>
                            <w:spacing w:before="0" w:beforeAutospacing="0" w:after="0" w:afterAutospacing="0"/>
                          </w:pPr>
                          <w:r>
                            <w:rPr>
                              <w:rFonts w:ascii="Calibri" w:eastAsia="SimSun" w:hAnsi="Calibri"/>
                              <w:i/>
                              <w:iCs/>
                              <w:color w:val="000000"/>
                              <w:kern w:val="24"/>
                              <w:u w:val="single"/>
                              <w:lang w:val="nb-NO"/>
                            </w:rPr>
                            <w:t>Observed phenomenon</w:t>
                          </w:r>
                        </w:p>
                      </w:txbxContent>
                    </v:textbox>
                  </v:shape>
                  <v:group id="Gruppe 8" o:spid="_x0000_s1031" style="position:absolute;left:47406;top:7932;width:16485;height:13422" coordorigin="47408,7932" coordsize="13895,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Ellipse 34" o:spid="_x0000_s1032" style="position:absolute;left:47483;top:7932;width:13195;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" filled="f" strokecolor="#1f4d78 [1604]" strokeweight="1pt">
                      <v:stroke joinstyle="miter"/>
                    </v:oval>
                    <v:shape id="TekstSylinder 6" o:spid="_x0000_s1033" type="#_x0000_t202" style="position:absolute;left:47408;top:9510;width:13895;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1A9B8B2" w14:textId="77777777" w:rsidR="00F4246E" w:rsidRDefault="00F4246E" w:rsidP="00F4246E">
                            <w:pPr>
                              <w:pStyle w:val="NormalWeb"/>
                              <w:spacing w:before="0" w:beforeAutospacing="0" w:after="0" w:afterAutospacing="0"/>
                              <w:jc w:val="center"/>
                              <w:rPr>
                                <w:rFonts w:ascii="Calibri" w:eastAsia="SimSun" w:hAnsi="Calibri"/>
                                <w:b/>
                                <w:bCs/>
                                <w:color w:val="000000"/>
                                <w:kern w:val="24"/>
                                <w:sz w:val="28"/>
                                <w:szCs w:val="32"/>
                                <w:lang w:val="nb-NO"/>
                              </w:rPr>
                            </w:pPr>
                            <w:r w:rsidRPr="00375CCE">
                              <w:rPr>
                                <w:rFonts w:ascii="Calibri" w:eastAsia="SimSun" w:hAnsi="Calibri"/>
                                <w:b/>
                                <w:bCs/>
                                <w:color w:val="000000"/>
                                <w:kern w:val="24"/>
                                <w:sz w:val="28"/>
                                <w:szCs w:val="32"/>
                                <w:lang w:val="nb-NO"/>
                              </w:rPr>
                              <w:t xml:space="preserve">Academic non-consultation </w:t>
                            </w:r>
                          </w:p>
                          <w:p w14:paraId="271F5A4F" w14:textId="77777777" w:rsidR="00F4246E" w:rsidRPr="00375CCE" w:rsidRDefault="00F4246E" w:rsidP="00F4246E">
                            <w:pPr>
                              <w:pStyle w:val="NormalWeb"/>
                              <w:spacing w:before="0" w:beforeAutospacing="0" w:after="0" w:afterAutospacing="0"/>
                              <w:jc w:val="center"/>
                              <w:rPr>
                                <w:sz w:val="22"/>
                              </w:rPr>
                            </w:pPr>
                            <w:r w:rsidRPr="00375CCE">
                              <w:rPr>
                                <w:rFonts w:ascii="Calibri" w:eastAsia="SimSun" w:hAnsi="Calibri"/>
                                <w:b/>
                                <w:bCs/>
                                <w:color w:val="000000"/>
                                <w:kern w:val="24"/>
                                <w:sz w:val="28"/>
                                <w:szCs w:val="32"/>
                                <w:lang w:val="nb-NO"/>
                              </w:rPr>
                              <w:t>in HEIs</w:t>
                            </w:r>
                          </w:p>
                        </w:txbxContent>
                      </v:textbox>
                    </v:shape>
                  </v:group>
                  <v:group id="Gruppe 9" o:spid="_x0000_s1034" style="position:absolute;left:23391;top:3728;width:12084;height:7423" coordorigin="23391,3728" coordsize="12084,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ktangel: avrundede hjørner 32" o:spid="_x0000_s1035" style="position:absolute;left:23391;top:3728;width:12084;height:7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" filled="f" strokecolor="#1f4d78 [1604]" strokeweight="1pt">
                      <v:stroke joinstyle="miter"/>
                    </v:roundrect>
                    <v:shape id="TekstSylinder 8" o:spid="_x0000_s1036" type="#_x0000_t202" style="position:absolute;left:23664;top:4342;width:11361;height:6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E12D349" w14:textId="77777777" w:rsidR="00F4246E" w:rsidRPr="00B27220" w:rsidRDefault="00F4246E" w:rsidP="00F4246E">
                            <w:pPr>
                              <w:pStyle w:val="NormalWeb"/>
                              <w:spacing w:before="0" w:beforeAutospacing="0" w:after="0" w:afterAutospacing="0"/>
                              <w:jc w:val="center"/>
                              <w:rPr>
                                <w:sz w:val="22"/>
                              </w:rPr>
                            </w:pPr>
                            <w:r>
                              <w:rPr>
                                <w:rFonts w:ascii="Calibri" w:eastAsia="SimSun" w:hAnsi="Calibri"/>
                                <w:color w:val="000000"/>
                                <w:kern w:val="24"/>
                                <w:sz w:val="22"/>
                              </w:rPr>
                              <w:t>Lack of motivation of HEI</w:t>
                            </w:r>
                            <w:r w:rsidRPr="00B27220">
                              <w:rPr>
                                <w:rFonts w:ascii="Calibri" w:eastAsia="SimSun" w:hAnsi="Calibri"/>
                                <w:color w:val="000000"/>
                                <w:kern w:val="24"/>
                                <w:sz w:val="22"/>
                              </w:rPr>
                              <w:t xml:space="preserve"> managers</w:t>
                            </w:r>
                          </w:p>
                        </w:txbxContent>
                      </v:textbox>
                    </v:shape>
                  </v:group>
                  <v:group id="Gruppe 10" o:spid="_x0000_s1037" style="position:absolute;left:23707;top:18780;width:12084;height:8646" coordorigin="23707,18780" coordsize="12084,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ktangel: avrundede hjørner 30" o:spid="_x0000_s1038" style="position:absolute;left:23707;top:18780;width:12084;height:7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" filled="f" strokecolor="#1f4d78 [1604]" strokeweight="1pt">
                      <v:stroke joinstyle="miter"/>
                    </v:roundrect>
                    <v:shape id="TekstSylinder 10" o:spid="_x0000_s1039" type="#_x0000_t202" style="position:absolute;left:24031;top:20291;width:11207;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56A2038" w14:textId="77777777" w:rsidR="00F4246E" w:rsidRPr="00B27220" w:rsidRDefault="00F4246E" w:rsidP="00F4246E">
                            <w:pPr>
                              <w:pStyle w:val="NormalWeb"/>
                              <w:spacing w:before="0" w:beforeAutospacing="0" w:after="0" w:afterAutospacing="0"/>
                              <w:jc w:val="center"/>
                              <w:rPr>
                                <w:sz w:val="22"/>
                              </w:rPr>
                            </w:pPr>
                            <w:r w:rsidRPr="00B27220">
                              <w:rPr>
                                <w:rFonts w:ascii="Calibri" w:eastAsia="SimSun" w:hAnsi="Calibri"/>
                                <w:color w:val="000000"/>
                                <w:kern w:val="24"/>
                                <w:sz w:val="22"/>
                                <w:lang w:val="nb-NO"/>
                              </w:rPr>
                              <w:t>Disincentives for academics</w:t>
                            </w:r>
                          </w:p>
                        </w:txbxContent>
                      </v:textbox>
                    </v:shape>
                  </v:group>
                  <v:group id="Gruppe 11" o:spid="_x0000_s1040" style="position:absolute;left:828;top:7536;width:11881;height:6477" coordorigin="828,7536" coordsize="1188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ktangel 28" o:spid="_x0000_s1041" style="position:absolute;left:1828;top:7807;width:10582;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" filled="f" strokecolor="#0d0d0d [3069]" strokeweight="1pt"/>
                    <v:shape id="TekstSylinder 12" o:spid="_x0000_s1042" type="#_x0000_t202" style="position:absolute;left:828;top:7536;width:11881;height: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6735A65" w14:textId="77777777" w:rsidR="00F4246E" w:rsidRPr="00B92AB3" w:rsidRDefault="00F4246E" w:rsidP="00F4246E">
                            <w:pPr>
                              <w:pStyle w:val="NormalWeb"/>
                              <w:spacing w:before="0" w:beforeAutospacing="0" w:after="0" w:afterAutospacing="0"/>
                              <w:jc w:val="center"/>
                              <w:rPr>
                                <w:rFonts w:ascii="Calibri" w:eastAsia="SimSun" w:hAnsi="Calibri"/>
                                <w:i/>
                                <w:iCs/>
                                <w:color w:val="000000"/>
                                <w:kern w:val="24"/>
                                <w:sz w:val="18"/>
                                <w:szCs w:val="21"/>
                              </w:rPr>
                            </w:pPr>
                            <w:r w:rsidRPr="00B92AB3">
                              <w:rPr>
                                <w:rFonts w:ascii="Calibri" w:eastAsia="SimSun" w:hAnsi="Calibri"/>
                                <w:i/>
                                <w:iCs/>
                                <w:color w:val="000000"/>
                                <w:kern w:val="24"/>
                                <w:sz w:val="18"/>
                                <w:szCs w:val="21"/>
                              </w:rPr>
                              <w:t xml:space="preserve">Lack of </w:t>
                            </w:r>
                          </w:p>
                          <w:p w14:paraId="425FC0AA" w14:textId="77777777" w:rsidR="00F4246E" w:rsidRPr="00B92AB3" w:rsidRDefault="00F4246E" w:rsidP="00F4246E">
                            <w:pPr>
                              <w:pStyle w:val="NormalWeb"/>
                              <w:spacing w:before="0" w:beforeAutospacing="0" w:after="0" w:afterAutospacing="0"/>
                              <w:jc w:val="center"/>
                              <w:rPr>
                                <w:sz w:val="20"/>
                              </w:rPr>
                            </w:pPr>
                            <w:r w:rsidRPr="00B92AB3">
                              <w:rPr>
                                <w:rFonts w:ascii="Calibri" w:eastAsia="SimSun" w:hAnsi="Calibri"/>
                                <w:i/>
                                <w:iCs/>
                                <w:color w:val="000000"/>
                                <w:kern w:val="24"/>
                                <w:sz w:val="18"/>
                                <w:szCs w:val="21"/>
                              </w:rPr>
                              <w:t>academics with sufficient knowledge</w:t>
                            </w:r>
                          </w:p>
                        </w:txbxContent>
                      </v:textbox>
                    </v:shape>
                  </v:group>
                  <v:group id="Gruppe 12" o:spid="_x0000_s1043" style="position:absolute;left:1819;top:16280;width:11364;height:6410" coordorigin="1819,16280" coordsize="11363,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ktangel 26" o:spid="_x0000_s1044" style="position:absolute;left:2035;top:16280;width:10581;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 id="TekstSylinder 14" o:spid="_x0000_s1045" type="#_x0000_t202" style="position:absolute;left:1819;top:16919;width:11364;height: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4D9F711" w14:textId="77777777" w:rsidR="00F4246E" w:rsidRPr="00B92AB3" w:rsidRDefault="00F4246E" w:rsidP="00F4246E">
                            <w:pPr>
                              <w:pStyle w:val="NormalWeb"/>
                              <w:spacing w:before="0" w:beforeAutospacing="0" w:after="0" w:afterAutospacing="0"/>
                              <w:jc w:val="center"/>
                              <w:rPr>
                                <w:sz w:val="18"/>
                                <w:szCs w:val="18"/>
                              </w:rPr>
                            </w:pPr>
                            <w:r w:rsidRPr="00B92AB3">
                              <w:rPr>
                                <w:rFonts w:ascii="Calibri" w:eastAsia="SimSun" w:hAnsi="Calibri"/>
                                <w:i/>
                                <w:iCs/>
                                <w:color w:val="000000"/>
                                <w:kern w:val="24"/>
                                <w:sz w:val="18"/>
                                <w:szCs w:val="18"/>
                                <w:lang w:val="nb-NO"/>
                              </w:rPr>
                              <w:t>Lack of sufficient management knowledge</w:t>
                            </w:r>
                          </w:p>
                        </w:txbxContent>
                      </v:textbox>
                    </v:shape>
                  </v:group>
                  <v:shapetype id="_x0000_t32" coordsize="21600,21600" o:spt="32" o:oned="t" path="m,l21600,21600e" filled="f">
                    <v:path arrowok="t" fillok="f" o:connecttype="none"/>
                    <o:lock v:ext="edit" shapetype="t"/>
                  </v:shapetype>
                  <v:shape id="Rett pilkobling 13" o:spid="_x0000_s1046" type="#_x0000_t32" style="position:absolute;left:35475;top:7439;width:12996;height:3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" strokecolor="#5b9bd5 [3204]" strokeweight="2pt">
                    <v:stroke endarrow="block" joinstyle="miter"/>
                  </v:shape>
                  <v:shape id="Rett pilkobling 14" o:spid="_x0000_s1047" type="#_x0000_t32" style="position:absolute;left:36248;top:18780;width:12966;height:4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" strokecolor="#5b9bd5 [3204]" strokeweight="2pt">
                    <v:stroke endarrow="block" joinstyle="miter"/>
                  </v:shape>
                  <v:shape id="TekstSylinder 22" o:spid="_x0000_s1048" type="#_x0000_t202" style="position:absolute;left:38713;top:5741;width:789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C026B3A"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H7,8 </w:t>
                          </w:r>
                        </w:p>
                      </w:txbxContent>
                    </v:textbox>
                  </v:shape>
                  <v:shape id="TekstSylinder 23" o:spid="_x0000_s1049" type="#_x0000_t202" style="position:absolute;left:38783;top:22192;width:789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3A57BE4"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H9 </w:t>
                          </w:r>
                        </w:p>
                      </w:txbxContent>
                    </v:textbox>
                  </v:shape>
                  <v:shape id="Rett pilkobling 17" o:spid="_x0000_s1050" type="#_x0000_t32" style="position:absolute;left:29433;top:11151;width:0;height:7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" strokecolor="#c00000" strokeweight="1.25pt">
                    <v:stroke dashstyle="dash" startarrow="block" endarrow="block" joinstyle="miter"/>
                  </v:shape>
                  <v:shape id="Rett pilkobling 18" o:spid="_x0000_s1051" type="#_x0000_t32" style="position:absolute;left:12905;top:12638;width:34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Rett pilkobling 19" o:spid="_x0000_s1052" type="#_x0000_t32" style="position:absolute;left:12604;top:17277;width:35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TekstSylinder 43" o:spid="_x0000_s1053" type="#_x0000_t202" style="position:absolute;left:38783;top:10050;width:789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E999D8"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H1 </w:t>
                          </w:r>
                        </w:p>
                      </w:txbxContent>
                    </v:textbox>
                  </v:shape>
                  <v:shape id="TekstSylinder 44" o:spid="_x0000_s1054" type="#_x0000_t202" style="position:absolute;left:38783;top:14598;width:789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A53BFF2" w14:textId="77777777" w:rsidR="00F4246E" w:rsidRDefault="00F4246E" w:rsidP="00F4246E">
                          <w:pPr>
                            <w:pStyle w:val="NormalWeb"/>
                            <w:spacing w:before="0" w:beforeAutospacing="0" w:after="0" w:afterAutospacing="0"/>
                          </w:pPr>
                          <w:r>
                            <w:rPr>
                              <w:rFonts w:ascii="Calibri" w:eastAsia="SimSun" w:hAnsi="Calibri"/>
                              <w:b/>
                              <w:bCs/>
                              <w:color w:val="000000"/>
                              <w:kern w:val="24"/>
                              <w:lang w:val="nb-NO"/>
                            </w:rPr>
                            <w:t xml:space="preserve">H2 - 6 </w:t>
                          </w:r>
                        </w:p>
                      </w:txbxContent>
                    </v:textbox>
                  </v:shape>
                  <v:shape id="Rett pilkobling 22" o:spid="_x0000_s1055" type="#_x0000_t32" style="position:absolute;left:12867;top:21090;width:10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" strokecolor="#00b050" strokeweight="1.25pt">
                    <v:stroke dashstyle="dash" startarrow="block" endarrow="block" joinstyle="miter"/>
                  </v:shape>
                  <v:shape id="Rett pilkobling 23" o:spid="_x0000_s1056" type="#_x0000_t32" style="position:absolute;left:12672;top:9254;width:10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" strokecolor="#538135 [2409]" strokeweight="1.25pt">
                    <v:stroke dashstyle="dash" startarrow="block" endarrow="block" joinstyle="miter"/>
                  </v:shape>
                  <v:shape id="Rett pilkobling 24" o:spid="_x0000_s1057" type="#_x0000_t32" style="position:absolute;left:13183;top:10910;width:10524;height:8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" strokecolor="#00b050" strokeweight="1.25pt">
                    <v:stroke dashstyle="dash" startarrow="block" endarrow="block" joinstyle="miter"/>
                  </v:shape>
                  <v:shape id="Rett pilkobling 25" o:spid="_x0000_s1058" type="#_x0000_t32" style="position:absolute;left:12709;top:10665;width:10387;height:9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" strokecolor="#538135 [2409]" strokeweight="1.25pt">
                    <v:stroke dashstyle="dash" startarrow="block" endarrow="block" joinstyle="miter"/>
                  </v:shape>
                </v:group>
                <v:roundrect id="Rektangel: avrundede hjørner 3" o:spid="_x0000_s1059" style="position:absolute;left:362;top:6728;width:13829;height:16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" filled="f" strokecolor="#1f4d78 [1604]" strokeweight="1pt">
                  <v:stroke joinstyle="miter"/>
                </v:roundrect>
                <v:shape id="TekstSylinder 34" o:spid="_x0000_s1060" type="#_x0000_t202" style="position:absolute;top:23723;width:15025;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BB66860" w14:textId="77777777" w:rsidR="00F4246E" w:rsidRPr="00B27220" w:rsidRDefault="00F4246E" w:rsidP="00F4246E">
                        <w:pPr>
                          <w:pStyle w:val="NormalWeb"/>
                          <w:spacing w:before="0" w:beforeAutospacing="0" w:after="0" w:afterAutospacing="0"/>
                          <w:jc w:val="center"/>
                          <w:rPr>
                            <w:sz w:val="22"/>
                          </w:rPr>
                        </w:pPr>
                        <w:r w:rsidRPr="00B27220">
                          <w:rPr>
                            <w:rFonts w:ascii="Calibri" w:eastAsia="SimSun" w:hAnsi="Calibri"/>
                            <w:color w:val="000000"/>
                            <w:kern w:val="24"/>
                            <w:sz w:val="22"/>
                            <w:lang w:val="nb-NO"/>
                          </w:rPr>
                          <w:t>Management knowledge</w:t>
                        </w:r>
                      </w:p>
                    </w:txbxContent>
                  </v:textbox>
                </v:shape>
                <w10:wrap anchorx="margin"/>
              </v:group>
            </w:pict>
          </mc:Fallback>
        </mc:AlternateContent>
      </w:r>
    </w:p>
    <w:p w14:paraId="08E8D91E" w14:textId="77777777" w:rsidR="00B33FFE" w:rsidRPr="0039463F" w:rsidRDefault="00B33FFE" w:rsidP="00F4246E">
      <w:pPr>
        <w:spacing w:after="0"/>
        <w:rPr>
          <w:b/>
          <w:sz w:val="24"/>
        </w:rPr>
      </w:pPr>
    </w:p>
    <w:p w14:paraId="67DE17B5" w14:textId="77777777" w:rsidR="00B33FFE" w:rsidRPr="0039463F" w:rsidRDefault="00B33FFE" w:rsidP="00F4246E">
      <w:pPr>
        <w:spacing w:after="0"/>
        <w:rPr>
          <w:szCs w:val="20"/>
        </w:rPr>
      </w:pPr>
    </w:p>
    <w:p w14:paraId="4E40635A" w14:textId="77777777" w:rsidR="00B33FFE" w:rsidRPr="0039463F" w:rsidRDefault="00B33FFE" w:rsidP="00F4246E">
      <w:pPr>
        <w:spacing w:after="0"/>
        <w:rPr>
          <w:szCs w:val="20"/>
        </w:rPr>
      </w:pPr>
    </w:p>
    <w:p w14:paraId="1730636B" w14:textId="77777777" w:rsidR="00B33FFE" w:rsidRDefault="00B33FFE" w:rsidP="00F4246E">
      <w:pPr>
        <w:spacing w:after="0"/>
        <w:rPr>
          <w:szCs w:val="20"/>
        </w:rPr>
      </w:pPr>
    </w:p>
    <w:p w14:paraId="3662ACAE" w14:textId="77777777" w:rsidR="00B33FFE" w:rsidRDefault="00B33FFE" w:rsidP="00F4246E">
      <w:pPr>
        <w:spacing w:after="0"/>
        <w:rPr>
          <w:szCs w:val="20"/>
        </w:rPr>
      </w:pPr>
    </w:p>
    <w:p w14:paraId="02875A85" w14:textId="77777777" w:rsidR="00B33FFE" w:rsidRDefault="00B33FFE" w:rsidP="00F4246E">
      <w:pPr>
        <w:spacing w:after="0"/>
        <w:rPr>
          <w:szCs w:val="20"/>
        </w:rPr>
      </w:pPr>
    </w:p>
    <w:p w14:paraId="1DA8427C" w14:textId="77777777" w:rsidR="00B33FFE" w:rsidRDefault="00B33FFE" w:rsidP="00F4246E">
      <w:pPr>
        <w:spacing w:after="0"/>
        <w:rPr>
          <w:szCs w:val="20"/>
        </w:rPr>
      </w:pPr>
    </w:p>
    <w:p w14:paraId="5B0B624B" w14:textId="77777777" w:rsidR="00B33FFE" w:rsidRDefault="00B33FFE" w:rsidP="00F4246E">
      <w:pPr>
        <w:spacing w:after="0"/>
        <w:rPr>
          <w:szCs w:val="20"/>
        </w:rPr>
      </w:pPr>
    </w:p>
    <w:p w14:paraId="5EC6C085" w14:textId="77777777" w:rsidR="00B33FFE" w:rsidRDefault="00B33FFE" w:rsidP="00F4246E">
      <w:pPr>
        <w:spacing w:after="0"/>
        <w:rPr>
          <w:szCs w:val="20"/>
        </w:rPr>
      </w:pPr>
    </w:p>
    <w:p w14:paraId="09D49007" w14:textId="77777777" w:rsidR="00B33FFE" w:rsidRDefault="00B33FFE" w:rsidP="00F4246E">
      <w:pPr>
        <w:spacing w:after="0"/>
        <w:rPr>
          <w:szCs w:val="20"/>
        </w:rPr>
      </w:pPr>
    </w:p>
    <w:p w14:paraId="3AA60AA0" w14:textId="77777777" w:rsidR="00B33FFE" w:rsidRDefault="00B33FFE" w:rsidP="00F4246E">
      <w:pPr>
        <w:spacing w:after="0"/>
        <w:rPr>
          <w:szCs w:val="20"/>
        </w:rPr>
      </w:pPr>
    </w:p>
    <w:p w14:paraId="0EF26ACE" w14:textId="77777777" w:rsidR="00B33FFE" w:rsidRDefault="00B33FFE" w:rsidP="00F4246E">
      <w:pPr>
        <w:spacing w:after="0"/>
        <w:rPr>
          <w:szCs w:val="20"/>
        </w:rPr>
      </w:pPr>
    </w:p>
    <w:p w14:paraId="04F809AD" w14:textId="77777777" w:rsidR="00B33FFE" w:rsidRDefault="00B33FFE" w:rsidP="00F4246E">
      <w:pPr>
        <w:spacing w:after="0"/>
        <w:rPr>
          <w:szCs w:val="20"/>
        </w:rPr>
      </w:pPr>
    </w:p>
    <w:p w14:paraId="3A97E519" w14:textId="77777777" w:rsidR="00B33FFE" w:rsidRDefault="00B33FFE" w:rsidP="00F4246E">
      <w:pPr>
        <w:spacing w:after="0"/>
        <w:rPr>
          <w:szCs w:val="20"/>
        </w:rPr>
      </w:pPr>
    </w:p>
    <w:p w14:paraId="703CD336" w14:textId="2CF68838" w:rsidR="00B33FFE" w:rsidRPr="0039463F" w:rsidRDefault="00B33FFE" w:rsidP="00F4246E">
      <w:pPr>
        <w:spacing w:after="0"/>
        <w:rPr>
          <w:szCs w:val="20"/>
        </w:rPr>
      </w:pPr>
      <w:r w:rsidRPr="0039463F">
        <w:rPr>
          <w:szCs w:val="20"/>
        </w:rPr>
        <w:t>Note</w:t>
      </w:r>
      <w:r w:rsidR="00F4246E">
        <w:rPr>
          <w:szCs w:val="20"/>
        </w:rPr>
        <w:t>s</w:t>
      </w:r>
      <w:r w:rsidRPr="0039463F">
        <w:rPr>
          <w:szCs w:val="20"/>
        </w:rPr>
        <w:t xml:space="preserve">: </w:t>
      </w:r>
    </w:p>
    <w:p w14:paraId="687FA45E" w14:textId="08D49D0C" w:rsidR="00B33FFE" w:rsidRPr="0039463F" w:rsidRDefault="00B33FFE" w:rsidP="00F4246E">
      <w:pPr>
        <w:pStyle w:val="Listeavsnitt"/>
        <w:numPr>
          <w:ilvl w:val="0"/>
          <w:numId w:val="2"/>
        </w:numPr>
        <w:rPr>
          <w:szCs w:val="20"/>
        </w:rPr>
      </w:pPr>
      <w:r w:rsidRPr="0039463F">
        <w:rPr>
          <w:szCs w:val="20"/>
        </w:rPr>
        <w:t>“Academics” refer</w:t>
      </w:r>
      <w:r>
        <w:rPr>
          <w:szCs w:val="20"/>
        </w:rPr>
        <w:t>s</w:t>
      </w:r>
      <w:r w:rsidRPr="0039463F">
        <w:rPr>
          <w:szCs w:val="20"/>
        </w:rPr>
        <w:t xml:space="preserve"> to management academics, and “knowledge” refers to management knowledge</w:t>
      </w:r>
      <w:r w:rsidR="00F4246E">
        <w:rPr>
          <w:szCs w:val="20"/>
        </w:rPr>
        <w:t>.</w:t>
      </w:r>
    </w:p>
    <w:p w14:paraId="03D19DC4" w14:textId="5F997A86" w:rsidR="00B33FFE" w:rsidRPr="0039463F" w:rsidRDefault="00B33FFE" w:rsidP="00F4246E">
      <w:pPr>
        <w:pStyle w:val="Listeavsnitt"/>
        <w:numPr>
          <w:ilvl w:val="0"/>
          <w:numId w:val="2"/>
        </w:numPr>
        <w:rPr>
          <w:szCs w:val="20"/>
        </w:rPr>
      </w:pPr>
      <w:r w:rsidRPr="0039463F">
        <w:rPr>
          <w:szCs w:val="20"/>
        </w:rPr>
        <w:t>Bold arrows refer to strong explanatory power while thin arrows refer to weak explanatory power as hypothesized in Watson (2000)</w:t>
      </w:r>
      <w:r w:rsidR="00F4246E">
        <w:rPr>
          <w:szCs w:val="20"/>
        </w:rPr>
        <w:t>.</w:t>
      </w:r>
    </w:p>
    <w:p w14:paraId="1B9E2619" w14:textId="1DFE441E" w:rsidR="00B33FFE" w:rsidRPr="0039463F" w:rsidRDefault="00B33FFE" w:rsidP="00F4246E">
      <w:pPr>
        <w:pStyle w:val="Listeavsnitt"/>
        <w:numPr>
          <w:ilvl w:val="0"/>
          <w:numId w:val="2"/>
        </w:numPr>
        <w:rPr>
          <w:sz w:val="24"/>
        </w:rPr>
      </w:pPr>
      <w:r w:rsidRPr="0039463F">
        <w:rPr>
          <w:szCs w:val="20"/>
        </w:rPr>
        <w:t>Dotted arrows refer to possible interactions between factors that we believe warrant examination</w:t>
      </w:r>
      <w:r w:rsidR="00F4246E">
        <w:rPr>
          <w:szCs w:val="20"/>
        </w:rPr>
        <w:t>.</w:t>
      </w:r>
    </w:p>
    <w:p w14:paraId="1D2841E9" w14:textId="77777777" w:rsidR="00B33FFE" w:rsidRDefault="00B33FFE" w:rsidP="00F4246E">
      <w:pPr>
        <w:rPr>
          <w:sz w:val="24"/>
        </w:rPr>
      </w:pPr>
    </w:p>
    <w:p w14:paraId="2C753D4B" w14:textId="77777777" w:rsidR="00B33FFE" w:rsidRPr="0039463F" w:rsidRDefault="00B33FFE" w:rsidP="00F4246E">
      <w:pPr>
        <w:rPr>
          <w:sz w:val="24"/>
        </w:rPr>
      </w:pPr>
      <w:r w:rsidRPr="0039463F">
        <w:rPr>
          <w:sz w:val="24"/>
        </w:rPr>
        <w:lastRenderedPageBreak/>
        <w:t xml:space="preserve">In Figure 1, we illustrate the three categories of hypotheses and use arrows to indicate the </w:t>
      </w:r>
      <w:r>
        <w:rPr>
          <w:sz w:val="24"/>
        </w:rPr>
        <w:t>expected</w:t>
      </w:r>
      <w:r w:rsidRPr="0039463F">
        <w:rPr>
          <w:sz w:val="24"/>
        </w:rPr>
        <w:t xml:space="preserve"> strength of their explanatory power. Although hypotheses in the category of management knowledge are weaker, we believe they might play important roles as possible antecedents explaining the lack of motivation and incentives for HEI managers and academics to interact with </w:t>
      </w:r>
      <w:r>
        <w:rPr>
          <w:sz w:val="24"/>
        </w:rPr>
        <w:t>one another</w:t>
      </w:r>
      <w:r w:rsidRPr="0039463F">
        <w:rPr>
          <w:sz w:val="24"/>
        </w:rPr>
        <w:t xml:space="preserve">. This </w:t>
      </w:r>
      <w:r>
        <w:rPr>
          <w:sz w:val="24"/>
        </w:rPr>
        <w:t>is</w:t>
      </w:r>
      <w:r w:rsidRPr="0039463F">
        <w:rPr>
          <w:sz w:val="24"/>
        </w:rPr>
        <w:t xml:space="preserve"> a potential venue for future research.</w:t>
      </w:r>
    </w:p>
    <w:p w14:paraId="28BD422F" w14:textId="230244EC" w:rsidR="00B33FFE" w:rsidRPr="0039463F" w:rsidRDefault="0012217D" w:rsidP="00F4246E">
      <w:pPr>
        <w:rPr>
          <w:b/>
          <w:sz w:val="24"/>
        </w:rPr>
      </w:pPr>
      <w:r w:rsidRPr="0039463F">
        <w:rPr>
          <w:b/>
          <w:sz w:val="24"/>
        </w:rPr>
        <w:t>A RESEARCH AGENDA</w:t>
      </w:r>
    </w:p>
    <w:p w14:paraId="7FA0DA0A" w14:textId="3AD2570D" w:rsidR="00B33FFE" w:rsidRPr="0039463F" w:rsidRDefault="00B33FFE" w:rsidP="00F4246E">
      <w:pPr>
        <w:rPr>
          <w:sz w:val="24"/>
        </w:rPr>
      </w:pPr>
      <w:r w:rsidRPr="0039463F">
        <w:rPr>
          <w:sz w:val="24"/>
        </w:rPr>
        <w:t>The integrated framework in Figure 1 can be used to identify possible future research directions and relevant theories. Table 2 presents suggestions for future research</w:t>
      </w:r>
      <w:r w:rsidR="004C4EF3">
        <w:rPr>
          <w:sz w:val="24"/>
        </w:rPr>
        <w:t xml:space="preserve"> on the phenomenon of academic non-consultation in HEIs</w:t>
      </w:r>
      <w:r w:rsidRPr="0039463F">
        <w:rPr>
          <w:sz w:val="24"/>
        </w:rPr>
        <w:t xml:space="preserve">, </w:t>
      </w:r>
      <w:r w:rsidR="00E35290">
        <w:rPr>
          <w:sz w:val="24"/>
        </w:rPr>
        <w:t xml:space="preserve">with the directions for empirical testing structured according to the three generic causes of the phenomenon we have identified: </w:t>
      </w:r>
      <w:r w:rsidRPr="0039463F">
        <w:rPr>
          <w:sz w:val="24"/>
        </w:rPr>
        <w:t xml:space="preserve">management knowledge, motivation of HEI managers, </w:t>
      </w:r>
      <w:r w:rsidR="00E35290">
        <w:rPr>
          <w:sz w:val="24"/>
        </w:rPr>
        <w:t xml:space="preserve">and </w:t>
      </w:r>
      <w:r w:rsidRPr="0039463F">
        <w:rPr>
          <w:sz w:val="24"/>
        </w:rPr>
        <w:t>incentives for academics to engage</w:t>
      </w:r>
      <w:r w:rsidR="00E35290">
        <w:rPr>
          <w:sz w:val="24"/>
        </w:rPr>
        <w:t xml:space="preserve">. A fourth group of research suggestions pertains to the </w:t>
      </w:r>
      <w:r w:rsidRPr="0039463F">
        <w:rPr>
          <w:sz w:val="24"/>
        </w:rPr>
        <w:t xml:space="preserve">interaction between these factors. </w:t>
      </w:r>
    </w:p>
    <w:p w14:paraId="58D9B116" w14:textId="77777777" w:rsidR="00B33FFE" w:rsidRPr="0039463F" w:rsidRDefault="00B33FFE" w:rsidP="00F4246E">
      <w:pPr>
        <w:pStyle w:val="Listeavsnitt"/>
        <w:numPr>
          <w:ilvl w:val="0"/>
          <w:numId w:val="5"/>
        </w:numPr>
        <w:rPr>
          <w:sz w:val="24"/>
        </w:rPr>
      </w:pPr>
      <w:r w:rsidRPr="0039463F">
        <w:rPr>
          <w:sz w:val="24"/>
        </w:rPr>
        <w:t>Management knowledge:</w:t>
      </w:r>
    </w:p>
    <w:p w14:paraId="326B71C9" w14:textId="3262519C" w:rsidR="00B33FFE" w:rsidRPr="0039463F" w:rsidRDefault="00B33FFE" w:rsidP="00F4246E">
      <w:pPr>
        <w:rPr>
          <w:sz w:val="24"/>
        </w:rPr>
      </w:pPr>
      <w:r w:rsidRPr="0039463F">
        <w:rPr>
          <w:sz w:val="24"/>
        </w:rPr>
        <w:t xml:space="preserve">In the first category, management knowledge, we agree with Watson that these hypotheses most likely do not directly explain the investigated phenomenon. However, it is possible that management knowledge can play an antecedent or moderating role in the causal mechanism. For example, lack of sufficient management knowledge, or a lack of academics with such knowledge, can reduce the motivation for HEI managers to consult their in-house advisers. Likewise, insufficient knowledge disincentivizes academics to propose ideas to managers. Therefore, besides testing </w:t>
      </w:r>
      <w:r>
        <w:rPr>
          <w:sz w:val="24"/>
        </w:rPr>
        <w:t>H</w:t>
      </w:r>
      <w:r w:rsidRPr="0039463F">
        <w:rPr>
          <w:sz w:val="24"/>
        </w:rPr>
        <w:t>ypotheses 1-6</w:t>
      </w:r>
      <w:r>
        <w:rPr>
          <w:sz w:val="24"/>
        </w:rPr>
        <w:t xml:space="preserve"> directly</w:t>
      </w:r>
      <w:r w:rsidRPr="0039463F">
        <w:rPr>
          <w:sz w:val="24"/>
        </w:rPr>
        <w:t xml:space="preserve">, we also recommend that future research </w:t>
      </w:r>
      <w:r w:rsidR="00F24FDC">
        <w:rPr>
          <w:sz w:val="24"/>
        </w:rPr>
        <w:t xml:space="preserve">should </w:t>
      </w:r>
      <w:r w:rsidRPr="0039463F">
        <w:rPr>
          <w:sz w:val="24"/>
        </w:rPr>
        <w:t xml:space="preserve">test the antecedent or moderating effect of management knowledge on two linkages: (1) </w:t>
      </w:r>
      <w:r w:rsidRPr="003002B5">
        <w:rPr>
          <w:sz w:val="24"/>
        </w:rPr>
        <w:t xml:space="preserve">between HEI manager motivation to seek advice from academics and the outcome </w:t>
      </w:r>
      <w:r w:rsidR="003002B5">
        <w:rPr>
          <w:sz w:val="24"/>
        </w:rPr>
        <w:t xml:space="preserve">of </w:t>
      </w:r>
      <w:r w:rsidRPr="002354EC">
        <w:rPr>
          <w:sz w:val="24"/>
        </w:rPr>
        <w:t>academic non-consultation, and (2) between the incentives for academics to engage and the outcome</w:t>
      </w:r>
      <w:r w:rsidR="003002B5">
        <w:rPr>
          <w:sz w:val="24"/>
        </w:rPr>
        <w:t xml:space="preserve"> of</w:t>
      </w:r>
      <w:r w:rsidRPr="003002B5">
        <w:rPr>
          <w:sz w:val="24"/>
        </w:rPr>
        <w:t xml:space="preserve"> academic non-consultation</w:t>
      </w:r>
      <w:r w:rsidRPr="0039463F">
        <w:rPr>
          <w:i/>
          <w:sz w:val="24"/>
        </w:rPr>
        <w:t>.</w:t>
      </w:r>
      <w:r w:rsidRPr="0039463F">
        <w:rPr>
          <w:sz w:val="24"/>
        </w:rPr>
        <w:t xml:space="preserve"> </w:t>
      </w:r>
      <w:r>
        <w:rPr>
          <w:sz w:val="24"/>
        </w:rPr>
        <w:t xml:space="preserve">Theoretical background for </w:t>
      </w:r>
      <w:r w:rsidRPr="00854849">
        <w:rPr>
          <w:i/>
          <w:sz w:val="24"/>
        </w:rPr>
        <w:t>management knowledge</w:t>
      </w:r>
      <w:r w:rsidRPr="0039463F">
        <w:rPr>
          <w:sz w:val="24"/>
        </w:rPr>
        <w:t xml:space="preserve"> </w:t>
      </w:r>
      <w:r>
        <w:rPr>
          <w:sz w:val="24"/>
        </w:rPr>
        <w:t>can be sought in the</w:t>
      </w:r>
      <w:r w:rsidRPr="0039463F">
        <w:rPr>
          <w:sz w:val="24"/>
        </w:rPr>
        <w:t xml:space="preserve"> knowledge management theory stream of research </w:t>
      </w:r>
      <w:r>
        <w:rPr>
          <w:noProof/>
          <w:sz w:val="24"/>
        </w:rPr>
        <w:t>(Nonaka and Takeuchi, 1995; Nonaka and von Krogh, 2009; Argote and Miron-Spektor, 2011; Argote, 2013)</w:t>
      </w:r>
      <w:r w:rsidRPr="0039463F">
        <w:rPr>
          <w:sz w:val="24"/>
        </w:rPr>
        <w:t xml:space="preserve">, which has identified three main sub-processes of knowledge management: knowledge creation </w:t>
      </w:r>
      <w:r>
        <w:rPr>
          <w:noProof/>
          <w:sz w:val="24"/>
        </w:rPr>
        <w:t>(Nonaka, 1994; Gupta</w:t>
      </w:r>
      <w:r w:rsidRPr="006928C8">
        <w:rPr>
          <w:i/>
          <w:noProof/>
          <w:sz w:val="24"/>
        </w:rPr>
        <w:t xml:space="preserve"> et al.</w:t>
      </w:r>
      <w:r>
        <w:rPr>
          <w:noProof/>
          <w:sz w:val="24"/>
        </w:rPr>
        <w:t>, 2007)</w:t>
      </w:r>
      <w:r w:rsidRPr="0039463F">
        <w:rPr>
          <w:sz w:val="24"/>
        </w:rPr>
        <w:t xml:space="preserve">, knowledge retention </w:t>
      </w:r>
      <w:r>
        <w:rPr>
          <w:noProof/>
          <w:sz w:val="24"/>
        </w:rPr>
        <w:t>(Hedberg, 1981; Moorman and Miner, 1997; Starbuck and Nystrom, 1997; Majchrzak</w:t>
      </w:r>
      <w:r w:rsidRPr="006928C8">
        <w:rPr>
          <w:i/>
          <w:noProof/>
          <w:sz w:val="24"/>
        </w:rPr>
        <w:t xml:space="preserve"> et al.</w:t>
      </w:r>
      <w:r>
        <w:rPr>
          <w:noProof/>
          <w:sz w:val="24"/>
        </w:rPr>
        <w:t>, 2004; de Holan and Phillips, 2011)</w:t>
      </w:r>
      <w:r w:rsidRPr="0039463F">
        <w:rPr>
          <w:sz w:val="24"/>
        </w:rPr>
        <w:t xml:space="preserve">, and knowledge transfer </w:t>
      </w:r>
      <w:r>
        <w:rPr>
          <w:noProof/>
          <w:sz w:val="24"/>
        </w:rPr>
        <w:t>(Bandura, 1977; Levitt and March, 1988; Van de Ven and Polley, 1992; Szulanski, 1996)</w:t>
      </w:r>
      <w:r>
        <w:rPr>
          <w:sz w:val="24"/>
        </w:rPr>
        <w:t xml:space="preserve">. </w:t>
      </w:r>
    </w:p>
    <w:p w14:paraId="5EF8E8DC" w14:textId="77777777" w:rsidR="00B33FFE" w:rsidRPr="0039463F" w:rsidRDefault="00B33FFE" w:rsidP="00F4246E">
      <w:pPr>
        <w:pStyle w:val="Listeavsnitt"/>
        <w:numPr>
          <w:ilvl w:val="0"/>
          <w:numId w:val="5"/>
        </w:numPr>
        <w:rPr>
          <w:sz w:val="24"/>
        </w:rPr>
      </w:pPr>
      <w:r w:rsidRPr="0039463F">
        <w:rPr>
          <w:sz w:val="24"/>
        </w:rPr>
        <w:t>HEI manager motivation:</w:t>
      </w:r>
    </w:p>
    <w:p w14:paraId="0E0A2CA5" w14:textId="77777777" w:rsidR="00B33FFE" w:rsidRPr="0039463F" w:rsidRDefault="00B33FFE" w:rsidP="00F4246E">
      <w:pPr>
        <w:rPr>
          <w:sz w:val="24"/>
        </w:rPr>
      </w:pPr>
      <w:r w:rsidRPr="0039463F">
        <w:rPr>
          <w:sz w:val="24"/>
        </w:rPr>
        <w:t>Among the three categories of hypotheses in Watson’s 2000 article, we speculate that the motivation of HEI managers is the most important factor causing the phenomenon of academic non-consultation. Therefore, we will make a modest attempt to expand and refine the theoretical basis of Watson’s Hypotheses 7 and 8, which refer to this factor. This will facilitate future research into these hypotheses.</w:t>
      </w:r>
    </w:p>
    <w:p w14:paraId="375F7EEC" w14:textId="77777777" w:rsidR="00B33FFE" w:rsidRPr="0039463F" w:rsidRDefault="00B33FFE" w:rsidP="00F4246E">
      <w:pPr>
        <w:rPr>
          <w:sz w:val="24"/>
        </w:rPr>
      </w:pPr>
      <w:r w:rsidRPr="0039463F">
        <w:rPr>
          <w:sz w:val="24"/>
        </w:rPr>
        <w:lastRenderedPageBreak/>
        <w:t xml:space="preserve">Hypothesis 7 says that HEI managers are unwilling to seek advice. Watson suggests that managers of HEIs, unlike the managers of many other organizations, simply may not recognize any need for advice, but he leaves the reasons for this as a black box to be opened </w:t>
      </w:r>
      <w:r>
        <w:rPr>
          <w:sz w:val="24"/>
        </w:rPr>
        <w:t>in</w:t>
      </w:r>
      <w:r w:rsidRPr="0039463F">
        <w:rPr>
          <w:sz w:val="24"/>
        </w:rPr>
        <w:t xml:space="preserve"> future investigation. We speculate that answers could be sought in the bounded rationality of managers, </w:t>
      </w:r>
      <w:r>
        <w:rPr>
          <w:sz w:val="24"/>
        </w:rPr>
        <w:t xml:space="preserve">in </w:t>
      </w:r>
      <w:r w:rsidRPr="0039463F">
        <w:rPr>
          <w:sz w:val="24"/>
        </w:rPr>
        <w:t xml:space="preserve">the power structure of HEIs, </w:t>
      </w:r>
      <w:r>
        <w:rPr>
          <w:sz w:val="24"/>
        </w:rPr>
        <w:t xml:space="preserve">and in </w:t>
      </w:r>
      <w:r w:rsidRPr="0039463F">
        <w:rPr>
          <w:sz w:val="24"/>
        </w:rPr>
        <w:t>the emotional consequences for managers of involving their academic staff in decision-making, even in a mere advisory role.</w:t>
      </w:r>
    </w:p>
    <w:p w14:paraId="6594FA6D" w14:textId="603162DE" w:rsidR="00B33FFE" w:rsidRPr="0039463F" w:rsidRDefault="00B33FFE" w:rsidP="00F4246E">
      <w:pPr>
        <w:rPr>
          <w:sz w:val="24"/>
        </w:rPr>
      </w:pPr>
      <w:r w:rsidRPr="0039463F">
        <w:rPr>
          <w:sz w:val="24"/>
        </w:rPr>
        <w:t xml:space="preserve">Because of bounded rationality </w:t>
      </w:r>
      <w:r>
        <w:rPr>
          <w:noProof/>
          <w:sz w:val="24"/>
        </w:rPr>
        <w:t>(Simon, 1965)</w:t>
      </w:r>
      <w:r w:rsidRPr="0039463F">
        <w:rPr>
          <w:sz w:val="24"/>
        </w:rPr>
        <w:t xml:space="preserve">, which refers to human cognitive limitations in searching for and processing information </w:t>
      </w:r>
      <w:r>
        <w:rPr>
          <w:noProof/>
          <w:sz w:val="24"/>
        </w:rPr>
        <w:t>(Hogarth, 1980; Chariri, 1999)</w:t>
      </w:r>
      <w:r w:rsidRPr="0039463F">
        <w:rPr>
          <w:sz w:val="24"/>
        </w:rPr>
        <w:t xml:space="preserve"> and in attributing causality </w:t>
      </w:r>
      <w:r>
        <w:rPr>
          <w:noProof/>
          <w:sz w:val="24"/>
        </w:rPr>
        <w:t>(Weiner, 1985)</w:t>
      </w:r>
      <w:r w:rsidRPr="0039463F">
        <w:rPr>
          <w:sz w:val="24"/>
        </w:rPr>
        <w:t xml:space="preserve">, managers may not recognize the need for advice from internal experts. </w:t>
      </w:r>
      <w:r>
        <w:rPr>
          <w:sz w:val="24"/>
        </w:rPr>
        <w:t>Furthermore</w:t>
      </w:r>
      <w:r w:rsidRPr="0039463F">
        <w:rPr>
          <w:sz w:val="24"/>
        </w:rPr>
        <w:t>, if top HEI manager</w:t>
      </w:r>
      <w:r>
        <w:rPr>
          <w:sz w:val="24"/>
        </w:rPr>
        <w:t>s</w:t>
      </w:r>
      <w:r w:rsidRPr="0039463F">
        <w:rPr>
          <w:sz w:val="24"/>
        </w:rPr>
        <w:t xml:space="preserve"> </w:t>
      </w:r>
      <w:r>
        <w:rPr>
          <w:sz w:val="24"/>
        </w:rPr>
        <w:t xml:space="preserve">were to </w:t>
      </w:r>
      <w:r w:rsidRPr="0039463F">
        <w:rPr>
          <w:sz w:val="24"/>
        </w:rPr>
        <w:t>consult in-house expert</w:t>
      </w:r>
      <w:r>
        <w:rPr>
          <w:sz w:val="24"/>
        </w:rPr>
        <w:t>s</w:t>
      </w:r>
      <w:r w:rsidRPr="0039463F">
        <w:rPr>
          <w:sz w:val="24"/>
        </w:rPr>
        <w:t xml:space="preserve"> for advice on important management decision</w:t>
      </w:r>
      <w:r>
        <w:rPr>
          <w:sz w:val="24"/>
        </w:rPr>
        <w:t>s</w:t>
      </w:r>
      <w:r w:rsidRPr="0039463F">
        <w:rPr>
          <w:sz w:val="24"/>
        </w:rPr>
        <w:t xml:space="preserve">, </w:t>
      </w:r>
      <w:r>
        <w:rPr>
          <w:sz w:val="24"/>
        </w:rPr>
        <w:t>they</w:t>
      </w:r>
      <w:r w:rsidRPr="0039463F">
        <w:rPr>
          <w:sz w:val="24"/>
        </w:rPr>
        <w:t xml:space="preserve"> would have to disclose sensitive strategic information to the expert</w:t>
      </w:r>
      <w:r>
        <w:rPr>
          <w:sz w:val="24"/>
        </w:rPr>
        <w:t>s</w:t>
      </w:r>
      <w:r w:rsidRPr="0039463F">
        <w:rPr>
          <w:sz w:val="24"/>
        </w:rPr>
        <w:t xml:space="preserve">, who in turn could hardly be prevented from spreading this information to others throughout the organization. </w:t>
      </w:r>
      <w:r>
        <w:rPr>
          <w:sz w:val="24"/>
        </w:rPr>
        <w:t>Such</w:t>
      </w:r>
      <w:r w:rsidRPr="0039463F">
        <w:rPr>
          <w:sz w:val="24"/>
        </w:rPr>
        <w:t xml:space="preserve"> manager</w:t>
      </w:r>
      <w:r>
        <w:rPr>
          <w:sz w:val="24"/>
        </w:rPr>
        <w:t>s</w:t>
      </w:r>
      <w:r w:rsidRPr="0039463F">
        <w:rPr>
          <w:sz w:val="24"/>
        </w:rPr>
        <w:t xml:space="preserve"> would be giving up a monopoly on information that</w:t>
      </w:r>
      <w:r>
        <w:rPr>
          <w:sz w:val="24"/>
        </w:rPr>
        <w:t xml:space="preserve"> they might see as</w:t>
      </w:r>
      <w:r w:rsidRPr="0039463F">
        <w:rPr>
          <w:sz w:val="24"/>
        </w:rPr>
        <w:t xml:space="preserve"> a valuable personal asset. </w:t>
      </w:r>
      <w:r>
        <w:rPr>
          <w:sz w:val="24"/>
        </w:rPr>
        <w:t>They</w:t>
      </w:r>
      <w:r w:rsidRPr="0039463F">
        <w:rPr>
          <w:sz w:val="24"/>
        </w:rPr>
        <w:t xml:space="preserve"> would also face the risk of receiving biased advice from the expert</w:t>
      </w:r>
      <w:r w:rsidR="003002B5">
        <w:rPr>
          <w:sz w:val="24"/>
        </w:rPr>
        <w:t>s</w:t>
      </w:r>
      <w:r w:rsidRPr="0039463F">
        <w:rPr>
          <w:sz w:val="24"/>
        </w:rPr>
        <w:t>, who might be personally affected by any decisions made by management and therefore disinclined to give impartial advice. Finally, the manager</w:t>
      </w:r>
      <w:r>
        <w:rPr>
          <w:sz w:val="24"/>
        </w:rPr>
        <w:t>s</w:t>
      </w:r>
      <w:r w:rsidRPr="0039463F">
        <w:rPr>
          <w:sz w:val="24"/>
        </w:rPr>
        <w:t xml:space="preserve"> might perceive that </w:t>
      </w:r>
      <w:r>
        <w:rPr>
          <w:sz w:val="24"/>
        </w:rPr>
        <w:t>t</w:t>
      </w:r>
      <w:r w:rsidRPr="0039463F">
        <w:rPr>
          <w:sz w:val="24"/>
        </w:rPr>
        <w:t>he</w:t>
      </w:r>
      <w:r>
        <w:rPr>
          <w:sz w:val="24"/>
        </w:rPr>
        <w:t>y</w:t>
      </w:r>
      <w:r w:rsidRPr="0039463F">
        <w:rPr>
          <w:sz w:val="24"/>
        </w:rPr>
        <w:t xml:space="preserve"> would lose face and authority within the organization simply by seeking advice, as this would amount to an admission of ignorance and a recognition of the superiority of the knowledge of </w:t>
      </w:r>
      <w:r>
        <w:rPr>
          <w:sz w:val="24"/>
        </w:rPr>
        <w:t>their</w:t>
      </w:r>
      <w:r w:rsidRPr="0039463F">
        <w:rPr>
          <w:sz w:val="24"/>
        </w:rPr>
        <w:t xml:space="preserve"> subordinates co</w:t>
      </w:r>
      <w:r>
        <w:rPr>
          <w:sz w:val="24"/>
        </w:rPr>
        <w:t>mpared</w:t>
      </w:r>
      <w:r w:rsidRPr="0039463F">
        <w:rPr>
          <w:sz w:val="24"/>
        </w:rPr>
        <w:t xml:space="preserve"> to </w:t>
      </w:r>
      <w:r>
        <w:rPr>
          <w:sz w:val="24"/>
        </w:rPr>
        <w:t>their</w:t>
      </w:r>
      <w:r w:rsidRPr="0039463F">
        <w:rPr>
          <w:sz w:val="24"/>
        </w:rPr>
        <w:t xml:space="preserve"> own.</w:t>
      </w:r>
    </w:p>
    <w:p w14:paraId="1F580782" w14:textId="77777777" w:rsidR="00B33FFE" w:rsidRPr="0039463F" w:rsidRDefault="00B33FFE" w:rsidP="00F4246E">
      <w:pPr>
        <w:rPr>
          <w:sz w:val="24"/>
        </w:rPr>
      </w:pPr>
      <w:r w:rsidRPr="0039463F">
        <w:rPr>
          <w:sz w:val="24"/>
        </w:rPr>
        <w:t>Hypothesis 8, as stated by Watson (“It is difficult for university managers to believe that their own academics could be adequate advisers”), allows for two mutually incompatible implications: either the managers’ skepticism is justified or it is not. If it is not – that is, if managers ought to give the academics more of a chance to prove themselves as advisors – the reason for the reluctance of managers to consult their own staff might be illuminated by theories of bounded rationality. Managers may not have the capacity to see how the perspectives of their staff can add value to their own ideas, especially if those perspectives conflict with their own preconceived notions.</w:t>
      </w:r>
    </w:p>
    <w:p w14:paraId="0F24CCE3" w14:textId="1BB11C79" w:rsidR="00B33FFE" w:rsidRPr="007E4B36" w:rsidRDefault="00B33FFE" w:rsidP="00F4246E">
      <w:pPr>
        <w:rPr>
          <w:noProof/>
          <w:sz w:val="24"/>
        </w:rPr>
      </w:pPr>
      <w:r w:rsidRPr="0039463F">
        <w:rPr>
          <w:sz w:val="24"/>
        </w:rPr>
        <w:t xml:space="preserve">Empirical testing of Hypotheses 7 and 8 can explore the dynamics of the phenomenon by both quantitative and qualitative methods. Regarding the </w:t>
      </w:r>
      <w:r>
        <w:rPr>
          <w:sz w:val="24"/>
        </w:rPr>
        <w:t>theoretical foundation</w:t>
      </w:r>
      <w:r w:rsidRPr="0039463F">
        <w:rPr>
          <w:sz w:val="24"/>
        </w:rPr>
        <w:t xml:space="preserve"> of HEI manager </w:t>
      </w:r>
      <w:r w:rsidRPr="007E4B36">
        <w:rPr>
          <w:sz w:val="24"/>
        </w:rPr>
        <w:t>motivation, one may refer to the work motivation theory stream of research</w:t>
      </w:r>
      <w:r w:rsidRPr="00A8613E">
        <w:rPr>
          <w:sz w:val="24"/>
        </w:rPr>
        <w:t>. A comprehensive review o</w:t>
      </w:r>
      <w:r w:rsidR="00A8613E">
        <w:rPr>
          <w:sz w:val="24"/>
        </w:rPr>
        <w:t>f</w:t>
      </w:r>
      <w:r w:rsidRPr="002354EC">
        <w:rPr>
          <w:sz w:val="24"/>
        </w:rPr>
        <w:t xml:space="preserve"> work motivation theory </w:t>
      </w:r>
      <w:r w:rsidR="003002B5">
        <w:rPr>
          <w:sz w:val="24"/>
        </w:rPr>
        <w:t>is provided by</w:t>
      </w:r>
      <w:r w:rsidRPr="002354EC">
        <w:rPr>
          <w:sz w:val="24"/>
        </w:rPr>
        <w:t xml:space="preserve"> Latham and Pinder </w:t>
      </w:r>
      <w:r w:rsidRPr="002354EC">
        <w:rPr>
          <w:noProof/>
          <w:sz w:val="24"/>
        </w:rPr>
        <w:t>(2005, p. 487)</w:t>
      </w:r>
      <w:r w:rsidRPr="002354EC">
        <w:rPr>
          <w:sz w:val="24"/>
        </w:rPr>
        <w:t>, wh</w:t>
      </w:r>
      <w:r w:rsidR="00A8613E">
        <w:rPr>
          <w:sz w:val="24"/>
        </w:rPr>
        <w:t>o</w:t>
      </w:r>
      <w:r w:rsidR="003002B5">
        <w:rPr>
          <w:sz w:val="24"/>
        </w:rPr>
        <w:t>se</w:t>
      </w:r>
      <w:r w:rsidRPr="002354EC">
        <w:rPr>
          <w:sz w:val="24"/>
        </w:rPr>
        <w:t xml:space="preserve"> elaborate motivational framework includ</w:t>
      </w:r>
      <w:r w:rsidR="003002B5">
        <w:rPr>
          <w:sz w:val="24"/>
        </w:rPr>
        <w:t>es</w:t>
      </w:r>
      <w:r w:rsidRPr="002354EC">
        <w:rPr>
          <w:sz w:val="24"/>
        </w:rPr>
        <w:t xml:space="preserve"> </w:t>
      </w:r>
      <w:r w:rsidR="00A8613E">
        <w:rPr>
          <w:sz w:val="24"/>
        </w:rPr>
        <w:t xml:space="preserve">the </w:t>
      </w:r>
      <w:r w:rsidRPr="002354EC">
        <w:rPr>
          <w:sz w:val="24"/>
        </w:rPr>
        <w:t>following factors (selected references are from Latham and Pinder, 2005):</w:t>
      </w:r>
      <w:r w:rsidRPr="007E4B36">
        <w:rPr>
          <w:sz w:val="24"/>
        </w:rPr>
        <w:t xml:space="preserve"> “needs” </w:t>
      </w:r>
      <w:r>
        <w:rPr>
          <w:noProof/>
          <w:sz w:val="24"/>
        </w:rPr>
        <w:t>(Kanfer, 1990; Haslam</w:t>
      </w:r>
      <w:r w:rsidRPr="006928C8">
        <w:rPr>
          <w:i/>
          <w:noProof/>
          <w:sz w:val="24"/>
        </w:rPr>
        <w:t xml:space="preserve"> et al.</w:t>
      </w:r>
      <w:r>
        <w:rPr>
          <w:noProof/>
          <w:sz w:val="24"/>
        </w:rPr>
        <w:t>, 2000; Hogan and Warrenfeltz, 2003)</w:t>
      </w:r>
      <w:r w:rsidRPr="007E4B36">
        <w:rPr>
          <w:sz w:val="24"/>
        </w:rPr>
        <w:t xml:space="preserve">, “personal traits” </w:t>
      </w:r>
      <w:r>
        <w:rPr>
          <w:noProof/>
          <w:sz w:val="24"/>
        </w:rPr>
        <w:t>(Allport, 1951; Barrick</w:t>
      </w:r>
      <w:r w:rsidRPr="006928C8">
        <w:rPr>
          <w:i/>
          <w:noProof/>
          <w:sz w:val="24"/>
        </w:rPr>
        <w:t xml:space="preserve"> et al.</w:t>
      </w:r>
      <w:r>
        <w:rPr>
          <w:noProof/>
          <w:sz w:val="24"/>
        </w:rPr>
        <w:t>, 2001; Schmitt</w:t>
      </w:r>
      <w:r w:rsidRPr="006928C8">
        <w:rPr>
          <w:i/>
          <w:noProof/>
          <w:sz w:val="24"/>
        </w:rPr>
        <w:t xml:space="preserve"> et al.</w:t>
      </w:r>
      <w:r>
        <w:rPr>
          <w:noProof/>
          <w:sz w:val="24"/>
        </w:rPr>
        <w:t>, 2003)</w:t>
      </w:r>
      <w:r w:rsidRPr="007E4B36">
        <w:rPr>
          <w:sz w:val="24"/>
        </w:rPr>
        <w:t xml:space="preserve">, “values” </w:t>
      </w:r>
      <w:r>
        <w:rPr>
          <w:noProof/>
          <w:sz w:val="24"/>
        </w:rPr>
        <w:t>(Locke and Henne, 1986; Foreman and Murphy, 1996; Verplanken and Holland, 2002; Malka and Chatman, 2003)</w:t>
      </w:r>
      <w:r w:rsidRPr="007E4B36">
        <w:rPr>
          <w:sz w:val="24"/>
        </w:rPr>
        <w:t xml:space="preserve">, “context” </w:t>
      </w:r>
      <w:r>
        <w:rPr>
          <w:noProof/>
          <w:sz w:val="24"/>
        </w:rPr>
        <w:t xml:space="preserve">(Erez and Earley, 1993; Gustafson and Mumford, 1995; Ambrose and Kulik, 1999; Leung, 2001; Morgeson and Campion, 2002; </w:t>
      </w:r>
      <w:r>
        <w:rPr>
          <w:noProof/>
          <w:sz w:val="24"/>
        </w:rPr>
        <w:lastRenderedPageBreak/>
        <w:t>Scholz</w:t>
      </w:r>
      <w:r w:rsidRPr="006928C8">
        <w:rPr>
          <w:i/>
          <w:noProof/>
          <w:sz w:val="24"/>
        </w:rPr>
        <w:t xml:space="preserve"> et al.</w:t>
      </w:r>
      <w:r>
        <w:rPr>
          <w:noProof/>
          <w:sz w:val="24"/>
        </w:rPr>
        <w:t>, 2002; Steers and Sanchez-Runde, 2002)</w:t>
      </w:r>
      <w:r w:rsidRPr="007E4B36">
        <w:rPr>
          <w:sz w:val="24"/>
        </w:rPr>
        <w:t xml:space="preserve">, “personal-context fit” </w:t>
      </w:r>
      <w:r>
        <w:rPr>
          <w:noProof/>
          <w:sz w:val="24"/>
        </w:rPr>
        <w:t>(Schaffer, 1953; Cable and DeRue, 2002; Hulin and Judge, 2003)</w:t>
      </w:r>
      <w:r w:rsidRPr="007E4B36">
        <w:rPr>
          <w:sz w:val="24"/>
        </w:rPr>
        <w:t xml:space="preserve">, “cognition” </w:t>
      </w:r>
      <w:r>
        <w:rPr>
          <w:noProof/>
          <w:sz w:val="24"/>
        </w:rPr>
        <w:t>(Latham and Locke, 1991; Latham</w:t>
      </w:r>
      <w:r w:rsidRPr="006928C8">
        <w:rPr>
          <w:i/>
          <w:noProof/>
          <w:sz w:val="24"/>
        </w:rPr>
        <w:t xml:space="preserve"> et al.</w:t>
      </w:r>
      <w:r>
        <w:rPr>
          <w:noProof/>
          <w:sz w:val="24"/>
        </w:rPr>
        <w:t>, 1994; Ashford and Black, 1996; Gollwitzer, 1999; Seijts and Latham, 2000; Vancouver</w:t>
      </w:r>
      <w:r w:rsidRPr="006928C8">
        <w:rPr>
          <w:i/>
          <w:noProof/>
          <w:sz w:val="24"/>
        </w:rPr>
        <w:t xml:space="preserve"> et al.</w:t>
      </w:r>
      <w:r>
        <w:rPr>
          <w:noProof/>
          <w:sz w:val="24"/>
        </w:rPr>
        <w:t>, 2001; Locke, 2002)</w:t>
      </w:r>
      <w:r w:rsidRPr="007E4B36">
        <w:rPr>
          <w:sz w:val="24"/>
        </w:rPr>
        <w:t xml:space="preserve">, and “affect/emotion” </w:t>
      </w:r>
      <w:r>
        <w:rPr>
          <w:noProof/>
          <w:sz w:val="24"/>
        </w:rPr>
        <w:t>(Greenberg, 1987; Mowday and Sutton, 1993; Erez and Isen, 2002; George and Zhou, 2002; Grandey, 2003)</w:t>
      </w:r>
      <w:r w:rsidRPr="007E4B36">
        <w:rPr>
          <w:sz w:val="24"/>
        </w:rPr>
        <w:t>.</w:t>
      </w:r>
    </w:p>
    <w:p w14:paraId="11D4DEF5" w14:textId="77777777" w:rsidR="00B33FFE" w:rsidRPr="0039463F" w:rsidRDefault="00B33FFE" w:rsidP="00F4246E">
      <w:pPr>
        <w:pStyle w:val="Listeavsnitt"/>
        <w:numPr>
          <w:ilvl w:val="0"/>
          <w:numId w:val="5"/>
        </w:numPr>
        <w:rPr>
          <w:sz w:val="24"/>
        </w:rPr>
      </w:pPr>
      <w:r w:rsidRPr="0039463F">
        <w:rPr>
          <w:sz w:val="24"/>
        </w:rPr>
        <w:t>Incentives for academics:</w:t>
      </w:r>
    </w:p>
    <w:p w14:paraId="2E7A2337" w14:textId="1D025D2B" w:rsidR="00B33FFE" w:rsidRPr="0039463F" w:rsidRDefault="00B33FFE" w:rsidP="00F4246E">
      <w:pPr>
        <w:spacing w:after="0"/>
        <w:rPr>
          <w:sz w:val="24"/>
        </w:rPr>
      </w:pPr>
      <w:r w:rsidRPr="0039463F">
        <w:rPr>
          <w:sz w:val="24"/>
        </w:rPr>
        <w:t xml:space="preserve">The third </w:t>
      </w:r>
      <w:r>
        <w:rPr>
          <w:sz w:val="24"/>
        </w:rPr>
        <w:t>factor</w:t>
      </w:r>
      <w:r w:rsidRPr="0039463F">
        <w:rPr>
          <w:sz w:val="24"/>
        </w:rPr>
        <w:t xml:space="preserve">, incentives for academics to engage </w:t>
      </w:r>
      <w:r>
        <w:rPr>
          <w:sz w:val="24"/>
        </w:rPr>
        <w:t>in</w:t>
      </w:r>
      <w:r w:rsidRPr="0039463F">
        <w:rPr>
          <w:sz w:val="24"/>
        </w:rPr>
        <w:t xml:space="preserve"> in-house consultation activities, can </w:t>
      </w:r>
      <w:r w:rsidRPr="007E4B36">
        <w:rPr>
          <w:sz w:val="24"/>
        </w:rPr>
        <w:t>explain the</w:t>
      </w:r>
      <w:r>
        <w:rPr>
          <w:sz w:val="24"/>
        </w:rPr>
        <w:t xml:space="preserve"> observed</w:t>
      </w:r>
      <w:r w:rsidRPr="007E4B36">
        <w:rPr>
          <w:sz w:val="24"/>
        </w:rPr>
        <w:t xml:space="preserve"> phenomenon directly but may also interact with the second </w:t>
      </w:r>
      <w:r>
        <w:rPr>
          <w:sz w:val="24"/>
        </w:rPr>
        <w:t>factor</w:t>
      </w:r>
      <w:r w:rsidRPr="007E4B36">
        <w:rPr>
          <w:sz w:val="24"/>
        </w:rPr>
        <w:t xml:space="preserve"> discussed above</w:t>
      </w:r>
      <w:r>
        <w:rPr>
          <w:sz w:val="24"/>
        </w:rPr>
        <w:t xml:space="preserve"> (HEI manager motivation)</w:t>
      </w:r>
      <w:r w:rsidRPr="007E4B36">
        <w:rPr>
          <w:sz w:val="24"/>
        </w:rPr>
        <w:t xml:space="preserve">. For example, issues of power </w:t>
      </w:r>
      <w:r>
        <w:rPr>
          <w:noProof/>
          <w:sz w:val="24"/>
        </w:rPr>
        <w:t>(Salancik and Pfeffer, 1977; Pfeffer, 1992)</w:t>
      </w:r>
      <w:r w:rsidRPr="007E4B36">
        <w:rPr>
          <w:sz w:val="24"/>
        </w:rPr>
        <w:t xml:space="preserve"> and face-saving </w:t>
      </w:r>
      <w:r>
        <w:rPr>
          <w:noProof/>
          <w:sz w:val="24"/>
        </w:rPr>
        <w:t>(Daly</w:t>
      </w:r>
      <w:r w:rsidRPr="006928C8">
        <w:rPr>
          <w:i/>
          <w:noProof/>
          <w:sz w:val="24"/>
        </w:rPr>
        <w:t xml:space="preserve"> et al.</w:t>
      </w:r>
      <w:r>
        <w:rPr>
          <w:noProof/>
          <w:sz w:val="24"/>
        </w:rPr>
        <w:t>, 2012)</w:t>
      </w:r>
      <w:r w:rsidRPr="007E4B36">
        <w:rPr>
          <w:sz w:val="24"/>
        </w:rPr>
        <w:t xml:space="preserve"> may affect the incentiv</w:t>
      </w:r>
      <w:r w:rsidR="003002B5">
        <w:rPr>
          <w:sz w:val="24"/>
        </w:rPr>
        <w:t>es given to</w:t>
      </w:r>
      <w:r w:rsidRPr="007E4B36">
        <w:rPr>
          <w:sz w:val="24"/>
        </w:rPr>
        <w:t xml:space="preserve"> academics by managers, </w:t>
      </w:r>
      <w:r>
        <w:rPr>
          <w:sz w:val="24"/>
        </w:rPr>
        <w:t>while</w:t>
      </w:r>
      <w:r w:rsidR="003002B5">
        <w:rPr>
          <w:sz w:val="24"/>
        </w:rPr>
        <w:t xml:space="preserve"> in turn</w:t>
      </w:r>
      <w:r w:rsidRPr="007E4B36">
        <w:rPr>
          <w:sz w:val="24"/>
        </w:rPr>
        <w:t xml:space="preserve"> </w:t>
      </w:r>
      <w:r w:rsidR="003002B5">
        <w:rPr>
          <w:sz w:val="24"/>
        </w:rPr>
        <w:t xml:space="preserve">managers’ </w:t>
      </w:r>
      <w:r w:rsidRPr="007E4B36">
        <w:rPr>
          <w:sz w:val="24"/>
        </w:rPr>
        <w:t>perce</w:t>
      </w:r>
      <w:r w:rsidR="003002B5">
        <w:rPr>
          <w:sz w:val="24"/>
        </w:rPr>
        <w:t>ption of the</w:t>
      </w:r>
      <w:r w:rsidRPr="007E4B36">
        <w:rPr>
          <w:sz w:val="24"/>
        </w:rPr>
        <w:t xml:space="preserve"> incentives of academics may affect the</w:t>
      </w:r>
      <w:r w:rsidR="003002B5">
        <w:rPr>
          <w:sz w:val="24"/>
        </w:rPr>
        <w:t>ir</w:t>
      </w:r>
      <w:r w:rsidRPr="007E4B36">
        <w:rPr>
          <w:sz w:val="24"/>
        </w:rPr>
        <w:t xml:space="preserve"> willingness </w:t>
      </w:r>
      <w:r w:rsidR="003002B5">
        <w:rPr>
          <w:sz w:val="24"/>
        </w:rPr>
        <w:t>t</w:t>
      </w:r>
      <w:r w:rsidRPr="007E4B36">
        <w:rPr>
          <w:sz w:val="24"/>
        </w:rPr>
        <w:t>o seek advice from them. Therefore, aside from testing Hypothesis 9 directly, we suggest testing the moderating effect of incentives for academics</w:t>
      </w:r>
      <w:r w:rsidRPr="0039463F">
        <w:rPr>
          <w:sz w:val="24"/>
        </w:rPr>
        <w:t xml:space="preserve"> to engage</w:t>
      </w:r>
      <w:r>
        <w:rPr>
          <w:sz w:val="24"/>
        </w:rPr>
        <w:t xml:space="preserve"> in in-house consultation</w:t>
      </w:r>
      <w:r w:rsidRPr="0039463F">
        <w:rPr>
          <w:sz w:val="24"/>
        </w:rPr>
        <w:t xml:space="preserve"> on the relationship between HEI manager motivation and academic non-consultation. Measures of incentives can be found in the motivation theory stream of research. </w:t>
      </w:r>
    </w:p>
    <w:p w14:paraId="1EA5B007" w14:textId="77777777" w:rsidR="00B33FFE" w:rsidRPr="0039463F" w:rsidRDefault="00B33FFE" w:rsidP="00F4246E">
      <w:pPr>
        <w:spacing w:after="0"/>
        <w:rPr>
          <w:sz w:val="24"/>
        </w:rPr>
      </w:pPr>
    </w:p>
    <w:p w14:paraId="555EB51D" w14:textId="77777777" w:rsidR="00B33FFE" w:rsidRPr="0039463F" w:rsidRDefault="00B33FFE" w:rsidP="00F4246E">
      <w:pPr>
        <w:spacing w:after="0"/>
        <w:rPr>
          <w:sz w:val="24"/>
        </w:rPr>
      </w:pPr>
      <w:r w:rsidRPr="0039463F">
        <w:rPr>
          <w:sz w:val="24"/>
        </w:rPr>
        <w:t>Finally, we suspect there may be interactions between these three factors that can jointly lead to the phenomenon of academic non-consultation. Therefore, future studies examining the interplay between factors and their joint effects are encouraged.</w:t>
      </w:r>
    </w:p>
    <w:p w14:paraId="2D56F8B2" w14:textId="77777777" w:rsidR="00B33FFE" w:rsidRPr="0039463F" w:rsidRDefault="00B33FFE" w:rsidP="00F4246E">
      <w:pPr>
        <w:spacing w:after="0"/>
        <w:rPr>
          <w:sz w:val="24"/>
        </w:rPr>
      </w:pPr>
      <w:r w:rsidRPr="0039463F">
        <w:rPr>
          <w:sz w:val="24"/>
        </w:rPr>
        <w:t xml:space="preserve"> </w:t>
      </w:r>
    </w:p>
    <w:p w14:paraId="7C8F925D" w14:textId="2C565789" w:rsidR="00B33FFE" w:rsidRDefault="00B33FFE" w:rsidP="00F4246E">
      <w:pPr>
        <w:spacing w:after="0"/>
        <w:rPr>
          <w:sz w:val="24"/>
        </w:rPr>
      </w:pPr>
      <w:r w:rsidRPr="0039463F">
        <w:rPr>
          <w:sz w:val="24"/>
        </w:rPr>
        <w:t xml:space="preserve">Combining the three factors that might cause the phenomenon of academic non-consultation while conjecturing that the motivation of HEI managers is a vital component, we suggest a research agenda as follows (Table 2). </w:t>
      </w:r>
    </w:p>
    <w:p w14:paraId="0768E1B7" w14:textId="77777777" w:rsidR="0012217D" w:rsidRPr="0039463F" w:rsidRDefault="0012217D" w:rsidP="00F4246E">
      <w:pPr>
        <w:spacing w:after="0"/>
        <w:rPr>
          <w:sz w:val="24"/>
        </w:rPr>
      </w:pPr>
    </w:p>
    <w:p w14:paraId="2AEEE17D" w14:textId="77777777" w:rsidR="00B33FFE" w:rsidRPr="0039463F" w:rsidRDefault="00B33FFE" w:rsidP="00F4246E">
      <w:pPr>
        <w:jc w:val="center"/>
        <w:rPr>
          <w:b/>
          <w:sz w:val="24"/>
        </w:rPr>
      </w:pPr>
    </w:p>
    <w:p w14:paraId="02420FE8" w14:textId="77777777" w:rsidR="0012217D" w:rsidRDefault="0012217D" w:rsidP="00F4246E">
      <w:pPr>
        <w:jc w:val="center"/>
        <w:rPr>
          <w:b/>
          <w:sz w:val="24"/>
        </w:rPr>
      </w:pPr>
    </w:p>
    <w:p w14:paraId="12B4E954" w14:textId="77777777" w:rsidR="0012217D" w:rsidRDefault="0012217D" w:rsidP="00F4246E">
      <w:pPr>
        <w:jc w:val="center"/>
        <w:rPr>
          <w:b/>
          <w:sz w:val="24"/>
        </w:rPr>
      </w:pPr>
    </w:p>
    <w:p w14:paraId="0518B481" w14:textId="77777777" w:rsidR="0012217D" w:rsidRDefault="0012217D" w:rsidP="00F4246E">
      <w:pPr>
        <w:jc w:val="center"/>
        <w:rPr>
          <w:b/>
          <w:sz w:val="24"/>
        </w:rPr>
      </w:pPr>
    </w:p>
    <w:p w14:paraId="1634D38C" w14:textId="77777777" w:rsidR="0012217D" w:rsidRDefault="0012217D" w:rsidP="00F4246E">
      <w:pPr>
        <w:jc w:val="center"/>
        <w:rPr>
          <w:b/>
          <w:sz w:val="24"/>
        </w:rPr>
      </w:pPr>
    </w:p>
    <w:p w14:paraId="5B27D7FB" w14:textId="77777777" w:rsidR="0012217D" w:rsidRDefault="0012217D" w:rsidP="00F4246E">
      <w:pPr>
        <w:jc w:val="center"/>
        <w:rPr>
          <w:b/>
          <w:sz w:val="24"/>
        </w:rPr>
      </w:pPr>
    </w:p>
    <w:p w14:paraId="155BD268" w14:textId="77777777" w:rsidR="0012217D" w:rsidRDefault="0012217D" w:rsidP="00F4246E">
      <w:pPr>
        <w:jc w:val="center"/>
        <w:rPr>
          <w:b/>
          <w:sz w:val="24"/>
        </w:rPr>
      </w:pPr>
    </w:p>
    <w:p w14:paraId="50E1DEC9" w14:textId="77777777" w:rsidR="0012217D" w:rsidRDefault="0012217D" w:rsidP="00F4246E">
      <w:pPr>
        <w:jc w:val="center"/>
        <w:rPr>
          <w:b/>
          <w:sz w:val="24"/>
        </w:rPr>
      </w:pPr>
    </w:p>
    <w:p w14:paraId="6D8C3075" w14:textId="77777777" w:rsidR="0012217D" w:rsidRDefault="0012217D" w:rsidP="00F4246E">
      <w:pPr>
        <w:jc w:val="center"/>
        <w:rPr>
          <w:b/>
          <w:sz w:val="24"/>
        </w:rPr>
      </w:pPr>
    </w:p>
    <w:p w14:paraId="294D3AE0" w14:textId="4742ED08" w:rsidR="00B33FFE" w:rsidRPr="0039463F" w:rsidRDefault="00B33FFE" w:rsidP="002354EC">
      <w:pPr>
        <w:keepNext/>
        <w:jc w:val="center"/>
        <w:rPr>
          <w:b/>
          <w:sz w:val="24"/>
        </w:rPr>
      </w:pPr>
      <w:r w:rsidRPr="0039463F">
        <w:rPr>
          <w:b/>
          <w:sz w:val="24"/>
        </w:rPr>
        <w:lastRenderedPageBreak/>
        <w:t>Table 2. Suggestions for future research</w:t>
      </w:r>
    </w:p>
    <w:tbl>
      <w:tblPr>
        <w:tblStyle w:val="Tabellrutenett"/>
        <w:tblW w:w="9634" w:type="dxa"/>
        <w:tblLook w:val="04A0" w:firstRow="1" w:lastRow="0" w:firstColumn="1" w:lastColumn="0" w:noHBand="0" w:noVBand="1"/>
      </w:tblPr>
      <w:tblGrid>
        <w:gridCol w:w="1251"/>
        <w:gridCol w:w="2457"/>
        <w:gridCol w:w="2340"/>
        <w:gridCol w:w="1800"/>
        <w:gridCol w:w="1786"/>
      </w:tblGrid>
      <w:tr w:rsidR="00B33FFE" w:rsidRPr="0012217D" w14:paraId="4129E04E" w14:textId="77777777" w:rsidTr="00F4246E">
        <w:trPr>
          <w:trHeight w:val="600"/>
        </w:trPr>
        <w:tc>
          <w:tcPr>
            <w:tcW w:w="0" w:type="auto"/>
            <w:hideMark/>
          </w:tcPr>
          <w:p w14:paraId="12D85B46" w14:textId="77777777" w:rsidR="00B33FFE" w:rsidRPr="0012217D" w:rsidRDefault="00B33FFE" w:rsidP="00F4246E">
            <w:pPr>
              <w:rPr>
                <w:b/>
                <w:bCs/>
              </w:rPr>
            </w:pPr>
            <w:r w:rsidRPr="0012217D">
              <w:rPr>
                <w:b/>
                <w:bCs/>
              </w:rPr>
              <w:t>Factors</w:t>
            </w:r>
          </w:p>
        </w:tc>
        <w:tc>
          <w:tcPr>
            <w:tcW w:w="2457" w:type="dxa"/>
            <w:shd w:val="clear" w:color="auto" w:fill="E7E6E6" w:themeFill="background2"/>
            <w:hideMark/>
          </w:tcPr>
          <w:p w14:paraId="1132533D" w14:textId="77777777" w:rsidR="00B33FFE" w:rsidRPr="0012217D" w:rsidRDefault="00B33FFE" w:rsidP="00F4246E">
            <w:pPr>
              <w:rPr>
                <w:b/>
                <w:bCs/>
                <w:i/>
                <w:iCs/>
              </w:rPr>
            </w:pPr>
            <w:r w:rsidRPr="0012217D">
              <w:rPr>
                <w:b/>
                <w:bCs/>
                <w:i/>
                <w:iCs/>
              </w:rPr>
              <w:t>Management knowledge</w:t>
            </w:r>
          </w:p>
        </w:tc>
        <w:tc>
          <w:tcPr>
            <w:tcW w:w="2340" w:type="dxa"/>
            <w:shd w:val="clear" w:color="auto" w:fill="E7E6E6" w:themeFill="background2"/>
            <w:hideMark/>
          </w:tcPr>
          <w:p w14:paraId="52B01796" w14:textId="77777777" w:rsidR="00B33FFE" w:rsidRPr="0012217D" w:rsidRDefault="00B33FFE" w:rsidP="00F4246E">
            <w:pPr>
              <w:rPr>
                <w:b/>
                <w:bCs/>
                <w:i/>
                <w:iCs/>
              </w:rPr>
            </w:pPr>
            <w:r w:rsidRPr="0012217D">
              <w:rPr>
                <w:b/>
                <w:bCs/>
                <w:i/>
                <w:iCs/>
              </w:rPr>
              <w:t xml:space="preserve">Motivation of HEI managers </w:t>
            </w:r>
          </w:p>
        </w:tc>
        <w:tc>
          <w:tcPr>
            <w:tcW w:w="1800" w:type="dxa"/>
            <w:shd w:val="clear" w:color="auto" w:fill="E7E6E6" w:themeFill="background2"/>
            <w:hideMark/>
          </w:tcPr>
          <w:p w14:paraId="4885B9D2" w14:textId="77777777" w:rsidR="00B33FFE" w:rsidRPr="0012217D" w:rsidRDefault="00B33FFE" w:rsidP="00F4246E">
            <w:pPr>
              <w:rPr>
                <w:b/>
                <w:bCs/>
                <w:i/>
                <w:iCs/>
              </w:rPr>
            </w:pPr>
            <w:r w:rsidRPr="0012217D">
              <w:rPr>
                <w:b/>
                <w:bCs/>
                <w:i/>
                <w:iCs/>
              </w:rPr>
              <w:t>Incentives for academics</w:t>
            </w:r>
          </w:p>
        </w:tc>
        <w:tc>
          <w:tcPr>
            <w:tcW w:w="1786" w:type="dxa"/>
            <w:shd w:val="clear" w:color="auto" w:fill="E7E6E6" w:themeFill="background2"/>
            <w:hideMark/>
          </w:tcPr>
          <w:p w14:paraId="4D368F72" w14:textId="77777777" w:rsidR="00B33FFE" w:rsidRPr="0012217D" w:rsidRDefault="00B33FFE" w:rsidP="00F4246E">
            <w:pPr>
              <w:rPr>
                <w:b/>
                <w:bCs/>
                <w:i/>
                <w:iCs/>
              </w:rPr>
            </w:pPr>
            <w:r w:rsidRPr="0012217D">
              <w:rPr>
                <w:b/>
                <w:bCs/>
                <w:i/>
                <w:iCs/>
              </w:rPr>
              <w:t>Interaction between factors</w:t>
            </w:r>
          </w:p>
        </w:tc>
      </w:tr>
      <w:tr w:rsidR="00B33FFE" w:rsidRPr="0012217D" w14:paraId="6BB4BCC8" w14:textId="77777777" w:rsidTr="00F4246E">
        <w:trPr>
          <w:trHeight w:val="3915"/>
        </w:trPr>
        <w:tc>
          <w:tcPr>
            <w:tcW w:w="0" w:type="auto"/>
            <w:vAlign w:val="center"/>
            <w:hideMark/>
          </w:tcPr>
          <w:p w14:paraId="7E8EECA5" w14:textId="77777777" w:rsidR="00B33FFE" w:rsidRPr="0012217D" w:rsidRDefault="00B33FFE" w:rsidP="00F4246E">
            <w:pPr>
              <w:rPr>
                <w:b/>
                <w:bCs/>
              </w:rPr>
            </w:pPr>
            <w:r w:rsidRPr="0012217D">
              <w:rPr>
                <w:b/>
                <w:bCs/>
              </w:rPr>
              <w:t>Possible directions</w:t>
            </w:r>
          </w:p>
        </w:tc>
        <w:tc>
          <w:tcPr>
            <w:tcW w:w="2457" w:type="dxa"/>
            <w:hideMark/>
          </w:tcPr>
          <w:p w14:paraId="4C196DC0" w14:textId="33122F38" w:rsidR="00B33FFE" w:rsidRPr="0012217D" w:rsidRDefault="00B33FFE">
            <w:r w:rsidRPr="0012217D">
              <w:t>1) Test H1-6 empirically.</w:t>
            </w:r>
            <w:r w:rsidRPr="0012217D">
              <w:br/>
              <w:t xml:space="preserve">2) Test the moderator effect of knowledge on the relationship </w:t>
            </w:r>
            <w:r w:rsidR="00A673C3">
              <w:t>between</w:t>
            </w:r>
            <w:r w:rsidRPr="0012217D">
              <w:t xml:space="preserve"> HEI manager motivation to seek advice from academics and academic non-consultation, as well as the relationship between the incentives for academics to engage and the academic non-consultation.</w:t>
            </w:r>
          </w:p>
        </w:tc>
        <w:tc>
          <w:tcPr>
            <w:tcW w:w="2340" w:type="dxa"/>
            <w:hideMark/>
          </w:tcPr>
          <w:p w14:paraId="069449AD" w14:textId="5BAA3B9A" w:rsidR="00B33FFE" w:rsidRPr="0012217D" w:rsidRDefault="00B33FFE">
            <w:r w:rsidRPr="0012217D">
              <w:t>3) Test H7-8 empirically.</w:t>
            </w:r>
            <w:r w:rsidRPr="0012217D">
              <w:br/>
              <w:t xml:space="preserve">4) Test the mediator effect of HEI manager motivation on the relationship </w:t>
            </w:r>
            <w:r w:rsidR="00A673C3">
              <w:t>between</w:t>
            </w:r>
            <w:r w:rsidRPr="0012217D">
              <w:t xml:space="preserve"> management knowledge and the academic non-consultation, as well as the relationship between the incentives for academics to engage and the academic non-consultation.</w:t>
            </w:r>
          </w:p>
        </w:tc>
        <w:tc>
          <w:tcPr>
            <w:tcW w:w="1800" w:type="dxa"/>
            <w:hideMark/>
          </w:tcPr>
          <w:p w14:paraId="01DB2D0C" w14:textId="2CBD6EFE" w:rsidR="00B33FFE" w:rsidRPr="0012217D" w:rsidRDefault="00B33FFE">
            <w:r w:rsidRPr="0012217D">
              <w:t>5) Test H9 empirically.</w:t>
            </w:r>
            <w:r w:rsidRPr="0012217D">
              <w:br/>
              <w:t xml:space="preserve">6) Test the moderator effect of incentives for academics to engage on the relationship </w:t>
            </w:r>
            <w:r w:rsidR="00A673C3">
              <w:t>between</w:t>
            </w:r>
            <w:r w:rsidRPr="0012217D">
              <w:t xml:space="preserve"> HEI managers’ motivation to seek advice from academics and the academic non-consultation.</w:t>
            </w:r>
          </w:p>
        </w:tc>
        <w:tc>
          <w:tcPr>
            <w:tcW w:w="1786" w:type="dxa"/>
            <w:hideMark/>
          </w:tcPr>
          <w:p w14:paraId="505BC581" w14:textId="77777777" w:rsidR="00B33FFE" w:rsidRPr="0012217D" w:rsidRDefault="00B33FFE" w:rsidP="00F4246E">
            <w:r w:rsidRPr="0012217D">
              <w:t>7) Examine the possible interaction effect between factors.</w:t>
            </w:r>
            <w:r w:rsidRPr="0012217D">
              <w:br/>
              <w:t>8) Examine the possible effect of such interaction on the phenomenon of academic non-consultation.</w:t>
            </w:r>
          </w:p>
        </w:tc>
      </w:tr>
      <w:tr w:rsidR="00B33FFE" w:rsidRPr="0012217D" w14:paraId="47166F4A" w14:textId="77777777" w:rsidTr="00F4246E">
        <w:trPr>
          <w:trHeight w:val="1515"/>
        </w:trPr>
        <w:tc>
          <w:tcPr>
            <w:tcW w:w="0" w:type="auto"/>
            <w:vAlign w:val="center"/>
            <w:hideMark/>
          </w:tcPr>
          <w:p w14:paraId="0FBB2A1D" w14:textId="77777777" w:rsidR="00B33FFE" w:rsidRPr="0012217D" w:rsidRDefault="00B33FFE" w:rsidP="0012217D">
            <w:pPr>
              <w:spacing w:after="0"/>
              <w:rPr>
                <w:b/>
                <w:bCs/>
              </w:rPr>
            </w:pPr>
            <w:r w:rsidRPr="0012217D">
              <w:rPr>
                <w:b/>
                <w:bCs/>
              </w:rPr>
              <w:t>Possible relevant theories</w:t>
            </w:r>
          </w:p>
        </w:tc>
        <w:tc>
          <w:tcPr>
            <w:tcW w:w="8383" w:type="dxa"/>
            <w:gridSpan w:val="4"/>
            <w:hideMark/>
          </w:tcPr>
          <w:p w14:paraId="0544152D" w14:textId="77777777" w:rsidR="0012217D" w:rsidRDefault="00B33FFE" w:rsidP="0012217D">
            <w:pPr>
              <w:spacing w:after="0"/>
            </w:pPr>
            <w:r w:rsidRPr="0012217D">
              <w:t>* Knowledge management theory (knowledge creation, retention, sharing, and transfer).</w:t>
            </w:r>
            <w:r w:rsidRPr="0012217D">
              <w:br/>
              <w:t>* Motivation and incentive theory.</w:t>
            </w:r>
            <w:r w:rsidRPr="0012217D">
              <w:br/>
              <w:t>* Learning organization theory.</w:t>
            </w:r>
            <w:r w:rsidRPr="0012217D">
              <w:br/>
              <w:t>* Power and legitimacy theory.</w:t>
            </w:r>
            <w:r w:rsidRPr="0012217D">
              <w:br/>
              <w:t>* Psychological theory on emotions.</w:t>
            </w:r>
          </w:p>
          <w:p w14:paraId="55AC1E62" w14:textId="164236FC" w:rsidR="00B33FFE" w:rsidRPr="0012217D" w:rsidRDefault="00B33FFE" w:rsidP="0012217D">
            <w:pPr>
              <w:spacing w:after="0"/>
            </w:pPr>
            <w:r w:rsidRPr="0012217D">
              <w:t>* Bounded rationality theory.</w:t>
            </w:r>
          </w:p>
        </w:tc>
      </w:tr>
      <w:tr w:rsidR="00B33FFE" w:rsidRPr="0012217D" w14:paraId="61DA1236" w14:textId="77777777" w:rsidTr="00F4246E">
        <w:trPr>
          <w:trHeight w:val="1515"/>
        </w:trPr>
        <w:tc>
          <w:tcPr>
            <w:tcW w:w="0" w:type="auto"/>
            <w:vAlign w:val="center"/>
            <w:hideMark/>
          </w:tcPr>
          <w:p w14:paraId="42B853FB" w14:textId="77777777" w:rsidR="00B33FFE" w:rsidRPr="0012217D" w:rsidRDefault="00B33FFE" w:rsidP="00F4246E">
            <w:pPr>
              <w:rPr>
                <w:b/>
                <w:bCs/>
              </w:rPr>
            </w:pPr>
            <w:r w:rsidRPr="0012217D">
              <w:rPr>
                <w:b/>
                <w:bCs/>
              </w:rPr>
              <w:t>Possible relevant methods</w:t>
            </w:r>
          </w:p>
        </w:tc>
        <w:tc>
          <w:tcPr>
            <w:tcW w:w="8383" w:type="dxa"/>
            <w:gridSpan w:val="4"/>
            <w:hideMark/>
          </w:tcPr>
          <w:p w14:paraId="2BAF48C8" w14:textId="77777777" w:rsidR="0012217D" w:rsidRDefault="00B33FFE" w:rsidP="0012217D">
            <w:pPr>
              <w:spacing w:after="0"/>
            </w:pPr>
            <w:r w:rsidRPr="0012217D">
              <w:t xml:space="preserve">* Extensive surveys. </w:t>
            </w:r>
          </w:p>
          <w:p w14:paraId="60381066" w14:textId="7A57DD43" w:rsidR="00B33FFE" w:rsidRPr="0012217D" w:rsidRDefault="00B33FFE" w:rsidP="0012217D">
            <w:r w:rsidRPr="0012217D">
              <w:t xml:space="preserve">* Quasi-experiments. </w:t>
            </w:r>
            <w:r w:rsidRPr="0012217D">
              <w:br/>
              <w:t>* Comparative case studies of successful vs unsuccessful academic consultation.</w:t>
            </w:r>
            <w:r w:rsidRPr="0012217D">
              <w:br/>
              <w:t>* Explorative case studies in different settings (countries, university types, departments, etc.)</w:t>
            </w:r>
            <w:r w:rsidR="00A673C3">
              <w:t>, so as</w:t>
            </w:r>
            <w:r w:rsidRPr="0012217D">
              <w:t xml:space="preserve"> to examine the conditions for successful and unsuccessful academic consultation.</w:t>
            </w:r>
          </w:p>
        </w:tc>
      </w:tr>
    </w:tbl>
    <w:p w14:paraId="05F996CF" w14:textId="77777777" w:rsidR="00B33FFE" w:rsidRDefault="00B33FFE" w:rsidP="00F4246E">
      <w:pPr>
        <w:rPr>
          <w:sz w:val="24"/>
        </w:rPr>
      </w:pPr>
    </w:p>
    <w:p w14:paraId="531B39F9" w14:textId="624040C6" w:rsidR="00B33FFE" w:rsidRDefault="00B33FFE" w:rsidP="00F4246E">
      <w:pPr>
        <w:rPr>
          <w:sz w:val="24"/>
        </w:rPr>
      </w:pPr>
      <w:r w:rsidRPr="002354EC">
        <w:rPr>
          <w:sz w:val="24"/>
        </w:rPr>
        <w:t>Watson,</w:t>
      </w:r>
      <w:r w:rsidR="00F34D92">
        <w:rPr>
          <w:sz w:val="24"/>
        </w:rPr>
        <w:t xml:space="preserve"> in our conversation with him, reiterated the need for </w:t>
      </w:r>
      <w:r w:rsidRPr="002354EC">
        <w:rPr>
          <w:sz w:val="24"/>
        </w:rPr>
        <w:t xml:space="preserve">empirical studies to test the hypotheses </w:t>
      </w:r>
      <w:r w:rsidR="00F34D92">
        <w:rPr>
          <w:sz w:val="24"/>
        </w:rPr>
        <w:t>and</w:t>
      </w:r>
      <w:r w:rsidRPr="002354EC">
        <w:rPr>
          <w:sz w:val="24"/>
        </w:rPr>
        <w:t xml:space="preserve"> explain why th</w:t>
      </w:r>
      <w:r w:rsidR="00011CE9">
        <w:rPr>
          <w:sz w:val="24"/>
        </w:rPr>
        <w:t>e</w:t>
      </w:r>
      <w:r w:rsidRPr="002354EC">
        <w:rPr>
          <w:sz w:val="24"/>
        </w:rPr>
        <w:t xml:space="preserve"> phenomenon</w:t>
      </w:r>
      <w:r w:rsidR="00011CE9">
        <w:rPr>
          <w:sz w:val="24"/>
        </w:rPr>
        <w:t xml:space="preserve"> of internal academic non-consultation in HEIs persists over time</w:t>
      </w:r>
      <w:r w:rsidRPr="002354EC">
        <w:rPr>
          <w:sz w:val="24"/>
        </w:rPr>
        <w:t xml:space="preserve">. </w:t>
      </w:r>
      <w:r w:rsidR="00A673C3">
        <w:rPr>
          <w:sz w:val="24"/>
        </w:rPr>
        <w:t xml:space="preserve">We agree </w:t>
      </w:r>
      <w:r w:rsidR="00011CE9">
        <w:rPr>
          <w:sz w:val="24"/>
        </w:rPr>
        <w:t xml:space="preserve">and believe that a variety of empirical research methods could be useful. </w:t>
      </w:r>
      <w:r w:rsidRPr="002354EC">
        <w:rPr>
          <w:sz w:val="24"/>
        </w:rPr>
        <w:t xml:space="preserve">Quantitative methods, such as extensive surveys combined with appropriate techniques, e.g. factor analysis and regression models, are </w:t>
      </w:r>
      <w:r w:rsidR="00A673C3">
        <w:rPr>
          <w:sz w:val="24"/>
        </w:rPr>
        <w:t>advised</w:t>
      </w:r>
      <w:r w:rsidRPr="002354EC">
        <w:rPr>
          <w:sz w:val="24"/>
        </w:rPr>
        <w:t xml:space="preserve"> as a way of testing and validating the framework and its associated hypotheses. Similarly, quantitative techniques developed for experimental designs can provide crucial insights into the motivations and behaviors underlying the causal mechanisms that lead to the phenomenon. Also, simulation studies could </w:t>
      </w:r>
      <w:r w:rsidR="00011CE9">
        <w:rPr>
          <w:sz w:val="24"/>
        </w:rPr>
        <w:t>help expose</w:t>
      </w:r>
      <w:r w:rsidRPr="002354EC">
        <w:rPr>
          <w:sz w:val="24"/>
        </w:rPr>
        <w:t xml:space="preserve"> unforeseen consequences arising from the interactions between </w:t>
      </w:r>
      <w:r w:rsidRPr="002354EC">
        <w:rPr>
          <w:sz w:val="24"/>
        </w:rPr>
        <w:lastRenderedPageBreak/>
        <w:t xml:space="preserve">the mechanisms and parameters </w:t>
      </w:r>
      <w:r w:rsidRPr="002354EC">
        <w:rPr>
          <w:noProof/>
          <w:sz w:val="24"/>
        </w:rPr>
        <w:t>(Harrison</w:t>
      </w:r>
      <w:r w:rsidRPr="002354EC">
        <w:rPr>
          <w:i/>
          <w:noProof/>
          <w:sz w:val="24"/>
        </w:rPr>
        <w:t xml:space="preserve"> et al.</w:t>
      </w:r>
      <w:r w:rsidRPr="002354EC">
        <w:rPr>
          <w:noProof/>
          <w:sz w:val="24"/>
        </w:rPr>
        <w:t>, 2007)</w:t>
      </w:r>
      <w:r w:rsidRPr="002354EC">
        <w:rPr>
          <w:sz w:val="24"/>
        </w:rPr>
        <w:t xml:space="preserve"> of our suggested framework. Qualitative methods, such as case stud</w:t>
      </w:r>
      <w:r w:rsidR="00011CE9">
        <w:rPr>
          <w:sz w:val="24"/>
        </w:rPr>
        <w:t>ies</w:t>
      </w:r>
      <w:r w:rsidRPr="002354EC">
        <w:rPr>
          <w:sz w:val="24"/>
        </w:rPr>
        <w:t>, can shed light on th</w:t>
      </w:r>
      <w:r w:rsidR="00011CE9">
        <w:rPr>
          <w:sz w:val="24"/>
        </w:rPr>
        <w:t>e</w:t>
      </w:r>
      <w:r w:rsidRPr="002354EC">
        <w:rPr>
          <w:sz w:val="24"/>
        </w:rPr>
        <w:t xml:space="preserve"> phenomenon by comparing successful and unsuccessful academic consultation cases. Explorative case studies in different settings</w:t>
      </w:r>
      <w:r w:rsidR="00011CE9">
        <w:rPr>
          <w:sz w:val="24"/>
        </w:rPr>
        <w:t xml:space="preserve"> – e.g. different</w:t>
      </w:r>
      <w:r w:rsidRPr="002354EC">
        <w:rPr>
          <w:sz w:val="24"/>
        </w:rPr>
        <w:t xml:space="preserve"> countries, university types, departments, </w:t>
      </w:r>
      <w:r w:rsidR="00011CE9">
        <w:rPr>
          <w:sz w:val="24"/>
        </w:rPr>
        <w:t xml:space="preserve">etc. – can </w:t>
      </w:r>
      <w:r w:rsidRPr="002354EC">
        <w:rPr>
          <w:sz w:val="24"/>
        </w:rPr>
        <w:t xml:space="preserve">help examine the conditions for successful and unsuccessful academic consultation and provide </w:t>
      </w:r>
      <w:r w:rsidR="00CA3E46">
        <w:rPr>
          <w:sz w:val="24"/>
        </w:rPr>
        <w:t>clues as to how</w:t>
      </w:r>
      <w:r w:rsidRPr="002354EC">
        <w:rPr>
          <w:sz w:val="24"/>
        </w:rPr>
        <w:t xml:space="preserve"> HEIs </w:t>
      </w:r>
      <w:r w:rsidR="00CA3E46">
        <w:rPr>
          <w:sz w:val="24"/>
        </w:rPr>
        <w:t>can</w:t>
      </w:r>
      <w:r w:rsidRPr="002354EC">
        <w:rPr>
          <w:sz w:val="24"/>
        </w:rPr>
        <w:t xml:space="preserve"> become fully learning organizations.</w:t>
      </w:r>
    </w:p>
    <w:p w14:paraId="568BD6D4" w14:textId="77777777" w:rsidR="00B33FFE" w:rsidRPr="0039463F" w:rsidRDefault="00B33FFE" w:rsidP="00F4246E">
      <w:pPr>
        <w:rPr>
          <w:sz w:val="24"/>
        </w:rPr>
      </w:pPr>
      <w:r>
        <w:rPr>
          <w:sz w:val="24"/>
        </w:rPr>
        <w:t xml:space="preserve"> </w:t>
      </w:r>
    </w:p>
    <w:p w14:paraId="4DBD66E5" w14:textId="77777777" w:rsidR="00B33FFE" w:rsidRPr="0039463F" w:rsidRDefault="00B33FFE" w:rsidP="00F4246E">
      <w:pPr>
        <w:rPr>
          <w:b/>
          <w:sz w:val="24"/>
        </w:rPr>
      </w:pPr>
      <w:r w:rsidRPr="0039463F">
        <w:rPr>
          <w:b/>
          <w:sz w:val="24"/>
        </w:rPr>
        <w:t xml:space="preserve">CONCLUSION </w:t>
      </w:r>
    </w:p>
    <w:p w14:paraId="76213DE6" w14:textId="5990ECB3" w:rsidR="00B33FFE" w:rsidRPr="0039463F" w:rsidRDefault="00B33FFE" w:rsidP="00F4246E">
      <w:pPr>
        <w:rPr>
          <w:sz w:val="24"/>
        </w:rPr>
      </w:pPr>
      <w:r w:rsidRPr="0039463F">
        <w:rPr>
          <w:sz w:val="24"/>
        </w:rPr>
        <w:t>The puzzle identified by Watson in his 2000 paper</w:t>
      </w:r>
      <w:r>
        <w:rPr>
          <w:sz w:val="24"/>
        </w:rPr>
        <w:t xml:space="preserve"> – that management academics do not advise the managers of their own institutions on management decisions – has n</w:t>
      </w:r>
      <w:r w:rsidRPr="0039463F">
        <w:rPr>
          <w:sz w:val="24"/>
        </w:rPr>
        <w:t>ot yet been resolved. In the present article, we have argued for the theoretical soundness of several of Watson’s hypotheses and stressed the importance of his research question for the field of organizational learning, but this article should not be interpreted mainly as an attempt to provide support for any particular hypothesis. Rather, our aim has been to sketch out a future research agenda and inspire others to contribute empirical evidence that can help shed light on the paradox of why management academics rarely advise on their own institutions.</w:t>
      </w:r>
      <w:r w:rsidR="00CA3E46">
        <w:rPr>
          <w:sz w:val="24"/>
        </w:rPr>
        <w:t xml:space="preserve"> The hypotheses discussed in this paper are not necessarily exhaustive; indeed readers</w:t>
      </w:r>
      <w:r w:rsidRPr="002354EC">
        <w:rPr>
          <w:sz w:val="24"/>
        </w:rPr>
        <w:t xml:space="preserve"> are encouraged to </w:t>
      </w:r>
      <w:r w:rsidR="00CA3E46">
        <w:rPr>
          <w:sz w:val="24"/>
        </w:rPr>
        <w:t xml:space="preserve">think of alternative solutions to the </w:t>
      </w:r>
      <w:r w:rsidRPr="002354EC">
        <w:rPr>
          <w:sz w:val="24"/>
        </w:rPr>
        <w:t>interesting puzzle.</w:t>
      </w:r>
    </w:p>
    <w:p w14:paraId="7450912B" w14:textId="4155BC1F" w:rsidR="00B33FFE" w:rsidRPr="0039463F" w:rsidRDefault="00B33FFE" w:rsidP="00F4246E">
      <w:pPr>
        <w:rPr>
          <w:sz w:val="24"/>
        </w:rPr>
      </w:pPr>
      <w:r w:rsidRPr="0039463F">
        <w:rPr>
          <w:sz w:val="24"/>
        </w:rPr>
        <w:t xml:space="preserve">The theoretical contribution of this article is to revive the important research topic of </w:t>
      </w:r>
      <w:r>
        <w:rPr>
          <w:sz w:val="24"/>
        </w:rPr>
        <w:t>“</w:t>
      </w:r>
      <w:r w:rsidRPr="0039463F">
        <w:rPr>
          <w:sz w:val="24"/>
        </w:rPr>
        <w:t>why management academics do not seem to be widely engaged in advising university managers</w:t>
      </w:r>
      <w:r>
        <w:rPr>
          <w:sz w:val="24"/>
        </w:rPr>
        <w:t>”</w:t>
      </w:r>
      <w:r w:rsidRPr="0039463F">
        <w:rPr>
          <w:sz w:val="24"/>
        </w:rPr>
        <w:t xml:space="preserve"> (Watson, 2000, p. 99) and to introduce a research agenda that can help realize the potential contribution of this topic to the learning organization literature. The practical contribution is to re-address the difficulties of HEIs in becoming</w:t>
      </w:r>
      <w:r>
        <w:rPr>
          <w:sz w:val="24"/>
        </w:rPr>
        <w:t xml:space="preserve"> full-fledged</w:t>
      </w:r>
      <w:r w:rsidRPr="0039463F">
        <w:rPr>
          <w:sz w:val="24"/>
        </w:rPr>
        <w:t xml:space="preserve"> “learning organizations” and to suggest that HEI managers re-examine the possibilities for using hitherto untapped internal </w:t>
      </w:r>
      <w:r>
        <w:rPr>
          <w:sz w:val="24"/>
        </w:rPr>
        <w:t>expertise</w:t>
      </w:r>
      <w:r w:rsidRPr="0039463F">
        <w:rPr>
          <w:sz w:val="24"/>
        </w:rPr>
        <w:t>.</w:t>
      </w:r>
    </w:p>
    <w:p w14:paraId="51DE1F1F" w14:textId="0F5905AA" w:rsidR="00B33FFE" w:rsidRDefault="00D717B0" w:rsidP="00F4246E">
      <w:pPr>
        <w:rPr>
          <w:lang w:eastAsia="zh-TW"/>
        </w:rPr>
      </w:pPr>
      <w:r>
        <w:rPr>
          <w:noProof/>
          <w:lang w:val="nb-NO" w:eastAsia="nb-NO"/>
        </w:rPr>
        <w:lastRenderedPageBreak/>
        <mc:AlternateContent>
          <mc:Choice Requires="wps">
            <w:drawing>
              <wp:anchor distT="0" distB="0" distL="114300" distR="114300" simplePos="0" relativeHeight="251660288" behindDoc="1" locked="0" layoutInCell="1" allowOverlap="1" wp14:anchorId="6606EB30" wp14:editId="16381130">
                <wp:simplePos x="0" y="0"/>
                <wp:positionH relativeFrom="column">
                  <wp:posOffset>455514</wp:posOffset>
                </wp:positionH>
                <wp:positionV relativeFrom="paragraph">
                  <wp:posOffset>220656</wp:posOffset>
                </wp:positionV>
                <wp:extent cx="5295900" cy="6517005"/>
                <wp:effectExtent l="95250" t="114300" r="95250" b="112395"/>
                <wp:wrapThrough wrapText="bothSides">
                  <wp:wrapPolygon edited="0">
                    <wp:start x="-311" y="-379"/>
                    <wp:lineTo x="-388" y="-253"/>
                    <wp:lineTo x="-388" y="21909"/>
                    <wp:lineTo x="21911" y="21909"/>
                    <wp:lineTo x="21911" y="-379"/>
                    <wp:lineTo x="-311" y="-379"/>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6517005"/>
                        </a:xfrm>
                        <a:prstGeom prst="rect">
                          <a:avLst/>
                        </a:prstGeom>
                        <a:solidFill>
                          <a:srgbClr val="FFFFFF"/>
                        </a:solidFill>
                        <a:ln w="9525">
                          <a:noFill/>
                          <a:miter lim="800000"/>
                          <a:headEnd/>
                          <a:tailEnd/>
                        </a:ln>
                        <a:effectLst>
                          <a:glow>
                            <a:schemeClr val="accent1"/>
                          </a:glow>
                          <a:outerShdw blurRad="63500" sx="101000" sy="101000" algn="ctr" rotWithShape="0">
                            <a:schemeClr val="bg1">
                              <a:lumMod val="50000"/>
                              <a:alpha val="40000"/>
                            </a:schemeClr>
                          </a:outerShdw>
                          <a:reflection endPos="0" dist="50800" dir="5400000" sy="-100000" algn="bl" rotWithShape="0"/>
                        </a:effectLst>
                      </wps:spPr>
                      <wps:txbx>
                        <w:txbxContent>
                          <w:p w14:paraId="11CCCAFC" w14:textId="77777777" w:rsidR="00F4246E" w:rsidRPr="00063E6E" w:rsidRDefault="00F4246E" w:rsidP="00F4246E">
                            <w:pPr>
                              <w:rPr>
                                <w:b/>
                                <w:color w:val="C45911" w:themeColor="accent2" w:themeShade="BF"/>
                                <w:sz w:val="28"/>
                                <w:szCs w:val="28"/>
                                <w:lang w:eastAsia="zh-TW"/>
                              </w:rPr>
                            </w:pPr>
                            <w:r w:rsidRPr="00063E6E">
                              <w:rPr>
                                <w:rFonts w:hint="eastAsia"/>
                                <w:b/>
                                <w:color w:val="C45911" w:themeColor="accent2" w:themeShade="BF"/>
                                <w:sz w:val="28"/>
                                <w:szCs w:val="28"/>
                                <w:lang w:eastAsia="zh-TW"/>
                              </w:rPr>
                              <w:t>PROFESSOR STEPHEN WATSON</w:t>
                            </w:r>
                          </w:p>
                          <w:p w14:paraId="7893F08C" w14:textId="77777777" w:rsidR="00F4246E" w:rsidRDefault="00F4246E" w:rsidP="00F4246E">
                            <w:pPr>
                              <w:rPr>
                                <w:lang w:eastAsia="zh-TW"/>
                              </w:rPr>
                            </w:pPr>
                          </w:p>
                          <w:p w14:paraId="5E80243E" w14:textId="77777777" w:rsidR="00F4246E" w:rsidRDefault="00F4246E" w:rsidP="00F4246E">
                            <w:pPr>
                              <w:ind w:right="3024"/>
                              <w:rPr>
                                <w:lang w:eastAsia="zh-TW"/>
                              </w:rPr>
                            </w:pPr>
                            <w:r w:rsidRPr="00F24AB0">
                              <w:t xml:space="preserve">Stephen Watson started his academic career as a University Lecturer in Operational Research and Statistics in the Department of Engineering at Cambridge University. In 1978 he became Head of the Management Studies Group in the Department of Engineering, and in 1986 was elected the first Professor of Management Studies at Cambridge. </w:t>
                            </w:r>
                            <w:r>
                              <w:rPr>
                                <w:rFonts w:hint="eastAsia"/>
                                <w:lang w:eastAsia="zh-TW"/>
                              </w:rPr>
                              <w:t>He was much involved with the development of</w:t>
                            </w:r>
                            <w:r>
                              <w:rPr>
                                <w:lang w:eastAsia="zh-TW"/>
                              </w:rPr>
                              <w:t xml:space="preserve"> </w:t>
                            </w:r>
                            <w:r w:rsidRPr="00F24AB0">
                              <w:t xml:space="preserve">management education at Cambridge, becoming the first Director of the Cambridge Judge Business School in 1990. In 1994 Stephen left Cambridge to become the Dean of the Management School at Lancaster University. In March 2001, he moved from Lancaster to become Principal of Henley Management College. </w:t>
                            </w:r>
                          </w:p>
                          <w:p w14:paraId="66298862" w14:textId="111ED153" w:rsidR="00F4246E" w:rsidRPr="002354EC" w:rsidRDefault="00F4246E" w:rsidP="00F4246E">
                            <w:pPr>
                              <w:rPr>
                                <w:rFonts w:eastAsia="PMingLiU"/>
                                <w:lang w:eastAsia="zh-TW"/>
                              </w:rPr>
                            </w:pPr>
                            <w:r w:rsidRPr="00F24AB0">
                              <w:t>He retired from this position at the end of 2004 and moved back to Cambridge. During his time running business schools he served as chair of the Association of Business Schools in the UK, and on the Board of the Association for the Advancement of Collegiate Schools of Business. In retirement, he worked pat-time as the European representative of the AACSB, and as an advi</w:t>
                            </w:r>
                            <w:r>
                              <w:t>sor to Reims Management School.</w:t>
                            </w:r>
                          </w:p>
                          <w:p w14:paraId="6262109C" w14:textId="77777777" w:rsidR="00F4246E" w:rsidRPr="00217231" w:rsidRDefault="00F4246E" w:rsidP="00F4246E">
                            <w:pPr>
                              <w:rPr>
                                <w:lang w:eastAsia="zh-TW"/>
                              </w:rPr>
                            </w:pPr>
                            <w:r w:rsidRPr="00217231">
                              <w:t>He has also served on the board of Practical Action, an international development charity of which he was Chair from 2007 to 2013. He is also a trustee of the Foundation Charity of King Edward VII School, King's Lynn, and a trustee of Michaelhouse, Cambridge.</w:t>
                            </w:r>
                          </w:p>
                          <w:p w14:paraId="672417EC" w14:textId="77777777" w:rsidR="00F4246E" w:rsidRDefault="00F4246E" w:rsidP="00F42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6EB30" id="Text Box 2" o:spid="_x0000_s1061" type="#_x0000_t202" style="position:absolute;margin-left:35.85pt;margin-top:17.35pt;width:417pt;height:51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" stroked="f">
                <v:shadow on="t" type="perspective" color="#7f7f7f [1612]" opacity="26214f" offset="0,0" matrix="66191f,,,66191f"/>
                <v:textbox>
                  <w:txbxContent>
                    <w:p w14:paraId="11CCCAFC" w14:textId="77777777" w:rsidR="00F4246E" w:rsidRPr="00063E6E" w:rsidRDefault="00F4246E" w:rsidP="00F4246E">
                      <w:pPr>
                        <w:rPr>
                          <w:b/>
                          <w:color w:val="C45911" w:themeColor="accent2" w:themeShade="BF"/>
                          <w:sz w:val="28"/>
                          <w:szCs w:val="28"/>
                          <w:lang w:eastAsia="zh-TW"/>
                        </w:rPr>
                      </w:pPr>
                      <w:r w:rsidRPr="00063E6E">
                        <w:rPr>
                          <w:rFonts w:hint="eastAsia"/>
                          <w:b/>
                          <w:color w:val="C45911" w:themeColor="accent2" w:themeShade="BF"/>
                          <w:sz w:val="28"/>
                          <w:szCs w:val="28"/>
                          <w:lang w:eastAsia="zh-TW"/>
                        </w:rPr>
                        <w:t>PROFESSOR STEPHEN WATSON</w:t>
                      </w:r>
                    </w:p>
                    <w:p w14:paraId="7893F08C" w14:textId="77777777" w:rsidR="00F4246E" w:rsidRDefault="00F4246E" w:rsidP="00F4246E">
                      <w:pPr>
                        <w:rPr>
                          <w:lang w:eastAsia="zh-TW"/>
                        </w:rPr>
                      </w:pPr>
                    </w:p>
                    <w:p w14:paraId="5E80243E" w14:textId="77777777" w:rsidR="00F4246E" w:rsidRDefault="00F4246E" w:rsidP="00F4246E">
                      <w:pPr>
                        <w:ind w:right="3024"/>
                        <w:rPr>
                          <w:lang w:eastAsia="zh-TW"/>
                        </w:rPr>
                      </w:pPr>
                      <w:r w:rsidRPr="00F24AB0">
                        <w:t xml:space="preserve">Stephen Watson started his academic career as a University Lecturer in Operational Research and Statistics in the Department of Engineering at Cambridge University. In 1978 he became Head of the Management Studies Group in the Department of Engineering, and in 1986 was elected the first Professor of Management Studies at Cambridge. </w:t>
                      </w:r>
                      <w:r>
                        <w:rPr>
                          <w:rFonts w:hint="eastAsia"/>
                          <w:lang w:eastAsia="zh-TW"/>
                        </w:rPr>
                        <w:t>He was much involved with the development of</w:t>
                      </w:r>
                      <w:r>
                        <w:rPr>
                          <w:lang w:eastAsia="zh-TW"/>
                        </w:rPr>
                        <w:t xml:space="preserve"> </w:t>
                      </w:r>
                      <w:r w:rsidRPr="00F24AB0">
                        <w:t xml:space="preserve">management education at Cambridge, becoming the first Director of the Cambridge Judge Business School in 1990. In 1994 Stephen left Cambridge to become the Dean of the Management School at Lancaster University. In March 2001, he moved from Lancaster to become Principal of Henley Management College. </w:t>
                      </w:r>
                    </w:p>
                    <w:p w14:paraId="66298862" w14:textId="111ED153" w:rsidR="00F4246E" w:rsidRPr="002354EC" w:rsidRDefault="00F4246E" w:rsidP="00F4246E">
                      <w:pPr>
                        <w:rPr>
                          <w:rFonts w:eastAsia="PMingLiU"/>
                          <w:lang w:eastAsia="zh-TW"/>
                        </w:rPr>
                      </w:pPr>
                      <w:r w:rsidRPr="00F24AB0">
                        <w:t>He retired from this position at the end of 2004 and moved back to Cambridge. During his time running business schools he served as chair of the Association of Business Schools in the UK, and on the Board of the Association for the Advancement of Collegiate Schools of Business. In retirement, he worked pat-time as the European representative of the AACSB, and as an advi</w:t>
                      </w:r>
                      <w:r>
                        <w:t>sor to Reims Management School.</w:t>
                      </w:r>
                    </w:p>
                    <w:p w14:paraId="6262109C" w14:textId="77777777" w:rsidR="00F4246E" w:rsidRPr="00217231" w:rsidRDefault="00F4246E" w:rsidP="00F4246E">
                      <w:pPr>
                        <w:rPr>
                          <w:lang w:eastAsia="zh-TW"/>
                        </w:rPr>
                      </w:pPr>
                      <w:r w:rsidRPr="00217231">
                        <w:t>He has also served on the board of Practical Action, an international development charity of which he was Chair from 2007 to 2013. He is also a trustee of the Foundation Charity of King Edward VII School, King's Lynn, and a trustee of Michaelhouse, Cambridge.</w:t>
                      </w:r>
                    </w:p>
                    <w:p w14:paraId="672417EC" w14:textId="77777777" w:rsidR="00F4246E" w:rsidRDefault="00F4246E" w:rsidP="00F4246E"/>
                  </w:txbxContent>
                </v:textbox>
                <w10:wrap type="through"/>
              </v:shape>
            </w:pict>
          </mc:Fallback>
        </mc:AlternateContent>
      </w:r>
    </w:p>
    <w:p w14:paraId="515CD5E2" w14:textId="77777777" w:rsidR="00B33FFE" w:rsidRDefault="00B33FFE" w:rsidP="00F4246E">
      <w:pPr>
        <w:rPr>
          <w:lang w:eastAsia="zh-TW"/>
        </w:rPr>
      </w:pPr>
    </w:p>
    <w:p w14:paraId="71860EF9" w14:textId="77777777" w:rsidR="00B33FFE" w:rsidRDefault="00B33FFE" w:rsidP="00F4246E">
      <w:pPr>
        <w:rPr>
          <w:lang w:eastAsia="zh-TW"/>
        </w:rPr>
      </w:pPr>
    </w:p>
    <w:p w14:paraId="3EF9586C" w14:textId="589B474E" w:rsidR="00B33FFE" w:rsidRDefault="00D717B0" w:rsidP="00F4246E">
      <w:pPr>
        <w:rPr>
          <w:lang w:eastAsia="zh-TW"/>
        </w:rPr>
      </w:pPr>
      <w:r>
        <w:rPr>
          <w:noProof/>
          <w:lang w:val="nb-NO" w:eastAsia="nb-NO"/>
        </w:rPr>
        <mc:AlternateContent>
          <mc:Choice Requires="wps">
            <w:drawing>
              <wp:anchor distT="0" distB="0" distL="114300" distR="114300" simplePos="0" relativeHeight="251661312" behindDoc="0" locked="0" layoutInCell="1" allowOverlap="1" wp14:anchorId="77C0CE05" wp14:editId="5E15C8EB">
                <wp:simplePos x="0" y="0"/>
                <wp:positionH relativeFrom="margin">
                  <wp:posOffset>3833164</wp:posOffset>
                </wp:positionH>
                <wp:positionV relativeFrom="paragraph">
                  <wp:posOffset>144644</wp:posOffset>
                </wp:positionV>
                <wp:extent cx="1806594" cy="2277585"/>
                <wp:effectExtent l="0" t="0" r="3175" b="8890"/>
                <wp:wrapNone/>
                <wp:docPr id="38" name="Text Box 38"/>
                <wp:cNvGraphicFramePr/>
                <a:graphic xmlns:a="http://schemas.openxmlformats.org/drawingml/2006/main">
                  <a:graphicData uri="http://schemas.microsoft.com/office/word/2010/wordprocessingShape">
                    <wps:wsp>
                      <wps:cNvSpPr txBox="1"/>
                      <wps:spPr>
                        <a:xfrm>
                          <a:off x="0" y="0"/>
                          <a:ext cx="1806594" cy="227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C8F28" w14:textId="77777777" w:rsidR="00F4246E" w:rsidRDefault="00F4246E" w:rsidP="00F4246E">
                            <w:r>
                              <w:rPr>
                                <w:noProof/>
                                <w:lang w:val="nb-NO" w:eastAsia="nb-NO"/>
                              </w:rPr>
                              <w:drawing>
                                <wp:inline distT="0" distB="0" distL="0" distR="0" wp14:anchorId="58FF8C68" wp14:editId="5F01997A">
                                  <wp:extent cx="1610017" cy="214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son pic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805" cy="21570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CE05" id="Text Box 38" o:spid="_x0000_s1062" type="#_x0000_t202" style="position:absolute;margin-left:301.8pt;margin-top:11.4pt;width:142.25pt;height:17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" fillcolor="white [3201]" stroked="f" strokeweight=".5pt">
                <v:textbox>
                  <w:txbxContent>
                    <w:p w14:paraId="6EDC8F28" w14:textId="77777777" w:rsidR="00F4246E" w:rsidRDefault="00F4246E" w:rsidP="00F4246E">
                      <w:r>
                        <w:rPr>
                          <w:noProof/>
                          <w:lang w:val="nb-NO" w:eastAsia="nb-NO"/>
                        </w:rPr>
                        <w:drawing>
                          <wp:inline distT="0" distB="0" distL="0" distR="0" wp14:anchorId="58FF8C68" wp14:editId="5F01997A">
                            <wp:extent cx="1610017" cy="214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son pic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805" cy="2157067"/>
                                    </a:xfrm>
                                    <a:prstGeom prst="rect">
                                      <a:avLst/>
                                    </a:prstGeom>
                                  </pic:spPr>
                                </pic:pic>
                              </a:graphicData>
                            </a:graphic>
                          </wp:inline>
                        </w:drawing>
                      </w:r>
                    </w:p>
                  </w:txbxContent>
                </v:textbox>
                <w10:wrap anchorx="margin"/>
              </v:shape>
            </w:pict>
          </mc:Fallback>
        </mc:AlternateContent>
      </w:r>
    </w:p>
    <w:p w14:paraId="7EC20BB6" w14:textId="0FFC2EC7" w:rsidR="00B33FFE" w:rsidRDefault="00B33FFE" w:rsidP="00F4246E">
      <w:pPr>
        <w:rPr>
          <w:lang w:eastAsia="zh-TW"/>
        </w:rPr>
      </w:pPr>
    </w:p>
    <w:p w14:paraId="75483535" w14:textId="77777777" w:rsidR="00B33FFE" w:rsidRDefault="00B33FFE" w:rsidP="00F4246E">
      <w:pPr>
        <w:rPr>
          <w:lang w:eastAsia="zh-TW"/>
        </w:rPr>
      </w:pPr>
    </w:p>
    <w:p w14:paraId="6E2E2843" w14:textId="77777777" w:rsidR="00B33FFE" w:rsidRDefault="00B33FFE" w:rsidP="00F4246E">
      <w:pPr>
        <w:rPr>
          <w:lang w:eastAsia="zh-TW"/>
        </w:rPr>
      </w:pPr>
    </w:p>
    <w:p w14:paraId="7BCB95D6" w14:textId="77777777" w:rsidR="00B33FFE" w:rsidRDefault="00B33FFE" w:rsidP="00F4246E">
      <w:pPr>
        <w:rPr>
          <w:lang w:eastAsia="zh-TW"/>
        </w:rPr>
      </w:pPr>
    </w:p>
    <w:p w14:paraId="4C402A8D" w14:textId="77777777" w:rsidR="00B33FFE" w:rsidRDefault="00B33FFE" w:rsidP="00F4246E">
      <w:pPr>
        <w:rPr>
          <w:lang w:eastAsia="zh-TW"/>
        </w:rPr>
      </w:pPr>
    </w:p>
    <w:p w14:paraId="54AD4E25" w14:textId="77777777" w:rsidR="00B33FFE" w:rsidRDefault="00B33FFE" w:rsidP="00F4246E">
      <w:pPr>
        <w:rPr>
          <w:lang w:eastAsia="zh-TW"/>
        </w:rPr>
      </w:pPr>
    </w:p>
    <w:p w14:paraId="179BC300" w14:textId="77777777" w:rsidR="00B33FFE" w:rsidRDefault="00B33FFE" w:rsidP="00F4246E">
      <w:pPr>
        <w:rPr>
          <w:lang w:eastAsia="zh-TW"/>
        </w:rPr>
      </w:pPr>
    </w:p>
    <w:p w14:paraId="4D949D82" w14:textId="77777777" w:rsidR="00B33FFE" w:rsidRDefault="00B33FFE" w:rsidP="00F4246E">
      <w:pPr>
        <w:rPr>
          <w:lang w:eastAsia="zh-TW"/>
        </w:rPr>
      </w:pPr>
    </w:p>
    <w:p w14:paraId="596B5B24" w14:textId="77777777" w:rsidR="00B33FFE" w:rsidRDefault="00B33FFE" w:rsidP="00F4246E">
      <w:pPr>
        <w:rPr>
          <w:lang w:eastAsia="zh-TW"/>
        </w:rPr>
      </w:pPr>
    </w:p>
    <w:p w14:paraId="069468E5" w14:textId="77777777" w:rsidR="00B33FFE" w:rsidRDefault="00B33FFE" w:rsidP="00F4246E">
      <w:pPr>
        <w:rPr>
          <w:lang w:eastAsia="zh-TW"/>
        </w:rPr>
      </w:pPr>
    </w:p>
    <w:p w14:paraId="0688D37D" w14:textId="77777777" w:rsidR="00B33FFE" w:rsidRDefault="00B33FFE" w:rsidP="00F4246E">
      <w:pPr>
        <w:rPr>
          <w:lang w:eastAsia="zh-TW"/>
        </w:rPr>
      </w:pPr>
    </w:p>
    <w:p w14:paraId="4A262206" w14:textId="77777777" w:rsidR="00B33FFE" w:rsidRDefault="00B33FFE" w:rsidP="00F4246E">
      <w:pPr>
        <w:rPr>
          <w:lang w:eastAsia="zh-TW"/>
        </w:rPr>
      </w:pPr>
    </w:p>
    <w:p w14:paraId="33F42230" w14:textId="77777777" w:rsidR="00B33FFE" w:rsidRDefault="00B33FFE" w:rsidP="00F4246E">
      <w:pPr>
        <w:rPr>
          <w:lang w:eastAsia="zh-TW"/>
        </w:rPr>
      </w:pPr>
    </w:p>
    <w:p w14:paraId="37D05564" w14:textId="77777777" w:rsidR="00B33FFE" w:rsidRDefault="00B33FFE" w:rsidP="00F4246E">
      <w:pPr>
        <w:rPr>
          <w:lang w:eastAsia="zh-TW"/>
        </w:rPr>
      </w:pPr>
    </w:p>
    <w:p w14:paraId="4E68C1E2" w14:textId="77777777" w:rsidR="00B33FFE" w:rsidRDefault="00B33FFE" w:rsidP="00F4246E">
      <w:pPr>
        <w:rPr>
          <w:lang w:eastAsia="zh-TW"/>
        </w:rPr>
      </w:pPr>
    </w:p>
    <w:p w14:paraId="23E2CBCD" w14:textId="77777777" w:rsidR="00B33FFE" w:rsidRDefault="00B33FFE" w:rsidP="00F4246E">
      <w:pPr>
        <w:rPr>
          <w:lang w:eastAsia="zh-TW"/>
        </w:rPr>
      </w:pPr>
    </w:p>
    <w:p w14:paraId="4EB14300" w14:textId="77777777" w:rsidR="00B33FFE" w:rsidRDefault="00B33FFE" w:rsidP="00F4246E">
      <w:pPr>
        <w:rPr>
          <w:lang w:eastAsia="zh-TW"/>
        </w:rPr>
      </w:pPr>
    </w:p>
    <w:p w14:paraId="01643471" w14:textId="77777777" w:rsidR="00B33FFE" w:rsidRDefault="00B33FFE" w:rsidP="00F4246E">
      <w:pPr>
        <w:rPr>
          <w:lang w:eastAsia="zh-TW"/>
        </w:rPr>
      </w:pPr>
    </w:p>
    <w:p w14:paraId="7C3C7391" w14:textId="77777777" w:rsidR="00B33FFE" w:rsidRDefault="00B33FFE" w:rsidP="00F4246E">
      <w:pPr>
        <w:rPr>
          <w:lang w:eastAsia="zh-TW"/>
        </w:rPr>
      </w:pPr>
    </w:p>
    <w:p w14:paraId="365143B1" w14:textId="77777777" w:rsidR="00B33FFE" w:rsidRDefault="00B33FFE" w:rsidP="00F4246E">
      <w:pPr>
        <w:rPr>
          <w:lang w:eastAsia="zh-TW"/>
        </w:rPr>
      </w:pPr>
    </w:p>
    <w:p w14:paraId="669EBD6F" w14:textId="77777777" w:rsidR="00B33FFE" w:rsidRPr="0039463F" w:rsidRDefault="00B33FFE" w:rsidP="00F4246E">
      <w:pPr>
        <w:rPr>
          <w:sz w:val="24"/>
        </w:rPr>
      </w:pPr>
    </w:p>
    <w:p w14:paraId="1C9EAAF5" w14:textId="352F53B1" w:rsidR="00B33FFE" w:rsidRPr="0039463F" w:rsidRDefault="00B33FFE" w:rsidP="00D717B0">
      <w:pPr>
        <w:jc w:val="center"/>
        <w:rPr>
          <w:sz w:val="24"/>
        </w:rPr>
      </w:pPr>
      <w:r w:rsidRPr="0039463F">
        <w:rPr>
          <w:sz w:val="24"/>
        </w:rPr>
        <w:br w:type="page"/>
      </w:r>
      <w:r w:rsidRPr="0039463F">
        <w:rPr>
          <w:sz w:val="24"/>
        </w:rPr>
        <w:lastRenderedPageBreak/>
        <w:t>References</w:t>
      </w:r>
    </w:p>
    <w:p w14:paraId="47143B54" w14:textId="16DC65C2" w:rsidR="002C3F5B" w:rsidRPr="002F0BD6" w:rsidRDefault="002C3F5B" w:rsidP="002C3F5B">
      <w:pPr>
        <w:pStyle w:val="EndNoteBibliography"/>
        <w:spacing w:after="0"/>
        <w:ind w:left="720" w:hanging="720"/>
      </w:pPr>
      <w:r w:rsidRPr="002F0BD6">
        <w:t xml:space="preserve">Allport, G.W. (1951), "Basic principles in improving human relations", In Bigelow, K., W, (editor) </w:t>
      </w:r>
      <w:r w:rsidRPr="002F0BD6">
        <w:rPr>
          <w:i/>
        </w:rPr>
        <w:t>Cultural groups and human relations,</w:t>
      </w:r>
      <w:r w:rsidRPr="002F0BD6">
        <w:t xml:space="preserve"> Bur. Publ., Oxford, UK, pp. 8-28.</w:t>
      </w:r>
    </w:p>
    <w:p w14:paraId="6E34CE6B" w14:textId="77777777" w:rsidR="002C3F5B" w:rsidRPr="002F0BD6" w:rsidRDefault="002C3F5B" w:rsidP="002C3F5B">
      <w:pPr>
        <w:pStyle w:val="EndNoteBibliography"/>
        <w:spacing w:after="0"/>
        <w:ind w:left="720" w:hanging="720"/>
      </w:pPr>
      <w:r w:rsidRPr="002F0BD6">
        <w:t xml:space="preserve">Ambrose, M.L. and Kulik, C.T. (1999), "Old Friends, New Faces: Motivation Research in the 1990s", </w:t>
      </w:r>
      <w:r w:rsidRPr="002F0BD6">
        <w:rPr>
          <w:i/>
        </w:rPr>
        <w:t>Journal of Management,</w:t>
      </w:r>
      <w:r w:rsidRPr="002F0BD6">
        <w:t xml:space="preserve"> Vol. 25 No. 3, pp. 231-292.</w:t>
      </w:r>
    </w:p>
    <w:p w14:paraId="7ADFD4F4" w14:textId="77777777" w:rsidR="002C3F5B" w:rsidRPr="002F0BD6" w:rsidRDefault="002C3F5B" w:rsidP="002C3F5B">
      <w:pPr>
        <w:pStyle w:val="EndNoteBibliography"/>
        <w:spacing w:after="0"/>
        <w:ind w:left="720" w:hanging="720"/>
      </w:pPr>
      <w:r w:rsidRPr="002F0BD6">
        <w:t xml:space="preserve">Anderson, G. (2008), "Mapping academic resistance in the managerial university", </w:t>
      </w:r>
      <w:r w:rsidRPr="002F0BD6">
        <w:rPr>
          <w:i/>
        </w:rPr>
        <w:t>Organization,</w:t>
      </w:r>
      <w:r w:rsidRPr="002F0BD6">
        <w:t xml:space="preserve"> Vol. 15 No. 2, pp. 251-270.</w:t>
      </w:r>
    </w:p>
    <w:p w14:paraId="77F99F08" w14:textId="77777777" w:rsidR="002C3F5B" w:rsidRPr="002F0BD6" w:rsidRDefault="002C3F5B" w:rsidP="002C3F5B">
      <w:pPr>
        <w:pStyle w:val="EndNoteBibliography"/>
        <w:spacing w:after="0"/>
        <w:ind w:left="720" w:hanging="720"/>
      </w:pPr>
      <w:r w:rsidRPr="002F0BD6">
        <w:t xml:space="preserve">Argote, L. (2013), "Organization learning: A theoretical framework", In Argote, L. (editor) </w:t>
      </w:r>
      <w:r w:rsidRPr="002F0BD6">
        <w:rPr>
          <w:i/>
        </w:rPr>
        <w:t>Organizational learning: Creating, retaining and transferring knowledge,</w:t>
      </w:r>
      <w:r w:rsidRPr="002F0BD6">
        <w:t xml:space="preserve"> </w:t>
      </w:r>
      <w:r w:rsidRPr="002F0BD6">
        <w:rPr>
          <w:i/>
        </w:rPr>
        <w:t xml:space="preserve"> </w:t>
      </w:r>
      <w:r w:rsidRPr="002F0BD6">
        <w:t>Second edition. Springer, New York, pp. 31-56.</w:t>
      </w:r>
    </w:p>
    <w:p w14:paraId="3E56E2A1" w14:textId="77777777" w:rsidR="002C3F5B" w:rsidRPr="002F0BD6" w:rsidRDefault="002C3F5B" w:rsidP="002C3F5B">
      <w:pPr>
        <w:pStyle w:val="EndNoteBibliography"/>
        <w:spacing w:after="0"/>
        <w:ind w:left="720" w:hanging="720"/>
      </w:pPr>
      <w:r w:rsidRPr="002F0BD6">
        <w:t xml:space="preserve">Argote, L. and Miron-Spektor, E. (2011), "Organizational learning: From experience to knowledge", </w:t>
      </w:r>
      <w:r w:rsidRPr="002F0BD6">
        <w:rPr>
          <w:i/>
        </w:rPr>
        <w:t>Organization Science,</w:t>
      </w:r>
      <w:r w:rsidRPr="002F0BD6">
        <w:t xml:space="preserve"> Vol. 22 No. 5, pp. 1123-1137.</w:t>
      </w:r>
    </w:p>
    <w:p w14:paraId="2641038C" w14:textId="77777777" w:rsidR="002C3F5B" w:rsidRPr="002F0BD6" w:rsidRDefault="002C3F5B" w:rsidP="002C3F5B">
      <w:pPr>
        <w:pStyle w:val="EndNoteBibliography"/>
        <w:spacing w:after="0"/>
        <w:ind w:left="720" w:hanging="720"/>
      </w:pPr>
      <w:r w:rsidRPr="002F0BD6">
        <w:t xml:space="preserve">Ashford, S.J. and Black, J.S. (1996), "Proactivity during organizational entry: The role of desire for control", </w:t>
      </w:r>
      <w:r w:rsidRPr="002F0BD6">
        <w:rPr>
          <w:i/>
        </w:rPr>
        <w:t>Journal of Applied Psychology,</w:t>
      </w:r>
      <w:r w:rsidRPr="002F0BD6">
        <w:t xml:space="preserve"> Vol. 81 No. 2, pp. 199-214.</w:t>
      </w:r>
    </w:p>
    <w:p w14:paraId="2731C929" w14:textId="77777777" w:rsidR="002C3F5B" w:rsidRPr="002F0BD6" w:rsidRDefault="002C3F5B" w:rsidP="002C3F5B">
      <w:pPr>
        <w:pStyle w:val="EndNoteBibliography"/>
        <w:spacing w:after="0"/>
        <w:ind w:left="720" w:hanging="720"/>
      </w:pPr>
      <w:r w:rsidRPr="002F0BD6">
        <w:t xml:space="preserve">Bandura, A. (1977) </w:t>
      </w:r>
      <w:r w:rsidRPr="002F0BD6">
        <w:rPr>
          <w:i/>
        </w:rPr>
        <w:t>Social learning theory Englewood Cliffs</w:t>
      </w:r>
      <w:r w:rsidRPr="002F0BD6">
        <w:t>. NJ: Prentice Hall.</w:t>
      </w:r>
    </w:p>
    <w:p w14:paraId="3BFEDF52" w14:textId="77777777" w:rsidR="002C3F5B" w:rsidRPr="002F0BD6" w:rsidRDefault="002C3F5B" w:rsidP="002C3F5B">
      <w:pPr>
        <w:pStyle w:val="EndNoteBibliography"/>
        <w:spacing w:after="0"/>
        <w:ind w:left="720" w:hanging="720"/>
      </w:pPr>
      <w:r w:rsidRPr="002F0BD6">
        <w:t xml:space="preserve">Barrick, M.R., Mount, M.K. and Judge, T.A. (2001), "Personality and Performance at the Beginning of the New Millennium: What Do We Know and Where Do We Go Next?", </w:t>
      </w:r>
      <w:r w:rsidRPr="002F0BD6">
        <w:rPr>
          <w:i/>
        </w:rPr>
        <w:t>International Journal of Selection and Assessment,</w:t>
      </w:r>
      <w:r w:rsidRPr="002F0BD6">
        <w:t xml:space="preserve"> Vol. 9 No. 1-2, pp. 9-30.</w:t>
      </w:r>
    </w:p>
    <w:p w14:paraId="3BCA13D2" w14:textId="77777777" w:rsidR="002C3F5B" w:rsidRPr="002F0BD6" w:rsidRDefault="002C3F5B" w:rsidP="002C3F5B">
      <w:pPr>
        <w:pStyle w:val="EndNoteBibliography"/>
        <w:spacing w:after="0"/>
        <w:ind w:left="720" w:hanging="720"/>
      </w:pPr>
      <w:r w:rsidRPr="002F0BD6">
        <w:t xml:space="preserve">Cable, D.M. and DeRue, D.S. (2002), "The convergent and discriminant validity of subjective fit perceptions", </w:t>
      </w:r>
      <w:r w:rsidRPr="002F0BD6">
        <w:rPr>
          <w:i/>
        </w:rPr>
        <w:t>Journal of Applied Psychology,</w:t>
      </w:r>
      <w:r w:rsidRPr="002F0BD6">
        <w:t xml:space="preserve"> Vol. 87 No. 5, pp. 875-884.</w:t>
      </w:r>
    </w:p>
    <w:p w14:paraId="5267409F" w14:textId="77777777" w:rsidR="002C3F5B" w:rsidRPr="002F0BD6" w:rsidRDefault="002C3F5B" w:rsidP="002C3F5B">
      <w:pPr>
        <w:pStyle w:val="EndNoteBibliography"/>
        <w:spacing w:after="0"/>
        <w:ind w:left="720" w:hanging="720"/>
      </w:pPr>
      <w:r w:rsidRPr="002F0BD6">
        <w:t xml:space="preserve">Chariri, A. (1999), "Cognitive limitations and decision making", </w:t>
      </w:r>
      <w:r w:rsidRPr="002F0BD6">
        <w:rPr>
          <w:i/>
        </w:rPr>
        <w:t>Jurnal Bisnis Strategi,</w:t>
      </w:r>
      <w:r w:rsidRPr="002F0BD6">
        <w:t xml:space="preserve"> Vol. 3 No. 2, pp. 21-28.</w:t>
      </w:r>
    </w:p>
    <w:p w14:paraId="5E26EBBA" w14:textId="46374574" w:rsidR="002C3F5B" w:rsidRPr="002F0BD6" w:rsidRDefault="002C3F5B" w:rsidP="002C3F5B">
      <w:pPr>
        <w:pStyle w:val="EndNoteBibliography"/>
        <w:spacing w:after="0"/>
        <w:ind w:left="720" w:hanging="720"/>
      </w:pPr>
      <w:r w:rsidRPr="002F0BD6">
        <w:t xml:space="preserve">Daly, J.A., Sætre, A.S. and Brun, E. (2012), "Killing mushrooms: The realpolitik of terminating innovation projects", </w:t>
      </w:r>
      <w:r w:rsidRPr="002F0BD6">
        <w:rPr>
          <w:i/>
        </w:rPr>
        <w:t>International Journal of Innovation Management,</w:t>
      </w:r>
      <w:r w:rsidRPr="002F0BD6">
        <w:t xml:space="preserve"> Vol. 16 No. 5, pp. 1250024.</w:t>
      </w:r>
    </w:p>
    <w:p w14:paraId="162E21DA" w14:textId="77777777" w:rsidR="002C3F5B" w:rsidRPr="002F0BD6" w:rsidRDefault="002C3F5B" w:rsidP="002C3F5B">
      <w:pPr>
        <w:pStyle w:val="EndNoteBibliography"/>
        <w:spacing w:after="0"/>
        <w:ind w:left="720" w:hanging="720"/>
      </w:pPr>
      <w:r w:rsidRPr="002F0BD6">
        <w:t xml:space="preserve">Davis, M.S. (1971), "That's interesting!", </w:t>
      </w:r>
      <w:r w:rsidRPr="002F0BD6">
        <w:rPr>
          <w:i/>
        </w:rPr>
        <w:t>Philosophy of the Social Sciences,</w:t>
      </w:r>
      <w:r w:rsidRPr="002F0BD6">
        <w:t xml:space="preserve"> Vol. 1 No. 2, pp. 309-344.</w:t>
      </w:r>
    </w:p>
    <w:p w14:paraId="02D57586" w14:textId="5146C80C" w:rsidR="002C3F5B" w:rsidRPr="002F0BD6" w:rsidRDefault="002C3F5B" w:rsidP="002C3F5B">
      <w:pPr>
        <w:pStyle w:val="EndNoteBibliography"/>
        <w:spacing w:after="0"/>
        <w:ind w:left="720" w:hanging="720"/>
      </w:pPr>
      <w:r w:rsidRPr="002F0BD6">
        <w:t xml:space="preserve">de Holan, P.M. and Phillips, N. (2011), "Organizational forgetting", </w:t>
      </w:r>
      <w:r w:rsidRPr="002F0BD6">
        <w:rPr>
          <w:i/>
        </w:rPr>
        <w:t>Handbook of organizational learning and knowledge management,</w:t>
      </w:r>
      <w:r w:rsidRPr="002F0BD6">
        <w:t xml:space="preserve"> John Wiley &amp; Sons, Inc., pp. 433-451.</w:t>
      </w:r>
    </w:p>
    <w:p w14:paraId="520A5A8A" w14:textId="77777777" w:rsidR="002C3F5B" w:rsidRPr="002F0BD6" w:rsidRDefault="002C3F5B" w:rsidP="002C3F5B">
      <w:pPr>
        <w:pStyle w:val="EndNoteBibliography"/>
        <w:spacing w:after="0"/>
        <w:ind w:left="720" w:hanging="720"/>
      </w:pPr>
      <w:r w:rsidRPr="002F0BD6">
        <w:t xml:space="preserve">Erez, A. and Earley, P.C. (1993), </w:t>
      </w:r>
      <w:r w:rsidRPr="002F0BD6">
        <w:rPr>
          <w:i/>
        </w:rPr>
        <w:t xml:space="preserve">Culture, self-identity, and work, </w:t>
      </w:r>
      <w:r w:rsidRPr="002F0BD6">
        <w:t>Oxford University Press, New York.</w:t>
      </w:r>
    </w:p>
    <w:p w14:paraId="72403733" w14:textId="77777777" w:rsidR="002C3F5B" w:rsidRPr="002F0BD6" w:rsidRDefault="002C3F5B" w:rsidP="002C3F5B">
      <w:pPr>
        <w:pStyle w:val="EndNoteBibliography"/>
        <w:spacing w:after="0"/>
        <w:ind w:left="720" w:hanging="720"/>
      </w:pPr>
      <w:r w:rsidRPr="002F0BD6">
        <w:t xml:space="preserve">Erez, A. and Isen, A.M. (2002), "The influence of positive affect on the components of expectancy motivation", </w:t>
      </w:r>
      <w:r w:rsidRPr="002F0BD6">
        <w:rPr>
          <w:i/>
        </w:rPr>
        <w:t>Journal of Applied Psychology,</w:t>
      </w:r>
      <w:r w:rsidRPr="002F0BD6">
        <w:t xml:space="preserve"> Vol. 87 No. 6, pp. 1055-1067.</w:t>
      </w:r>
    </w:p>
    <w:p w14:paraId="249292EB" w14:textId="77777777" w:rsidR="002C3F5B" w:rsidRPr="002F0BD6" w:rsidRDefault="002C3F5B" w:rsidP="002C3F5B">
      <w:pPr>
        <w:pStyle w:val="EndNoteBibliography"/>
        <w:spacing w:after="0"/>
        <w:ind w:left="720" w:hanging="720"/>
      </w:pPr>
      <w:r w:rsidRPr="002F0BD6">
        <w:t xml:space="preserve">Flyvbjerg, B. (2006), "Five misunderstandings about case-study research", </w:t>
      </w:r>
      <w:r w:rsidRPr="002F0BD6">
        <w:rPr>
          <w:i/>
        </w:rPr>
        <w:t>Qualitative Inquiry,</w:t>
      </w:r>
      <w:r w:rsidRPr="002F0BD6">
        <w:t xml:space="preserve"> Vol. 12 No. 2, pp. 219-245.</w:t>
      </w:r>
    </w:p>
    <w:p w14:paraId="261B10B9" w14:textId="77777777" w:rsidR="002C3F5B" w:rsidRPr="002F0BD6" w:rsidRDefault="002C3F5B" w:rsidP="002C3F5B">
      <w:pPr>
        <w:pStyle w:val="EndNoteBibliography"/>
        <w:spacing w:after="0"/>
        <w:ind w:left="720" w:hanging="720"/>
      </w:pPr>
      <w:r w:rsidRPr="002F0BD6">
        <w:t xml:space="preserve">Foreman, P. and Murphy, G. (1996), "Work values and expectancies in occupational rehabilitation: The role of cognitive variables in the return-to-work process", </w:t>
      </w:r>
      <w:r w:rsidRPr="002F0BD6">
        <w:rPr>
          <w:i/>
        </w:rPr>
        <w:t>Journal of Rehabilitation,</w:t>
      </w:r>
      <w:r w:rsidRPr="002F0BD6">
        <w:t xml:space="preserve"> Vol. 62 No. 3, pp. 44-49.</w:t>
      </w:r>
    </w:p>
    <w:p w14:paraId="775D4A64" w14:textId="77777777" w:rsidR="002C3F5B" w:rsidRPr="002F0BD6" w:rsidRDefault="002C3F5B" w:rsidP="002C3F5B">
      <w:pPr>
        <w:pStyle w:val="EndNoteBibliography"/>
        <w:spacing w:after="0"/>
        <w:ind w:left="720" w:hanging="720"/>
      </w:pPr>
      <w:r w:rsidRPr="002F0BD6">
        <w:t xml:space="preserve">Garratt, B. (1990), </w:t>
      </w:r>
      <w:r w:rsidRPr="002F0BD6">
        <w:rPr>
          <w:i/>
        </w:rPr>
        <w:t xml:space="preserve">Creating a learning organisation: A guide to leadership, learning and development, </w:t>
      </w:r>
      <w:r w:rsidRPr="002F0BD6">
        <w:t>Director Books, Cambridge.</w:t>
      </w:r>
    </w:p>
    <w:p w14:paraId="50FBDF94" w14:textId="77777777" w:rsidR="002C3F5B" w:rsidRPr="002F0BD6" w:rsidRDefault="002C3F5B" w:rsidP="002C3F5B">
      <w:pPr>
        <w:pStyle w:val="EndNoteBibliography"/>
        <w:spacing w:after="0"/>
        <w:ind w:left="720" w:hanging="720"/>
      </w:pPr>
      <w:r w:rsidRPr="002F0BD6">
        <w:t xml:space="preserve">Garvin, D.A. (1993), "Building a learning organization", </w:t>
      </w:r>
      <w:r w:rsidRPr="002F0BD6">
        <w:rPr>
          <w:i/>
        </w:rPr>
        <w:t>Harvard Business Review,</w:t>
      </w:r>
      <w:r w:rsidRPr="002F0BD6">
        <w:t xml:space="preserve"> Vol. 71 No. 4, pp. 78-91.</w:t>
      </w:r>
    </w:p>
    <w:p w14:paraId="69BD1757" w14:textId="77777777" w:rsidR="002C3F5B" w:rsidRPr="002F0BD6" w:rsidRDefault="002C3F5B" w:rsidP="002C3F5B">
      <w:pPr>
        <w:pStyle w:val="EndNoteBibliography"/>
        <w:spacing w:after="0"/>
        <w:ind w:left="720" w:hanging="720"/>
      </w:pPr>
      <w:r w:rsidRPr="002F0BD6">
        <w:t xml:space="preserve">George, J.M. and Zhou, J. (2002), "Understanding when bad moods foster creativity and good ones don't: The role of context and clarity of feelings", </w:t>
      </w:r>
      <w:r w:rsidRPr="002F0BD6">
        <w:rPr>
          <w:i/>
        </w:rPr>
        <w:t>Journal of Applied Psychology,</w:t>
      </w:r>
      <w:r w:rsidRPr="002F0BD6">
        <w:t xml:space="preserve"> Vol. 87 No. 4, pp. 687-697.</w:t>
      </w:r>
    </w:p>
    <w:p w14:paraId="163557FF" w14:textId="77777777" w:rsidR="002C3F5B" w:rsidRPr="002F0BD6" w:rsidRDefault="002C3F5B" w:rsidP="002C3F5B">
      <w:pPr>
        <w:pStyle w:val="EndNoteBibliography"/>
        <w:spacing w:after="0"/>
        <w:ind w:left="720" w:hanging="720"/>
      </w:pPr>
      <w:r w:rsidRPr="002F0BD6">
        <w:t xml:space="preserve">Gollwitzer, P.M. (1999), "Implementation intentions: Strong effects of simple plans", </w:t>
      </w:r>
      <w:r w:rsidRPr="002F0BD6">
        <w:rPr>
          <w:i/>
        </w:rPr>
        <w:t>American Psychologist,</w:t>
      </w:r>
      <w:r w:rsidRPr="002F0BD6">
        <w:t xml:space="preserve"> Vol. 54 No. 7, pp. 493-503.</w:t>
      </w:r>
    </w:p>
    <w:p w14:paraId="177DA0FD" w14:textId="77777777" w:rsidR="002C3F5B" w:rsidRPr="002F0BD6" w:rsidRDefault="002C3F5B" w:rsidP="002C3F5B">
      <w:pPr>
        <w:pStyle w:val="EndNoteBibliography"/>
        <w:spacing w:after="0"/>
        <w:ind w:left="720" w:hanging="720"/>
      </w:pPr>
      <w:r w:rsidRPr="002F0BD6">
        <w:t xml:space="preserve">Grandey, A.A. (2003), "When “The Show Must Go On”: Surface Acting and Deep Acting as Determinants of Emotional Exhaustion and Peer-Rated Service Delivery", </w:t>
      </w:r>
      <w:r w:rsidRPr="002F0BD6">
        <w:rPr>
          <w:i/>
        </w:rPr>
        <w:t>Academy of Management Journal,</w:t>
      </w:r>
      <w:r w:rsidRPr="002F0BD6">
        <w:t xml:space="preserve"> Vol. 46 No. 1, pp. 86-96.</w:t>
      </w:r>
    </w:p>
    <w:p w14:paraId="4995CB19" w14:textId="77777777" w:rsidR="002C3F5B" w:rsidRPr="002F0BD6" w:rsidRDefault="002C3F5B" w:rsidP="002C3F5B">
      <w:pPr>
        <w:pStyle w:val="EndNoteBibliography"/>
        <w:spacing w:after="0"/>
        <w:ind w:left="720" w:hanging="720"/>
      </w:pPr>
      <w:r w:rsidRPr="002F0BD6">
        <w:t xml:space="preserve">Greenberg, J. (1987), "A Taxonomy of Organizational Justice Theories", </w:t>
      </w:r>
      <w:r w:rsidRPr="002F0BD6">
        <w:rPr>
          <w:i/>
        </w:rPr>
        <w:t>Academy of Management Review,</w:t>
      </w:r>
      <w:r w:rsidRPr="002F0BD6">
        <w:t xml:space="preserve"> Vol. 12 No. 1, pp. 9-22.</w:t>
      </w:r>
    </w:p>
    <w:p w14:paraId="129D58F9" w14:textId="77777777" w:rsidR="002C3F5B" w:rsidRPr="002F0BD6" w:rsidRDefault="002C3F5B" w:rsidP="002C3F5B">
      <w:pPr>
        <w:pStyle w:val="EndNoteBibliography"/>
        <w:spacing w:after="0"/>
        <w:ind w:left="720" w:hanging="720"/>
      </w:pPr>
      <w:r w:rsidRPr="002F0BD6">
        <w:lastRenderedPageBreak/>
        <w:t xml:space="preserve">Gupta, A.K., Tesluk, P.E. and Taylor, M.S. (2007), "Innovation At and Across Multiple Levels of Analysis", </w:t>
      </w:r>
      <w:r w:rsidRPr="002F0BD6">
        <w:rPr>
          <w:i/>
        </w:rPr>
        <w:t>Organization Science,</w:t>
      </w:r>
      <w:r w:rsidRPr="002F0BD6">
        <w:t xml:space="preserve"> Vol. 18 No. 6, pp. 885-897.</w:t>
      </w:r>
    </w:p>
    <w:p w14:paraId="396B0899" w14:textId="77777777" w:rsidR="002C3F5B" w:rsidRPr="002F0BD6" w:rsidRDefault="002C3F5B" w:rsidP="002C3F5B">
      <w:pPr>
        <w:pStyle w:val="EndNoteBibliography"/>
        <w:spacing w:after="0"/>
        <w:ind w:left="720" w:hanging="720"/>
      </w:pPr>
      <w:r w:rsidRPr="002F0BD6">
        <w:t xml:space="preserve">Gustafson, S.B. and Mumford, M.D. (1995), "Personal Style and Person-Environment Fit: A Pattern Approach", </w:t>
      </w:r>
      <w:r w:rsidRPr="002F0BD6">
        <w:rPr>
          <w:i/>
        </w:rPr>
        <w:t>Journal of Vocational Behavior,</w:t>
      </w:r>
      <w:r w:rsidRPr="002F0BD6">
        <w:t xml:space="preserve"> Vol. 46 No. 2, pp. 163-188.</w:t>
      </w:r>
    </w:p>
    <w:p w14:paraId="7BEF2517" w14:textId="19AE81D0" w:rsidR="0067608B" w:rsidRDefault="0067608B" w:rsidP="002C3F5B">
      <w:pPr>
        <w:pStyle w:val="EndNoteBibliography"/>
        <w:spacing w:after="0"/>
        <w:ind w:left="720" w:hanging="720"/>
      </w:pPr>
      <w:r w:rsidRPr="0067608B">
        <w:t xml:space="preserve">Harrison, J.R., Carroll, G.R. and Carley, K.M. (2007), "Simulation modeling in organizational and management research", </w:t>
      </w:r>
      <w:r w:rsidRPr="0067608B">
        <w:rPr>
          <w:i/>
          <w:iCs/>
        </w:rPr>
        <w:t>Academy of Management Review,</w:t>
      </w:r>
      <w:r w:rsidRPr="0067608B">
        <w:t xml:space="preserve"> Vol. 32 No. 4, pp. 1229-1245.</w:t>
      </w:r>
    </w:p>
    <w:p w14:paraId="5A359BA4" w14:textId="5BC050F8" w:rsidR="002C3F5B" w:rsidRPr="002F0BD6" w:rsidRDefault="002C3F5B" w:rsidP="002C3F5B">
      <w:pPr>
        <w:pStyle w:val="EndNoteBibliography"/>
        <w:spacing w:after="0"/>
        <w:ind w:left="720" w:hanging="720"/>
      </w:pPr>
      <w:r w:rsidRPr="002F0BD6">
        <w:t xml:space="preserve">Haslam, S.A., Powell, C. and Turner, J. (2000), "Social Identity, Self-categorization, and Work Motivation: Rethinking the Contribution of the Group to Positive and Sustainable Organisational Outcomes", </w:t>
      </w:r>
      <w:r w:rsidRPr="002F0BD6">
        <w:rPr>
          <w:i/>
        </w:rPr>
        <w:t>Applied Psychology,</w:t>
      </w:r>
      <w:r w:rsidRPr="002F0BD6">
        <w:t xml:space="preserve"> Vol. 49 No. 3, pp. 319-339.</w:t>
      </w:r>
    </w:p>
    <w:p w14:paraId="55A0B60C" w14:textId="2AA6F5E0" w:rsidR="002C3F5B" w:rsidRPr="002F0BD6" w:rsidRDefault="002C3F5B" w:rsidP="002C3F5B">
      <w:pPr>
        <w:pStyle w:val="EndNoteBibliography"/>
        <w:spacing w:after="0"/>
        <w:ind w:left="720" w:hanging="720"/>
      </w:pPr>
      <w:r w:rsidRPr="002F0BD6">
        <w:t xml:space="preserve">Hedberg, B. (1981), "How organizations learn and unlearn", In Nystrom, P.C. and Starbuck, W.H. (editors), </w:t>
      </w:r>
      <w:r w:rsidRPr="002F0BD6">
        <w:rPr>
          <w:i/>
        </w:rPr>
        <w:t>Handbook of organizational design,</w:t>
      </w:r>
      <w:r w:rsidRPr="002F0BD6">
        <w:t xml:space="preserve"> Vol. 1.</w:t>
      </w:r>
      <w:r w:rsidRPr="002F0BD6">
        <w:rPr>
          <w:i/>
        </w:rPr>
        <w:t xml:space="preserve"> </w:t>
      </w:r>
      <w:r w:rsidRPr="002F0BD6">
        <w:t>Oxford University Press, New York, pp. 3-27.</w:t>
      </w:r>
    </w:p>
    <w:p w14:paraId="1174D18A" w14:textId="77777777" w:rsidR="002C3F5B" w:rsidRPr="002F0BD6" w:rsidRDefault="002C3F5B" w:rsidP="002C3F5B">
      <w:pPr>
        <w:pStyle w:val="EndNoteBibliography"/>
        <w:spacing w:after="0"/>
        <w:ind w:left="720" w:hanging="720"/>
      </w:pPr>
      <w:r w:rsidRPr="002F0BD6">
        <w:t xml:space="preserve">Hogan, R. and Warrenfeltz, R. (2003), "Educating the Modern Manager", </w:t>
      </w:r>
      <w:r w:rsidRPr="002F0BD6">
        <w:rPr>
          <w:i/>
        </w:rPr>
        <w:t>Academy of Management Learning &amp; Education,</w:t>
      </w:r>
      <w:r w:rsidRPr="002F0BD6">
        <w:t xml:space="preserve"> Vol. 2 No. 1, pp. 74-84.</w:t>
      </w:r>
    </w:p>
    <w:p w14:paraId="4997532E" w14:textId="77777777" w:rsidR="002C3F5B" w:rsidRPr="002F0BD6" w:rsidRDefault="002C3F5B" w:rsidP="002C3F5B">
      <w:pPr>
        <w:pStyle w:val="EndNoteBibliography"/>
        <w:spacing w:after="0"/>
        <w:ind w:left="720" w:hanging="720"/>
      </w:pPr>
      <w:r w:rsidRPr="002F0BD6">
        <w:t xml:space="preserve">Hogarth, R.M. (1980), </w:t>
      </w:r>
      <w:r w:rsidRPr="002F0BD6">
        <w:rPr>
          <w:i/>
        </w:rPr>
        <w:t xml:space="preserve">Judgement and choice: The psychology of decision, </w:t>
      </w:r>
      <w:r w:rsidRPr="002F0BD6">
        <w:t>John Wiley &amp; Sons, New York.</w:t>
      </w:r>
    </w:p>
    <w:p w14:paraId="4D5EE074" w14:textId="77777777" w:rsidR="002C3F5B" w:rsidRPr="002F0BD6" w:rsidRDefault="002C3F5B" w:rsidP="002C3F5B">
      <w:pPr>
        <w:pStyle w:val="EndNoteBibliography"/>
        <w:spacing w:after="0"/>
        <w:ind w:left="720" w:hanging="720"/>
      </w:pPr>
      <w:r w:rsidRPr="002F0BD6">
        <w:t xml:space="preserve">Huber, G.P. (1991), "Organizational learning: The contributing processes and the literatures", </w:t>
      </w:r>
      <w:r w:rsidRPr="002F0BD6">
        <w:rPr>
          <w:i/>
        </w:rPr>
        <w:t>Organization Science,</w:t>
      </w:r>
      <w:r w:rsidRPr="002F0BD6">
        <w:t xml:space="preserve"> Vol. 2 No. 1, pp. 88-115.</w:t>
      </w:r>
    </w:p>
    <w:p w14:paraId="4BD5ACB0" w14:textId="5AA45AED" w:rsidR="002C3F5B" w:rsidRPr="002F0BD6" w:rsidRDefault="002C3F5B" w:rsidP="002C3F5B">
      <w:pPr>
        <w:pStyle w:val="EndNoteBibliography"/>
        <w:spacing w:after="0"/>
        <w:ind w:left="720" w:hanging="720"/>
      </w:pPr>
      <w:r w:rsidRPr="002F0BD6">
        <w:t xml:space="preserve">Hulin, C.L. and Judge, T.A. (2003), "Job Attitudes", In Borman, W.C. and Ilgen, D.R. (editors), </w:t>
      </w:r>
      <w:r w:rsidRPr="002F0BD6">
        <w:rPr>
          <w:i/>
        </w:rPr>
        <w:t>Handbook of Psychology: Industrial and Organizational Psychology,</w:t>
      </w:r>
      <w:r w:rsidRPr="002F0BD6">
        <w:t xml:space="preserve"> John Wiley &amp; Sons, Inc., New York, pp. 255-276.</w:t>
      </w:r>
    </w:p>
    <w:p w14:paraId="5F4EC104" w14:textId="77777777" w:rsidR="002C3F5B" w:rsidRPr="002F0BD6" w:rsidRDefault="002C3F5B" w:rsidP="002C3F5B">
      <w:pPr>
        <w:pStyle w:val="EndNoteBibliography"/>
        <w:spacing w:after="0"/>
        <w:ind w:left="720" w:hanging="720"/>
      </w:pPr>
      <w:r w:rsidRPr="002F0BD6">
        <w:t xml:space="preserve">Jones, A.M. and Hendry, C. (1992), </w:t>
      </w:r>
      <w:r w:rsidRPr="002F0BD6">
        <w:rPr>
          <w:i/>
        </w:rPr>
        <w:t xml:space="preserve">The learning organization: A review of literature and practice, </w:t>
      </w:r>
      <w:r w:rsidRPr="002F0BD6">
        <w:t xml:space="preserve">University of Warwick, Centre for Corporate Strategy and Change, </w:t>
      </w:r>
    </w:p>
    <w:p w14:paraId="6B4F9190" w14:textId="77777777" w:rsidR="002C3F5B" w:rsidRPr="002F0BD6" w:rsidRDefault="002C3F5B" w:rsidP="002C3F5B">
      <w:pPr>
        <w:pStyle w:val="EndNoteBibliography"/>
        <w:spacing w:after="0"/>
        <w:ind w:left="720" w:hanging="720"/>
      </w:pPr>
      <w:r w:rsidRPr="002F0BD6">
        <w:t xml:space="preserve">Jones, A.M. and Hendry, C. (1994), "The learning organization: Adult learning and organizational transformation", </w:t>
      </w:r>
      <w:r w:rsidRPr="002F0BD6">
        <w:rPr>
          <w:i/>
        </w:rPr>
        <w:t>British Journal of Management,</w:t>
      </w:r>
      <w:r w:rsidRPr="002F0BD6">
        <w:t xml:space="preserve"> Vol. 5 No. 2, pp. 153-162.</w:t>
      </w:r>
    </w:p>
    <w:p w14:paraId="66903CB8" w14:textId="77777777" w:rsidR="002C3F5B" w:rsidRPr="002F0BD6" w:rsidRDefault="002C3F5B" w:rsidP="002C3F5B">
      <w:pPr>
        <w:pStyle w:val="EndNoteBibliography"/>
        <w:spacing w:after="0"/>
        <w:ind w:left="720" w:hanging="720"/>
      </w:pPr>
      <w:r w:rsidRPr="002F0BD6">
        <w:t xml:space="preserve">Kanfer, R. (1990), "Motivation theory and industrial and organizational psychology", In Dunnette, M.D. and Hough, L.M. (editors), </w:t>
      </w:r>
      <w:r w:rsidRPr="002F0BD6">
        <w:rPr>
          <w:i/>
        </w:rPr>
        <w:t>Handbook of industrial and organizational psychology,</w:t>
      </w:r>
      <w:r w:rsidRPr="002F0BD6">
        <w:t xml:space="preserve"> Vol. 1.</w:t>
      </w:r>
      <w:r w:rsidRPr="002F0BD6">
        <w:rPr>
          <w:i/>
        </w:rPr>
        <w:t xml:space="preserve"> </w:t>
      </w:r>
      <w:r w:rsidRPr="002F0BD6">
        <w:t xml:space="preserve"> Consult. Psychol., Palo Alto, CA, pp. 75-130.</w:t>
      </w:r>
    </w:p>
    <w:p w14:paraId="46763EFA" w14:textId="77777777" w:rsidR="002C3F5B" w:rsidRPr="002F0BD6" w:rsidRDefault="002C3F5B" w:rsidP="002C3F5B">
      <w:pPr>
        <w:pStyle w:val="EndNoteBibliography"/>
        <w:spacing w:after="0"/>
        <w:ind w:left="720" w:hanging="720"/>
      </w:pPr>
      <w:r w:rsidRPr="002F0BD6">
        <w:t xml:space="preserve">Latham, G.P. and Locke, E.A. (1991), "Self-regulation through goal setting", </w:t>
      </w:r>
      <w:r w:rsidRPr="002F0BD6">
        <w:rPr>
          <w:i/>
        </w:rPr>
        <w:t>Organizational Behavior and Human Decision Processes,</w:t>
      </w:r>
      <w:r w:rsidRPr="002F0BD6">
        <w:t xml:space="preserve"> Vol. 50 No. 2, pp. 212-247.</w:t>
      </w:r>
    </w:p>
    <w:p w14:paraId="415AD862" w14:textId="5E02F0C8" w:rsidR="002C3F5B" w:rsidRPr="002F0BD6" w:rsidRDefault="002C3F5B" w:rsidP="002C3F5B">
      <w:pPr>
        <w:pStyle w:val="EndNoteBibliography"/>
        <w:spacing w:after="0"/>
        <w:ind w:left="720" w:hanging="720"/>
      </w:pPr>
      <w:r w:rsidRPr="002F0BD6">
        <w:t xml:space="preserve">Latham, G.P. and Pinder, C.C. (2005), "Work motivation theory and research at the dawn of the twenty-first century", </w:t>
      </w:r>
      <w:r w:rsidRPr="002F0BD6">
        <w:rPr>
          <w:i/>
        </w:rPr>
        <w:t>Annu. Rev. Psychol.,</w:t>
      </w:r>
      <w:r w:rsidR="008B1DEC">
        <w:t xml:space="preserve"> Vol. 56</w:t>
      </w:r>
      <w:r w:rsidRPr="002F0BD6">
        <w:t>, pp. 485-516.</w:t>
      </w:r>
    </w:p>
    <w:p w14:paraId="552C0017" w14:textId="77777777" w:rsidR="002C3F5B" w:rsidRPr="002F0BD6" w:rsidRDefault="002C3F5B" w:rsidP="002C3F5B">
      <w:pPr>
        <w:pStyle w:val="EndNoteBibliography"/>
        <w:spacing w:after="0"/>
        <w:ind w:left="720" w:hanging="720"/>
      </w:pPr>
      <w:r w:rsidRPr="002F0BD6">
        <w:t xml:space="preserve">Latham, G.P., Winters, D.C. and Locke, E.A. (1994), "Cognitive and motivational effects of participation: A mediator study", </w:t>
      </w:r>
      <w:r w:rsidRPr="002F0BD6">
        <w:rPr>
          <w:i/>
        </w:rPr>
        <w:t>Journal of Organizational Behavior,</w:t>
      </w:r>
      <w:r w:rsidRPr="002F0BD6">
        <w:t xml:space="preserve"> Vol. 15 No. 1, pp. 49-63.</w:t>
      </w:r>
    </w:p>
    <w:p w14:paraId="140C600E" w14:textId="77777777" w:rsidR="002C3F5B" w:rsidRPr="002F0BD6" w:rsidRDefault="002C3F5B" w:rsidP="002C3F5B">
      <w:pPr>
        <w:pStyle w:val="EndNoteBibliography"/>
        <w:spacing w:after="0"/>
        <w:ind w:left="720" w:hanging="720"/>
      </w:pPr>
      <w:r w:rsidRPr="002F0BD6">
        <w:t xml:space="preserve">Lessem, R. (1991), </w:t>
      </w:r>
      <w:r w:rsidRPr="002F0BD6">
        <w:rPr>
          <w:i/>
        </w:rPr>
        <w:t xml:space="preserve">Total quality learning: Building a learning organization, </w:t>
      </w:r>
      <w:r w:rsidRPr="002F0BD6">
        <w:t>Blackwell, Oxford.</w:t>
      </w:r>
    </w:p>
    <w:p w14:paraId="39CDA991" w14:textId="37376C13" w:rsidR="002C3F5B" w:rsidRPr="002F0BD6" w:rsidRDefault="002C3F5B" w:rsidP="002C3F5B">
      <w:pPr>
        <w:pStyle w:val="EndNoteBibliography"/>
        <w:spacing w:after="0"/>
        <w:ind w:left="720" w:hanging="720"/>
      </w:pPr>
      <w:r w:rsidRPr="002F0BD6">
        <w:t xml:space="preserve">Leung, K. (2001), "Different carrots for different rabbits: effects of individualism-collectivism and power distance on work motivation", </w:t>
      </w:r>
      <w:r w:rsidRPr="002F0BD6">
        <w:rPr>
          <w:i/>
        </w:rPr>
        <w:t>Work motivation in the context of a globalizing economy,</w:t>
      </w:r>
      <w:r w:rsidRPr="002F0BD6">
        <w:t xml:space="preserve"> pp. 329-339.</w:t>
      </w:r>
    </w:p>
    <w:p w14:paraId="21EEE729" w14:textId="2C379139" w:rsidR="002C3F5B" w:rsidRPr="002F0BD6" w:rsidRDefault="002C3F5B" w:rsidP="002C3F5B">
      <w:pPr>
        <w:pStyle w:val="EndNoteBibliography"/>
        <w:spacing w:after="0"/>
        <w:ind w:left="720" w:hanging="720"/>
      </w:pPr>
      <w:r w:rsidRPr="002F0BD6">
        <w:t xml:space="preserve">Levitt, B. and March, J.G. (1988), "Organizational learning", </w:t>
      </w:r>
      <w:r w:rsidRPr="002F0BD6">
        <w:rPr>
          <w:i/>
        </w:rPr>
        <w:t>Annual Review of Sociology,</w:t>
      </w:r>
      <w:r w:rsidR="00BF0AE0">
        <w:t xml:space="preserve"> Vol. 14</w:t>
      </w:r>
      <w:r w:rsidRPr="002F0BD6">
        <w:t>, pp. 319-340.</w:t>
      </w:r>
    </w:p>
    <w:p w14:paraId="6526CE4F" w14:textId="77777777" w:rsidR="002C3F5B" w:rsidRPr="002F0BD6" w:rsidRDefault="002C3F5B" w:rsidP="002C3F5B">
      <w:pPr>
        <w:pStyle w:val="EndNoteBibliography"/>
        <w:spacing w:after="0"/>
        <w:ind w:left="720" w:hanging="720"/>
      </w:pPr>
      <w:r w:rsidRPr="002F0BD6">
        <w:t xml:space="preserve">Locke, E.A. and Henne, D. (1986), "Work motivation theories", In Cooper, C. and Robertson, I. (editors), </w:t>
      </w:r>
      <w:r w:rsidRPr="002F0BD6">
        <w:rPr>
          <w:i/>
        </w:rPr>
        <w:t>International review of industrial and organizational psychology,</w:t>
      </w:r>
      <w:r w:rsidRPr="002F0BD6">
        <w:t xml:space="preserve"> Vol. 1.</w:t>
      </w:r>
      <w:r w:rsidRPr="002F0BD6">
        <w:rPr>
          <w:i/>
        </w:rPr>
        <w:t xml:space="preserve"> </w:t>
      </w:r>
      <w:r w:rsidRPr="002F0BD6">
        <w:t xml:space="preserve"> Wiley, New York, pp. 1-36.</w:t>
      </w:r>
    </w:p>
    <w:p w14:paraId="1CC5924E" w14:textId="6AD66CB0" w:rsidR="002C3F5B" w:rsidRPr="002F0BD6" w:rsidRDefault="002C3F5B" w:rsidP="002C3F5B">
      <w:pPr>
        <w:pStyle w:val="EndNoteBibliography"/>
        <w:spacing w:after="0"/>
        <w:ind w:left="720" w:hanging="720"/>
      </w:pPr>
      <w:r w:rsidRPr="002F0BD6">
        <w:t xml:space="preserve">Locke, E.A.L., Gary P. (2002), "Building a practically useful theory of goal setting and task motivation. A 35-year odyssey", </w:t>
      </w:r>
      <w:r w:rsidRPr="002F0BD6">
        <w:rPr>
          <w:i/>
        </w:rPr>
        <w:t>The American Psychologist,</w:t>
      </w:r>
      <w:r w:rsidRPr="002F0BD6">
        <w:t xml:space="preserve"> Vol. 57, pp. 705-717.</w:t>
      </w:r>
    </w:p>
    <w:p w14:paraId="628A7980" w14:textId="77777777" w:rsidR="002C3F5B" w:rsidRPr="002F0BD6" w:rsidRDefault="002C3F5B" w:rsidP="002C3F5B">
      <w:pPr>
        <w:pStyle w:val="EndNoteBibliography"/>
        <w:spacing w:after="0"/>
        <w:ind w:left="720" w:hanging="720"/>
      </w:pPr>
      <w:r w:rsidRPr="002F0BD6">
        <w:t xml:space="preserve">Majchrzak, A., Cooper, L.P. and Neece, O.E. (2004), "Knowledge Reuse for Innovation", </w:t>
      </w:r>
      <w:r w:rsidRPr="002F0BD6">
        <w:rPr>
          <w:i/>
        </w:rPr>
        <w:t>Management Science,</w:t>
      </w:r>
      <w:r w:rsidRPr="002F0BD6">
        <w:t xml:space="preserve"> Vol. 50 No. 2, pp. 174-188.</w:t>
      </w:r>
    </w:p>
    <w:p w14:paraId="7564020E" w14:textId="77777777" w:rsidR="002C3F5B" w:rsidRPr="002F0BD6" w:rsidRDefault="002C3F5B" w:rsidP="002C3F5B">
      <w:pPr>
        <w:pStyle w:val="EndNoteBibliography"/>
        <w:spacing w:after="0"/>
        <w:ind w:left="720" w:hanging="720"/>
      </w:pPr>
      <w:r w:rsidRPr="002F0BD6">
        <w:t xml:space="preserve">Malka, A. and Chatman, J.A. (2003), "Intrinsic and Extrinsic Work Orientations as Moderators of the Effect of Annual Income on Subjective Well-Being: A Longitudinal Study", </w:t>
      </w:r>
      <w:r w:rsidRPr="002F0BD6">
        <w:rPr>
          <w:i/>
        </w:rPr>
        <w:t>Personality and Social Psychology Bulletin,</w:t>
      </w:r>
      <w:r w:rsidRPr="002F0BD6">
        <w:t xml:space="preserve"> Vol. 29 No. 6, pp. 737-746.</w:t>
      </w:r>
    </w:p>
    <w:p w14:paraId="18AFDC22" w14:textId="77777777" w:rsidR="002C3F5B" w:rsidRPr="002F0BD6" w:rsidRDefault="002C3F5B" w:rsidP="002C3F5B">
      <w:pPr>
        <w:pStyle w:val="EndNoteBibliography"/>
        <w:spacing w:after="0"/>
        <w:ind w:left="720" w:hanging="720"/>
      </w:pPr>
      <w:r w:rsidRPr="002F0BD6">
        <w:t xml:space="preserve">Marquardt, M. and Reynolds, A. (1994), </w:t>
      </w:r>
      <w:r w:rsidRPr="002F0BD6">
        <w:rPr>
          <w:i/>
        </w:rPr>
        <w:t xml:space="preserve">Global learning organization: Gaining advantage through continuous learning, </w:t>
      </w:r>
      <w:r w:rsidRPr="002F0BD6">
        <w:t>Irwin, New York.</w:t>
      </w:r>
    </w:p>
    <w:p w14:paraId="2D9CC05F" w14:textId="77777777" w:rsidR="002C3F5B" w:rsidRPr="002F0BD6" w:rsidRDefault="002C3F5B" w:rsidP="002C3F5B">
      <w:pPr>
        <w:pStyle w:val="EndNoteBibliography"/>
        <w:spacing w:after="0"/>
        <w:ind w:left="720" w:hanging="720"/>
      </w:pPr>
      <w:r w:rsidRPr="002F0BD6">
        <w:lastRenderedPageBreak/>
        <w:t xml:space="preserve">McGill, M.E., Slocum Jr, J.W. and Lei, D. (1992), "Management practices in learning organizations", </w:t>
      </w:r>
      <w:r w:rsidRPr="002F0BD6">
        <w:rPr>
          <w:i/>
        </w:rPr>
        <w:t>Organizational Dynamics,</w:t>
      </w:r>
      <w:r w:rsidRPr="002F0BD6">
        <w:t xml:space="preserve"> Vol. 21 No. 1, pp. 5-17.</w:t>
      </w:r>
    </w:p>
    <w:p w14:paraId="718CC2F1" w14:textId="77777777" w:rsidR="002C3F5B" w:rsidRPr="002F0BD6" w:rsidRDefault="002C3F5B" w:rsidP="002C3F5B">
      <w:pPr>
        <w:pStyle w:val="EndNoteBibliography"/>
        <w:spacing w:after="0"/>
        <w:ind w:left="720" w:hanging="720"/>
      </w:pPr>
      <w:r w:rsidRPr="002F0BD6">
        <w:t xml:space="preserve">Moorman, C. and Miner, A.S. (1997), "The impact of organizational memory on new product performance and creativity", </w:t>
      </w:r>
      <w:r w:rsidRPr="002F0BD6">
        <w:rPr>
          <w:i/>
        </w:rPr>
        <w:t>Journal of Marketing Research,</w:t>
      </w:r>
      <w:r w:rsidRPr="002F0BD6">
        <w:t xml:space="preserve"> Vol. 34 No. 1, pp. 91-106.</w:t>
      </w:r>
    </w:p>
    <w:p w14:paraId="401F8DDD" w14:textId="77777777" w:rsidR="002C3F5B" w:rsidRPr="002F0BD6" w:rsidRDefault="002C3F5B" w:rsidP="002C3F5B">
      <w:pPr>
        <w:pStyle w:val="EndNoteBibliography"/>
        <w:spacing w:after="0"/>
        <w:ind w:left="720" w:hanging="720"/>
      </w:pPr>
      <w:r w:rsidRPr="002F0BD6">
        <w:t xml:space="preserve">Morgeson, F.P. and Campion, M.A. (2002), "Minimizing tradeoffs when redesigning work: Evidence from a longitudinal quasi-experiment", </w:t>
      </w:r>
      <w:r w:rsidRPr="002F0BD6">
        <w:rPr>
          <w:i/>
        </w:rPr>
        <w:t>Personnel Psychology,</w:t>
      </w:r>
      <w:r w:rsidRPr="002F0BD6">
        <w:t xml:space="preserve"> Vol. 55 No. 3, pp. 589-612.</w:t>
      </w:r>
    </w:p>
    <w:p w14:paraId="159229EF" w14:textId="77777777" w:rsidR="002C3F5B" w:rsidRPr="002F0BD6" w:rsidRDefault="002C3F5B" w:rsidP="002C3F5B">
      <w:pPr>
        <w:pStyle w:val="EndNoteBibliography"/>
        <w:spacing w:after="0"/>
        <w:ind w:left="720" w:hanging="720"/>
      </w:pPr>
      <w:r w:rsidRPr="002F0BD6">
        <w:t xml:space="preserve">Mowday, R.T. and Sutton, R.I. (1993), "Organizational behavior: Linking individuals and groups to organizational contexts", </w:t>
      </w:r>
      <w:r w:rsidRPr="002F0BD6">
        <w:rPr>
          <w:i/>
        </w:rPr>
        <w:t>Annual review of psychology,</w:t>
      </w:r>
      <w:r w:rsidRPr="002F0BD6">
        <w:t xml:space="preserve"> Vol. 44 No. 1, pp. 195-229.</w:t>
      </w:r>
    </w:p>
    <w:p w14:paraId="235F76B7" w14:textId="77777777" w:rsidR="002C3F5B" w:rsidRPr="002F0BD6" w:rsidRDefault="002C3F5B" w:rsidP="002C3F5B">
      <w:pPr>
        <w:pStyle w:val="EndNoteBibliography"/>
        <w:spacing w:after="0"/>
        <w:ind w:left="720" w:hanging="720"/>
      </w:pPr>
      <w:r w:rsidRPr="002F0BD6">
        <w:t xml:space="preserve">Nonaka, I. (1994), "A dynamic theory of organizational knowledge creation", </w:t>
      </w:r>
      <w:r w:rsidRPr="002F0BD6">
        <w:rPr>
          <w:i/>
        </w:rPr>
        <w:t>Organization Science,</w:t>
      </w:r>
      <w:r w:rsidRPr="002F0BD6">
        <w:t xml:space="preserve"> Vol. 5 No. 1, pp. 14-37.</w:t>
      </w:r>
    </w:p>
    <w:p w14:paraId="205A097F" w14:textId="77777777" w:rsidR="002C3F5B" w:rsidRPr="002F0BD6" w:rsidRDefault="002C3F5B" w:rsidP="002C3F5B">
      <w:pPr>
        <w:pStyle w:val="EndNoteBibliography"/>
        <w:spacing w:after="0"/>
        <w:ind w:left="720" w:hanging="720"/>
      </w:pPr>
      <w:r w:rsidRPr="002F0BD6">
        <w:t xml:space="preserve">Nonaka, I. and Takeuchi, H. (1995), </w:t>
      </w:r>
      <w:r w:rsidRPr="002F0BD6">
        <w:rPr>
          <w:i/>
        </w:rPr>
        <w:t xml:space="preserve">The knowledge-creating company: How Japanese companies create the dynamics of innovation, </w:t>
      </w:r>
      <w:r w:rsidRPr="002F0BD6">
        <w:t xml:space="preserve">Oxford university press, </w:t>
      </w:r>
    </w:p>
    <w:p w14:paraId="34580599" w14:textId="77777777" w:rsidR="002C3F5B" w:rsidRDefault="002C3F5B" w:rsidP="002C3F5B">
      <w:pPr>
        <w:pStyle w:val="EndNoteBibliography"/>
        <w:spacing w:after="0"/>
        <w:ind w:left="720" w:hanging="720"/>
      </w:pPr>
      <w:r w:rsidRPr="002F0BD6">
        <w:t xml:space="preserve">Nonaka, I. and von Krogh, G. (2009), "Perspective— Tacit knowledge and knowledge conversion: Controversy and advancement in organizational knowledge creation theory", </w:t>
      </w:r>
      <w:r w:rsidRPr="002F0BD6">
        <w:rPr>
          <w:i/>
        </w:rPr>
        <w:t>Organization Science,</w:t>
      </w:r>
      <w:r w:rsidRPr="002F0BD6">
        <w:t xml:space="preserve"> Vol. 20 No. 3, pp. 635-652.</w:t>
      </w:r>
      <w:r w:rsidRPr="002C3F5B">
        <w:t xml:space="preserve"> </w:t>
      </w:r>
    </w:p>
    <w:p w14:paraId="05BEB0FD" w14:textId="70F9A5BC" w:rsidR="002C3F5B" w:rsidRPr="002F0BD6" w:rsidRDefault="002C3F5B" w:rsidP="002C3F5B">
      <w:pPr>
        <w:pStyle w:val="EndNoteBibliography"/>
        <w:spacing w:after="0"/>
        <w:ind w:left="720" w:hanging="720"/>
      </w:pPr>
      <w:r w:rsidRPr="002F0BD6">
        <w:t xml:space="preserve">Örtenblad, A. (2002), "A typology of the idea of learning organization", </w:t>
      </w:r>
      <w:r w:rsidRPr="002F0BD6">
        <w:rPr>
          <w:i/>
        </w:rPr>
        <w:t>Management Learning,</w:t>
      </w:r>
      <w:r w:rsidRPr="002F0BD6">
        <w:t xml:space="preserve"> Vol. 33 No. 2, pp. 213-230.</w:t>
      </w:r>
    </w:p>
    <w:p w14:paraId="7F989DF1" w14:textId="77777777" w:rsidR="002C3F5B" w:rsidRPr="002F0BD6" w:rsidRDefault="002C3F5B" w:rsidP="002C3F5B">
      <w:pPr>
        <w:pStyle w:val="EndNoteBibliography"/>
        <w:spacing w:after="0"/>
        <w:ind w:left="720" w:hanging="720"/>
      </w:pPr>
      <w:r w:rsidRPr="002F0BD6">
        <w:t xml:space="preserve">Örtenblad, A. and Koris, R. (2014), "Is the learning organization idea relevant to higher educational institutions? A literature review and a “multi-stakeholder contingency approach”", </w:t>
      </w:r>
      <w:r w:rsidRPr="002F0BD6">
        <w:rPr>
          <w:i/>
        </w:rPr>
        <w:t>International Journal of Educational Management,</w:t>
      </w:r>
      <w:r w:rsidRPr="002F0BD6">
        <w:t xml:space="preserve"> Vol. 28 No. 2, pp. 173-214.</w:t>
      </w:r>
    </w:p>
    <w:p w14:paraId="46218666" w14:textId="77777777" w:rsidR="002C3F5B" w:rsidRPr="002F0BD6" w:rsidRDefault="002C3F5B" w:rsidP="002C3F5B">
      <w:pPr>
        <w:pStyle w:val="EndNoteBibliography"/>
        <w:spacing w:after="0"/>
        <w:ind w:left="720" w:hanging="720"/>
      </w:pPr>
      <w:r w:rsidRPr="002F0BD6">
        <w:t xml:space="preserve">Pedler, M. and Aspinwall, K. (1998), </w:t>
      </w:r>
      <w:r w:rsidRPr="002F0BD6">
        <w:rPr>
          <w:i/>
        </w:rPr>
        <w:t xml:space="preserve">A concise guide to the learning organization, </w:t>
      </w:r>
      <w:r w:rsidRPr="002F0BD6">
        <w:t>Lemos &amp; Crane, London.</w:t>
      </w:r>
    </w:p>
    <w:p w14:paraId="0F2DD89D" w14:textId="77777777" w:rsidR="002C3F5B" w:rsidRPr="002F0BD6" w:rsidRDefault="002C3F5B" w:rsidP="002C3F5B">
      <w:pPr>
        <w:pStyle w:val="EndNoteBibliography"/>
        <w:spacing w:after="0"/>
        <w:ind w:left="720" w:hanging="720"/>
      </w:pPr>
      <w:r w:rsidRPr="002F0BD6">
        <w:t xml:space="preserve">Pedler, M., Burgoyne, J. and Boydell, T. (1991), </w:t>
      </w:r>
      <w:r w:rsidRPr="002F0BD6">
        <w:rPr>
          <w:i/>
        </w:rPr>
        <w:t xml:space="preserve">The learning company: A strategy for sustainable growth, </w:t>
      </w:r>
      <w:r w:rsidRPr="002F0BD6">
        <w:t>McGraw-Hill, London.</w:t>
      </w:r>
    </w:p>
    <w:p w14:paraId="6CDBC58A" w14:textId="77777777" w:rsidR="002C3F5B" w:rsidRPr="002F0BD6" w:rsidRDefault="002C3F5B" w:rsidP="002C3F5B">
      <w:pPr>
        <w:pStyle w:val="EndNoteBibliography"/>
        <w:spacing w:after="0"/>
        <w:ind w:left="720" w:hanging="720"/>
      </w:pPr>
      <w:r w:rsidRPr="002F0BD6">
        <w:t xml:space="preserve">Pfeffer, J. (1992), </w:t>
      </w:r>
      <w:r w:rsidRPr="002F0BD6">
        <w:rPr>
          <w:i/>
        </w:rPr>
        <w:t xml:space="preserve">Managing with power: Politics and influence in organizations, </w:t>
      </w:r>
      <w:r w:rsidRPr="002F0BD6">
        <w:t xml:space="preserve">Harvard Business Press, </w:t>
      </w:r>
    </w:p>
    <w:p w14:paraId="46363C6A" w14:textId="77777777" w:rsidR="002C3F5B" w:rsidRPr="002F0BD6" w:rsidRDefault="002C3F5B" w:rsidP="002C3F5B">
      <w:pPr>
        <w:pStyle w:val="EndNoteBibliography"/>
        <w:spacing w:after="0"/>
        <w:ind w:left="720" w:hanging="720"/>
      </w:pPr>
      <w:r w:rsidRPr="002F0BD6">
        <w:t xml:space="preserve">Räsänen, K. (2008), "Meaningful academic work as praxis in emergence", </w:t>
      </w:r>
      <w:r w:rsidRPr="002F0BD6">
        <w:rPr>
          <w:i/>
        </w:rPr>
        <w:t>Journal of Research Practice,</w:t>
      </w:r>
      <w:r w:rsidRPr="002F0BD6">
        <w:t xml:space="preserve"> Vol. 4 No. 1, pp. 1.</w:t>
      </w:r>
    </w:p>
    <w:p w14:paraId="29B87CF6" w14:textId="6B2BC61B" w:rsidR="002C3F5B" w:rsidRPr="002F0BD6" w:rsidRDefault="002C3F5B" w:rsidP="002C3F5B">
      <w:pPr>
        <w:pStyle w:val="EndNoteBibliography"/>
        <w:spacing w:after="0"/>
        <w:ind w:left="720" w:hanging="720"/>
      </w:pPr>
      <w:r w:rsidRPr="002F0BD6">
        <w:t xml:space="preserve">Salancik, G.R. and Pfeffer, J. (1977), "Who gets power – and how they hold onto it: A strategic-contingency model of power", </w:t>
      </w:r>
      <w:r w:rsidRPr="002F0BD6">
        <w:rPr>
          <w:i/>
        </w:rPr>
        <w:t>Organizational Dynamics,</w:t>
      </w:r>
      <w:r w:rsidRPr="002F0BD6">
        <w:t xml:space="preserve"> Vol. 5, pp. 3-21.</w:t>
      </w:r>
    </w:p>
    <w:p w14:paraId="259EA3AA" w14:textId="77777777" w:rsidR="002C3F5B" w:rsidRPr="002F0BD6" w:rsidRDefault="002C3F5B" w:rsidP="002C3F5B">
      <w:pPr>
        <w:pStyle w:val="EndNoteBibliography"/>
        <w:spacing w:after="0"/>
        <w:ind w:left="720" w:hanging="720"/>
      </w:pPr>
      <w:r w:rsidRPr="002F0BD6">
        <w:t xml:space="preserve">Schaffer, R.H. (1953), "Job satisfaction as related to need satisfaction in work", </w:t>
      </w:r>
      <w:r w:rsidRPr="002F0BD6">
        <w:rPr>
          <w:i/>
        </w:rPr>
        <w:t>Psychological Monographs: General and Applied,</w:t>
      </w:r>
      <w:r w:rsidRPr="002F0BD6">
        <w:t xml:space="preserve"> Vol. 67 No. 14, pp. 1-29.</w:t>
      </w:r>
    </w:p>
    <w:p w14:paraId="51F9705F" w14:textId="77777777" w:rsidR="002C3F5B" w:rsidRPr="002F0BD6" w:rsidRDefault="002C3F5B" w:rsidP="002C3F5B">
      <w:pPr>
        <w:pStyle w:val="EndNoteBibliography"/>
        <w:spacing w:after="0"/>
        <w:ind w:left="720" w:hanging="720"/>
      </w:pPr>
      <w:r w:rsidRPr="002F0BD6">
        <w:t xml:space="preserve">Schmitt, N., Cortina, J.M., Ingerick, M.J. and Wiechmann, D. (2003), "Personnel Selection and Employee Performance", In Borman, W.C., Ilgen, D.R., and Klimoski, R.J. (editors), </w:t>
      </w:r>
      <w:r w:rsidRPr="002F0BD6">
        <w:rPr>
          <w:i/>
        </w:rPr>
        <w:t>Handbook of Psychology,</w:t>
      </w:r>
      <w:r w:rsidRPr="002F0BD6">
        <w:t xml:space="preserve"> </w:t>
      </w:r>
      <w:r w:rsidRPr="002F0BD6">
        <w:rPr>
          <w:i/>
        </w:rPr>
        <w:t xml:space="preserve"> </w:t>
      </w:r>
      <w:r w:rsidRPr="002F0BD6">
        <w:t xml:space="preserve"> John Wiley &amp; Sons, Inc., New York, pp. 77-106.</w:t>
      </w:r>
    </w:p>
    <w:p w14:paraId="6958CE84" w14:textId="77777777" w:rsidR="002C3F5B" w:rsidRPr="002F0BD6" w:rsidRDefault="002C3F5B" w:rsidP="002C3F5B">
      <w:pPr>
        <w:pStyle w:val="EndNoteBibliography"/>
        <w:spacing w:after="0"/>
        <w:ind w:left="720" w:hanging="720"/>
      </w:pPr>
      <w:r w:rsidRPr="002F0BD6">
        <w:t xml:space="preserve">Scholz, U., Doña, B.G., Sud, S. and Schwarzer, R. (2002), "Is general self-efficacy a universal construct? Psychometric findings from 25 countries", </w:t>
      </w:r>
      <w:r w:rsidRPr="002F0BD6">
        <w:rPr>
          <w:i/>
        </w:rPr>
        <w:t>European Journal of Psychological Assessment,</w:t>
      </w:r>
      <w:r w:rsidRPr="002F0BD6">
        <w:t xml:space="preserve"> Vol. 18 No. 3, pp. 242-251.</w:t>
      </w:r>
    </w:p>
    <w:p w14:paraId="0EF78E46" w14:textId="77777777" w:rsidR="002C3F5B" w:rsidRPr="002F0BD6" w:rsidRDefault="002C3F5B" w:rsidP="002C3F5B">
      <w:pPr>
        <w:pStyle w:val="EndNoteBibliography"/>
        <w:spacing w:after="0"/>
        <w:ind w:left="720" w:hanging="720"/>
      </w:pPr>
      <w:r w:rsidRPr="002F0BD6">
        <w:t xml:space="preserve">Seijts, G.H. and Latham, G.P. (2000), "The effects of goal setting and group size on performance in a social dilemma", </w:t>
      </w:r>
      <w:r w:rsidRPr="002F0BD6">
        <w:rPr>
          <w:i/>
        </w:rPr>
        <w:t>Canadian Journal of Behavioural Science / Revue canadienne des sciences du comportement,</w:t>
      </w:r>
      <w:r w:rsidRPr="002F0BD6">
        <w:t xml:space="preserve"> Vol. 32 No. 2, pp. 104-116.</w:t>
      </w:r>
    </w:p>
    <w:p w14:paraId="4A19D19F" w14:textId="77777777" w:rsidR="002C3F5B" w:rsidRPr="002F0BD6" w:rsidRDefault="002C3F5B" w:rsidP="002C3F5B">
      <w:pPr>
        <w:pStyle w:val="EndNoteBibliography"/>
        <w:spacing w:after="0"/>
        <w:ind w:left="720" w:hanging="720"/>
      </w:pPr>
      <w:r w:rsidRPr="002F0BD6">
        <w:t xml:space="preserve">Senge, P. (1990), </w:t>
      </w:r>
      <w:r w:rsidRPr="002F0BD6">
        <w:rPr>
          <w:i/>
        </w:rPr>
        <w:t xml:space="preserve">The fifth discipline: The art and science of the learning organization, </w:t>
      </w:r>
      <w:r w:rsidRPr="002F0BD6">
        <w:t>Doubleday, New York.</w:t>
      </w:r>
    </w:p>
    <w:p w14:paraId="5B8B9175" w14:textId="77777777" w:rsidR="002C3F5B" w:rsidRPr="002F0BD6" w:rsidRDefault="002C3F5B" w:rsidP="002C3F5B">
      <w:pPr>
        <w:pStyle w:val="EndNoteBibliography"/>
        <w:spacing w:after="0"/>
        <w:ind w:left="720" w:hanging="720"/>
      </w:pPr>
      <w:r w:rsidRPr="002F0BD6">
        <w:t xml:space="preserve">Simon, H.A. (1965), </w:t>
      </w:r>
      <w:r w:rsidRPr="002F0BD6">
        <w:rPr>
          <w:i/>
        </w:rPr>
        <w:t xml:space="preserve">Administrative behavior, </w:t>
      </w:r>
      <w:r w:rsidRPr="002F0BD6">
        <w:t xml:space="preserve">Vol. 4. Cambridge Univ Press, </w:t>
      </w:r>
    </w:p>
    <w:p w14:paraId="14582766" w14:textId="0D54D6E5" w:rsidR="002C3F5B" w:rsidRPr="002F0BD6" w:rsidRDefault="002C3F5B" w:rsidP="002C3F5B">
      <w:pPr>
        <w:pStyle w:val="EndNoteBibliography"/>
        <w:spacing w:after="0"/>
        <w:ind w:left="720" w:hanging="720"/>
      </w:pPr>
      <w:r w:rsidRPr="002F0BD6">
        <w:t xml:space="preserve">Starbuck, W.H. and Nystrom, P.C. (1997), "Why many firms run into crises, and why some survive", </w:t>
      </w:r>
      <w:r w:rsidRPr="002F0BD6">
        <w:rPr>
          <w:i/>
        </w:rPr>
        <w:t>Documento de trabajo. Stern School of Business Managem</w:t>
      </w:r>
      <w:r w:rsidR="00BF0AE0">
        <w:rPr>
          <w:i/>
        </w:rPr>
        <w:t>ent and Organizational Behavior</w:t>
      </w:r>
    </w:p>
    <w:p w14:paraId="14EC2B21" w14:textId="77777777" w:rsidR="002C3F5B" w:rsidRPr="002F0BD6" w:rsidRDefault="002C3F5B" w:rsidP="002C3F5B">
      <w:pPr>
        <w:pStyle w:val="EndNoteBibliography"/>
        <w:spacing w:after="0"/>
        <w:ind w:left="720" w:hanging="720"/>
      </w:pPr>
      <w:r w:rsidRPr="002F0BD6">
        <w:t xml:space="preserve">Steers, R.M. and Sanchez-Runde, C. (2002), "Culture, motivation, and work behavior", In Gannon, M.J. and Newman, K.L. (editors), </w:t>
      </w:r>
      <w:r w:rsidRPr="002F0BD6">
        <w:rPr>
          <w:i/>
        </w:rPr>
        <w:t>The Blackwell Handbook of Cross-Cultural Management,,</w:t>
      </w:r>
      <w:r w:rsidRPr="002F0BD6">
        <w:t xml:space="preserve"> </w:t>
      </w:r>
      <w:r w:rsidRPr="002F0BD6">
        <w:rPr>
          <w:i/>
        </w:rPr>
        <w:t xml:space="preserve"> </w:t>
      </w:r>
      <w:r w:rsidRPr="002F0BD6">
        <w:t xml:space="preserve"> MPG Books, Bodmin, UK, pp. 190-216.</w:t>
      </w:r>
    </w:p>
    <w:p w14:paraId="433F57DF" w14:textId="42957E6B" w:rsidR="002C3F5B" w:rsidRPr="002F0BD6" w:rsidRDefault="002C3F5B" w:rsidP="002C3F5B">
      <w:pPr>
        <w:pStyle w:val="EndNoteBibliography"/>
        <w:spacing w:after="0"/>
        <w:ind w:left="720" w:hanging="720"/>
      </w:pPr>
      <w:r w:rsidRPr="002F0BD6">
        <w:t xml:space="preserve">Szulanski, G. (1996), "Exploring internal stickiness: Impediments to the transfer of best practice within the firm", </w:t>
      </w:r>
      <w:r w:rsidRPr="002F0BD6">
        <w:rPr>
          <w:i/>
        </w:rPr>
        <w:t>Strategic Management Journal,</w:t>
      </w:r>
      <w:r w:rsidRPr="002F0BD6">
        <w:t xml:space="preserve"> Vol. 17 No. 2, pp. 27-43.</w:t>
      </w:r>
    </w:p>
    <w:p w14:paraId="701AD968" w14:textId="77777777" w:rsidR="002C3F5B" w:rsidRPr="002F0BD6" w:rsidRDefault="002C3F5B" w:rsidP="002C3F5B">
      <w:pPr>
        <w:pStyle w:val="EndNoteBibliography"/>
        <w:spacing w:after="0"/>
        <w:ind w:left="720" w:hanging="720"/>
      </w:pPr>
      <w:r w:rsidRPr="002F0BD6">
        <w:lastRenderedPageBreak/>
        <w:t xml:space="preserve">Vancouver, J.B., Thompson, C.M. and Williams, A.A. (2001), "The changing signs in the relationships among self-efficacy, personal goals, and performance", </w:t>
      </w:r>
      <w:r w:rsidRPr="002F0BD6">
        <w:rPr>
          <w:i/>
        </w:rPr>
        <w:t>Journal of Applied Psychology,</w:t>
      </w:r>
      <w:r w:rsidRPr="002F0BD6">
        <w:t xml:space="preserve"> Vol. 86 No. 4, pp. 605-620.</w:t>
      </w:r>
    </w:p>
    <w:p w14:paraId="51134AFD" w14:textId="77777777" w:rsidR="002C3F5B" w:rsidRPr="002F0BD6" w:rsidRDefault="002C3F5B" w:rsidP="002C3F5B">
      <w:pPr>
        <w:pStyle w:val="EndNoteBibliography"/>
        <w:spacing w:after="0"/>
        <w:ind w:left="720" w:hanging="720"/>
      </w:pPr>
      <w:r w:rsidRPr="002F0BD6">
        <w:t xml:space="preserve">Verplanken, B. and Holland, R.W. (2002), "Motivated decision making: effects of activation and self-centrality of values on choices and behavior", </w:t>
      </w:r>
      <w:r w:rsidRPr="002F0BD6">
        <w:rPr>
          <w:i/>
        </w:rPr>
        <w:t>Journal of personality and social psychology,</w:t>
      </w:r>
      <w:r w:rsidRPr="002F0BD6">
        <w:t xml:space="preserve"> Vol. 82 No. 3, pp. 434-447.</w:t>
      </w:r>
    </w:p>
    <w:p w14:paraId="6C30AE70" w14:textId="77777777" w:rsidR="002C3F5B" w:rsidRPr="002F0BD6" w:rsidRDefault="002C3F5B" w:rsidP="002C3F5B">
      <w:pPr>
        <w:pStyle w:val="EndNoteBibliography"/>
        <w:spacing w:after="0"/>
        <w:ind w:left="720" w:hanging="720"/>
      </w:pPr>
      <w:r w:rsidRPr="002F0BD6">
        <w:t xml:space="preserve">Watkins, K.E. (2005), "What would be different if higher educational institutions were learning organizations?", </w:t>
      </w:r>
      <w:r w:rsidRPr="002F0BD6">
        <w:rPr>
          <w:i/>
        </w:rPr>
        <w:t>Advances in Developing Human Resources,</w:t>
      </w:r>
      <w:r w:rsidRPr="002F0BD6">
        <w:t xml:space="preserve"> Vol. 7 No. 3, pp. 414-421.</w:t>
      </w:r>
    </w:p>
    <w:p w14:paraId="22A0F96C" w14:textId="460EEE7A" w:rsidR="002C3F5B" w:rsidRPr="002F0BD6" w:rsidRDefault="002C3F5B" w:rsidP="002C3F5B">
      <w:pPr>
        <w:pStyle w:val="EndNoteBibliography"/>
        <w:spacing w:after="0"/>
        <w:ind w:left="720" w:hanging="720"/>
      </w:pPr>
      <w:r w:rsidRPr="002F0BD6">
        <w:t xml:space="preserve">Watkins, K.E. and Marsick, V.J. (1993), </w:t>
      </w:r>
      <w:r w:rsidRPr="002F0BD6">
        <w:rPr>
          <w:i/>
        </w:rPr>
        <w:t xml:space="preserve">Sculpting the learning organization: Lessons in the art and science of systemic change, </w:t>
      </w:r>
      <w:r w:rsidRPr="002F0BD6">
        <w:t xml:space="preserve">ERIC </w:t>
      </w:r>
    </w:p>
    <w:p w14:paraId="148D6C18" w14:textId="77777777" w:rsidR="002C3F5B" w:rsidRPr="002F0BD6" w:rsidRDefault="002C3F5B" w:rsidP="002C3F5B">
      <w:pPr>
        <w:pStyle w:val="EndNoteBibliography"/>
        <w:spacing w:after="0"/>
        <w:ind w:left="720" w:hanging="720"/>
      </w:pPr>
      <w:r w:rsidRPr="002F0BD6">
        <w:t xml:space="preserve">Watson, S.R. (2000), "Why is it that management academics rarely advise on the management of their own institutions?", </w:t>
      </w:r>
      <w:r w:rsidRPr="002F0BD6">
        <w:rPr>
          <w:i/>
        </w:rPr>
        <w:t>Human Resource Development International,</w:t>
      </w:r>
      <w:r w:rsidRPr="002F0BD6">
        <w:t xml:space="preserve"> Vol. 3 No. 1, pp. 89-100.</w:t>
      </w:r>
    </w:p>
    <w:p w14:paraId="10788F9E" w14:textId="77777777" w:rsidR="002C3F5B" w:rsidRPr="002F0BD6" w:rsidRDefault="002C3F5B" w:rsidP="002C3F5B">
      <w:pPr>
        <w:pStyle w:val="EndNoteBibliography"/>
        <w:spacing w:after="0"/>
        <w:ind w:left="720" w:hanging="720"/>
      </w:pPr>
      <w:r w:rsidRPr="002F0BD6">
        <w:t xml:space="preserve">Weiner, B. (1985), "An attributional theory of achievement motivation and emotion", </w:t>
      </w:r>
      <w:r w:rsidRPr="002F0BD6">
        <w:rPr>
          <w:i/>
        </w:rPr>
        <w:t>Psychological review,</w:t>
      </w:r>
      <w:r w:rsidRPr="002F0BD6">
        <w:t xml:space="preserve"> Vol. 92 No. 4, pp. 548-573.</w:t>
      </w:r>
    </w:p>
    <w:p w14:paraId="7C2A4B07" w14:textId="77777777" w:rsidR="002C3F5B" w:rsidRPr="002F0BD6" w:rsidRDefault="002C3F5B" w:rsidP="002C3F5B">
      <w:pPr>
        <w:pStyle w:val="EndNoteBibliography"/>
        <w:spacing w:after="0"/>
        <w:ind w:left="720" w:hanging="720"/>
      </w:pPr>
      <w:r w:rsidRPr="002F0BD6">
        <w:t xml:space="preserve">West, P. (1994), "The concept of the learning organization", </w:t>
      </w:r>
      <w:r w:rsidRPr="002F0BD6">
        <w:rPr>
          <w:i/>
        </w:rPr>
        <w:t>Journal of European Industrial Training,</w:t>
      </w:r>
      <w:r w:rsidRPr="002F0BD6">
        <w:t xml:space="preserve"> Vol. 18 No. 1, pp. 15-21.</w:t>
      </w:r>
    </w:p>
    <w:p w14:paraId="243A6C7B" w14:textId="77777777" w:rsidR="00A872C5" w:rsidRDefault="00A872C5" w:rsidP="002C3F5B"/>
    <w:sectPr w:rsidR="00A872C5" w:rsidSect="00F424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388D" w14:textId="77777777" w:rsidR="00B01299" w:rsidRDefault="00B01299">
      <w:pPr>
        <w:spacing w:after="0" w:line="240" w:lineRule="auto"/>
      </w:pPr>
      <w:r>
        <w:separator/>
      </w:r>
    </w:p>
  </w:endnote>
  <w:endnote w:type="continuationSeparator" w:id="0">
    <w:p w14:paraId="1AB04491" w14:textId="77777777" w:rsidR="00B01299" w:rsidRDefault="00B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RealpageGAL1">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2321C" w14:textId="77777777" w:rsidR="00B01299" w:rsidRDefault="00B01299">
      <w:pPr>
        <w:spacing w:after="0" w:line="240" w:lineRule="auto"/>
      </w:pPr>
      <w:r>
        <w:separator/>
      </w:r>
    </w:p>
  </w:footnote>
  <w:footnote w:type="continuationSeparator" w:id="0">
    <w:p w14:paraId="0E176011" w14:textId="77777777" w:rsidR="00B01299" w:rsidRDefault="00B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938533"/>
      <w:docPartObj>
        <w:docPartGallery w:val="Page Numbers (Top of Page)"/>
        <w:docPartUnique/>
      </w:docPartObj>
    </w:sdtPr>
    <w:sdtEndPr/>
    <w:sdtContent>
      <w:p w14:paraId="11018D46" w14:textId="7B0F7CBA" w:rsidR="00F4246E" w:rsidRDefault="00F4246E">
        <w:pPr>
          <w:pStyle w:val="Topptekst"/>
          <w:jc w:val="right"/>
        </w:pPr>
        <w:r>
          <w:fldChar w:fldCharType="begin"/>
        </w:r>
        <w:r>
          <w:instrText>PAGE   \* MERGEFORMAT</w:instrText>
        </w:r>
        <w:r>
          <w:fldChar w:fldCharType="separate"/>
        </w:r>
        <w:r w:rsidR="00644A9F" w:rsidRPr="00644A9F">
          <w:rPr>
            <w:noProof/>
            <w:lang w:val="nb-NO"/>
          </w:rPr>
          <w:t>2</w:t>
        </w:r>
        <w:r>
          <w:fldChar w:fldCharType="end"/>
        </w:r>
      </w:p>
    </w:sdtContent>
  </w:sdt>
  <w:p w14:paraId="039579F2" w14:textId="77777777" w:rsidR="00F4246E" w:rsidRDefault="00F424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8A6"/>
    <w:multiLevelType w:val="hybridMultilevel"/>
    <w:tmpl w:val="96E0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240F0"/>
    <w:multiLevelType w:val="hybridMultilevel"/>
    <w:tmpl w:val="777C355E"/>
    <w:lvl w:ilvl="0" w:tplc="286042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D771A"/>
    <w:multiLevelType w:val="hybridMultilevel"/>
    <w:tmpl w:val="47DA0B58"/>
    <w:lvl w:ilvl="0" w:tplc="A2FAE79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543B"/>
    <w:multiLevelType w:val="hybridMultilevel"/>
    <w:tmpl w:val="45B6C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202B2"/>
    <w:multiLevelType w:val="hybridMultilevel"/>
    <w:tmpl w:val="68A0583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33FFE"/>
    <w:rsid w:val="00011CE9"/>
    <w:rsid w:val="00111DD7"/>
    <w:rsid w:val="00111E77"/>
    <w:rsid w:val="0012217D"/>
    <w:rsid w:val="001808EC"/>
    <w:rsid w:val="001D455B"/>
    <w:rsid w:val="00215D12"/>
    <w:rsid w:val="002354EC"/>
    <w:rsid w:val="00270607"/>
    <w:rsid w:val="00295FEA"/>
    <w:rsid w:val="002C3F5B"/>
    <w:rsid w:val="003002B5"/>
    <w:rsid w:val="004C4EF3"/>
    <w:rsid w:val="00505CC9"/>
    <w:rsid w:val="00510E60"/>
    <w:rsid w:val="00612383"/>
    <w:rsid w:val="00644A9F"/>
    <w:rsid w:val="00674539"/>
    <w:rsid w:val="0067608B"/>
    <w:rsid w:val="007170EE"/>
    <w:rsid w:val="00741780"/>
    <w:rsid w:val="00884128"/>
    <w:rsid w:val="008850CF"/>
    <w:rsid w:val="008B1DEC"/>
    <w:rsid w:val="009335CF"/>
    <w:rsid w:val="009D09D2"/>
    <w:rsid w:val="00A673C3"/>
    <w:rsid w:val="00A8613E"/>
    <w:rsid w:val="00A872C5"/>
    <w:rsid w:val="00B01299"/>
    <w:rsid w:val="00B33FFE"/>
    <w:rsid w:val="00B871EE"/>
    <w:rsid w:val="00BA6A1C"/>
    <w:rsid w:val="00BA78FF"/>
    <w:rsid w:val="00BC17B6"/>
    <w:rsid w:val="00BF0AE0"/>
    <w:rsid w:val="00CA3E46"/>
    <w:rsid w:val="00D4139A"/>
    <w:rsid w:val="00D5301C"/>
    <w:rsid w:val="00D717B0"/>
    <w:rsid w:val="00DF5DE0"/>
    <w:rsid w:val="00E35290"/>
    <w:rsid w:val="00F24FDC"/>
    <w:rsid w:val="00F34D92"/>
    <w:rsid w:val="00F4246E"/>
    <w:rsid w:val="00FD07F1"/>
    <w:rsid w:val="00FF3DD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6DFE"/>
  <w15:docId w15:val="{A5F5D5F2-D16E-4339-BB94-4319F22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FFE"/>
    <w:pPr>
      <w:spacing w:after="200" w:line="276" w:lineRule="auto"/>
    </w:pPr>
    <w:rPr>
      <w:rFonts w:eastAsiaTheme="minorEastAsia"/>
      <w:lang w:val="en-US"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33FFE"/>
    <w:pPr>
      <w:ind w:left="720"/>
      <w:contextualSpacing/>
    </w:pPr>
  </w:style>
  <w:style w:type="paragraph" w:styleId="Bobletekst">
    <w:name w:val="Balloon Text"/>
    <w:basedOn w:val="Normal"/>
    <w:link w:val="BobletekstTegn"/>
    <w:uiPriority w:val="99"/>
    <w:semiHidden/>
    <w:unhideWhenUsed/>
    <w:rsid w:val="00B33F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33FFE"/>
    <w:rPr>
      <w:rFonts w:ascii="Segoe UI" w:eastAsiaTheme="minorEastAsia" w:hAnsi="Segoe UI" w:cs="Segoe UI"/>
      <w:sz w:val="18"/>
      <w:szCs w:val="18"/>
      <w:lang w:val="en-US" w:eastAsia="zh-CN"/>
    </w:rPr>
  </w:style>
  <w:style w:type="table" w:styleId="Tabellrutenett">
    <w:name w:val="Table Grid"/>
    <w:basedOn w:val="Vanligtabell"/>
    <w:uiPriority w:val="39"/>
    <w:unhideWhenUsed/>
    <w:rsid w:val="00B33FFE"/>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3FFE"/>
    <w:pPr>
      <w:spacing w:before="100" w:beforeAutospacing="1" w:after="100" w:afterAutospacing="1" w:line="240" w:lineRule="auto"/>
    </w:pPr>
    <w:rPr>
      <w:rFonts w:ascii="Times New Roman" w:hAnsi="Times New Roman" w:cs="Times New Roman"/>
      <w:sz w:val="24"/>
      <w:szCs w:val="24"/>
      <w:lang w:eastAsia="en-US"/>
    </w:rPr>
  </w:style>
  <w:style w:type="paragraph" w:styleId="Topptekst">
    <w:name w:val="header"/>
    <w:basedOn w:val="Normal"/>
    <w:link w:val="TopptekstTegn"/>
    <w:uiPriority w:val="99"/>
    <w:unhideWhenUsed/>
    <w:rsid w:val="00B33FFE"/>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B33FFE"/>
    <w:rPr>
      <w:rFonts w:eastAsiaTheme="minorEastAsia"/>
      <w:lang w:val="en-US" w:eastAsia="zh-CN"/>
    </w:rPr>
  </w:style>
  <w:style w:type="paragraph" w:styleId="Bunntekst">
    <w:name w:val="footer"/>
    <w:basedOn w:val="Normal"/>
    <w:link w:val="BunntekstTegn"/>
    <w:uiPriority w:val="99"/>
    <w:unhideWhenUsed/>
    <w:rsid w:val="00B33FFE"/>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B33FFE"/>
    <w:rPr>
      <w:rFonts w:eastAsiaTheme="minorEastAsia"/>
      <w:lang w:val="en-US" w:eastAsia="zh-CN"/>
    </w:rPr>
  </w:style>
  <w:style w:type="paragraph" w:customStyle="1" w:styleId="EndNoteBibliographyTitle">
    <w:name w:val="EndNote Bibliography Title"/>
    <w:basedOn w:val="Normal"/>
    <w:link w:val="EndNoteBibliographyTitleTegn"/>
    <w:rsid w:val="00B33FFE"/>
    <w:pPr>
      <w:spacing w:after="0"/>
      <w:jc w:val="center"/>
    </w:pPr>
    <w:rPr>
      <w:rFonts w:ascii="Calibri" w:hAnsi="Calibri" w:cs="Calibri"/>
      <w:noProof/>
    </w:rPr>
  </w:style>
  <w:style w:type="character" w:customStyle="1" w:styleId="EndNoteBibliographyTitleTegn">
    <w:name w:val="EndNote Bibliography Title Tegn"/>
    <w:basedOn w:val="Standardskriftforavsnitt"/>
    <w:link w:val="EndNoteBibliographyTitle"/>
    <w:rsid w:val="00B33FFE"/>
    <w:rPr>
      <w:rFonts w:ascii="Calibri" w:eastAsiaTheme="minorEastAsia" w:hAnsi="Calibri" w:cs="Calibri"/>
      <w:noProof/>
      <w:lang w:val="en-US" w:eastAsia="zh-CN"/>
    </w:rPr>
  </w:style>
  <w:style w:type="paragraph" w:customStyle="1" w:styleId="EndNoteBibliography">
    <w:name w:val="EndNote Bibliography"/>
    <w:basedOn w:val="Normal"/>
    <w:link w:val="EndNoteBibliographyTegn"/>
    <w:rsid w:val="00B33FFE"/>
    <w:pPr>
      <w:spacing w:line="240" w:lineRule="auto"/>
    </w:pPr>
    <w:rPr>
      <w:rFonts w:ascii="Calibri" w:hAnsi="Calibri" w:cs="Calibri"/>
      <w:noProof/>
    </w:rPr>
  </w:style>
  <w:style w:type="character" w:customStyle="1" w:styleId="EndNoteBibliographyTegn">
    <w:name w:val="EndNote Bibliography Tegn"/>
    <w:basedOn w:val="Standardskriftforavsnitt"/>
    <w:link w:val="EndNoteBibliography"/>
    <w:rsid w:val="00B33FFE"/>
    <w:rPr>
      <w:rFonts w:ascii="Calibri" w:eastAsiaTheme="minorEastAsia" w:hAnsi="Calibri" w:cs="Calibri"/>
      <w:noProof/>
      <w:lang w:val="en-US" w:eastAsia="zh-CN"/>
    </w:rPr>
  </w:style>
  <w:style w:type="character" w:styleId="Merknadsreferanse">
    <w:name w:val="annotation reference"/>
    <w:basedOn w:val="Standardskriftforavsnitt"/>
    <w:uiPriority w:val="99"/>
    <w:semiHidden/>
    <w:unhideWhenUsed/>
    <w:rsid w:val="00B33FFE"/>
    <w:rPr>
      <w:sz w:val="16"/>
      <w:szCs w:val="16"/>
    </w:rPr>
  </w:style>
  <w:style w:type="paragraph" w:styleId="Merknadstekst">
    <w:name w:val="annotation text"/>
    <w:basedOn w:val="Normal"/>
    <w:link w:val="MerknadstekstTegn"/>
    <w:uiPriority w:val="99"/>
    <w:semiHidden/>
    <w:unhideWhenUsed/>
    <w:rsid w:val="00B33FF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33FFE"/>
    <w:rPr>
      <w:rFonts w:eastAsiaTheme="minorEastAsia"/>
      <w:sz w:val="20"/>
      <w:szCs w:val="20"/>
      <w:lang w:val="en-US" w:eastAsia="zh-CN"/>
    </w:rPr>
  </w:style>
  <w:style w:type="paragraph" w:styleId="Kommentaremne">
    <w:name w:val="annotation subject"/>
    <w:basedOn w:val="Merknadstekst"/>
    <w:next w:val="Merknadstekst"/>
    <w:link w:val="KommentaremneTegn"/>
    <w:uiPriority w:val="99"/>
    <w:semiHidden/>
    <w:unhideWhenUsed/>
    <w:rsid w:val="00B33FFE"/>
    <w:rPr>
      <w:b/>
      <w:bCs/>
    </w:rPr>
  </w:style>
  <w:style w:type="character" w:customStyle="1" w:styleId="KommentaremneTegn">
    <w:name w:val="Kommentaremne Tegn"/>
    <w:basedOn w:val="MerknadstekstTegn"/>
    <w:link w:val="Kommentaremne"/>
    <w:uiPriority w:val="99"/>
    <w:semiHidden/>
    <w:rsid w:val="00B33FFE"/>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7737</Words>
  <Characters>41012</Characters>
  <Application>Microsoft Office Word</Application>
  <DocSecurity>0</DocSecurity>
  <Lines>341</Lines>
  <Paragraphs>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IOT</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Nhien Nguyen</cp:lastModifiedBy>
  <cp:revision>3</cp:revision>
  <dcterms:created xsi:type="dcterms:W3CDTF">2017-05-08T11:16:00Z</dcterms:created>
  <dcterms:modified xsi:type="dcterms:W3CDTF">2017-05-08T11:16:00Z</dcterms:modified>
</cp:coreProperties>
</file>