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FA264E" w14:textId="77777777" w:rsidR="005B7669" w:rsidRPr="005B7669" w:rsidRDefault="004A700F" w:rsidP="005B7669">
      <w:pPr>
        <w:pStyle w:val="Heading1"/>
      </w:pPr>
      <w:r>
        <w:t>Rehearsals in work with in-service mathematics teachers</w:t>
      </w:r>
    </w:p>
    <w:p w14:paraId="029C6CC9" w14:textId="1DD4F872" w:rsidR="00F61713" w:rsidRDefault="001B33D8" w:rsidP="00F122EC">
      <w:pPr>
        <w:jc w:val="center"/>
      </w:pPr>
      <w:r w:rsidRPr="001B33D8">
        <w:rPr>
          <w:u w:val="single"/>
        </w:rPr>
        <w:t>Anita Valenta</w:t>
      </w:r>
      <w:r w:rsidR="00F61713" w:rsidRPr="00F61713">
        <w:rPr>
          <w:vertAlign w:val="superscript"/>
        </w:rPr>
        <w:t>1</w:t>
      </w:r>
      <w:r w:rsidR="00F61713">
        <w:t xml:space="preserve"> and </w:t>
      </w:r>
      <w:r>
        <w:rPr>
          <w:u w:val="single"/>
        </w:rPr>
        <w:t>Kjersti Wæge</w:t>
      </w:r>
      <w:r w:rsidR="000927F0">
        <w:rPr>
          <w:vertAlign w:val="superscript"/>
        </w:rPr>
        <w:t>2</w:t>
      </w:r>
    </w:p>
    <w:p w14:paraId="5D7A9311" w14:textId="6189B580" w:rsidR="000779CD" w:rsidRDefault="00F61713" w:rsidP="000779CD">
      <w:pPr>
        <w:jc w:val="center"/>
      </w:pPr>
      <w:r w:rsidRPr="00904E1A">
        <w:rPr>
          <w:vertAlign w:val="superscript"/>
        </w:rPr>
        <w:t>1</w:t>
      </w:r>
      <w:r w:rsidR="00520235" w:rsidRPr="00520235">
        <w:t xml:space="preserve"> </w:t>
      </w:r>
      <w:r w:rsidR="00520235">
        <w:t>Norwegian Centre for Mathematics Education, N</w:t>
      </w:r>
      <w:r w:rsidR="00520235" w:rsidRPr="009C59FA">
        <w:t>orwegian University of Science and Technology</w:t>
      </w:r>
      <w:r w:rsidR="000927F0">
        <w:t xml:space="preserve"> (NTNU)</w:t>
      </w:r>
      <w:r w:rsidR="001B33D8">
        <w:t>, Norway</w:t>
      </w:r>
      <w:r>
        <w:t xml:space="preserve">; </w:t>
      </w:r>
      <w:hyperlink r:id="rId8" w:history="1">
        <w:r w:rsidR="000779CD" w:rsidRPr="00693564">
          <w:rPr>
            <w:rStyle w:val="Hyperlink"/>
          </w:rPr>
          <w:t>anita.valenta@matematikksenteret.no</w:t>
        </w:r>
      </w:hyperlink>
    </w:p>
    <w:p w14:paraId="296DDF64" w14:textId="3116460C" w:rsidR="000779CD" w:rsidRDefault="000927F0" w:rsidP="00391490">
      <w:pPr>
        <w:jc w:val="center"/>
        <w:rPr>
          <w:i/>
        </w:rPr>
      </w:pPr>
      <w:r>
        <w:rPr>
          <w:vertAlign w:val="superscript"/>
        </w:rPr>
        <w:t>2</w:t>
      </w:r>
      <w:r>
        <w:t xml:space="preserve">Norwegian Centre for Mathematics Education, </w:t>
      </w:r>
      <w:r w:rsidR="00391490">
        <w:t>N</w:t>
      </w:r>
      <w:r w:rsidR="00391490" w:rsidRPr="009C59FA">
        <w:t>orwegian University of Science and Technology</w:t>
      </w:r>
      <w:r w:rsidR="00391490">
        <w:t xml:space="preserve"> (NTNU),</w:t>
      </w:r>
      <w:r>
        <w:t xml:space="preserve"> Norway</w:t>
      </w:r>
      <w:r w:rsidR="009C797B">
        <w:t xml:space="preserve">; </w:t>
      </w:r>
      <w:hyperlink r:id="rId9" w:history="1">
        <w:r w:rsidR="000779CD" w:rsidRPr="00693564">
          <w:rPr>
            <w:rStyle w:val="Hyperlink"/>
          </w:rPr>
          <w:t>kjersti.wage@matematikksenteret.no</w:t>
        </w:r>
      </w:hyperlink>
    </w:p>
    <w:p w14:paraId="5543A160" w14:textId="77777777" w:rsidR="000779CD" w:rsidRDefault="000779CD" w:rsidP="000779CD">
      <w:pPr>
        <w:jc w:val="center"/>
        <w:rPr>
          <w:i/>
        </w:rPr>
      </w:pPr>
    </w:p>
    <w:p w14:paraId="4FA2A2C6" w14:textId="07570C7C" w:rsidR="00492E72" w:rsidRPr="006F3DF0" w:rsidRDefault="004A3158" w:rsidP="006F3DF0">
      <w:pPr>
        <w:rPr>
          <w:i/>
        </w:rPr>
      </w:pPr>
      <w:r w:rsidRPr="004A3158">
        <w:rPr>
          <w:i/>
        </w:rPr>
        <w:t xml:space="preserve">An approach </w:t>
      </w:r>
      <w:r w:rsidR="002E7F9D">
        <w:rPr>
          <w:i/>
        </w:rPr>
        <w:t>that</w:t>
      </w:r>
      <w:r w:rsidRPr="004A3158">
        <w:rPr>
          <w:i/>
        </w:rPr>
        <w:t xml:space="preserve"> has shown to give</w:t>
      </w:r>
      <w:r w:rsidR="009839AA" w:rsidRPr="009839AA">
        <w:rPr>
          <w:i/>
        </w:rPr>
        <w:t xml:space="preserve"> </w:t>
      </w:r>
      <w:r w:rsidR="009839AA" w:rsidRPr="004A3158">
        <w:rPr>
          <w:i/>
        </w:rPr>
        <w:t>pre-service teachers</w:t>
      </w:r>
      <w:r w:rsidRPr="004A3158">
        <w:rPr>
          <w:i/>
        </w:rPr>
        <w:t xml:space="preserve"> rich opportun</w:t>
      </w:r>
      <w:r w:rsidR="009839AA">
        <w:rPr>
          <w:i/>
        </w:rPr>
        <w:t>ities for learning to teach mathematics is through a</w:t>
      </w:r>
      <w:r w:rsidRPr="004A3158">
        <w:rPr>
          <w:i/>
        </w:rPr>
        <w:t xml:space="preserve"> cycle of enactment and investigation. An </w:t>
      </w:r>
      <w:r w:rsidR="000779CD">
        <w:rPr>
          <w:i/>
        </w:rPr>
        <w:t>important part of the cycle is</w:t>
      </w:r>
      <w:r w:rsidRPr="004A3158">
        <w:rPr>
          <w:i/>
        </w:rPr>
        <w:t xml:space="preserve"> rehearsal where novices rehearse their plans for enacting particular instructional </w:t>
      </w:r>
      <w:r w:rsidR="00C643D2">
        <w:rPr>
          <w:i/>
        </w:rPr>
        <w:t xml:space="preserve">activity in front of their </w:t>
      </w:r>
      <w:r w:rsidR="00C643D2" w:rsidRPr="00241DC3">
        <w:rPr>
          <w:i/>
        </w:rPr>
        <w:t>peer pre-service teachers</w:t>
      </w:r>
      <w:r w:rsidRPr="00241DC3">
        <w:rPr>
          <w:i/>
        </w:rPr>
        <w:t>.</w:t>
      </w:r>
      <w:r w:rsidRPr="004A3158">
        <w:rPr>
          <w:i/>
        </w:rPr>
        <w:t xml:space="preserve"> The peers and the </w:t>
      </w:r>
      <w:r w:rsidR="00E0647B">
        <w:rPr>
          <w:i/>
        </w:rPr>
        <w:t>course instructor</w:t>
      </w:r>
      <w:r w:rsidRPr="004A3158">
        <w:rPr>
          <w:i/>
        </w:rPr>
        <w:t xml:space="preserve"> take part in the rehearsal a</w:t>
      </w:r>
      <w:r>
        <w:rPr>
          <w:i/>
        </w:rPr>
        <w:t>s students, and</w:t>
      </w:r>
      <w:r w:rsidRPr="004A3158">
        <w:rPr>
          <w:i/>
        </w:rPr>
        <w:t xml:space="preserve"> every participant can</w:t>
      </w:r>
      <w:r w:rsidR="002E7F9D">
        <w:rPr>
          <w:i/>
        </w:rPr>
        <w:t xml:space="preserve"> stop the activity for</w:t>
      </w:r>
      <w:r w:rsidRPr="004A3158">
        <w:rPr>
          <w:i/>
        </w:rPr>
        <w:t xml:space="preserve"> discussion on different aspects in teaching</w:t>
      </w:r>
      <w:r w:rsidR="002E7F9D">
        <w:rPr>
          <w:i/>
        </w:rPr>
        <w:t xml:space="preserve">. We </w:t>
      </w:r>
      <w:r w:rsidR="002E7F9D" w:rsidRPr="002E7F9D">
        <w:rPr>
          <w:i/>
        </w:rPr>
        <w:t xml:space="preserve">build on the approach developed for pre-service teachers, and </w:t>
      </w:r>
      <w:r w:rsidR="002E7F9D">
        <w:rPr>
          <w:i/>
        </w:rPr>
        <w:t>work</w:t>
      </w:r>
      <w:r w:rsidR="002E7F9D" w:rsidRPr="002E7F9D">
        <w:rPr>
          <w:i/>
        </w:rPr>
        <w:t xml:space="preserve"> on the adoption and development </w:t>
      </w:r>
      <w:r w:rsidR="002E7F9D">
        <w:rPr>
          <w:i/>
        </w:rPr>
        <w:t>of the approach</w:t>
      </w:r>
      <w:r w:rsidR="002E7F9D" w:rsidRPr="002E7F9D">
        <w:rPr>
          <w:i/>
        </w:rPr>
        <w:t xml:space="preserve"> for work with in-service teachers in Norway. </w:t>
      </w:r>
      <w:r w:rsidR="002E7F9D">
        <w:rPr>
          <w:i/>
        </w:rPr>
        <w:t>T</w:t>
      </w:r>
      <w:r w:rsidR="002E7F9D" w:rsidRPr="002E7F9D">
        <w:rPr>
          <w:i/>
        </w:rPr>
        <w:t>his paper reports</w:t>
      </w:r>
      <w:r w:rsidR="002E7F9D">
        <w:rPr>
          <w:i/>
        </w:rPr>
        <w:t xml:space="preserve"> from a</w:t>
      </w:r>
      <w:r w:rsidR="002E7F9D" w:rsidRPr="002E7F9D">
        <w:rPr>
          <w:i/>
        </w:rPr>
        <w:t xml:space="preserve"> pilot </w:t>
      </w:r>
      <w:r w:rsidR="00BE4C2A">
        <w:rPr>
          <w:i/>
        </w:rPr>
        <w:t xml:space="preserve">that was </w:t>
      </w:r>
      <w:r w:rsidR="00470071">
        <w:rPr>
          <w:i/>
        </w:rPr>
        <w:t>implemented</w:t>
      </w:r>
      <w:r w:rsidR="002E7F9D" w:rsidRPr="002E7F9D">
        <w:rPr>
          <w:i/>
        </w:rPr>
        <w:t xml:space="preserve"> with a</w:t>
      </w:r>
      <w:r w:rsidR="00BE4C2A">
        <w:rPr>
          <w:i/>
        </w:rPr>
        <w:t xml:space="preserve"> group of in-service teachers</w:t>
      </w:r>
      <w:r w:rsidR="002E7F9D" w:rsidRPr="002E7F9D">
        <w:rPr>
          <w:i/>
        </w:rPr>
        <w:t xml:space="preserve">. </w:t>
      </w:r>
      <w:r w:rsidR="00470071">
        <w:rPr>
          <w:i/>
        </w:rPr>
        <w:t>Our research question</w:t>
      </w:r>
      <w:r w:rsidR="00470071" w:rsidRPr="002E7F9D">
        <w:rPr>
          <w:i/>
        </w:rPr>
        <w:t xml:space="preserve"> concerns interactions between in-service teachers and course instructors during the rehearsals and</w:t>
      </w:r>
      <w:r w:rsidR="00470071">
        <w:rPr>
          <w:i/>
        </w:rPr>
        <w:t xml:space="preserve"> in-service teachers´</w:t>
      </w:r>
      <w:r w:rsidR="00470071" w:rsidRPr="002E7F9D">
        <w:rPr>
          <w:i/>
        </w:rPr>
        <w:t xml:space="preserve"> opportunities for learning in rehearsals</w:t>
      </w:r>
      <w:r w:rsidR="00470071">
        <w:t>.</w:t>
      </w:r>
    </w:p>
    <w:p w14:paraId="6BA0A485" w14:textId="37D1B3B3" w:rsidR="00F0148C" w:rsidRPr="00CE7C16" w:rsidRDefault="00F0148C" w:rsidP="00AD60D4">
      <w:pPr>
        <w:rPr>
          <w:i/>
        </w:rPr>
      </w:pPr>
      <w:r w:rsidRPr="00CE7C16">
        <w:rPr>
          <w:i/>
        </w:rPr>
        <w:t xml:space="preserve">Keywords: </w:t>
      </w:r>
      <w:r w:rsidR="00AD60D4">
        <w:rPr>
          <w:i/>
        </w:rPr>
        <w:t>Rehearsals, in-service teachers, ambitious teaching</w:t>
      </w:r>
      <w:r w:rsidR="000A2C11">
        <w:rPr>
          <w:i/>
        </w:rPr>
        <w:t>.</w:t>
      </w:r>
    </w:p>
    <w:p w14:paraId="42F388EE" w14:textId="312E7D9B" w:rsidR="00520235" w:rsidRDefault="007F344D" w:rsidP="007F344D">
      <w:pPr>
        <w:pStyle w:val="Heading2"/>
      </w:pPr>
      <w:r>
        <w:t xml:space="preserve">Introduction </w:t>
      </w:r>
    </w:p>
    <w:p w14:paraId="53A847C7" w14:textId="66D71EF4" w:rsidR="002D0A2C" w:rsidRDefault="00BB6D02" w:rsidP="00F438C7">
      <w:r>
        <w:t>The aim of mathematics instruction is development of</w:t>
      </w:r>
      <w:r w:rsidR="00F438C7" w:rsidRPr="001A2FF1">
        <w:t xml:space="preserve"> </w:t>
      </w:r>
      <w:r w:rsidR="006E13AB">
        <w:t xml:space="preserve">broad </w:t>
      </w:r>
      <w:r w:rsidR="00F438C7" w:rsidRPr="001A2FF1">
        <w:t>ma</w:t>
      </w:r>
      <w:r w:rsidR="003E5C3C">
        <w:t>thematical proficiency</w:t>
      </w:r>
      <w:r w:rsidR="00F438C7" w:rsidRPr="001A2FF1">
        <w:t xml:space="preserve"> characterized by conceptual understanding, </w:t>
      </w:r>
      <w:r w:rsidR="00BA163F">
        <w:t xml:space="preserve">procedural fluency, </w:t>
      </w:r>
      <w:r w:rsidR="00F438C7" w:rsidRPr="001A2FF1">
        <w:t>adaptive reasoning</w:t>
      </w:r>
      <w:r w:rsidR="003E5C3C">
        <w:t>, strategic competance</w:t>
      </w:r>
      <w:r w:rsidR="00F438C7" w:rsidRPr="001A2FF1">
        <w:t xml:space="preserve"> </w:t>
      </w:r>
      <w:r w:rsidR="00F438C7">
        <w:t xml:space="preserve">and </w:t>
      </w:r>
      <w:r w:rsidR="00F438C7" w:rsidRPr="001A2FF1">
        <w:t xml:space="preserve">productive disposition </w:t>
      </w:r>
      <w:r w:rsidR="008D0EA7">
        <w:t xml:space="preserve">to </w:t>
      </w:r>
      <w:r w:rsidR="00F438C7" w:rsidRPr="001A2FF1">
        <w:t>mathematics</w:t>
      </w:r>
      <w:r w:rsidR="006E13AB">
        <w:t xml:space="preserve"> (</w:t>
      </w:r>
      <w:r w:rsidR="00F438C7" w:rsidRPr="001A2FF1">
        <w:t>Kilpatrick, Swafford, &amp; Findell, 2001). This ambitious goal leads to a more demanding, and thus ambitious</w:t>
      </w:r>
      <w:r w:rsidR="006147F4">
        <w:t>,</w:t>
      </w:r>
      <w:r w:rsidR="00F438C7" w:rsidRPr="001A2FF1">
        <w:t xml:space="preserve"> conception of mathematics teaching</w:t>
      </w:r>
      <w:r w:rsidR="00F438C7" w:rsidRPr="00F438C7">
        <w:t>.</w:t>
      </w:r>
      <w:r w:rsidR="00F438C7" w:rsidRPr="001A2FF1">
        <w:t xml:space="preserve"> </w:t>
      </w:r>
      <w:r w:rsidR="00F438C7">
        <w:t xml:space="preserve">In this paper </w:t>
      </w:r>
      <w:r w:rsidR="00F438C7" w:rsidRPr="008F3837">
        <w:t xml:space="preserve">we aim to add </w:t>
      </w:r>
      <w:r w:rsidR="00562953" w:rsidRPr="008F3837">
        <w:t xml:space="preserve">to </w:t>
      </w:r>
      <w:r w:rsidR="008F3837" w:rsidRPr="008F3837">
        <w:t xml:space="preserve">the </w:t>
      </w:r>
      <w:r w:rsidR="00562953" w:rsidRPr="008F3837">
        <w:t xml:space="preserve">existing </w:t>
      </w:r>
      <w:r w:rsidR="00F438C7" w:rsidRPr="008F3837">
        <w:t xml:space="preserve">knowledge </w:t>
      </w:r>
      <w:r w:rsidR="008F3837" w:rsidRPr="008F3837">
        <w:t xml:space="preserve">base </w:t>
      </w:r>
      <w:r w:rsidR="00F438C7" w:rsidRPr="008F3837">
        <w:t>about h</w:t>
      </w:r>
      <w:r w:rsidR="006A195E" w:rsidRPr="008F3837">
        <w:t xml:space="preserve">ow teacher </w:t>
      </w:r>
      <w:r w:rsidR="00470071" w:rsidRPr="008F3837">
        <w:t>education</w:t>
      </w:r>
      <w:r w:rsidR="00F438C7" w:rsidRPr="008F3837">
        <w:t xml:space="preserve"> can support in-service</w:t>
      </w:r>
      <w:r w:rsidR="00F438C7" w:rsidRPr="001A2FF1">
        <w:t xml:space="preserve"> </w:t>
      </w:r>
      <w:r w:rsidR="006A195E">
        <w:t xml:space="preserve">mathematics </w:t>
      </w:r>
      <w:r w:rsidR="00F438C7" w:rsidRPr="001A2FF1">
        <w:t>teachers to learn the work of ambitious mathematics teaching</w:t>
      </w:r>
      <w:r w:rsidR="00F438C7">
        <w:t>.</w:t>
      </w:r>
      <w:r w:rsidR="00F438C7" w:rsidRPr="001A2FF1">
        <w:t xml:space="preserve"> </w:t>
      </w:r>
    </w:p>
    <w:p w14:paraId="20465E0A" w14:textId="19818A1C" w:rsidR="00B10B19" w:rsidRDefault="00627B43" w:rsidP="00562953">
      <w:r>
        <w:t xml:space="preserve">In the Mastering Ambitious Mathematics Teaching (MAM) project we develop a </w:t>
      </w:r>
      <w:r w:rsidR="002D0A2C">
        <w:t>course for</w:t>
      </w:r>
      <w:r>
        <w:t xml:space="preserve"> in-service mathematics teachers in Norway.</w:t>
      </w:r>
      <w:r w:rsidR="002D0A2C">
        <w:t xml:space="preserve"> </w:t>
      </w:r>
      <w:r w:rsidR="00F438C7" w:rsidRPr="00F438C7">
        <w:t xml:space="preserve">In designing our </w:t>
      </w:r>
      <w:r w:rsidR="00470071" w:rsidRPr="00F438C7">
        <w:t>intervention,</w:t>
      </w:r>
      <w:r w:rsidR="00F438C7" w:rsidRPr="00F438C7">
        <w:t xml:space="preserve"> </w:t>
      </w:r>
      <w:r w:rsidR="00BB6D02">
        <w:t>we take</w:t>
      </w:r>
      <w:r w:rsidR="00F438C7" w:rsidRPr="00F438C7">
        <w:t xml:space="preserve"> our lead from the Learning in, from, and for Teaching Practice (LTP) te</w:t>
      </w:r>
      <w:bookmarkStart w:id="0" w:name="_GoBack"/>
      <w:bookmarkEnd w:id="0"/>
      <w:r w:rsidR="00F438C7" w:rsidRPr="00F438C7">
        <w:t>acher education project (see Kazemi &amp; Hubbard, 2008; Kazemi, Lampert</w:t>
      </w:r>
      <w:r w:rsidR="000A1791">
        <w:t>,</w:t>
      </w:r>
      <w:r w:rsidR="00F438C7" w:rsidRPr="00F438C7">
        <w:t xml:space="preserve"> &amp; Franke, 2009; Lampert et al., 2010; Lampert et al., 2013; Kazemi &amp; Wæge, 2015). Central in the LTP-practice based approach is work with specifically designed instructional activities (IAs) in a cycle of enactment and investigation. A key inno</w:t>
      </w:r>
      <w:r w:rsidR="006A195E">
        <w:t>vative feature of the design is</w:t>
      </w:r>
      <w:r w:rsidR="00F438C7" w:rsidRPr="00F438C7">
        <w:t xml:space="preserve"> the use of public rehear</w:t>
      </w:r>
      <w:r w:rsidR="00C875A0">
        <w:t>sals. In a rehearsal, the pre-service</w:t>
      </w:r>
      <w:r w:rsidR="00F438C7" w:rsidRPr="00F438C7">
        <w:t xml:space="preserve"> teacher is responsible for teaching an IA to a</w:t>
      </w:r>
      <w:r w:rsidR="00091E96">
        <w:t xml:space="preserve"> group of </w:t>
      </w:r>
      <w:r w:rsidR="00091E96" w:rsidRPr="00241DC3">
        <w:t>peer</w:t>
      </w:r>
      <w:r w:rsidR="00EC34DE">
        <w:t xml:space="preserve"> pre-service teachers</w:t>
      </w:r>
      <w:r w:rsidR="00F438C7" w:rsidRPr="00F438C7">
        <w:t xml:space="preserve"> acting as students, with the </w:t>
      </w:r>
      <w:r w:rsidR="00E0647B">
        <w:t>course instructor</w:t>
      </w:r>
      <w:r w:rsidR="00F438C7" w:rsidRPr="00F438C7">
        <w:t xml:space="preserve"> </w:t>
      </w:r>
      <w:r w:rsidR="00562953">
        <w:t>offering guidance</w:t>
      </w:r>
      <w:r w:rsidR="00F438C7" w:rsidRPr="00F438C7">
        <w:t xml:space="preserve">. </w:t>
      </w:r>
    </w:p>
    <w:p w14:paraId="23EC1770" w14:textId="5A27CB45" w:rsidR="00C52B87" w:rsidRDefault="0042444A" w:rsidP="00C52B87">
      <w:r>
        <w:t>This paper reports on</w:t>
      </w:r>
      <w:r w:rsidR="00941C99">
        <w:t xml:space="preserve"> </w:t>
      </w:r>
      <w:r>
        <w:t xml:space="preserve">our work on rehearsals with </w:t>
      </w:r>
      <w:r w:rsidRPr="00C875A0">
        <w:rPr>
          <w:i/>
          <w:iCs/>
        </w:rPr>
        <w:t>in-service</w:t>
      </w:r>
      <w:r w:rsidR="00C52B87">
        <w:t xml:space="preserve"> teachers in a pilot study. </w:t>
      </w:r>
      <w:r>
        <w:t>We</w:t>
      </w:r>
      <w:r w:rsidR="00396A79">
        <w:t xml:space="preserve"> ask:</w:t>
      </w:r>
      <w:r w:rsidR="00226CA3">
        <w:t xml:space="preserve"> </w:t>
      </w:r>
      <w:r w:rsidR="009B57F4">
        <w:t>What charac</w:t>
      </w:r>
      <w:r w:rsidR="00CE5AD9">
        <w:t xml:space="preserve">terizes the interactions </w:t>
      </w:r>
      <w:r w:rsidR="00470071">
        <w:t>between</w:t>
      </w:r>
      <w:r w:rsidR="00CE5AD9">
        <w:t xml:space="preserve"> in-service teachers and course instructors during the rehearsals in the study, and</w:t>
      </w:r>
      <w:r w:rsidR="00C52B87">
        <w:t xml:space="preserve"> in what ways might rehearsals support in-service teacher´s learning of ambitious teaching?</w:t>
      </w:r>
    </w:p>
    <w:p w14:paraId="01E8FB54" w14:textId="7C69E491" w:rsidR="008B4D77" w:rsidRDefault="00252AF9" w:rsidP="00AC7F59">
      <w:pPr>
        <w:pStyle w:val="Heading2"/>
      </w:pPr>
      <w:r>
        <w:lastRenderedPageBreak/>
        <w:t>R</w:t>
      </w:r>
      <w:r w:rsidR="001E3A92">
        <w:t xml:space="preserve">ehearsals </w:t>
      </w:r>
      <w:r w:rsidR="00AC7F59">
        <w:t xml:space="preserve">within a cycle of enactment </w:t>
      </w:r>
    </w:p>
    <w:p w14:paraId="1DB976A4" w14:textId="7B04CD3B" w:rsidR="0056002B" w:rsidRDefault="00F438C7" w:rsidP="00562953">
      <w:r w:rsidRPr="00F438C7">
        <w:t>Ambitious teaching entails mathematical meaning making, identity building and creating equitable learn</w:t>
      </w:r>
      <w:r w:rsidR="00BB6D02">
        <w:t>ing experiences for children</w:t>
      </w:r>
      <w:r w:rsidRPr="00F438C7">
        <w:t xml:space="preserve">. </w:t>
      </w:r>
      <w:r>
        <w:t>It</w:t>
      </w:r>
      <w:r w:rsidRPr="00F438C7">
        <w:t xml:space="preserve"> requires teachers to engage deeply with children’s thinking - by eliciting, observing, interpreting and responding to student reasoning, language and</w:t>
      </w:r>
      <w:r w:rsidR="00B10B19">
        <w:t xml:space="preserve"> arguments</w:t>
      </w:r>
      <w:r w:rsidRPr="00F438C7">
        <w:t>.</w:t>
      </w:r>
      <w:r w:rsidR="00B10B19">
        <w:t xml:space="preserve"> </w:t>
      </w:r>
      <w:r w:rsidR="00BB6D02">
        <w:t xml:space="preserve">Attending to students’ experiences and </w:t>
      </w:r>
      <w:r w:rsidR="007A2BA6">
        <w:t xml:space="preserve">designing instruction </w:t>
      </w:r>
      <w:r w:rsidR="00562953">
        <w:t>to enable</w:t>
      </w:r>
      <w:r w:rsidR="007A2BA6">
        <w:t xml:space="preserve"> each child to </w:t>
      </w:r>
      <w:r w:rsidR="00336F42">
        <w:t xml:space="preserve">do rigorous academic work in school </w:t>
      </w:r>
      <w:r w:rsidR="00BB6D02">
        <w:t xml:space="preserve">is </w:t>
      </w:r>
      <w:r w:rsidR="006A195E">
        <w:t xml:space="preserve">also </w:t>
      </w:r>
      <w:r w:rsidR="00BB6D02">
        <w:t xml:space="preserve">a central </w:t>
      </w:r>
      <w:r w:rsidR="00336F42">
        <w:t>princ</w:t>
      </w:r>
      <w:r w:rsidR="00562953">
        <w:t>iple of</w:t>
      </w:r>
      <w:r w:rsidR="006A195E">
        <w:t xml:space="preserve"> the</w:t>
      </w:r>
      <w:r w:rsidR="00BB6D02">
        <w:t xml:space="preserve"> </w:t>
      </w:r>
      <w:r w:rsidR="00BB6D02" w:rsidRPr="009C797B">
        <w:t>approach</w:t>
      </w:r>
      <w:r w:rsidR="000779CD">
        <w:t xml:space="preserve"> (Lampert et al., 2013)</w:t>
      </w:r>
      <w:r w:rsidR="0056002B">
        <w:t xml:space="preserve">. </w:t>
      </w:r>
    </w:p>
    <w:p w14:paraId="61FE74B8" w14:textId="761246EE" w:rsidR="00F438C7" w:rsidRPr="00336F42" w:rsidRDefault="0056002B" w:rsidP="00562953">
      <w:pPr>
        <w:rPr>
          <w:color w:val="000000" w:themeColor="text1"/>
        </w:rPr>
      </w:pPr>
      <w:r>
        <w:t>In their work on ambitious mathematics teaching, Lampert et al.</w:t>
      </w:r>
      <w:r w:rsidRPr="00433A47">
        <w:t xml:space="preserve"> (2010)</w:t>
      </w:r>
      <w:r>
        <w:t xml:space="preserve"> build on the study of Leinhardt and Steele (2005) who identified some routines skilled teachers used in leading </w:t>
      </w:r>
      <w:r w:rsidR="000779CD">
        <w:t xml:space="preserve">instructional dialogues and </w:t>
      </w:r>
      <w:r>
        <w:t xml:space="preserve">argued that expressing the routines explicit make them teachable for </w:t>
      </w:r>
      <w:r w:rsidR="00E0647B">
        <w:t>course instructor</w:t>
      </w:r>
      <w:r>
        <w:t>s. Lampert et al. (2010) use the notion “routines” to denote well-developed practices which have shown useful in teaching, which respect the complexity in mathematics, mathem</w:t>
      </w:r>
      <w:r w:rsidR="000779CD">
        <w:t>atics teaching and learning. They argue that focus on</w:t>
      </w:r>
      <w:r w:rsidR="000B2561">
        <w:t xml:space="preserve"> learning to use these routines/practices</w:t>
      </w:r>
      <w:r>
        <w:t xml:space="preserve"> can provide novices an opportunity to hold something constant in a process of further learning to teach. The teachi</w:t>
      </w:r>
      <w:r w:rsidR="00F21541">
        <w:t xml:space="preserve">ng practices that are central in ambitious </w:t>
      </w:r>
      <w:r w:rsidR="00470071">
        <w:t>teaching</w:t>
      </w:r>
      <w:r>
        <w:t xml:space="preserve"> include </w:t>
      </w:r>
      <w:r w:rsidRPr="00431A4E">
        <w:t xml:space="preserve">aiming toward a mathematical goal, eliciting and responding to students’ mathematical ideas, orienting students to </w:t>
      </w:r>
      <w:r w:rsidR="00470071" w:rsidRPr="00431A4E">
        <w:t>each other’s</w:t>
      </w:r>
      <w:r w:rsidRPr="00431A4E">
        <w:t xml:space="preserve"> ideas, setting and maintaining expectations for student performance, positioning students competently, assessing students’ understanding, and using mathematical representations</w:t>
      </w:r>
      <w:r>
        <w:t xml:space="preserve"> (Kazemi et al., 2009; see also Hunter &amp; Anthony, 2012). </w:t>
      </w:r>
      <w:r w:rsidR="00C875A0" w:rsidRPr="00E37225">
        <w:t>T</w:t>
      </w:r>
      <w:r w:rsidR="006A195E" w:rsidRPr="00E37225">
        <w:t xml:space="preserve">eachers </w:t>
      </w:r>
      <w:r w:rsidR="00E37225">
        <w:t>who</w:t>
      </w:r>
      <w:r w:rsidR="00E37225" w:rsidRPr="00E37225">
        <w:t xml:space="preserve"> are novices in teaching mathematics ambitiously </w:t>
      </w:r>
      <w:r w:rsidR="006A195E" w:rsidRPr="00E37225">
        <w:t>need to</w:t>
      </w:r>
      <w:r w:rsidR="00E37225">
        <w:t xml:space="preserve"> learn </w:t>
      </w:r>
      <w:r w:rsidR="00F21541">
        <w:t>to enact the</w:t>
      </w:r>
      <w:r w:rsidR="006A195E">
        <w:t xml:space="preserve"> practices</w:t>
      </w:r>
      <w:r w:rsidR="000B2561">
        <w:t xml:space="preserve"> in their</w:t>
      </w:r>
      <w:r w:rsidR="006A195E">
        <w:t xml:space="preserve"> teaching. They also </w:t>
      </w:r>
      <w:r w:rsidR="0070606B" w:rsidRPr="0070606B">
        <w:t>need to develop</w:t>
      </w:r>
      <w:r w:rsidR="006A195E">
        <w:t xml:space="preserve"> the mathematical </w:t>
      </w:r>
      <w:r w:rsidR="00562953">
        <w:t>knowledge needed to teach</w:t>
      </w:r>
      <w:r w:rsidR="00E37225">
        <w:t xml:space="preserve"> ambitiously</w:t>
      </w:r>
      <w:r w:rsidR="00562953">
        <w:t xml:space="preserve"> at a</w:t>
      </w:r>
      <w:r w:rsidR="006A195E">
        <w:t xml:space="preserve"> particular grade. </w:t>
      </w:r>
    </w:p>
    <w:p w14:paraId="4EACBBCF" w14:textId="50BAFEB7" w:rsidR="00C72C0D" w:rsidRDefault="00F438C7" w:rsidP="00F05620">
      <w:r>
        <w:t>Grossmann, Hammerness and Mc</w:t>
      </w:r>
      <w:r w:rsidRPr="008F08EE">
        <w:t>Donald</w:t>
      </w:r>
      <w:r w:rsidR="0052689F">
        <w:t xml:space="preserve"> (2009</w:t>
      </w:r>
      <w:r w:rsidR="00336E90">
        <w:t>)</w:t>
      </w:r>
      <w:r w:rsidR="00A24810">
        <w:t xml:space="preserve"> argue for incorporation of</w:t>
      </w:r>
      <w:r w:rsidR="00AC558C">
        <w:t xml:space="preserve"> “</w:t>
      </w:r>
      <w:r w:rsidR="00A24810">
        <w:t>pedagogies</w:t>
      </w:r>
      <w:r w:rsidR="00AC558C">
        <w:t xml:space="preserve"> of </w:t>
      </w:r>
      <w:r w:rsidR="00A24810">
        <w:t>enactment</w:t>
      </w:r>
      <w:r w:rsidR="00AC558C">
        <w:t>”</w:t>
      </w:r>
      <w:r w:rsidR="00A24810">
        <w:t xml:space="preserve"> and use of “approximations of practice”</w:t>
      </w:r>
      <w:r w:rsidR="0052689F">
        <w:t xml:space="preserve"> </w:t>
      </w:r>
      <w:r w:rsidR="00AC558C">
        <w:t>in teacher education</w:t>
      </w:r>
      <w:r w:rsidR="00A973D7">
        <w:t xml:space="preserve"> in order to </w:t>
      </w:r>
      <w:r w:rsidR="00C875A0">
        <w:t xml:space="preserve">help </w:t>
      </w:r>
      <w:r w:rsidR="00F05620">
        <w:t>pre-service teachers</w:t>
      </w:r>
      <w:r w:rsidR="00F05620" w:rsidRPr="00F438C7">
        <w:t xml:space="preserve"> </w:t>
      </w:r>
      <w:r w:rsidR="00A973D7">
        <w:t>develop</w:t>
      </w:r>
      <w:r w:rsidR="0052689F">
        <w:t xml:space="preserve"> knowledge, </w:t>
      </w:r>
      <w:r w:rsidR="00A973D7">
        <w:t>skills and professional identities</w:t>
      </w:r>
      <w:r w:rsidR="0052689F">
        <w:t xml:space="preserve"> as teachers</w:t>
      </w:r>
      <w:r w:rsidR="00A24810">
        <w:t>. As a type of approximation to p</w:t>
      </w:r>
      <w:r w:rsidR="005E7159">
        <w:t>ractice, Grossmann</w:t>
      </w:r>
      <w:r w:rsidR="00837A3F">
        <w:t>, Compton</w:t>
      </w:r>
      <w:r w:rsidR="005E7159">
        <w:t xml:space="preserve"> at al. (2009</w:t>
      </w:r>
      <w:r w:rsidR="00A24810">
        <w:t>) suggest</w:t>
      </w:r>
      <w:r w:rsidR="000A5221">
        <w:t xml:space="preserve"> use of rehearsal</w:t>
      </w:r>
      <w:r w:rsidR="00A973D7">
        <w:t>s</w:t>
      </w:r>
      <w:r w:rsidR="00F61747">
        <w:t xml:space="preserve"> where novices rehearse </w:t>
      </w:r>
      <w:r w:rsidR="00407B76">
        <w:t xml:space="preserve">a </w:t>
      </w:r>
      <w:r w:rsidR="00F61747">
        <w:t xml:space="preserve">particular instructional activity </w:t>
      </w:r>
      <w:r w:rsidR="00A973D7">
        <w:t>in front of</w:t>
      </w:r>
      <w:r w:rsidR="00407B76">
        <w:t xml:space="preserve"> a group of</w:t>
      </w:r>
      <w:r w:rsidR="00F61747">
        <w:t xml:space="preserve"> peers</w:t>
      </w:r>
      <w:r w:rsidR="00D336B0">
        <w:t xml:space="preserve">. </w:t>
      </w:r>
      <w:r w:rsidR="005E7159">
        <w:t>Kazemi, Lampert</w:t>
      </w:r>
      <w:r w:rsidR="00C61663">
        <w:t xml:space="preserve"> and</w:t>
      </w:r>
      <w:r w:rsidR="005E7159">
        <w:t xml:space="preserve"> Franke</w:t>
      </w:r>
      <w:r w:rsidR="00C61663" w:rsidRPr="00BD330C">
        <w:t xml:space="preserve"> (2009)</w:t>
      </w:r>
      <w:r w:rsidR="00C61663">
        <w:t xml:space="preserve"> </w:t>
      </w:r>
      <w:r w:rsidR="00F609E8">
        <w:t>develop</w:t>
      </w:r>
      <w:r w:rsidR="00D62DB3">
        <w:t xml:space="preserve"> </w:t>
      </w:r>
      <w:r w:rsidR="00336F42">
        <w:t>instructional activities (IAs)</w:t>
      </w:r>
      <w:r w:rsidR="00C61663" w:rsidRPr="001B33D8">
        <w:t xml:space="preserve"> </w:t>
      </w:r>
      <w:r w:rsidR="00850B2C">
        <w:t xml:space="preserve">that </w:t>
      </w:r>
      <w:r w:rsidR="00F609E8">
        <w:t>are designed to be</w:t>
      </w:r>
      <w:r w:rsidR="00850B2C">
        <w:t xml:space="preserve"> “containers</w:t>
      </w:r>
      <w:r w:rsidR="00F609E8">
        <w:t xml:space="preserve">” for the </w:t>
      </w:r>
      <w:r w:rsidR="00C61663">
        <w:t>practices</w:t>
      </w:r>
      <w:r w:rsidR="00F609E8">
        <w:t>, principles and mat</w:t>
      </w:r>
      <w:r w:rsidR="00C875A0">
        <w:t>hematical knowledge that novice teachers</w:t>
      </w:r>
      <w:r w:rsidR="00F609E8">
        <w:t xml:space="preserve"> need to learn and be able to use</w:t>
      </w:r>
      <w:r w:rsidR="00C61663">
        <w:t xml:space="preserve"> in </w:t>
      </w:r>
      <w:r w:rsidR="00F609E8">
        <w:t>interaction with students</w:t>
      </w:r>
      <w:r w:rsidR="00D62DB3">
        <w:t xml:space="preserve"> </w:t>
      </w:r>
      <w:r w:rsidR="00D62DB3" w:rsidRPr="00F438C7">
        <w:t>(see Kazemi &amp; Wæge (2015) for descriptions of the IAs)</w:t>
      </w:r>
      <w:r w:rsidR="00C61663">
        <w:t>. Th</w:t>
      </w:r>
      <w:r w:rsidR="00F609E8">
        <w:t>e structure of the IA</w:t>
      </w:r>
      <w:r w:rsidR="00D62DB3">
        <w:t>s</w:t>
      </w:r>
      <w:r w:rsidR="00F609E8">
        <w:t xml:space="preserve"> </w:t>
      </w:r>
      <w:r w:rsidR="000B2561">
        <w:t>offers the novices</w:t>
      </w:r>
      <w:r w:rsidR="00A973D7">
        <w:t xml:space="preserve"> a scaffold in </w:t>
      </w:r>
      <w:r w:rsidR="004B3F01">
        <w:t>elicit</w:t>
      </w:r>
      <w:r w:rsidR="00A973D7">
        <w:t>ing</w:t>
      </w:r>
      <w:r w:rsidR="004B3F01">
        <w:t xml:space="preserve"> and respond</w:t>
      </w:r>
      <w:r w:rsidR="00A973D7">
        <w:t>ing</w:t>
      </w:r>
      <w:r w:rsidR="004B3F01">
        <w:t xml:space="preserve"> to student thinking and understanding. </w:t>
      </w:r>
      <w:r w:rsidR="00D62DB3">
        <w:t xml:space="preserve">The novice teachers learn to teach </w:t>
      </w:r>
      <w:r w:rsidR="00470071">
        <w:t>IAs –</w:t>
      </w:r>
      <w:r w:rsidR="00C61663">
        <w:t xml:space="preserve"> through repeated investigation, discussion, rehearsal, enactment and observation</w:t>
      </w:r>
      <w:r w:rsidR="0056002B">
        <w:t xml:space="preserve">. </w:t>
      </w:r>
      <w:r w:rsidR="00A973D7">
        <w:t>Each</w:t>
      </w:r>
      <w:r w:rsidR="009723D1">
        <w:t xml:space="preserve"> cycle of e</w:t>
      </w:r>
      <w:r w:rsidR="00A973D7">
        <w:t>nactment and investigation</w:t>
      </w:r>
      <w:r w:rsidR="009723D1">
        <w:t xml:space="preserve"> </w:t>
      </w:r>
      <w:r w:rsidR="00336F42">
        <w:t>consists of six stages</w:t>
      </w:r>
      <w:r w:rsidR="0056002B">
        <w:t xml:space="preserve"> (</w:t>
      </w:r>
      <w:r w:rsidR="0056002B" w:rsidRPr="00F438C7">
        <w:t>Lampert et al., 2013</w:t>
      </w:r>
      <w:r w:rsidR="0056002B">
        <w:t>), as illustrated in Figure 1</w:t>
      </w:r>
      <w:r w:rsidR="00336F42">
        <w:t xml:space="preserve">: </w:t>
      </w:r>
    </w:p>
    <w:p w14:paraId="01F1B98E" w14:textId="77777777" w:rsidR="00E37225" w:rsidRDefault="00E37225" w:rsidP="00E37225">
      <w:pPr>
        <w:jc w:val="center"/>
        <w:rPr>
          <w:b/>
          <w:sz w:val="22"/>
          <w:szCs w:val="22"/>
        </w:rPr>
      </w:pPr>
      <w:r w:rsidRPr="00E37225">
        <w:rPr>
          <w:noProof/>
        </w:rPr>
        <w:drawing>
          <wp:inline distT="0" distB="0" distL="0" distR="0" wp14:anchorId="48CD1606" wp14:editId="753F0948">
            <wp:extent cx="5821680" cy="13982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134" t="1588" r="-7266" b="1588"/>
                    <a:stretch/>
                  </pic:blipFill>
                  <pic:spPr bwMode="auto">
                    <a:xfrm>
                      <a:off x="0" y="0"/>
                      <a:ext cx="6018247" cy="1445482"/>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685239C5" w14:textId="316834A2" w:rsidR="0008625A" w:rsidRPr="00E37225" w:rsidRDefault="00A178E1" w:rsidP="00E37225">
      <w:pPr>
        <w:jc w:val="center"/>
        <w:rPr>
          <w:b/>
          <w:sz w:val="22"/>
          <w:szCs w:val="22"/>
        </w:rPr>
      </w:pPr>
      <w:r w:rsidRPr="006E1050">
        <w:rPr>
          <w:b/>
          <w:sz w:val="22"/>
          <w:szCs w:val="22"/>
        </w:rPr>
        <w:t>Figure 1: Cycle of enactment and investigation</w:t>
      </w:r>
    </w:p>
    <w:p w14:paraId="7B7C4429" w14:textId="358C402C" w:rsidR="00D75E68" w:rsidRDefault="00D75E68" w:rsidP="00AD60D4">
      <w:r>
        <w:t>In</w:t>
      </w:r>
      <w:r w:rsidR="00BD4D99">
        <w:t xml:space="preserve"> stage four of the cycle,</w:t>
      </w:r>
      <w:r>
        <w:t xml:space="preserve"> selected novice teachers publicly rehears</w:t>
      </w:r>
      <w:r w:rsidR="00BD4D99">
        <w:t>e their plans for enacting an IA in front of their peers and</w:t>
      </w:r>
      <w:r w:rsidR="00C875A0">
        <w:t xml:space="preserve"> with feedback from the </w:t>
      </w:r>
      <w:r w:rsidR="00E0647B">
        <w:t>course instructor</w:t>
      </w:r>
      <w:r w:rsidR="00BD4D99">
        <w:t xml:space="preserve">. During the rehearsal, the </w:t>
      </w:r>
      <w:r w:rsidR="00E0647B">
        <w:t>course instructor</w:t>
      </w:r>
      <w:r w:rsidR="00BD4D99">
        <w:t xml:space="preserve"> </w:t>
      </w:r>
      <w:r w:rsidR="000B2561">
        <w:t xml:space="preserve">or a peer </w:t>
      </w:r>
      <w:r w:rsidR="00BD4D99">
        <w:t>may stop action to ask questions or suggest possible</w:t>
      </w:r>
      <w:r w:rsidR="00C875A0">
        <w:t xml:space="preserve"> alternative</w:t>
      </w:r>
      <w:r w:rsidR="00BD4D99">
        <w:t xml:space="preserve"> courses of action. The </w:t>
      </w:r>
      <w:r w:rsidR="00E0647B">
        <w:t>course instructor</w:t>
      </w:r>
      <w:r w:rsidR="00BD4D99">
        <w:t xml:space="preserve"> </w:t>
      </w:r>
      <w:r w:rsidR="00C875A0">
        <w:t xml:space="preserve">may </w:t>
      </w:r>
      <w:r w:rsidR="00BD4D99">
        <w:t>also act as a student, by asking</w:t>
      </w:r>
      <w:r w:rsidR="00C875A0">
        <w:t xml:space="preserve"> and answering</w:t>
      </w:r>
      <w:r w:rsidR="00BD4D99">
        <w:t xml:space="preserve"> questions or </w:t>
      </w:r>
      <w:r w:rsidR="00C875A0">
        <w:t xml:space="preserve">by </w:t>
      </w:r>
      <w:r w:rsidR="00BD4D99">
        <w:t>making error</w:t>
      </w:r>
      <w:r w:rsidR="00C875A0">
        <w:t>s that students are likely to make</w:t>
      </w:r>
      <w:r w:rsidR="005169ED">
        <w:t xml:space="preserve"> (Lampert et al., 2013).</w:t>
      </w:r>
      <w:r w:rsidR="00BD4D99">
        <w:t xml:space="preserve"> </w:t>
      </w:r>
      <w:r>
        <w:t xml:space="preserve">Rehearsals </w:t>
      </w:r>
      <w:r w:rsidR="00BD4D99">
        <w:t xml:space="preserve">within </w:t>
      </w:r>
      <w:r w:rsidR="005E49B8">
        <w:t xml:space="preserve">repeated cycles of enactments and </w:t>
      </w:r>
      <w:r w:rsidR="005E49B8" w:rsidRPr="005E49B8">
        <w:t>inve</w:t>
      </w:r>
      <w:r w:rsidR="00526042" w:rsidRPr="005E49B8">
        <w:t>s</w:t>
      </w:r>
      <w:r w:rsidR="005E49B8" w:rsidRPr="005E49B8">
        <w:t>tigation</w:t>
      </w:r>
      <w:r w:rsidR="00BD4D99" w:rsidRPr="005E49B8">
        <w:t xml:space="preserve"> </w:t>
      </w:r>
      <w:r w:rsidRPr="005E49B8">
        <w:t>can be considered as an approximation of ambitious teaching.</w:t>
      </w:r>
      <w:r>
        <w:t xml:space="preserve"> </w:t>
      </w:r>
    </w:p>
    <w:p w14:paraId="1C2ED25A" w14:textId="27196317" w:rsidR="00AD60D4" w:rsidRDefault="000A5221" w:rsidP="00AD60D4">
      <w:r w:rsidRPr="00BD330C">
        <w:t>Lampert et al</w:t>
      </w:r>
      <w:r w:rsidR="003E03E0">
        <w:t>.</w:t>
      </w:r>
      <w:r w:rsidRPr="00BD330C">
        <w:t xml:space="preserve"> (2013)</w:t>
      </w:r>
      <w:r w:rsidR="003E03E0">
        <w:t xml:space="preserve"> </w:t>
      </w:r>
      <w:r w:rsidR="00EA7910">
        <w:t xml:space="preserve">argue that </w:t>
      </w:r>
      <w:r w:rsidR="00C875A0">
        <w:t xml:space="preserve">a </w:t>
      </w:r>
      <w:r w:rsidR="00C03432">
        <w:t xml:space="preserve">rehearsal is an important setting for building novices motivation and commitment to teach ambitiously </w:t>
      </w:r>
      <w:r w:rsidR="005169ED" w:rsidRPr="005169ED">
        <w:t>(p. 239-240)</w:t>
      </w:r>
      <w:r w:rsidR="005169ED">
        <w:t>.</w:t>
      </w:r>
      <w:r w:rsidR="00C03432">
        <w:t xml:space="preserve"> They </w:t>
      </w:r>
      <w:r w:rsidR="0008625A">
        <w:t>analyze</w:t>
      </w:r>
      <w:r w:rsidR="006A7732">
        <w:t>d</w:t>
      </w:r>
      <w:r w:rsidR="0008625A">
        <w:t xml:space="preserve"> 90 rehearsals </w:t>
      </w:r>
      <w:r w:rsidR="00672520">
        <w:t>of IAs by</w:t>
      </w:r>
      <w:r w:rsidR="0008625A">
        <w:t xml:space="preserve"> </w:t>
      </w:r>
      <w:r w:rsidR="0070606B">
        <w:t>pre-service</w:t>
      </w:r>
      <w:r w:rsidR="0008625A">
        <w:t xml:space="preserve"> teachers</w:t>
      </w:r>
      <w:r w:rsidR="00C875A0">
        <w:t>. The study revealed</w:t>
      </w:r>
      <w:r w:rsidR="00C03432">
        <w:t xml:space="preserve"> that </w:t>
      </w:r>
      <w:r w:rsidR="006872E5">
        <w:t xml:space="preserve">rehearsals </w:t>
      </w:r>
      <w:r w:rsidR="007A3193">
        <w:t xml:space="preserve">not only </w:t>
      </w:r>
      <w:r w:rsidR="00CE7112">
        <w:t>allow</w:t>
      </w:r>
      <w:r w:rsidR="006872E5">
        <w:t xml:space="preserve"> pre-service</w:t>
      </w:r>
      <w:r w:rsidR="00035539">
        <w:t xml:space="preserve"> teachers to work on </w:t>
      </w:r>
      <w:r w:rsidR="0081348D">
        <w:t>routine</w:t>
      </w:r>
      <w:r w:rsidR="000B2561">
        <w:t xml:space="preserve"> aspects of ambitious teaching</w:t>
      </w:r>
      <w:r w:rsidR="007A3193">
        <w:t xml:space="preserve">, but also to </w:t>
      </w:r>
      <w:r w:rsidR="00035539">
        <w:t xml:space="preserve">attend to more complex aspects of it. </w:t>
      </w:r>
      <w:r w:rsidR="0081348D">
        <w:t>The study also showed</w:t>
      </w:r>
      <w:r w:rsidR="003A27C5">
        <w:t xml:space="preserve"> </w:t>
      </w:r>
      <w:r w:rsidR="00470071">
        <w:t>that rehearsals</w:t>
      </w:r>
      <w:r w:rsidR="00035539">
        <w:t xml:space="preserve"> </w:t>
      </w:r>
      <w:r w:rsidR="00CE7112">
        <w:t>give</w:t>
      </w:r>
      <w:r w:rsidR="00AC7F59">
        <w:t xml:space="preserve"> </w:t>
      </w:r>
      <w:r w:rsidR="00035539">
        <w:t xml:space="preserve">the </w:t>
      </w:r>
      <w:r w:rsidR="006872E5">
        <w:t>pre-service</w:t>
      </w:r>
      <w:r w:rsidR="00035539">
        <w:t xml:space="preserve"> </w:t>
      </w:r>
      <w:r w:rsidR="00AC7F59">
        <w:t xml:space="preserve">teachers an </w:t>
      </w:r>
      <w:r w:rsidR="00035539">
        <w:t xml:space="preserve">opportunity to </w:t>
      </w:r>
      <w:r w:rsidR="00AC7F59">
        <w:t>learn the principles of ambit</w:t>
      </w:r>
      <w:r w:rsidR="0070606B">
        <w:t xml:space="preserve">ious teaching while the </w:t>
      </w:r>
      <w:r w:rsidR="00E0647B">
        <w:t>course instructor</w:t>
      </w:r>
      <w:r w:rsidR="00CE7112">
        <w:t xml:space="preserve"> </w:t>
      </w:r>
      <w:r w:rsidR="0081348D">
        <w:t>guide their progress.</w:t>
      </w:r>
      <w:r w:rsidR="00D3745B">
        <w:t xml:space="preserve"> </w:t>
      </w:r>
    </w:p>
    <w:p w14:paraId="6C718F93" w14:textId="47F11FAF" w:rsidR="003251B0" w:rsidRDefault="00173D95" w:rsidP="003251B0">
      <w:pPr>
        <w:pStyle w:val="Heading2"/>
      </w:pPr>
      <w:r>
        <w:t>Design of course</w:t>
      </w:r>
    </w:p>
    <w:p w14:paraId="1F716D1D" w14:textId="67970BD3" w:rsidR="00BB126A" w:rsidRDefault="003251B0" w:rsidP="004C7033">
      <w:r w:rsidRPr="000927F0">
        <w:t xml:space="preserve">The course consisted of seven sessions </w:t>
      </w:r>
      <w:r w:rsidR="0065578D" w:rsidRPr="000927F0">
        <w:t>(each</w:t>
      </w:r>
      <w:r w:rsidR="007B36F6" w:rsidRPr="000927F0">
        <w:t xml:space="preserve"> four hours in length) during a</w:t>
      </w:r>
      <w:r w:rsidR="0065578D" w:rsidRPr="000927F0">
        <w:t xml:space="preserve"> period of four months. </w:t>
      </w:r>
      <w:r w:rsidR="00F864FD" w:rsidRPr="000927F0">
        <w:t>The</w:t>
      </w:r>
      <w:r w:rsidR="0065578D" w:rsidRPr="000927F0">
        <w:t xml:space="preserve"> sessions were held </w:t>
      </w:r>
      <w:r w:rsidR="00F864FD" w:rsidRPr="000927F0">
        <w:t xml:space="preserve">in a </w:t>
      </w:r>
      <w:r w:rsidR="000E0A78" w:rsidRPr="000927F0">
        <w:t xml:space="preserve">fifth grade </w:t>
      </w:r>
      <w:r w:rsidR="00F864FD" w:rsidRPr="000927F0">
        <w:t>cl</w:t>
      </w:r>
      <w:r w:rsidR="0070606B">
        <w:t>assroom of an elementary school</w:t>
      </w:r>
      <w:r w:rsidR="00633986">
        <w:rPr>
          <w:rStyle w:val="FootnoteReference"/>
        </w:rPr>
        <w:footnoteReference w:id="1"/>
      </w:r>
      <w:r w:rsidR="0070606B">
        <w:t xml:space="preserve">. </w:t>
      </w:r>
    </w:p>
    <w:p w14:paraId="34ADB103" w14:textId="77777777" w:rsidR="00BB126A" w:rsidRDefault="00BB126A" w:rsidP="00BB126A">
      <w:r>
        <w:t>Session 1: T</w:t>
      </w:r>
      <w:r w:rsidR="00470071" w:rsidRPr="000927F0">
        <w:t>he</w:t>
      </w:r>
      <w:r w:rsidR="000927F0" w:rsidRPr="000927F0">
        <w:t xml:space="preserve"> i</w:t>
      </w:r>
      <w:r w:rsidR="007B36F6" w:rsidRPr="000927F0">
        <w:t>n-service teachers</w:t>
      </w:r>
      <w:r w:rsidR="0070606B">
        <w:t xml:space="preserve"> (ISTs)</w:t>
      </w:r>
      <w:r w:rsidR="007B36F6" w:rsidRPr="000927F0">
        <w:t xml:space="preserve"> were introduced to the prin</w:t>
      </w:r>
      <w:r w:rsidR="008B592F" w:rsidRPr="000927F0">
        <w:t>ciples and practices central to ambitious teaching and the instructi</w:t>
      </w:r>
      <w:r w:rsidR="00C52D16">
        <w:t>onal activities they would work on</w:t>
      </w:r>
      <w:r w:rsidR="008B592F" w:rsidRPr="000927F0">
        <w:t xml:space="preserve"> during</w:t>
      </w:r>
      <w:r w:rsidR="008B592F">
        <w:t xml:space="preserve"> the course.</w:t>
      </w:r>
      <w:r w:rsidR="00C52D16">
        <w:t xml:space="preserve"> </w:t>
      </w:r>
    </w:p>
    <w:p w14:paraId="542EE5C3" w14:textId="28C0FCFD" w:rsidR="00BB1514" w:rsidRDefault="00BB126A" w:rsidP="00633986">
      <w:r>
        <w:t xml:space="preserve">Session 2-6: </w:t>
      </w:r>
      <w:r w:rsidR="00BB1514">
        <w:t>In these sessions ISTs were divided into three</w:t>
      </w:r>
      <w:r w:rsidR="00BB1514" w:rsidRPr="00F108BC">
        <w:t xml:space="preserve"> teams of 4-5</w:t>
      </w:r>
      <w:r w:rsidR="00BB1514">
        <w:t>, and the teams work</w:t>
      </w:r>
      <w:r w:rsidR="00B012CF">
        <w:t>ed</w:t>
      </w:r>
      <w:r w:rsidR="00BB1514">
        <w:t xml:space="preserve"> together in planning, rehearsing, enacting, and debriefing course tasks: </w:t>
      </w:r>
      <w:r>
        <w:t>1) Teams of IST</w:t>
      </w:r>
      <w:r w:rsidR="009168F6">
        <w:t>s</w:t>
      </w:r>
      <w:r>
        <w:t xml:space="preserve"> came to class prepared to teach an IA; 2) </w:t>
      </w:r>
      <w:r w:rsidRPr="00E14F03">
        <w:t>Teams of ISTs rehearsed the IA under supervision of a course instructor (CI); 3) ISTs observed one</w:t>
      </w:r>
      <w:r>
        <w:t xml:space="preserve"> of the CIs teach the subsequent session’s focal IA to the whole group of fifth graders. This was part of the preparation for the following session; 4) One IST from each team taught a small group of fifth graders the IA that they had come to class prepared to teach. A CI also observed the enactments; 5) After a break, ISTs met in their teams to do a collective analysis of the day´s enactment with their CI; 6) Each team debriefed what they had learned; 7) The CIs prepared the class for the following session’s focal IA and, as part of that, shared some reflective comments on the whole group lesson that was taught.  </w:t>
      </w:r>
    </w:p>
    <w:p w14:paraId="5256EF83" w14:textId="43679818" w:rsidR="00DA23CE" w:rsidRDefault="00BB1514" w:rsidP="00BB1514">
      <w:r>
        <w:t xml:space="preserve">Session 7: </w:t>
      </w:r>
      <w:r w:rsidR="00C52D16">
        <w:t>The last session was devoted to concluding discussions and try outs.</w:t>
      </w:r>
    </w:p>
    <w:p w14:paraId="6C2F5372" w14:textId="77777777" w:rsidR="00FD359C" w:rsidRDefault="00CC1655" w:rsidP="00FD359C">
      <w:pPr>
        <w:pStyle w:val="Heading2"/>
      </w:pPr>
      <w:r>
        <w:t xml:space="preserve">Method </w:t>
      </w:r>
    </w:p>
    <w:p w14:paraId="6EA13AF7" w14:textId="79FF0425" w:rsidR="00CC1655" w:rsidRPr="00CC1655" w:rsidRDefault="00C7754D" w:rsidP="00CC1655">
      <w:pPr>
        <w:pStyle w:val="Heading3"/>
      </w:pPr>
      <w:r>
        <w:t>P</w:t>
      </w:r>
      <w:r w:rsidR="00CC1655">
        <w:t>articipants</w:t>
      </w:r>
      <w:r w:rsidR="00170111">
        <w:t xml:space="preserve"> and data</w:t>
      </w:r>
    </w:p>
    <w:p w14:paraId="5395FA05" w14:textId="6DE98331" w:rsidR="00526042" w:rsidRDefault="0070606B" w:rsidP="001F0768">
      <w:r>
        <w:t xml:space="preserve">There were </w:t>
      </w:r>
      <w:r w:rsidR="00935295">
        <w:t xml:space="preserve">14 in-service </w:t>
      </w:r>
      <w:r w:rsidR="00B65BFF">
        <w:t xml:space="preserve">mathematics </w:t>
      </w:r>
      <w:r w:rsidR="00935295">
        <w:t>teachers</w:t>
      </w:r>
      <w:r w:rsidR="00397FA2">
        <w:t xml:space="preserve"> </w:t>
      </w:r>
      <w:r w:rsidR="00935295">
        <w:t>from three different</w:t>
      </w:r>
      <w:r w:rsidR="004A22C9">
        <w:t xml:space="preserve"> elementary schools participating</w:t>
      </w:r>
      <w:r w:rsidR="00935295">
        <w:t xml:space="preserve"> in the </w:t>
      </w:r>
      <w:r w:rsidR="002D0E44">
        <w:t>pilot</w:t>
      </w:r>
      <w:r w:rsidR="00CC1655">
        <w:t xml:space="preserve"> study</w:t>
      </w:r>
      <w:r w:rsidR="00935295">
        <w:t>.</w:t>
      </w:r>
      <w:r w:rsidR="000855BA">
        <w:t xml:space="preserve"> </w:t>
      </w:r>
      <w:r w:rsidR="00B65BFF">
        <w:t>The three school</w:t>
      </w:r>
      <w:r w:rsidR="000E0A78">
        <w:t>s</w:t>
      </w:r>
      <w:r w:rsidR="00B65BFF">
        <w:t xml:space="preserve"> are partner schools of the Norwegian Centre for Mathematics Education. </w:t>
      </w:r>
      <w:r w:rsidR="00935295">
        <w:t xml:space="preserve">Some of the </w:t>
      </w:r>
      <w:r w:rsidR="00B65BFF">
        <w:t>IST</w:t>
      </w:r>
      <w:r w:rsidR="000E0A78">
        <w:t>s</w:t>
      </w:r>
      <w:r w:rsidR="00935295">
        <w:t xml:space="preserve"> </w:t>
      </w:r>
      <w:r w:rsidR="009A7865">
        <w:t xml:space="preserve">in the study </w:t>
      </w:r>
      <w:r w:rsidR="00CC1655">
        <w:t xml:space="preserve">had </w:t>
      </w:r>
      <w:r w:rsidR="00B65BFF">
        <w:t>only a few years of experience</w:t>
      </w:r>
      <w:r w:rsidR="00CC1655">
        <w:t xml:space="preserve"> as mathematics teachers</w:t>
      </w:r>
      <w:r w:rsidR="00935295">
        <w:t xml:space="preserve">, </w:t>
      </w:r>
      <w:r w:rsidR="000855BA">
        <w:t>whi</w:t>
      </w:r>
      <w:r w:rsidR="00B65BFF">
        <w:t xml:space="preserve">le others </w:t>
      </w:r>
      <w:r w:rsidR="009A7865">
        <w:t>were</w:t>
      </w:r>
      <w:r w:rsidR="00B65BFF">
        <w:t xml:space="preserve"> experience</w:t>
      </w:r>
      <w:r w:rsidR="009A7865">
        <w:t>d</w:t>
      </w:r>
      <w:r w:rsidR="00B65BFF">
        <w:t xml:space="preserve"> </w:t>
      </w:r>
      <w:r w:rsidR="009A7865">
        <w:t>teachers</w:t>
      </w:r>
      <w:r w:rsidR="000855BA">
        <w:t>.</w:t>
      </w:r>
      <w:r w:rsidR="00C17334">
        <w:t xml:space="preserve"> </w:t>
      </w:r>
      <w:r w:rsidR="00540DD0">
        <w:t xml:space="preserve">A group of </w:t>
      </w:r>
      <w:r w:rsidR="00C7754D">
        <w:t>six</w:t>
      </w:r>
      <w:r w:rsidR="004B5576">
        <w:t xml:space="preserve"> </w:t>
      </w:r>
      <w:r w:rsidR="00526042">
        <w:t>course</w:t>
      </w:r>
      <w:r w:rsidR="00B65BFF">
        <w:t xml:space="preserve"> </w:t>
      </w:r>
      <w:r w:rsidR="00E870D8">
        <w:t>instructors</w:t>
      </w:r>
      <w:r w:rsidR="00B65BFF">
        <w:t xml:space="preserve"> </w:t>
      </w:r>
      <w:r w:rsidR="00526042">
        <w:t xml:space="preserve">(including both authors) </w:t>
      </w:r>
      <w:r w:rsidR="00B65BFF">
        <w:t xml:space="preserve">from the </w:t>
      </w:r>
      <w:r w:rsidR="00470071" w:rsidRPr="00540DD0">
        <w:t>Centre</w:t>
      </w:r>
      <w:r w:rsidR="00757186" w:rsidRPr="00540DD0">
        <w:t xml:space="preserve"> </w:t>
      </w:r>
      <w:r w:rsidR="00526042" w:rsidRPr="00540DD0">
        <w:t>participated in the study. The course instructors had little experience in leading rehearsals.</w:t>
      </w:r>
    </w:p>
    <w:p w14:paraId="38C41D4B" w14:textId="54A66CC8" w:rsidR="00170111" w:rsidRDefault="00170111" w:rsidP="001F0768">
      <w:r>
        <w:t xml:space="preserve">Rehearsals were carried out in three teams at five of the sessions. All rehearsals were videotaped, </w:t>
      </w:r>
      <w:r w:rsidR="006E6CF3">
        <w:t>but two of the recordings were</w:t>
      </w:r>
      <w:r>
        <w:t xml:space="preserve"> damaged. Our data is therefore consisting of 13 recordings. Each recording is about 25 minutes. </w:t>
      </w:r>
    </w:p>
    <w:p w14:paraId="67E69084" w14:textId="31D31F5B" w:rsidR="00E870D8" w:rsidRDefault="00E870D8" w:rsidP="00E870D8">
      <w:pPr>
        <w:pStyle w:val="Heading3"/>
      </w:pPr>
      <w:r>
        <w:t>Coding and data analysis</w:t>
      </w:r>
    </w:p>
    <w:p w14:paraId="6A53F461" w14:textId="755CE5F2" w:rsidR="00E870D8" w:rsidRPr="00E870D8" w:rsidRDefault="006A56AA" w:rsidP="00AD60D4">
      <w:r w:rsidRPr="006A56AA">
        <w:t>A rehearsal</w:t>
      </w:r>
      <w:r>
        <w:t xml:space="preserve"> consists of parts where an IST is teaching the activity, and parts where IST(s) and CI interact. We denote the </w:t>
      </w:r>
      <w:r w:rsidR="00470071">
        <w:t>interactions</w:t>
      </w:r>
      <w:r>
        <w:t xml:space="preserve"> between IST(s) and CI during the rehearsal as </w:t>
      </w:r>
      <w:r w:rsidRPr="006A56AA">
        <w:rPr>
          <w:i/>
        </w:rPr>
        <w:t>CI/IST exchanges</w:t>
      </w:r>
      <w:r>
        <w:t>.</w:t>
      </w:r>
      <w:r w:rsidRPr="006A56AA">
        <w:t xml:space="preserve"> </w:t>
      </w:r>
      <w:r w:rsidR="00A36FA8" w:rsidRPr="00A36FA8">
        <w:t>To understand what characterizes the CI/IST exchanges during</w:t>
      </w:r>
      <w:r w:rsidR="00E870D8" w:rsidRPr="00E14F03">
        <w:t xml:space="preserve"> rehearsals, we</w:t>
      </w:r>
      <w:r w:rsidR="00A36FA8">
        <w:t xml:space="preserve"> take a CI/IST exchange as the unit of analysis and we </w:t>
      </w:r>
      <w:r w:rsidR="00470071">
        <w:t>analyze</w:t>
      </w:r>
      <w:r w:rsidR="00A36FA8">
        <w:t>:</w:t>
      </w:r>
      <w:r w:rsidR="00E870D8" w:rsidRPr="00E14F03">
        <w:t xml:space="preserve"> 1) the </w:t>
      </w:r>
      <w:r w:rsidR="00222CD2" w:rsidRPr="00E14F03">
        <w:t xml:space="preserve">substance </w:t>
      </w:r>
      <w:r w:rsidR="000E0A78" w:rsidRPr="00E14F03">
        <w:t>of exchang</w:t>
      </w:r>
      <w:r w:rsidR="00E870D8" w:rsidRPr="00E14F03">
        <w:t>es betwee</w:t>
      </w:r>
      <w:r w:rsidR="00B31238" w:rsidRPr="00E14F03">
        <w:t>n</w:t>
      </w:r>
      <w:r w:rsidR="00B31238">
        <w:t xml:space="preserve"> C</w:t>
      </w:r>
      <w:r w:rsidR="00E870D8">
        <w:t>Is and ISTs</w:t>
      </w:r>
      <w:r w:rsidR="00A36FA8">
        <w:t>,</w:t>
      </w:r>
      <w:r w:rsidR="00E870D8">
        <w:t xml:space="preserve"> and 2) the structure of </w:t>
      </w:r>
      <w:r w:rsidR="00470071">
        <w:t>exchanges</w:t>
      </w:r>
      <w:r w:rsidR="00E870D8">
        <w:t xml:space="preserve"> between teacher </w:t>
      </w:r>
      <w:r w:rsidR="00B31238">
        <w:t>C</w:t>
      </w:r>
      <w:r w:rsidR="00E870D8">
        <w:t xml:space="preserve">Is and ISTs. </w:t>
      </w:r>
      <w:r w:rsidR="00222CD2">
        <w:t xml:space="preserve">In our analysis we used </w:t>
      </w:r>
      <w:r w:rsidR="000E55AE">
        <w:t xml:space="preserve">a priori codes adopted from </w:t>
      </w:r>
      <w:r w:rsidR="00222CD2">
        <w:t>Lampert et al</w:t>
      </w:r>
      <w:r w:rsidR="006E6CF3">
        <w:t xml:space="preserve">. </w:t>
      </w:r>
      <w:r w:rsidR="00222CD2">
        <w:t xml:space="preserve">(2013). </w:t>
      </w:r>
      <w:r w:rsidR="000D6293" w:rsidRPr="00AD60D4">
        <w:t>Table 1 shows a list of the substance codes and Table 2 shows a list of the structure codes that we built our analysis on.</w:t>
      </w:r>
      <w:r w:rsidR="000D6293">
        <w:t xml:space="preserve"> </w:t>
      </w:r>
      <w:r w:rsidR="00170111">
        <w:t>We used</w:t>
      </w:r>
      <w:r w:rsidR="00170111" w:rsidRPr="00170111">
        <w:t xml:space="preserve"> Studiocode video-analysis software </w:t>
      </w:r>
      <w:r w:rsidR="00170111">
        <w:t xml:space="preserve">which </w:t>
      </w:r>
      <w:r w:rsidR="00170111" w:rsidRPr="00170111">
        <w:t xml:space="preserve">allowed for detailed coding of the </w:t>
      </w:r>
      <w:r w:rsidR="00470071" w:rsidRPr="00170111">
        <w:t>rehearsals</w:t>
      </w:r>
      <w:r w:rsidR="00170111" w:rsidRPr="00170111">
        <w:t xml:space="preserve">. </w:t>
      </w:r>
      <w:r w:rsidR="00170111">
        <w:t>For each rehearsal, w</w:t>
      </w:r>
      <w:r w:rsidR="00170111" w:rsidRPr="00170111">
        <w:t>e created</w:t>
      </w:r>
      <w:r w:rsidR="00170111">
        <w:t xml:space="preserve"> a timeline</w:t>
      </w:r>
      <w:r w:rsidR="00170111" w:rsidRPr="00170111">
        <w:t xml:space="preserve"> for each video-r</w:t>
      </w:r>
      <w:r w:rsidR="00170111">
        <w:t xml:space="preserve">ecorded </w:t>
      </w:r>
      <w:r w:rsidR="00170111" w:rsidRPr="00170111">
        <w:t xml:space="preserve">to capture the substance and structure of exchanges. Coding the video directly allowed for both verbal and visual cues to be considered, such as written representation, gesturing, </w:t>
      </w:r>
      <w:r w:rsidR="00170111">
        <w:t>and movements.</w:t>
      </w:r>
    </w:p>
    <w:p w14:paraId="565C23AF" w14:textId="77777777" w:rsidR="00880D19" w:rsidRDefault="00D6165E" w:rsidP="009B4DBC">
      <w:pPr>
        <w:pStyle w:val="Heading2"/>
      </w:pPr>
      <w:r>
        <w:t>Results</w:t>
      </w:r>
    </w:p>
    <w:p w14:paraId="3C193745" w14:textId="7A171A64" w:rsidR="000D6293" w:rsidRPr="000D6293" w:rsidRDefault="00880D19" w:rsidP="000D6293">
      <w:pPr>
        <w:pStyle w:val="Heading3"/>
      </w:pPr>
      <w:r>
        <w:t xml:space="preserve">Substance of </w:t>
      </w:r>
      <w:r w:rsidR="00D6165E">
        <w:t xml:space="preserve"> </w:t>
      </w:r>
      <w:r>
        <w:t>CI/IST exchanges</w:t>
      </w:r>
    </w:p>
    <w:p w14:paraId="2520B5C9" w14:textId="6129DBFD" w:rsidR="00880D19" w:rsidRPr="00AD71F3" w:rsidRDefault="00300812" w:rsidP="000D6293">
      <w:pPr>
        <w:rPr>
          <w:color w:val="000000" w:themeColor="text1"/>
        </w:rPr>
      </w:pPr>
      <w:r>
        <w:t>In Table 1 we present an overview of frequency of the various substance codes in all CI/IST exchanges in the data</w:t>
      </w:r>
      <w:r>
        <w:rPr>
          <w:rStyle w:val="FootnoteReference"/>
        </w:rPr>
        <w:footnoteReference w:id="2"/>
      </w:r>
      <w:r>
        <w:t>.</w:t>
      </w:r>
      <w:r w:rsidR="006A56AA">
        <w:t xml:space="preserve"> </w:t>
      </w:r>
      <w:r w:rsidR="00880D19">
        <w:t xml:space="preserve">The most frequent codes in our data are </w:t>
      </w:r>
      <w:r w:rsidR="00880D19">
        <w:rPr>
          <w:i/>
        </w:rPr>
        <w:t>representation, student thinking</w:t>
      </w:r>
      <w:r w:rsidR="00880D19">
        <w:t xml:space="preserve">, </w:t>
      </w:r>
      <w:r w:rsidR="00880D19">
        <w:rPr>
          <w:i/>
        </w:rPr>
        <w:t xml:space="preserve">content goals </w:t>
      </w:r>
      <w:r w:rsidR="00880D19">
        <w:t xml:space="preserve">and </w:t>
      </w:r>
      <w:r w:rsidR="00880D19">
        <w:rPr>
          <w:i/>
        </w:rPr>
        <w:t xml:space="preserve">elicit and respond. </w:t>
      </w:r>
      <w:r w:rsidR="00880D19" w:rsidRPr="00AD71F3">
        <w:t>These codes</w:t>
      </w:r>
      <w:r w:rsidR="00880D19">
        <w:t xml:space="preserve"> </w:t>
      </w:r>
      <w:r w:rsidR="000D6293">
        <w:t xml:space="preserve">were </w:t>
      </w:r>
      <w:r w:rsidR="00880D19">
        <w:t xml:space="preserve">also among the most frequent in the rehearsals by </w:t>
      </w:r>
      <w:r w:rsidR="006E6CF3">
        <w:t>pre-service teachers</w:t>
      </w:r>
      <w:r w:rsidR="00880D19">
        <w:t xml:space="preserve"> analyzed </w:t>
      </w:r>
      <w:r w:rsidR="000D6293">
        <w:t>by</w:t>
      </w:r>
      <w:r w:rsidR="00880D19">
        <w:t xml:space="preserve"> Lampert et. al (2013). </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421"/>
        <w:gridCol w:w="1197"/>
      </w:tblGrid>
      <w:tr w:rsidR="00365B54" w14:paraId="52AA982B" w14:textId="77777777" w:rsidTr="00170111">
        <w:trPr>
          <w:trHeight w:val="57"/>
        </w:trPr>
        <w:tc>
          <w:tcPr>
            <w:tcW w:w="2235" w:type="dxa"/>
            <w:shd w:val="clear" w:color="auto" w:fill="E7E6E6"/>
            <w:vAlign w:val="bottom"/>
          </w:tcPr>
          <w:p w14:paraId="5601D3B0" w14:textId="77777777" w:rsidR="00365B54" w:rsidRPr="00096EE1" w:rsidRDefault="00365B54" w:rsidP="00B00528">
            <w:pPr>
              <w:spacing w:line="240" w:lineRule="auto"/>
              <w:rPr>
                <w:b/>
                <w:color w:val="000000"/>
                <w:sz w:val="22"/>
                <w:szCs w:val="22"/>
              </w:rPr>
            </w:pPr>
            <w:r>
              <w:rPr>
                <w:b/>
                <w:color w:val="000000"/>
                <w:sz w:val="22"/>
                <w:szCs w:val="22"/>
              </w:rPr>
              <w:t>Substance codes</w:t>
            </w:r>
          </w:p>
        </w:tc>
        <w:tc>
          <w:tcPr>
            <w:tcW w:w="6421" w:type="dxa"/>
            <w:shd w:val="clear" w:color="auto" w:fill="E7E6E6"/>
          </w:tcPr>
          <w:p w14:paraId="1F22E799" w14:textId="77777777" w:rsidR="00365B54" w:rsidRPr="00096EE1" w:rsidRDefault="00365B54" w:rsidP="00B00528">
            <w:pPr>
              <w:spacing w:line="240" w:lineRule="auto"/>
              <w:rPr>
                <w:b/>
                <w:color w:val="000000"/>
                <w:sz w:val="22"/>
                <w:szCs w:val="22"/>
              </w:rPr>
            </w:pPr>
            <w:r w:rsidRPr="00096EE1">
              <w:rPr>
                <w:b/>
                <w:color w:val="000000"/>
                <w:sz w:val="22"/>
                <w:szCs w:val="22"/>
              </w:rPr>
              <w:t>Description</w:t>
            </w:r>
          </w:p>
        </w:tc>
        <w:tc>
          <w:tcPr>
            <w:tcW w:w="1197" w:type="dxa"/>
            <w:shd w:val="clear" w:color="auto" w:fill="E7E6E6"/>
          </w:tcPr>
          <w:p w14:paraId="191B9833" w14:textId="77777777" w:rsidR="00365B54" w:rsidRPr="00096EE1" w:rsidRDefault="00365B54" w:rsidP="00B00528">
            <w:pPr>
              <w:spacing w:line="240" w:lineRule="auto"/>
              <w:jc w:val="center"/>
              <w:rPr>
                <w:b/>
                <w:color w:val="000000"/>
                <w:sz w:val="22"/>
                <w:szCs w:val="22"/>
              </w:rPr>
            </w:pPr>
            <w:r w:rsidRPr="00096EE1">
              <w:rPr>
                <w:b/>
                <w:color w:val="000000"/>
                <w:sz w:val="22"/>
                <w:szCs w:val="22"/>
              </w:rPr>
              <w:t>%</w:t>
            </w:r>
            <w:r>
              <w:rPr>
                <w:b/>
                <w:color w:val="000000"/>
                <w:sz w:val="22"/>
                <w:szCs w:val="22"/>
              </w:rPr>
              <w:t xml:space="preserve"> of all exchanges</w:t>
            </w:r>
          </w:p>
        </w:tc>
      </w:tr>
      <w:tr w:rsidR="00365B54" w14:paraId="28A5B97A" w14:textId="77777777" w:rsidTr="00170111">
        <w:trPr>
          <w:trHeight w:val="57"/>
        </w:trPr>
        <w:tc>
          <w:tcPr>
            <w:tcW w:w="2235" w:type="dxa"/>
            <w:shd w:val="clear" w:color="auto" w:fill="auto"/>
            <w:vAlign w:val="bottom"/>
          </w:tcPr>
          <w:p w14:paraId="759C99F0" w14:textId="77777777" w:rsidR="00365B54" w:rsidRPr="00096EE1" w:rsidRDefault="00365B54" w:rsidP="00B00528">
            <w:pPr>
              <w:spacing w:line="240" w:lineRule="auto"/>
              <w:jc w:val="center"/>
              <w:rPr>
                <w:color w:val="000000"/>
                <w:sz w:val="22"/>
                <w:szCs w:val="22"/>
              </w:rPr>
            </w:pPr>
            <w:r w:rsidRPr="00096EE1">
              <w:rPr>
                <w:color w:val="000000"/>
                <w:sz w:val="22"/>
                <w:szCs w:val="22"/>
              </w:rPr>
              <w:t>assessing understand.</w:t>
            </w:r>
          </w:p>
        </w:tc>
        <w:tc>
          <w:tcPr>
            <w:tcW w:w="6421" w:type="dxa"/>
            <w:shd w:val="clear" w:color="auto" w:fill="auto"/>
          </w:tcPr>
          <w:p w14:paraId="13CA70BF" w14:textId="77777777" w:rsidR="00365B54" w:rsidRPr="00096EE1" w:rsidRDefault="00365B54" w:rsidP="00B00528">
            <w:pPr>
              <w:spacing w:line="240" w:lineRule="auto"/>
              <w:rPr>
                <w:color w:val="000000"/>
                <w:sz w:val="22"/>
                <w:szCs w:val="22"/>
              </w:rPr>
            </w:pPr>
            <w:r w:rsidRPr="00096EE1">
              <w:rPr>
                <w:color w:val="000000"/>
                <w:sz w:val="22"/>
                <w:szCs w:val="22"/>
              </w:rPr>
              <w:t xml:space="preserve">Assessing what a student knows and understands about the mathematics </w:t>
            </w:r>
          </w:p>
        </w:tc>
        <w:tc>
          <w:tcPr>
            <w:tcW w:w="1197" w:type="dxa"/>
            <w:shd w:val="clear" w:color="auto" w:fill="auto"/>
          </w:tcPr>
          <w:p w14:paraId="5853F9DF" w14:textId="77777777" w:rsidR="00365B54" w:rsidRPr="00096EE1" w:rsidRDefault="00365B54" w:rsidP="00B00528">
            <w:pPr>
              <w:spacing w:line="240" w:lineRule="auto"/>
              <w:jc w:val="center"/>
              <w:rPr>
                <w:color w:val="000000"/>
                <w:sz w:val="22"/>
                <w:szCs w:val="22"/>
              </w:rPr>
            </w:pPr>
            <w:r>
              <w:rPr>
                <w:color w:val="000000"/>
                <w:sz w:val="22"/>
                <w:szCs w:val="22"/>
              </w:rPr>
              <w:t>16,1</w:t>
            </w:r>
          </w:p>
        </w:tc>
      </w:tr>
      <w:tr w:rsidR="00365B54" w14:paraId="74838AD4" w14:textId="77777777" w:rsidTr="00170111">
        <w:trPr>
          <w:trHeight w:val="57"/>
        </w:trPr>
        <w:tc>
          <w:tcPr>
            <w:tcW w:w="2235" w:type="dxa"/>
            <w:shd w:val="clear" w:color="auto" w:fill="auto"/>
            <w:vAlign w:val="bottom"/>
          </w:tcPr>
          <w:p w14:paraId="78C95283" w14:textId="77777777" w:rsidR="00365B54" w:rsidRPr="00096EE1" w:rsidRDefault="00365B54" w:rsidP="00B00528">
            <w:pPr>
              <w:spacing w:line="240" w:lineRule="auto"/>
              <w:jc w:val="center"/>
              <w:rPr>
                <w:color w:val="000000"/>
                <w:sz w:val="22"/>
                <w:szCs w:val="22"/>
              </w:rPr>
            </w:pPr>
            <w:r w:rsidRPr="00096EE1">
              <w:rPr>
                <w:color w:val="000000"/>
                <w:sz w:val="22"/>
                <w:szCs w:val="22"/>
              </w:rPr>
              <w:t>attending to IA</w:t>
            </w:r>
          </w:p>
        </w:tc>
        <w:tc>
          <w:tcPr>
            <w:tcW w:w="6421" w:type="dxa"/>
            <w:shd w:val="clear" w:color="auto" w:fill="auto"/>
          </w:tcPr>
          <w:p w14:paraId="5E6F5995" w14:textId="77777777" w:rsidR="00365B54" w:rsidRPr="00096EE1" w:rsidRDefault="00365B54" w:rsidP="00B00528">
            <w:pPr>
              <w:spacing w:line="240" w:lineRule="auto"/>
              <w:rPr>
                <w:color w:val="000000"/>
                <w:sz w:val="22"/>
                <w:szCs w:val="22"/>
              </w:rPr>
            </w:pPr>
            <w:r w:rsidRPr="00096EE1">
              <w:rPr>
                <w:color w:val="000000"/>
                <w:sz w:val="22"/>
                <w:szCs w:val="22"/>
              </w:rPr>
              <w:t>Drawing attention to the structural aspects of the IA, particularly to help novice teachers´ understanding the entire IA</w:t>
            </w:r>
          </w:p>
        </w:tc>
        <w:tc>
          <w:tcPr>
            <w:tcW w:w="1197" w:type="dxa"/>
            <w:shd w:val="clear" w:color="auto" w:fill="auto"/>
          </w:tcPr>
          <w:p w14:paraId="70CC9BD7" w14:textId="77777777" w:rsidR="00365B54" w:rsidRPr="00096EE1" w:rsidRDefault="00365B54" w:rsidP="00B00528">
            <w:pPr>
              <w:spacing w:line="240" w:lineRule="auto"/>
              <w:jc w:val="center"/>
              <w:rPr>
                <w:color w:val="000000"/>
                <w:sz w:val="22"/>
                <w:szCs w:val="22"/>
              </w:rPr>
            </w:pPr>
            <w:r>
              <w:rPr>
                <w:color w:val="000000"/>
                <w:sz w:val="22"/>
                <w:szCs w:val="22"/>
              </w:rPr>
              <w:t>23,1</w:t>
            </w:r>
          </w:p>
        </w:tc>
      </w:tr>
      <w:tr w:rsidR="00365B54" w14:paraId="50F003B4" w14:textId="77777777" w:rsidTr="00170111">
        <w:trPr>
          <w:trHeight w:val="57"/>
        </w:trPr>
        <w:tc>
          <w:tcPr>
            <w:tcW w:w="2235" w:type="dxa"/>
            <w:shd w:val="clear" w:color="auto" w:fill="auto"/>
            <w:vAlign w:val="bottom"/>
          </w:tcPr>
          <w:p w14:paraId="7571CD71" w14:textId="77777777" w:rsidR="00365B54" w:rsidRPr="00096EE1" w:rsidRDefault="00365B54" w:rsidP="00B00528">
            <w:pPr>
              <w:spacing w:line="240" w:lineRule="auto"/>
              <w:jc w:val="center"/>
              <w:rPr>
                <w:color w:val="000000"/>
                <w:sz w:val="22"/>
                <w:szCs w:val="22"/>
              </w:rPr>
            </w:pPr>
            <w:r w:rsidRPr="00096EE1">
              <w:rPr>
                <w:color w:val="000000"/>
                <w:sz w:val="22"/>
                <w:szCs w:val="22"/>
              </w:rPr>
              <w:t>body/voice use</w:t>
            </w:r>
          </w:p>
        </w:tc>
        <w:tc>
          <w:tcPr>
            <w:tcW w:w="6421" w:type="dxa"/>
            <w:shd w:val="clear" w:color="auto" w:fill="auto"/>
          </w:tcPr>
          <w:p w14:paraId="29E34D95" w14:textId="77777777" w:rsidR="00365B54" w:rsidRPr="00096EE1" w:rsidRDefault="00365B54" w:rsidP="00B00528">
            <w:pPr>
              <w:spacing w:line="240" w:lineRule="auto"/>
              <w:rPr>
                <w:color w:val="000000"/>
                <w:sz w:val="22"/>
                <w:szCs w:val="22"/>
              </w:rPr>
            </w:pPr>
            <w:r w:rsidRPr="00096EE1">
              <w:rPr>
                <w:color w:val="000000"/>
                <w:sz w:val="22"/>
                <w:szCs w:val="22"/>
              </w:rPr>
              <w:t>Attending to how one uses body and voice while teaching</w:t>
            </w:r>
          </w:p>
        </w:tc>
        <w:tc>
          <w:tcPr>
            <w:tcW w:w="1197" w:type="dxa"/>
            <w:shd w:val="clear" w:color="auto" w:fill="auto"/>
          </w:tcPr>
          <w:p w14:paraId="10240567" w14:textId="77777777" w:rsidR="00365B54" w:rsidRPr="00096EE1" w:rsidRDefault="00365B54" w:rsidP="00B00528">
            <w:pPr>
              <w:spacing w:line="240" w:lineRule="auto"/>
              <w:jc w:val="center"/>
              <w:rPr>
                <w:color w:val="000000"/>
                <w:sz w:val="22"/>
                <w:szCs w:val="22"/>
              </w:rPr>
            </w:pPr>
            <w:r w:rsidRPr="00096EE1">
              <w:rPr>
                <w:color w:val="000000"/>
                <w:sz w:val="22"/>
                <w:szCs w:val="22"/>
              </w:rPr>
              <w:t>0</w:t>
            </w:r>
          </w:p>
        </w:tc>
      </w:tr>
      <w:tr w:rsidR="00365B54" w14:paraId="1D0D1284" w14:textId="77777777" w:rsidTr="00170111">
        <w:trPr>
          <w:trHeight w:val="57"/>
        </w:trPr>
        <w:tc>
          <w:tcPr>
            <w:tcW w:w="2235" w:type="dxa"/>
            <w:shd w:val="clear" w:color="auto" w:fill="auto"/>
            <w:vAlign w:val="bottom"/>
          </w:tcPr>
          <w:p w14:paraId="22CAEE94" w14:textId="77777777" w:rsidR="00365B54" w:rsidRPr="00096EE1" w:rsidRDefault="00365B54" w:rsidP="00B00528">
            <w:pPr>
              <w:spacing w:line="240" w:lineRule="auto"/>
              <w:jc w:val="center"/>
              <w:rPr>
                <w:color w:val="000000"/>
                <w:sz w:val="22"/>
                <w:szCs w:val="22"/>
              </w:rPr>
            </w:pPr>
            <w:r w:rsidRPr="00096EE1">
              <w:rPr>
                <w:color w:val="000000"/>
                <w:sz w:val="22"/>
                <w:szCs w:val="22"/>
              </w:rPr>
              <w:t>closing the IA</w:t>
            </w:r>
          </w:p>
        </w:tc>
        <w:tc>
          <w:tcPr>
            <w:tcW w:w="6421" w:type="dxa"/>
            <w:shd w:val="clear" w:color="auto" w:fill="auto"/>
          </w:tcPr>
          <w:p w14:paraId="5E2F639A" w14:textId="77777777" w:rsidR="00365B54" w:rsidRPr="00096EE1" w:rsidRDefault="00365B54" w:rsidP="00B00528">
            <w:pPr>
              <w:spacing w:line="240" w:lineRule="auto"/>
              <w:rPr>
                <w:color w:val="000000"/>
                <w:sz w:val="22"/>
                <w:szCs w:val="22"/>
              </w:rPr>
            </w:pPr>
            <w:r w:rsidRPr="00096EE1">
              <w:rPr>
                <w:color w:val="000000"/>
                <w:sz w:val="22"/>
                <w:szCs w:val="22"/>
              </w:rPr>
              <w:t>Bringing the IA to an end</w:t>
            </w:r>
          </w:p>
        </w:tc>
        <w:tc>
          <w:tcPr>
            <w:tcW w:w="1197" w:type="dxa"/>
            <w:shd w:val="clear" w:color="auto" w:fill="auto"/>
          </w:tcPr>
          <w:p w14:paraId="5B0D01DB" w14:textId="77777777" w:rsidR="00365B54" w:rsidRPr="00096EE1" w:rsidRDefault="00365B54" w:rsidP="00B00528">
            <w:pPr>
              <w:spacing w:line="240" w:lineRule="auto"/>
              <w:jc w:val="center"/>
              <w:rPr>
                <w:color w:val="000000"/>
                <w:sz w:val="22"/>
                <w:szCs w:val="22"/>
              </w:rPr>
            </w:pPr>
            <w:r>
              <w:rPr>
                <w:color w:val="000000"/>
                <w:sz w:val="22"/>
                <w:szCs w:val="22"/>
              </w:rPr>
              <w:t>3,5</w:t>
            </w:r>
          </w:p>
        </w:tc>
      </w:tr>
      <w:tr w:rsidR="00365B54" w14:paraId="64EAC6C9" w14:textId="77777777" w:rsidTr="00170111">
        <w:trPr>
          <w:trHeight w:val="57"/>
        </w:trPr>
        <w:tc>
          <w:tcPr>
            <w:tcW w:w="2235" w:type="dxa"/>
            <w:shd w:val="clear" w:color="auto" w:fill="auto"/>
            <w:vAlign w:val="bottom"/>
          </w:tcPr>
          <w:p w14:paraId="198C1145" w14:textId="77777777" w:rsidR="00365B54" w:rsidRPr="00096EE1" w:rsidRDefault="00365B54" w:rsidP="00B00528">
            <w:pPr>
              <w:spacing w:line="240" w:lineRule="auto"/>
              <w:jc w:val="center"/>
              <w:rPr>
                <w:color w:val="000000"/>
                <w:sz w:val="22"/>
                <w:szCs w:val="22"/>
              </w:rPr>
            </w:pPr>
            <w:r w:rsidRPr="00096EE1">
              <w:rPr>
                <w:color w:val="000000"/>
                <w:sz w:val="22"/>
                <w:szCs w:val="22"/>
              </w:rPr>
              <w:t>content goals</w:t>
            </w:r>
          </w:p>
        </w:tc>
        <w:tc>
          <w:tcPr>
            <w:tcW w:w="6421" w:type="dxa"/>
            <w:shd w:val="clear" w:color="auto" w:fill="auto"/>
          </w:tcPr>
          <w:p w14:paraId="2D7F4A33" w14:textId="77777777" w:rsidR="00365B54" w:rsidRPr="00096EE1" w:rsidRDefault="00365B54" w:rsidP="00B00528">
            <w:pPr>
              <w:spacing w:line="240" w:lineRule="auto"/>
              <w:rPr>
                <w:color w:val="000000"/>
                <w:sz w:val="22"/>
                <w:szCs w:val="22"/>
              </w:rPr>
            </w:pPr>
            <w:r w:rsidRPr="00096EE1">
              <w:rPr>
                <w:color w:val="000000"/>
                <w:sz w:val="22"/>
                <w:szCs w:val="22"/>
              </w:rPr>
              <w:t>Attending to the specific mathematical content goals of the lesson</w:t>
            </w:r>
          </w:p>
        </w:tc>
        <w:tc>
          <w:tcPr>
            <w:tcW w:w="1197" w:type="dxa"/>
            <w:shd w:val="clear" w:color="auto" w:fill="auto"/>
          </w:tcPr>
          <w:p w14:paraId="074E60F8" w14:textId="77777777" w:rsidR="00365B54" w:rsidRPr="00096EE1" w:rsidRDefault="00365B54" w:rsidP="00B00528">
            <w:pPr>
              <w:spacing w:line="240" w:lineRule="auto"/>
              <w:jc w:val="center"/>
              <w:rPr>
                <w:color w:val="000000"/>
                <w:sz w:val="22"/>
                <w:szCs w:val="22"/>
              </w:rPr>
            </w:pPr>
            <w:r>
              <w:rPr>
                <w:color w:val="000000"/>
                <w:sz w:val="22"/>
                <w:szCs w:val="22"/>
              </w:rPr>
              <w:t>31,5</w:t>
            </w:r>
          </w:p>
        </w:tc>
      </w:tr>
      <w:tr w:rsidR="00365B54" w14:paraId="50C64B47" w14:textId="77777777" w:rsidTr="00170111">
        <w:trPr>
          <w:trHeight w:val="57"/>
        </w:trPr>
        <w:tc>
          <w:tcPr>
            <w:tcW w:w="2235" w:type="dxa"/>
            <w:shd w:val="clear" w:color="auto" w:fill="auto"/>
            <w:vAlign w:val="bottom"/>
          </w:tcPr>
          <w:p w14:paraId="1DD8EBCE" w14:textId="77777777" w:rsidR="00365B54" w:rsidRPr="00096EE1" w:rsidRDefault="00365B54" w:rsidP="00B00528">
            <w:pPr>
              <w:spacing w:line="240" w:lineRule="auto"/>
              <w:jc w:val="center"/>
              <w:rPr>
                <w:color w:val="000000"/>
                <w:sz w:val="22"/>
                <w:szCs w:val="22"/>
              </w:rPr>
            </w:pPr>
            <w:r w:rsidRPr="00096EE1">
              <w:rPr>
                <w:color w:val="000000"/>
                <w:sz w:val="22"/>
                <w:szCs w:val="22"/>
              </w:rPr>
              <w:t>elicit and respond</w:t>
            </w:r>
          </w:p>
        </w:tc>
        <w:tc>
          <w:tcPr>
            <w:tcW w:w="6421" w:type="dxa"/>
            <w:shd w:val="clear" w:color="auto" w:fill="auto"/>
          </w:tcPr>
          <w:p w14:paraId="25DB0F0F" w14:textId="77777777" w:rsidR="00365B54" w:rsidRPr="00096EE1" w:rsidRDefault="00365B54" w:rsidP="00B00528">
            <w:pPr>
              <w:spacing w:line="240" w:lineRule="auto"/>
              <w:rPr>
                <w:color w:val="000000"/>
                <w:sz w:val="22"/>
                <w:szCs w:val="22"/>
              </w:rPr>
            </w:pPr>
            <w:r w:rsidRPr="00096EE1">
              <w:rPr>
                <w:color w:val="000000"/>
                <w:sz w:val="22"/>
                <w:szCs w:val="22"/>
              </w:rPr>
              <w:t>Eliciting, interpreting, responding to student mathematical work or talk</w:t>
            </w:r>
          </w:p>
        </w:tc>
        <w:tc>
          <w:tcPr>
            <w:tcW w:w="1197" w:type="dxa"/>
            <w:shd w:val="clear" w:color="auto" w:fill="auto"/>
          </w:tcPr>
          <w:p w14:paraId="5FDD8864" w14:textId="77777777" w:rsidR="00365B54" w:rsidRPr="00096EE1" w:rsidRDefault="00365B54" w:rsidP="00B00528">
            <w:pPr>
              <w:spacing w:line="240" w:lineRule="auto"/>
              <w:rPr>
                <w:color w:val="000000"/>
                <w:sz w:val="22"/>
                <w:szCs w:val="22"/>
              </w:rPr>
            </w:pPr>
            <w:r>
              <w:rPr>
                <w:color w:val="000000"/>
                <w:sz w:val="22"/>
                <w:szCs w:val="22"/>
              </w:rPr>
              <w:t xml:space="preserve">     31,5</w:t>
            </w:r>
          </w:p>
        </w:tc>
      </w:tr>
      <w:tr w:rsidR="00365B54" w14:paraId="40039661" w14:textId="77777777" w:rsidTr="00170111">
        <w:trPr>
          <w:trHeight w:val="57"/>
        </w:trPr>
        <w:tc>
          <w:tcPr>
            <w:tcW w:w="2235" w:type="dxa"/>
            <w:shd w:val="clear" w:color="auto" w:fill="auto"/>
            <w:vAlign w:val="bottom"/>
          </w:tcPr>
          <w:p w14:paraId="6242D2A9" w14:textId="77777777" w:rsidR="00365B54" w:rsidRPr="00096EE1" w:rsidRDefault="00365B54" w:rsidP="00B00528">
            <w:pPr>
              <w:spacing w:line="240" w:lineRule="auto"/>
              <w:jc w:val="center"/>
              <w:rPr>
                <w:color w:val="000000"/>
                <w:sz w:val="22"/>
                <w:szCs w:val="22"/>
              </w:rPr>
            </w:pPr>
            <w:r w:rsidRPr="00096EE1">
              <w:rPr>
                <w:color w:val="000000"/>
                <w:sz w:val="22"/>
                <w:szCs w:val="22"/>
              </w:rPr>
              <w:t>launching the IA</w:t>
            </w:r>
          </w:p>
        </w:tc>
        <w:tc>
          <w:tcPr>
            <w:tcW w:w="6421" w:type="dxa"/>
            <w:shd w:val="clear" w:color="auto" w:fill="auto"/>
          </w:tcPr>
          <w:p w14:paraId="38987E81" w14:textId="77777777" w:rsidR="00365B54" w:rsidRPr="00096EE1" w:rsidRDefault="00365B54" w:rsidP="00B00528">
            <w:pPr>
              <w:spacing w:line="240" w:lineRule="auto"/>
              <w:rPr>
                <w:color w:val="000000"/>
                <w:sz w:val="22"/>
                <w:szCs w:val="22"/>
              </w:rPr>
            </w:pPr>
            <w:r w:rsidRPr="00096EE1">
              <w:rPr>
                <w:color w:val="000000"/>
                <w:sz w:val="22"/>
                <w:szCs w:val="22"/>
              </w:rPr>
              <w:t>Introducing and beginning student engagement with the IA</w:t>
            </w:r>
          </w:p>
        </w:tc>
        <w:tc>
          <w:tcPr>
            <w:tcW w:w="1197" w:type="dxa"/>
            <w:shd w:val="clear" w:color="auto" w:fill="auto"/>
          </w:tcPr>
          <w:p w14:paraId="4D39DDEC" w14:textId="77777777" w:rsidR="00365B54" w:rsidRPr="00096EE1" w:rsidRDefault="00365B54" w:rsidP="00B00528">
            <w:pPr>
              <w:spacing w:line="240" w:lineRule="auto"/>
              <w:jc w:val="center"/>
              <w:rPr>
                <w:color w:val="000000"/>
                <w:sz w:val="22"/>
                <w:szCs w:val="22"/>
              </w:rPr>
            </w:pPr>
            <w:r>
              <w:rPr>
                <w:color w:val="000000"/>
                <w:sz w:val="22"/>
                <w:szCs w:val="22"/>
              </w:rPr>
              <w:t>5,6</w:t>
            </w:r>
          </w:p>
        </w:tc>
      </w:tr>
      <w:tr w:rsidR="00365B54" w14:paraId="78A03C16" w14:textId="77777777" w:rsidTr="00170111">
        <w:trPr>
          <w:trHeight w:val="57"/>
        </w:trPr>
        <w:tc>
          <w:tcPr>
            <w:tcW w:w="2235" w:type="dxa"/>
            <w:shd w:val="clear" w:color="auto" w:fill="auto"/>
            <w:vAlign w:val="bottom"/>
          </w:tcPr>
          <w:p w14:paraId="64ACD370" w14:textId="77777777" w:rsidR="00365B54" w:rsidRPr="00096EE1" w:rsidRDefault="00365B54" w:rsidP="00B00528">
            <w:pPr>
              <w:spacing w:line="240" w:lineRule="auto"/>
              <w:jc w:val="center"/>
              <w:rPr>
                <w:color w:val="000000"/>
                <w:sz w:val="22"/>
                <w:szCs w:val="22"/>
              </w:rPr>
            </w:pPr>
            <w:r w:rsidRPr="00096EE1">
              <w:rPr>
                <w:color w:val="000000"/>
                <w:sz w:val="22"/>
                <w:szCs w:val="22"/>
              </w:rPr>
              <w:t>manage space</w:t>
            </w:r>
          </w:p>
        </w:tc>
        <w:tc>
          <w:tcPr>
            <w:tcW w:w="6421" w:type="dxa"/>
            <w:shd w:val="clear" w:color="auto" w:fill="auto"/>
          </w:tcPr>
          <w:p w14:paraId="55386579" w14:textId="77777777" w:rsidR="00365B54" w:rsidRPr="00096EE1" w:rsidRDefault="00365B54" w:rsidP="00B00528">
            <w:pPr>
              <w:spacing w:line="240" w:lineRule="auto"/>
              <w:rPr>
                <w:color w:val="000000"/>
                <w:sz w:val="22"/>
                <w:szCs w:val="22"/>
              </w:rPr>
            </w:pPr>
            <w:r w:rsidRPr="00096EE1">
              <w:rPr>
                <w:color w:val="000000"/>
                <w:sz w:val="22"/>
                <w:szCs w:val="22"/>
              </w:rPr>
              <w:t>Attending to issues of classroom space while engaging students</w:t>
            </w:r>
          </w:p>
        </w:tc>
        <w:tc>
          <w:tcPr>
            <w:tcW w:w="1197" w:type="dxa"/>
            <w:shd w:val="clear" w:color="auto" w:fill="auto"/>
          </w:tcPr>
          <w:p w14:paraId="6F99C179" w14:textId="77777777" w:rsidR="00365B54" w:rsidRPr="00096EE1" w:rsidRDefault="00365B54" w:rsidP="00B00528">
            <w:pPr>
              <w:spacing w:line="240" w:lineRule="auto"/>
              <w:jc w:val="center"/>
              <w:rPr>
                <w:color w:val="000000"/>
                <w:sz w:val="22"/>
                <w:szCs w:val="22"/>
              </w:rPr>
            </w:pPr>
            <w:r>
              <w:rPr>
                <w:color w:val="000000"/>
                <w:sz w:val="22"/>
                <w:szCs w:val="22"/>
              </w:rPr>
              <w:t>0,7</w:t>
            </w:r>
          </w:p>
        </w:tc>
      </w:tr>
      <w:tr w:rsidR="00365B54" w14:paraId="4B4DEA56" w14:textId="77777777" w:rsidTr="00170111">
        <w:trPr>
          <w:trHeight w:val="57"/>
        </w:trPr>
        <w:tc>
          <w:tcPr>
            <w:tcW w:w="2235" w:type="dxa"/>
            <w:shd w:val="clear" w:color="auto" w:fill="auto"/>
            <w:vAlign w:val="bottom"/>
          </w:tcPr>
          <w:p w14:paraId="362DFF05" w14:textId="77777777" w:rsidR="00365B54" w:rsidRPr="00096EE1" w:rsidRDefault="00365B54" w:rsidP="00B00528">
            <w:pPr>
              <w:spacing w:line="240" w:lineRule="auto"/>
              <w:jc w:val="center"/>
              <w:rPr>
                <w:color w:val="000000"/>
                <w:sz w:val="22"/>
                <w:szCs w:val="22"/>
              </w:rPr>
            </w:pPr>
            <w:r w:rsidRPr="00096EE1">
              <w:rPr>
                <w:color w:val="000000"/>
                <w:sz w:val="22"/>
                <w:szCs w:val="22"/>
              </w:rPr>
              <w:t>manage timing</w:t>
            </w:r>
          </w:p>
        </w:tc>
        <w:tc>
          <w:tcPr>
            <w:tcW w:w="6421" w:type="dxa"/>
            <w:shd w:val="clear" w:color="auto" w:fill="auto"/>
          </w:tcPr>
          <w:p w14:paraId="1D9D335E" w14:textId="77777777" w:rsidR="00365B54" w:rsidRPr="00096EE1" w:rsidRDefault="00365B54" w:rsidP="00B00528">
            <w:pPr>
              <w:spacing w:line="240" w:lineRule="auto"/>
              <w:rPr>
                <w:color w:val="000000"/>
                <w:sz w:val="22"/>
                <w:szCs w:val="22"/>
              </w:rPr>
            </w:pPr>
            <w:r w:rsidRPr="00096EE1">
              <w:rPr>
                <w:color w:val="000000"/>
                <w:sz w:val="22"/>
                <w:szCs w:val="22"/>
              </w:rPr>
              <w:t>Moving through the lesson in a way that manages timing and pacing</w:t>
            </w:r>
          </w:p>
        </w:tc>
        <w:tc>
          <w:tcPr>
            <w:tcW w:w="1197" w:type="dxa"/>
            <w:shd w:val="clear" w:color="auto" w:fill="auto"/>
          </w:tcPr>
          <w:p w14:paraId="32C85ABE" w14:textId="77777777" w:rsidR="00365B54" w:rsidRPr="00096EE1" w:rsidRDefault="00365B54" w:rsidP="00B00528">
            <w:pPr>
              <w:spacing w:line="240" w:lineRule="auto"/>
              <w:jc w:val="center"/>
              <w:rPr>
                <w:color w:val="000000"/>
                <w:sz w:val="22"/>
                <w:szCs w:val="22"/>
              </w:rPr>
            </w:pPr>
            <w:r>
              <w:rPr>
                <w:color w:val="000000"/>
                <w:sz w:val="22"/>
                <w:szCs w:val="22"/>
              </w:rPr>
              <w:t>3,5</w:t>
            </w:r>
          </w:p>
        </w:tc>
      </w:tr>
      <w:tr w:rsidR="00365B54" w14:paraId="16B16181" w14:textId="77777777" w:rsidTr="00170111">
        <w:trPr>
          <w:trHeight w:val="57"/>
        </w:trPr>
        <w:tc>
          <w:tcPr>
            <w:tcW w:w="2235" w:type="dxa"/>
            <w:shd w:val="clear" w:color="auto" w:fill="auto"/>
            <w:vAlign w:val="bottom"/>
          </w:tcPr>
          <w:p w14:paraId="0723D1BE" w14:textId="77777777" w:rsidR="00365B54" w:rsidRPr="00096EE1" w:rsidRDefault="00365B54" w:rsidP="00B00528">
            <w:pPr>
              <w:spacing w:line="240" w:lineRule="auto"/>
              <w:jc w:val="center"/>
              <w:rPr>
                <w:color w:val="000000"/>
                <w:sz w:val="22"/>
                <w:szCs w:val="22"/>
              </w:rPr>
            </w:pPr>
            <w:r w:rsidRPr="00096EE1">
              <w:rPr>
                <w:color w:val="000000"/>
                <w:sz w:val="22"/>
                <w:szCs w:val="22"/>
              </w:rPr>
              <w:t>mathematics</w:t>
            </w:r>
          </w:p>
        </w:tc>
        <w:tc>
          <w:tcPr>
            <w:tcW w:w="6421" w:type="dxa"/>
            <w:shd w:val="clear" w:color="auto" w:fill="auto"/>
          </w:tcPr>
          <w:p w14:paraId="04321A1A" w14:textId="77777777" w:rsidR="00365B54" w:rsidRPr="00096EE1" w:rsidRDefault="00365B54" w:rsidP="00B00528">
            <w:pPr>
              <w:spacing w:line="240" w:lineRule="auto"/>
              <w:rPr>
                <w:color w:val="000000"/>
                <w:sz w:val="22"/>
                <w:szCs w:val="22"/>
              </w:rPr>
            </w:pPr>
            <w:r w:rsidRPr="00096EE1">
              <w:rPr>
                <w:color w:val="000000"/>
                <w:sz w:val="22"/>
                <w:szCs w:val="22"/>
              </w:rPr>
              <w:t>Working on and understanding the mathematical content, particularly for IST learning</w:t>
            </w:r>
          </w:p>
        </w:tc>
        <w:tc>
          <w:tcPr>
            <w:tcW w:w="1197" w:type="dxa"/>
            <w:shd w:val="clear" w:color="auto" w:fill="auto"/>
          </w:tcPr>
          <w:p w14:paraId="11201424" w14:textId="77777777" w:rsidR="00365B54" w:rsidRPr="00096EE1" w:rsidRDefault="00365B54" w:rsidP="00B00528">
            <w:pPr>
              <w:spacing w:line="240" w:lineRule="auto"/>
              <w:jc w:val="center"/>
              <w:rPr>
                <w:color w:val="000000"/>
                <w:sz w:val="22"/>
                <w:szCs w:val="22"/>
              </w:rPr>
            </w:pPr>
            <w:r>
              <w:rPr>
                <w:color w:val="000000"/>
                <w:sz w:val="22"/>
                <w:szCs w:val="22"/>
              </w:rPr>
              <w:t>22,4</w:t>
            </w:r>
          </w:p>
        </w:tc>
      </w:tr>
      <w:tr w:rsidR="00365B54" w14:paraId="619586FB" w14:textId="77777777" w:rsidTr="00170111">
        <w:trPr>
          <w:trHeight w:val="57"/>
        </w:trPr>
        <w:tc>
          <w:tcPr>
            <w:tcW w:w="2235" w:type="dxa"/>
            <w:shd w:val="clear" w:color="auto" w:fill="auto"/>
            <w:vAlign w:val="bottom"/>
          </w:tcPr>
          <w:p w14:paraId="2DF63CB9" w14:textId="77777777" w:rsidR="00365B54" w:rsidRPr="00096EE1" w:rsidRDefault="00365B54" w:rsidP="00B00528">
            <w:pPr>
              <w:spacing w:line="240" w:lineRule="auto"/>
              <w:jc w:val="center"/>
              <w:rPr>
                <w:color w:val="000000"/>
                <w:sz w:val="22"/>
                <w:szCs w:val="22"/>
              </w:rPr>
            </w:pPr>
            <w:r w:rsidRPr="00096EE1">
              <w:rPr>
                <w:color w:val="000000"/>
                <w:sz w:val="22"/>
                <w:szCs w:val="22"/>
              </w:rPr>
              <w:t>orienting students</w:t>
            </w:r>
          </w:p>
        </w:tc>
        <w:tc>
          <w:tcPr>
            <w:tcW w:w="6421" w:type="dxa"/>
            <w:shd w:val="clear" w:color="auto" w:fill="auto"/>
          </w:tcPr>
          <w:p w14:paraId="5A845B26" w14:textId="77777777" w:rsidR="00365B54" w:rsidRPr="00096EE1" w:rsidRDefault="00365B54" w:rsidP="00B00528">
            <w:pPr>
              <w:spacing w:line="240" w:lineRule="auto"/>
              <w:rPr>
                <w:color w:val="000000"/>
                <w:sz w:val="22"/>
                <w:szCs w:val="22"/>
              </w:rPr>
            </w:pPr>
            <w:r w:rsidRPr="00096EE1">
              <w:rPr>
                <w:color w:val="000000"/>
                <w:sz w:val="22"/>
                <w:szCs w:val="22"/>
              </w:rPr>
              <w:t>Orienting students toward each other´s mathematical ideas</w:t>
            </w:r>
          </w:p>
        </w:tc>
        <w:tc>
          <w:tcPr>
            <w:tcW w:w="1197" w:type="dxa"/>
            <w:shd w:val="clear" w:color="auto" w:fill="auto"/>
          </w:tcPr>
          <w:p w14:paraId="22A9A7C2" w14:textId="77777777" w:rsidR="00365B54" w:rsidRPr="00096EE1" w:rsidRDefault="00365B54" w:rsidP="00B00528">
            <w:pPr>
              <w:spacing w:line="240" w:lineRule="auto"/>
              <w:jc w:val="center"/>
              <w:rPr>
                <w:color w:val="000000"/>
                <w:sz w:val="22"/>
                <w:szCs w:val="22"/>
              </w:rPr>
            </w:pPr>
            <w:r>
              <w:rPr>
                <w:color w:val="000000"/>
                <w:sz w:val="22"/>
                <w:szCs w:val="22"/>
              </w:rPr>
              <w:t>7,0</w:t>
            </w:r>
          </w:p>
        </w:tc>
      </w:tr>
      <w:tr w:rsidR="00365B54" w14:paraId="00FF088A" w14:textId="77777777" w:rsidTr="00170111">
        <w:trPr>
          <w:trHeight w:val="57"/>
        </w:trPr>
        <w:tc>
          <w:tcPr>
            <w:tcW w:w="2235" w:type="dxa"/>
            <w:shd w:val="clear" w:color="auto" w:fill="auto"/>
            <w:vAlign w:val="bottom"/>
          </w:tcPr>
          <w:p w14:paraId="40682C4A" w14:textId="77777777" w:rsidR="00365B54" w:rsidRPr="00096EE1" w:rsidRDefault="00365B54" w:rsidP="00B00528">
            <w:pPr>
              <w:spacing w:line="240" w:lineRule="auto"/>
              <w:jc w:val="center"/>
              <w:rPr>
                <w:color w:val="000000"/>
                <w:sz w:val="22"/>
                <w:szCs w:val="22"/>
              </w:rPr>
            </w:pPr>
            <w:r w:rsidRPr="00096EE1">
              <w:rPr>
                <w:color w:val="000000"/>
                <w:sz w:val="22"/>
                <w:szCs w:val="22"/>
              </w:rPr>
              <w:t>process goals</w:t>
            </w:r>
          </w:p>
        </w:tc>
        <w:tc>
          <w:tcPr>
            <w:tcW w:w="6421" w:type="dxa"/>
            <w:shd w:val="clear" w:color="auto" w:fill="auto"/>
          </w:tcPr>
          <w:p w14:paraId="7777FC4E" w14:textId="77777777" w:rsidR="00365B54" w:rsidRPr="00096EE1" w:rsidRDefault="00365B54" w:rsidP="00B00528">
            <w:pPr>
              <w:spacing w:line="240" w:lineRule="auto"/>
              <w:rPr>
                <w:color w:val="000000"/>
                <w:sz w:val="22"/>
                <w:szCs w:val="22"/>
              </w:rPr>
            </w:pPr>
            <w:r w:rsidRPr="00096EE1">
              <w:rPr>
                <w:color w:val="000000"/>
                <w:sz w:val="22"/>
                <w:szCs w:val="22"/>
              </w:rPr>
              <w:t>Attending to the specific mathematical process goals of the lesson</w:t>
            </w:r>
          </w:p>
        </w:tc>
        <w:tc>
          <w:tcPr>
            <w:tcW w:w="1197" w:type="dxa"/>
            <w:shd w:val="clear" w:color="auto" w:fill="auto"/>
          </w:tcPr>
          <w:p w14:paraId="51172BFA" w14:textId="77777777" w:rsidR="00365B54" w:rsidRPr="00096EE1" w:rsidRDefault="00365B54" w:rsidP="00B00528">
            <w:pPr>
              <w:spacing w:line="240" w:lineRule="auto"/>
              <w:jc w:val="center"/>
              <w:rPr>
                <w:color w:val="000000"/>
                <w:sz w:val="22"/>
                <w:szCs w:val="22"/>
              </w:rPr>
            </w:pPr>
            <w:r>
              <w:rPr>
                <w:color w:val="000000"/>
                <w:sz w:val="22"/>
                <w:szCs w:val="22"/>
              </w:rPr>
              <w:t>16,1</w:t>
            </w:r>
          </w:p>
        </w:tc>
      </w:tr>
      <w:tr w:rsidR="00365B54" w14:paraId="3ED21177" w14:textId="77777777" w:rsidTr="00170111">
        <w:trPr>
          <w:trHeight w:val="57"/>
        </w:trPr>
        <w:tc>
          <w:tcPr>
            <w:tcW w:w="2235" w:type="dxa"/>
            <w:shd w:val="clear" w:color="auto" w:fill="auto"/>
            <w:vAlign w:val="bottom"/>
          </w:tcPr>
          <w:p w14:paraId="52F74D21" w14:textId="77777777" w:rsidR="00365B54" w:rsidRPr="00096EE1" w:rsidRDefault="00365B54" w:rsidP="00B00528">
            <w:pPr>
              <w:spacing w:line="240" w:lineRule="auto"/>
              <w:jc w:val="center"/>
              <w:rPr>
                <w:color w:val="000000"/>
                <w:sz w:val="22"/>
                <w:szCs w:val="22"/>
              </w:rPr>
            </w:pPr>
            <w:r w:rsidRPr="00096EE1">
              <w:rPr>
                <w:color w:val="000000"/>
                <w:sz w:val="22"/>
                <w:szCs w:val="22"/>
              </w:rPr>
              <w:t>representation</w:t>
            </w:r>
          </w:p>
        </w:tc>
        <w:tc>
          <w:tcPr>
            <w:tcW w:w="6421" w:type="dxa"/>
            <w:shd w:val="clear" w:color="auto" w:fill="auto"/>
          </w:tcPr>
          <w:p w14:paraId="7456D144" w14:textId="77777777" w:rsidR="00365B54" w:rsidRPr="00096EE1" w:rsidRDefault="00365B54" w:rsidP="00B00528">
            <w:pPr>
              <w:spacing w:line="240" w:lineRule="auto"/>
              <w:rPr>
                <w:color w:val="000000"/>
                <w:sz w:val="22"/>
                <w:szCs w:val="22"/>
              </w:rPr>
            </w:pPr>
            <w:r w:rsidRPr="00096EE1">
              <w:rPr>
                <w:color w:val="000000"/>
                <w:sz w:val="22"/>
                <w:szCs w:val="22"/>
              </w:rPr>
              <w:t>Representing mathematical ideas in writing and making connections between talk and representation</w:t>
            </w:r>
          </w:p>
        </w:tc>
        <w:tc>
          <w:tcPr>
            <w:tcW w:w="1197" w:type="dxa"/>
            <w:shd w:val="clear" w:color="auto" w:fill="auto"/>
          </w:tcPr>
          <w:p w14:paraId="41A700AF" w14:textId="77777777" w:rsidR="00365B54" w:rsidRPr="00096EE1" w:rsidRDefault="00365B54" w:rsidP="00B00528">
            <w:pPr>
              <w:spacing w:line="240" w:lineRule="auto"/>
              <w:jc w:val="center"/>
              <w:rPr>
                <w:color w:val="000000"/>
                <w:sz w:val="22"/>
                <w:szCs w:val="22"/>
              </w:rPr>
            </w:pPr>
            <w:r>
              <w:rPr>
                <w:color w:val="000000"/>
                <w:sz w:val="22"/>
                <w:szCs w:val="22"/>
              </w:rPr>
              <w:t>39,2</w:t>
            </w:r>
          </w:p>
        </w:tc>
      </w:tr>
      <w:tr w:rsidR="00365B54" w14:paraId="558FEEA4" w14:textId="77777777" w:rsidTr="00170111">
        <w:trPr>
          <w:trHeight w:val="57"/>
        </w:trPr>
        <w:tc>
          <w:tcPr>
            <w:tcW w:w="2235" w:type="dxa"/>
            <w:shd w:val="clear" w:color="auto" w:fill="auto"/>
            <w:vAlign w:val="bottom"/>
          </w:tcPr>
          <w:p w14:paraId="1BF4DE8B" w14:textId="77777777" w:rsidR="00365B54" w:rsidRPr="00096EE1" w:rsidRDefault="00365B54" w:rsidP="00B00528">
            <w:pPr>
              <w:spacing w:line="240" w:lineRule="auto"/>
              <w:jc w:val="center"/>
              <w:rPr>
                <w:color w:val="000000"/>
                <w:sz w:val="22"/>
                <w:szCs w:val="22"/>
              </w:rPr>
            </w:pPr>
            <w:r w:rsidRPr="00096EE1">
              <w:rPr>
                <w:color w:val="000000"/>
                <w:sz w:val="22"/>
                <w:szCs w:val="22"/>
              </w:rPr>
              <w:t>student engagement</w:t>
            </w:r>
          </w:p>
        </w:tc>
        <w:tc>
          <w:tcPr>
            <w:tcW w:w="6421" w:type="dxa"/>
            <w:shd w:val="clear" w:color="auto" w:fill="auto"/>
          </w:tcPr>
          <w:p w14:paraId="1C0A4BF2" w14:textId="77777777" w:rsidR="00365B54" w:rsidRPr="00096EE1" w:rsidRDefault="00365B54" w:rsidP="00B00528">
            <w:pPr>
              <w:spacing w:line="240" w:lineRule="auto"/>
              <w:rPr>
                <w:color w:val="000000"/>
                <w:sz w:val="22"/>
                <w:szCs w:val="22"/>
              </w:rPr>
            </w:pPr>
            <w:r w:rsidRPr="00096EE1">
              <w:rPr>
                <w:color w:val="000000"/>
                <w:sz w:val="22"/>
                <w:szCs w:val="22"/>
              </w:rPr>
              <w:t>Managing the intellectual and behavioral engagement of students</w:t>
            </w:r>
          </w:p>
        </w:tc>
        <w:tc>
          <w:tcPr>
            <w:tcW w:w="1197" w:type="dxa"/>
            <w:shd w:val="clear" w:color="auto" w:fill="auto"/>
          </w:tcPr>
          <w:p w14:paraId="52104766" w14:textId="77777777" w:rsidR="00365B54" w:rsidRPr="00096EE1" w:rsidRDefault="00365B54" w:rsidP="00B00528">
            <w:pPr>
              <w:spacing w:line="240" w:lineRule="auto"/>
              <w:jc w:val="center"/>
              <w:rPr>
                <w:color w:val="000000"/>
                <w:sz w:val="22"/>
                <w:szCs w:val="22"/>
              </w:rPr>
            </w:pPr>
            <w:r>
              <w:rPr>
                <w:color w:val="000000"/>
                <w:sz w:val="22"/>
                <w:szCs w:val="22"/>
              </w:rPr>
              <w:t>12,6</w:t>
            </w:r>
          </w:p>
        </w:tc>
      </w:tr>
      <w:tr w:rsidR="00365B54" w14:paraId="4CF51358" w14:textId="77777777" w:rsidTr="00170111">
        <w:trPr>
          <w:trHeight w:val="57"/>
        </w:trPr>
        <w:tc>
          <w:tcPr>
            <w:tcW w:w="2235" w:type="dxa"/>
            <w:shd w:val="clear" w:color="auto" w:fill="auto"/>
            <w:vAlign w:val="bottom"/>
          </w:tcPr>
          <w:p w14:paraId="0DC2FA93" w14:textId="77777777" w:rsidR="00365B54" w:rsidRPr="00096EE1" w:rsidRDefault="00365B54" w:rsidP="00B00528">
            <w:pPr>
              <w:spacing w:line="240" w:lineRule="auto"/>
              <w:jc w:val="center"/>
              <w:rPr>
                <w:color w:val="000000"/>
                <w:sz w:val="22"/>
                <w:szCs w:val="22"/>
              </w:rPr>
            </w:pPr>
            <w:r w:rsidRPr="00096EE1">
              <w:rPr>
                <w:color w:val="000000"/>
                <w:sz w:val="22"/>
                <w:szCs w:val="22"/>
              </w:rPr>
              <w:t>student error</w:t>
            </w:r>
          </w:p>
        </w:tc>
        <w:tc>
          <w:tcPr>
            <w:tcW w:w="6421" w:type="dxa"/>
            <w:shd w:val="clear" w:color="auto" w:fill="auto"/>
          </w:tcPr>
          <w:p w14:paraId="0C138996" w14:textId="77777777" w:rsidR="00365B54" w:rsidRPr="00096EE1" w:rsidRDefault="00365B54" w:rsidP="00B00528">
            <w:pPr>
              <w:spacing w:line="240" w:lineRule="auto"/>
              <w:rPr>
                <w:color w:val="000000"/>
                <w:sz w:val="22"/>
                <w:szCs w:val="22"/>
              </w:rPr>
            </w:pPr>
            <w:r w:rsidRPr="00096EE1">
              <w:rPr>
                <w:color w:val="000000"/>
                <w:sz w:val="22"/>
                <w:szCs w:val="22"/>
              </w:rPr>
              <w:t>Surfacing and responding to student errors</w:t>
            </w:r>
          </w:p>
        </w:tc>
        <w:tc>
          <w:tcPr>
            <w:tcW w:w="1197" w:type="dxa"/>
            <w:shd w:val="clear" w:color="auto" w:fill="auto"/>
          </w:tcPr>
          <w:p w14:paraId="6491EB19" w14:textId="77777777" w:rsidR="00365B54" w:rsidRPr="00096EE1" w:rsidRDefault="00365B54" w:rsidP="00B00528">
            <w:pPr>
              <w:spacing w:line="240" w:lineRule="auto"/>
              <w:jc w:val="center"/>
              <w:rPr>
                <w:color w:val="000000"/>
                <w:sz w:val="22"/>
                <w:szCs w:val="22"/>
              </w:rPr>
            </w:pPr>
            <w:r>
              <w:rPr>
                <w:color w:val="000000"/>
                <w:sz w:val="22"/>
                <w:szCs w:val="22"/>
              </w:rPr>
              <w:t>4,9</w:t>
            </w:r>
          </w:p>
        </w:tc>
      </w:tr>
      <w:tr w:rsidR="00365B54" w14:paraId="1189734C" w14:textId="77777777" w:rsidTr="00170111">
        <w:trPr>
          <w:trHeight w:val="57"/>
        </w:trPr>
        <w:tc>
          <w:tcPr>
            <w:tcW w:w="2235" w:type="dxa"/>
            <w:shd w:val="clear" w:color="auto" w:fill="auto"/>
            <w:vAlign w:val="bottom"/>
          </w:tcPr>
          <w:p w14:paraId="70F3FB12" w14:textId="77777777" w:rsidR="00365B54" w:rsidRPr="00096EE1" w:rsidRDefault="00365B54" w:rsidP="00B00528">
            <w:pPr>
              <w:spacing w:line="240" w:lineRule="auto"/>
              <w:jc w:val="center"/>
              <w:rPr>
                <w:color w:val="000000"/>
                <w:sz w:val="22"/>
                <w:szCs w:val="22"/>
              </w:rPr>
            </w:pPr>
            <w:r w:rsidRPr="00096EE1">
              <w:rPr>
                <w:color w:val="000000"/>
                <w:sz w:val="22"/>
                <w:szCs w:val="22"/>
              </w:rPr>
              <w:t>student thinking</w:t>
            </w:r>
          </w:p>
        </w:tc>
        <w:tc>
          <w:tcPr>
            <w:tcW w:w="6421" w:type="dxa"/>
            <w:shd w:val="clear" w:color="auto" w:fill="auto"/>
          </w:tcPr>
          <w:p w14:paraId="5AF3D527" w14:textId="77777777" w:rsidR="00365B54" w:rsidRPr="00096EE1" w:rsidRDefault="00365B54" w:rsidP="00B00528">
            <w:pPr>
              <w:spacing w:line="240" w:lineRule="auto"/>
              <w:rPr>
                <w:color w:val="000000"/>
                <w:sz w:val="22"/>
                <w:szCs w:val="22"/>
              </w:rPr>
            </w:pPr>
            <w:r w:rsidRPr="00096EE1">
              <w:rPr>
                <w:color w:val="000000"/>
                <w:sz w:val="22"/>
                <w:szCs w:val="22"/>
              </w:rPr>
              <w:t>Attending to the details of student mathematical thinking</w:t>
            </w:r>
          </w:p>
        </w:tc>
        <w:tc>
          <w:tcPr>
            <w:tcW w:w="1197" w:type="dxa"/>
            <w:shd w:val="clear" w:color="auto" w:fill="auto"/>
          </w:tcPr>
          <w:p w14:paraId="57451D7F" w14:textId="77777777" w:rsidR="00365B54" w:rsidRPr="00096EE1" w:rsidRDefault="00365B54" w:rsidP="00B00528">
            <w:pPr>
              <w:spacing w:line="240" w:lineRule="auto"/>
              <w:rPr>
                <w:color w:val="000000"/>
                <w:sz w:val="22"/>
                <w:szCs w:val="22"/>
              </w:rPr>
            </w:pPr>
            <w:r>
              <w:rPr>
                <w:color w:val="000000"/>
                <w:sz w:val="22"/>
                <w:szCs w:val="22"/>
              </w:rPr>
              <w:t xml:space="preserve">     32,9</w:t>
            </w:r>
          </w:p>
        </w:tc>
      </w:tr>
    </w:tbl>
    <w:p w14:paraId="11C20708" w14:textId="7CA4FEEB" w:rsidR="00365B54" w:rsidRDefault="00365B54" w:rsidP="00365B54">
      <w:pPr>
        <w:pStyle w:val="FigTitle"/>
      </w:pPr>
      <w:r>
        <w:t>Table 1</w:t>
      </w:r>
      <w:r w:rsidRPr="00CF665A">
        <w:t xml:space="preserve">: </w:t>
      </w:r>
      <w:r>
        <w:t xml:space="preserve">Substance codes: description and frequency as </w:t>
      </w:r>
      <w:r w:rsidR="002B0525">
        <w:t>percentage</w:t>
      </w:r>
      <w:r>
        <w:t xml:space="preserve"> of all CI/IST exchanges in the data</w:t>
      </w:r>
    </w:p>
    <w:p w14:paraId="465C799E" w14:textId="1DE9700C" w:rsidR="00880D19" w:rsidRDefault="00F84BA4" w:rsidP="002572E9">
      <w:pPr>
        <w:rPr>
          <w:color w:val="000000"/>
        </w:rPr>
      </w:pPr>
      <w:r w:rsidRPr="00592FC3">
        <w:t>Many of the</w:t>
      </w:r>
      <w:r w:rsidR="006E6CF3">
        <w:t xml:space="preserve"> CI/IST</w:t>
      </w:r>
      <w:r w:rsidRPr="00592FC3">
        <w:t xml:space="preserve"> exchanges involved more than one substance code</w:t>
      </w:r>
      <w:r w:rsidR="004D57CB" w:rsidRPr="00592FC3">
        <w:t>, and the same combination of</w:t>
      </w:r>
      <w:r w:rsidR="004D57CB">
        <w:rPr>
          <w:color w:val="000000"/>
        </w:rPr>
        <w:t xml:space="preserve"> substance codes were frequently found together across different </w:t>
      </w:r>
      <w:r w:rsidR="00470071">
        <w:rPr>
          <w:color w:val="000000"/>
        </w:rPr>
        <w:t>exchanges</w:t>
      </w:r>
      <w:r w:rsidR="004D57CB">
        <w:rPr>
          <w:color w:val="000000"/>
        </w:rPr>
        <w:t>. For example,</w:t>
      </w:r>
      <w:r w:rsidR="00E0741C" w:rsidRPr="00E0741C">
        <w:rPr>
          <w:i/>
          <w:color w:val="000000"/>
        </w:rPr>
        <w:t xml:space="preserve"> </w:t>
      </w:r>
      <w:r w:rsidR="00E0741C" w:rsidRPr="00A35C16">
        <w:rPr>
          <w:i/>
          <w:color w:val="000000"/>
        </w:rPr>
        <w:t>student thinking</w:t>
      </w:r>
      <w:r w:rsidR="00E0741C" w:rsidRPr="00A35C16">
        <w:rPr>
          <w:color w:val="000000"/>
        </w:rPr>
        <w:t xml:space="preserve">, </w:t>
      </w:r>
      <w:r w:rsidR="00E0741C" w:rsidRPr="00A35C16">
        <w:rPr>
          <w:i/>
          <w:color w:val="000000"/>
        </w:rPr>
        <w:t>elicit and respond</w:t>
      </w:r>
      <w:r w:rsidR="00E0741C" w:rsidRPr="00A35C16">
        <w:rPr>
          <w:color w:val="000000"/>
        </w:rPr>
        <w:t xml:space="preserve"> and </w:t>
      </w:r>
      <w:r w:rsidR="00E0741C" w:rsidRPr="00A35C16">
        <w:rPr>
          <w:i/>
          <w:color w:val="000000"/>
        </w:rPr>
        <w:t>representation</w:t>
      </w:r>
      <w:r w:rsidR="00E0741C">
        <w:rPr>
          <w:i/>
          <w:color w:val="000000"/>
        </w:rPr>
        <w:t xml:space="preserve"> </w:t>
      </w:r>
      <w:r w:rsidR="00880D19">
        <w:rPr>
          <w:color w:val="000000"/>
        </w:rPr>
        <w:t xml:space="preserve">appear </w:t>
      </w:r>
      <w:r w:rsidR="004D57CB">
        <w:rPr>
          <w:color w:val="000000"/>
        </w:rPr>
        <w:t>repeatedly</w:t>
      </w:r>
      <w:r w:rsidR="00880D19" w:rsidRPr="00D366B1">
        <w:rPr>
          <w:color w:val="000000"/>
        </w:rPr>
        <w:t xml:space="preserve"> in the same exchange</w:t>
      </w:r>
      <w:r w:rsidR="00880D19" w:rsidRPr="00A35C16">
        <w:rPr>
          <w:color w:val="000000"/>
        </w:rPr>
        <w:t xml:space="preserve">. The combination of </w:t>
      </w:r>
      <w:r w:rsidR="00E0741C" w:rsidRPr="00D366B1">
        <w:rPr>
          <w:i/>
          <w:color w:val="000000"/>
        </w:rPr>
        <w:t>content goal</w:t>
      </w:r>
      <w:r w:rsidR="00E0741C" w:rsidRPr="00D366B1">
        <w:rPr>
          <w:color w:val="000000"/>
        </w:rPr>
        <w:t xml:space="preserve"> and </w:t>
      </w:r>
      <w:r w:rsidR="00E0741C" w:rsidRPr="00D366B1">
        <w:rPr>
          <w:i/>
          <w:color w:val="000000"/>
        </w:rPr>
        <w:t>representation</w:t>
      </w:r>
      <w:r w:rsidR="00880D19" w:rsidRPr="00A35C16">
        <w:rPr>
          <w:color w:val="000000"/>
        </w:rPr>
        <w:t xml:space="preserve"> is also very </w:t>
      </w:r>
      <w:r w:rsidR="004D57CB" w:rsidRPr="00A35C16">
        <w:rPr>
          <w:color w:val="000000"/>
        </w:rPr>
        <w:t>common</w:t>
      </w:r>
      <w:r w:rsidR="00E0741C">
        <w:rPr>
          <w:color w:val="000000"/>
        </w:rPr>
        <w:t xml:space="preserve">, in many cases together with </w:t>
      </w:r>
      <w:r w:rsidR="00E0741C" w:rsidRPr="00A35C16">
        <w:rPr>
          <w:i/>
          <w:color w:val="000000"/>
        </w:rPr>
        <w:t>mathematics</w:t>
      </w:r>
      <w:r w:rsidR="00880D19" w:rsidRPr="00A35C16">
        <w:rPr>
          <w:color w:val="000000"/>
        </w:rPr>
        <w:t>. The frequency and the combination of the codes indicat</w:t>
      </w:r>
      <w:r w:rsidR="002572E9" w:rsidRPr="00A35C16">
        <w:rPr>
          <w:color w:val="000000"/>
        </w:rPr>
        <w:t>e</w:t>
      </w:r>
      <w:r w:rsidR="00880D19" w:rsidRPr="00A35C16">
        <w:rPr>
          <w:color w:val="000000"/>
        </w:rPr>
        <w:t xml:space="preserve"> that the main </w:t>
      </w:r>
      <w:r w:rsidR="00B85E4C" w:rsidRPr="00A35C16">
        <w:rPr>
          <w:color w:val="000000"/>
        </w:rPr>
        <w:t>substance in CI/IST exchanges consist of</w:t>
      </w:r>
      <w:r w:rsidR="00880D19" w:rsidRPr="00A35C16">
        <w:rPr>
          <w:color w:val="000000"/>
        </w:rPr>
        <w:t xml:space="preserve"> </w:t>
      </w:r>
    </w:p>
    <w:p w14:paraId="64B28022" w14:textId="6812B210" w:rsidR="00880D19" w:rsidRPr="00315733" w:rsidRDefault="00880D19" w:rsidP="00880D19">
      <w:pPr>
        <w:pStyle w:val="ListParagraph"/>
        <w:numPr>
          <w:ilvl w:val="0"/>
          <w:numId w:val="8"/>
        </w:numPr>
        <w:rPr>
          <w:color w:val="000000"/>
        </w:rPr>
      </w:pPr>
      <w:r w:rsidRPr="00315733">
        <w:rPr>
          <w:color w:val="000000"/>
        </w:rPr>
        <w:t>attending, represen</w:t>
      </w:r>
      <w:r w:rsidR="00365B54">
        <w:rPr>
          <w:color w:val="000000"/>
        </w:rPr>
        <w:t>tation</w:t>
      </w:r>
      <w:r w:rsidRPr="00315733">
        <w:rPr>
          <w:color w:val="000000"/>
        </w:rPr>
        <w:t>, eliciting and res</w:t>
      </w:r>
      <w:r w:rsidR="004A22C9">
        <w:rPr>
          <w:color w:val="000000"/>
        </w:rPr>
        <w:t>ponding to student thinking</w:t>
      </w:r>
    </w:p>
    <w:p w14:paraId="7481A414" w14:textId="0259C59F" w:rsidR="00880D19" w:rsidRDefault="00880D19" w:rsidP="00915E24">
      <w:pPr>
        <w:pStyle w:val="ListParagraph"/>
        <w:numPr>
          <w:ilvl w:val="0"/>
          <w:numId w:val="8"/>
        </w:numPr>
        <w:rPr>
          <w:color w:val="000000"/>
        </w:rPr>
      </w:pPr>
      <w:r w:rsidRPr="001468F8">
        <w:rPr>
          <w:color w:val="000000"/>
        </w:rPr>
        <w:t>content goals and representation of mathematical ideas in the activity</w:t>
      </w:r>
    </w:p>
    <w:p w14:paraId="3810A836" w14:textId="7CBDE7F1" w:rsidR="00915E24" w:rsidRPr="00915E24" w:rsidRDefault="00915E24" w:rsidP="00915E24">
      <w:pPr>
        <w:pStyle w:val="ListParagraph"/>
        <w:ind w:left="1080"/>
        <w:rPr>
          <w:color w:val="000000"/>
        </w:rPr>
      </w:pPr>
    </w:p>
    <w:p w14:paraId="2E1AC23C" w14:textId="3B2DC4E1" w:rsidR="00880D19" w:rsidRPr="00B259FD" w:rsidRDefault="00915E24" w:rsidP="00B259FD">
      <w:pPr>
        <w:rPr>
          <w:b/>
          <w:sz w:val="22"/>
          <w:szCs w:val="22"/>
        </w:rPr>
      </w:pPr>
      <w:r>
        <w:t>The following example</w:t>
      </w:r>
      <w:r w:rsidR="00B85E4C">
        <w:t xml:space="preserve"> is representative of</w:t>
      </w:r>
      <w:r w:rsidR="00880D19">
        <w:t xml:space="preserve"> the </w:t>
      </w:r>
      <w:r>
        <w:t>first category above:</w:t>
      </w:r>
    </w:p>
    <w:p w14:paraId="6B6C3B2C" w14:textId="634E3379" w:rsidR="00880D19" w:rsidRDefault="009F0F02" w:rsidP="00915E24">
      <w:r>
        <w:t>Example 1.</w:t>
      </w:r>
      <w:r w:rsidR="00880D19">
        <w:t xml:space="preserve"> </w:t>
      </w:r>
      <w:r w:rsidR="00915E24">
        <w:t>The IST who is teaching during</w:t>
      </w:r>
      <w:r w:rsidR="00880D19">
        <w:t xml:space="preserve"> the rehearsal show</w:t>
      </w:r>
      <w:r w:rsidR="00915E24">
        <w:t>s the image of three groups of</w:t>
      </w:r>
      <w:r w:rsidR="00880D19">
        <w:t xml:space="preserve"> eight dots and asks </w:t>
      </w:r>
      <w:r w:rsidR="00915E24">
        <w:t>the “</w:t>
      </w:r>
      <w:r w:rsidR="00880D19">
        <w:t>students</w:t>
      </w:r>
      <w:r w:rsidR="00915E24">
        <w:t>”</w:t>
      </w:r>
      <w:r w:rsidR="00880D19">
        <w:t xml:space="preserve"> how they see it.</w:t>
      </w:r>
      <w:r w:rsidR="00B259FD">
        <w:t xml:space="preserve"> One of the other ISTs in the team suggest an answer.</w:t>
      </w:r>
    </w:p>
    <w:p w14:paraId="2FE3375C" w14:textId="3440CB42" w:rsidR="00915E24" w:rsidRDefault="006E6CF3" w:rsidP="00B259FD">
      <w:pPr>
        <w:pStyle w:val="Transcript"/>
      </w:pPr>
      <w:r w:rsidRPr="00B259FD">
        <w:rPr>
          <w:noProof/>
        </w:rPr>
        <w:drawing>
          <wp:anchor distT="0" distB="0" distL="114300" distR="114300" simplePos="0" relativeHeight="251664384" behindDoc="0" locked="0" layoutInCell="1" allowOverlap="1" wp14:anchorId="634065B7" wp14:editId="69296DB6">
            <wp:simplePos x="0" y="0"/>
            <wp:positionH relativeFrom="margin">
              <wp:posOffset>4168140</wp:posOffset>
            </wp:positionH>
            <wp:positionV relativeFrom="margin">
              <wp:posOffset>5039360</wp:posOffset>
            </wp:positionV>
            <wp:extent cx="2035175" cy="1590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35175" cy="1590675"/>
                    </a:xfrm>
                    <a:prstGeom prst="rect">
                      <a:avLst/>
                    </a:prstGeom>
                  </pic:spPr>
                </pic:pic>
              </a:graphicData>
            </a:graphic>
          </wp:anchor>
        </w:drawing>
      </w:r>
      <w:r w:rsidR="00880D19" w:rsidRPr="00A35C16">
        <w:t>IST2:</w:t>
      </w:r>
      <w:r w:rsidR="00365B54">
        <w:t xml:space="preserve"> </w:t>
      </w:r>
      <w:r w:rsidR="00B259FD">
        <w:t xml:space="preserve">          </w:t>
      </w:r>
      <w:r w:rsidR="005C2FDE">
        <w:tab/>
      </w:r>
      <w:r w:rsidR="00880D19">
        <w:t xml:space="preserve">I see eight times three. In the first group I saw four plus four, </w:t>
      </w:r>
      <w:r w:rsidR="00915E24">
        <w:t>eight. I have eight three times.</w:t>
      </w:r>
    </w:p>
    <w:p w14:paraId="53F2C818" w14:textId="73900C01" w:rsidR="00880D19" w:rsidRDefault="00880D19" w:rsidP="00B259FD">
      <w:pPr>
        <w:pStyle w:val="Transcript"/>
      </w:pPr>
      <w:r w:rsidRPr="00A35C16">
        <w:t>IST:</w:t>
      </w:r>
      <w:r w:rsidR="005D02DE">
        <w:t xml:space="preserve">             </w:t>
      </w:r>
      <w:r w:rsidR="00B259FD">
        <w:t xml:space="preserve">  </w:t>
      </w:r>
      <w:r w:rsidR="00B259FD" w:rsidRPr="00B259FD">
        <w:rPr>
          <w:color w:val="000000"/>
        </w:rPr>
        <w:t>[</w:t>
      </w:r>
      <w:r w:rsidR="00B259FD" w:rsidRPr="00B259FD">
        <w:t>C</w:t>
      </w:r>
      <w:r w:rsidR="002D0855" w:rsidRPr="00B259FD">
        <w:t>ircles three groups of eight</w:t>
      </w:r>
      <w:r w:rsidR="00915E24" w:rsidRPr="00B259FD">
        <w:t>.</w:t>
      </w:r>
      <w:r w:rsidR="00B259FD" w:rsidRPr="00B259FD">
        <w:t xml:space="preserve"> See </w:t>
      </w:r>
      <w:r w:rsidR="00470071" w:rsidRPr="00B259FD">
        <w:t>Figure</w:t>
      </w:r>
      <w:r w:rsidR="00B259FD" w:rsidRPr="00B259FD">
        <w:t xml:space="preserve"> 2</w:t>
      </w:r>
      <w:r w:rsidR="00B259FD">
        <w:t>.</w:t>
      </w:r>
      <w:r w:rsidR="00B259FD" w:rsidRPr="00B259FD">
        <w:rPr>
          <w:color w:val="000000"/>
        </w:rPr>
        <w:t>]</w:t>
      </w:r>
      <w:r>
        <w:t xml:space="preserve"> So first you have one times eight, so one ti</w:t>
      </w:r>
      <w:r w:rsidR="00B259FD">
        <w:t xml:space="preserve">mes eight, so one times eight. </w:t>
      </w:r>
      <w:r w:rsidR="00B259FD" w:rsidRPr="00B259FD">
        <w:rPr>
          <w:color w:val="000000"/>
        </w:rPr>
        <w:t>[</w:t>
      </w:r>
      <w:r w:rsidR="00B259FD">
        <w:t>Writes 1x8+1x8+1x8=3x8.</w:t>
      </w:r>
      <w:r w:rsidR="00B259FD" w:rsidRPr="00B259FD">
        <w:rPr>
          <w:color w:val="000000"/>
        </w:rPr>
        <w:t>]</w:t>
      </w:r>
      <w:r>
        <w:t xml:space="preserve"> Some other suggestions?</w:t>
      </w:r>
    </w:p>
    <w:p w14:paraId="23F31A1C" w14:textId="34C27D01" w:rsidR="00880D19" w:rsidRDefault="005D02DE" w:rsidP="00B259FD">
      <w:pPr>
        <w:pStyle w:val="Transcript"/>
      </w:pPr>
      <w:r>
        <w:t xml:space="preserve">CI:             </w:t>
      </w:r>
      <w:r w:rsidR="00880D19">
        <w:t>Can we stop for a moment? Hmm, this is not so easy. The student presents her thinking rather imprecise</w:t>
      </w:r>
      <w:r w:rsidR="00915E24">
        <w:t>ly</w:t>
      </w:r>
      <w:r w:rsidR="00880D19">
        <w:t xml:space="preserve">, and now we need to illustrate it on the image and also write </w:t>
      </w:r>
      <w:r w:rsidR="00915E24">
        <w:t xml:space="preserve">it </w:t>
      </w:r>
      <w:r w:rsidR="00880D19">
        <w:t>symbolically. We lose the part about seeing eight as four plus four in the way you represent her thinking. Can we try to represent her idea more accurate</w:t>
      </w:r>
      <w:r w:rsidR="00915E24">
        <w:t>ly</w:t>
      </w:r>
      <w:r w:rsidR="00880D19">
        <w:t xml:space="preserve">? </w:t>
      </w:r>
    </w:p>
    <w:p w14:paraId="403D7266" w14:textId="43F7981B" w:rsidR="00880D19" w:rsidRDefault="00880D19" w:rsidP="00B259FD">
      <w:pPr>
        <w:pStyle w:val="Transcript"/>
      </w:pPr>
      <w:r>
        <w:t>IST:</w:t>
      </w:r>
      <w:r w:rsidR="00915E24">
        <w:t xml:space="preserve">                I can circle</w:t>
      </w:r>
      <w:r>
        <w:t xml:space="preserve"> four and four…</w:t>
      </w:r>
    </w:p>
    <w:p w14:paraId="105A7ECF" w14:textId="2E07435D" w:rsidR="00880D19" w:rsidRDefault="005D02DE" w:rsidP="00B259FD">
      <w:pPr>
        <w:pStyle w:val="Transcript"/>
      </w:pPr>
      <w:r>
        <w:t xml:space="preserve">IST3:        </w:t>
      </w:r>
      <w:r>
        <w:tab/>
      </w:r>
      <w:r w:rsidR="00880D19">
        <w:t>But just in the first group. She said that she saw it in the first gro</w:t>
      </w:r>
      <w:r w:rsidR="00713001">
        <w:t>up and then just multiplied by three</w:t>
      </w:r>
      <w:r w:rsidR="00880D19">
        <w:t>. And it is not clear whether she thinks eight times three or three times eight, she says both.</w:t>
      </w:r>
      <w:r w:rsidR="00025A9A">
        <w:rPr>
          <w:rStyle w:val="FootnoteReference"/>
        </w:rPr>
        <w:footnoteReference w:id="3"/>
      </w:r>
    </w:p>
    <w:p w14:paraId="7ABF972C" w14:textId="5A2596A7" w:rsidR="00880D19" w:rsidRDefault="00915E24" w:rsidP="00880D19">
      <w:pPr>
        <w:pStyle w:val="Transcript"/>
      </w:pPr>
      <w:r w:rsidRPr="00860AA7">
        <w:t xml:space="preserve">IST:              </w:t>
      </w:r>
      <w:r w:rsidR="0069055C">
        <w:tab/>
      </w:r>
      <w:r w:rsidR="00880D19" w:rsidRPr="00860AA7">
        <w:t>Yes, right. I tried to make “eight times three or three times eight” clearer by leading to one times eight, and so on. Because it is three times eight.</w:t>
      </w:r>
      <w:r w:rsidR="00880D19">
        <w:t xml:space="preserve"> </w:t>
      </w:r>
    </w:p>
    <w:p w14:paraId="2C7BD87D" w14:textId="2C38706B" w:rsidR="00880D19" w:rsidRDefault="00860AA7" w:rsidP="00B259FD">
      <w:pPr>
        <w:pStyle w:val="Transcript"/>
      </w:pPr>
      <w:r>
        <w:t xml:space="preserve">CI:             </w:t>
      </w:r>
      <w:r w:rsidR="00880D19">
        <w:t>Maybe you can ask the student how she would represent it? Or, if you find her explanation too vague, you can ask her to say more?</w:t>
      </w:r>
    </w:p>
    <w:p w14:paraId="38BF345A" w14:textId="719BF899" w:rsidR="00880D19" w:rsidRDefault="00915E24" w:rsidP="009A37BF">
      <w:pPr>
        <w:rPr>
          <w:color w:val="000000"/>
        </w:rPr>
      </w:pPr>
      <w:r>
        <w:rPr>
          <w:color w:val="000000"/>
        </w:rPr>
        <w:t>The IST2 (who</w:t>
      </w:r>
      <w:r w:rsidR="00880D19">
        <w:rPr>
          <w:color w:val="000000"/>
        </w:rPr>
        <w:t xml:space="preserve"> plays the role of the student) says that she sees eight as four </w:t>
      </w:r>
      <w:r w:rsidR="00A33A38">
        <w:rPr>
          <w:color w:val="000000"/>
        </w:rPr>
        <w:t xml:space="preserve">plus four and </w:t>
      </w:r>
      <w:r w:rsidR="009F0F02">
        <w:rPr>
          <w:color w:val="000000"/>
        </w:rPr>
        <w:t>she</w:t>
      </w:r>
      <w:r w:rsidR="00880D19">
        <w:rPr>
          <w:color w:val="000000"/>
        </w:rPr>
        <w:t xml:space="preserve"> </w:t>
      </w:r>
      <w:r w:rsidR="009A37BF">
        <w:rPr>
          <w:color w:val="000000"/>
        </w:rPr>
        <w:t xml:space="preserve">says </w:t>
      </w:r>
      <w:r w:rsidR="00880D19">
        <w:rPr>
          <w:color w:val="000000"/>
        </w:rPr>
        <w:t>“</w:t>
      </w:r>
      <w:r w:rsidR="009F0F02">
        <w:t>eight times three”. Later</w:t>
      </w:r>
      <w:r w:rsidR="009A37BF">
        <w:t xml:space="preserve"> she</w:t>
      </w:r>
      <w:r w:rsidR="00880D19">
        <w:t xml:space="preserve"> says “eight three times” which is more in </w:t>
      </w:r>
      <w:r w:rsidR="009A37BF">
        <w:t>accordance with</w:t>
      </w:r>
      <w:r w:rsidR="00880D19">
        <w:t xml:space="preserve"> the image and the convention. The IST takes no notice of the first parts of the utterance, and he </w:t>
      </w:r>
      <w:r w:rsidR="009A37BF">
        <w:t>grabs hold of</w:t>
      </w:r>
      <w:r w:rsidR="00880D19">
        <w:t xml:space="preserve"> the last part which is </w:t>
      </w:r>
      <w:r w:rsidR="009A37BF">
        <w:t>more in line</w:t>
      </w:r>
      <w:r w:rsidR="00880D19">
        <w:t xml:space="preserve"> with his goal.  </w:t>
      </w:r>
      <w:r w:rsidR="009A37BF">
        <w:rPr>
          <w:color w:val="000000"/>
        </w:rPr>
        <w:t>The CI´s first question is about</w:t>
      </w:r>
      <w:r w:rsidR="00880D19">
        <w:rPr>
          <w:color w:val="000000"/>
        </w:rPr>
        <w:t xml:space="preserve"> </w:t>
      </w:r>
      <w:r w:rsidR="00880D19" w:rsidRPr="009A37BF">
        <w:rPr>
          <w:i/>
          <w:iCs/>
          <w:color w:val="000000"/>
        </w:rPr>
        <w:t>attending to</w:t>
      </w:r>
      <w:r w:rsidR="00880D19">
        <w:rPr>
          <w:color w:val="000000"/>
        </w:rPr>
        <w:t xml:space="preserve"> and </w:t>
      </w:r>
      <w:r w:rsidR="00880D19" w:rsidRPr="009A37BF">
        <w:rPr>
          <w:i/>
          <w:iCs/>
          <w:color w:val="000000"/>
        </w:rPr>
        <w:t>re</w:t>
      </w:r>
      <w:r w:rsidR="00365B54">
        <w:rPr>
          <w:i/>
          <w:iCs/>
          <w:color w:val="000000"/>
        </w:rPr>
        <w:t xml:space="preserve">presentation </w:t>
      </w:r>
      <w:r w:rsidR="00365B54">
        <w:rPr>
          <w:iCs/>
          <w:color w:val="000000"/>
        </w:rPr>
        <w:t>of s</w:t>
      </w:r>
      <w:r w:rsidR="00880D19">
        <w:rPr>
          <w:color w:val="000000"/>
        </w:rPr>
        <w:t xml:space="preserve">tudent thinking. The IST simplifies and changes the student´s contribution </w:t>
      </w:r>
      <w:r w:rsidR="009A37BF">
        <w:rPr>
          <w:color w:val="000000"/>
        </w:rPr>
        <w:t>through</w:t>
      </w:r>
      <w:r w:rsidR="00880D19">
        <w:rPr>
          <w:color w:val="000000"/>
        </w:rPr>
        <w:t xml:space="preserve"> the visual and symbolic representation. Further on, he asks </w:t>
      </w:r>
      <w:r w:rsidR="009A37BF">
        <w:rPr>
          <w:color w:val="000000"/>
        </w:rPr>
        <w:t>for</w:t>
      </w:r>
      <w:r w:rsidR="00880D19">
        <w:rPr>
          <w:color w:val="000000"/>
        </w:rPr>
        <w:t xml:space="preserve"> other suggestions and thus indicates that the discussion is finished. The CI´s second utterance </w:t>
      </w:r>
      <w:r w:rsidR="009A37BF">
        <w:rPr>
          <w:color w:val="000000"/>
        </w:rPr>
        <w:t xml:space="preserve">explicitly </w:t>
      </w:r>
      <w:r w:rsidR="00880D19">
        <w:rPr>
          <w:color w:val="000000"/>
        </w:rPr>
        <w:t>address</w:t>
      </w:r>
      <w:r w:rsidR="009A37BF">
        <w:rPr>
          <w:color w:val="000000"/>
        </w:rPr>
        <w:t>es</w:t>
      </w:r>
      <w:r w:rsidR="00880D19">
        <w:rPr>
          <w:color w:val="000000"/>
        </w:rPr>
        <w:t xml:space="preserve"> </w:t>
      </w:r>
      <w:r w:rsidR="00880D19" w:rsidRPr="009A37BF">
        <w:rPr>
          <w:i/>
          <w:iCs/>
          <w:color w:val="000000"/>
        </w:rPr>
        <w:t>eliciting and responding</w:t>
      </w:r>
      <w:r w:rsidR="00880D19">
        <w:rPr>
          <w:color w:val="000000"/>
        </w:rPr>
        <w:t>.</w:t>
      </w:r>
    </w:p>
    <w:p w14:paraId="5D45AA9C" w14:textId="4F9DE006" w:rsidR="00880D19" w:rsidRDefault="00880D19" w:rsidP="00A46B72">
      <w:pPr>
        <w:rPr>
          <w:color w:val="000000"/>
        </w:rPr>
      </w:pPr>
      <w:r w:rsidRPr="009F0F02">
        <w:rPr>
          <w:color w:val="000000"/>
        </w:rPr>
        <w:t xml:space="preserve">The </w:t>
      </w:r>
      <w:r w:rsidR="00E0741C">
        <w:rPr>
          <w:color w:val="000000"/>
        </w:rPr>
        <w:t>combination of</w:t>
      </w:r>
      <w:r w:rsidR="00E0741C" w:rsidRPr="009F0F02">
        <w:rPr>
          <w:color w:val="000000"/>
        </w:rPr>
        <w:t xml:space="preserve"> </w:t>
      </w:r>
      <w:r w:rsidR="00E0741C" w:rsidRPr="00E0741C">
        <w:rPr>
          <w:i/>
          <w:color w:val="000000"/>
        </w:rPr>
        <w:t>content goals</w:t>
      </w:r>
      <w:r w:rsidR="00E0741C" w:rsidRPr="009F0F02">
        <w:rPr>
          <w:color w:val="000000"/>
        </w:rPr>
        <w:t xml:space="preserve"> and </w:t>
      </w:r>
      <w:r w:rsidR="00E0741C" w:rsidRPr="00E0741C">
        <w:rPr>
          <w:i/>
          <w:color w:val="000000"/>
        </w:rPr>
        <w:t>representation</w:t>
      </w:r>
      <w:r w:rsidR="00E0741C" w:rsidRPr="009F0F02">
        <w:rPr>
          <w:color w:val="000000"/>
        </w:rPr>
        <w:t xml:space="preserve"> of mathematical ideas in the activity</w:t>
      </w:r>
      <w:r w:rsidR="00E0741C">
        <w:rPr>
          <w:color w:val="000000"/>
        </w:rPr>
        <w:t xml:space="preserve"> appear also often </w:t>
      </w:r>
      <w:r w:rsidR="000620A5" w:rsidRPr="009F0F02">
        <w:rPr>
          <w:color w:val="000000"/>
        </w:rPr>
        <w:t>within exchanges</w:t>
      </w:r>
      <w:r w:rsidR="009F0F02">
        <w:rPr>
          <w:color w:val="000000"/>
        </w:rPr>
        <w:t xml:space="preserve"> in our data</w:t>
      </w:r>
      <w:r w:rsidR="000620A5" w:rsidRPr="009F0F02">
        <w:rPr>
          <w:color w:val="000000"/>
        </w:rPr>
        <w:t>,</w:t>
      </w:r>
      <w:r w:rsidR="00E0741C">
        <w:rPr>
          <w:color w:val="000000"/>
        </w:rPr>
        <w:t xml:space="preserve"> and the combination is</w:t>
      </w:r>
      <w:r w:rsidR="000620A5">
        <w:rPr>
          <w:color w:val="000000"/>
        </w:rPr>
        <w:t xml:space="preserve"> illustrated in </w:t>
      </w:r>
      <w:r w:rsidR="00A46B72">
        <w:rPr>
          <w:color w:val="000000"/>
        </w:rPr>
        <w:t>the following example</w:t>
      </w:r>
      <w:r w:rsidR="009F0F02">
        <w:rPr>
          <w:color w:val="000000"/>
        </w:rPr>
        <w:t>:</w:t>
      </w:r>
    </w:p>
    <w:p w14:paraId="47C4DC31" w14:textId="76A81E98" w:rsidR="00CD6C99" w:rsidRDefault="006E6CF3" w:rsidP="000922F8">
      <w:r w:rsidRPr="00CD6C99">
        <w:rPr>
          <w:noProof/>
        </w:rPr>
        <w:drawing>
          <wp:anchor distT="0" distB="0" distL="114300" distR="114300" simplePos="0" relativeHeight="251665408" behindDoc="0" locked="0" layoutInCell="1" allowOverlap="1" wp14:anchorId="437499F7" wp14:editId="4F551BFB">
            <wp:simplePos x="0" y="0"/>
            <wp:positionH relativeFrom="margin">
              <wp:posOffset>3560445</wp:posOffset>
            </wp:positionH>
            <wp:positionV relativeFrom="margin">
              <wp:posOffset>4580255</wp:posOffset>
            </wp:positionV>
            <wp:extent cx="2797175" cy="704850"/>
            <wp:effectExtent l="0" t="0" r="0" b="635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t="11483"/>
                    <a:stretch/>
                  </pic:blipFill>
                  <pic:spPr bwMode="auto">
                    <a:xfrm>
                      <a:off x="0" y="0"/>
                      <a:ext cx="2797175" cy="704850"/>
                    </a:xfrm>
                    <a:prstGeom prst="rect">
                      <a:avLst/>
                    </a:prstGeom>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r w:rsidR="009F0F02">
        <w:t>Example 2.</w:t>
      </w:r>
      <w:r w:rsidR="00A46B72">
        <w:t xml:space="preserve"> </w:t>
      </w:r>
      <w:r w:rsidR="000922F8">
        <w:t xml:space="preserve">The IST´s </w:t>
      </w:r>
      <w:r w:rsidR="00880D19">
        <w:t>goal</w:t>
      </w:r>
      <w:r w:rsidR="000922F8">
        <w:t xml:space="preserve"> is</w:t>
      </w:r>
      <w:r w:rsidR="00880D19">
        <w:t xml:space="preserve"> to use a string </w:t>
      </w:r>
      <w:r w:rsidR="00A74CC5">
        <w:t>of</w:t>
      </w:r>
      <w:r w:rsidR="000922F8">
        <w:t xml:space="preserve"> problems to discuss</w:t>
      </w:r>
      <w:r w:rsidR="00880D19">
        <w:t xml:space="preserve"> multiplication by ten, hundred and thousand with </w:t>
      </w:r>
      <w:r w:rsidR="00A74CC5">
        <w:t xml:space="preserve">the </w:t>
      </w:r>
      <w:r w:rsidR="00713001">
        <w:t>students. He starts by four times three</w:t>
      </w:r>
      <w:r w:rsidR="000922F8">
        <w:t>, and asks the students for a</w:t>
      </w:r>
      <w:r w:rsidR="00880D19">
        <w:t xml:space="preserve"> story that </w:t>
      </w:r>
      <w:r w:rsidR="000922F8">
        <w:t>would fit</w:t>
      </w:r>
      <w:r w:rsidR="00880D19">
        <w:t xml:space="preserve"> the arithmetic problem. A student (one of the ISTs</w:t>
      </w:r>
      <w:r w:rsidR="000922F8">
        <w:t>) suggests four groups of three</w:t>
      </w:r>
      <w:r w:rsidR="00880D19">
        <w:t xml:space="preserve"> apples, and the IST </w:t>
      </w:r>
      <w:r w:rsidR="000922F8">
        <w:t xml:space="preserve">draws the illustration as shown </w:t>
      </w:r>
      <w:r w:rsidR="000922F8" w:rsidRPr="002B0525">
        <w:t xml:space="preserve">in </w:t>
      </w:r>
      <w:r w:rsidR="002B0525">
        <w:t>Figure 3.</w:t>
      </w:r>
    </w:p>
    <w:p w14:paraId="5764E768" w14:textId="647A250D" w:rsidR="00880D19" w:rsidRPr="0010704C" w:rsidRDefault="009E2EE7" w:rsidP="009E2EE7">
      <w:pPr>
        <w:pStyle w:val="Transcript"/>
      </w:pPr>
      <w:r>
        <w:t>CI:</w:t>
      </w:r>
      <w:r>
        <w:tab/>
      </w:r>
      <w:r w:rsidR="00880D19" w:rsidRPr="0010704C">
        <w:t>Are y</w:t>
      </w:r>
      <w:r>
        <w:t xml:space="preserve">ou planning to use money in the </w:t>
      </w:r>
      <w:r w:rsidR="00880D19" w:rsidRPr="0010704C">
        <w:t>discussion? Your</w:t>
      </w:r>
      <w:r w:rsidR="00A74CC5">
        <w:t xml:space="preserve"> illustration reminds me of </w:t>
      </w:r>
      <w:r w:rsidR="00880D19" w:rsidRPr="0010704C">
        <w:t>money.</w:t>
      </w:r>
    </w:p>
    <w:p w14:paraId="550E779E" w14:textId="50A19B02" w:rsidR="00880D19" w:rsidRPr="0010704C" w:rsidRDefault="00880D19" w:rsidP="009E2EE7">
      <w:pPr>
        <w:pStyle w:val="Transcript"/>
      </w:pPr>
      <w:r w:rsidRPr="0010704C">
        <w:t xml:space="preserve">IST: </w:t>
      </w:r>
      <w:r>
        <w:t xml:space="preserve">             </w:t>
      </w:r>
      <w:r w:rsidR="009E2EE7">
        <w:tab/>
      </w:r>
      <w:r w:rsidRPr="0010704C">
        <w:t>Yes, I have been thinking about it. Money can be useful here, when we discuss multiplication b</w:t>
      </w:r>
      <w:r>
        <w:t>y ten, hundred</w:t>
      </w:r>
      <w:r w:rsidRPr="0010704C">
        <w:t>.</w:t>
      </w:r>
      <w:r w:rsidR="008062BA">
        <w:t xml:space="preserve"> One can</w:t>
      </w:r>
      <w:r>
        <w:t xml:space="preserve"> use tenths and talk about 12 tenths in the next step. Same with hundreds.</w:t>
      </w:r>
      <w:r w:rsidRPr="0010704C">
        <w:t xml:space="preserve"> But, another story came up.</w:t>
      </w:r>
    </w:p>
    <w:p w14:paraId="270FC563" w14:textId="7641BBA1" w:rsidR="00880D19" w:rsidRDefault="00880D19" w:rsidP="009E2EE7">
      <w:pPr>
        <w:pStyle w:val="Transcript"/>
      </w:pPr>
      <w:r w:rsidRPr="0010704C">
        <w:t>CI</w:t>
      </w:r>
      <w:r w:rsidR="009E2EE7">
        <w:t>:</w:t>
      </w:r>
      <w:r w:rsidR="009E2EE7">
        <w:tab/>
      </w:r>
      <w:r>
        <w:t>A</w:t>
      </w:r>
      <w:r w:rsidRPr="0010704C">
        <w:t>s a teacher</w:t>
      </w:r>
      <w:r>
        <w:t>, you</w:t>
      </w:r>
      <w:r w:rsidRPr="0010704C">
        <w:t xml:space="preserve"> have decided what the content goal is, and you have been thinking about what representation would be appropriate</w:t>
      </w:r>
      <w:r>
        <w:t>. Y</w:t>
      </w:r>
      <w:r w:rsidRPr="0010704C">
        <w:t xml:space="preserve">ou can ask about a story </w:t>
      </w:r>
      <w:r w:rsidRPr="0010704C">
        <w:rPr>
          <w:i/>
        </w:rPr>
        <w:t>with</w:t>
      </w:r>
      <w:r w:rsidRPr="0010704C">
        <w:t xml:space="preserve"> money</w:t>
      </w:r>
      <w:r>
        <w:t xml:space="preserve"> from the start to get the representation you want in the discussion.</w:t>
      </w:r>
    </w:p>
    <w:p w14:paraId="4631722C" w14:textId="684CAB68" w:rsidR="00A74CC5" w:rsidRDefault="002B0525" w:rsidP="00A74CC5">
      <w:r>
        <w:t xml:space="preserve">These kinds of exchanges, where </w:t>
      </w:r>
      <w:r w:rsidRPr="002B0525">
        <w:rPr>
          <w:i/>
        </w:rPr>
        <w:t>representation</w:t>
      </w:r>
      <w:r>
        <w:t xml:space="preserve"> and the </w:t>
      </w:r>
      <w:r w:rsidRPr="002B0525">
        <w:rPr>
          <w:i/>
        </w:rPr>
        <w:t>content goal</w:t>
      </w:r>
      <w:r>
        <w:t xml:space="preserve"> </w:t>
      </w:r>
      <w:r w:rsidR="00470071">
        <w:t>are</w:t>
      </w:r>
      <w:r>
        <w:t xml:space="preserve"> combined, appear frequently in the data. </w:t>
      </w:r>
      <w:r w:rsidR="00880D19">
        <w:t>In</w:t>
      </w:r>
      <w:r>
        <w:t xml:space="preserve"> Example 2, the main substance</w:t>
      </w:r>
      <w:r w:rsidR="00880D19">
        <w:t xml:space="preserve"> discussed is </w:t>
      </w:r>
      <w:r w:rsidR="00A74CC5">
        <w:t xml:space="preserve">the type of </w:t>
      </w:r>
      <w:r w:rsidR="00A74CC5" w:rsidRPr="002B0525">
        <w:t>representation</w:t>
      </w:r>
      <w:r w:rsidR="00880D19" w:rsidRPr="002B0525">
        <w:t xml:space="preserve"> that could be appropriate for a given content goal and how to </w:t>
      </w:r>
      <w:r w:rsidR="00A74CC5" w:rsidRPr="002B0525">
        <w:t>introduce it</w:t>
      </w:r>
      <w:r w:rsidR="00880D19" w:rsidRPr="002B0525">
        <w:t>.</w:t>
      </w:r>
      <w:r w:rsidRPr="002B0525">
        <w:t xml:space="preserve"> In som</w:t>
      </w:r>
      <w:r>
        <w:t>e other exchanges in the data that are coded with these two codes, the discussion is on ways to represent mathematical ideas so that the representation emphasizes the the relations that are targeted in the activity.</w:t>
      </w:r>
      <w:r w:rsidR="00880D19">
        <w:t xml:space="preserve"> </w:t>
      </w:r>
    </w:p>
    <w:p w14:paraId="57AB772D" w14:textId="77777777" w:rsidR="00880D19" w:rsidRPr="00D62211" w:rsidRDefault="00880D19" w:rsidP="00880D19">
      <w:pPr>
        <w:pStyle w:val="Heading3"/>
      </w:pPr>
      <w:r>
        <w:t>Structure of</w:t>
      </w:r>
      <w:r w:rsidRPr="00D62211">
        <w:t xml:space="preserve"> </w:t>
      </w:r>
      <w:r>
        <w:t>CI</w:t>
      </w:r>
      <w:r w:rsidRPr="00D62211">
        <w:t>/</w:t>
      </w:r>
      <w:r>
        <w:t>IST</w:t>
      </w:r>
      <w:r w:rsidRPr="00D62211">
        <w:t xml:space="preserve"> Exchanges</w:t>
      </w:r>
    </w:p>
    <w:p w14:paraId="6807D74E" w14:textId="2940466C" w:rsidR="00880D19" w:rsidRPr="002D5B79" w:rsidRDefault="009B57F4" w:rsidP="006B30B6">
      <w:pPr>
        <w:rPr>
          <w:color w:val="000000" w:themeColor="text1"/>
        </w:rPr>
      </w:pPr>
      <w:r>
        <w:rPr>
          <w:color w:val="000000" w:themeColor="text1"/>
        </w:rPr>
        <w:t xml:space="preserve">The structure codes used in our analyses are the same as those used by Lampert et. al. (2013). Table 2 shows the description and frequency of the various codes in our data. </w:t>
      </w:r>
      <w:r w:rsidR="008062BA">
        <w:rPr>
          <w:color w:val="000000" w:themeColor="text1"/>
        </w:rPr>
        <w:t>Similarly</w:t>
      </w:r>
      <w:r w:rsidR="006A5B01">
        <w:rPr>
          <w:color w:val="000000" w:themeColor="text1"/>
        </w:rPr>
        <w:t xml:space="preserve"> as with</w:t>
      </w:r>
      <w:r w:rsidR="0076117A">
        <w:rPr>
          <w:color w:val="000000" w:themeColor="text1"/>
        </w:rPr>
        <w:t xml:space="preserve"> substance</w:t>
      </w:r>
      <w:r w:rsidR="006A5B01">
        <w:rPr>
          <w:color w:val="000000" w:themeColor="text1"/>
        </w:rPr>
        <w:t xml:space="preserve"> codes, an exchange can be coded using several structure codes.</w:t>
      </w:r>
      <w:r>
        <w:rPr>
          <w:color w:val="000000" w:themeColor="text1"/>
        </w:rPr>
        <w:t xml:space="preserve"> For instance, In Example 2 above, the exchange starts by “CI facilitates discussion” and develops to “CI gives directive feedback”.</w:t>
      </w:r>
      <w:r w:rsidR="006A5B01">
        <w:rPr>
          <w:color w:val="000000" w:themeColor="text1"/>
        </w:rPr>
        <w:t xml:space="preserve"> </w:t>
      </w:r>
    </w:p>
    <w:tbl>
      <w:tblPr>
        <w:tblpPr w:leftFromText="180" w:rightFromText="180" w:vertAnchor="text" w:horzAnchor="page" w:tblpX="1544" w:tblpY="168"/>
        <w:tblW w:w="9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6202"/>
        <w:gridCol w:w="1170"/>
      </w:tblGrid>
      <w:tr w:rsidR="00880D19" w:rsidRPr="007B6F1C" w14:paraId="1F3E4E42" w14:textId="77777777" w:rsidTr="00860AA7">
        <w:trPr>
          <w:trHeight w:val="320"/>
        </w:trPr>
        <w:tc>
          <w:tcPr>
            <w:tcW w:w="1975" w:type="dxa"/>
            <w:shd w:val="clear" w:color="000000" w:fill="E7E6E6"/>
            <w:noWrap/>
            <w:vAlign w:val="bottom"/>
          </w:tcPr>
          <w:p w14:paraId="0FDBC300" w14:textId="77777777" w:rsidR="00880D19" w:rsidRPr="007B6F1C" w:rsidRDefault="00880D19" w:rsidP="00860AA7">
            <w:pPr>
              <w:jc w:val="center"/>
              <w:rPr>
                <w:color w:val="000000"/>
                <w:sz w:val="22"/>
                <w:szCs w:val="22"/>
              </w:rPr>
            </w:pPr>
            <w:r>
              <w:rPr>
                <w:color w:val="000000"/>
                <w:sz w:val="22"/>
                <w:szCs w:val="22"/>
              </w:rPr>
              <w:t>Structure-codes</w:t>
            </w:r>
          </w:p>
        </w:tc>
        <w:tc>
          <w:tcPr>
            <w:tcW w:w="6202" w:type="dxa"/>
            <w:shd w:val="clear" w:color="000000" w:fill="E7E6E6"/>
          </w:tcPr>
          <w:p w14:paraId="7CD48D8B" w14:textId="77777777" w:rsidR="00880D19" w:rsidRDefault="00880D19" w:rsidP="00860AA7">
            <w:pPr>
              <w:rPr>
                <w:color w:val="000000"/>
                <w:sz w:val="22"/>
                <w:szCs w:val="22"/>
              </w:rPr>
            </w:pPr>
            <w:r>
              <w:rPr>
                <w:color w:val="000000"/>
                <w:sz w:val="22"/>
                <w:szCs w:val="22"/>
              </w:rPr>
              <w:t>Description</w:t>
            </w:r>
          </w:p>
        </w:tc>
        <w:tc>
          <w:tcPr>
            <w:tcW w:w="1170" w:type="dxa"/>
            <w:shd w:val="clear" w:color="000000" w:fill="E7E6E6"/>
          </w:tcPr>
          <w:p w14:paraId="014716B2" w14:textId="77777777" w:rsidR="00880D19" w:rsidRDefault="00880D19" w:rsidP="00860AA7">
            <w:pPr>
              <w:jc w:val="center"/>
              <w:rPr>
                <w:color w:val="000000"/>
                <w:sz w:val="22"/>
                <w:szCs w:val="22"/>
              </w:rPr>
            </w:pPr>
            <w:r w:rsidRPr="00096EE1">
              <w:rPr>
                <w:b/>
                <w:color w:val="000000"/>
                <w:sz w:val="22"/>
                <w:szCs w:val="22"/>
              </w:rPr>
              <w:t>%</w:t>
            </w:r>
            <w:r>
              <w:rPr>
                <w:b/>
                <w:color w:val="000000"/>
                <w:sz w:val="22"/>
                <w:szCs w:val="22"/>
              </w:rPr>
              <w:t xml:space="preserve"> of all exchanges</w:t>
            </w:r>
          </w:p>
        </w:tc>
      </w:tr>
      <w:tr w:rsidR="00880D19" w:rsidRPr="007B6F1C" w14:paraId="12A5CA15" w14:textId="77777777" w:rsidTr="00860AA7">
        <w:trPr>
          <w:trHeight w:val="320"/>
        </w:trPr>
        <w:tc>
          <w:tcPr>
            <w:tcW w:w="1975" w:type="dxa"/>
            <w:shd w:val="clear" w:color="000000" w:fill="auto"/>
            <w:noWrap/>
            <w:vAlign w:val="bottom"/>
            <w:hideMark/>
          </w:tcPr>
          <w:p w14:paraId="344CF82B" w14:textId="77777777" w:rsidR="00880D19" w:rsidRPr="007B6F1C" w:rsidRDefault="00880D19" w:rsidP="00860AA7">
            <w:pPr>
              <w:jc w:val="center"/>
              <w:rPr>
                <w:color w:val="000000"/>
                <w:sz w:val="22"/>
                <w:szCs w:val="22"/>
              </w:rPr>
            </w:pPr>
            <w:r>
              <w:rPr>
                <w:color w:val="000000"/>
                <w:sz w:val="22"/>
                <w:szCs w:val="22"/>
              </w:rPr>
              <w:t>CI</w:t>
            </w:r>
            <w:r w:rsidRPr="007B6F1C">
              <w:rPr>
                <w:color w:val="000000"/>
                <w:sz w:val="22"/>
                <w:szCs w:val="22"/>
              </w:rPr>
              <w:t xml:space="preserve"> facilitates discussion</w:t>
            </w:r>
          </w:p>
        </w:tc>
        <w:tc>
          <w:tcPr>
            <w:tcW w:w="6202" w:type="dxa"/>
            <w:shd w:val="clear" w:color="000000" w:fill="auto"/>
          </w:tcPr>
          <w:p w14:paraId="07D965D3" w14:textId="77777777" w:rsidR="00880D19" w:rsidRDefault="00880D19" w:rsidP="00860AA7">
            <w:pPr>
              <w:rPr>
                <w:color w:val="000000"/>
                <w:sz w:val="22"/>
                <w:szCs w:val="22"/>
              </w:rPr>
            </w:pPr>
            <w:r>
              <w:rPr>
                <w:color w:val="000000"/>
                <w:sz w:val="22"/>
                <w:szCs w:val="22"/>
              </w:rPr>
              <w:t xml:space="preserve">CI lead a </w:t>
            </w:r>
            <w:r w:rsidRPr="00D43A74">
              <w:rPr>
                <w:color w:val="000000"/>
                <w:sz w:val="22"/>
                <w:szCs w:val="22"/>
              </w:rPr>
              <w:t xml:space="preserve">discussion and reflection raised by </w:t>
            </w:r>
            <w:r>
              <w:rPr>
                <w:color w:val="000000"/>
                <w:sz w:val="22"/>
                <w:szCs w:val="22"/>
              </w:rPr>
              <w:t>CI</w:t>
            </w:r>
            <w:r w:rsidRPr="00D43A74">
              <w:rPr>
                <w:color w:val="000000"/>
                <w:sz w:val="22"/>
                <w:szCs w:val="22"/>
              </w:rPr>
              <w:t xml:space="preserve"> or </w:t>
            </w:r>
            <w:r>
              <w:rPr>
                <w:color w:val="000000"/>
                <w:sz w:val="22"/>
                <w:szCs w:val="22"/>
              </w:rPr>
              <w:t>ISTs</w:t>
            </w:r>
          </w:p>
        </w:tc>
        <w:tc>
          <w:tcPr>
            <w:tcW w:w="1170" w:type="dxa"/>
            <w:shd w:val="clear" w:color="000000" w:fill="auto"/>
          </w:tcPr>
          <w:p w14:paraId="3A240377" w14:textId="77777777" w:rsidR="00880D19" w:rsidRPr="007B6F1C" w:rsidRDefault="00880D19" w:rsidP="00860AA7">
            <w:pPr>
              <w:jc w:val="center"/>
              <w:rPr>
                <w:color w:val="000000"/>
                <w:sz w:val="22"/>
                <w:szCs w:val="22"/>
              </w:rPr>
            </w:pPr>
            <w:r>
              <w:rPr>
                <w:color w:val="000000"/>
                <w:sz w:val="22"/>
                <w:szCs w:val="22"/>
              </w:rPr>
              <w:t>50,4</w:t>
            </w:r>
          </w:p>
        </w:tc>
      </w:tr>
      <w:tr w:rsidR="00880D19" w:rsidRPr="007B6F1C" w14:paraId="2BE24B9C" w14:textId="77777777" w:rsidTr="00860AA7">
        <w:trPr>
          <w:trHeight w:val="320"/>
        </w:trPr>
        <w:tc>
          <w:tcPr>
            <w:tcW w:w="1975" w:type="dxa"/>
            <w:shd w:val="clear" w:color="auto" w:fill="auto"/>
            <w:noWrap/>
            <w:vAlign w:val="bottom"/>
            <w:hideMark/>
          </w:tcPr>
          <w:p w14:paraId="7D463B53" w14:textId="77777777" w:rsidR="00880D19" w:rsidRPr="007B6F1C" w:rsidRDefault="00880D19" w:rsidP="00860AA7">
            <w:pPr>
              <w:jc w:val="center"/>
              <w:rPr>
                <w:color w:val="000000"/>
                <w:sz w:val="22"/>
                <w:szCs w:val="22"/>
              </w:rPr>
            </w:pPr>
            <w:r>
              <w:rPr>
                <w:color w:val="000000"/>
                <w:sz w:val="22"/>
                <w:szCs w:val="22"/>
              </w:rPr>
              <w:t>CI</w:t>
            </w:r>
            <w:r w:rsidRPr="007B6F1C">
              <w:rPr>
                <w:color w:val="000000"/>
                <w:sz w:val="22"/>
                <w:szCs w:val="22"/>
              </w:rPr>
              <w:t xml:space="preserve"> gives directive feedback</w:t>
            </w:r>
          </w:p>
        </w:tc>
        <w:tc>
          <w:tcPr>
            <w:tcW w:w="6202" w:type="dxa"/>
          </w:tcPr>
          <w:p w14:paraId="0A5EEC19" w14:textId="77777777" w:rsidR="00880D19" w:rsidRDefault="00880D19" w:rsidP="00860AA7">
            <w:pPr>
              <w:rPr>
                <w:color w:val="000000"/>
                <w:sz w:val="22"/>
                <w:szCs w:val="22"/>
              </w:rPr>
            </w:pPr>
            <w:r>
              <w:rPr>
                <w:color w:val="000000"/>
                <w:sz w:val="22"/>
                <w:szCs w:val="22"/>
              </w:rPr>
              <w:t>CI</w:t>
            </w:r>
            <w:r w:rsidRPr="00D43A74">
              <w:rPr>
                <w:color w:val="000000"/>
                <w:sz w:val="22"/>
                <w:szCs w:val="22"/>
              </w:rPr>
              <w:t xml:space="preserve"> suggests new move or </w:t>
            </w:r>
            <w:r>
              <w:rPr>
                <w:color w:val="000000"/>
                <w:sz w:val="22"/>
                <w:szCs w:val="22"/>
              </w:rPr>
              <w:t>think aloud about possible next move</w:t>
            </w:r>
          </w:p>
        </w:tc>
        <w:tc>
          <w:tcPr>
            <w:tcW w:w="1170" w:type="dxa"/>
          </w:tcPr>
          <w:p w14:paraId="769421D1" w14:textId="77777777" w:rsidR="00880D19" w:rsidRPr="007B6F1C" w:rsidRDefault="00880D19" w:rsidP="00860AA7">
            <w:pPr>
              <w:jc w:val="center"/>
              <w:rPr>
                <w:color w:val="000000"/>
                <w:sz w:val="22"/>
                <w:szCs w:val="22"/>
              </w:rPr>
            </w:pPr>
            <w:r>
              <w:rPr>
                <w:color w:val="000000"/>
                <w:sz w:val="22"/>
                <w:szCs w:val="22"/>
              </w:rPr>
              <w:t>35,7</w:t>
            </w:r>
          </w:p>
        </w:tc>
      </w:tr>
      <w:tr w:rsidR="00880D19" w:rsidRPr="007B6F1C" w14:paraId="5705A54C" w14:textId="77777777" w:rsidTr="00860AA7">
        <w:trPr>
          <w:trHeight w:val="593"/>
        </w:trPr>
        <w:tc>
          <w:tcPr>
            <w:tcW w:w="1975" w:type="dxa"/>
            <w:shd w:val="clear" w:color="000000" w:fill="auto"/>
            <w:noWrap/>
            <w:vAlign w:val="bottom"/>
            <w:hideMark/>
          </w:tcPr>
          <w:p w14:paraId="237B5CBE" w14:textId="77777777" w:rsidR="00880D19" w:rsidRPr="007B6F1C" w:rsidRDefault="00880D19" w:rsidP="00860AA7">
            <w:pPr>
              <w:jc w:val="center"/>
              <w:rPr>
                <w:color w:val="000000"/>
                <w:sz w:val="22"/>
                <w:szCs w:val="22"/>
              </w:rPr>
            </w:pPr>
            <w:r>
              <w:rPr>
                <w:color w:val="000000"/>
                <w:sz w:val="22"/>
                <w:szCs w:val="22"/>
              </w:rPr>
              <w:t>CI</w:t>
            </w:r>
            <w:r w:rsidRPr="007B6F1C">
              <w:rPr>
                <w:color w:val="000000"/>
                <w:sz w:val="22"/>
                <w:szCs w:val="22"/>
              </w:rPr>
              <w:t xml:space="preserve"> gives evaluative feedback</w:t>
            </w:r>
          </w:p>
        </w:tc>
        <w:tc>
          <w:tcPr>
            <w:tcW w:w="6202" w:type="dxa"/>
            <w:shd w:val="clear" w:color="000000" w:fill="auto"/>
          </w:tcPr>
          <w:p w14:paraId="4EA199EC" w14:textId="77777777" w:rsidR="00880D19" w:rsidRDefault="00880D19" w:rsidP="00860AA7">
            <w:pPr>
              <w:rPr>
                <w:color w:val="000000"/>
                <w:sz w:val="22"/>
                <w:szCs w:val="22"/>
              </w:rPr>
            </w:pPr>
            <w:r>
              <w:rPr>
                <w:color w:val="000000"/>
                <w:sz w:val="22"/>
                <w:szCs w:val="22"/>
              </w:rPr>
              <w:t>CI</w:t>
            </w:r>
            <w:r w:rsidRPr="00D43A74">
              <w:rPr>
                <w:color w:val="000000"/>
                <w:sz w:val="22"/>
                <w:szCs w:val="22"/>
              </w:rPr>
              <w:t xml:space="preserve"> make evaluative comment</w:t>
            </w:r>
          </w:p>
        </w:tc>
        <w:tc>
          <w:tcPr>
            <w:tcW w:w="1170" w:type="dxa"/>
            <w:shd w:val="clear" w:color="000000" w:fill="auto"/>
          </w:tcPr>
          <w:p w14:paraId="289AD5B7" w14:textId="77777777" w:rsidR="00880D19" w:rsidRPr="007B6F1C" w:rsidRDefault="00880D19" w:rsidP="00860AA7">
            <w:pPr>
              <w:jc w:val="center"/>
              <w:rPr>
                <w:color w:val="000000"/>
                <w:sz w:val="22"/>
                <w:szCs w:val="22"/>
              </w:rPr>
            </w:pPr>
            <w:r>
              <w:rPr>
                <w:color w:val="000000"/>
                <w:sz w:val="22"/>
                <w:szCs w:val="22"/>
              </w:rPr>
              <w:t>7,7</w:t>
            </w:r>
          </w:p>
        </w:tc>
      </w:tr>
      <w:tr w:rsidR="00880D19" w14:paraId="028D2FAF" w14:textId="77777777" w:rsidTr="00860AA7">
        <w:trPr>
          <w:trHeight w:val="320"/>
        </w:trPr>
        <w:tc>
          <w:tcPr>
            <w:tcW w:w="1975" w:type="dxa"/>
            <w:shd w:val="clear" w:color="auto" w:fill="auto"/>
            <w:noWrap/>
            <w:vAlign w:val="bottom"/>
            <w:hideMark/>
          </w:tcPr>
          <w:p w14:paraId="0EA329F5" w14:textId="77777777" w:rsidR="00880D19" w:rsidRPr="007B6F1C" w:rsidRDefault="00880D19" w:rsidP="00860AA7">
            <w:pPr>
              <w:jc w:val="center"/>
              <w:rPr>
                <w:color w:val="000000"/>
                <w:sz w:val="22"/>
                <w:szCs w:val="22"/>
              </w:rPr>
            </w:pPr>
            <w:r>
              <w:rPr>
                <w:color w:val="000000"/>
                <w:sz w:val="22"/>
                <w:szCs w:val="22"/>
              </w:rPr>
              <w:t>CI</w:t>
            </w:r>
            <w:r w:rsidRPr="007B6F1C">
              <w:rPr>
                <w:color w:val="000000"/>
                <w:sz w:val="22"/>
                <w:szCs w:val="22"/>
              </w:rPr>
              <w:t xml:space="preserve"> scaffolds enactment</w:t>
            </w:r>
          </w:p>
        </w:tc>
        <w:tc>
          <w:tcPr>
            <w:tcW w:w="6202" w:type="dxa"/>
          </w:tcPr>
          <w:p w14:paraId="248D4B36" w14:textId="77777777" w:rsidR="00880D19" w:rsidRDefault="00880D19" w:rsidP="00860AA7">
            <w:pPr>
              <w:rPr>
                <w:color w:val="000000"/>
                <w:sz w:val="22"/>
                <w:szCs w:val="22"/>
              </w:rPr>
            </w:pPr>
            <w:r>
              <w:rPr>
                <w:color w:val="000000"/>
                <w:sz w:val="22"/>
                <w:szCs w:val="22"/>
              </w:rPr>
              <w:t>CI</w:t>
            </w:r>
            <w:r w:rsidRPr="00D43A74">
              <w:rPr>
                <w:color w:val="000000"/>
                <w:sz w:val="22"/>
                <w:szCs w:val="22"/>
              </w:rPr>
              <w:t xml:space="preserve"> takes the role of teacher or student, scaffolding the enactment by either increasing or reducing the complexity</w:t>
            </w:r>
          </w:p>
        </w:tc>
        <w:tc>
          <w:tcPr>
            <w:tcW w:w="1170" w:type="dxa"/>
          </w:tcPr>
          <w:p w14:paraId="5B8B1ABA" w14:textId="77777777" w:rsidR="00880D19" w:rsidRPr="007B6F1C" w:rsidRDefault="00880D19" w:rsidP="00860AA7">
            <w:pPr>
              <w:jc w:val="center"/>
              <w:rPr>
                <w:color w:val="000000"/>
                <w:sz w:val="22"/>
                <w:szCs w:val="22"/>
              </w:rPr>
            </w:pPr>
            <w:r>
              <w:rPr>
                <w:color w:val="000000"/>
                <w:sz w:val="22"/>
                <w:szCs w:val="22"/>
              </w:rPr>
              <w:t>23,1</w:t>
            </w:r>
          </w:p>
        </w:tc>
      </w:tr>
    </w:tbl>
    <w:p w14:paraId="7D6B0571" w14:textId="2DE79C80" w:rsidR="00880D19" w:rsidRDefault="00880D19" w:rsidP="00880D19">
      <w:pPr>
        <w:pStyle w:val="FigTitle"/>
      </w:pPr>
      <w:r>
        <w:t>Table 2</w:t>
      </w:r>
      <w:r w:rsidRPr="00CF665A">
        <w:t xml:space="preserve">: </w:t>
      </w:r>
      <w:r>
        <w:t>Structure codes</w:t>
      </w:r>
      <w:r w:rsidR="002B0525">
        <w:t>: description and frequency as</w:t>
      </w:r>
      <w:r w:rsidR="006A5B01">
        <w:t xml:space="preserve"> </w:t>
      </w:r>
      <w:r>
        <w:t>percent</w:t>
      </w:r>
      <w:r w:rsidR="006A5B01">
        <w:t>age</w:t>
      </w:r>
      <w:r>
        <w:t xml:space="preserve"> of all CI/IST exchanges</w:t>
      </w:r>
      <w:r w:rsidR="00365B54">
        <w:t xml:space="preserve"> in the data</w:t>
      </w:r>
    </w:p>
    <w:p w14:paraId="78F14A9E" w14:textId="51240681" w:rsidR="00880D19" w:rsidRDefault="00880D19" w:rsidP="00FD2E4C">
      <w:pPr>
        <w:rPr>
          <w:color w:val="000000" w:themeColor="text1"/>
        </w:rPr>
      </w:pPr>
      <w:r w:rsidRPr="002D5B79">
        <w:rPr>
          <w:color w:val="000000" w:themeColor="text1"/>
        </w:rPr>
        <w:t>Considering</w:t>
      </w:r>
      <w:r>
        <w:rPr>
          <w:color w:val="000000" w:themeColor="text1"/>
        </w:rPr>
        <w:t xml:space="preserve"> the structure of the rehearsals, the analysis shows that half of all CI/IST exchanges in our data can be characterized as </w:t>
      </w:r>
      <w:r w:rsidRPr="006A5B01">
        <w:rPr>
          <w:i/>
          <w:iCs/>
          <w:color w:val="000000" w:themeColor="text1"/>
        </w:rPr>
        <w:t>discussions facilitated by CI</w:t>
      </w:r>
      <w:r>
        <w:rPr>
          <w:color w:val="000000" w:themeColor="text1"/>
        </w:rPr>
        <w:t xml:space="preserve"> (at least partly, in cases where several structure codes are used in the same exchange). In rehearsals analyzed </w:t>
      </w:r>
      <w:r w:rsidR="006A5B01">
        <w:rPr>
          <w:color w:val="000000" w:themeColor="text1"/>
        </w:rPr>
        <w:t>by</w:t>
      </w:r>
      <w:r>
        <w:rPr>
          <w:color w:val="000000" w:themeColor="text1"/>
        </w:rPr>
        <w:t xml:space="preserve"> Lampert et. al. (2013), the code “CI facilitates discussion” is </w:t>
      </w:r>
      <w:r w:rsidR="006A5B01">
        <w:rPr>
          <w:color w:val="000000" w:themeColor="text1"/>
        </w:rPr>
        <w:t>the least frequently appearing code</w:t>
      </w:r>
      <w:r>
        <w:rPr>
          <w:color w:val="000000" w:themeColor="text1"/>
        </w:rPr>
        <w:t>,</w:t>
      </w:r>
      <w:r w:rsidR="006A5B01">
        <w:rPr>
          <w:color w:val="000000" w:themeColor="text1"/>
        </w:rPr>
        <w:t xml:space="preserve"> whereas “directive feedback” is the most frequent. T</w:t>
      </w:r>
      <w:r>
        <w:rPr>
          <w:color w:val="000000" w:themeColor="text1"/>
        </w:rPr>
        <w:t>his indicates that the structure</w:t>
      </w:r>
      <w:r w:rsidR="006A5B01">
        <w:rPr>
          <w:color w:val="000000" w:themeColor="text1"/>
        </w:rPr>
        <w:t>s</w:t>
      </w:r>
      <w:r>
        <w:rPr>
          <w:color w:val="000000" w:themeColor="text1"/>
        </w:rPr>
        <w:t xml:space="preserve"> of the </w:t>
      </w:r>
      <w:r w:rsidR="006A5B01">
        <w:rPr>
          <w:color w:val="000000" w:themeColor="text1"/>
        </w:rPr>
        <w:t>rehearsals in the two studies are</w:t>
      </w:r>
      <w:r>
        <w:rPr>
          <w:color w:val="000000" w:themeColor="text1"/>
        </w:rPr>
        <w:t xml:space="preserve"> quite different. </w:t>
      </w:r>
      <w:r w:rsidR="00976A22" w:rsidRPr="006255D5">
        <w:rPr>
          <w:color w:val="000000" w:themeColor="text1"/>
        </w:rPr>
        <w:t xml:space="preserve">One reason can be that </w:t>
      </w:r>
      <w:r w:rsidR="00976A22">
        <w:rPr>
          <w:color w:val="000000" w:themeColor="text1"/>
        </w:rPr>
        <w:t xml:space="preserve">our study concerns </w:t>
      </w:r>
      <w:r w:rsidR="00976A22" w:rsidRPr="006255D5">
        <w:rPr>
          <w:color w:val="000000" w:themeColor="text1"/>
        </w:rPr>
        <w:t xml:space="preserve">in-service teachers while Lampert et al. (2013) report from </w:t>
      </w:r>
      <w:r w:rsidR="00976A22">
        <w:rPr>
          <w:color w:val="000000" w:themeColor="text1"/>
        </w:rPr>
        <w:t xml:space="preserve">their </w:t>
      </w:r>
      <w:r w:rsidR="00976A22" w:rsidRPr="006255D5">
        <w:rPr>
          <w:color w:val="000000" w:themeColor="text1"/>
        </w:rPr>
        <w:t>work with pre-service teachers.</w:t>
      </w:r>
      <w:r w:rsidR="00CE6C1F">
        <w:rPr>
          <w:color w:val="000000" w:themeColor="text1"/>
        </w:rPr>
        <w:t xml:space="preserve"> </w:t>
      </w:r>
      <w:r w:rsidR="00CE6C1F">
        <w:t>In-service teachers have more experience with teaching than pre-service teachers, and it is reasonable to expect that their skills in teaching and their identity as mathematics teachers are more developed.</w:t>
      </w:r>
      <w:r w:rsidR="00976A22" w:rsidRPr="006255D5">
        <w:rPr>
          <w:color w:val="000000" w:themeColor="text1"/>
        </w:rPr>
        <w:t xml:space="preserve"> </w:t>
      </w:r>
      <w:r w:rsidR="00CE6C1F">
        <w:rPr>
          <w:color w:val="000000" w:themeColor="text1"/>
        </w:rPr>
        <w:t>A consequence can be that both</w:t>
      </w:r>
      <w:r w:rsidR="00976A22" w:rsidRPr="00E0741C">
        <w:rPr>
          <w:color w:val="000000" w:themeColor="text1"/>
        </w:rPr>
        <w:t xml:space="preserve"> in-service teachers</w:t>
      </w:r>
      <w:r w:rsidR="00CE6C1F">
        <w:rPr>
          <w:color w:val="000000" w:themeColor="text1"/>
        </w:rPr>
        <w:t xml:space="preserve"> and course instructors</w:t>
      </w:r>
      <w:r w:rsidR="00976A22" w:rsidRPr="00E0741C">
        <w:rPr>
          <w:color w:val="000000" w:themeColor="text1"/>
        </w:rPr>
        <w:t xml:space="preserve"> </w:t>
      </w:r>
      <w:r w:rsidR="00CE6C1F">
        <w:rPr>
          <w:color w:val="000000" w:themeColor="text1"/>
        </w:rPr>
        <w:t xml:space="preserve">working with them </w:t>
      </w:r>
      <w:r w:rsidR="00FD2E4C" w:rsidRPr="00E0741C">
        <w:rPr>
          <w:color w:val="000000" w:themeColor="text1"/>
        </w:rPr>
        <w:t>might feel more comfortable</w:t>
      </w:r>
      <w:r w:rsidR="00CE6C1F">
        <w:rPr>
          <w:color w:val="000000" w:themeColor="text1"/>
        </w:rPr>
        <w:t xml:space="preserve"> in</w:t>
      </w:r>
      <w:r w:rsidR="00FD2E4C" w:rsidRPr="00E0741C">
        <w:rPr>
          <w:color w:val="000000" w:themeColor="text1"/>
        </w:rPr>
        <w:t xml:space="preserve"> discussions</w:t>
      </w:r>
      <w:r w:rsidR="00CE6C1F">
        <w:rPr>
          <w:color w:val="000000" w:themeColor="text1"/>
        </w:rPr>
        <w:t xml:space="preserve"> than with CI giving directive/</w:t>
      </w:r>
      <w:r w:rsidR="00470071">
        <w:rPr>
          <w:color w:val="000000" w:themeColor="text1"/>
        </w:rPr>
        <w:t>evaluative</w:t>
      </w:r>
      <w:r w:rsidR="00CE6C1F">
        <w:rPr>
          <w:color w:val="000000" w:themeColor="text1"/>
        </w:rPr>
        <w:t xml:space="preserve"> feedback or scaffolding enactment</w:t>
      </w:r>
      <w:r w:rsidR="00FD2E4C" w:rsidRPr="00E0741C">
        <w:rPr>
          <w:color w:val="000000" w:themeColor="text1"/>
        </w:rPr>
        <w:t>.</w:t>
      </w:r>
      <w:r w:rsidR="00976A22" w:rsidRPr="006255D5">
        <w:rPr>
          <w:color w:val="000000" w:themeColor="text1"/>
        </w:rPr>
        <w:t xml:space="preserve"> </w:t>
      </w:r>
    </w:p>
    <w:p w14:paraId="5BC88D34" w14:textId="77777777" w:rsidR="00880D19" w:rsidRDefault="00880D19" w:rsidP="00880D19">
      <w:pPr>
        <w:pStyle w:val="Heading2"/>
      </w:pPr>
      <w:r>
        <w:t>Discussion</w:t>
      </w:r>
    </w:p>
    <w:p w14:paraId="53BA7F57" w14:textId="3F7792B6" w:rsidR="003E1B1F" w:rsidRDefault="00B641C0" w:rsidP="00071E64">
      <w:r w:rsidRPr="00CE6C1F">
        <w:t xml:space="preserve">Further </w:t>
      </w:r>
      <w:r w:rsidR="00E0741C" w:rsidRPr="00CE6C1F">
        <w:t xml:space="preserve">work with in-service teachers and further </w:t>
      </w:r>
      <w:r w:rsidRPr="00CE6C1F">
        <w:t>data collection</w:t>
      </w:r>
      <w:r>
        <w:t xml:space="preserve"> will take place in the coming year,</w:t>
      </w:r>
      <w:r w:rsidR="00976A22">
        <w:t xml:space="preserve"> and the results presented here are preliminary. H</w:t>
      </w:r>
      <w:r>
        <w:t>owever</w:t>
      </w:r>
      <w:r w:rsidR="00976A22">
        <w:t>,</w:t>
      </w:r>
      <w:r>
        <w:t xml:space="preserve"> the pilot study has already yielded a number of </w:t>
      </w:r>
      <w:r w:rsidR="00976A22">
        <w:t xml:space="preserve">valuable </w:t>
      </w:r>
      <w:r>
        <w:t>insights</w:t>
      </w:r>
      <w:r w:rsidR="00976A22">
        <w:t>.</w:t>
      </w:r>
      <w:r w:rsidR="00CE6C1F">
        <w:t xml:space="preserve"> </w:t>
      </w:r>
      <w:r w:rsidR="008E4153">
        <w:t>The study shows that t</w:t>
      </w:r>
      <w:r w:rsidR="00CE6C1F">
        <w:t xml:space="preserve">he </w:t>
      </w:r>
      <w:r w:rsidR="00E878D7">
        <w:t xml:space="preserve">interactions </w:t>
      </w:r>
      <w:r w:rsidR="008E4153">
        <w:t xml:space="preserve">between ISTs and CIs during rehearsals </w:t>
      </w:r>
      <w:r w:rsidR="00E878D7">
        <w:t>are mainly in form of</w:t>
      </w:r>
      <w:r w:rsidR="00CE6C1F">
        <w:t xml:space="preserve"> dis</w:t>
      </w:r>
      <w:r w:rsidR="00E878D7">
        <w:t>cussions on some central</w:t>
      </w:r>
      <w:r w:rsidR="00CE6C1F">
        <w:t xml:space="preserve"> principles and practices of ambitions mathematics teaching</w:t>
      </w:r>
      <w:r w:rsidR="00E878D7">
        <w:t xml:space="preserve"> - </w:t>
      </w:r>
      <w:r w:rsidR="00E878D7" w:rsidRPr="00431A4E">
        <w:t>using mathematical representations</w:t>
      </w:r>
      <w:r w:rsidR="00E878D7">
        <w:t xml:space="preserve">, </w:t>
      </w:r>
      <w:r w:rsidR="00E878D7" w:rsidRPr="00431A4E">
        <w:t>aiming toward a mathematical goal,</w:t>
      </w:r>
      <w:r w:rsidR="00E878D7">
        <w:t xml:space="preserve"> attending to student thinking and</w:t>
      </w:r>
      <w:r w:rsidR="00E878D7" w:rsidRPr="00431A4E">
        <w:t xml:space="preserve"> eliciting and responding </w:t>
      </w:r>
      <w:r w:rsidR="00E878D7">
        <w:t>to students’ mathematical ideas.</w:t>
      </w:r>
      <w:r w:rsidR="00E878D7" w:rsidRPr="00431A4E">
        <w:t xml:space="preserve"> </w:t>
      </w:r>
      <w:r w:rsidR="008E4153">
        <w:t xml:space="preserve">More specifically, we have </w:t>
      </w:r>
      <w:r w:rsidR="00E878D7">
        <w:t>found that multiple substance and structure codes are present within individual rehearsal</w:t>
      </w:r>
      <w:r w:rsidR="006E6CF3">
        <w:t xml:space="preserve"> exchanges, indicating that</w:t>
      </w:r>
      <w:r w:rsidR="00E878D7">
        <w:t xml:space="preserve"> </w:t>
      </w:r>
      <w:r w:rsidR="00470071">
        <w:t>rehearsals</w:t>
      </w:r>
      <w:r w:rsidR="00E878D7">
        <w:t xml:space="preserve"> offer in-service teachers the environment and opportunity to work simultaneously on a variety of aspects of practice. </w:t>
      </w:r>
    </w:p>
    <w:p w14:paraId="6A9FE468" w14:textId="5A3921F9" w:rsidR="00C77D51" w:rsidRDefault="003E1B1F" w:rsidP="003E1B1F">
      <w:r>
        <w:t>The study of Lampert et. al (2013) shows that rehearsals give opportunities for pre-service teachers to learn to enact principles, practices and knowledge entailed in ambitiou</w:t>
      </w:r>
      <w:r w:rsidR="008E4153">
        <w:t>s teaching. The findings in our</w:t>
      </w:r>
      <w:r>
        <w:t xml:space="preserve"> stu</w:t>
      </w:r>
      <w:r w:rsidR="007A0078">
        <w:t>dy indicate that rehearsals function</w:t>
      </w:r>
      <w:r>
        <w:t xml:space="preserve"> as an approximation of ambitious </w:t>
      </w:r>
      <w:r w:rsidR="00470071">
        <w:t>teaching</w:t>
      </w:r>
      <w:r>
        <w:t xml:space="preserve"> in work with in-service teachers too, even though t</w:t>
      </w:r>
      <w:r w:rsidR="008E4153">
        <w:t xml:space="preserve">he structure of rehearsals is </w:t>
      </w:r>
      <w:r>
        <w:t>different.</w:t>
      </w:r>
    </w:p>
    <w:p w14:paraId="548207D0" w14:textId="77777777" w:rsidR="003740B8" w:rsidRPr="00F122EC" w:rsidRDefault="00D22AAF" w:rsidP="00A954BF">
      <w:pPr>
        <w:pStyle w:val="Heading2"/>
      </w:pPr>
      <w:r w:rsidRPr="00F122EC">
        <w:t>References</w:t>
      </w:r>
    </w:p>
    <w:p w14:paraId="1B7298DF" w14:textId="77777777" w:rsidR="00187E42" w:rsidRDefault="00187E42" w:rsidP="006F2BF5">
      <w:pPr>
        <w:pStyle w:val="References"/>
      </w:pPr>
      <w:r w:rsidRPr="006F2BF5">
        <w:t>Grossman, P., Hammerness, K. &amp; Mc Donald, M. (2009</w:t>
      </w:r>
      <w:r w:rsidR="001D54EE">
        <w:t>). Redefining teaching. Re-imagining teacher education</w:t>
      </w:r>
      <w:r w:rsidRPr="006F2BF5">
        <w:t xml:space="preserve">. </w:t>
      </w:r>
      <w:r w:rsidRPr="001D54EE">
        <w:rPr>
          <w:i/>
        </w:rPr>
        <w:t>Teachers and teaching: Theory and practice, 15</w:t>
      </w:r>
      <w:r w:rsidR="001D54EE">
        <w:t>(2)</w:t>
      </w:r>
      <w:r w:rsidRPr="006F2BF5">
        <w:t>, 273-298.</w:t>
      </w:r>
    </w:p>
    <w:p w14:paraId="15158661" w14:textId="70DCCB36" w:rsidR="005169ED" w:rsidRDefault="005169ED" w:rsidP="006F2BF5">
      <w:pPr>
        <w:pStyle w:val="References"/>
      </w:pPr>
      <w:r>
        <w:t>Grossman, P., Compton, C., Igra, D., Ronfeldt, M., Shahan, E., &amp; Williamson, P. (2009). Teaching practice; A cross-professional perspective</w:t>
      </w:r>
      <w:r w:rsidRPr="005169ED">
        <w:rPr>
          <w:i/>
        </w:rPr>
        <w:t>. Teachers College Record, 111</w:t>
      </w:r>
      <w:r>
        <w:t xml:space="preserve">(9), 2065-2100. </w:t>
      </w:r>
    </w:p>
    <w:p w14:paraId="3CFBEF29" w14:textId="7D9457F0" w:rsidR="00F75811" w:rsidRPr="00EE1224" w:rsidRDefault="00F75811" w:rsidP="006F2BF5">
      <w:pPr>
        <w:pStyle w:val="References"/>
        <w:rPr>
          <w:color w:val="000000" w:themeColor="text1"/>
        </w:rPr>
      </w:pPr>
      <w:r w:rsidRPr="00EE1224">
        <w:rPr>
          <w:color w:val="000000" w:themeColor="text1"/>
        </w:rPr>
        <w:t>Hunter, R., &amp; Anthony, G. (</w:t>
      </w:r>
      <w:r w:rsidR="00EE1224" w:rsidRPr="00EE1224">
        <w:rPr>
          <w:color w:val="000000" w:themeColor="text1"/>
        </w:rPr>
        <w:t xml:space="preserve">2012). Designing opportunities for perspective teachers to facilitate mathematics discussions in classrooms. In J. Dindyal, L. P. Cheng &amp; S. F. NG (Eds.), </w:t>
      </w:r>
      <w:r w:rsidR="00EE1224" w:rsidRPr="00EE1224">
        <w:rPr>
          <w:i/>
          <w:color w:val="000000" w:themeColor="text1"/>
        </w:rPr>
        <w:t>Mathematics education: Expanding horizons (Proceedings of the 35</w:t>
      </w:r>
      <w:r w:rsidR="00EE1224" w:rsidRPr="00EE1224">
        <w:rPr>
          <w:i/>
          <w:color w:val="000000" w:themeColor="text1"/>
          <w:vertAlign w:val="superscript"/>
        </w:rPr>
        <w:t>th</w:t>
      </w:r>
      <w:r w:rsidR="00EE1224" w:rsidRPr="00EE1224">
        <w:rPr>
          <w:i/>
          <w:color w:val="000000" w:themeColor="text1"/>
        </w:rPr>
        <w:t xml:space="preserve"> annual conference of the </w:t>
      </w:r>
      <w:r w:rsidR="00470071" w:rsidRPr="00EE1224">
        <w:rPr>
          <w:i/>
          <w:color w:val="000000" w:themeColor="text1"/>
        </w:rPr>
        <w:t>Mathematics</w:t>
      </w:r>
      <w:r w:rsidR="00EE1224" w:rsidRPr="00EE1224">
        <w:rPr>
          <w:i/>
          <w:color w:val="000000" w:themeColor="text1"/>
        </w:rPr>
        <w:t xml:space="preserve"> Education Research Group of Australasia).</w:t>
      </w:r>
      <w:r w:rsidR="00EE1224" w:rsidRPr="00EE1224">
        <w:rPr>
          <w:color w:val="000000" w:themeColor="text1"/>
        </w:rPr>
        <w:t xml:space="preserve"> </w:t>
      </w:r>
      <w:r w:rsidR="00470071" w:rsidRPr="00EE1224">
        <w:rPr>
          <w:color w:val="000000" w:themeColor="text1"/>
        </w:rPr>
        <w:t>Singapore</w:t>
      </w:r>
      <w:r w:rsidR="00EE1224" w:rsidRPr="00EE1224">
        <w:rPr>
          <w:color w:val="000000" w:themeColor="text1"/>
        </w:rPr>
        <w:t>: MERGA.</w:t>
      </w:r>
    </w:p>
    <w:p w14:paraId="165F627B" w14:textId="77777777" w:rsidR="00161F74" w:rsidRDefault="00161F74" w:rsidP="00161F74">
      <w:pPr>
        <w:pStyle w:val="References"/>
      </w:pPr>
      <w:r w:rsidRPr="002717DD">
        <w:t>Kilpatrick, J</w:t>
      </w:r>
      <w:r>
        <w:t xml:space="preserve">., Swafford, J., &amp; Findell, B. (Eds.) (2001). </w:t>
      </w:r>
      <w:r w:rsidRPr="00161F74">
        <w:rPr>
          <w:i/>
        </w:rPr>
        <w:t>Adding it up: Helping children learn mathematics.</w:t>
      </w:r>
      <w:r w:rsidRPr="002717DD">
        <w:t xml:space="preserve"> J. Washington, </w:t>
      </w:r>
      <w:r>
        <w:t xml:space="preserve">National Research Council. </w:t>
      </w:r>
      <w:r w:rsidRPr="002717DD">
        <w:t>DC: National Academy Press.</w:t>
      </w:r>
    </w:p>
    <w:p w14:paraId="6451B663" w14:textId="77777777" w:rsidR="00AF3362" w:rsidRPr="00AF3362" w:rsidRDefault="00AF3362" w:rsidP="00AF3362">
      <w:pPr>
        <w:pStyle w:val="References"/>
        <w:rPr>
          <w:color w:val="000000"/>
        </w:rPr>
      </w:pPr>
      <w:r w:rsidRPr="00CE7C1A">
        <w:rPr>
          <w:color w:val="000000"/>
        </w:rPr>
        <w:t xml:space="preserve">Kazemi, E., &amp; Hubbard, A. (2008). New directions for the design and study of professional development: Attending to the coevolution of teachers’ participation across contexts. </w:t>
      </w:r>
      <w:r w:rsidRPr="00CE7C1A">
        <w:rPr>
          <w:i/>
          <w:color w:val="000000"/>
        </w:rPr>
        <w:t>Journal of Teacher Education, 59</w:t>
      </w:r>
      <w:r w:rsidR="001D54EE">
        <w:rPr>
          <w:color w:val="000000"/>
        </w:rPr>
        <w:t>(5)</w:t>
      </w:r>
      <w:r w:rsidRPr="00CE7C1A">
        <w:rPr>
          <w:i/>
          <w:color w:val="000000"/>
        </w:rPr>
        <w:t>,</w:t>
      </w:r>
      <w:r w:rsidRPr="00CE7C1A">
        <w:rPr>
          <w:color w:val="000000"/>
        </w:rPr>
        <w:t xml:space="preserve"> 428-44</w:t>
      </w:r>
      <w:r w:rsidR="001D54EE">
        <w:rPr>
          <w:color w:val="000000"/>
        </w:rPr>
        <w:t>.</w:t>
      </w:r>
      <w:r w:rsidRPr="00CE7C1A">
        <w:rPr>
          <w:color w:val="000000"/>
        </w:rPr>
        <w:t>1</w:t>
      </w:r>
    </w:p>
    <w:p w14:paraId="2DCEEC87" w14:textId="77777777" w:rsidR="00161F74" w:rsidRPr="00CE7C1A" w:rsidRDefault="00161F74" w:rsidP="00161F74">
      <w:pPr>
        <w:ind w:left="720" w:hanging="720"/>
        <w:rPr>
          <w:szCs w:val="26"/>
        </w:rPr>
      </w:pPr>
      <w:r w:rsidRPr="00CE7C1A">
        <w:rPr>
          <w:szCs w:val="28"/>
        </w:rPr>
        <w:t>Kazemi, E., Lampert, M., &amp; Franke, M. (2009, July).  Developing pedagogies in teacher education to support novice teacher’s ability to enact ambitious instruction. In </w:t>
      </w:r>
      <w:r w:rsidRPr="00CE7C1A">
        <w:rPr>
          <w:szCs w:val="26"/>
        </w:rPr>
        <w:t xml:space="preserve">R. Hunter, B. Bicknell, &amp; T. Burgess (Eds.), </w:t>
      </w:r>
      <w:r w:rsidRPr="00CE7C1A">
        <w:rPr>
          <w:i/>
          <w:iCs/>
          <w:szCs w:val="26"/>
        </w:rPr>
        <w:t xml:space="preserve">Crossing divides: </w:t>
      </w:r>
      <w:r w:rsidRPr="00CE7C1A">
        <w:rPr>
          <w:i/>
          <w:szCs w:val="26"/>
        </w:rPr>
        <w:t>Proceedings of the 32nd annual conference of the Mathematics Education Research Group of Australasia</w:t>
      </w:r>
      <w:r w:rsidRPr="00CE7C1A">
        <w:rPr>
          <w:szCs w:val="26"/>
        </w:rPr>
        <w:t xml:space="preserve"> (Vol. 1, pp. 12-30). Palmerston North, NZ: MERGA.</w:t>
      </w:r>
    </w:p>
    <w:p w14:paraId="7654B47B" w14:textId="77777777" w:rsidR="00AF3362" w:rsidRDefault="001D54EE" w:rsidP="00AF3362">
      <w:pPr>
        <w:pStyle w:val="References"/>
      </w:pPr>
      <w:r>
        <w:t>Kazemi, E., &amp; Wæge, K</w:t>
      </w:r>
      <w:r w:rsidR="00AF3362" w:rsidRPr="00AF3362">
        <w:t>. (2015)</w:t>
      </w:r>
      <w:r>
        <w:t>.</w:t>
      </w:r>
      <w:r w:rsidR="00AF3362">
        <w:t xml:space="preserve"> </w:t>
      </w:r>
      <w:r w:rsidR="00AF3362" w:rsidRPr="00AF3362">
        <w:t>Learning to teach within practice-based methods course.</w:t>
      </w:r>
      <w:r w:rsidR="00AF3362">
        <w:t xml:space="preserve"> </w:t>
      </w:r>
      <w:r w:rsidR="00AF3362" w:rsidRPr="00AF3362">
        <w:rPr>
          <w:i/>
        </w:rPr>
        <w:t>Mathematics Teacher Education and Development</w:t>
      </w:r>
      <w:r w:rsidR="00AF3362">
        <w:t xml:space="preserve">. </w:t>
      </w:r>
      <w:r w:rsidR="00BC6093">
        <w:t>V</w:t>
      </w:r>
      <w:r w:rsidR="00AF3362" w:rsidRPr="00AF3362">
        <w:t xml:space="preserve">ol. 17 (2). </w:t>
      </w:r>
    </w:p>
    <w:p w14:paraId="49540309" w14:textId="77777777" w:rsidR="00161F74" w:rsidRPr="00CE7C1A" w:rsidRDefault="00161F74" w:rsidP="00161F74">
      <w:pPr>
        <w:ind w:left="720" w:hanging="720"/>
        <w:rPr>
          <w:b/>
        </w:rPr>
      </w:pPr>
      <w:r w:rsidRPr="00CE7C1A">
        <w:t>Lampert, M., Beasley, H., Ghousseini, H., Kazemi, E., Franke, M. (2010) Using designed instructional activities to enable novices to manage ambitious mathematics teaching</w:t>
      </w:r>
      <w:r w:rsidRPr="00CE7C1A">
        <w:rPr>
          <w:i/>
        </w:rPr>
        <w:t xml:space="preserve"> </w:t>
      </w:r>
      <w:r w:rsidR="001D54EE">
        <w:t xml:space="preserve">(pp. 129-141).  In </w:t>
      </w:r>
      <w:r w:rsidRPr="00CE7C1A">
        <w:t>M.</w:t>
      </w:r>
      <w:r w:rsidR="001D54EE">
        <w:t xml:space="preserve"> </w:t>
      </w:r>
      <w:r w:rsidRPr="00CE7C1A">
        <w:t xml:space="preserve">K. Stein &amp; L. Kucan (Eds.) </w:t>
      </w:r>
      <w:r w:rsidRPr="00CE7C1A">
        <w:rPr>
          <w:i/>
        </w:rPr>
        <w:t>Instructional explanations in the discipline.</w:t>
      </w:r>
      <w:r w:rsidRPr="00CE7C1A">
        <w:t xml:space="preserve">  New York: Springer.</w:t>
      </w:r>
    </w:p>
    <w:p w14:paraId="3705563F" w14:textId="77777777" w:rsidR="00187E42" w:rsidRDefault="00187E42" w:rsidP="006F2BF5">
      <w:pPr>
        <w:pStyle w:val="References"/>
      </w:pPr>
      <w:r w:rsidRPr="006F2BF5">
        <w:t>Lampert, M., Franke, M. L., Kazemi, E., Ghousseini, H., Turrou, A</w:t>
      </w:r>
      <w:r w:rsidR="001D54EE">
        <w:t>. C., Beasley, H., Cunard, A., &amp;</w:t>
      </w:r>
      <w:r w:rsidRPr="006F2BF5">
        <w:t xml:space="preserve"> Crowe, K. (2013). Keeping it Complex: Using Rehearsals to Support Novice Teacher Learning of Ambitious Teaching. </w:t>
      </w:r>
      <w:r w:rsidRPr="001D54EE">
        <w:rPr>
          <w:i/>
        </w:rPr>
        <w:t>Journal of Teacher Education, 64</w:t>
      </w:r>
      <w:r w:rsidRPr="006F2BF5">
        <w:t>(3) 226–243</w:t>
      </w:r>
      <w:r w:rsidR="001D54EE">
        <w:t>.</w:t>
      </w:r>
    </w:p>
    <w:p w14:paraId="4FBF5D55" w14:textId="17DD6E68" w:rsidR="00850B2C" w:rsidRPr="006F2BF5" w:rsidRDefault="001D54EE" w:rsidP="00B43853">
      <w:pPr>
        <w:pStyle w:val="References"/>
      </w:pPr>
      <w:r>
        <w:t>Leinhardt, G., &amp; Steele, M. (2005). Seeing the complexity of st</w:t>
      </w:r>
      <w:r w:rsidR="005E7159">
        <w:t xml:space="preserve">anding to the side: Instructional </w:t>
      </w:r>
      <w:r w:rsidR="00470071">
        <w:t>dialogues</w:t>
      </w:r>
      <w:r w:rsidR="005E7159">
        <w:t xml:space="preserve">. </w:t>
      </w:r>
      <w:r w:rsidR="005E7159" w:rsidRPr="005E7159">
        <w:rPr>
          <w:i/>
        </w:rPr>
        <w:t>Cognition and Instruction, 23</w:t>
      </w:r>
      <w:r w:rsidR="005E7159">
        <w:t>(1), 87-163.</w:t>
      </w:r>
    </w:p>
    <w:sectPr w:rsidR="00850B2C" w:rsidRPr="006F2BF5" w:rsidSect="00FB012C">
      <w:headerReference w:type="default" r:id="rId13"/>
      <w:footerReference w:type="even" r:id="rId14"/>
      <w:footerReference w:type="default" r:id="rId15"/>
      <w:pgSz w:w="11906" w:h="16838" w:code="9"/>
      <w:pgMar w:top="1304" w:right="1134" w:bottom="1531" w:left="1134" w:header="851" w:footer="851" w:gutter="0"/>
      <w:cols w:space="70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A0C072" w14:textId="77777777" w:rsidR="007E1E2F" w:rsidRDefault="007E1E2F" w:rsidP="00071E64">
      <w:r>
        <w:separator/>
      </w:r>
    </w:p>
  </w:endnote>
  <w:endnote w:type="continuationSeparator" w:id="0">
    <w:p w14:paraId="243618FA" w14:textId="77777777" w:rsidR="007E1E2F" w:rsidRDefault="007E1E2F" w:rsidP="00071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EFF" w:usb1="C000605B" w:usb2="00000029" w:usb3="00000000" w:csb0="000101FF" w:csb1="00000000"/>
  </w:font>
  <w:font w:name="Segoe UI">
    <w:charset w:val="00"/>
    <w:family w:val="swiss"/>
    <w:pitch w:val="variable"/>
    <w:sig w:usb0="E10022FF" w:usb1="C000E47F" w:usb2="00000029" w:usb3="00000000" w:csb0="000001D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9189F" w14:textId="77777777" w:rsidR="00CA0C47" w:rsidRDefault="00CA0C47" w:rsidP="002B630B">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C2495A" w14:textId="77777777" w:rsidR="00CA0C47" w:rsidRDefault="00CA0C47" w:rsidP="00187E4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5FDBD" w14:textId="77777777" w:rsidR="002B630B" w:rsidRDefault="002B630B" w:rsidP="00323CA5">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1E2F">
      <w:rPr>
        <w:rStyle w:val="PageNumber"/>
        <w:noProof/>
      </w:rPr>
      <w:t>1</w:t>
    </w:r>
    <w:r>
      <w:rPr>
        <w:rStyle w:val="PageNumber"/>
      </w:rPr>
      <w:fldChar w:fldCharType="end"/>
    </w:r>
  </w:p>
  <w:p w14:paraId="1FE56B2B" w14:textId="77777777" w:rsidR="00CA0C47" w:rsidRDefault="00CA0C47" w:rsidP="00187E42">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E5ED1" w14:textId="77777777" w:rsidR="007E1E2F" w:rsidRDefault="007E1E2F" w:rsidP="00071E64">
      <w:r>
        <w:separator/>
      </w:r>
    </w:p>
  </w:footnote>
  <w:footnote w:type="continuationSeparator" w:id="0">
    <w:p w14:paraId="562967D9" w14:textId="77777777" w:rsidR="007E1E2F" w:rsidRDefault="007E1E2F" w:rsidP="00071E64">
      <w:r>
        <w:continuationSeparator/>
      </w:r>
    </w:p>
  </w:footnote>
  <w:footnote w:id="1">
    <w:p w14:paraId="28AD813C" w14:textId="77777777" w:rsidR="00633986" w:rsidRDefault="00633986" w:rsidP="00633986">
      <w:r>
        <w:rPr>
          <w:rStyle w:val="FootnoteReference"/>
        </w:rPr>
        <w:footnoteRef/>
      </w:r>
      <w:r>
        <w:t xml:space="preserve"> </w:t>
      </w:r>
      <w:r w:rsidRPr="002E2860">
        <w:rPr>
          <w:sz w:val="20"/>
          <w:szCs w:val="20"/>
        </w:rPr>
        <w:t>Due to practical reasons we had to make some changes to the cycles of enactment and investigation proposed by Lampert et al. (2013) and illustrated in Figure 1</w:t>
      </w:r>
      <w:r>
        <w:rPr>
          <w:sz w:val="20"/>
          <w:szCs w:val="20"/>
        </w:rPr>
        <w:t>.</w:t>
      </w:r>
    </w:p>
    <w:p w14:paraId="23439DA3" w14:textId="77777777" w:rsidR="00633986" w:rsidRPr="002E2860" w:rsidRDefault="00633986" w:rsidP="00633986">
      <w:pPr>
        <w:pStyle w:val="FootnoteText"/>
        <w:rPr>
          <w:lang w:val="nb-NO"/>
        </w:rPr>
      </w:pPr>
    </w:p>
  </w:footnote>
  <w:footnote w:id="2">
    <w:p w14:paraId="6E5130FE" w14:textId="443385CD" w:rsidR="00300812" w:rsidRPr="003E5C3C" w:rsidRDefault="00300812">
      <w:pPr>
        <w:pStyle w:val="FootnoteText"/>
      </w:pPr>
      <w:r>
        <w:rPr>
          <w:rStyle w:val="FootnoteReference"/>
        </w:rPr>
        <w:footnoteRef/>
      </w:r>
      <w:r>
        <w:t xml:space="preserve"> Due to the complexity of CI/IST exchanges, an exchange can be coded by several substance codes.</w:t>
      </w:r>
      <w:r w:rsidR="00F75811">
        <w:t xml:space="preserve"> As a </w:t>
      </w:r>
      <w:r w:rsidR="00470071">
        <w:t>consequence</w:t>
      </w:r>
      <w:r w:rsidR="00F75811">
        <w:t xml:space="preserve">, the </w:t>
      </w:r>
      <w:r w:rsidR="00470071">
        <w:t>percentages</w:t>
      </w:r>
      <w:r w:rsidR="00F75811">
        <w:t xml:space="preserve"> d</w:t>
      </w:r>
      <w:r>
        <w:t>o not sum to 100%.</w:t>
      </w:r>
    </w:p>
  </w:footnote>
  <w:footnote w:id="3">
    <w:p w14:paraId="10E39D06" w14:textId="169AF4DE" w:rsidR="00CA0C47" w:rsidRPr="003E5C3C" w:rsidRDefault="00CA0C47">
      <w:pPr>
        <w:pStyle w:val="FootnoteText"/>
      </w:pPr>
      <w:r>
        <w:rPr>
          <w:rStyle w:val="FootnoteReference"/>
        </w:rPr>
        <w:footnoteRef/>
      </w:r>
      <w:r>
        <w:t xml:space="preserve"> In Norway, when the multiplication is interpreted as equivalent groups, the meaning of </w:t>
      </w:r>
      <w:r>
        <w:rPr>
          <w:color w:val="000000"/>
        </w:rPr>
        <w:t>“</w:t>
      </w:r>
      <w:r>
        <w:t>eight times three” is eight groups of three</w:t>
      </w:r>
      <w:r w:rsidR="00E0741C">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7E89DB" w14:textId="77777777" w:rsidR="00CA0C47" w:rsidRDefault="00CA0C47" w:rsidP="00071E64"/>
  <w:p w14:paraId="157B74BF" w14:textId="77777777" w:rsidR="00CA0C47" w:rsidRDefault="00CA0C47" w:rsidP="00071E64"/>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CE0E4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9C8458D"/>
    <w:multiLevelType w:val="hybridMultilevel"/>
    <w:tmpl w:val="CB04D2EC"/>
    <w:lvl w:ilvl="0" w:tplc="25942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CF5058"/>
    <w:multiLevelType w:val="hybridMultilevel"/>
    <w:tmpl w:val="CB04D2EC"/>
    <w:lvl w:ilvl="0" w:tplc="25942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262579"/>
    <w:multiLevelType w:val="hybridMultilevel"/>
    <w:tmpl w:val="D14C0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EA2964"/>
    <w:multiLevelType w:val="hybridMultilevel"/>
    <w:tmpl w:val="4B28B25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8CA1FA4"/>
    <w:multiLevelType w:val="hybridMultilevel"/>
    <w:tmpl w:val="3EB2AF2A"/>
    <w:lvl w:ilvl="0" w:tplc="04090015">
      <w:start w:val="1"/>
      <w:numFmt w:val="upp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4DC82C5E"/>
    <w:multiLevelType w:val="hybridMultilevel"/>
    <w:tmpl w:val="D50E020E"/>
    <w:lvl w:ilvl="0" w:tplc="6588875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F84DE8"/>
    <w:multiLevelType w:val="hybridMultilevel"/>
    <w:tmpl w:val="059A587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Symbo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Symbo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6C1527A9"/>
    <w:multiLevelType w:val="hybridMultilevel"/>
    <w:tmpl w:val="7A52156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740235B1"/>
    <w:multiLevelType w:val="hybridMultilevel"/>
    <w:tmpl w:val="27DA3EFC"/>
    <w:lvl w:ilvl="0" w:tplc="949CBA6A">
      <w:start w:val="6"/>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48383F"/>
    <w:multiLevelType w:val="hybridMultilevel"/>
    <w:tmpl w:val="EF182AF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8"/>
  </w:num>
  <w:num w:numId="4">
    <w:abstractNumId w:val="9"/>
  </w:num>
  <w:num w:numId="5">
    <w:abstractNumId w:val="5"/>
  </w:num>
  <w:num w:numId="6">
    <w:abstractNumId w:val="10"/>
  </w:num>
  <w:num w:numId="7">
    <w:abstractNumId w:val="6"/>
  </w:num>
  <w:num w:numId="8">
    <w:abstractNumId w:val="1"/>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7C"/>
    <w:rsid w:val="00012766"/>
    <w:rsid w:val="00015736"/>
    <w:rsid w:val="00016547"/>
    <w:rsid w:val="00020B3D"/>
    <w:rsid w:val="00023497"/>
    <w:rsid w:val="00025A9A"/>
    <w:rsid w:val="00025DFF"/>
    <w:rsid w:val="0002720C"/>
    <w:rsid w:val="00035539"/>
    <w:rsid w:val="00044C5C"/>
    <w:rsid w:val="000620A5"/>
    <w:rsid w:val="00071E64"/>
    <w:rsid w:val="000779CD"/>
    <w:rsid w:val="000855BA"/>
    <w:rsid w:val="0008625A"/>
    <w:rsid w:val="00091E96"/>
    <w:rsid w:val="000922F8"/>
    <w:rsid w:val="000927F0"/>
    <w:rsid w:val="0009526E"/>
    <w:rsid w:val="00095B65"/>
    <w:rsid w:val="00096EE1"/>
    <w:rsid w:val="000A00DC"/>
    <w:rsid w:val="000A12F4"/>
    <w:rsid w:val="000A1791"/>
    <w:rsid w:val="000A24FD"/>
    <w:rsid w:val="000A2C11"/>
    <w:rsid w:val="000A2DC4"/>
    <w:rsid w:val="000A5221"/>
    <w:rsid w:val="000A5F76"/>
    <w:rsid w:val="000B0667"/>
    <w:rsid w:val="000B0776"/>
    <w:rsid w:val="000B2561"/>
    <w:rsid w:val="000B482B"/>
    <w:rsid w:val="000D015C"/>
    <w:rsid w:val="000D6293"/>
    <w:rsid w:val="000E0A78"/>
    <w:rsid w:val="000E55AE"/>
    <w:rsid w:val="000F3DBE"/>
    <w:rsid w:val="001000A8"/>
    <w:rsid w:val="00106DEF"/>
    <w:rsid w:val="00107E7D"/>
    <w:rsid w:val="00123AAE"/>
    <w:rsid w:val="00131F19"/>
    <w:rsid w:val="00133D6A"/>
    <w:rsid w:val="00135480"/>
    <w:rsid w:val="00136A75"/>
    <w:rsid w:val="001507EC"/>
    <w:rsid w:val="0015509F"/>
    <w:rsid w:val="00161F74"/>
    <w:rsid w:val="00170111"/>
    <w:rsid w:val="00173D95"/>
    <w:rsid w:val="001757D1"/>
    <w:rsid w:val="001857A3"/>
    <w:rsid w:val="00185DA7"/>
    <w:rsid w:val="00187E42"/>
    <w:rsid w:val="00197B24"/>
    <w:rsid w:val="001B33D8"/>
    <w:rsid w:val="001B63AF"/>
    <w:rsid w:val="001D54EE"/>
    <w:rsid w:val="001E3A92"/>
    <w:rsid w:val="001E6500"/>
    <w:rsid w:val="001F0768"/>
    <w:rsid w:val="001F12DE"/>
    <w:rsid w:val="001F51E8"/>
    <w:rsid w:val="00211E63"/>
    <w:rsid w:val="0021416A"/>
    <w:rsid w:val="00216039"/>
    <w:rsid w:val="00222CD2"/>
    <w:rsid w:val="00226CA3"/>
    <w:rsid w:val="00233F09"/>
    <w:rsid w:val="00236C7A"/>
    <w:rsid w:val="00241DC3"/>
    <w:rsid w:val="00245B76"/>
    <w:rsid w:val="00252AF9"/>
    <w:rsid w:val="00255B5F"/>
    <w:rsid w:val="002572E9"/>
    <w:rsid w:val="002668C5"/>
    <w:rsid w:val="002772E3"/>
    <w:rsid w:val="00287468"/>
    <w:rsid w:val="00287B09"/>
    <w:rsid w:val="00292577"/>
    <w:rsid w:val="002B0525"/>
    <w:rsid w:val="002B630B"/>
    <w:rsid w:val="002D0855"/>
    <w:rsid w:val="002D0A2C"/>
    <w:rsid w:val="002D0E44"/>
    <w:rsid w:val="002D70B3"/>
    <w:rsid w:val="002D7D79"/>
    <w:rsid w:val="002E126A"/>
    <w:rsid w:val="002E2860"/>
    <w:rsid w:val="002E379F"/>
    <w:rsid w:val="002E7F9D"/>
    <w:rsid w:val="002F4981"/>
    <w:rsid w:val="003003BA"/>
    <w:rsid w:val="00300812"/>
    <w:rsid w:val="003251B0"/>
    <w:rsid w:val="00326667"/>
    <w:rsid w:val="00336E90"/>
    <w:rsid w:val="00336F42"/>
    <w:rsid w:val="003444F8"/>
    <w:rsid w:val="00347DEB"/>
    <w:rsid w:val="00364B7D"/>
    <w:rsid w:val="00365B54"/>
    <w:rsid w:val="0037377D"/>
    <w:rsid w:val="003740B8"/>
    <w:rsid w:val="00384537"/>
    <w:rsid w:val="00391490"/>
    <w:rsid w:val="00396A79"/>
    <w:rsid w:val="00397FA2"/>
    <w:rsid w:val="003A27C5"/>
    <w:rsid w:val="003A3210"/>
    <w:rsid w:val="003B2D19"/>
    <w:rsid w:val="003B5C46"/>
    <w:rsid w:val="003C463C"/>
    <w:rsid w:val="003C7289"/>
    <w:rsid w:val="003E03E0"/>
    <w:rsid w:val="003E1B1F"/>
    <w:rsid w:val="003E1E4B"/>
    <w:rsid w:val="003E5C3C"/>
    <w:rsid w:val="003F0095"/>
    <w:rsid w:val="003F3A50"/>
    <w:rsid w:val="00402019"/>
    <w:rsid w:val="004077FB"/>
    <w:rsid w:val="00407B76"/>
    <w:rsid w:val="0042444A"/>
    <w:rsid w:val="004264B0"/>
    <w:rsid w:val="00433A47"/>
    <w:rsid w:val="004340DA"/>
    <w:rsid w:val="0044176C"/>
    <w:rsid w:val="00450870"/>
    <w:rsid w:val="00455DBE"/>
    <w:rsid w:val="0046130A"/>
    <w:rsid w:val="004617AE"/>
    <w:rsid w:val="00470071"/>
    <w:rsid w:val="0047476A"/>
    <w:rsid w:val="00481DA7"/>
    <w:rsid w:val="00483B3C"/>
    <w:rsid w:val="0048435C"/>
    <w:rsid w:val="0049177C"/>
    <w:rsid w:val="00492E72"/>
    <w:rsid w:val="00494060"/>
    <w:rsid w:val="00496E76"/>
    <w:rsid w:val="004A22C9"/>
    <w:rsid w:val="004A3158"/>
    <w:rsid w:val="004A700F"/>
    <w:rsid w:val="004B3DC0"/>
    <w:rsid w:val="004B3F01"/>
    <w:rsid w:val="004B5576"/>
    <w:rsid w:val="004C7033"/>
    <w:rsid w:val="004D02C6"/>
    <w:rsid w:val="004D57CB"/>
    <w:rsid w:val="005062C0"/>
    <w:rsid w:val="00510240"/>
    <w:rsid w:val="005169ED"/>
    <w:rsid w:val="00520235"/>
    <w:rsid w:val="00522359"/>
    <w:rsid w:val="00522C33"/>
    <w:rsid w:val="00526042"/>
    <w:rsid w:val="0052689F"/>
    <w:rsid w:val="00540DD0"/>
    <w:rsid w:val="0056002B"/>
    <w:rsid w:val="00562953"/>
    <w:rsid w:val="005631C1"/>
    <w:rsid w:val="00563B09"/>
    <w:rsid w:val="00570591"/>
    <w:rsid w:val="00592FC3"/>
    <w:rsid w:val="005A0EDB"/>
    <w:rsid w:val="005B693F"/>
    <w:rsid w:val="005B7669"/>
    <w:rsid w:val="005C10E6"/>
    <w:rsid w:val="005C2FDE"/>
    <w:rsid w:val="005C3215"/>
    <w:rsid w:val="005C78A2"/>
    <w:rsid w:val="005D02DE"/>
    <w:rsid w:val="005E3DB3"/>
    <w:rsid w:val="005E4715"/>
    <w:rsid w:val="005E49B8"/>
    <w:rsid w:val="005E7159"/>
    <w:rsid w:val="005F3F6B"/>
    <w:rsid w:val="00613747"/>
    <w:rsid w:val="006147F4"/>
    <w:rsid w:val="00616673"/>
    <w:rsid w:val="00627B43"/>
    <w:rsid w:val="00633986"/>
    <w:rsid w:val="00637175"/>
    <w:rsid w:val="00645A63"/>
    <w:rsid w:val="006521F9"/>
    <w:rsid w:val="0065578D"/>
    <w:rsid w:val="006602D0"/>
    <w:rsid w:val="00660858"/>
    <w:rsid w:val="00664116"/>
    <w:rsid w:val="00672520"/>
    <w:rsid w:val="00680264"/>
    <w:rsid w:val="0068121D"/>
    <w:rsid w:val="00682949"/>
    <w:rsid w:val="006872E5"/>
    <w:rsid w:val="0069055C"/>
    <w:rsid w:val="00691647"/>
    <w:rsid w:val="006A15B0"/>
    <w:rsid w:val="006A195E"/>
    <w:rsid w:val="006A3252"/>
    <w:rsid w:val="006A4599"/>
    <w:rsid w:val="006A56AA"/>
    <w:rsid w:val="006A5B01"/>
    <w:rsid w:val="006A7732"/>
    <w:rsid w:val="006B0F02"/>
    <w:rsid w:val="006B1268"/>
    <w:rsid w:val="006B30B6"/>
    <w:rsid w:val="006B76A1"/>
    <w:rsid w:val="006C04E7"/>
    <w:rsid w:val="006D5FAB"/>
    <w:rsid w:val="006E1050"/>
    <w:rsid w:val="006E13AB"/>
    <w:rsid w:val="006E6CF3"/>
    <w:rsid w:val="006E742D"/>
    <w:rsid w:val="006F2BF5"/>
    <w:rsid w:val="006F3DF0"/>
    <w:rsid w:val="006F66B2"/>
    <w:rsid w:val="006F68F8"/>
    <w:rsid w:val="006F6E52"/>
    <w:rsid w:val="0070606B"/>
    <w:rsid w:val="00711F8B"/>
    <w:rsid w:val="00713001"/>
    <w:rsid w:val="0071458A"/>
    <w:rsid w:val="00724B63"/>
    <w:rsid w:val="00751F28"/>
    <w:rsid w:val="00753714"/>
    <w:rsid w:val="00757186"/>
    <w:rsid w:val="0076117A"/>
    <w:rsid w:val="0077356B"/>
    <w:rsid w:val="00781B21"/>
    <w:rsid w:val="007A0078"/>
    <w:rsid w:val="007A2BA6"/>
    <w:rsid w:val="007A3193"/>
    <w:rsid w:val="007B36F6"/>
    <w:rsid w:val="007C6302"/>
    <w:rsid w:val="007D66EB"/>
    <w:rsid w:val="007E1E2F"/>
    <w:rsid w:val="007F344D"/>
    <w:rsid w:val="008010C7"/>
    <w:rsid w:val="00801C16"/>
    <w:rsid w:val="00803F53"/>
    <w:rsid w:val="008062BA"/>
    <w:rsid w:val="0081348D"/>
    <w:rsid w:val="00837A3F"/>
    <w:rsid w:val="00850B2C"/>
    <w:rsid w:val="00860AA7"/>
    <w:rsid w:val="00872A96"/>
    <w:rsid w:val="00880D19"/>
    <w:rsid w:val="00885362"/>
    <w:rsid w:val="008A4E27"/>
    <w:rsid w:val="008B0C74"/>
    <w:rsid w:val="008B4D77"/>
    <w:rsid w:val="008B592F"/>
    <w:rsid w:val="008C13FF"/>
    <w:rsid w:val="008C7E51"/>
    <w:rsid w:val="008D0EA7"/>
    <w:rsid w:val="008E4153"/>
    <w:rsid w:val="008F3733"/>
    <w:rsid w:val="008F3837"/>
    <w:rsid w:val="00904E1A"/>
    <w:rsid w:val="009058B5"/>
    <w:rsid w:val="009070B0"/>
    <w:rsid w:val="00911BBF"/>
    <w:rsid w:val="00915E24"/>
    <w:rsid w:val="009168F6"/>
    <w:rsid w:val="00924625"/>
    <w:rsid w:val="0092743F"/>
    <w:rsid w:val="00935295"/>
    <w:rsid w:val="00935A3A"/>
    <w:rsid w:val="00941C99"/>
    <w:rsid w:val="00956ECF"/>
    <w:rsid w:val="00961DBB"/>
    <w:rsid w:val="00962721"/>
    <w:rsid w:val="00965584"/>
    <w:rsid w:val="009723D1"/>
    <w:rsid w:val="00976A22"/>
    <w:rsid w:val="009839AA"/>
    <w:rsid w:val="00986B02"/>
    <w:rsid w:val="00997688"/>
    <w:rsid w:val="009A0136"/>
    <w:rsid w:val="009A37BF"/>
    <w:rsid w:val="009A7865"/>
    <w:rsid w:val="009B4DBC"/>
    <w:rsid w:val="009B57F4"/>
    <w:rsid w:val="009C4943"/>
    <w:rsid w:val="009C797B"/>
    <w:rsid w:val="009E2EE7"/>
    <w:rsid w:val="009F0B3B"/>
    <w:rsid w:val="009F0F02"/>
    <w:rsid w:val="009F6E33"/>
    <w:rsid w:val="009F7079"/>
    <w:rsid w:val="00A10E81"/>
    <w:rsid w:val="00A178E1"/>
    <w:rsid w:val="00A20494"/>
    <w:rsid w:val="00A22C7B"/>
    <w:rsid w:val="00A24810"/>
    <w:rsid w:val="00A25134"/>
    <w:rsid w:val="00A25458"/>
    <w:rsid w:val="00A33A38"/>
    <w:rsid w:val="00A35C16"/>
    <w:rsid w:val="00A366E1"/>
    <w:rsid w:val="00A36FA8"/>
    <w:rsid w:val="00A40214"/>
    <w:rsid w:val="00A420B7"/>
    <w:rsid w:val="00A4540A"/>
    <w:rsid w:val="00A46B72"/>
    <w:rsid w:val="00A50250"/>
    <w:rsid w:val="00A57EE3"/>
    <w:rsid w:val="00A61743"/>
    <w:rsid w:val="00A65E54"/>
    <w:rsid w:val="00A74CC5"/>
    <w:rsid w:val="00A80FF1"/>
    <w:rsid w:val="00A87E93"/>
    <w:rsid w:val="00A9127D"/>
    <w:rsid w:val="00A954BF"/>
    <w:rsid w:val="00A973D7"/>
    <w:rsid w:val="00AA6D42"/>
    <w:rsid w:val="00AB3576"/>
    <w:rsid w:val="00AC0586"/>
    <w:rsid w:val="00AC3EBE"/>
    <w:rsid w:val="00AC558C"/>
    <w:rsid w:val="00AC7F59"/>
    <w:rsid w:val="00AD0FF5"/>
    <w:rsid w:val="00AD60D4"/>
    <w:rsid w:val="00AE21A5"/>
    <w:rsid w:val="00AE2C6C"/>
    <w:rsid w:val="00AF04C9"/>
    <w:rsid w:val="00AF29E8"/>
    <w:rsid w:val="00AF3362"/>
    <w:rsid w:val="00AF3B09"/>
    <w:rsid w:val="00AF7A45"/>
    <w:rsid w:val="00B012CF"/>
    <w:rsid w:val="00B03793"/>
    <w:rsid w:val="00B06CED"/>
    <w:rsid w:val="00B10B19"/>
    <w:rsid w:val="00B14E63"/>
    <w:rsid w:val="00B16408"/>
    <w:rsid w:val="00B17312"/>
    <w:rsid w:val="00B24A75"/>
    <w:rsid w:val="00B259FD"/>
    <w:rsid w:val="00B26717"/>
    <w:rsid w:val="00B31238"/>
    <w:rsid w:val="00B43853"/>
    <w:rsid w:val="00B4678B"/>
    <w:rsid w:val="00B617CE"/>
    <w:rsid w:val="00B641C0"/>
    <w:rsid w:val="00B65BFF"/>
    <w:rsid w:val="00B70CB3"/>
    <w:rsid w:val="00B75A4F"/>
    <w:rsid w:val="00B85E4C"/>
    <w:rsid w:val="00BA163F"/>
    <w:rsid w:val="00BB126A"/>
    <w:rsid w:val="00BB1514"/>
    <w:rsid w:val="00BB3453"/>
    <w:rsid w:val="00BB6D02"/>
    <w:rsid w:val="00BC6093"/>
    <w:rsid w:val="00BD131B"/>
    <w:rsid w:val="00BD330C"/>
    <w:rsid w:val="00BD4D99"/>
    <w:rsid w:val="00BE00D4"/>
    <w:rsid w:val="00BE4C2A"/>
    <w:rsid w:val="00C00E14"/>
    <w:rsid w:val="00C03432"/>
    <w:rsid w:val="00C04614"/>
    <w:rsid w:val="00C05D0B"/>
    <w:rsid w:val="00C05ED4"/>
    <w:rsid w:val="00C17334"/>
    <w:rsid w:val="00C30B83"/>
    <w:rsid w:val="00C34C96"/>
    <w:rsid w:val="00C41961"/>
    <w:rsid w:val="00C52B87"/>
    <w:rsid w:val="00C52D16"/>
    <w:rsid w:val="00C53B7D"/>
    <w:rsid w:val="00C61663"/>
    <w:rsid w:val="00C643D2"/>
    <w:rsid w:val="00C72C0D"/>
    <w:rsid w:val="00C75A7E"/>
    <w:rsid w:val="00C7754D"/>
    <w:rsid w:val="00C77D51"/>
    <w:rsid w:val="00C875A0"/>
    <w:rsid w:val="00CA009C"/>
    <w:rsid w:val="00CA0C47"/>
    <w:rsid w:val="00CA0F39"/>
    <w:rsid w:val="00CA4A67"/>
    <w:rsid w:val="00CB629A"/>
    <w:rsid w:val="00CC0B01"/>
    <w:rsid w:val="00CC1655"/>
    <w:rsid w:val="00CC48A2"/>
    <w:rsid w:val="00CC6230"/>
    <w:rsid w:val="00CD2143"/>
    <w:rsid w:val="00CD6C99"/>
    <w:rsid w:val="00CD7175"/>
    <w:rsid w:val="00CE3DDC"/>
    <w:rsid w:val="00CE4D2B"/>
    <w:rsid w:val="00CE5AD9"/>
    <w:rsid w:val="00CE5BE7"/>
    <w:rsid w:val="00CE6C1F"/>
    <w:rsid w:val="00CE7112"/>
    <w:rsid w:val="00CE7C16"/>
    <w:rsid w:val="00CF665A"/>
    <w:rsid w:val="00D22AAF"/>
    <w:rsid w:val="00D336B0"/>
    <w:rsid w:val="00D366B1"/>
    <w:rsid w:val="00D3745B"/>
    <w:rsid w:val="00D6165E"/>
    <w:rsid w:val="00D62DB3"/>
    <w:rsid w:val="00D6669A"/>
    <w:rsid w:val="00D66AEC"/>
    <w:rsid w:val="00D75E68"/>
    <w:rsid w:val="00D776DE"/>
    <w:rsid w:val="00D80B6E"/>
    <w:rsid w:val="00D87126"/>
    <w:rsid w:val="00D904C2"/>
    <w:rsid w:val="00DA1DE3"/>
    <w:rsid w:val="00DA23CE"/>
    <w:rsid w:val="00DA6DC6"/>
    <w:rsid w:val="00DB15F1"/>
    <w:rsid w:val="00DB2420"/>
    <w:rsid w:val="00DB56E4"/>
    <w:rsid w:val="00DC3586"/>
    <w:rsid w:val="00DC5792"/>
    <w:rsid w:val="00DE551B"/>
    <w:rsid w:val="00DF146F"/>
    <w:rsid w:val="00DF50BD"/>
    <w:rsid w:val="00E0647B"/>
    <w:rsid w:val="00E0741C"/>
    <w:rsid w:val="00E105EB"/>
    <w:rsid w:val="00E14F03"/>
    <w:rsid w:val="00E23670"/>
    <w:rsid w:val="00E37225"/>
    <w:rsid w:val="00E42F81"/>
    <w:rsid w:val="00E45F98"/>
    <w:rsid w:val="00E4614C"/>
    <w:rsid w:val="00E5206F"/>
    <w:rsid w:val="00E53E7A"/>
    <w:rsid w:val="00E56D97"/>
    <w:rsid w:val="00E81D7C"/>
    <w:rsid w:val="00E82E14"/>
    <w:rsid w:val="00E840BF"/>
    <w:rsid w:val="00E870D8"/>
    <w:rsid w:val="00E878D7"/>
    <w:rsid w:val="00E9662E"/>
    <w:rsid w:val="00EA5831"/>
    <w:rsid w:val="00EA7910"/>
    <w:rsid w:val="00EB102C"/>
    <w:rsid w:val="00EC34DE"/>
    <w:rsid w:val="00EC50FF"/>
    <w:rsid w:val="00ED430C"/>
    <w:rsid w:val="00EE1224"/>
    <w:rsid w:val="00EE794B"/>
    <w:rsid w:val="00EF3909"/>
    <w:rsid w:val="00EF4285"/>
    <w:rsid w:val="00EF4CFC"/>
    <w:rsid w:val="00F0148C"/>
    <w:rsid w:val="00F01E11"/>
    <w:rsid w:val="00F05620"/>
    <w:rsid w:val="00F06266"/>
    <w:rsid w:val="00F108BC"/>
    <w:rsid w:val="00F122EC"/>
    <w:rsid w:val="00F13ECB"/>
    <w:rsid w:val="00F14622"/>
    <w:rsid w:val="00F156E5"/>
    <w:rsid w:val="00F21541"/>
    <w:rsid w:val="00F438C7"/>
    <w:rsid w:val="00F57865"/>
    <w:rsid w:val="00F609E8"/>
    <w:rsid w:val="00F61713"/>
    <w:rsid w:val="00F61747"/>
    <w:rsid w:val="00F75811"/>
    <w:rsid w:val="00F83BC6"/>
    <w:rsid w:val="00F84BA4"/>
    <w:rsid w:val="00F864FD"/>
    <w:rsid w:val="00F951F0"/>
    <w:rsid w:val="00F95D28"/>
    <w:rsid w:val="00FA60CB"/>
    <w:rsid w:val="00FA7A1C"/>
    <w:rsid w:val="00FB012C"/>
    <w:rsid w:val="00FD2B11"/>
    <w:rsid w:val="00FD2E4C"/>
    <w:rsid w:val="00FD359C"/>
    <w:rsid w:val="00FE6A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027610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nb-NO"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AC0586"/>
    <w:pPr>
      <w:autoSpaceDE w:val="0"/>
      <w:autoSpaceDN w:val="0"/>
      <w:adjustRightInd w:val="0"/>
      <w:spacing w:after="120" w:line="320" w:lineRule="atLeast"/>
      <w:jc w:val="both"/>
    </w:pPr>
    <w:rPr>
      <w:sz w:val="24"/>
      <w:szCs w:val="24"/>
      <w:lang w:eastAsia="en-US"/>
    </w:rPr>
  </w:style>
  <w:style w:type="paragraph" w:styleId="Heading1">
    <w:name w:val="heading 1"/>
    <w:basedOn w:val="Normal"/>
    <w:next w:val="Normal"/>
    <w:qFormat/>
    <w:rsid w:val="00904E1A"/>
    <w:pPr>
      <w:keepNext/>
      <w:spacing w:line="400" w:lineRule="exact"/>
      <w:jc w:val="center"/>
      <w:outlineLvl w:val="0"/>
    </w:pPr>
    <w:rPr>
      <w:b/>
      <w:bCs/>
      <w:kern w:val="28"/>
      <w:sz w:val="32"/>
      <w:szCs w:val="32"/>
    </w:rPr>
  </w:style>
  <w:style w:type="paragraph" w:styleId="Heading2">
    <w:name w:val="heading 2"/>
    <w:basedOn w:val="Normal"/>
    <w:next w:val="Normal"/>
    <w:link w:val="Heading2Char"/>
    <w:qFormat/>
    <w:rsid w:val="003444F8"/>
    <w:pPr>
      <w:keepNext/>
      <w:spacing w:before="120"/>
      <w:outlineLvl w:val="1"/>
    </w:pPr>
    <w:rPr>
      <w:b/>
      <w:bCs/>
      <w:sz w:val="28"/>
      <w:szCs w:val="28"/>
    </w:rPr>
  </w:style>
  <w:style w:type="paragraph" w:styleId="Heading3">
    <w:name w:val="heading 3"/>
    <w:basedOn w:val="Normal"/>
    <w:next w:val="Normal"/>
    <w:link w:val="Heading3Char"/>
    <w:qFormat/>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edtranscript">
    <w:name w:val="Numbered transcript"/>
    <w:basedOn w:val="Normal"/>
    <w:rsid w:val="003444F8"/>
    <w:pPr>
      <w:tabs>
        <w:tab w:val="left" w:pos="851"/>
      </w:tabs>
      <w:spacing w:after="60" w:line="280" w:lineRule="exact"/>
      <w:ind w:left="2268" w:hanging="1984"/>
    </w:pPr>
  </w:style>
  <w:style w:type="paragraph" w:styleId="Quote">
    <w:name w:val="Quote"/>
    <w:basedOn w:val="Normal"/>
    <w:qFormat/>
    <w:rsid w:val="003A3210"/>
    <w:pPr>
      <w:ind w:left="284"/>
    </w:pPr>
  </w:style>
  <w:style w:type="paragraph" w:customStyle="1" w:styleId="References">
    <w:name w:val="References"/>
    <w:basedOn w:val="Normal"/>
    <w:link w:val="ReferencesTegn"/>
    <w:pPr>
      <w:ind w:left="284" w:hanging="284"/>
    </w:pPr>
  </w:style>
  <w:style w:type="paragraph" w:customStyle="1" w:styleId="Endnote">
    <w:name w:val="Endnote"/>
    <w:basedOn w:val="Normal"/>
    <w:rsid w:val="006A3252"/>
  </w:style>
  <w:style w:type="paragraph" w:customStyle="1" w:styleId="FigTitle">
    <w:name w:val="FigTitle"/>
    <w:basedOn w:val="Normal"/>
    <w:rsid w:val="00C30B83"/>
    <w:pPr>
      <w:spacing w:before="120"/>
      <w:jc w:val="center"/>
    </w:pPr>
    <w:rPr>
      <w:b/>
      <w:bCs/>
      <w:sz w:val="22"/>
      <w:szCs w:val="22"/>
    </w:rPr>
  </w:style>
  <w:style w:type="paragraph" w:customStyle="1" w:styleId="Transcript">
    <w:name w:val="Transcript"/>
    <w:basedOn w:val="Normal"/>
    <w:rsid w:val="003444F8"/>
    <w:pPr>
      <w:ind w:left="1702" w:hanging="1418"/>
    </w:pPr>
  </w:style>
  <w:style w:type="paragraph" w:styleId="DocumentMap">
    <w:name w:val="Document Map"/>
    <w:basedOn w:val="Normal"/>
    <w:semiHidden/>
    <w:pPr>
      <w:shd w:val="clear" w:color="auto" w:fill="000080"/>
    </w:pPr>
    <w:rPr>
      <w:rFonts w:ascii="Tahoma" w:hAnsi="Tahoma" w:cs="Tahoma"/>
    </w:rPr>
  </w:style>
  <w:style w:type="paragraph" w:styleId="Footer">
    <w:name w:val="footer"/>
    <w:basedOn w:val="Normal"/>
    <w:rsid w:val="008A4E27"/>
    <w:pPr>
      <w:tabs>
        <w:tab w:val="center" w:pos="4320"/>
        <w:tab w:val="right" w:pos="8640"/>
      </w:tabs>
    </w:pPr>
  </w:style>
  <w:style w:type="character" w:styleId="PageNumber">
    <w:name w:val="page number"/>
    <w:basedOn w:val="DefaultParagraphFont"/>
    <w:rsid w:val="008A4E27"/>
  </w:style>
  <w:style w:type="character" w:styleId="CommentReference">
    <w:name w:val="annotation reference"/>
    <w:rsid w:val="00292577"/>
    <w:rPr>
      <w:sz w:val="16"/>
      <w:szCs w:val="16"/>
    </w:rPr>
  </w:style>
  <w:style w:type="paragraph" w:styleId="CommentText">
    <w:name w:val="annotation text"/>
    <w:basedOn w:val="Normal"/>
    <w:link w:val="CommentTextChar"/>
    <w:rsid w:val="00292577"/>
    <w:rPr>
      <w:sz w:val="20"/>
      <w:szCs w:val="20"/>
    </w:rPr>
  </w:style>
  <w:style w:type="character" w:customStyle="1" w:styleId="CommentTextChar">
    <w:name w:val="Comment Text Char"/>
    <w:link w:val="CommentText"/>
    <w:rsid w:val="00292577"/>
    <w:rPr>
      <w:lang w:val="en-GB" w:eastAsia="en-US"/>
    </w:rPr>
  </w:style>
  <w:style w:type="paragraph" w:styleId="CommentSubject">
    <w:name w:val="annotation subject"/>
    <w:basedOn w:val="CommentText"/>
    <w:next w:val="CommentText"/>
    <w:link w:val="CommentSubjectChar"/>
    <w:rsid w:val="00292577"/>
    <w:rPr>
      <w:b/>
      <w:bCs/>
    </w:rPr>
  </w:style>
  <w:style w:type="character" w:customStyle="1" w:styleId="CommentSubjectChar">
    <w:name w:val="Comment Subject Char"/>
    <w:link w:val="CommentSubject"/>
    <w:rsid w:val="00292577"/>
    <w:rPr>
      <w:b/>
      <w:bCs/>
      <w:lang w:val="en-GB" w:eastAsia="en-US"/>
    </w:rPr>
  </w:style>
  <w:style w:type="paragraph" w:styleId="BalloonText">
    <w:name w:val="Balloon Text"/>
    <w:basedOn w:val="Normal"/>
    <w:link w:val="BalloonTextChar"/>
    <w:rsid w:val="00292577"/>
    <w:pPr>
      <w:spacing w:after="0" w:line="240" w:lineRule="auto"/>
    </w:pPr>
    <w:rPr>
      <w:rFonts w:ascii="Segoe UI" w:hAnsi="Segoe UI" w:cs="Segoe UI"/>
      <w:sz w:val="18"/>
      <w:szCs w:val="18"/>
    </w:rPr>
  </w:style>
  <w:style w:type="character" w:customStyle="1" w:styleId="BalloonTextChar">
    <w:name w:val="Balloon Text Char"/>
    <w:link w:val="BalloonText"/>
    <w:rsid w:val="00292577"/>
    <w:rPr>
      <w:rFonts w:ascii="Segoe UI" w:hAnsi="Segoe UI" w:cs="Segoe UI"/>
      <w:sz w:val="18"/>
      <w:szCs w:val="18"/>
      <w:lang w:val="en-GB" w:eastAsia="en-US"/>
    </w:rPr>
  </w:style>
  <w:style w:type="character" w:styleId="Hyperlink">
    <w:name w:val="Hyperlink"/>
    <w:rsid w:val="00292577"/>
    <w:rPr>
      <w:color w:val="0563C1"/>
      <w:u w:val="single"/>
    </w:rPr>
  </w:style>
  <w:style w:type="paragraph" w:styleId="FootnoteText">
    <w:name w:val="footnote text"/>
    <w:basedOn w:val="Normal"/>
    <w:link w:val="FootnoteTextChar"/>
    <w:uiPriority w:val="99"/>
    <w:rsid w:val="00EA5831"/>
    <w:rPr>
      <w:sz w:val="20"/>
      <w:szCs w:val="20"/>
    </w:rPr>
  </w:style>
  <w:style w:type="character" w:customStyle="1" w:styleId="FootnoteTextChar">
    <w:name w:val="Footnote Text Char"/>
    <w:link w:val="FootnoteText"/>
    <w:uiPriority w:val="99"/>
    <w:rsid w:val="00EA5831"/>
    <w:rPr>
      <w:lang w:val="en-GB"/>
    </w:rPr>
  </w:style>
  <w:style w:type="character" w:styleId="FootnoteReference">
    <w:name w:val="footnote reference"/>
    <w:uiPriority w:val="99"/>
    <w:rsid w:val="00EA5831"/>
    <w:rPr>
      <w:vertAlign w:val="superscript"/>
    </w:rPr>
  </w:style>
  <w:style w:type="character" w:styleId="FollowedHyperlink">
    <w:name w:val="FollowedHyperlink"/>
    <w:rsid w:val="001B33D8"/>
    <w:rPr>
      <w:color w:val="954F72"/>
      <w:u w:val="single"/>
    </w:rPr>
  </w:style>
  <w:style w:type="paragraph" w:customStyle="1" w:styleId="StyleLinespacingDouble">
    <w:name w:val="Style Line spacing:  Double"/>
    <w:basedOn w:val="Normal"/>
    <w:autoRedefine/>
    <w:rsid w:val="00433A47"/>
    <w:pPr>
      <w:autoSpaceDE/>
      <w:autoSpaceDN/>
      <w:adjustRightInd/>
      <w:spacing w:after="0" w:line="360" w:lineRule="auto"/>
      <w:jc w:val="left"/>
    </w:pPr>
    <w:rPr>
      <w:szCs w:val="20"/>
    </w:rPr>
  </w:style>
  <w:style w:type="character" w:styleId="SubtleReference">
    <w:name w:val="Subtle Reference"/>
    <w:uiPriority w:val="31"/>
    <w:qFormat/>
    <w:rsid w:val="006F2BF5"/>
    <w:rPr>
      <w:smallCaps/>
      <w:color w:val="5A5A5A"/>
    </w:rPr>
  </w:style>
  <w:style w:type="character" w:styleId="IntenseReference">
    <w:name w:val="Intense Reference"/>
    <w:uiPriority w:val="32"/>
    <w:qFormat/>
    <w:rsid w:val="006F2BF5"/>
    <w:rPr>
      <w:b/>
      <w:bCs/>
      <w:smallCaps/>
      <w:color w:val="5B9BD5"/>
      <w:spacing w:val="5"/>
    </w:rPr>
  </w:style>
  <w:style w:type="character" w:customStyle="1" w:styleId="ReferencesTegn">
    <w:name w:val="References Tegn"/>
    <w:link w:val="References"/>
    <w:locked/>
    <w:rsid w:val="00161F74"/>
    <w:rPr>
      <w:sz w:val="24"/>
      <w:szCs w:val="24"/>
    </w:rPr>
  </w:style>
  <w:style w:type="character" w:customStyle="1" w:styleId="author">
    <w:name w:val="author"/>
    <w:rsid w:val="00AF3362"/>
  </w:style>
  <w:style w:type="character" w:customStyle="1" w:styleId="year">
    <w:name w:val="year"/>
    <w:rsid w:val="00AF3362"/>
  </w:style>
  <w:style w:type="character" w:customStyle="1" w:styleId="work-title">
    <w:name w:val="work-title"/>
    <w:rsid w:val="00AF3362"/>
  </w:style>
  <w:style w:type="character" w:customStyle="1" w:styleId="source-title">
    <w:name w:val="source-title"/>
    <w:rsid w:val="00AF3362"/>
  </w:style>
  <w:style w:type="character" w:customStyle="1" w:styleId="description">
    <w:name w:val="description"/>
    <w:rsid w:val="00AF3362"/>
  </w:style>
  <w:style w:type="character" w:customStyle="1" w:styleId="Heading3Char">
    <w:name w:val="Heading 3 Char"/>
    <w:link w:val="Heading3"/>
    <w:rsid w:val="00D366B1"/>
    <w:rPr>
      <w:b/>
      <w:bCs/>
      <w:sz w:val="24"/>
      <w:szCs w:val="24"/>
    </w:rPr>
  </w:style>
  <w:style w:type="paragraph" w:styleId="ListParagraph">
    <w:name w:val="List Paragraph"/>
    <w:basedOn w:val="Normal"/>
    <w:uiPriority w:val="34"/>
    <w:qFormat/>
    <w:rsid w:val="00D366B1"/>
    <w:pPr>
      <w:autoSpaceDE/>
      <w:autoSpaceDN/>
      <w:adjustRightInd/>
      <w:spacing w:after="0" w:line="240" w:lineRule="auto"/>
      <w:ind w:left="720"/>
      <w:contextualSpacing/>
      <w:jc w:val="left"/>
    </w:pPr>
    <w:rPr>
      <w:rFonts w:eastAsia="Calibri"/>
    </w:rPr>
  </w:style>
  <w:style w:type="table" w:styleId="TableGrid">
    <w:name w:val="Table Grid"/>
    <w:basedOn w:val="TableNormal"/>
    <w:rsid w:val="00757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880D19"/>
    <w:rPr>
      <w:b/>
      <w:bCs/>
      <w:sz w:val="28"/>
      <w:szCs w:val="28"/>
      <w:lang w:eastAsia="en-US"/>
    </w:rPr>
  </w:style>
  <w:style w:type="paragraph" w:styleId="Header">
    <w:name w:val="header"/>
    <w:basedOn w:val="Normal"/>
    <w:link w:val="HeaderChar"/>
    <w:unhideWhenUsed/>
    <w:rsid w:val="003003BA"/>
    <w:pPr>
      <w:tabs>
        <w:tab w:val="center" w:pos="4536"/>
        <w:tab w:val="right" w:pos="9072"/>
      </w:tabs>
      <w:spacing w:after="0" w:line="240" w:lineRule="auto"/>
    </w:pPr>
  </w:style>
  <w:style w:type="character" w:customStyle="1" w:styleId="HeaderChar">
    <w:name w:val="Header Char"/>
    <w:basedOn w:val="DefaultParagraphFont"/>
    <w:link w:val="Header"/>
    <w:rsid w:val="003003B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4697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tiff"/><Relationship Id="rId12" Type="http://schemas.openxmlformats.org/officeDocument/2006/relationships/image" Target="media/image3.tiff"/><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nita.valenta@matematikksenteret.no" TargetMode="External"/><Relationship Id="rId9" Type="http://schemas.openxmlformats.org/officeDocument/2006/relationships/hyperlink" Target="mailto:kjersti.wage@matematikksenteret.no" TargetMode="External"/><Relationship Id="rId10" Type="http://schemas.openxmlformats.org/officeDocument/2006/relationships/image" Target="media/image1.tif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AF967-1610-2347-827A-1ABF1CDC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3378</Words>
  <Characters>19257</Characters>
  <Application>Microsoft Macintosh Word</Application>
  <DocSecurity>0</DocSecurity>
  <Lines>160</Lines>
  <Paragraphs>45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CERME paper template</vt:lpstr>
      <vt:lpstr>Rehearsals in work with in-service mathematics teachers</vt:lpstr>
      <vt:lpstr>    Introduction </vt:lpstr>
      <vt:lpstr>    Rehearsals within a cycle of enactment </vt:lpstr>
      <vt:lpstr>    Design of course</vt:lpstr>
      <vt:lpstr>    Method </vt:lpstr>
      <vt:lpstr>        Participants and data</vt:lpstr>
      <vt:lpstr>        Coding and data analysis</vt:lpstr>
      <vt:lpstr>    Results</vt:lpstr>
      <vt:lpstr>        Substance of  CI/IST exchanges</vt:lpstr>
      <vt:lpstr>        Structure of CI/IST Exchanges</vt:lpstr>
      <vt:lpstr>    Discussion</vt:lpstr>
      <vt:lpstr>    References</vt:lpstr>
    </vt:vector>
  </TitlesOfParts>
  <Company>PEDF UK</Company>
  <LinksUpToDate>false</LinksUpToDate>
  <CharactersWithSpaces>22590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CERME paper template</dc:title>
  <dc:subject/>
  <dc:creator>CERME</dc:creator>
  <cp:keywords/>
  <dc:description/>
  <cp:lastModifiedBy>Microsoft Office User</cp:lastModifiedBy>
  <cp:revision>2</cp:revision>
  <cp:lastPrinted>2016-11-17T10:31:00Z</cp:lastPrinted>
  <dcterms:created xsi:type="dcterms:W3CDTF">2017-02-13T08:27:00Z</dcterms:created>
  <dcterms:modified xsi:type="dcterms:W3CDTF">2017-02-13T08:27:00Z</dcterms:modified>
</cp:coreProperties>
</file>