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0EC5E7" w14:textId="71EDCDAD" w:rsidR="00D569EB" w:rsidRPr="00635A2B" w:rsidRDefault="00D569EB" w:rsidP="00635A2B">
      <w:pPr>
        <w:pStyle w:val="Overskrift1"/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 w:rsidRPr="00635A2B">
        <w:rPr>
          <w:rFonts w:ascii="Times New Roman" w:hAnsi="Times New Roman" w:cs="Times New Roman"/>
          <w:sz w:val="36"/>
          <w:szCs w:val="36"/>
        </w:rPr>
        <w:t>Fagovergripende diskurs: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635A2B">
        <w:rPr>
          <w:rFonts w:ascii="Times New Roman" w:hAnsi="Times New Roman" w:cs="Times New Roman"/>
          <w:sz w:val="36"/>
          <w:szCs w:val="36"/>
        </w:rPr>
        <w:t>en fremtid for kunstfagene i norsk skole</w:t>
      </w:r>
    </w:p>
    <w:p w14:paraId="22CAEEE9" w14:textId="08DECA6A" w:rsidR="00D569EB" w:rsidRDefault="00D569EB" w:rsidP="00C2084E">
      <w:pPr>
        <w:pStyle w:val="grep"/>
        <w:spacing w:before="0" w:beforeAutospacing="0" w:after="0" w:afterAutospacing="0" w:line="276" w:lineRule="auto"/>
        <w:jc w:val="both"/>
        <w:rPr>
          <w:i/>
          <w:sz w:val="20"/>
          <w:szCs w:val="20"/>
        </w:rPr>
      </w:pPr>
      <w:r w:rsidRPr="00120426">
        <w:rPr>
          <w:i/>
          <w:sz w:val="20"/>
          <w:szCs w:val="20"/>
        </w:rPr>
        <w:t>Av professor Bjørn Rasmussen, NTNU</w:t>
      </w:r>
      <w:r>
        <w:rPr>
          <w:i/>
          <w:sz w:val="20"/>
          <w:szCs w:val="20"/>
        </w:rPr>
        <w:t xml:space="preserve"> og</w:t>
      </w:r>
      <w:r w:rsidRPr="00120426">
        <w:rPr>
          <w:i/>
          <w:sz w:val="20"/>
          <w:szCs w:val="20"/>
        </w:rPr>
        <w:t xml:space="preserve"> prof</w:t>
      </w:r>
      <w:r w:rsidR="00D22DE0">
        <w:rPr>
          <w:i/>
          <w:sz w:val="20"/>
          <w:szCs w:val="20"/>
        </w:rPr>
        <w:t>essor Rikke Gürgens Gjærum, HIOA &amp; UIT</w:t>
      </w:r>
      <w:r>
        <w:rPr>
          <w:i/>
          <w:sz w:val="20"/>
          <w:szCs w:val="20"/>
        </w:rPr>
        <w:t xml:space="preserve"> </w:t>
      </w:r>
    </w:p>
    <w:p w14:paraId="5E3C18C4" w14:textId="77777777" w:rsidR="00D569EB" w:rsidRDefault="00D569EB" w:rsidP="00C2084E">
      <w:pPr>
        <w:pStyle w:val="grep"/>
        <w:spacing w:before="0" w:beforeAutospacing="0" w:after="0" w:afterAutospacing="0" w:line="276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Ledere av Det nasjonale forskningspr</w:t>
      </w:r>
      <w:r w:rsidR="0017046C">
        <w:rPr>
          <w:i/>
          <w:sz w:val="20"/>
          <w:szCs w:val="20"/>
        </w:rPr>
        <w:t>osjektet DRAMA-TEATER-DEMOKRATI</w:t>
      </w:r>
    </w:p>
    <w:p w14:paraId="428EF2EA" w14:textId="77777777" w:rsidR="00D569EB" w:rsidRPr="00120426" w:rsidRDefault="00D569EB" w:rsidP="00C2084E">
      <w:pPr>
        <w:pStyle w:val="grep"/>
        <w:spacing w:before="0" w:beforeAutospacing="0" w:after="0" w:afterAutospacing="0" w:line="276" w:lineRule="auto"/>
        <w:jc w:val="both"/>
        <w:rPr>
          <w:i/>
          <w:sz w:val="20"/>
          <w:szCs w:val="20"/>
        </w:rPr>
      </w:pPr>
    </w:p>
    <w:p w14:paraId="0109E170" w14:textId="7706F9F2" w:rsidR="00D569EB" w:rsidRPr="00DC3038" w:rsidRDefault="00D569EB" w:rsidP="00DC3038">
      <w:pPr>
        <w:pStyle w:val="grep"/>
        <w:spacing w:before="0" w:beforeAutospacing="0" w:after="0" w:afterAutospacing="0"/>
        <w:ind w:left="708"/>
        <w:rPr>
          <w:i/>
        </w:rPr>
      </w:pPr>
      <w:r w:rsidRPr="00DC3038">
        <w:t>Kunnskapsminister Torbjørn Røe Isaksen presenterte med St.meld. 28</w:t>
      </w:r>
      <w:r w:rsidRPr="00DC3038">
        <w:rPr>
          <w:i/>
          <w:noProof/>
        </w:rPr>
        <w:t xml:space="preserve"> Fag </w:t>
      </w:r>
      <w:r w:rsidR="00D544BD">
        <w:rPr>
          <w:i/>
          <w:noProof/>
        </w:rPr>
        <w:t>−</w:t>
      </w:r>
      <w:r w:rsidRPr="00DC3038">
        <w:rPr>
          <w:i/>
          <w:noProof/>
        </w:rPr>
        <w:t xml:space="preserve"> Fordypning </w:t>
      </w:r>
      <w:r w:rsidR="00D544BD">
        <w:rPr>
          <w:i/>
          <w:noProof/>
        </w:rPr>
        <w:t>−</w:t>
      </w:r>
      <w:r w:rsidRPr="00DC3038">
        <w:rPr>
          <w:i/>
          <w:noProof/>
        </w:rPr>
        <w:t xml:space="preserve"> Forståelse </w:t>
      </w:r>
      <w:r w:rsidR="00D544BD">
        <w:rPr>
          <w:i/>
          <w:noProof/>
        </w:rPr>
        <w:t>−</w:t>
      </w:r>
      <w:r w:rsidRPr="00DC3038">
        <w:rPr>
          <w:i/>
          <w:noProof/>
        </w:rPr>
        <w:t xml:space="preserve"> En fornyelse av Kunnskapsløftet</w:t>
      </w:r>
      <w:r w:rsidRPr="00DC3038">
        <w:t xml:space="preserve"> nye fagovergripende tema for å skape fornyelse i norsk skole. Det foreslås satsning på: ‘Demokrati og medborgerskap’, ‘Bærekraftig utvikling’ og ‘Folkehelse og livsmestring’</w:t>
      </w:r>
      <w:r w:rsidR="00D544BD">
        <w:t>.</w:t>
      </w:r>
      <w:r w:rsidRPr="00DC3038">
        <w:t xml:space="preserve"> Vi vil i dette innhogget belyse hva vi tror kreves diskursivt for å gjennomføre en fagovergripende undervisning og videre foreslå hvordan norsk skole kan styrke et underbelyst fagovergripende perspektiv; </w:t>
      </w:r>
      <w:r w:rsidR="0017046C" w:rsidRPr="00DC3038">
        <w:t>ved</w:t>
      </w:r>
      <w:r w:rsidRPr="00DC3038">
        <w:t xml:space="preserve"> å forene kunst og pedagogikk på en ny måte.</w:t>
      </w:r>
      <w:r w:rsidRPr="00DC3038">
        <w:rPr>
          <w:i/>
        </w:rPr>
        <w:t xml:space="preserve"> </w:t>
      </w:r>
    </w:p>
    <w:p w14:paraId="731A44C6" w14:textId="77777777" w:rsidR="00D569EB" w:rsidRDefault="00D569EB" w:rsidP="003F03B8">
      <w:pPr>
        <w:pStyle w:val="grep"/>
        <w:spacing w:before="0" w:beforeAutospacing="0" w:after="0" w:afterAutospacing="0"/>
        <w:ind w:left="708"/>
        <w:jc w:val="both"/>
        <w:rPr>
          <w:b/>
        </w:rPr>
      </w:pPr>
    </w:p>
    <w:p w14:paraId="51CD5DE2" w14:textId="77777777" w:rsidR="00D569EB" w:rsidRPr="00120426" w:rsidRDefault="00D569EB" w:rsidP="00635A2B">
      <w:pPr>
        <w:pStyle w:val="Overskrift2"/>
      </w:pPr>
      <w:r w:rsidRPr="00120426">
        <w:t>Splittelse: #kunstogpedagogikk</w:t>
      </w:r>
    </w:p>
    <w:p w14:paraId="4E979984" w14:textId="77777777" w:rsidR="00D569EB" w:rsidRDefault="00D569EB" w:rsidP="00CD50C1">
      <w:pPr>
        <w:pStyle w:val="grep"/>
        <w:spacing w:line="360" w:lineRule="auto"/>
        <w:jc w:val="both"/>
      </w:pPr>
      <w:r w:rsidRPr="00D55B76">
        <w:t xml:space="preserve">Det nasjonale forskningsprosjektet «Drama, teater, demokrati» utforsker </w:t>
      </w:r>
      <w:r w:rsidR="0017046C">
        <w:t>fagets potensial</w:t>
      </w:r>
      <w:r w:rsidRPr="00D55B76">
        <w:t xml:space="preserve"> både fra et kunstnerisk og pedagogisk ståsted</w:t>
      </w:r>
      <w:r w:rsidR="0017046C">
        <w:t xml:space="preserve">. </w:t>
      </w:r>
      <w:r w:rsidRPr="00120426">
        <w:t xml:space="preserve">Vårt utgangspunkt er </w:t>
      </w:r>
      <w:r w:rsidR="0017046C">
        <w:t xml:space="preserve">blant annet </w:t>
      </w:r>
      <w:r w:rsidRPr="00120426">
        <w:t xml:space="preserve">at det kunstpedagogiske området består av flere diskurser som betjener </w:t>
      </w:r>
      <w:r>
        <w:t>ulike</w:t>
      </w:r>
      <w:r w:rsidRPr="00120426">
        <w:t xml:space="preserve"> interesser og praksiser. I tråd med diskursteori </w:t>
      </w:r>
      <w:r w:rsidRPr="00120426">
        <w:rPr>
          <w:noProof/>
        </w:rPr>
        <w:t>(Norris &amp; Maier, 2014; Winther Jørgensen &amp; Phillips, 1999)</w:t>
      </w:r>
      <w:r w:rsidRPr="00120426">
        <w:t xml:space="preserve"> ser vi at det foregår en kamp om diskursiv dominans som for dette området ofte betyr gjensidig ekskluderende</w:t>
      </w:r>
      <w:r>
        <w:t>,</w:t>
      </w:r>
      <w:r w:rsidRPr="00120426">
        <w:t xml:space="preserve"> og</w:t>
      </w:r>
      <w:r>
        <w:t xml:space="preserve"> ofte </w:t>
      </w:r>
      <w:r w:rsidRPr="00120426">
        <w:t>provinsielle diskurser som splitter kunst og pedagogikk</w:t>
      </w:r>
      <w:r>
        <w:rPr>
          <w:rStyle w:val="Sluttnotereferanse"/>
        </w:rPr>
        <w:endnoteReference w:id="1"/>
      </w:r>
      <w:r w:rsidRPr="00120426">
        <w:t xml:space="preserve">. En overgripende tenkning og diskurs fortrenges dermed ofte fra begge felt. </w:t>
      </w:r>
    </w:p>
    <w:p w14:paraId="28E944CE" w14:textId="007F586D" w:rsidR="00D569EB" w:rsidRDefault="00D569EB" w:rsidP="00CD50C1">
      <w:pPr>
        <w:pStyle w:val="grep"/>
        <w:spacing w:line="360" w:lineRule="auto"/>
        <w:ind w:firstLine="708"/>
        <w:jc w:val="both"/>
      </w:pPr>
      <w:r w:rsidRPr="00120426">
        <w:t xml:space="preserve">En feltoverskridende diskurs </w:t>
      </w:r>
      <w:r>
        <w:t xml:space="preserve">kan </w:t>
      </w:r>
      <w:r w:rsidRPr="00120426">
        <w:t>forankre</w:t>
      </w:r>
      <w:r>
        <w:t>s</w:t>
      </w:r>
      <w:r w:rsidRPr="00120426">
        <w:t xml:space="preserve"> i tenkningen om det såkalte ‘kulturelle demokrati’. «</w:t>
      </w:r>
      <w:r w:rsidR="00560EA7">
        <w:t>[</w:t>
      </w:r>
      <w:r>
        <w:t>…</w:t>
      </w:r>
      <w:r w:rsidR="00560EA7">
        <w:t xml:space="preserve">] </w:t>
      </w:r>
      <w:r w:rsidRPr="00120426">
        <w:t xml:space="preserve">et levende kulturliv </w:t>
      </w:r>
      <w:r>
        <w:t xml:space="preserve">(bidrar) </w:t>
      </w:r>
      <w:r w:rsidRPr="00120426">
        <w:t xml:space="preserve">til å gjøre demokrati til en levd erfaring, ikke bare et teoretisk begrep» </w:t>
      </w:r>
      <w:r>
        <w:rPr>
          <w:noProof/>
        </w:rPr>
        <w:t>(Slettholm 2013)</w:t>
      </w:r>
      <w:r>
        <w:t xml:space="preserve">. For kunstpedagogen kan denne levde erfaringen innebære </w:t>
      </w:r>
      <w:r w:rsidRPr="00120426">
        <w:t>at barn betraktes som kulturelle agenter som lærer gjennom praksis</w:t>
      </w:r>
      <w:r>
        <w:t xml:space="preserve"> </w:t>
      </w:r>
      <w:r w:rsidRPr="00120426">
        <w:t>via estetisk forming</w:t>
      </w:r>
      <w:r w:rsidR="00560EA7">
        <w:t>,</w:t>
      </w:r>
      <w:r w:rsidRPr="00120426">
        <w:t xml:space="preserve"> og </w:t>
      </w:r>
      <w:r>
        <w:t>som dannes til å ytre seg i demokratiet. Det forutsetter en annen diskurs enn den som i Kulturdepartementet og Kulturrådet angår «armlengdeprinsippet» som b</w:t>
      </w:r>
      <w:r w:rsidRPr="00120426">
        <w:t xml:space="preserve">etyr at «offentlig finansierte kulturvirksomheter </w:t>
      </w:r>
      <w:r w:rsidR="00560EA7">
        <w:t>[</w:t>
      </w:r>
      <w:r w:rsidRPr="00120426">
        <w:t>har</w:t>
      </w:r>
      <w:r w:rsidR="00560EA7">
        <w:t>]</w:t>
      </w:r>
      <w:r w:rsidRPr="00120426">
        <w:t xml:space="preserve"> faglig frihet og uavhengighet fra politiske myndigheter» </w:t>
      </w:r>
      <w:r>
        <w:rPr>
          <w:noProof/>
        </w:rPr>
        <w:t>(Slettholm 2013)</w:t>
      </w:r>
      <w:r>
        <w:t>. Dette autonome prinsippet beskytter den voksne kunstnerens frihet til å ytre seg</w:t>
      </w:r>
      <w:r w:rsidR="00560EA7">
        <w:t>,</w:t>
      </w:r>
      <w:r>
        <w:t xml:space="preserve"> men har ofte den konsekvens at barn i høyden er interessant som publikum. Det forutsetter også en annen diskurs enn den pedagogiske som fremmer undervisning om demokrati fremfor undervisning gjennom demokratisk praksis.  </w:t>
      </w:r>
    </w:p>
    <w:p w14:paraId="1801633D" w14:textId="53B529C6" w:rsidR="00D569EB" w:rsidRDefault="00D569EB" w:rsidP="004F68A0">
      <w:pPr>
        <w:pStyle w:val="grep"/>
        <w:spacing w:line="360" w:lineRule="auto"/>
        <w:ind w:firstLine="708"/>
        <w:jc w:val="both"/>
      </w:pPr>
      <w:r w:rsidRPr="00120426">
        <w:t xml:space="preserve">Det kunstpedagogiske området </w:t>
      </w:r>
      <w:r>
        <w:t xml:space="preserve">svekkes av at </w:t>
      </w:r>
      <w:r w:rsidRPr="00120426">
        <w:t xml:space="preserve">kunst og pedagogikk </w:t>
      </w:r>
      <w:r>
        <w:t xml:space="preserve">splittes, konkret i to departementer. Filosofen Løgstrup kommenterer at mennesket har «en uudryddelig </w:t>
      </w:r>
      <w:r>
        <w:lastRenderedPageBreak/>
        <w:t xml:space="preserve">tilbøjelighed til skematisk tænken, vi deler tilværelsen op i fast afgrænsede områder, hver af dem får tilordnet sin diciplin, og indbyrdes lader vi disciplinerne have så lidt som mulig med hinanden at gøre» </w:t>
      </w:r>
      <w:r w:rsidR="007371CB">
        <w:rPr>
          <w:noProof/>
        </w:rPr>
        <w:t>(Løgstrup 1961, s</w:t>
      </w:r>
      <w:r>
        <w:rPr>
          <w:noProof/>
        </w:rPr>
        <w:t>. 7)</w:t>
      </w:r>
      <w:r>
        <w:t xml:space="preserve">. </w:t>
      </w:r>
      <w:r w:rsidRPr="00120426">
        <w:t xml:space="preserve">Vi </w:t>
      </w:r>
      <w:r>
        <w:t>erfarer som kunstpedagoger og forskere at</w:t>
      </w:r>
      <w:r w:rsidRPr="00120426">
        <w:t xml:space="preserve"> modernitetens institusjoner som ‘kunst’ og ‘pedagogikk’ søker selvbeskyttelse, også ved at de gjensidig bekrefter hverandre diskursivt som ulike.</w:t>
      </w:r>
      <w:r>
        <w:t xml:space="preserve"> Vi vil insistere på at </w:t>
      </w:r>
      <w:r w:rsidRPr="00120426">
        <w:t>kunstpedagogisk praksis ha</w:t>
      </w:r>
      <w:r w:rsidR="0017046C">
        <w:t xml:space="preserve">r et større potensial </w:t>
      </w:r>
      <w:r w:rsidRPr="00120426">
        <w:t>enn de</w:t>
      </w:r>
      <w:r w:rsidR="0017046C">
        <w:t xml:space="preserve">t som realiseres i en </w:t>
      </w:r>
      <w:r w:rsidRPr="00120426">
        <w:t>marginal kunstopplæring i skolen</w:t>
      </w:r>
      <w:r w:rsidR="0017046C">
        <w:t xml:space="preserve">. Og </w:t>
      </w:r>
      <w:r>
        <w:t>vi påstår at et ønske om fagovergripende læring nødvendigvis også må utfordre</w:t>
      </w:r>
      <w:r w:rsidRPr="00120426">
        <w:t xml:space="preserve"> </w:t>
      </w:r>
      <w:r>
        <w:t>noen</w:t>
      </w:r>
      <w:r w:rsidR="0017046C">
        <w:t xml:space="preserve"> </w:t>
      </w:r>
      <w:r w:rsidRPr="00120426">
        <w:t>struktur</w:t>
      </w:r>
      <w:r>
        <w:t>er</w:t>
      </w:r>
      <w:r w:rsidRPr="00120426">
        <w:t xml:space="preserve"> </w:t>
      </w:r>
      <w:r>
        <w:t xml:space="preserve">og ditto diskurser </w:t>
      </w:r>
      <w:r w:rsidRPr="00120426">
        <w:t>som fremdeles prege</w:t>
      </w:r>
      <w:r>
        <w:t xml:space="preserve">r </w:t>
      </w:r>
      <w:r w:rsidRPr="00120426">
        <w:t>moderni</w:t>
      </w:r>
      <w:r>
        <w:t>teten</w:t>
      </w:r>
      <w:r w:rsidRPr="00120426">
        <w:t xml:space="preserve">. Det er viktig å påpeke at det </w:t>
      </w:r>
      <w:r>
        <w:t>er lite sannsynlig å</w:t>
      </w:r>
      <w:r w:rsidRPr="00120426">
        <w:t xml:space="preserve"> få overskridende fornyinger i skole</w:t>
      </w:r>
      <w:r>
        <w:t xml:space="preserve">n </w:t>
      </w:r>
      <w:r w:rsidRPr="00120426">
        <w:t xml:space="preserve">før man velger å ta tak i den grunnleggende repressive </w:t>
      </w:r>
      <w:r>
        <w:t>institusjons</w:t>
      </w:r>
      <w:r w:rsidRPr="00120426">
        <w:t>strukturen i moderniteten</w:t>
      </w:r>
      <w:r>
        <w:t xml:space="preserve"> som gir faglig proteksjonisme og uforenlige diskurser. Den</w:t>
      </w:r>
      <w:r w:rsidRPr="00120426">
        <w:t xml:space="preserve"> hindrer nye praksiser og diskurser innen kultur og utdanning.</w:t>
      </w:r>
      <w:r>
        <w:t xml:space="preserve"> </w:t>
      </w:r>
    </w:p>
    <w:p w14:paraId="0848CAD1" w14:textId="77777777" w:rsidR="00D569EB" w:rsidRDefault="00D569EB" w:rsidP="00CD50C1">
      <w:pPr>
        <w:pStyle w:val="Overskrift2"/>
        <w:spacing w:line="360" w:lineRule="auto"/>
      </w:pPr>
      <w:r w:rsidRPr="00120426">
        <w:t>Samspill: #pragmatiskestetikk&amp;</w:t>
      </w:r>
      <w:r>
        <w:t>danning</w:t>
      </w:r>
    </w:p>
    <w:p w14:paraId="6B997B7B" w14:textId="54684E8E" w:rsidR="00D569EB" w:rsidRDefault="00D569EB" w:rsidP="00CD50C1">
      <w:pPr>
        <w:pStyle w:val="grep"/>
        <w:spacing w:after="0" w:afterAutospacing="0" w:line="360" w:lineRule="auto"/>
        <w:jc w:val="both"/>
      </w:pPr>
      <w:r w:rsidRPr="00120426">
        <w:t xml:space="preserve">Den </w:t>
      </w:r>
      <w:r>
        <w:t xml:space="preserve">fagoverskridende </w:t>
      </w:r>
      <w:r w:rsidRPr="00120426">
        <w:t>diskursen vi etterlyser i skolen og i kulturlivet</w:t>
      </w:r>
      <w:r w:rsidR="00AC4D1E">
        <w:t>,</w:t>
      </w:r>
      <w:r w:rsidRPr="00120426">
        <w:t xml:space="preserve"> er på sett og vis </w:t>
      </w:r>
      <w:r>
        <w:t>mer kjent utenfor Europa</w:t>
      </w:r>
      <w:r w:rsidRPr="00120426">
        <w:t xml:space="preserve">. Den finnes i globalt orienterte </w:t>
      </w:r>
      <w:r w:rsidRPr="00DC3038">
        <w:rPr>
          <w:i/>
        </w:rPr>
        <w:t>performance</w:t>
      </w:r>
      <w:r>
        <w:t>-</w:t>
      </w:r>
      <w:r w:rsidRPr="00120426">
        <w:t>studier</w:t>
      </w:r>
      <w:r>
        <w:t xml:space="preserve"> </w:t>
      </w:r>
      <w:r>
        <w:rPr>
          <w:noProof/>
        </w:rPr>
        <w:t>(Schechner, 2006)</w:t>
      </w:r>
      <w:r>
        <w:t xml:space="preserve"> </w:t>
      </w:r>
      <w:r w:rsidRPr="00120426">
        <w:t>og i antropologiske studier om barnekultur</w:t>
      </w:r>
      <w:r>
        <w:rPr>
          <w:rStyle w:val="Sluttnotereferanse"/>
        </w:rPr>
        <w:endnoteReference w:id="2"/>
      </w:r>
      <w:r>
        <w:t xml:space="preserve"> </w:t>
      </w:r>
      <w:r>
        <w:rPr>
          <w:noProof/>
        </w:rPr>
        <w:t>(Guss 2000, 2015)</w:t>
      </w:r>
      <w:r>
        <w:t>.</w:t>
      </w:r>
      <w:r w:rsidRPr="00120426">
        <w:t xml:space="preserve"> Den kan </w:t>
      </w:r>
      <w:r>
        <w:t xml:space="preserve">også </w:t>
      </w:r>
      <w:r w:rsidRPr="00120426">
        <w:t>utledes gjennom pragmatisk estetikk</w:t>
      </w:r>
      <w:r>
        <w:t xml:space="preserve"> </w:t>
      </w:r>
      <w:r>
        <w:rPr>
          <w:noProof/>
        </w:rPr>
        <w:t>(Dewey [1934] 2005)</w:t>
      </w:r>
      <w:r w:rsidRPr="00120426">
        <w:t xml:space="preserve"> så vel som gjennom </w:t>
      </w:r>
      <w:r>
        <w:t xml:space="preserve">nyere </w:t>
      </w:r>
      <w:r w:rsidRPr="00120426">
        <w:t>sosialsemiotikk</w:t>
      </w:r>
      <w:r>
        <w:t xml:space="preserve"> </w:t>
      </w:r>
      <w:r>
        <w:rPr>
          <w:noProof/>
        </w:rPr>
        <w:t>(Kress</w:t>
      </w:r>
      <w:r w:rsidR="00AC4D1E">
        <w:rPr>
          <w:noProof/>
        </w:rPr>
        <w:t xml:space="preserve"> </w:t>
      </w:r>
      <w:r>
        <w:rPr>
          <w:noProof/>
        </w:rPr>
        <w:t xml:space="preserve"> 2013)</w:t>
      </w:r>
      <w:r w:rsidRPr="00120426">
        <w:t>. Det finnes</w:t>
      </w:r>
      <w:r>
        <w:t xml:space="preserve"> med andre ord flere </w:t>
      </w:r>
      <w:r w:rsidRPr="00120426">
        <w:t>relevante filosofiske plattformer fra hvor vi kan tale om estetisk kvalitet, helse, velferd, innovasjon og læring i en sammenheng</w:t>
      </w:r>
      <w:r>
        <w:t xml:space="preserve"> </w:t>
      </w:r>
      <w:r>
        <w:rPr>
          <w:noProof/>
        </w:rPr>
        <w:t>(Gjærum 2015)</w:t>
      </w:r>
      <w:r w:rsidRPr="00120426">
        <w:t>. Dette er diskurs</w:t>
      </w:r>
      <w:r>
        <w:t>er</w:t>
      </w:r>
      <w:r w:rsidRPr="00120426">
        <w:t xml:space="preserve"> som bryter med </w:t>
      </w:r>
      <w:r>
        <w:t xml:space="preserve">gamle </w:t>
      </w:r>
      <w:r w:rsidRPr="00120426">
        <w:t xml:space="preserve">eurosentriske myter om den kunstneriske eliten som representerer folkets kreativitet, et folk som ellers er henvist til </w:t>
      </w:r>
      <w:r>
        <w:t xml:space="preserve">det industrielle arbeidets </w:t>
      </w:r>
      <w:r w:rsidRPr="00120426">
        <w:t>forpliktelser</w:t>
      </w:r>
      <w:r>
        <w:t>.</w:t>
      </w:r>
      <w:r w:rsidRPr="00120426">
        <w:t xml:space="preserve"> </w:t>
      </w:r>
      <w:r>
        <w:t xml:space="preserve">Vi trenger å løfte frem at </w:t>
      </w:r>
      <w:r w:rsidRPr="00120426">
        <w:t>kunstnerisk arbeid og estetisk disiplinerfaring også er læringsprosesser som rekker ut over kunstneriske ferdigheter</w:t>
      </w:r>
      <w:r>
        <w:t xml:space="preserve"> og profesjonsopplæring</w:t>
      </w:r>
      <w:r w:rsidRPr="00120426">
        <w:t xml:space="preserve">. </w:t>
      </w:r>
      <w:r>
        <w:t>Dette</w:t>
      </w:r>
      <w:r w:rsidRPr="00120426">
        <w:t xml:space="preserve"> er en di</w:t>
      </w:r>
      <w:r>
        <w:t>skurs som understreker et både–og, et samspill mellom</w:t>
      </w:r>
      <w:r w:rsidRPr="00120426">
        <w:t xml:space="preserve"> sanser og fornuft, ekspert og fasilitator, prosess og produkt</w:t>
      </w:r>
      <w:r>
        <w:t xml:space="preserve"> </w:t>
      </w:r>
      <w:r>
        <w:rPr>
          <w:noProof/>
        </w:rPr>
        <w:t>(Berg, Christensen-Scheel &amp; Holme 2013; Christensen-Scheel 2013)</w:t>
      </w:r>
      <w:r w:rsidRPr="00120426">
        <w:t xml:space="preserve">. </w:t>
      </w:r>
      <w:r w:rsidR="00AC4D1E">
        <w:t>Ikke alle</w:t>
      </w:r>
      <w:r w:rsidR="00AC4D1E" w:rsidRPr="00120426">
        <w:t xml:space="preserve"> </w:t>
      </w:r>
      <w:r w:rsidRPr="00120426">
        <w:t>kulturelle agenter blir profesjonelle kunstnere, men kulturpraksis er likevel viktig for mennesker i alle aldre</w:t>
      </w:r>
      <w:r>
        <w:t xml:space="preserve"> fordi mennesket har et grunnleggende estetisk uttrykksbehov </w:t>
      </w:r>
      <w:r>
        <w:rPr>
          <w:noProof/>
        </w:rPr>
        <w:t>(Pitruzzella, Scoble &amp; Ross 2013; Ross 2011)</w:t>
      </w:r>
      <w:r>
        <w:t xml:space="preserve">. </w:t>
      </w:r>
    </w:p>
    <w:p w14:paraId="7A23096D" w14:textId="77777777" w:rsidR="00D569EB" w:rsidRDefault="00D569EB" w:rsidP="00CD50C1">
      <w:pPr>
        <w:pStyle w:val="grep"/>
        <w:spacing w:line="360" w:lineRule="auto"/>
        <w:ind w:firstLine="708"/>
        <w:jc w:val="both"/>
      </w:pPr>
      <w:r>
        <w:t xml:space="preserve">En fagoverskridende skole burde åpne mer for forståelser og samtaleformer som </w:t>
      </w:r>
      <w:r w:rsidRPr="00120426">
        <w:t>anser estetiske praksiser ut over kunstens grenser, og som inkluderer det performative og estetiske nærværet i det sosiale liv. Estetiske praksise</w:t>
      </w:r>
      <w:r>
        <w:t xml:space="preserve">r, </w:t>
      </w:r>
      <w:r w:rsidRPr="00120426">
        <w:t>kunsten inkludert</w:t>
      </w:r>
      <w:r>
        <w:t xml:space="preserve">, </w:t>
      </w:r>
      <w:r w:rsidRPr="00120426">
        <w:t xml:space="preserve">tilbyr måter </w:t>
      </w:r>
      <w:r w:rsidRPr="00120426">
        <w:rPr>
          <w:i/>
        </w:rPr>
        <w:t>å kunne</w:t>
      </w:r>
      <w:r w:rsidRPr="00120426">
        <w:t xml:space="preserve"> og </w:t>
      </w:r>
      <w:r w:rsidRPr="00AB4CE6">
        <w:rPr>
          <w:i/>
        </w:rPr>
        <w:t xml:space="preserve">å </w:t>
      </w:r>
      <w:r w:rsidRPr="00120426">
        <w:rPr>
          <w:i/>
        </w:rPr>
        <w:t>lære</w:t>
      </w:r>
      <w:r>
        <w:t>, på</w:t>
      </w:r>
      <w:r w:rsidRPr="00120426">
        <w:t xml:space="preserve"> samme nivå, men forskjellig fra lesing, skriving, regning.</w:t>
      </w:r>
      <w:r>
        <w:t xml:space="preserve"> </w:t>
      </w:r>
    </w:p>
    <w:p w14:paraId="2D2DA298" w14:textId="01575D1A" w:rsidR="00D569EB" w:rsidRDefault="00D569EB" w:rsidP="00CD50C1">
      <w:pPr>
        <w:pStyle w:val="grep"/>
        <w:spacing w:line="360" w:lineRule="auto"/>
        <w:ind w:firstLine="708"/>
        <w:jc w:val="both"/>
      </w:pPr>
      <w:r>
        <w:lastRenderedPageBreak/>
        <w:t>Ingen</w:t>
      </w:r>
      <w:r w:rsidRPr="00120426">
        <w:t xml:space="preserve"> ekspressive </w:t>
      </w:r>
      <w:r>
        <w:t>og symbolske språk</w:t>
      </w:r>
      <w:r w:rsidRPr="00120426">
        <w:t xml:space="preserve">former passer </w:t>
      </w:r>
      <w:r>
        <w:t xml:space="preserve">for </w:t>
      </w:r>
      <w:r w:rsidRPr="00120426">
        <w:t>alle ba</w:t>
      </w:r>
      <w:r>
        <w:t>rn, men å være kulturelt dannet eller estetisk «</w:t>
      </w:r>
      <w:r w:rsidRPr="00120426">
        <w:t>alfabetisert</w:t>
      </w:r>
      <w:r>
        <w:t>»</w:t>
      </w:r>
      <w:r w:rsidRPr="00120426">
        <w:t xml:space="preserve"> </w:t>
      </w:r>
      <w:r>
        <w:t xml:space="preserve">burde </w:t>
      </w:r>
      <w:r w:rsidRPr="00120426">
        <w:t xml:space="preserve">bety å mestre minst </w:t>
      </w:r>
      <w:r>
        <w:t>é</w:t>
      </w:r>
      <w:r w:rsidRPr="00120426">
        <w:t>n form for estetisk formgiving og kommunikasjon, ut over lesning og skriving. Med andre</w:t>
      </w:r>
      <w:r w:rsidR="00AC4D1E">
        <w:t xml:space="preserve"> ord</w:t>
      </w:r>
      <w:r w:rsidRPr="00120426">
        <w:t xml:space="preserve">, å være deltaker i en kulturnasjon betyr noe mer enn å være eksponert som publikum til </w:t>
      </w:r>
      <w:r>
        <w:t xml:space="preserve">noen voksnes kvalitetskunst og </w:t>
      </w:r>
      <w:r w:rsidRPr="00120426">
        <w:t xml:space="preserve">kulturelle kanoner. Det betyr </w:t>
      </w:r>
      <w:r>
        <w:t xml:space="preserve">også </w:t>
      </w:r>
      <w:r w:rsidRPr="00120426">
        <w:t xml:space="preserve">å skape mening i livet gjennom </w:t>
      </w:r>
      <w:r>
        <w:t xml:space="preserve">materialforming og </w:t>
      </w:r>
      <w:r w:rsidRPr="00120426">
        <w:t xml:space="preserve">deltakelse i kulturelle uttrykksmedia. Det inkluderer også lærere, </w:t>
      </w:r>
      <w:r>
        <w:t xml:space="preserve">og det burde være selvsagt at det multimodale samfunnet </w:t>
      </w:r>
      <w:r w:rsidRPr="00120426">
        <w:t xml:space="preserve">stiller </w:t>
      </w:r>
      <w:r>
        <w:t>nye</w:t>
      </w:r>
      <w:r w:rsidRPr="00120426">
        <w:t xml:space="preserve"> krav til lærerutdanningen</w:t>
      </w:r>
      <w:r>
        <w:t xml:space="preserve"> </w:t>
      </w:r>
      <w:r w:rsidR="00306333">
        <w:t xml:space="preserve">− </w:t>
      </w:r>
      <w:r>
        <w:t>like viktige krav som gode karakterer i matematikk</w:t>
      </w:r>
      <w:r w:rsidRPr="00120426">
        <w:t xml:space="preserve">. </w:t>
      </w:r>
    </w:p>
    <w:p w14:paraId="4AC36EC5" w14:textId="77777777" w:rsidR="00D569EB" w:rsidRPr="00120426" w:rsidRDefault="00D569EB" w:rsidP="00CD50C1">
      <w:pPr>
        <w:pStyle w:val="Overskrift2"/>
        <w:spacing w:line="360" w:lineRule="auto"/>
      </w:pPr>
      <w:r w:rsidRPr="00120426">
        <w:t xml:space="preserve">Estetisert hverdagsliv: #dramaogteaterfaget </w:t>
      </w:r>
    </w:p>
    <w:p w14:paraId="467D5555" w14:textId="3B242A6A" w:rsidR="00D569EB" w:rsidRDefault="00D569EB" w:rsidP="00CD50C1">
      <w:pPr>
        <w:pStyle w:val="grep"/>
        <w:spacing w:line="360" w:lineRule="auto"/>
        <w:jc w:val="both"/>
      </w:pPr>
      <w:r>
        <w:t>T</w:t>
      </w:r>
      <w:r w:rsidRPr="00120426">
        <w:t xml:space="preserve">eatrale virkemidler utgjør viktige sider ved unge menneskers valg og ytringer, både i digitale møter og i menneskelig samspill. Barn og unges hverdagsliv er i </w:t>
      </w:r>
      <w:r>
        <w:t>stor grad</w:t>
      </w:r>
      <w:r w:rsidRPr="00120426">
        <w:t xml:space="preserve"> estetisert</w:t>
      </w:r>
      <w:r w:rsidR="00306333">
        <w:t>,</w:t>
      </w:r>
      <w:r w:rsidRPr="00120426">
        <w:t xml:space="preserve"> </w:t>
      </w:r>
      <w:r>
        <w:t>o</w:t>
      </w:r>
      <w:r w:rsidRPr="00120426">
        <w:t>g det performative samfunn er merkbart gjennom våre iscenesettelser av oss selv og andre. Vi u</w:t>
      </w:r>
      <w:r w:rsidR="00306333">
        <w:t>t</w:t>
      </w:r>
      <w:r w:rsidRPr="00120426">
        <w:t xml:space="preserve">trykker og tolker sosial status, livs- og menneskesyn, makt og tilhørighet gjennom hverdagens mange «spill».  Estetisk praksis rammesetter ofte hvem vi er, hvem vi ønsker å være eller drømmer om å bli. </w:t>
      </w:r>
      <w:r>
        <w:t>Dette fortjener pedagogisk oppmerksomhet i langt høyere grad.</w:t>
      </w:r>
    </w:p>
    <w:p w14:paraId="513F6895" w14:textId="77777777" w:rsidR="00D569EB" w:rsidRDefault="00D569EB" w:rsidP="00CD50C1">
      <w:pPr>
        <w:pStyle w:val="grep"/>
        <w:spacing w:line="360" w:lineRule="auto"/>
        <w:ind w:firstLine="708"/>
        <w:jc w:val="both"/>
      </w:pPr>
      <w:r>
        <w:t>Drama- og t</w:t>
      </w:r>
      <w:r w:rsidRPr="00120426">
        <w:t>eaterfaget har en lang tradisjon knyttet til ritualer, dramaer og historiefortelling, men i dag er barn og unges teater</w:t>
      </w:r>
      <w:r>
        <w:t>erfaring</w:t>
      </w:r>
      <w:r w:rsidRPr="00120426">
        <w:t xml:space="preserve"> ofte kun knyttet til </w:t>
      </w:r>
      <w:r>
        <w:t xml:space="preserve">opplevelse av profesjonskunst, </w:t>
      </w:r>
      <w:r w:rsidRPr="00120426">
        <w:t>stjernegalleri og ideal</w:t>
      </w:r>
      <w:r>
        <w:t>isering</w:t>
      </w:r>
      <w:r w:rsidRPr="00120426">
        <w:t xml:space="preserve"> gjen</w:t>
      </w:r>
      <w:r>
        <w:t xml:space="preserve">nom film, tv og sosiale medier. </w:t>
      </w:r>
      <w:r w:rsidRPr="00120426">
        <w:t xml:space="preserve">Den estetiske erfaring kan </w:t>
      </w:r>
      <w:r>
        <w:t xml:space="preserve">også </w:t>
      </w:r>
      <w:r w:rsidRPr="00120426">
        <w:t xml:space="preserve">høstes, enten det er i klasserommet eller på scenen, gjennom </w:t>
      </w:r>
      <w:r>
        <w:t>barn og voksnes</w:t>
      </w:r>
      <w:r w:rsidRPr="00120426">
        <w:t xml:space="preserve"> kreativ</w:t>
      </w:r>
      <w:r>
        <w:t>e</w:t>
      </w:r>
      <w:r w:rsidRPr="00120426">
        <w:t xml:space="preserve"> og kollektiv</w:t>
      </w:r>
      <w:r>
        <w:t>e</w:t>
      </w:r>
      <w:r w:rsidRPr="00120426">
        <w:t xml:space="preserve"> samspill av fantasi, stoff, dramaturgiske handlinger og iscenesettelser. Samspillet legger til rette for medvirkning og demokratisk kompetanse.</w:t>
      </w:r>
      <w:r>
        <w:t xml:space="preserve"> </w:t>
      </w:r>
      <w:r w:rsidRPr="00120426">
        <w:t>Drama og teater</w:t>
      </w:r>
      <w:r>
        <w:t>faget</w:t>
      </w:r>
      <w:r w:rsidRPr="00120426">
        <w:t xml:space="preserve"> </w:t>
      </w:r>
      <w:r>
        <w:t xml:space="preserve">har potensial til å </w:t>
      </w:r>
      <w:r w:rsidRPr="00120426">
        <w:t xml:space="preserve">skape </w:t>
      </w:r>
      <w:r>
        <w:t xml:space="preserve">overgripende </w:t>
      </w:r>
      <w:r w:rsidRPr="00120426">
        <w:t xml:space="preserve">kunnskap gjennom handling, sosial involvering og engasjement. </w:t>
      </w:r>
    </w:p>
    <w:p w14:paraId="089BF9A5" w14:textId="0F9B5616" w:rsidR="00D569EB" w:rsidRDefault="00D569EB" w:rsidP="00CD50C1">
      <w:pPr>
        <w:pStyle w:val="grep"/>
        <w:spacing w:line="360" w:lineRule="auto"/>
        <w:ind w:firstLine="708"/>
        <w:jc w:val="both"/>
      </w:pPr>
      <w:r w:rsidRPr="00120426">
        <w:t>Slik en Ibsen formulerte si</w:t>
      </w:r>
      <w:r>
        <w:t>tt</w:t>
      </w:r>
      <w:r w:rsidRPr="00120426">
        <w:t xml:space="preserve"> syn på samtiden i sine drama, kan eleven også formulere seg selv i et demokratisk samfunn. </w:t>
      </w:r>
      <w:r w:rsidRPr="00A53136">
        <w:t>Ibsen-forskeren</w:t>
      </w:r>
      <w:r w:rsidRPr="00120426">
        <w:t xml:space="preserve"> Raymond Williams </w:t>
      </w:r>
      <w:r w:rsidRPr="00120426">
        <w:rPr>
          <w:noProof/>
        </w:rPr>
        <w:t>(Williams 1975, 1976)</w:t>
      </w:r>
      <w:r w:rsidRPr="00120426">
        <w:t xml:space="preserve"> poengterte nettopp de symbolske medienes verdi i å danne og kommunisere mening og innsikter i mellomrommet mellom erfaringsnivået og påstandskunnskapen. Skolen og pedagogikken </w:t>
      </w:r>
      <w:r>
        <w:t xml:space="preserve">er fra kunstpedagogens perspektiv </w:t>
      </w:r>
      <w:r w:rsidRPr="00120426">
        <w:t>for opptatt av kunnskap som påstandskunnskap og for lite opptatt av «ways of knowing» og følte innsikter</w:t>
      </w:r>
      <w:r>
        <w:t>, slik vi ser det</w:t>
      </w:r>
      <w:r w:rsidRPr="00120426">
        <w:t xml:space="preserve">. </w:t>
      </w:r>
    </w:p>
    <w:p w14:paraId="62C4D66D" w14:textId="46DA415C" w:rsidR="00D569EB" w:rsidRDefault="00D569EB" w:rsidP="00CD50C1">
      <w:pPr>
        <w:pStyle w:val="grep"/>
        <w:spacing w:line="360" w:lineRule="auto"/>
        <w:jc w:val="both"/>
      </w:pPr>
      <w:r>
        <w:lastRenderedPageBreak/>
        <w:tab/>
        <w:t xml:space="preserve">Vi tenker at det er viktig å </w:t>
      </w:r>
      <w:r w:rsidRPr="00595FA1">
        <w:t>gjennomføre fagovergripende undervisnin</w:t>
      </w:r>
      <w:r>
        <w:t>g</w:t>
      </w:r>
      <w:r w:rsidRPr="00595FA1">
        <w:t xml:space="preserve"> og </w:t>
      </w:r>
      <w:r>
        <w:t>ser at</w:t>
      </w:r>
      <w:r w:rsidRPr="00595FA1">
        <w:t xml:space="preserve"> norsk skole kan endre kurs </w:t>
      </w:r>
      <w:r>
        <w:t xml:space="preserve">om det blant annet gis gehør for en diskurs om den kulturelle agenten og </w:t>
      </w:r>
      <w:r w:rsidR="0017046C">
        <w:t xml:space="preserve">for </w:t>
      </w:r>
      <w:r>
        <w:t xml:space="preserve">en skole som </w:t>
      </w:r>
      <w:r w:rsidR="0017046C">
        <w:t xml:space="preserve">sterkere </w:t>
      </w:r>
      <w:r>
        <w:t xml:space="preserve">forener </w:t>
      </w:r>
      <w:r w:rsidRPr="00595FA1">
        <w:t>kunst og pedagogikk.</w:t>
      </w:r>
      <w:r>
        <w:t xml:space="preserve">  </w:t>
      </w:r>
      <w:r w:rsidRPr="00120426">
        <w:t>I drama og teaterfaget tilbys lærerroller, metoder, verktøy og teknikker som kan anvendes fagoverskridende slik at skolehverdagen blir variert, aktiv, kreativ</w:t>
      </w:r>
      <w:r>
        <w:t xml:space="preserve"> og</w:t>
      </w:r>
      <w:r w:rsidRPr="00120426">
        <w:t xml:space="preserve"> ansvarlig medskapende</w:t>
      </w:r>
      <w:r>
        <w:t>.</w:t>
      </w:r>
      <w:r w:rsidRPr="00120426">
        <w:t xml:space="preserve"> </w:t>
      </w:r>
      <w:r>
        <w:t>Teater tilbyr aktive d</w:t>
      </w:r>
      <w:r w:rsidRPr="00120426">
        <w:t>anningsprosesse</w:t>
      </w:r>
      <w:r>
        <w:t xml:space="preserve">r </w:t>
      </w:r>
      <w:r w:rsidRPr="00120426">
        <w:rPr>
          <w:noProof/>
        </w:rPr>
        <w:t>(Heggstad, Eriksson &amp; Rasmussen 2013)</w:t>
      </w:r>
      <w:r w:rsidRPr="00120426">
        <w:t xml:space="preserve">, </w:t>
      </w:r>
      <w:r>
        <w:t xml:space="preserve">og sammen med andre kulturformer handler det ikke bare om å </w:t>
      </w:r>
      <w:r w:rsidRPr="00120426">
        <w:t>utforske</w:t>
      </w:r>
      <w:r>
        <w:t xml:space="preserve"> aktuelle temaer som demokrati og medborgerskap, bærekraftig utvikling og folkehelse og livsmestring</w:t>
      </w:r>
      <w:r w:rsidRPr="00120426">
        <w:t xml:space="preserve">. </w:t>
      </w:r>
      <w:r>
        <w:t xml:space="preserve">Kulturpraksis </w:t>
      </w:r>
      <w:r w:rsidRPr="00D36086">
        <w:rPr>
          <w:u w:val="single"/>
        </w:rPr>
        <w:t>er</w:t>
      </w:r>
      <w:r>
        <w:t xml:space="preserve"> livsmestring, engasjement, folkehelse, demokrati i praksis </w:t>
      </w:r>
      <w:r>
        <w:rPr>
          <w:noProof/>
        </w:rPr>
        <w:t>(Rasmussen &amp; Kristoffersen 2014)</w:t>
      </w:r>
      <w:r>
        <w:t xml:space="preserve">. </w:t>
      </w:r>
    </w:p>
    <w:p w14:paraId="3463093C" w14:textId="3E0A3639" w:rsidR="00D569EB" w:rsidRPr="00120426" w:rsidRDefault="00D569EB" w:rsidP="00ED76DA">
      <w:pPr>
        <w:pStyle w:val="grep"/>
        <w:spacing w:line="360" w:lineRule="auto"/>
        <w:ind w:firstLine="708"/>
        <w:jc w:val="both"/>
      </w:pPr>
      <w:r>
        <w:t xml:space="preserve">Skolen bør </w:t>
      </w:r>
      <w:r w:rsidR="0017046C">
        <w:t>styrke</w:t>
      </w:r>
      <w:r>
        <w:t xml:space="preserve"> demokratisk kompetanse gjennom både å trene opp elevenes medansvar for egne kommunikative handlinger og oppøve mot til å uttrykke og bearbeide sin egen stemme, sin kunnskap og livsverden i egnede symbolske media. I skolen kan bærekraftig utvikling gis fokus i undervisningen gjennom for eksempel iscenesatte miljøtema og bearbeidelse av personlig ansvar. I den forbindelse ser vi at rolletrening er sentralt for å bygge fremtidens samfunn, fordi s</w:t>
      </w:r>
      <w:r w:rsidRPr="00120426">
        <w:t>amfunnets fremtidig behov for arbeidstakere utfordrer skolenes evne til å utnytte den enkeltes menneskelige og skapende kapital til beste for felle</w:t>
      </w:r>
      <w:r w:rsidR="008F2701">
        <w:t>s</w:t>
      </w:r>
      <w:r w:rsidRPr="00120426">
        <w:t xml:space="preserve">skapet. </w:t>
      </w:r>
      <w:r>
        <w:t>H</w:t>
      </w:r>
      <w:r w:rsidRPr="00120426">
        <w:t>andlende og etisk utforskende felle</w:t>
      </w:r>
      <w:r w:rsidR="008F2701">
        <w:t>s</w:t>
      </w:r>
      <w:r w:rsidRPr="00120426">
        <w:t xml:space="preserve">skap </w:t>
      </w:r>
      <w:r>
        <w:t>med</w:t>
      </w:r>
      <w:r w:rsidRPr="00120426">
        <w:t xml:space="preserve"> elever som evner å for</w:t>
      </w:r>
      <w:r>
        <w:t>e</w:t>
      </w:r>
      <w:r w:rsidRPr="00120426">
        <w:t>stille seg annerledes</w:t>
      </w:r>
      <w:r w:rsidR="008F2701">
        <w:t>,</w:t>
      </w:r>
      <w:r>
        <w:t xml:space="preserve"> gir leken alvor</w:t>
      </w:r>
      <w:r w:rsidRPr="00120426">
        <w:t xml:space="preserve">. Det gir </w:t>
      </w:r>
      <w:r>
        <w:t xml:space="preserve">også </w:t>
      </w:r>
      <w:r w:rsidRPr="00120426">
        <w:t>positiv overføringseffekt til andre kunnskapsfag</w:t>
      </w:r>
      <w:r>
        <w:t>. Ta derfor våre kulturspråk på alvor i læringssammenheng, og løft frem den diskursen om kunstpedagogikk som vil bidra til skoleutvikling og til fagfornyelse.</w:t>
      </w:r>
    </w:p>
    <w:p w14:paraId="56662361" w14:textId="77777777" w:rsidR="00D569EB" w:rsidRPr="00BB19E8" w:rsidRDefault="00D569EB" w:rsidP="00DA76F2">
      <w:pPr>
        <w:pStyle w:val="Overskrift2"/>
        <w:jc w:val="center"/>
        <w:rPr>
          <w:lang w:val="en-GB"/>
        </w:rPr>
      </w:pPr>
      <w:r w:rsidRPr="00BB19E8">
        <w:rPr>
          <w:lang w:val="en-GB"/>
        </w:rPr>
        <w:t>Litteratur</w:t>
      </w:r>
    </w:p>
    <w:p w14:paraId="27681F40" w14:textId="25740B22" w:rsidR="00D569EB" w:rsidRPr="00BB19E8" w:rsidRDefault="00D569EB" w:rsidP="00DC3038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  <w:lang w:val="en-GB"/>
        </w:rPr>
      </w:pPr>
      <w:r w:rsidRPr="00BB19E8">
        <w:rPr>
          <w:rFonts w:ascii="Times New Roman" w:hAnsi="Times New Roman" w:cs="Times New Roman"/>
          <w:noProof/>
          <w:sz w:val="24"/>
          <w:szCs w:val="24"/>
          <w:lang w:val="en-GB"/>
        </w:rPr>
        <w:t>Berg, A</w:t>
      </w:r>
      <w:r w:rsidR="00277DCE" w:rsidRPr="00BB19E8">
        <w:rPr>
          <w:rFonts w:ascii="Times New Roman" w:hAnsi="Times New Roman" w:cs="Times New Roman"/>
          <w:noProof/>
          <w:sz w:val="24"/>
          <w:szCs w:val="24"/>
          <w:lang w:val="en-GB"/>
        </w:rPr>
        <w:t>rild</w:t>
      </w:r>
      <w:r w:rsidRPr="00BB19E8">
        <w:rPr>
          <w:rFonts w:ascii="Times New Roman" w:hAnsi="Times New Roman" w:cs="Times New Roman"/>
          <w:noProof/>
          <w:sz w:val="24"/>
          <w:szCs w:val="24"/>
          <w:lang w:val="en-GB"/>
        </w:rPr>
        <w:t>., Christensen-Scheel, B</w:t>
      </w:r>
      <w:r w:rsidR="00277DCE" w:rsidRPr="00BB19E8">
        <w:rPr>
          <w:rFonts w:ascii="Times New Roman" w:hAnsi="Times New Roman" w:cs="Times New Roman"/>
          <w:noProof/>
          <w:sz w:val="24"/>
          <w:szCs w:val="24"/>
          <w:lang w:val="en-GB"/>
        </w:rPr>
        <w:t>oel</w:t>
      </w:r>
      <w:r w:rsidRPr="00BB19E8">
        <w:rPr>
          <w:rFonts w:ascii="Times New Roman" w:hAnsi="Times New Roman" w:cs="Times New Roman"/>
          <w:noProof/>
          <w:sz w:val="24"/>
          <w:szCs w:val="24"/>
          <w:lang w:val="en-GB"/>
        </w:rPr>
        <w:t>. &amp; Holme, I. M</w:t>
      </w:r>
      <w:r w:rsidR="00277DCE" w:rsidRPr="00BB19E8">
        <w:rPr>
          <w:rFonts w:ascii="Times New Roman" w:hAnsi="Times New Roman" w:cs="Times New Roman"/>
          <w:noProof/>
          <w:sz w:val="24"/>
          <w:szCs w:val="24"/>
          <w:lang w:val="en-GB"/>
        </w:rPr>
        <w:t>ette</w:t>
      </w:r>
      <w:r w:rsidRPr="00BB19E8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. (2013). Forming Life: Aesthetic Awareness in Mental Health Care. </w:t>
      </w:r>
      <w:r w:rsidRPr="00BB19E8">
        <w:rPr>
          <w:rFonts w:ascii="Times New Roman" w:hAnsi="Times New Roman" w:cs="Times New Roman"/>
          <w:i/>
          <w:noProof/>
          <w:sz w:val="24"/>
          <w:szCs w:val="24"/>
          <w:lang w:val="en-GB"/>
        </w:rPr>
        <w:t>InFormation : Nordic Journal of Art and Research, 2</w:t>
      </w:r>
      <w:r w:rsidRPr="00BB19E8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(2). </w:t>
      </w:r>
      <w:r w:rsidR="008F2701" w:rsidRPr="00BB19E8">
        <w:rPr>
          <w:rFonts w:ascii="Times New Roman" w:hAnsi="Times New Roman" w:cs="Times New Roman"/>
          <w:noProof/>
          <w:sz w:val="24"/>
          <w:szCs w:val="24"/>
          <w:lang w:val="en-GB"/>
        </w:rPr>
        <w:t>DOI</w:t>
      </w:r>
      <w:r w:rsidRPr="00BB19E8">
        <w:rPr>
          <w:rFonts w:ascii="Times New Roman" w:hAnsi="Times New Roman" w:cs="Times New Roman"/>
          <w:noProof/>
          <w:sz w:val="24"/>
          <w:szCs w:val="24"/>
          <w:lang w:val="en-GB"/>
        </w:rPr>
        <w:t>: 10.7577/if.v2i2.737</w:t>
      </w:r>
      <w:r w:rsidR="008F2701" w:rsidRPr="00BB19E8">
        <w:rPr>
          <w:rFonts w:ascii="Times New Roman" w:hAnsi="Times New Roman" w:cs="Times New Roman"/>
          <w:noProof/>
          <w:sz w:val="24"/>
          <w:szCs w:val="24"/>
          <w:lang w:val="en-GB"/>
        </w:rPr>
        <w:t>.</w:t>
      </w:r>
    </w:p>
    <w:p w14:paraId="60839A03" w14:textId="6FDBD9BC" w:rsidR="00D569EB" w:rsidRPr="00BB19E8" w:rsidRDefault="00D569EB" w:rsidP="00DC3038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  <w:lang w:val="en-GB"/>
        </w:rPr>
      </w:pPr>
      <w:r w:rsidRPr="00BB19E8">
        <w:rPr>
          <w:rFonts w:ascii="Times New Roman" w:hAnsi="Times New Roman" w:cs="Times New Roman"/>
          <w:noProof/>
          <w:sz w:val="24"/>
          <w:szCs w:val="24"/>
          <w:lang w:val="en-GB"/>
        </w:rPr>
        <w:t>Christensen-Scheel, B</w:t>
      </w:r>
      <w:r w:rsidR="00277DCE" w:rsidRPr="00BB19E8">
        <w:rPr>
          <w:rFonts w:ascii="Times New Roman" w:hAnsi="Times New Roman" w:cs="Times New Roman"/>
          <w:noProof/>
          <w:sz w:val="24"/>
          <w:szCs w:val="24"/>
          <w:lang w:val="en-GB"/>
        </w:rPr>
        <w:t>oel</w:t>
      </w:r>
      <w:r w:rsidRPr="00BB19E8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. (2013). Application and Autonomy: The Reach and Span of Contemporary Art Didactics. </w:t>
      </w:r>
      <w:r w:rsidRPr="00BB19E8">
        <w:rPr>
          <w:rFonts w:ascii="Times New Roman" w:hAnsi="Times New Roman" w:cs="Times New Roman"/>
          <w:i/>
          <w:noProof/>
          <w:sz w:val="24"/>
          <w:szCs w:val="24"/>
          <w:lang w:val="en-GB"/>
        </w:rPr>
        <w:t>InFormation : Nordic Journal of Art and Research, 2</w:t>
      </w:r>
      <w:r w:rsidRPr="00BB19E8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(2). </w:t>
      </w:r>
      <w:r w:rsidR="002C3DFD" w:rsidRPr="00BB19E8">
        <w:rPr>
          <w:rFonts w:ascii="Times New Roman" w:hAnsi="Times New Roman" w:cs="Times New Roman"/>
          <w:noProof/>
          <w:sz w:val="24"/>
          <w:szCs w:val="24"/>
          <w:lang w:val="en-GB"/>
        </w:rPr>
        <w:t>DOI</w:t>
      </w:r>
      <w:r w:rsidRPr="00BB19E8">
        <w:rPr>
          <w:rFonts w:ascii="Times New Roman" w:hAnsi="Times New Roman" w:cs="Times New Roman"/>
          <w:noProof/>
          <w:sz w:val="24"/>
          <w:szCs w:val="24"/>
          <w:lang w:val="en-GB"/>
        </w:rPr>
        <w:t>: 10.7577/if.v2i2.729</w:t>
      </w:r>
      <w:r w:rsidR="002C3DFD" w:rsidRPr="00BB19E8">
        <w:rPr>
          <w:rFonts w:ascii="Times New Roman" w:hAnsi="Times New Roman" w:cs="Times New Roman"/>
          <w:noProof/>
          <w:sz w:val="24"/>
          <w:szCs w:val="24"/>
          <w:lang w:val="en-GB"/>
        </w:rPr>
        <w:t>.</w:t>
      </w:r>
    </w:p>
    <w:p w14:paraId="33B85509" w14:textId="53D9B4A1" w:rsidR="00D569EB" w:rsidRPr="00BB19E8" w:rsidRDefault="00D569EB" w:rsidP="00DC3038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  <w:lang w:val="en-GB"/>
        </w:rPr>
      </w:pPr>
      <w:r w:rsidRPr="00BB19E8">
        <w:rPr>
          <w:rFonts w:ascii="Times New Roman" w:hAnsi="Times New Roman" w:cs="Times New Roman"/>
          <w:noProof/>
          <w:sz w:val="24"/>
          <w:szCs w:val="24"/>
          <w:lang w:val="en-GB"/>
        </w:rPr>
        <w:t>Dewey, J</w:t>
      </w:r>
      <w:r w:rsidR="00277DCE" w:rsidRPr="00BB19E8">
        <w:rPr>
          <w:rFonts w:ascii="Times New Roman" w:hAnsi="Times New Roman" w:cs="Times New Roman"/>
          <w:noProof/>
          <w:sz w:val="24"/>
          <w:szCs w:val="24"/>
          <w:lang w:val="en-GB"/>
        </w:rPr>
        <w:t>ohn</w:t>
      </w:r>
      <w:r w:rsidRPr="00BB19E8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. ([1934] 2005). </w:t>
      </w:r>
      <w:r w:rsidRPr="00BB19E8">
        <w:rPr>
          <w:rFonts w:ascii="Times New Roman" w:hAnsi="Times New Roman" w:cs="Times New Roman"/>
          <w:i/>
          <w:noProof/>
          <w:sz w:val="24"/>
          <w:szCs w:val="24"/>
          <w:lang w:val="en-GB"/>
        </w:rPr>
        <w:t>Art as experience</w:t>
      </w:r>
      <w:r w:rsidRPr="00BB19E8">
        <w:rPr>
          <w:rFonts w:ascii="Times New Roman" w:hAnsi="Times New Roman" w:cs="Times New Roman"/>
          <w:noProof/>
          <w:sz w:val="24"/>
          <w:szCs w:val="24"/>
          <w:lang w:val="en-GB"/>
        </w:rPr>
        <w:t>. New York: Berkley Publishing Group.</w:t>
      </w:r>
    </w:p>
    <w:p w14:paraId="41A2FBFB" w14:textId="603CFEF3" w:rsidR="00D569EB" w:rsidRPr="00BB19E8" w:rsidRDefault="00D569EB" w:rsidP="00DC3038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  <w:lang w:val="en-GB"/>
        </w:rPr>
      </w:pPr>
      <w:r w:rsidRPr="00BB19E8">
        <w:rPr>
          <w:rFonts w:ascii="Times New Roman" w:hAnsi="Times New Roman" w:cs="Times New Roman"/>
          <w:noProof/>
          <w:sz w:val="24"/>
          <w:szCs w:val="24"/>
        </w:rPr>
        <w:t>Gjærum, R</w:t>
      </w:r>
      <w:r w:rsidR="00277DCE" w:rsidRPr="00BB19E8">
        <w:rPr>
          <w:rFonts w:ascii="Times New Roman" w:hAnsi="Times New Roman" w:cs="Times New Roman"/>
          <w:noProof/>
          <w:sz w:val="24"/>
          <w:szCs w:val="24"/>
        </w:rPr>
        <w:t>ikke</w:t>
      </w:r>
      <w:r w:rsidRPr="00BB19E8">
        <w:rPr>
          <w:rFonts w:ascii="Times New Roman" w:hAnsi="Times New Roman" w:cs="Times New Roman"/>
          <w:noProof/>
          <w:sz w:val="24"/>
          <w:szCs w:val="24"/>
        </w:rPr>
        <w:t>. G</w:t>
      </w:r>
      <w:r w:rsidR="00277DCE" w:rsidRPr="00BB19E8">
        <w:rPr>
          <w:rFonts w:ascii="Times New Roman" w:hAnsi="Times New Roman" w:cs="Times New Roman"/>
          <w:noProof/>
          <w:sz w:val="24"/>
          <w:szCs w:val="24"/>
        </w:rPr>
        <w:t>ürgens</w:t>
      </w:r>
      <w:r w:rsidRPr="00BB19E8">
        <w:rPr>
          <w:rFonts w:ascii="Times New Roman" w:hAnsi="Times New Roman" w:cs="Times New Roman"/>
          <w:noProof/>
          <w:sz w:val="24"/>
          <w:szCs w:val="24"/>
        </w:rPr>
        <w:t xml:space="preserve">. (2015). Mulighetsrommet i kunstdidaktikken: betraktninger av til-stede-værelse. </w:t>
      </w:r>
      <w:r w:rsidRPr="00BB19E8">
        <w:rPr>
          <w:rFonts w:ascii="Times New Roman" w:hAnsi="Times New Roman" w:cs="Times New Roman"/>
          <w:i/>
          <w:noProof/>
          <w:sz w:val="24"/>
          <w:szCs w:val="24"/>
          <w:lang w:val="en-GB"/>
        </w:rPr>
        <w:t>InFormation - Nordic Journal of Art and Research, 4</w:t>
      </w:r>
      <w:r w:rsidRPr="00BB19E8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(2). </w:t>
      </w:r>
      <w:r w:rsidR="002C3DFD" w:rsidRPr="00BB19E8">
        <w:rPr>
          <w:rFonts w:ascii="Times New Roman" w:hAnsi="Times New Roman" w:cs="Times New Roman"/>
          <w:noProof/>
          <w:sz w:val="24"/>
          <w:szCs w:val="24"/>
          <w:lang w:val="en-GB"/>
        </w:rPr>
        <w:t>DOI</w:t>
      </w:r>
      <w:r w:rsidRPr="00BB19E8">
        <w:rPr>
          <w:rFonts w:ascii="Times New Roman" w:hAnsi="Times New Roman" w:cs="Times New Roman"/>
          <w:noProof/>
          <w:sz w:val="24"/>
          <w:szCs w:val="24"/>
          <w:lang w:val="en-GB"/>
        </w:rPr>
        <w:t>: 10.7577/if.v4i2.1541</w:t>
      </w:r>
      <w:r w:rsidR="002C3DFD" w:rsidRPr="00BB19E8">
        <w:rPr>
          <w:rFonts w:ascii="Times New Roman" w:hAnsi="Times New Roman" w:cs="Times New Roman"/>
          <w:noProof/>
          <w:sz w:val="24"/>
          <w:szCs w:val="24"/>
          <w:lang w:val="en-GB"/>
        </w:rPr>
        <w:t>.</w:t>
      </w:r>
    </w:p>
    <w:p w14:paraId="24A9B17D" w14:textId="61380DAF" w:rsidR="00D569EB" w:rsidRPr="00BB19E8" w:rsidRDefault="00D569EB" w:rsidP="00DC3038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BB19E8">
        <w:rPr>
          <w:rFonts w:ascii="Times New Roman" w:hAnsi="Times New Roman" w:cs="Times New Roman"/>
          <w:noProof/>
          <w:sz w:val="24"/>
          <w:szCs w:val="24"/>
          <w:lang w:val="en-GB"/>
        </w:rPr>
        <w:lastRenderedPageBreak/>
        <w:t>Guss, F</w:t>
      </w:r>
      <w:r w:rsidR="00277DCE" w:rsidRPr="00BB19E8">
        <w:rPr>
          <w:rFonts w:ascii="Times New Roman" w:hAnsi="Times New Roman" w:cs="Times New Roman"/>
          <w:noProof/>
          <w:sz w:val="24"/>
          <w:szCs w:val="24"/>
          <w:lang w:val="en-GB"/>
        </w:rPr>
        <w:t>aith</w:t>
      </w:r>
      <w:r w:rsidRPr="00BB19E8">
        <w:rPr>
          <w:rFonts w:ascii="Times New Roman" w:hAnsi="Times New Roman" w:cs="Times New Roman"/>
          <w:noProof/>
          <w:sz w:val="24"/>
          <w:szCs w:val="24"/>
          <w:lang w:val="en-GB"/>
        </w:rPr>
        <w:t>. G</w:t>
      </w:r>
      <w:r w:rsidR="00277DCE" w:rsidRPr="00BB19E8">
        <w:rPr>
          <w:rFonts w:ascii="Times New Roman" w:hAnsi="Times New Roman" w:cs="Times New Roman"/>
          <w:noProof/>
          <w:sz w:val="24"/>
          <w:szCs w:val="24"/>
          <w:lang w:val="en-GB"/>
        </w:rPr>
        <w:t>abrielle</w:t>
      </w:r>
      <w:r w:rsidRPr="00BB19E8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. (2000). </w:t>
      </w:r>
      <w:r w:rsidRPr="00BB19E8">
        <w:rPr>
          <w:rFonts w:ascii="Times New Roman" w:hAnsi="Times New Roman" w:cs="Times New Roman"/>
          <w:i/>
          <w:noProof/>
          <w:sz w:val="24"/>
          <w:szCs w:val="24"/>
          <w:lang w:val="en-GB"/>
        </w:rPr>
        <w:t>Drama performance in children's play-culture: the possibilities and significance of form</w:t>
      </w:r>
      <w:r w:rsidRPr="00BB19E8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. </w:t>
      </w:r>
      <w:r w:rsidRPr="00BB19E8">
        <w:rPr>
          <w:rFonts w:ascii="Times New Roman" w:hAnsi="Times New Roman" w:cs="Times New Roman"/>
          <w:noProof/>
          <w:sz w:val="24"/>
          <w:szCs w:val="24"/>
        </w:rPr>
        <w:t>[Trondheim]: Institut</w:t>
      </w:r>
      <w:r w:rsidR="002B16FF" w:rsidRPr="00BB19E8">
        <w:rPr>
          <w:rFonts w:ascii="Times New Roman" w:hAnsi="Times New Roman" w:cs="Times New Roman"/>
          <w:noProof/>
          <w:sz w:val="24"/>
          <w:szCs w:val="24"/>
        </w:rPr>
        <w:t>t</w:t>
      </w:r>
      <w:r w:rsidRPr="00BB19E8">
        <w:rPr>
          <w:rFonts w:ascii="Times New Roman" w:hAnsi="Times New Roman" w:cs="Times New Roman"/>
          <w:noProof/>
          <w:sz w:val="24"/>
          <w:szCs w:val="24"/>
        </w:rPr>
        <w:t xml:space="preserve"> for </w:t>
      </w:r>
      <w:r w:rsidR="002B16FF" w:rsidRPr="00BB19E8">
        <w:rPr>
          <w:rFonts w:ascii="Times New Roman" w:hAnsi="Times New Roman" w:cs="Times New Roman"/>
          <w:noProof/>
          <w:sz w:val="24"/>
          <w:szCs w:val="24"/>
        </w:rPr>
        <w:t>Kunst og Medievitenskap, NTNU</w:t>
      </w:r>
      <w:r w:rsidRPr="00BB19E8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1D0AD211" w14:textId="1F0DA1A5" w:rsidR="00D569EB" w:rsidRPr="00BB19E8" w:rsidRDefault="00277DCE" w:rsidP="00DC3038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BB19E8">
        <w:rPr>
          <w:rFonts w:ascii="Times New Roman" w:hAnsi="Times New Roman" w:cs="Times New Roman"/>
          <w:noProof/>
          <w:sz w:val="24"/>
          <w:szCs w:val="24"/>
        </w:rPr>
        <w:t xml:space="preserve">Guss, Faith. Gabrielle. </w:t>
      </w:r>
      <w:r w:rsidR="00D569EB" w:rsidRPr="00BB19E8">
        <w:rPr>
          <w:rFonts w:ascii="Times New Roman" w:hAnsi="Times New Roman" w:cs="Times New Roman"/>
          <w:noProof/>
          <w:sz w:val="24"/>
          <w:szCs w:val="24"/>
        </w:rPr>
        <w:t xml:space="preserve">(2015). </w:t>
      </w:r>
      <w:r w:rsidR="00D569EB" w:rsidRPr="00BB19E8">
        <w:rPr>
          <w:rFonts w:ascii="Times New Roman" w:hAnsi="Times New Roman" w:cs="Times New Roman"/>
          <w:i/>
          <w:noProof/>
          <w:sz w:val="24"/>
          <w:szCs w:val="24"/>
        </w:rPr>
        <w:t>Barnekulturens iscenesettelser : 1 : Lekens dynamiske verdener</w:t>
      </w:r>
      <w:r w:rsidR="00D569EB" w:rsidRPr="00BB19E8">
        <w:rPr>
          <w:rFonts w:ascii="Times New Roman" w:hAnsi="Times New Roman" w:cs="Times New Roman"/>
          <w:noProof/>
          <w:sz w:val="24"/>
          <w:szCs w:val="24"/>
        </w:rPr>
        <w:t xml:space="preserve"> (Vol. 1). Oslo: Cappelen Damm akademisk.</w:t>
      </w:r>
    </w:p>
    <w:p w14:paraId="43299EDB" w14:textId="4FACBDDB" w:rsidR="00D569EB" w:rsidRPr="00BB19E8" w:rsidRDefault="00D569EB" w:rsidP="00DC3038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BB19E8">
        <w:rPr>
          <w:rFonts w:ascii="Times New Roman" w:hAnsi="Times New Roman" w:cs="Times New Roman"/>
          <w:noProof/>
          <w:sz w:val="24"/>
          <w:szCs w:val="24"/>
        </w:rPr>
        <w:t>Heggstad, K</w:t>
      </w:r>
      <w:r w:rsidR="00277DCE" w:rsidRPr="00BB19E8">
        <w:rPr>
          <w:rFonts w:ascii="Times New Roman" w:hAnsi="Times New Roman" w:cs="Times New Roman"/>
          <w:noProof/>
          <w:sz w:val="24"/>
          <w:szCs w:val="24"/>
        </w:rPr>
        <w:t>ari</w:t>
      </w:r>
      <w:r w:rsidRPr="00BB19E8">
        <w:rPr>
          <w:rFonts w:ascii="Times New Roman" w:hAnsi="Times New Roman" w:cs="Times New Roman"/>
          <w:noProof/>
          <w:sz w:val="24"/>
          <w:szCs w:val="24"/>
        </w:rPr>
        <w:t>. M</w:t>
      </w:r>
      <w:r w:rsidR="00277DCE" w:rsidRPr="00BB19E8">
        <w:rPr>
          <w:rFonts w:ascii="Times New Roman" w:hAnsi="Times New Roman" w:cs="Times New Roman"/>
          <w:noProof/>
          <w:sz w:val="24"/>
          <w:szCs w:val="24"/>
        </w:rPr>
        <w:t>jaaland</w:t>
      </w:r>
      <w:r w:rsidRPr="00BB19E8">
        <w:rPr>
          <w:rFonts w:ascii="Times New Roman" w:hAnsi="Times New Roman" w:cs="Times New Roman"/>
          <w:noProof/>
          <w:sz w:val="24"/>
          <w:szCs w:val="24"/>
        </w:rPr>
        <w:t>., Eriksson, S</w:t>
      </w:r>
      <w:r w:rsidR="00277DCE" w:rsidRPr="00BB19E8">
        <w:rPr>
          <w:rFonts w:ascii="Times New Roman" w:hAnsi="Times New Roman" w:cs="Times New Roman"/>
          <w:noProof/>
          <w:sz w:val="24"/>
          <w:szCs w:val="24"/>
        </w:rPr>
        <w:t>tig</w:t>
      </w:r>
      <w:r w:rsidRPr="00BB19E8">
        <w:rPr>
          <w:rFonts w:ascii="Times New Roman" w:hAnsi="Times New Roman" w:cs="Times New Roman"/>
          <w:noProof/>
          <w:sz w:val="24"/>
          <w:szCs w:val="24"/>
        </w:rPr>
        <w:t>. &amp; Rasmussen, B</w:t>
      </w:r>
      <w:r w:rsidR="00277DCE" w:rsidRPr="00BB19E8">
        <w:rPr>
          <w:rFonts w:ascii="Times New Roman" w:hAnsi="Times New Roman" w:cs="Times New Roman"/>
          <w:noProof/>
          <w:sz w:val="24"/>
          <w:szCs w:val="24"/>
        </w:rPr>
        <w:t>jørn</w:t>
      </w:r>
      <w:r w:rsidRPr="00BB19E8">
        <w:rPr>
          <w:rFonts w:ascii="Times New Roman" w:hAnsi="Times New Roman" w:cs="Times New Roman"/>
          <w:noProof/>
          <w:sz w:val="24"/>
          <w:szCs w:val="24"/>
        </w:rPr>
        <w:t>. (</w:t>
      </w:r>
      <w:r w:rsidR="002C3DFD" w:rsidRPr="00BB19E8">
        <w:rPr>
          <w:rFonts w:ascii="Times New Roman" w:hAnsi="Times New Roman" w:cs="Times New Roman"/>
          <w:noProof/>
          <w:sz w:val="24"/>
          <w:szCs w:val="24"/>
        </w:rPr>
        <w:t>red.</w:t>
      </w:r>
      <w:r w:rsidRPr="00BB19E8">
        <w:rPr>
          <w:rFonts w:ascii="Times New Roman" w:hAnsi="Times New Roman" w:cs="Times New Roman"/>
          <w:noProof/>
          <w:sz w:val="24"/>
          <w:szCs w:val="24"/>
        </w:rPr>
        <w:t>)</w:t>
      </w:r>
      <w:r w:rsidR="002B16FF" w:rsidRPr="00BB19E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B19E8">
        <w:rPr>
          <w:rFonts w:ascii="Times New Roman" w:hAnsi="Times New Roman" w:cs="Times New Roman"/>
          <w:noProof/>
          <w:sz w:val="24"/>
          <w:szCs w:val="24"/>
        </w:rPr>
        <w:t xml:space="preserve"> (2013). </w:t>
      </w:r>
      <w:r w:rsidRPr="00BB19E8">
        <w:rPr>
          <w:rFonts w:ascii="Times New Roman" w:hAnsi="Times New Roman" w:cs="Times New Roman"/>
          <w:i/>
          <w:noProof/>
          <w:sz w:val="24"/>
          <w:szCs w:val="24"/>
        </w:rPr>
        <w:t>Teater som danning</w:t>
      </w:r>
      <w:r w:rsidRPr="00BB19E8">
        <w:rPr>
          <w:rFonts w:ascii="Times New Roman" w:hAnsi="Times New Roman" w:cs="Times New Roman"/>
          <w:noProof/>
          <w:sz w:val="24"/>
          <w:szCs w:val="24"/>
        </w:rPr>
        <w:t>. Bergen: Fagbokforlaget.</w:t>
      </w:r>
    </w:p>
    <w:p w14:paraId="2EC018BE" w14:textId="74517D56" w:rsidR="00D569EB" w:rsidRPr="00BB19E8" w:rsidRDefault="00D569EB" w:rsidP="00DC3038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BB19E8">
        <w:rPr>
          <w:rFonts w:ascii="Times New Roman" w:hAnsi="Times New Roman" w:cs="Times New Roman"/>
          <w:noProof/>
          <w:sz w:val="24"/>
          <w:szCs w:val="24"/>
          <w:lang w:val="en-GB"/>
        </w:rPr>
        <w:t>Kress, G</w:t>
      </w:r>
      <w:r w:rsidR="00277DCE" w:rsidRPr="00BB19E8">
        <w:rPr>
          <w:rFonts w:ascii="Times New Roman" w:hAnsi="Times New Roman" w:cs="Times New Roman"/>
          <w:noProof/>
          <w:sz w:val="24"/>
          <w:szCs w:val="24"/>
          <w:lang w:val="en-GB"/>
        </w:rPr>
        <w:t>unter</w:t>
      </w:r>
      <w:r w:rsidRPr="00BB19E8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. (2013). </w:t>
      </w:r>
      <w:r w:rsidRPr="00BB19E8">
        <w:rPr>
          <w:rFonts w:ascii="Times New Roman" w:hAnsi="Times New Roman" w:cs="Times New Roman"/>
          <w:i/>
          <w:noProof/>
          <w:sz w:val="24"/>
          <w:szCs w:val="24"/>
          <w:lang w:val="en-GB"/>
        </w:rPr>
        <w:t>Multimodality : A Social Semiotic Approach to Contemporary Communication</w:t>
      </w:r>
      <w:r w:rsidRPr="00BB19E8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. </w:t>
      </w:r>
      <w:r w:rsidRPr="00BB19E8">
        <w:rPr>
          <w:rFonts w:ascii="Times New Roman" w:hAnsi="Times New Roman" w:cs="Times New Roman"/>
          <w:noProof/>
          <w:sz w:val="24"/>
          <w:szCs w:val="24"/>
        </w:rPr>
        <w:t>Hoboken: Taylor and Francis.</w:t>
      </w:r>
    </w:p>
    <w:p w14:paraId="1A81FB0E" w14:textId="0824B87C" w:rsidR="00D569EB" w:rsidRPr="00BB19E8" w:rsidRDefault="00D569EB" w:rsidP="00DC3038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BB19E8">
        <w:rPr>
          <w:rFonts w:ascii="Times New Roman" w:hAnsi="Times New Roman" w:cs="Times New Roman"/>
          <w:noProof/>
          <w:sz w:val="24"/>
          <w:szCs w:val="24"/>
        </w:rPr>
        <w:t>Løgstrup, K</w:t>
      </w:r>
      <w:r w:rsidR="00277DCE" w:rsidRPr="00BB19E8">
        <w:rPr>
          <w:rFonts w:ascii="Times New Roman" w:hAnsi="Times New Roman" w:cs="Times New Roman"/>
          <w:noProof/>
          <w:sz w:val="24"/>
          <w:szCs w:val="24"/>
        </w:rPr>
        <w:t>nud</w:t>
      </w:r>
      <w:r w:rsidRPr="00BB19E8">
        <w:rPr>
          <w:rFonts w:ascii="Times New Roman" w:hAnsi="Times New Roman" w:cs="Times New Roman"/>
          <w:noProof/>
          <w:sz w:val="24"/>
          <w:szCs w:val="24"/>
        </w:rPr>
        <w:t>. E</w:t>
      </w:r>
      <w:r w:rsidR="00277DCE" w:rsidRPr="00BB19E8">
        <w:rPr>
          <w:rFonts w:ascii="Times New Roman" w:hAnsi="Times New Roman" w:cs="Times New Roman"/>
          <w:noProof/>
          <w:sz w:val="24"/>
          <w:szCs w:val="24"/>
        </w:rPr>
        <w:t>jlert</w:t>
      </w:r>
      <w:r w:rsidRPr="00BB19E8">
        <w:rPr>
          <w:rFonts w:ascii="Times New Roman" w:hAnsi="Times New Roman" w:cs="Times New Roman"/>
          <w:noProof/>
          <w:sz w:val="24"/>
          <w:szCs w:val="24"/>
        </w:rPr>
        <w:t xml:space="preserve">. (1961). </w:t>
      </w:r>
      <w:r w:rsidRPr="00BB19E8">
        <w:rPr>
          <w:rFonts w:ascii="Times New Roman" w:hAnsi="Times New Roman" w:cs="Times New Roman"/>
          <w:i/>
          <w:noProof/>
          <w:sz w:val="24"/>
          <w:szCs w:val="24"/>
        </w:rPr>
        <w:t>Kunst og etik</w:t>
      </w:r>
      <w:r w:rsidRPr="00BB19E8">
        <w:rPr>
          <w:rFonts w:ascii="Times New Roman" w:hAnsi="Times New Roman" w:cs="Times New Roman"/>
          <w:noProof/>
          <w:sz w:val="24"/>
          <w:szCs w:val="24"/>
        </w:rPr>
        <w:t>. København: Gyldendal.</w:t>
      </w:r>
    </w:p>
    <w:p w14:paraId="07890D40" w14:textId="01E5DDBA" w:rsidR="00D569EB" w:rsidRPr="00BB19E8" w:rsidRDefault="00D569EB" w:rsidP="00DC3038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  <w:lang w:val="en-GB"/>
        </w:rPr>
      </w:pPr>
      <w:r w:rsidRPr="00BB19E8">
        <w:rPr>
          <w:rFonts w:ascii="Times New Roman" w:hAnsi="Times New Roman" w:cs="Times New Roman"/>
          <w:i/>
          <w:noProof/>
          <w:sz w:val="24"/>
          <w:szCs w:val="24"/>
        </w:rPr>
        <w:t>Meld. St. 28 (2015</w:t>
      </w:r>
      <w:r w:rsidR="002C3DFD" w:rsidRPr="00BB19E8">
        <w:rPr>
          <w:rFonts w:ascii="Times New Roman" w:hAnsi="Times New Roman" w:cs="Times New Roman"/>
          <w:i/>
          <w:noProof/>
          <w:sz w:val="24"/>
          <w:szCs w:val="24"/>
        </w:rPr>
        <w:t>−</w:t>
      </w:r>
      <w:r w:rsidRPr="00BB19E8">
        <w:rPr>
          <w:rFonts w:ascii="Times New Roman" w:hAnsi="Times New Roman" w:cs="Times New Roman"/>
          <w:i/>
          <w:noProof/>
          <w:sz w:val="24"/>
          <w:szCs w:val="24"/>
        </w:rPr>
        <w:t xml:space="preserve">2016) Fag </w:t>
      </w:r>
      <w:r w:rsidR="002C3DFD" w:rsidRPr="00BB19E8">
        <w:rPr>
          <w:rFonts w:ascii="Times New Roman" w:hAnsi="Times New Roman" w:cs="Times New Roman"/>
          <w:i/>
          <w:noProof/>
          <w:sz w:val="24"/>
          <w:szCs w:val="24"/>
        </w:rPr>
        <w:t>−</w:t>
      </w:r>
      <w:r w:rsidRPr="00BB19E8">
        <w:rPr>
          <w:rFonts w:ascii="Times New Roman" w:hAnsi="Times New Roman" w:cs="Times New Roman"/>
          <w:i/>
          <w:noProof/>
          <w:sz w:val="24"/>
          <w:szCs w:val="24"/>
        </w:rPr>
        <w:t xml:space="preserve"> Fordypning </w:t>
      </w:r>
      <w:r w:rsidR="002C3DFD" w:rsidRPr="00BB19E8">
        <w:rPr>
          <w:rFonts w:ascii="Times New Roman" w:hAnsi="Times New Roman" w:cs="Times New Roman"/>
          <w:i/>
          <w:noProof/>
          <w:sz w:val="24"/>
          <w:szCs w:val="24"/>
        </w:rPr>
        <w:t>−</w:t>
      </w:r>
      <w:r w:rsidRPr="00BB19E8">
        <w:rPr>
          <w:rFonts w:ascii="Times New Roman" w:hAnsi="Times New Roman" w:cs="Times New Roman"/>
          <w:i/>
          <w:noProof/>
          <w:sz w:val="24"/>
          <w:szCs w:val="24"/>
        </w:rPr>
        <w:t xml:space="preserve"> Forståelse </w:t>
      </w:r>
      <w:r w:rsidR="002C3DFD" w:rsidRPr="00BB19E8">
        <w:rPr>
          <w:rFonts w:ascii="Times New Roman" w:hAnsi="Times New Roman" w:cs="Times New Roman"/>
          <w:i/>
          <w:noProof/>
          <w:sz w:val="24"/>
          <w:szCs w:val="24"/>
        </w:rPr>
        <w:t>−</w:t>
      </w:r>
      <w:r w:rsidRPr="00BB19E8">
        <w:rPr>
          <w:rFonts w:ascii="Times New Roman" w:hAnsi="Times New Roman" w:cs="Times New Roman"/>
          <w:i/>
          <w:noProof/>
          <w:sz w:val="24"/>
          <w:szCs w:val="24"/>
        </w:rPr>
        <w:t xml:space="preserve"> En fornyelse av Kunnskapsløftet</w:t>
      </w:r>
      <w:r w:rsidRPr="00BB19E8">
        <w:rPr>
          <w:rFonts w:ascii="Times New Roman" w:hAnsi="Times New Roman" w:cs="Times New Roman"/>
          <w:noProof/>
          <w:sz w:val="24"/>
          <w:szCs w:val="24"/>
        </w:rPr>
        <w:t xml:space="preserve">.  </w:t>
      </w:r>
      <w:r w:rsidRPr="00BB19E8">
        <w:rPr>
          <w:rFonts w:ascii="Times New Roman" w:hAnsi="Times New Roman" w:cs="Times New Roman"/>
          <w:noProof/>
          <w:sz w:val="24"/>
          <w:szCs w:val="24"/>
          <w:lang w:val="en-GB"/>
        </w:rPr>
        <w:t>Oslo: Kunnskapsdepartementet.</w:t>
      </w:r>
    </w:p>
    <w:p w14:paraId="2FCDF677" w14:textId="111F629C" w:rsidR="00D569EB" w:rsidRPr="00BB19E8" w:rsidRDefault="00D569EB" w:rsidP="00DC3038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  <w:lang w:val="en-GB"/>
        </w:rPr>
      </w:pPr>
      <w:r w:rsidRPr="00BB19E8">
        <w:rPr>
          <w:rFonts w:ascii="Times New Roman" w:hAnsi="Times New Roman" w:cs="Times New Roman"/>
          <w:noProof/>
          <w:sz w:val="24"/>
          <w:szCs w:val="24"/>
          <w:lang w:val="en-GB"/>
        </w:rPr>
        <w:t>Norris, S</w:t>
      </w:r>
      <w:r w:rsidR="00277DCE" w:rsidRPr="00BB19E8">
        <w:rPr>
          <w:rFonts w:ascii="Times New Roman" w:hAnsi="Times New Roman" w:cs="Times New Roman"/>
          <w:noProof/>
          <w:sz w:val="24"/>
          <w:szCs w:val="24"/>
          <w:lang w:val="en-GB"/>
        </w:rPr>
        <w:t>igrid</w:t>
      </w:r>
      <w:r w:rsidRPr="00BB19E8">
        <w:rPr>
          <w:rFonts w:ascii="Times New Roman" w:hAnsi="Times New Roman" w:cs="Times New Roman"/>
          <w:noProof/>
          <w:sz w:val="24"/>
          <w:szCs w:val="24"/>
          <w:lang w:val="en-GB"/>
        </w:rPr>
        <w:t>. &amp; Maier, C</w:t>
      </w:r>
      <w:r w:rsidR="00277DCE" w:rsidRPr="00BB19E8">
        <w:rPr>
          <w:rFonts w:ascii="Times New Roman" w:hAnsi="Times New Roman" w:cs="Times New Roman"/>
          <w:noProof/>
          <w:sz w:val="24"/>
          <w:szCs w:val="24"/>
          <w:lang w:val="en-GB"/>
        </w:rPr>
        <w:t>armen</w:t>
      </w:r>
      <w:r w:rsidRPr="00BB19E8">
        <w:rPr>
          <w:rFonts w:ascii="Times New Roman" w:hAnsi="Times New Roman" w:cs="Times New Roman"/>
          <w:noProof/>
          <w:sz w:val="24"/>
          <w:szCs w:val="24"/>
          <w:lang w:val="en-GB"/>
        </w:rPr>
        <w:t>. D</w:t>
      </w:r>
      <w:r w:rsidR="00277DCE" w:rsidRPr="00BB19E8">
        <w:rPr>
          <w:rFonts w:ascii="Times New Roman" w:hAnsi="Times New Roman" w:cs="Times New Roman"/>
          <w:noProof/>
          <w:sz w:val="24"/>
          <w:szCs w:val="24"/>
          <w:lang w:val="en-GB"/>
        </w:rPr>
        <w:t>anila</w:t>
      </w:r>
      <w:r w:rsidRPr="00BB19E8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. (2014). </w:t>
      </w:r>
      <w:r w:rsidRPr="00BB19E8">
        <w:rPr>
          <w:rFonts w:ascii="Times New Roman" w:hAnsi="Times New Roman" w:cs="Times New Roman"/>
          <w:i/>
          <w:noProof/>
          <w:sz w:val="24"/>
          <w:szCs w:val="24"/>
          <w:lang w:val="en-GB"/>
        </w:rPr>
        <w:t>Interactions, Images and Texts</w:t>
      </w:r>
      <w:r w:rsidR="00277DCE" w:rsidRPr="00BB19E8">
        <w:rPr>
          <w:rFonts w:ascii="Times New Roman" w:hAnsi="Times New Roman" w:cs="Times New Roman"/>
          <w:i/>
          <w:noProof/>
          <w:sz w:val="24"/>
          <w:szCs w:val="24"/>
          <w:lang w:val="en-GB"/>
        </w:rPr>
        <w:t>.</w:t>
      </w:r>
      <w:r w:rsidRPr="00BB19E8">
        <w:rPr>
          <w:rFonts w:ascii="Times New Roman" w:hAnsi="Times New Roman" w:cs="Times New Roman"/>
          <w:i/>
          <w:noProof/>
          <w:sz w:val="24"/>
          <w:szCs w:val="24"/>
          <w:lang w:val="en-GB"/>
        </w:rPr>
        <w:t xml:space="preserve"> A Reader in Multimodality Trends in Applied Linguistics [Tal] 11</w:t>
      </w:r>
      <w:r w:rsidRPr="00BB19E8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: </w:t>
      </w:r>
      <w:r w:rsidR="00277DCE" w:rsidRPr="00BB19E8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Boston: </w:t>
      </w:r>
      <w:r w:rsidRPr="00BB19E8">
        <w:rPr>
          <w:rFonts w:ascii="Times New Roman" w:hAnsi="Times New Roman" w:cs="Times New Roman"/>
          <w:noProof/>
          <w:sz w:val="24"/>
          <w:szCs w:val="24"/>
          <w:lang w:val="en-GB"/>
        </w:rPr>
        <w:t>De Gruyter Mouton.</w:t>
      </w:r>
    </w:p>
    <w:p w14:paraId="0B74FF23" w14:textId="0D20D99C" w:rsidR="00D569EB" w:rsidRPr="00BB19E8" w:rsidRDefault="00D569EB" w:rsidP="00DC3038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BB19E8">
        <w:rPr>
          <w:rFonts w:ascii="Times New Roman" w:hAnsi="Times New Roman" w:cs="Times New Roman"/>
          <w:noProof/>
          <w:sz w:val="24"/>
          <w:szCs w:val="24"/>
          <w:lang w:val="en-GB"/>
        </w:rPr>
        <w:t>Pitruzzella, S</w:t>
      </w:r>
      <w:r w:rsidR="00277DCE" w:rsidRPr="00BB19E8">
        <w:rPr>
          <w:rFonts w:ascii="Times New Roman" w:hAnsi="Times New Roman" w:cs="Times New Roman"/>
          <w:noProof/>
          <w:sz w:val="24"/>
          <w:szCs w:val="24"/>
          <w:lang w:val="en-GB"/>
        </w:rPr>
        <w:t>alvo</w:t>
      </w:r>
      <w:r w:rsidRPr="00BB19E8">
        <w:rPr>
          <w:rFonts w:ascii="Times New Roman" w:hAnsi="Times New Roman" w:cs="Times New Roman"/>
          <w:noProof/>
          <w:sz w:val="24"/>
          <w:szCs w:val="24"/>
          <w:lang w:val="en-GB"/>
        </w:rPr>
        <w:t>., Scoble, S</w:t>
      </w:r>
      <w:r w:rsidR="00277DCE" w:rsidRPr="00BB19E8">
        <w:rPr>
          <w:rFonts w:ascii="Times New Roman" w:hAnsi="Times New Roman" w:cs="Times New Roman"/>
          <w:noProof/>
          <w:sz w:val="24"/>
          <w:szCs w:val="24"/>
          <w:lang w:val="en-GB"/>
        </w:rPr>
        <w:t>arah</w:t>
      </w:r>
      <w:r w:rsidRPr="00BB19E8">
        <w:rPr>
          <w:rFonts w:ascii="Times New Roman" w:hAnsi="Times New Roman" w:cs="Times New Roman"/>
          <w:noProof/>
          <w:sz w:val="24"/>
          <w:szCs w:val="24"/>
          <w:lang w:val="en-GB"/>
        </w:rPr>
        <w:t>. &amp; Ross, M</w:t>
      </w:r>
      <w:r w:rsidR="00277DCE" w:rsidRPr="00BB19E8">
        <w:rPr>
          <w:rFonts w:ascii="Times New Roman" w:hAnsi="Times New Roman" w:cs="Times New Roman"/>
          <w:noProof/>
          <w:sz w:val="24"/>
          <w:szCs w:val="24"/>
          <w:lang w:val="en-GB"/>
        </w:rPr>
        <w:t>alcolm</w:t>
      </w:r>
      <w:r w:rsidRPr="00BB19E8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. (2013). </w:t>
      </w:r>
      <w:r w:rsidRPr="00BB19E8">
        <w:rPr>
          <w:rFonts w:ascii="Times New Roman" w:hAnsi="Times New Roman" w:cs="Times New Roman"/>
          <w:i/>
          <w:noProof/>
          <w:sz w:val="24"/>
          <w:szCs w:val="24"/>
          <w:lang w:val="en-GB"/>
        </w:rPr>
        <w:t>Arts Therapies and the Intelligence of Feeling</w:t>
      </w:r>
      <w:r w:rsidR="00277DCE" w:rsidRPr="00BB19E8">
        <w:rPr>
          <w:rFonts w:ascii="Times New Roman" w:hAnsi="Times New Roman" w:cs="Times New Roman"/>
          <w:noProof/>
          <w:sz w:val="24"/>
          <w:szCs w:val="24"/>
          <w:lang w:val="en-GB"/>
        </w:rPr>
        <w:t>.</w:t>
      </w:r>
      <w:r w:rsidRPr="00BB19E8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 </w:t>
      </w:r>
      <w:r w:rsidR="00277DCE" w:rsidRPr="00BB19E8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 </w:t>
      </w:r>
      <w:r w:rsidR="00277DCE" w:rsidRPr="00BB19E8">
        <w:rPr>
          <w:rFonts w:ascii="Times New Roman" w:hAnsi="Times New Roman" w:cs="Times New Roman"/>
          <w:noProof/>
          <w:sz w:val="24"/>
          <w:szCs w:val="24"/>
        </w:rPr>
        <w:t xml:space="preserve">Plymouth: </w:t>
      </w:r>
      <w:r w:rsidRPr="00BB19E8">
        <w:rPr>
          <w:rFonts w:ascii="Times New Roman" w:hAnsi="Times New Roman" w:cs="Times New Roman"/>
          <w:noProof/>
          <w:sz w:val="24"/>
          <w:szCs w:val="24"/>
        </w:rPr>
        <w:t>University of Plymouth Press.</w:t>
      </w:r>
    </w:p>
    <w:p w14:paraId="226C9545" w14:textId="48B4E203" w:rsidR="00D569EB" w:rsidRPr="00BB19E8" w:rsidRDefault="00D569EB" w:rsidP="00DC3038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  <w:lang w:val="en-GB"/>
        </w:rPr>
      </w:pPr>
      <w:r w:rsidRPr="00BB19E8">
        <w:rPr>
          <w:rFonts w:ascii="Times New Roman" w:hAnsi="Times New Roman" w:cs="Times New Roman"/>
          <w:noProof/>
          <w:sz w:val="24"/>
          <w:szCs w:val="24"/>
        </w:rPr>
        <w:t>Rasmussen, B</w:t>
      </w:r>
      <w:r w:rsidR="00DC3038" w:rsidRPr="00BB19E8">
        <w:rPr>
          <w:rFonts w:ascii="Times New Roman" w:hAnsi="Times New Roman" w:cs="Times New Roman"/>
          <w:noProof/>
          <w:sz w:val="24"/>
          <w:szCs w:val="24"/>
        </w:rPr>
        <w:t>jørn</w:t>
      </w:r>
      <w:r w:rsidRPr="00BB19E8">
        <w:rPr>
          <w:rFonts w:ascii="Times New Roman" w:hAnsi="Times New Roman" w:cs="Times New Roman"/>
          <w:noProof/>
          <w:sz w:val="24"/>
          <w:szCs w:val="24"/>
        </w:rPr>
        <w:t>. &amp; Kristoffersen, B</w:t>
      </w:r>
      <w:r w:rsidR="00DC3038" w:rsidRPr="00BB19E8">
        <w:rPr>
          <w:rFonts w:ascii="Times New Roman" w:hAnsi="Times New Roman" w:cs="Times New Roman"/>
          <w:noProof/>
          <w:sz w:val="24"/>
          <w:szCs w:val="24"/>
        </w:rPr>
        <w:t>ørge</w:t>
      </w:r>
      <w:r w:rsidRPr="00BB19E8">
        <w:rPr>
          <w:rFonts w:ascii="Times New Roman" w:hAnsi="Times New Roman" w:cs="Times New Roman"/>
          <w:noProof/>
          <w:sz w:val="24"/>
          <w:szCs w:val="24"/>
        </w:rPr>
        <w:t xml:space="preserve">. (2014). </w:t>
      </w:r>
      <w:r w:rsidRPr="00BB19E8">
        <w:rPr>
          <w:rFonts w:ascii="Times New Roman" w:hAnsi="Times New Roman" w:cs="Times New Roman"/>
          <w:i/>
          <w:noProof/>
          <w:sz w:val="24"/>
          <w:szCs w:val="24"/>
        </w:rPr>
        <w:t>Mye På Spill. Teater som danningspraksis i skolen</w:t>
      </w:r>
      <w:r w:rsidRPr="00BB19E8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BB19E8">
        <w:rPr>
          <w:rFonts w:ascii="Times New Roman" w:hAnsi="Times New Roman" w:cs="Times New Roman"/>
          <w:noProof/>
          <w:sz w:val="24"/>
          <w:szCs w:val="24"/>
          <w:lang w:val="en-GB"/>
        </w:rPr>
        <w:t>Trondheim: Fagbokforlaget.</w:t>
      </w:r>
    </w:p>
    <w:p w14:paraId="3AA72A58" w14:textId="229856D2" w:rsidR="00D569EB" w:rsidRPr="00BB19E8" w:rsidRDefault="00D569EB" w:rsidP="00DC3038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  <w:lang w:val="en-GB"/>
        </w:rPr>
      </w:pPr>
      <w:r w:rsidRPr="00BB19E8">
        <w:rPr>
          <w:rFonts w:ascii="Times New Roman" w:hAnsi="Times New Roman" w:cs="Times New Roman"/>
          <w:noProof/>
          <w:sz w:val="24"/>
          <w:szCs w:val="24"/>
          <w:lang w:val="en-GB"/>
        </w:rPr>
        <w:t>Ross, M</w:t>
      </w:r>
      <w:r w:rsidR="00DC3038" w:rsidRPr="00BB19E8">
        <w:rPr>
          <w:rFonts w:ascii="Times New Roman" w:hAnsi="Times New Roman" w:cs="Times New Roman"/>
          <w:noProof/>
          <w:sz w:val="24"/>
          <w:szCs w:val="24"/>
          <w:lang w:val="en-GB"/>
        </w:rPr>
        <w:t>alcolm</w:t>
      </w:r>
      <w:r w:rsidRPr="00BB19E8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. (2011). </w:t>
      </w:r>
      <w:r w:rsidRPr="00BB19E8">
        <w:rPr>
          <w:rFonts w:ascii="Times New Roman" w:hAnsi="Times New Roman" w:cs="Times New Roman"/>
          <w:i/>
          <w:noProof/>
          <w:sz w:val="24"/>
          <w:szCs w:val="24"/>
          <w:lang w:val="en-GB"/>
        </w:rPr>
        <w:t>Cultivating the arts in education and therapy</w:t>
      </w:r>
      <w:r w:rsidRPr="00BB19E8">
        <w:rPr>
          <w:rFonts w:ascii="Times New Roman" w:hAnsi="Times New Roman" w:cs="Times New Roman"/>
          <w:noProof/>
          <w:sz w:val="24"/>
          <w:szCs w:val="24"/>
          <w:lang w:val="en-GB"/>
        </w:rPr>
        <w:t>. Abingdon: Routledge.</w:t>
      </w:r>
    </w:p>
    <w:p w14:paraId="3A10473D" w14:textId="45E20998" w:rsidR="00D569EB" w:rsidRPr="00BB19E8" w:rsidRDefault="00D569EB" w:rsidP="00DC3038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  <w:lang w:val="en-GB"/>
        </w:rPr>
      </w:pPr>
      <w:r w:rsidRPr="00BB19E8">
        <w:rPr>
          <w:rFonts w:ascii="Times New Roman" w:hAnsi="Times New Roman" w:cs="Times New Roman"/>
          <w:noProof/>
          <w:sz w:val="24"/>
          <w:szCs w:val="24"/>
          <w:lang w:val="en-GB"/>
        </w:rPr>
        <w:t>Schechner, R</w:t>
      </w:r>
      <w:r w:rsidR="00DC3038" w:rsidRPr="00BB19E8">
        <w:rPr>
          <w:rFonts w:ascii="Times New Roman" w:hAnsi="Times New Roman" w:cs="Times New Roman"/>
          <w:noProof/>
          <w:sz w:val="24"/>
          <w:szCs w:val="24"/>
          <w:lang w:val="en-GB"/>
        </w:rPr>
        <w:t>ichard</w:t>
      </w:r>
      <w:r w:rsidRPr="00BB19E8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. (2006). </w:t>
      </w:r>
      <w:r w:rsidRPr="00BB19E8">
        <w:rPr>
          <w:rFonts w:ascii="Times New Roman" w:hAnsi="Times New Roman" w:cs="Times New Roman"/>
          <w:i/>
          <w:noProof/>
          <w:sz w:val="24"/>
          <w:szCs w:val="24"/>
          <w:lang w:val="en-GB"/>
        </w:rPr>
        <w:t>Performance studies: an introduction</w:t>
      </w:r>
      <w:r w:rsidRPr="00BB19E8">
        <w:rPr>
          <w:rFonts w:ascii="Times New Roman" w:hAnsi="Times New Roman" w:cs="Times New Roman"/>
          <w:noProof/>
          <w:sz w:val="24"/>
          <w:szCs w:val="24"/>
          <w:lang w:val="en-GB"/>
        </w:rPr>
        <w:t>. New York: Routledge.</w:t>
      </w:r>
    </w:p>
    <w:p w14:paraId="1D89BDC3" w14:textId="3299C957" w:rsidR="00D569EB" w:rsidRPr="00DC3038" w:rsidRDefault="00D569EB" w:rsidP="00DC3038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BB19E8">
        <w:rPr>
          <w:rFonts w:ascii="Times New Roman" w:hAnsi="Times New Roman" w:cs="Times New Roman"/>
          <w:noProof/>
          <w:sz w:val="24"/>
          <w:szCs w:val="24"/>
        </w:rPr>
        <w:t>Slettholm, Y</w:t>
      </w:r>
      <w:r w:rsidR="00DC3038" w:rsidRPr="00BB19E8">
        <w:rPr>
          <w:rFonts w:ascii="Times New Roman" w:hAnsi="Times New Roman" w:cs="Times New Roman"/>
          <w:noProof/>
          <w:sz w:val="24"/>
          <w:szCs w:val="24"/>
        </w:rPr>
        <w:t>ngve</w:t>
      </w:r>
      <w:r w:rsidRPr="00BB19E8">
        <w:rPr>
          <w:rFonts w:ascii="Times New Roman" w:hAnsi="Times New Roman" w:cs="Times New Roman"/>
          <w:noProof/>
          <w:sz w:val="24"/>
          <w:szCs w:val="24"/>
        </w:rPr>
        <w:t xml:space="preserve">. (2013). Kultur på liv og død - kultur og rettigheter. </w:t>
      </w:r>
      <w:r w:rsidR="002B16FF" w:rsidRPr="00DC3038">
        <w:rPr>
          <w:rFonts w:ascii="Times New Roman" w:hAnsi="Times New Roman" w:cs="Times New Roman"/>
          <w:noProof/>
          <w:sz w:val="24"/>
          <w:szCs w:val="24"/>
        </w:rPr>
        <w:t>Hentet fra</w:t>
      </w:r>
      <w:r w:rsidRPr="00DC3038">
        <w:rPr>
          <w:rFonts w:ascii="Times New Roman" w:hAnsi="Times New Roman" w:cs="Times New Roman"/>
          <w:noProof/>
          <w:sz w:val="24"/>
          <w:szCs w:val="24"/>
        </w:rPr>
        <w:t xml:space="preserve"> http://www.kulturradet.no/arskonferansen-2013/vis-artikkel/-/debatt-yngve-slettholm-kultur-og-rettigheter-arskonferansen-2013</w:t>
      </w:r>
      <w:r w:rsidR="002C3DFD">
        <w:rPr>
          <w:rFonts w:ascii="Times New Roman" w:hAnsi="Times New Roman" w:cs="Times New Roman"/>
          <w:noProof/>
          <w:sz w:val="24"/>
          <w:szCs w:val="24"/>
        </w:rPr>
        <w:t>.</w:t>
      </w:r>
      <w:r w:rsidRPr="00DC3038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4841AA12" w14:textId="09A35271" w:rsidR="00D569EB" w:rsidRPr="00BB19E8" w:rsidRDefault="00D569EB" w:rsidP="00DC3038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  <w:lang w:val="en-GB"/>
        </w:rPr>
      </w:pPr>
      <w:r w:rsidRPr="00BB19E8">
        <w:rPr>
          <w:rFonts w:ascii="Times New Roman" w:hAnsi="Times New Roman" w:cs="Times New Roman"/>
          <w:noProof/>
          <w:sz w:val="24"/>
          <w:szCs w:val="24"/>
          <w:lang w:val="en-GB"/>
        </w:rPr>
        <w:t>Williams, R</w:t>
      </w:r>
      <w:r w:rsidR="00DC3038" w:rsidRPr="00BB19E8">
        <w:rPr>
          <w:rFonts w:ascii="Times New Roman" w:hAnsi="Times New Roman" w:cs="Times New Roman"/>
          <w:noProof/>
          <w:sz w:val="24"/>
          <w:szCs w:val="24"/>
          <w:lang w:val="en-GB"/>
        </w:rPr>
        <w:t>aymond</w:t>
      </w:r>
      <w:r w:rsidRPr="00BB19E8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. (1975). </w:t>
      </w:r>
      <w:r w:rsidRPr="00BB19E8">
        <w:rPr>
          <w:rFonts w:ascii="Times New Roman" w:hAnsi="Times New Roman" w:cs="Times New Roman"/>
          <w:i/>
          <w:noProof/>
          <w:sz w:val="24"/>
          <w:szCs w:val="24"/>
          <w:lang w:val="en-GB"/>
        </w:rPr>
        <w:t>Drama in a dramatised society: an inaugural lecture</w:t>
      </w:r>
      <w:r w:rsidR="002B16FF" w:rsidRPr="00BB19E8">
        <w:rPr>
          <w:rFonts w:ascii="Times New Roman" w:hAnsi="Times New Roman" w:cs="Times New Roman"/>
          <w:noProof/>
          <w:sz w:val="24"/>
          <w:szCs w:val="24"/>
          <w:lang w:val="en-GB"/>
        </w:rPr>
        <w:t>. Cambridge</w:t>
      </w:r>
      <w:r w:rsidRPr="00BB19E8">
        <w:rPr>
          <w:rFonts w:ascii="Times New Roman" w:hAnsi="Times New Roman" w:cs="Times New Roman"/>
          <w:noProof/>
          <w:sz w:val="24"/>
          <w:szCs w:val="24"/>
          <w:lang w:val="en-GB"/>
        </w:rPr>
        <w:t>: Cambridge University Press.</w:t>
      </w:r>
    </w:p>
    <w:p w14:paraId="1A265247" w14:textId="4D082331" w:rsidR="00D569EB" w:rsidRPr="00BB19E8" w:rsidRDefault="00D569EB" w:rsidP="00DC3038">
      <w:pPr>
        <w:spacing w:after="0"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  <w:lang w:val="en-GB"/>
        </w:rPr>
      </w:pPr>
      <w:r w:rsidRPr="00BB19E8">
        <w:rPr>
          <w:rFonts w:ascii="Times New Roman" w:hAnsi="Times New Roman" w:cs="Times New Roman"/>
          <w:noProof/>
          <w:sz w:val="24"/>
          <w:szCs w:val="24"/>
          <w:lang w:val="en-GB"/>
        </w:rPr>
        <w:t>Williams, R</w:t>
      </w:r>
      <w:r w:rsidR="00DC3038" w:rsidRPr="00BB19E8">
        <w:rPr>
          <w:rFonts w:ascii="Times New Roman" w:hAnsi="Times New Roman" w:cs="Times New Roman"/>
          <w:noProof/>
          <w:sz w:val="24"/>
          <w:szCs w:val="24"/>
          <w:lang w:val="en-GB"/>
        </w:rPr>
        <w:t>aymond</w:t>
      </w:r>
      <w:r w:rsidRPr="00BB19E8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. (1976). </w:t>
      </w:r>
      <w:r w:rsidRPr="00BB19E8">
        <w:rPr>
          <w:rFonts w:ascii="Times New Roman" w:hAnsi="Times New Roman" w:cs="Times New Roman"/>
          <w:i/>
          <w:noProof/>
          <w:sz w:val="24"/>
          <w:szCs w:val="24"/>
          <w:lang w:val="en-GB"/>
        </w:rPr>
        <w:t>Communications</w:t>
      </w:r>
      <w:r w:rsidRPr="00BB19E8">
        <w:rPr>
          <w:rFonts w:ascii="Times New Roman" w:hAnsi="Times New Roman" w:cs="Times New Roman"/>
          <w:noProof/>
          <w:sz w:val="24"/>
          <w:szCs w:val="24"/>
          <w:lang w:val="en-GB"/>
        </w:rPr>
        <w:t xml:space="preserve"> (3rd ed.). Harmondsworth: Penguin.</w:t>
      </w:r>
    </w:p>
    <w:p w14:paraId="6B723659" w14:textId="6607F3A3" w:rsidR="00D569EB" w:rsidRPr="00DC3038" w:rsidRDefault="00D569EB" w:rsidP="00D22DE0">
      <w:pPr>
        <w:spacing w:line="360" w:lineRule="auto"/>
        <w:ind w:left="720" w:hanging="720"/>
        <w:rPr>
          <w:rFonts w:ascii="Times New Roman" w:hAnsi="Times New Roman" w:cs="Times New Roman"/>
          <w:noProof/>
          <w:sz w:val="24"/>
          <w:szCs w:val="24"/>
          <w:lang w:val="de-DE"/>
        </w:rPr>
      </w:pPr>
      <w:r w:rsidRPr="00BB19E8">
        <w:rPr>
          <w:rFonts w:ascii="Times New Roman" w:hAnsi="Times New Roman" w:cs="Times New Roman"/>
          <w:noProof/>
          <w:sz w:val="24"/>
          <w:szCs w:val="24"/>
        </w:rPr>
        <w:t>Winther Jørgensen, M</w:t>
      </w:r>
      <w:r w:rsidR="00DC3038" w:rsidRPr="00BB19E8">
        <w:rPr>
          <w:rFonts w:ascii="Times New Roman" w:hAnsi="Times New Roman" w:cs="Times New Roman"/>
          <w:noProof/>
          <w:sz w:val="24"/>
          <w:szCs w:val="24"/>
        </w:rPr>
        <w:t>arianne</w:t>
      </w:r>
      <w:r w:rsidRPr="00BB19E8">
        <w:rPr>
          <w:rFonts w:ascii="Times New Roman" w:hAnsi="Times New Roman" w:cs="Times New Roman"/>
          <w:noProof/>
          <w:sz w:val="24"/>
          <w:szCs w:val="24"/>
        </w:rPr>
        <w:t>., &amp; Phillips, L</w:t>
      </w:r>
      <w:r w:rsidR="00DC3038" w:rsidRPr="00BB19E8">
        <w:rPr>
          <w:rFonts w:ascii="Times New Roman" w:hAnsi="Times New Roman" w:cs="Times New Roman"/>
          <w:noProof/>
          <w:sz w:val="24"/>
          <w:szCs w:val="24"/>
        </w:rPr>
        <w:t>ouise</w:t>
      </w:r>
      <w:r w:rsidRPr="00BB19E8">
        <w:rPr>
          <w:rFonts w:ascii="Times New Roman" w:hAnsi="Times New Roman" w:cs="Times New Roman"/>
          <w:noProof/>
          <w:sz w:val="24"/>
          <w:szCs w:val="24"/>
        </w:rPr>
        <w:t xml:space="preserve">. (1999). </w:t>
      </w:r>
      <w:r w:rsidRPr="00BB19E8">
        <w:rPr>
          <w:rFonts w:ascii="Times New Roman" w:hAnsi="Times New Roman" w:cs="Times New Roman"/>
          <w:i/>
          <w:noProof/>
          <w:sz w:val="24"/>
          <w:szCs w:val="24"/>
        </w:rPr>
        <w:t>Diskursanalyse som teori og metode</w:t>
      </w:r>
      <w:r w:rsidRPr="00BB19E8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DC3038">
        <w:rPr>
          <w:rFonts w:ascii="Times New Roman" w:hAnsi="Times New Roman" w:cs="Times New Roman"/>
          <w:noProof/>
          <w:sz w:val="24"/>
          <w:szCs w:val="24"/>
          <w:lang w:val="de-DE"/>
        </w:rPr>
        <w:t>Frederiksberg: Roskilde Universitetsforlag.</w:t>
      </w:r>
    </w:p>
    <w:p w14:paraId="179BD60B" w14:textId="77777777" w:rsidR="00D569EB" w:rsidRPr="00DC3038" w:rsidRDefault="00D569EB" w:rsidP="00DC3038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06F1214" w14:textId="77777777" w:rsidR="00D569EB" w:rsidRPr="00DC3038" w:rsidRDefault="00D569EB" w:rsidP="00DC3038">
      <w:pPr>
        <w:pStyle w:val="Overskrift2"/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C3038">
        <w:rPr>
          <w:rFonts w:ascii="Times New Roman" w:hAnsi="Times New Roman" w:cs="Times New Roman"/>
          <w:sz w:val="24"/>
          <w:szCs w:val="24"/>
          <w:lang w:val="en-US"/>
        </w:rPr>
        <w:t>Noter</w:t>
      </w:r>
    </w:p>
    <w:sectPr w:rsidR="00D569EB" w:rsidRPr="00DC30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32681F" w14:textId="77777777" w:rsidR="004330F3" w:rsidRDefault="004330F3" w:rsidP="00D569EB">
      <w:pPr>
        <w:spacing w:after="0" w:line="240" w:lineRule="auto"/>
      </w:pPr>
      <w:r>
        <w:separator/>
      </w:r>
    </w:p>
  </w:endnote>
  <w:endnote w:type="continuationSeparator" w:id="0">
    <w:p w14:paraId="53704D4B" w14:textId="77777777" w:rsidR="004330F3" w:rsidRDefault="004330F3" w:rsidP="00D569EB">
      <w:pPr>
        <w:spacing w:after="0" w:line="240" w:lineRule="auto"/>
      </w:pPr>
      <w:r>
        <w:continuationSeparator/>
      </w:r>
    </w:p>
  </w:endnote>
  <w:endnote w:id="1">
    <w:p w14:paraId="11710490" w14:textId="77777777" w:rsidR="00D569EB" w:rsidRDefault="00D569EB">
      <w:pPr>
        <w:pStyle w:val="Sluttnotetekst"/>
      </w:pPr>
      <w:r>
        <w:rPr>
          <w:rStyle w:val="Sluttnotereferanse"/>
        </w:rPr>
        <w:endnoteRef/>
      </w:r>
      <w:r>
        <w:t xml:space="preserve"> </w:t>
      </w:r>
      <w:hyperlink r:id="rId1" w:history="1">
        <w:r w:rsidRPr="00FC6703">
          <w:rPr>
            <w:rStyle w:val="Hyperkobling"/>
          </w:rPr>
          <w:t>http://www.periskop.no/diskurskampen-splitter-dks-diskusjonen/</w:t>
        </w:r>
      </w:hyperlink>
    </w:p>
  </w:endnote>
  <w:endnote w:id="2">
    <w:p w14:paraId="37C8B8F1" w14:textId="77777777" w:rsidR="00D569EB" w:rsidRDefault="00D569EB">
      <w:pPr>
        <w:pStyle w:val="Sluttnotetekst"/>
      </w:pPr>
      <w:r>
        <w:rPr>
          <w:rStyle w:val="Sluttnotereferanse"/>
        </w:rPr>
        <w:endnoteRef/>
      </w:r>
      <w:r>
        <w:t xml:space="preserve"> </w:t>
      </w:r>
      <w:hyperlink r:id="rId2" w:history="1">
        <w:r w:rsidRPr="00E12E39">
          <w:rPr>
            <w:rStyle w:val="Hyperkobling"/>
          </w:rPr>
          <w:t>http://bin-norden.org/</w:t>
        </w:r>
      </w:hyperlink>
    </w:p>
    <w:p w14:paraId="2A6BCAF8" w14:textId="77777777" w:rsidR="00D569EB" w:rsidRDefault="00D569EB">
      <w:pPr>
        <w:pStyle w:val="Sluttnoteteks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81478A" w14:textId="77777777" w:rsidR="004330F3" w:rsidRDefault="004330F3" w:rsidP="00D569EB">
      <w:pPr>
        <w:spacing w:after="0" w:line="240" w:lineRule="auto"/>
      </w:pPr>
      <w:r>
        <w:separator/>
      </w:r>
    </w:p>
  </w:footnote>
  <w:footnote w:type="continuationSeparator" w:id="0">
    <w:p w14:paraId="16C352BA" w14:textId="77777777" w:rsidR="004330F3" w:rsidRDefault="004330F3" w:rsidP="00D569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D569EB"/>
    <w:rsid w:val="0017046C"/>
    <w:rsid w:val="001C6840"/>
    <w:rsid w:val="002350E0"/>
    <w:rsid w:val="00277DCE"/>
    <w:rsid w:val="002B16FF"/>
    <w:rsid w:val="002C3DFD"/>
    <w:rsid w:val="00306333"/>
    <w:rsid w:val="004330F3"/>
    <w:rsid w:val="004432CA"/>
    <w:rsid w:val="00560EA7"/>
    <w:rsid w:val="007371CB"/>
    <w:rsid w:val="008F2701"/>
    <w:rsid w:val="00AC4D1E"/>
    <w:rsid w:val="00BB19E8"/>
    <w:rsid w:val="00D22DE0"/>
    <w:rsid w:val="00D544BD"/>
    <w:rsid w:val="00D569EB"/>
    <w:rsid w:val="00DC3038"/>
    <w:rsid w:val="00EC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3EC97"/>
  <w15:docId w15:val="{54BE8CEF-2ABC-434B-9E46-51678E709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69EB"/>
    <w:pPr>
      <w:spacing w:after="160" w:line="259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D569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569E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D569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D569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grep">
    <w:name w:val="grep"/>
    <w:basedOn w:val="Normal"/>
    <w:link w:val="grepTegn"/>
    <w:rsid w:val="00D56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Tittel">
    <w:name w:val="Title"/>
    <w:basedOn w:val="Normal"/>
    <w:next w:val="Normal"/>
    <w:link w:val="TittelTegn"/>
    <w:uiPriority w:val="10"/>
    <w:qFormat/>
    <w:rsid w:val="00D569E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D569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EndNoteBibliographyTitle">
    <w:name w:val="EndNote Bibliography Title"/>
    <w:basedOn w:val="Normal"/>
    <w:link w:val="EndNoteBibliographyTitleTegn"/>
    <w:rsid w:val="00D569EB"/>
    <w:pPr>
      <w:spacing w:after="0"/>
      <w:jc w:val="center"/>
    </w:pPr>
    <w:rPr>
      <w:rFonts w:ascii="Calibri" w:eastAsia="Times New Roman" w:hAnsi="Calibri" w:cs="Times New Roman"/>
      <w:noProof/>
      <w:sz w:val="24"/>
      <w:szCs w:val="24"/>
      <w:lang w:val="en-US" w:eastAsia="nb-NO"/>
    </w:rPr>
  </w:style>
  <w:style w:type="character" w:customStyle="1" w:styleId="grepTegn">
    <w:name w:val="grep Tegn"/>
    <w:basedOn w:val="Standardskriftforavsnitt"/>
    <w:link w:val="grep"/>
    <w:rsid w:val="00D569EB"/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EndNoteBibliographyTitleTegn">
    <w:name w:val="EndNote Bibliography Title Tegn"/>
    <w:basedOn w:val="grepTegn"/>
    <w:link w:val="EndNoteBibliographyTitle"/>
    <w:rsid w:val="00D569EB"/>
    <w:rPr>
      <w:rFonts w:ascii="Calibri" w:eastAsia="Times New Roman" w:hAnsi="Calibri" w:cs="Times New Roman"/>
      <w:noProof/>
      <w:sz w:val="24"/>
      <w:szCs w:val="24"/>
      <w:lang w:val="en-US" w:eastAsia="nb-NO"/>
    </w:rPr>
  </w:style>
  <w:style w:type="paragraph" w:customStyle="1" w:styleId="EndNoteBibliography">
    <w:name w:val="EndNote Bibliography"/>
    <w:basedOn w:val="Normal"/>
    <w:link w:val="EndNoteBibliographyTegn"/>
    <w:rsid w:val="00D569EB"/>
    <w:pPr>
      <w:spacing w:line="240" w:lineRule="auto"/>
    </w:pPr>
    <w:rPr>
      <w:rFonts w:ascii="Calibri" w:eastAsia="Times New Roman" w:hAnsi="Calibri" w:cs="Times New Roman"/>
      <w:noProof/>
      <w:sz w:val="24"/>
      <w:szCs w:val="24"/>
      <w:lang w:val="en-US" w:eastAsia="nb-NO"/>
    </w:rPr>
  </w:style>
  <w:style w:type="character" w:customStyle="1" w:styleId="EndNoteBibliographyTegn">
    <w:name w:val="EndNote Bibliography Tegn"/>
    <w:basedOn w:val="grepTegn"/>
    <w:link w:val="EndNoteBibliography"/>
    <w:rsid w:val="00D569EB"/>
    <w:rPr>
      <w:rFonts w:ascii="Calibri" w:eastAsia="Times New Roman" w:hAnsi="Calibri" w:cs="Times New Roman"/>
      <w:noProof/>
      <w:sz w:val="24"/>
      <w:szCs w:val="24"/>
      <w:lang w:val="en-US" w:eastAsia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D569EB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D569EB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D569EB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D569EB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D569EB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569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569EB"/>
    <w:rPr>
      <w:rFonts w:ascii="Segoe UI" w:hAnsi="Segoe UI" w:cs="Segoe UI"/>
      <w:sz w:val="18"/>
      <w:szCs w:val="18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D569EB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D569EB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D569EB"/>
    <w:rPr>
      <w:vertAlign w:val="superscript"/>
    </w:rPr>
  </w:style>
  <w:style w:type="character" w:styleId="Hyperkobling">
    <w:name w:val="Hyperlink"/>
    <w:basedOn w:val="Standardskriftforavsnitt"/>
    <w:uiPriority w:val="99"/>
    <w:unhideWhenUsed/>
    <w:rsid w:val="00D569EB"/>
    <w:rPr>
      <w:color w:val="0000FF" w:themeColor="hyperlink"/>
      <w:u w:val="single"/>
    </w:rPr>
  </w:style>
  <w:style w:type="character" w:styleId="Utheving">
    <w:name w:val="Emphasis"/>
    <w:basedOn w:val="Standardskriftforavsnitt"/>
    <w:uiPriority w:val="20"/>
    <w:qFormat/>
    <w:rsid w:val="00D569EB"/>
    <w:rPr>
      <w:b w:val="0"/>
      <w:bCs w:val="0"/>
      <w:i w:val="0"/>
      <w:iCs w:val="0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D569EB"/>
    <w:pPr>
      <w:spacing w:after="0" w:line="240" w:lineRule="auto"/>
    </w:pPr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D569EB"/>
    <w:rPr>
      <w:sz w:val="20"/>
      <w:szCs w:val="20"/>
    </w:rPr>
  </w:style>
  <w:style w:type="character" w:styleId="Sluttnotereferanse">
    <w:name w:val="endnote reference"/>
    <w:basedOn w:val="Standardskriftforavsnitt"/>
    <w:uiPriority w:val="99"/>
    <w:semiHidden/>
    <w:unhideWhenUsed/>
    <w:rsid w:val="00D569E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bin-norden.org/" TargetMode="External"/><Relationship Id="rId1" Type="http://schemas.openxmlformats.org/officeDocument/2006/relationships/hyperlink" Target="http://www.periskop.no/diskurskampen-splitter-dks-diskusjonen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1910</Words>
  <Characters>10125</Characters>
  <Application>Microsoft Office Word</Application>
  <DocSecurity>4</DocSecurity>
  <Lines>84</Lines>
  <Paragraphs>24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NTNU</Company>
  <LinksUpToDate>false</LinksUpToDate>
  <CharactersWithSpaces>12011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reviewer</dc:creator>
  <cp:lastModifiedBy>reviewer</cp:lastModifiedBy>
  <cp:revision>2</cp:revision>
  <dcterms:created xsi:type="dcterms:W3CDTF">2017-11-16T13:37:00Z</dcterms:created>
  <dcterms:modified xsi:type="dcterms:W3CDTF">2017-11-16T13:37:00Z</dcterms:modified>
</cp:coreProperties>
</file>