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B62BD" w14:textId="77777777" w:rsidR="008F0A3E" w:rsidRDefault="008F0A3E" w:rsidP="002C279D">
      <w:pPr>
        <w:ind w:firstLine="0"/>
        <w:jc w:val="center"/>
        <w:rPr>
          <w:b/>
          <w:sz w:val="28"/>
          <w:szCs w:val="28"/>
        </w:rPr>
      </w:pPr>
    </w:p>
    <w:p w14:paraId="3FF414A2" w14:textId="52F38F40" w:rsidR="00C865BA" w:rsidRPr="00C865BA" w:rsidRDefault="00847BA8" w:rsidP="002C279D">
      <w:pPr>
        <w:ind w:firstLine="0"/>
        <w:jc w:val="center"/>
        <w:rPr>
          <w:b/>
          <w:sz w:val="28"/>
          <w:szCs w:val="28"/>
        </w:rPr>
      </w:pPr>
      <w:r w:rsidRPr="00C865BA">
        <w:rPr>
          <w:b/>
          <w:sz w:val="28"/>
          <w:szCs w:val="28"/>
        </w:rPr>
        <w:t>Has the Extractive Industries Transparency Initiative been a success?</w:t>
      </w:r>
    </w:p>
    <w:p w14:paraId="4EA24A2E" w14:textId="10D5A916" w:rsidR="00847BA8" w:rsidRPr="00C865BA" w:rsidRDefault="00847BA8" w:rsidP="002C279D">
      <w:pPr>
        <w:ind w:firstLine="0"/>
        <w:jc w:val="center"/>
        <w:rPr>
          <w:b/>
          <w:sz w:val="28"/>
          <w:szCs w:val="28"/>
        </w:rPr>
      </w:pPr>
      <w:r w:rsidRPr="00C865BA">
        <w:rPr>
          <w:b/>
          <w:sz w:val="28"/>
          <w:szCs w:val="28"/>
        </w:rPr>
        <w:t>Identifying and Evaluating EITI goals</w:t>
      </w:r>
    </w:p>
    <w:p w14:paraId="39BF11C7" w14:textId="7B4203B2" w:rsidR="002C279D" w:rsidRDefault="002C279D" w:rsidP="002C279D">
      <w:pPr>
        <w:pStyle w:val="Firstparagrpah"/>
      </w:pPr>
    </w:p>
    <w:p w14:paraId="2E94BD46" w14:textId="77777777" w:rsidR="008F0A3E" w:rsidRPr="008F0A3E" w:rsidRDefault="008F0A3E" w:rsidP="008F0A3E"/>
    <w:p w14:paraId="6975E7C0" w14:textId="77777777" w:rsidR="002C279D" w:rsidRPr="002C279D" w:rsidRDefault="002C279D" w:rsidP="002C279D"/>
    <w:p w14:paraId="7287574E" w14:textId="77777777" w:rsidR="002C279D" w:rsidRPr="002C279D" w:rsidRDefault="002C279D" w:rsidP="002C279D"/>
    <w:p w14:paraId="5E5C67AE" w14:textId="30FBEDA5" w:rsidR="002C279D" w:rsidRDefault="002C279D" w:rsidP="00470326">
      <w:pPr>
        <w:pStyle w:val="Firstparagrpah"/>
        <w:jc w:val="left"/>
      </w:pPr>
      <w:r w:rsidRPr="002C279D">
        <w:rPr>
          <w:b/>
        </w:rPr>
        <w:t>Siri Aas Rustad</w:t>
      </w:r>
      <w:r>
        <w:t xml:space="preserve">, Peace Research Institute Oslo, Email: </w:t>
      </w:r>
      <w:hyperlink r:id="rId8" w:history="1">
        <w:r w:rsidRPr="007D4ED3">
          <w:rPr>
            <w:rStyle w:val="Hyperlink"/>
          </w:rPr>
          <w:t>sirir@prio.no</w:t>
        </w:r>
      </w:hyperlink>
      <w:r>
        <w:t xml:space="preserve"> </w:t>
      </w:r>
    </w:p>
    <w:p w14:paraId="1A0276EC" w14:textId="77777777" w:rsidR="002C279D" w:rsidRDefault="002C279D" w:rsidP="00470326">
      <w:pPr>
        <w:pStyle w:val="Firstparagrpah"/>
        <w:jc w:val="left"/>
      </w:pPr>
    </w:p>
    <w:p w14:paraId="6B99071C" w14:textId="1EA3A96A" w:rsidR="002C279D" w:rsidRDefault="002C279D" w:rsidP="00470326">
      <w:pPr>
        <w:pStyle w:val="Firstparagrpah"/>
        <w:jc w:val="left"/>
      </w:pPr>
      <w:r w:rsidRPr="002C279D">
        <w:rPr>
          <w:b/>
        </w:rPr>
        <w:t>Philippe Le Billon</w:t>
      </w:r>
      <w:r>
        <w:t xml:space="preserve">, Liu Institute for Global Issues, University of British Columbia, Email: </w:t>
      </w:r>
      <w:hyperlink r:id="rId9" w:history="1">
        <w:r w:rsidRPr="007D4ED3">
          <w:rPr>
            <w:rStyle w:val="Hyperlink"/>
          </w:rPr>
          <w:t>philippe.lebillon@ubc.ca</w:t>
        </w:r>
      </w:hyperlink>
      <w:r>
        <w:t xml:space="preserve"> </w:t>
      </w:r>
    </w:p>
    <w:p w14:paraId="68B2B308" w14:textId="77777777" w:rsidR="002C279D" w:rsidRDefault="002C279D" w:rsidP="00470326">
      <w:pPr>
        <w:pStyle w:val="Firstparagrpah"/>
        <w:jc w:val="left"/>
      </w:pPr>
    </w:p>
    <w:p w14:paraId="3F1A62E4" w14:textId="77777777" w:rsidR="00C4469F" w:rsidRDefault="002C279D" w:rsidP="00470326">
      <w:pPr>
        <w:pStyle w:val="Firstparagrpah"/>
        <w:jc w:val="left"/>
      </w:pPr>
      <w:r w:rsidRPr="002C279D">
        <w:rPr>
          <w:b/>
        </w:rPr>
        <w:t>Päivi Lujala</w:t>
      </w:r>
      <w:r>
        <w:t xml:space="preserve">, Department of Geography, Norwegian University of Science and Technology (NTNU), Trondheim. Email: </w:t>
      </w:r>
      <w:hyperlink r:id="rId10" w:history="1">
        <w:r w:rsidRPr="007D4ED3">
          <w:rPr>
            <w:rStyle w:val="Hyperlink"/>
          </w:rPr>
          <w:t>paivi.lujala@svt.ntnu.no</w:t>
        </w:r>
      </w:hyperlink>
      <w:r>
        <w:t xml:space="preserve"> </w:t>
      </w:r>
    </w:p>
    <w:p w14:paraId="2AE55672" w14:textId="7E7F4B87" w:rsidR="00847BA8" w:rsidRPr="00C4469F" w:rsidRDefault="00C4469F" w:rsidP="00470326">
      <w:pPr>
        <w:pStyle w:val="Firstparagrpah"/>
        <w:jc w:val="left"/>
        <w:rPr>
          <w:b/>
          <w:i/>
        </w:rPr>
      </w:pPr>
      <w:r w:rsidRPr="00C4469F">
        <w:rPr>
          <w:b/>
          <w:i/>
        </w:rPr>
        <w:t>Corresponding author</w:t>
      </w:r>
    </w:p>
    <w:p w14:paraId="30BBC813" w14:textId="20B3538B" w:rsidR="002C279D" w:rsidRDefault="002C279D" w:rsidP="002C279D"/>
    <w:p w14:paraId="573D34A1" w14:textId="77777777" w:rsidR="002C279D" w:rsidRDefault="002C279D" w:rsidP="002C279D"/>
    <w:p w14:paraId="6FB0FE44" w14:textId="77777777" w:rsidR="008F0A3E" w:rsidRPr="002C279D" w:rsidRDefault="008F0A3E" w:rsidP="002C279D">
      <w:pPr>
        <w:jc w:val="center"/>
      </w:pPr>
    </w:p>
    <w:p w14:paraId="0A673D2F" w14:textId="77777777" w:rsidR="00847BA8" w:rsidRDefault="00847BA8" w:rsidP="002C279D">
      <w:pPr>
        <w:ind w:firstLine="0"/>
        <w:jc w:val="center"/>
      </w:pPr>
    </w:p>
    <w:p w14:paraId="35A2E4A1" w14:textId="77777777" w:rsidR="00847BA8" w:rsidRPr="002C279D" w:rsidRDefault="00847BA8" w:rsidP="002C279D">
      <w:pPr>
        <w:pStyle w:val="Firstparagrpah"/>
        <w:rPr>
          <w:b/>
          <w:sz w:val="22"/>
        </w:rPr>
      </w:pPr>
      <w:r w:rsidRPr="002C279D">
        <w:rPr>
          <w:b/>
          <w:sz w:val="22"/>
        </w:rPr>
        <w:t>Abstract</w:t>
      </w:r>
    </w:p>
    <w:p w14:paraId="4529C2F0" w14:textId="150E0320" w:rsidR="00847BA8" w:rsidRPr="002C279D" w:rsidRDefault="00847BA8" w:rsidP="002C279D">
      <w:pPr>
        <w:ind w:firstLine="0"/>
        <w:rPr>
          <w:sz w:val="22"/>
        </w:rPr>
      </w:pPr>
      <w:r w:rsidRPr="002C279D">
        <w:rPr>
          <w:sz w:val="22"/>
        </w:rPr>
        <w:t xml:space="preserve">Launched in 2003, the Extractive Industries Transparency Initiative (EITI) has become a global standard for transparency in extractive sectors. Yet, there remains much debate over the success of the EITI. In this </w:t>
      </w:r>
      <w:r w:rsidR="00B302F9" w:rsidRPr="002C279D">
        <w:rPr>
          <w:sz w:val="22"/>
        </w:rPr>
        <w:t>article</w:t>
      </w:r>
      <w:r w:rsidRPr="002C279D">
        <w:rPr>
          <w:sz w:val="22"/>
        </w:rPr>
        <w:t xml:space="preserve">, we establish a conceptual categorization of goals for organizations like </w:t>
      </w:r>
      <w:r w:rsidR="001A6B5A" w:rsidRPr="002C279D">
        <w:rPr>
          <w:sz w:val="22"/>
        </w:rPr>
        <w:t xml:space="preserve">the </w:t>
      </w:r>
      <w:r w:rsidRPr="002C279D">
        <w:rPr>
          <w:sz w:val="22"/>
        </w:rPr>
        <w:t>EITI, systematically identify the various goals associated with the EITI, and then examine empirical evidence to evaluate its specific achievements. We find that the EITI has been most successful in reaching its institutional goals, notably by becoming a recognized brand and consolidating transparency as a global norm. The EITI has been fairly successful in reaching some of the operational goals, such as setting up standards for auditing, reporting, and civil society involvement</w:t>
      </w:r>
      <w:r w:rsidR="00930879" w:rsidRPr="002C279D">
        <w:rPr>
          <w:sz w:val="22"/>
        </w:rPr>
        <w:t xml:space="preserve"> in multi-stakeholder groups</w:t>
      </w:r>
      <w:r w:rsidRPr="002C279D">
        <w:rPr>
          <w:sz w:val="22"/>
        </w:rPr>
        <w:t xml:space="preserve">. Whether the EITI has had an impact on developmental goals remains an open </w:t>
      </w:r>
      <w:r w:rsidR="0074461B" w:rsidRPr="002C279D">
        <w:rPr>
          <w:sz w:val="22"/>
        </w:rPr>
        <w:t>question</w:t>
      </w:r>
      <w:r w:rsidR="0074461B">
        <w:rPr>
          <w:sz w:val="22"/>
        </w:rPr>
        <w:t xml:space="preserve"> </w:t>
      </w:r>
      <w:r w:rsidR="0074461B" w:rsidRPr="002C279D">
        <w:rPr>
          <w:sz w:val="22"/>
        </w:rPr>
        <w:t>as</w:t>
      </w:r>
      <w:r w:rsidRPr="002C279D">
        <w:rPr>
          <w:sz w:val="22"/>
        </w:rPr>
        <w:t xml:space="preserve"> it is challenging to identify the correct measurements for impact</w:t>
      </w:r>
      <w:r w:rsidR="001A6B5A" w:rsidRPr="002C279D">
        <w:rPr>
          <w:sz w:val="22"/>
        </w:rPr>
        <w:t xml:space="preserve"> and</w:t>
      </w:r>
      <w:r w:rsidRPr="002C279D">
        <w:rPr>
          <w:sz w:val="22"/>
        </w:rPr>
        <w:t xml:space="preserve"> many evaluations assess goals that are over-inflated compared to what the initiative formally seeks to achieve. </w:t>
      </w:r>
      <w:r w:rsidR="00BA5D32" w:rsidRPr="002C279D">
        <w:rPr>
          <w:sz w:val="22"/>
        </w:rPr>
        <w:t>We conclude that any evaluation of the EITI needs to be clear about which type of objective it is measuring</w:t>
      </w:r>
      <w:r w:rsidR="00E16E69" w:rsidRPr="002C279D">
        <w:rPr>
          <w:sz w:val="22"/>
        </w:rPr>
        <w:t>,</w:t>
      </w:r>
      <w:r w:rsidR="00BA5D32" w:rsidRPr="002C279D">
        <w:rPr>
          <w:sz w:val="22"/>
        </w:rPr>
        <w:t xml:space="preserve"> and</w:t>
      </w:r>
      <w:r w:rsidR="00316A7A" w:rsidRPr="002C279D">
        <w:rPr>
          <w:sz w:val="22"/>
        </w:rPr>
        <w:t xml:space="preserve"> that an evaluation should not deem the EITI </w:t>
      </w:r>
      <w:r w:rsidR="00316A7A" w:rsidRPr="002C279D">
        <w:rPr>
          <w:i/>
          <w:sz w:val="22"/>
        </w:rPr>
        <w:t>in general</w:t>
      </w:r>
      <w:r w:rsidR="00316A7A" w:rsidRPr="002C279D">
        <w:rPr>
          <w:sz w:val="22"/>
        </w:rPr>
        <w:t xml:space="preserve"> as a success or failure based on evaluating only one or two aspects of the </w:t>
      </w:r>
      <w:r w:rsidR="00BA5D32" w:rsidRPr="002C279D">
        <w:rPr>
          <w:sz w:val="22"/>
        </w:rPr>
        <w:t xml:space="preserve">initiative.  </w:t>
      </w:r>
    </w:p>
    <w:p w14:paraId="7F1BE244" w14:textId="77777777" w:rsidR="00C865BA" w:rsidRDefault="00C865BA" w:rsidP="002C279D">
      <w:pPr>
        <w:ind w:firstLine="0"/>
      </w:pPr>
    </w:p>
    <w:p w14:paraId="6E2851D8" w14:textId="5B0A8287" w:rsidR="00847BA8" w:rsidRPr="00C865BA" w:rsidRDefault="002C279D" w:rsidP="002C279D">
      <w:pPr>
        <w:pStyle w:val="Firstparagrpah"/>
        <w:rPr>
          <w:b/>
        </w:rPr>
      </w:pPr>
      <w:r>
        <w:rPr>
          <w:b/>
        </w:rPr>
        <w:t>Keywords</w:t>
      </w:r>
    </w:p>
    <w:p w14:paraId="1BD8B173" w14:textId="6803C74B" w:rsidR="00847BA8" w:rsidRPr="002C279D" w:rsidRDefault="009B3DAC" w:rsidP="002C279D">
      <w:pPr>
        <w:pStyle w:val="Firstparagrpah"/>
        <w:rPr>
          <w:rFonts w:cs="Times New Roman"/>
          <w:b/>
          <w:sz w:val="22"/>
        </w:rPr>
      </w:pPr>
      <w:r w:rsidRPr="002C279D">
        <w:rPr>
          <w:sz w:val="22"/>
        </w:rPr>
        <w:t>Governance</w:t>
      </w:r>
      <w:r w:rsidR="00F22EEC" w:rsidRPr="002C279D">
        <w:rPr>
          <w:sz w:val="22"/>
        </w:rPr>
        <w:t>; transparency;</w:t>
      </w:r>
      <w:r w:rsidR="00847BA8" w:rsidRPr="002C279D">
        <w:rPr>
          <w:sz w:val="22"/>
        </w:rPr>
        <w:t xml:space="preserve"> </w:t>
      </w:r>
      <w:r w:rsidR="00F22EEC" w:rsidRPr="002C279D">
        <w:rPr>
          <w:sz w:val="22"/>
        </w:rPr>
        <w:t>natural resources;</w:t>
      </w:r>
      <w:r w:rsidR="00847BA8" w:rsidRPr="002C279D">
        <w:rPr>
          <w:sz w:val="22"/>
        </w:rPr>
        <w:t xml:space="preserve"> </w:t>
      </w:r>
      <w:r w:rsidR="00F22EEC" w:rsidRPr="002C279D">
        <w:rPr>
          <w:sz w:val="22"/>
        </w:rPr>
        <w:t>evaluation;</w:t>
      </w:r>
      <w:r w:rsidR="00847BA8" w:rsidRPr="002C279D">
        <w:rPr>
          <w:sz w:val="22"/>
        </w:rPr>
        <w:t xml:space="preserve"> extractive industries</w:t>
      </w:r>
      <w:r w:rsidR="00F22EEC" w:rsidRPr="002C279D">
        <w:rPr>
          <w:sz w:val="22"/>
        </w:rPr>
        <w:t>;</w:t>
      </w:r>
      <w:r w:rsidR="00847BA8" w:rsidRPr="002C279D">
        <w:rPr>
          <w:sz w:val="22"/>
        </w:rPr>
        <w:t xml:space="preserve"> </w:t>
      </w:r>
      <w:r w:rsidRPr="002C279D">
        <w:rPr>
          <w:sz w:val="22"/>
        </w:rPr>
        <w:t>theory of change</w:t>
      </w:r>
      <w:r w:rsidR="00847BA8" w:rsidRPr="002C279D">
        <w:rPr>
          <w:rFonts w:cs="Times New Roman"/>
          <w:b/>
          <w:sz w:val="22"/>
        </w:rPr>
        <w:br w:type="page"/>
      </w:r>
    </w:p>
    <w:p w14:paraId="631C447E" w14:textId="77777777" w:rsidR="00847BA8" w:rsidRPr="001233E7" w:rsidRDefault="00847BA8" w:rsidP="002C279D">
      <w:pPr>
        <w:pStyle w:val="Heading1"/>
      </w:pPr>
      <w:r w:rsidRPr="00C865BA">
        <w:lastRenderedPageBreak/>
        <w:t>Introduction</w:t>
      </w:r>
    </w:p>
    <w:p w14:paraId="4E7C8D0F" w14:textId="2966D282" w:rsidR="00847BA8" w:rsidRPr="000521B6" w:rsidRDefault="00847BA8" w:rsidP="002C279D">
      <w:pPr>
        <w:pStyle w:val="Firstparagrpah"/>
        <w:rPr>
          <w:color w:val="000000" w:themeColor="text1"/>
        </w:rPr>
      </w:pPr>
      <w:r w:rsidRPr="001233E7">
        <w:t xml:space="preserve">Conceived in the late 1990s and launched in June 2003, the Extractive Industries Transparency Initiative (EITI) has been a hallmark of </w:t>
      </w:r>
      <w:r w:rsidRPr="002C279D">
        <w:t>international</w:t>
      </w:r>
      <w:r w:rsidRPr="001233E7">
        <w:t xml:space="preserve"> resource governance efforts. </w:t>
      </w:r>
      <w:r>
        <w:t xml:space="preserve">Initially </w:t>
      </w:r>
      <w:r w:rsidR="00A44E8F">
        <w:t xml:space="preserve">designed </w:t>
      </w:r>
      <w:r>
        <w:t xml:space="preserve">as a voluntary process of extractive sector revenue disclosure for payments between companies and governments, the EITI has evolved into a broad instrument seeking to improve transparency and accountability along the whole natural resource management value chain, including corporate </w:t>
      </w:r>
      <w:r w:rsidRPr="000521B6">
        <w:rPr>
          <w:color w:val="000000" w:themeColor="text1"/>
        </w:rPr>
        <w:t xml:space="preserve">beneficiary ownership (EITI 2016). </w:t>
      </w:r>
    </w:p>
    <w:p w14:paraId="1B3C58E2" w14:textId="77777777" w:rsidR="00847BA8" w:rsidRDefault="00847BA8" w:rsidP="002C279D">
      <w:r w:rsidRPr="001233E7">
        <w:t xml:space="preserve">The EITI is generally considered </w:t>
      </w:r>
      <w:r>
        <w:t xml:space="preserve">as </w:t>
      </w:r>
      <w:r w:rsidRPr="001233E7">
        <w:t>a success story</w:t>
      </w:r>
      <w:r>
        <w:t>,</w:t>
      </w:r>
      <w:r w:rsidRPr="001233E7">
        <w:t xml:space="preserve"> given the large number of resource dependent governments that have committed to it and the vast support it has received from donors, non-governmental organizations</w:t>
      </w:r>
      <w:r>
        <w:t>,</w:t>
      </w:r>
      <w:r w:rsidRPr="001233E7">
        <w:t xml:space="preserve"> and extractive </w:t>
      </w:r>
      <w:r>
        <w:t xml:space="preserve">industry </w:t>
      </w:r>
      <w:r w:rsidRPr="001233E7">
        <w:t xml:space="preserve">companies. Yet, after more than a decade of implementation, </w:t>
      </w:r>
      <w:r>
        <w:t xml:space="preserve">many researchers, practitioners, donors, and decision-makers alike </w:t>
      </w:r>
      <w:r w:rsidRPr="001233E7">
        <w:t xml:space="preserve">are asking </w:t>
      </w:r>
      <w:r>
        <w:t xml:space="preserve">to what extent </w:t>
      </w:r>
      <w:r w:rsidRPr="001233E7">
        <w:t xml:space="preserve">the EITI is working. </w:t>
      </w:r>
    </w:p>
    <w:p w14:paraId="752AA72C" w14:textId="02C4ED9D" w:rsidR="00847BA8" w:rsidRDefault="00847BA8" w:rsidP="002C279D">
      <w:r>
        <w:t>Although the question of EITI’s success seems simple, it is difficult to answer</w:t>
      </w:r>
      <w:r w:rsidRPr="001233E7">
        <w:t>. A comprehensive evaluation of EITI</w:t>
      </w:r>
      <w:r>
        <w:t>’s performance</w:t>
      </w:r>
      <w:r w:rsidRPr="001233E7">
        <w:t xml:space="preserve"> requires</w:t>
      </w:r>
      <w:r w:rsidR="0016159A">
        <w:t xml:space="preserve"> identifying its goals, interventions</w:t>
      </w:r>
      <w:r w:rsidR="000F7CD5">
        <w:t>,</w:t>
      </w:r>
      <w:r w:rsidR="0016159A">
        <w:t xml:space="preserve"> and </w:t>
      </w:r>
      <w:r>
        <w:t xml:space="preserve">the </w:t>
      </w:r>
      <w:r w:rsidRPr="001233E7">
        <w:t xml:space="preserve">causal </w:t>
      </w:r>
      <w:r>
        <w:t xml:space="preserve">mechanisms linking </w:t>
      </w:r>
      <w:r w:rsidR="0016159A">
        <w:t xml:space="preserve">EITI </w:t>
      </w:r>
      <w:r w:rsidRPr="001233E7">
        <w:t>intervention</w:t>
      </w:r>
      <w:r>
        <w:t>s</w:t>
      </w:r>
      <w:r w:rsidRPr="001233E7">
        <w:t xml:space="preserve"> </w:t>
      </w:r>
      <w:r w:rsidR="0016159A">
        <w:t>to outcomes</w:t>
      </w:r>
      <w:r>
        <w:t>. Furthermore, assessing</w:t>
      </w:r>
      <w:r w:rsidRPr="001233E7">
        <w:t xml:space="preserve"> </w:t>
      </w:r>
      <w:r>
        <w:t xml:space="preserve">many of the EITI’s purported impacts require clear and measurable indicators that can be evaluated over time and specifically attributed to the EITI, and not to other factors, </w:t>
      </w:r>
      <w:r w:rsidRPr="001233E7">
        <w:t xml:space="preserve">a notoriously difficult endeavor for </w:t>
      </w:r>
      <w:r>
        <w:t>any social science impact evaluation</w:t>
      </w:r>
      <w:r w:rsidRPr="001233E7">
        <w:t xml:space="preserve">. </w:t>
      </w:r>
    </w:p>
    <w:p w14:paraId="29831520" w14:textId="18156DDB" w:rsidR="00B302F9" w:rsidRPr="00B302F9" w:rsidRDefault="00847BA8" w:rsidP="002C279D">
      <w:pPr>
        <w:rPr>
          <w:highlight w:val="yellow"/>
        </w:rPr>
      </w:pPr>
      <w:r>
        <w:t xml:space="preserve">To start to answer where the EITI potentially has made an impact so </w:t>
      </w:r>
      <w:r w:rsidRPr="00B302F9">
        <w:t>far, we</w:t>
      </w:r>
      <w:r w:rsidR="0016159A" w:rsidRPr="00B302F9">
        <w:t xml:space="preserve"> first identified </w:t>
      </w:r>
      <w:r w:rsidR="0059130C" w:rsidRPr="00ED4973">
        <w:t>EITI goals by analyzing</w:t>
      </w:r>
      <w:r w:rsidR="0016159A" w:rsidRPr="00B302F9">
        <w:t xml:space="preserve"> EITI documents such as </w:t>
      </w:r>
      <w:r w:rsidR="00B302F9">
        <w:t xml:space="preserve">the </w:t>
      </w:r>
      <w:r w:rsidR="0016159A" w:rsidRPr="00B93C68">
        <w:t xml:space="preserve">EITI Principles and </w:t>
      </w:r>
      <w:r w:rsidR="00B302F9">
        <w:t xml:space="preserve">the </w:t>
      </w:r>
      <w:r w:rsidR="0016159A" w:rsidRPr="00B93C68">
        <w:t xml:space="preserve">EITI Requirements, as well as assessments attributing goals to the EITI that may not be directly stated by official EITI documents. </w:t>
      </w:r>
      <w:r w:rsidR="00B302F9">
        <w:t>Based on this review of this material, we identified three broad categories of goals for an organization like the EITI, encompassing a total of 11 specific goals for the EITI.</w:t>
      </w:r>
      <w:r w:rsidR="006F4218">
        <w:rPr>
          <w:rStyle w:val="FootnoteReference"/>
        </w:rPr>
        <w:footnoteReference w:id="1"/>
      </w:r>
      <w:r w:rsidR="00B302F9">
        <w:t xml:space="preserve"> </w:t>
      </w:r>
      <w:r w:rsidR="00B302F9" w:rsidRPr="00ED0546">
        <w:rPr>
          <w:i/>
        </w:rPr>
        <w:t>Institutional goals</w:t>
      </w:r>
      <w:r w:rsidR="00B302F9">
        <w:t xml:space="preserve"> are about </w:t>
      </w:r>
      <w:r w:rsidR="00B302F9" w:rsidRPr="001F0DF3">
        <w:t xml:space="preserve">establishing </w:t>
      </w:r>
      <w:r w:rsidR="00B302F9">
        <w:t>the organization</w:t>
      </w:r>
      <w:r w:rsidR="00B302F9" w:rsidRPr="001F0DF3">
        <w:t xml:space="preserve"> and consolidating its position and its view of thinking or functioning</w:t>
      </w:r>
      <w:r w:rsidR="00B302F9">
        <w:t xml:space="preserve">. In the case of </w:t>
      </w:r>
      <w:r w:rsidR="00E16E69">
        <w:t xml:space="preserve">the </w:t>
      </w:r>
      <w:r w:rsidR="00B302F9">
        <w:t>EITI, these include</w:t>
      </w:r>
      <w:r w:rsidR="00B302F9" w:rsidRPr="001233E7">
        <w:t xml:space="preserve"> branding, recognition</w:t>
      </w:r>
      <w:r w:rsidR="00B302F9">
        <w:t>,</w:t>
      </w:r>
      <w:r w:rsidR="00B302F9" w:rsidRPr="001233E7">
        <w:t xml:space="preserve"> and diffusion of transparency</w:t>
      </w:r>
      <w:r w:rsidR="00B302F9">
        <w:t>.</w:t>
      </w:r>
      <w:r w:rsidR="00B302F9" w:rsidRPr="001233E7">
        <w:t xml:space="preserve"> </w:t>
      </w:r>
      <w:r w:rsidR="00B302F9" w:rsidRPr="00ED0546">
        <w:rPr>
          <w:i/>
        </w:rPr>
        <w:t>Operational goals</w:t>
      </w:r>
      <w:r w:rsidR="00B302F9">
        <w:t xml:space="preserve"> refer to a set of goals about what the organization is to produce. For the EITI, these comprise immediate EITI outputs and outcomes such as e</w:t>
      </w:r>
      <w:r w:rsidR="00B302F9" w:rsidRPr="00DE35C5">
        <w:t>stablish</w:t>
      </w:r>
      <w:r w:rsidR="00B302F9">
        <w:t>ing</w:t>
      </w:r>
      <w:r w:rsidR="00B302F9" w:rsidRPr="00DE35C5">
        <w:t xml:space="preserve"> </w:t>
      </w:r>
      <w:r w:rsidR="00B302F9">
        <w:t xml:space="preserve">the </w:t>
      </w:r>
      <w:r w:rsidR="00B302F9" w:rsidRPr="00DE35C5">
        <w:t xml:space="preserve">EITI </w:t>
      </w:r>
      <w:r w:rsidR="00B302F9">
        <w:t>S</w:t>
      </w:r>
      <w:r w:rsidR="00B302F9" w:rsidRPr="00DE35C5">
        <w:t>tandard</w:t>
      </w:r>
      <w:r w:rsidR="00B302F9">
        <w:t xml:space="preserve">, publishing the annual national EITI reports, and ensuring civil society participation. </w:t>
      </w:r>
      <w:r w:rsidR="00B302F9" w:rsidRPr="00ED0546">
        <w:rPr>
          <w:i/>
        </w:rPr>
        <w:t>Developmental goals</w:t>
      </w:r>
      <w:r w:rsidR="00B302F9">
        <w:t xml:space="preserve"> contain the broader and more long-term outcomes of meeting the needs of the society. For the EITI, these include the goals of </w:t>
      </w:r>
      <w:r w:rsidR="00B302F9" w:rsidRPr="001233E7">
        <w:t>reducing corruption</w:t>
      </w:r>
      <w:r w:rsidR="00B302F9">
        <w:t xml:space="preserve">, </w:t>
      </w:r>
      <w:r w:rsidR="00B302F9" w:rsidRPr="001233E7">
        <w:t>improving governance</w:t>
      </w:r>
      <w:r w:rsidR="00B302F9">
        <w:t>, and promoting inclusive forms of social and economic development</w:t>
      </w:r>
      <w:r w:rsidR="00B302F9" w:rsidRPr="001233E7">
        <w:t>.</w:t>
      </w:r>
    </w:p>
    <w:p w14:paraId="005C315C" w14:textId="243044BA" w:rsidR="00847BA8" w:rsidRDefault="00B302F9" w:rsidP="002C279D">
      <w:r>
        <w:t>After having identified the EITI goals, w</w:t>
      </w:r>
      <w:r w:rsidR="0016159A" w:rsidRPr="00B93C68">
        <w:t>e</w:t>
      </w:r>
      <w:r w:rsidR="0016159A">
        <w:t xml:space="preserve"> then systematically</w:t>
      </w:r>
      <w:r w:rsidR="00847BA8">
        <w:t xml:space="preserve"> review</w:t>
      </w:r>
      <w:r w:rsidR="0016159A">
        <w:t>ed</w:t>
      </w:r>
      <w:r w:rsidR="00847BA8">
        <w:t xml:space="preserve"> </w:t>
      </w:r>
      <w:r w:rsidR="00847BA8" w:rsidRPr="001233E7">
        <w:t>academic articles, reports</w:t>
      </w:r>
      <w:r w:rsidR="001A6B5A">
        <w:t>,</w:t>
      </w:r>
      <w:r w:rsidR="00847BA8" w:rsidRPr="001233E7">
        <w:t xml:space="preserve"> and evaluations</w:t>
      </w:r>
      <w:r w:rsidR="0016159A">
        <w:t xml:space="preserve"> </w:t>
      </w:r>
      <w:r>
        <w:t>–</w:t>
      </w:r>
      <w:r w:rsidR="0016159A">
        <w:t xml:space="preserve"> including peer-reviewed studies, </w:t>
      </w:r>
      <w:r w:rsidR="00847BA8" w:rsidRPr="001233E7">
        <w:t>independent</w:t>
      </w:r>
      <w:r w:rsidR="0016159A">
        <w:t xml:space="preserve"> but non-peer-reviewed </w:t>
      </w:r>
      <w:r w:rsidR="006B5980">
        <w:t>assessments</w:t>
      </w:r>
      <w:r w:rsidR="0016159A">
        <w:t>,</w:t>
      </w:r>
      <w:r w:rsidR="00847BA8" w:rsidRPr="001233E7">
        <w:t xml:space="preserve"> and</w:t>
      </w:r>
      <w:r w:rsidR="0016159A">
        <w:t xml:space="preserve"> those</w:t>
      </w:r>
      <w:r w:rsidR="00847BA8" w:rsidRPr="001233E7">
        <w:t xml:space="preserve"> commissioned by the EITI</w:t>
      </w:r>
      <w:r>
        <w:t xml:space="preserve"> – </w:t>
      </w:r>
      <w:r w:rsidR="00847BA8">
        <w:t xml:space="preserve">seeking </w:t>
      </w:r>
      <w:r w:rsidR="00847BA8" w:rsidRPr="001233E7">
        <w:t>to answer th</w:t>
      </w:r>
      <w:r w:rsidR="00847BA8">
        <w:t>e</w:t>
      </w:r>
      <w:r w:rsidR="00847BA8" w:rsidRPr="001233E7">
        <w:t xml:space="preserve"> question</w:t>
      </w:r>
      <w:r w:rsidR="00847BA8">
        <w:t xml:space="preserve"> whether </w:t>
      </w:r>
      <w:r>
        <w:t xml:space="preserve">the </w:t>
      </w:r>
      <w:r w:rsidR="00847BA8">
        <w:t>EITI is making a difference or not. The</w:t>
      </w:r>
      <w:r>
        <w:t xml:space="preserve"> review is </w:t>
      </w:r>
      <w:r w:rsidR="00847BA8">
        <w:t>complemented by additional data analysis</w:t>
      </w:r>
      <w:r w:rsidR="000F7CD5">
        <w:t xml:space="preserve"> and </w:t>
      </w:r>
      <w:r w:rsidR="00847BA8">
        <w:lastRenderedPageBreak/>
        <w:t>stakeholder interviews and observations at EITI events including Global Conferences</w:t>
      </w:r>
      <w:r w:rsidR="0016159A">
        <w:t xml:space="preserve"> </w:t>
      </w:r>
      <w:r w:rsidR="0016159A" w:rsidRPr="00B93C68">
        <w:t>directly conducted by the authors</w:t>
      </w:r>
      <w:r w:rsidR="00847BA8" w:rsidRPr="00B93C68">
        <w:t>.</w:t>
      </w:r>
    </w:p>
    <w:p w14:paraId="473C2B75" w14:textId="70B3C219" w:rsidR="00847BA8" w:rsidRPr="000521B6" w:rsidRDefault="000B6A06" w:rsidP="002C279D">
      <w:r>
        <w:t>From</w:t>
      </w:r>
      <w:r w:rsidR="00847BA8">
        <w:t xml:space="preserve"> </w:t>
      </w:r>
      <w:r>
        <w:t>our</w:t>
      </w:r>
      <w:r w:rsidR="00847BA8">
        <w:t xml:space="preserve"> analysis of th</w:t>
      </w:r>
      <w:r>
        <w:t>is</w:t>
      </w:r>
      <w:r w:rsidR="00847BA8">
        <w:t xml:space="preserve"> material, we conclude that assessments of the EITI need to be clear about the types of goals being evaluated, and whether it is realistic to expect the EITI to have an impact on such a goal on its own</w:t>
      </w:r>
      <w:r w:rsidR="00E16E69">
        <w:t>,</w:t>
      </w:r>
      <w:r w:rsidR="00847BA8">
        <w:t xml:space="preserve"> especially within the time span the EITI has been active globally and in the specific implementing country. Our study indicates that </w:t>
      </w:r>
      <w:r w:rsidR="00E16E69">
        <w:t xml:space="preserve">the </w:t>
      </w:r>
      <w:r w:rsidR="00847BA8" w:rsidRPr="00AD45D7">
        <w:t>EITI has been most successful in reaching its institutional goals</w:t>
      </w:r>
      <w:r w:rsidR="00847BA8">
        <w:t xml:space="preserve"> and</w:t>
      </w:r>
      <w:r w:rsidR="00847BA8" w:rsidRPr="00AD45D7">
        <w:t xml:space="preserve"> fairly successful in reaching some of </w:t>
      </w:r>
      <w:r w:rsidR="00847BA8">
        <w:t>its</w:t>
      </w:r>
      <w:r w:rsidR="00847BA8" w:rsidRPr="00AD45D7">
        <w:t xml:space="preserve"> operational goals</w:t>
      </w:r>
      <w:r w:rsidR="00847BA8">
        <w:t xml:space="preserve">. </w:t>
      </w:r>
      <w:r w:rsidR="00847BA8" w:rsidRPr="00AD45D7">
        <w:t>Whether the EITI has had an impact on developmental goals is an open qu</w:t>
      </w:r>
      <w:r w:rsidR="00847BA8">
        <w:t xml:space="preserve">estion and difficult to measure, especially because the underlying mechanisms linking the EITI outputs to the long-term </w:t>
      </w:r>
      <w:r w:rsidR="00847BA8" w:rsidRPr="000521B6">
        <w:t xml:space="preserve">outcomes </w:t>
      </w:r>
      <w:r w:rsidR="00847BA8">
        <w:t>have not been clearly defined</w:t>
      </w:r>
      <w:r w:rsidR="00847BA8" w:rsidRPr="000521B6">
        <w:t xml:space="preserve">. So far, the EITI </w:t>
      </w:r>
      <w:r w:rsidR="00847BA8">
        <w:t xml:space="preserve">International </w:t>
      </w:r>
      <w:r w:rsidR="00847BA8" w:rsidRPr="000521B6">
        <w:t xml:space="preserve">Secretariat has been reluctant to specify a theory of change that would establish the causal change from the transparency </w:t>
      </w:r>
      <w:r w:rsidR="00654142">
        <w:t xml:space="preserve">the </w:t>
      </w:r>
      <w:r w:rsidR="00847BA8" w:rsidRPr="000521B6">
        <w:t>EITI promotes to broader goals, arguing that it is more important for the stakeholders to agree on smaller</w:t>
      </w:r>
      <w:r w:rsidR="00847BA8">
        <w:t>,</w:t>
      </w:r>
      <w:r w:rsidR="00847BA8" w:rsidRPr="000521B6">
        <w:t xml:space="preserve"> actionable issues, than to aim for large overarching long term goals that might seem unachievable (Rich and Moberg 2015).</w:t>
      </w:r>
    </w:p>
    <w:p w14:paraId="6A5BF38E" w14:textId="43916AD6" w:rsidR="00847BA8" w:rsidRPr="000521B6" w:rsidRDefault="00847BA8" w:rsidP="002C279D">
      <w:r w:rsidRPr="000521B6">
        <w:t xml:space="preserve">This </w:t>
      </w:r>
      <w:r w:rsidR="00B302F9">
        <w:t>article</w:t>
      </w:r>
      <w:r w:rsidRPr="000521B6">
        <w:t xml:space="preserve"> proceeds as follows</w:t>
      </w:r>
      <w:r>
        <w:t>.</w:t>
      </w:r>
      <w:r w:rsidRPr="000521B6">
        <w:t xml:space="preserve"> </w:t>
      </w:r>
      <w:r>
        <w:t>W</w:t>
      </w:r>
      <w:r w:rsidRPr="000521B6">
        <w:t xml:space="preserve">e first </w:t>
      </w:r>
      <w:r>
        <w:t xml:space="preserve">briefly </w:t>
      </w:r>
      <w:r w:rsidRPr="000521B6">
        <w:t xml:space="preserve">present </w:t>
      </w:r>
      <w:r>
        <w:t>existing</w:t>
      </w:r>
      <w:r w:rsidRPr="000521B6">
        <w:t xml:space="preserve"> framework</w:t>
      </w:r>
      <w:r>
        <w:t>s</w:t>
      </w:r>
      <w:r w:rsidRPr="000521B6">
        <w:t xml:space="preserve"> for evaluating goals</w:t>
      </w:r>
      <w:r w:rsidR="00B302F9">
        <w:t xml:space="preserve">, </w:t>
      </w:r>
      <w:r>
        <w:t xml:space="preserve">develop a conceptual </w:t>
      </w:r>
      <w:r w:rsidRPr="00CF2BE6">
        <w:t xml:space="preserve">categorization </w:t>
      </w:r>
      <w:r>
        <w:t xml:space="preserve">of goals for an organization like </w:t>
      </w:r>
      <w:r w:rsidR="00654142">
        <w:t xml:space="preserve">the </w:t>
      </w:r>
      <w:r>
        <w:t>EITI</w:t>
      </w:r>
      <w:r w:rsidR="00B302F9">
        <w:t xml:space="preserve">, and </w:t>
      </w:r>
      <w:r w:rsidRPr="000521B6">
        <w:t xml:space="preserve">establish what </w:t>
      </w:r>
      <w:r>
        <w:t>the EITI itself and the literature</w:t>
      </w:r>
      <w:r w:rsidRPr="000521B6">
        <w:t xml:space="preserve"> see as the main EITI goals. </w:t>
      </w:r>
      <w:r>
        <w:t xml:space="preserve">This is followed by an </w:t>
      </w:r>
      <w:r w:rsidRPr="000521B6">
        <w:t>evaluat</w:t>
      </w:r>
      <w:r>
        <w:t>ion of</w:t>
      </w:r>
      <w:r w:rsidRPr="000521B6">
        <w:t xml:space="preserve"> EITI’s performance in attaining the different goals</w:t>
      </w:r>
      <w:r>
        <w:t xml:space="preserve"> discussing the </w:t>
      </w:r>
      <w:r w:rsidRPr="000521B6">
        <w:t xml:space="preserve">institutional, operational, and development objectives in turn. </w:t>
      </w:r>
      <w:r>
        <w:t xml:space="preserve">We conclude by discussing what could be considered as success for the EITI. </w:t>
      </w:r>
    </w:p>
    <w:p w14:paraId="649B766F" w14:textId="21F63E4F" w:rsidR="00847BA8" w:rsidRPr="000521B6" w:rsidRDefault="00847BA8" w:rsidP="002C279D">
      <w:pPr>
        <w:pStyle w:val="Heading1"/>
      </w:pPr>
      <w:r w:rsidRPr="000521B6">
        <w:t>Defining goals</w:t>
      </w:r>
      <w:r w:rsidR="00212FE0">
        <w:t xml:space="preserve"> </w:t>
      </w:r>
    </w:p>
    <w:p w14:paraId="3B1B7716" w14:textId="426920B2" w:rsidR="00847BA8" w:rsidRPr="000521B6" w:rsidRDefault="00847BA8" w:rsidP="002C279D">
      <w:pPr>
        <w:pStyle w:val="Firstparagrpah"/>
      </w:pPr>
      <w:r w:rsidRPr="000521B6">
        <w:t xml:space="preserve">Goals matter. Not only do </w:t>
      </w:r>
      <w:r>
        <w:t>goals</w:t>
      </w:r>
      <w:r w:rsidRPr="000521B6">
        <w:t xml:space="preserve"> set the stage for an organization’s planning and development, but goals also establish the foundation for appraising an organization’s progress and performance. As Hall (1999, p. 29) notes, “[t]he entire subject of organizational analysis cannot be understood apart from goals”. Consequently, goals are central in the evaluation literature, which situates them within a downward hierarchy generally defined through </w:t>
      </w:r>
      <w:r w:rsidR="00967737">
        <w:t>‘</w:t>
      </w:r>
      <w:r w:rsidRPr="000521B6">
        <w:t>mission</w:t>
      </w:r>
      <w:r w:rsidR="00967737">
        <w:t>’</w:t>
      </w:r>
      <w:r w:rsidRPr="000521B6">
        <w:t xml:space="preserve">, </w:t>
      </w:r>
      <w:r w:rsidR="00967737">
        <w:t>‘</w:t>
      </w:r>
      <w:r w:rsidRPr="000521B6">
        <w:t>goals</w:t>
      </w:r>
      <w:r w:rsidR="00967737">
        <w:t>’</w:t>
      </w:r>
      <w:r w:rsidRPr="000521B6">
        <w:t xml:space="preserve">, </w:t>
      </w:r>
      <w:r w:rsidR="00967737">
        <w:t>‘</w:t>
      </w:r>
      <w:r w:rsidRPr="000521B6">
        <w:t>objectives</w:t>
      </w:r>
      <w:r w:rsidR="00967737">
        <w:t>’</w:t>
      </w:r>
      <w:r w:rsidRPr="000521B6">
        <w:t xml:space="preserve">, and </w:t>
      </w:r>
      <w:r w:rsidR="00967737">
        <w:t>‘</w:t>
      </w:r>
      <w:r w:rsidRPr="000521B6">
        <w:t>outcomes</w:t>
      </w:r>
      <w:r w:rsidR="00967737">
        <w:t>’</w:t>
      </w:r>
      <w:r w:rsidRPr="000521B6">
        <w:t>; with each level becoming in turn more specific and measurable.</w:t>
      </w:r>
      <w:r w:rsidR="00903C7A">
        <w:rPr>
          <w:rStyle w:val="FootnoteReference"/>
        </w:rPr>
        <w:footnoteReference w:id="2"/>
      </w:r>
      <w:r>
        <w:t xml:space="preserve"> </w:t>
      </w:r>
    </w:p>
    <w:p w14:paraId="5E9CD3D3" w14:textId="179C5729" w:rsidR="00527B19" w:rsidRDefault="00E47CC9" w:rsidP="002C279D">
      <w:r w:rsidRPr="00E47CC9">
        <w:t xml:space="preserve">The </w:t>
      </w:r>
      <w:r w:rsidR="009E5837">
        <w:t>t</w:t>
      </w:r>
      <w:r w:rsidRPr="00E47CC9">
        <w:t xml:space="preserve">heory of </w:t>
      </w:r>
      <w:r w:rsidR="009E5837">
        <w:t>c</w:t>
      </w:r>
      <w:r w:rsidRPr="00E47CC9">
        <w:t xml:space="preserve">hange </w:t>
      </w:r>
      <w:r w:rsidR="009E5837">
        <w:t xml:space="preserve">(ToC) </w:t>
      </w:r>
      <w:r w:rsidRPr="00E47CC9">
        <w:t xml:space="preserve">literature </w:t>
      </w:r>
      <w:r w:rsidR="009E5837">
        <w:t xml:space="preserve">typically </w:t>
      </w:r>
      <w:r w:rsidRPr="00E47CC9">
        <w:t xml:space="preserve">uses the same </w:t>
      </w:r>
      <w:r w:rsidR="009E5837">
        <w:t xml:space="preserve">concepts </w:t>
      </w:r>
      <w:r w:rsidR="009E5837" w:rsidRPr="00B74B6E">
        <w:t>(Stein</w:t>
      </w:r>
      <w:r w:rsidR="009E5837" w:rsidRPr="0063030C">
        <w:t xml:space="preserve"> and Valters 2012)</w:t>
      </w:r>
      <w:r w:rsidR="009E5837">
        <w:t xml:space="preserve">, but explicitly links them through </w:t>
      </w:r>
      <w:r w:rsidRPr="00E47CC9">
        <w:t xml:space="preserve">processes </w:t>
      </w:r>
      <w:r w:rsidR="009E5837">
        <w:t xml:space="preserve">and defines intermediate outcomes that can be measured. In contrast with impact assessment processes seeking to estimate the potential outcomes of a defined set of activities, these types of goal-oriented processes </w:t>
      </w:r>
      <w:r w:rsidR="009E5837" w:rsidRPr="000521B6">
        <w:t xml:space="preserve">start with identifying the long-term outcomes (often also called goals or outcome targets) and then work backwards to identify the needed project interventions and the short-term and medium term outcomes that need to be made or achieved in order to attain the long-term goals. The interventions (or the outputs) are the project products that are deemed to be necessary to attain the mediating outcomes. In this line of </w:t>
      </w:r>
      <w:r w:rsidR="009E5837" w:rsidRPr="000521B6">
        <w:lastRenderedPageBreak/>
        <w:t>thinking,</w:t>
      </w:r>
      <w:r w:rsidR="009E5837">
        <w:t xml:space="preserve"> </w:t>
      </w:r>
      <w:r w:rsidR="009E5837" w:rsidRPr="000521B6">
        <w:t xml:space="preserve">each outcome is to be defined so precisely that it can be measured by an indicator. </w:t>
      </w:r>
      <w:r w:rsidR="00851FA2">
        <w:t>Interventions, outcomes</w:t>
      </w:r>
      <w:r w:rsidR="00ED4973">
        <w:t>,</w:t>
      </w:r>
      <w:r w:rsidR="00851FA2">
        <w:t xml:space="preserve"> and goals are frequently categorized </w:t>
      </w:r>
      <w:r w:rsidR="00851FA2" w:rsidRPr="000521B6">
        <w:t>according to time criteria (e.g. early, medium, long term)</w:t>
      </w:r>
      <w:r w:rsidR="00851FA2">
        <w:t xml:space="preserve">. </w:t>
      </w:r>
      <w:r w:rsidR="009E5837" w:rsidRPr="000521B6">
        <w:t xml:space="preserve">Thus, the change process, and the assumptions behind it, can be evaluated throughout the </w:t>
      </w:r>
      <w:r w:rsidR="00D86991">
        <w:t xml:space="preserve">duration of the </w:t>
      </w:r>
      <w:r w:rsidR="009E5837">
        <w:t>project</w:t>
      </w:r>
      <w:r w:rsidR="00D86991">
        <w:t xml:space="preserve"> (e.g. through assessing </w:t>
      </w:r>
      <w:r w:rsidR="009E5837">
        <w:t>medium term outcome</w:t>
      </w:r>
      <w:r w:rsidR="00D86991">
        <w:t xml:space="preserve"> achievements)</w:t>
      </w:r>
      <w:r w:rsidR="009E5837">
        <w:t xml:space="preserve">, </w:t>
      </w:r>
      <w:r w:rsidR="009E5837" w:rsidRPr="000521B6">
        <w:t>and not only at the end</w:t>
      </w:r>
      <w:r w:rsidR="00D86991">
        <w:t xml:space="preserve"> of the project</w:t>
      </w:r>
      <w:r w:rsidR="009E5837" w:rsidRPr="000521B6">
        <w:t xml:space="preserve">. </w:t>
      </w:r>
    </w:p>
    <w:p w14:paraId="753EAC00" w14:textId="65D2B342" w:rsidR="00527B19" w:rsidRDefault="00527B19" w:rsidP="002C279D">
      <w:r>
        <w:t xml:space="preserve">A complementary way to evaluate an organization is to distinguish between the different types of goals an organization can have. These can be, as commonly in ToC literature, differentiated by the time (early-, medium-, and long-term goals), but also </w:t>
      </w:r>
      <w:r w:rsidRPr="00527B19">
        <w:t>along more conceptual criteria</w:t>
      </w:r>
      <w:r w:rsidR="00F91809">
        <w:t xml:space="preserve">. The goals can, for example, </w:t>
      </w:r>
      <w:r>
        <w:t xml:space="preserve">relate to </w:t>
      </w:r>
      <w:r w:rsidR="00A44E8F">
        <w:t xml:space="preserve">an </w:t>
      </w:r>
      <w:r>
        <w:t xml:space="preserve">organization’s objectives of i) establishing itself and consolidating its position </w:t>
      </w:r>
      <w:r w:rsidR="00F91809">
        <w:t xml:space="preserve">among other organizations and actors; ii) establishing </w:t>
      </w:r>
      <w:r>
        <w:t>its view of thinking or functioning</w:t>
      </w:r>
      <w:r w:rsidR="00F91809">
        <w:t xml:space="preserve"> as a model for other organizations and actors</w:t>
      </w:r>
      <w:r>
        <w:t xml:space="preserve">; </w:t>
      </w:r>
      <w:r w:rsidR="00F91809">
        <w:t>i</w:t>
      </w:r>
      <w:r>
        <w:t xml:space="preserve">ii) </w:t>
      </w:r>
      <w:r w:rsidR="00885C14">
        <w:t>attaining its internal objectives of how it operates (e.g., manufacturing products efficiently and with as little waste as possibly)</w:t>
      </w:r>
      <w:r w:rsidR="00F91809">
        <w:t>; or iv</w:t>
      </w:r>
      <w:r>
        <w:t>)</w:t>
      </w:r>
      <w:r w:rsidR="00885C14">
        <w:t xml:space="preserve"> meeting the needs of society (e. g., by providing services or goods)</w:t>
      </w:r>
      <w:r>
        <w:t xml:space="preserve">. </w:t>
      </w:r>
    </w:p>
    <w:p w14:paraId="0FDCB1F9" w14:textId="50A1B07E" w:rsidR="00847BA8" w:rsidRPr="000521B6" w:rsidRDefault="00847BA8" w:rsidP="002C279D">
      <w:r>
        <w:t>As t</w:t>
      </w:r>
      <w:r w:rsidRPr="000521B6">
        <w:t xml:space="preserve">he </w:t>
      </w:r>
      <w:r>
        <w:t xml:space="preserve">basis for identifying the EITI </w:t>
      </w:r>
      <w:r w:rsidRPr="000521B6">
        <w:t xml:space="preserve">goals </w:t>
      </w:r>
      <w:r>
        <w:t xml:space="preserve">we used </w:t>
      </w:r>
      <w:r w:rsidRPr="000521B6">
        <w:t xml:space="preserve">the EITI Principles, the </w:t>
      </w:r>
      <w:r w:rsidR="00B079A3">
        <w:t xml:space="preserve">EITI </w:t>
      </w:r>
      <w:r w:rsidRPr="000521B6">
        <w:t xml:space="preserve">Articles of Association, the EITI Requirements, </w:t>
      </w:r>
      <w:r w:rsidR="00482619">
        <w:t xml:space="preserve">the </w:t>
      </w:r>
      <w:r w:rsidRPr="000521B6">
        <w:t xml:space="preserve">Overview of Validation, and the protocol on </w:t>
      </w:r>
      <w:r w:rsidR="006E0410">
        <w:t>p</w:t>
      </w:r>
      <w:r w:rsidRPr="000521B6">
        <w:t xml:space="preserve">articipation of civil society, all of which are included in the EITI Standard 2016 (EITI 2016). The </w:t>
      </w:r>
      <w:r w:rsidRPr="000521B6">
        <w:rPr>
          <w:i/>
        </w:rPr>
        <w:t>EITI Principles</w:t>
      </w:r>
      <w:r w:rsidRPr="000521B6">
        <w:t xml:space="preserve"> were agreed by a group of countries, companies</w:t>
      </w:r>
      <w:r>
        <w:t>,</w:t>
      </w:r>
      <w:r w:rsidRPr="000521B6">
        <w:t xml:space="preserve"> and civil society organizations at the Lancaster House Conference in 2003 and are considered as the cornerstone of EITI. The </w:t>
      </w:r>
      <w:r w:rsidRPr="000521B6">
        <w:rPr>
          <w:i/>
        </w:rPr>
        <w:t>EITI</w:t>
      </w:r>
      <w:r w:rsidRPr="000521B6">
        <w:t xml:space="preserve"> </w:t>
      </w:r>
      <w:r w:rsidRPr="000521B6">
        <w:rPr>
          <w:i/>
        </w:rPr>
        <w:t>Articles of Association</w:t>
      </w:r>
      <w:r w:rsidRPr="000521B6">
        <w:t xml:space="preserve"> can be seen as the constitution of the EITI and describe the responsibilities of the actors and the undertaking of the EITI. The </w:t>
      </w:r>
      <w:r w:rsidRPr="000521B6">
        <w:rPr>
          <w:i/>
        </w:rPr>
        <w:t>EITI Requirements</w:t>
      </w:r>
      <w:r w:rsidRPr="000521B6">
        <w:t xml:space="preserve"> include the steps, stipulations, and timelines that a country must adhere to in order to become EITI compliant.</w:t>
      </w:r>
      <w:r w:rsidRPr="000521B6">
        <w:rPr>
          <w:rStyle w:val="FootnoteReference"/>
        </w:rPr>
        <w:footnoteReference w:id="3"/>
      </w:r>
      <w:r w:rsidRPr="000521B6">
        <w:t xml:space="preserve"> The </w:t>
      </w:r>
      <w:r w:rsidR="002120E4">
        <w:rPr>
          <w:i/>
        </w:rPr>
        <w:t>P</w:t>
      </w:r>
      <w:r w:rsidRPr="000521B6">
        <w:rPr>
          <w:i/>
        </w:rPr>
        <w:t>rotocol on civil society</w:t>
      </w:r>
      <w:r w:rsidRPr="000521B6">
        <w:t xml:space="preserve"> </w:t>
      </w:r>
      <w:r w:rsidRPr="000521B6">
        <w:rPr>
          <w:i/>
        </w:rPr>
        <w:t>participation</w:t>
      </w:r>
      <w:r w:rsidRPr="000521B6">
        <w:t xml:space="preserve"> outlines the minimum condition that the civil society must enjoy with regard to participation in natural resource governance management in an EITI implementing country. </w:t>
      </w:r>
    </w:p>
    <w:p w14:paraId="20A4452C" w14:textId="37B39577" w:rsidR="00847BA8" w:rsidRDefault="00847BA8" w:rsidP="002C279D">
      <w:r w:rsidRPr="000521B6">
        <w:t xml:space="preserve">Going beyond the goals formulated within these official documents, we also identify the goals that have been </w:t>
      </w:r>
      <w:r w:rsidRPr="000521B6">
        <w:rPr>
          <w:i/>
        </w:rPr>
        <w:t>ascribed</w:t>
      </w:r>
      <w:r w:rsidRPr="000521B6">
        <w:t xml:space="preserve"> to the initiative by previous analyses seeking to evaluate the EITI. This allows us not simply to assess the EITI on its own criteria, but also on external expectations that, as we will suggest below, help to explain in part some of the </w:t>
      </w:r>
      <w:r w:rsidR="00967737">
        <w:t>‘</w:t>
      </w:r>
      <w:r w:rsidRPr="000521B6">
        <w:t>failure</w:t>
      </w:r>
      <w:r w:rsidR="00967737">
        <w:t>’</w:t>
      </w:r>
      <w:r w:rsidRPr="000521B6">
        <w:t xml:space="preserve"> verdicts reached by a number of </w:t>
      </w:r>
      <w:r>
        <w:t xml:space="preserve">assessment </w:t>
      </w:r>
      <w:r w:rsidRPr="000521B6">
        <w:t>studies</w:t>
      </w:r>
      <w:r w:rsidRPr="000521B6">
        <w:rPr>
          <w:lang w:val="en-CA"/>
        </w:rPr>
        <w:t>.</w:t>
      </w:r>
      <w:r w:rsidRPr="000521B6" w:rsidDel="00944097">
        <w:rPr>
          <w:lang w:val="en-CA"/>
        </w:rPr>
        <w:t xml:space="preserve"> </w:t>
      </w:r>
      <w:r w:rsidRPr="000521B6">
        <w:t xml:space="preserve">The goals we identified are summarized in </w:t>
      </w:r>
      <w:r w:rsidRPr="000521B6">
        <w:fldChar w:fldCharType="begin"/>
      </w:r>
      <w:r w:rsidRPr="000521B6">
        <w:instrText xml:space="preserve"> REF _Ref450815038 \h </w:instrText>
      </w:r>
      <w:r>
        <w:instrText xml:space="preserve"> \* MERGEFORMAT </w:instrText>
      </w:r>
      <w:r w:rsidRPr="000521B6">
        <w:fldChar w:fldCharType="separate"/>
      </w:r>
      <w:r w:rsidR="00146B0B">
        <w:t xml:space="preserve">Figure </w:t>
      </w:r>
      <w:r w:rsidR="00146B0B">
        <w:rPr>
          <w:noProof/>
        </w:rPr>
        <w:t>1</w:t>
      </w:r>
      <w:r w:rsidRPr="000521B6">
        <w:fldChar w:fldCharType="end"/>
      </w:r>
      <w:r w:rsidR="006E0410">
        <w:t xml:space="preserve">. </w:t>
      </w:r>
    </w:p>
    <w:p w14:paraId="3BCD586F" w14:textId="4261D027" w:rsidR="00F77346" w:rsidRPr="00A47495" w:rsidRDefault="00F77346">
      <w:pPr>
        <w:spacing w:after="160" w:line="259" w:lineRule="auto"/>
        <w:ind w:firstLine="0"/>
        <w:jc w:val="left"/>
        <w:rPr>
          <w:noProof/>
          <w:lang w:eastAsia="nb-NO"/>
        </w:rPr>
      </w:pPr>
    </w:p>
    <w:p w14:paraId="36BC22B6" w14:textId="279686D1" w:rsidR="00847BA8" w:rsidRPr="00A47495" w:rsidRDefault="00D97BFB" w:rsidP="0080006E">
      <w:pPr>
        <w:ind w:firstLine="0"/>
        <w:jc w:val="left"/>
        <w:rPr>
          <w:noProof/>
          <w:lang w:eastAsia="nb-NO"/>
        </w:rPr>
      </w:pPr>
      <w:r>
        <w:rPr>
          <w:noProof/>
          <w:lang w:val="nb-NO" w:eastAsia="nb-NO"/>
        </w:rPr>
        <w:lastRenderedPageBreak/>
        <mc:AlternateContent>
          <mc:Choice Requires="wps">
            <w:drawing>
              <wp:anchor distT="0" distB="0" distL="114300" distR="114300" simplePos="0" relativeHeight="251677696" behindDoc="0" locked="0" layoutInCell="1" allowOverlap="1" wp14:anchorId="709A9A8B" wp14:editId="64B133EE">
                <wp:simplePos x="0" y="0"/>
                <wp:positionH relativeFrom="column">
                  <wp:posOffset>3977005</wp:posOffset>
                </wp:positionH>
                <wp:positionV relativeFrom="paragraph">
                  <wp:posOffset>2529205</wp:posOffset>
                </wp:positionV>
                <wp:extent cx="1692275" cy="773430"/>
                <wp:effectExtent l="0" t="0" r="22225" b="26670"/>
                <wp:wrapSquare wrapText="bothSides"/>
                <wp:docPr id="33" name="TextBox 32"/>
                <wp:cNvGraphicFramePr/>
                <a:graphic xmlns:a="http://schemas.openxmlformats.org/drawingml/2006/main">
                  <a:graphicData uri="http://schemas.microsoft.com/office/word/2010/wordprocessingShape">
                    <wps:wsp>
                      <wps:cNvSpPr txBox="1"/>
                      <wps:spPr>
                        <a:xfrm>
                          <a:off x="0" y="0"/>
                          <a:ext cx="1692275" cy="773430"/>
                        </a:xfrm>
                        <a:prstGeom prst="rect">
                          <a:avLst/>
                        </a:prstGeom>
                        <a:solidFill>
                          <a:sysClr val="window" lastClr="FFFFFF"/>
                        </a:solidFill>
                        <a:ln>
                          <a:solidFill>
                            <a:sysClr val="windowText" lastClr="000000"/>
                          </a:solidFill>
                        </a:ln>
                      </wps:spPr>
                      <wps:txbx>
                        <w:txbxContent>
                          <w:p w14:paraId="2D4CE3BC"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Goal D-3</w:t>
                            </w:r>
                            <w:r>
                              <w:rPr>
                                <w:rFonts w:ascii="Calibri" w:eastAsia="+mn-ea" w:hAnsi="Calibri" w:cs="+mn-cs"/>
                                <w:color w:val="000000"/>
                                <w:kern w:val="24"/>
                                <w:sz w:val="22"/>
                                <w:szCs w:val="22"/>
                              </w:rPr>
                              <w:t>: Promote good governance, sustainable development, and improved living standards</w:t>
                            </w:r>
                          </w:p>
                        </w:txbxContent>
                      </wps:txbx>
                      <wps:bodyPr wrap="square" rtlCol="0">
                        <a:spAutoFit/>
                      </wps:bodyPr>
                    </wps:wsp>
                  </a:graphicData>
                </a:graphic>
              </wp:anchor>
            </w:drawing>
          </mc:Choice>
          <mc:Fallback>
            <w:pict>
              <v:shapetype w14:anchorId="709A9A8B" id="_x0000_t202" coordsize="21600,21600" o:spt="202" path="m,l,21600r21600,l21600,xe">
                <v:stroke joinstyle="miter"/>
                <v:path gradientshapeok="t" o:connecttype="rect"/>
              </v:shapetype>
              <v:shape id="TextBox 32" o:spid="_x0000_s1026" type="#_x0000_t202" style="position:absolute;margin-left:313.15pt;margin-top:199.15pt;width:133.25pt;height:60.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" fillcolor="window" strokecolor="windowText">
                <v:textbox style="mso-fit-shape-to-text:t">
                  <w:txbxContent>
                    <w:p w14:paraId="2D4CE3BC"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Goal D-3</w:t>
                      </w:r>
                      <w:r>
                        <w:rPr>
                          <w:rFonts w:ascii="Calibri" w:eastAsia="+mn-ea" w:hAnsi="Calibri" w:cs="+mn-cs"/>
                          <w:color w:val="000000"/>
                          <w:kern w:val="24"/>
                          <w:sz w:val="22"/>
                          <w:szCs w:val="22"/>
                        </w:rPr>
                        <w:t>: Promote good governance, sustainable development, and improved living standards</w:t>
                      </w:r>
                    </w:p>
                  </w:txbxContent>
                </v:textbox>
                <w10:wrap type="square"/>
              </v:shape>
            </w:pict>
          </mc:Fallback>
        </mc:AlternateContent>
      </w:r>
      <w:r>
        <w:rPr>
          <w:noProof/>
          <w:lang w:val="nb-NO" w:eastAsia="nb-NO"/>
        </w:rPr>
        <mc:AlternateContent>
          <mc:Choice Requires="wps">
            <w:drawing>
              <wp:anchor distT="0" distB="0" distL="114300" distR="114300" simplePos="0" relativeHeight="251670528" behindDoc="0" locked="0" layoutInCell="1" allowOverlap="1" wp14:anchorId="058ABFAF" wp14:editId="436678E7">
                <wp:simplePos x="0" y="0"/>
                <wp:positionH relativeFrom="column">
                  <wp:posOffset>1970405</wp:posOffset>
                </wp:positionH>
                <wp:positionV relativeFrom="paragraph">
                  <wp:posOffset>2635885</wp:posOffset>
                </wp:positionV>
                <wp:extent cx="1860550" cy="773430"/>
                <wp:effectExtent l="0" t="0" r="25400" b="26670"/>
                <wp:wrapSquare wrapText="bothSides"/>
                <wp:docPr id="44" name="TextBox 43"/>
                <wp:cNvGraphicFramePr/>
                <a:graphic xmlns:a="http://schemas.openxmlformats.org/drawingml/2006/main">
                  <a:graphicData uri="http://schemas.microsoft.com/office/word/2010/wordprocessingShape">
                    <wps:wsp>
                      <wps:cNvSpPr txBox="1"/>
                      <wps:spPr>
                        <a:xfrm>
                          <a:off x="0" y="0"/>
                          <a:ext cx="1860550" cy="773430"/>
                        </a:xfrm>
                        <a:prstGeom prst="rect">
                          <a:avLst/>
                        </a:prstGeom>
                        <a:solidFill>
                          <a:sysClr val="window" lastClr="FFFFFF"/>
                        </a:solidFill>
                        <a:ln>
                          <a:solidFill>
                            <a:sysClr val="windowText" lastClr="000000"/>
                          </a:solidFill>
                        </a:ln>
                      </wps:spPr>
                      <wps:txbx>
                        <w:txbxContent>
                          <w:p w14:paraId="0FD34F10"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Goal 0-4</w:t>
                            </w:r>
                            <w:r>
                              <w:rPr>
                                <w:rFonts w:ascii="Calibri" w:eastAsia="+mn-ea" w:hAnsi="Calibri" w:cs="+mn-cs"/>
                                <w:color w:val="000000"/>
                                <w:kern w:val="24"/>
                                <w:sz w:val="22"/>
                                <w:szCs w:val="22"/>
                              </w:rPr>
                              <w:t xml:space="preserve">: Ensure civil society’s effective participation in multi-stakeholder groups </w:t>
                            </w:r>
                          </w:p>
                        </w:txbxContent>
                      </wps:txbx>
                      <wps:bodyPr wrap="square" rtlCol="0">
                        <a:spAutoFit/>
                      </wps:bodyPr>
                    </wps:wsp>
                  </a:graphicData>
                </a:graphic>
                <wp14:sizeRelH relativeFrom="margin">
                  <wp14:pctWidth>0</wp14:pctWidth>
                </wp14:sizeRelH>
              </wp:anchor>
            </w:drawing>
          </mc:Choice>
          <mc:Fallback>
            <w:pict>
              <v:shape w14:anchorId="058ABFAF" id="TextBox 43" o:spid="_x0000_s1027" type="#_x0000_t202" style="position:absolute;margin-left:155.15pt;margin-top:207.55pt;width:146.5pt;height:60.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" fillcolor="window" strokecolor="windowText">
                <v:textbox style="mso-fit-shape-to-text:t">
                  <w:txbxContent>
                    <w:p w14:paraId="0FD34F10"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Goal 0-4</w:t>
                      </w:r>
                      <w:r>
                        <w:rPr>
                          <w:rFonts w:ascii="Calibri" w:eastAsia="+mn-ea" w:hAnsi="Calibri" w:cs="+mn-cs"/>
                          <w:color w:val="000000"/>
                          <w:kern w:val="24"/>
                          <w:sz w:val="22"/>
                          <w:szCs w:val="22"/>
                        </w:rPr>
                        <w:t xml:space="preserve">: Ensure civil society’s effective participation in multi-stakeholder groups </w:t>
                      </w:r>
                    </w:p>
                  </w:txbxContent>
                </v:textbox>
                <w10:wrap type="square"/>
              </v:shape>
            </w:pict>
          </mc:Fallback>
        </mc:AlternateContent>
      </w:r>
      <w:r>
        <w:rPr>
          <w:noProof/>
          <w:lang w:val="nb-NO" w:eastAsia="nb-NO"/>
        </w:rPr>
        <mc:AlternateContent>
          <mc:Choice Requires="wps">
            <w:drawing>
              <wp:anchor distT="0" distB="0" distL="114300" distR="114300" simplePos="0" relativeHeight="251672576" behindDoc="0" locked="0" layoutInCell="1" allowOverlap="1" wp14:anchorId="63B10D7B" wp14:editId="4D38FFDF">
                <wp:simplePos x="0" y="0"/>
                <wp:positionH relativeFrom="column">
                  <wp:posOffset>4010403</wp:posOffset>
                </wp:positionH>
                <wp:positionV relativeFrom="paragraph">
                  <wp:posOffset>7620</wp:posOffset>
                </wp:positionV>
                <wp:extent cx="1633157" cy="340995"/>
                <wp:effectExtent l="0" t="0" r="0" b="0"/>
                <wp:wrapSquare wrapText="bothSides"/>
                <wp:docPr id="60" name="TextBox 59"/>
                <wp:cNvGraphicFramePr/>
                <a:graphic xmlns:a="http://schemas.openxmlformats.org/drawingml/2006/main">
                  <a:graphicData uri="http://schemas.microsoft.com/office/word/2010/wordprocessingShape">
                    <wps:wsp>
                      <wps:cNvSpPr txBox="1"/>
                      <wps:spPr>
                        <a:xfrm>
                          <a:off x="0" y="0"/>
                          <a:ext cx="1633157" cy="340995"/>
                        </a:xfrm>
                        <a:prstGeom prst="rect">
                          <a:avLst/>
                        </a:prstGeom>
                        <a:noFill/>
                      </wps:spPr>
                      <wps:txbx>
                        <w:txbxContent>
                          <w:p w14:paraId="0D1E5DB4" w14:textId="77777777" w:rsidR="0080006E" w:rsidRDefault="0080006E" w:rsidP="0080006E">
                            <w:pPr>
                              <w:pStyle w:val="NormalWeb"/>
                              <w:spacing w:before="0" w:beforeAutospacing="0" w:after="0" w:afterAutospacing="0"/>
                              <w:ind w:firstLine="0"/>
                              <w:jc w:val="center"/>
                            </w:pPr>
                            <w:r>
                              <w:rPr>
                                <w:rFonts w:ascii="Calibri" w:eastAsia="+mn-ea" w:hAnsi="Calibri" w:cs="+mn-cs"/>
                                <w:b/>
                                <w:bCs/>
                                <w:color w:val="000000"/>
                                <w:kern w:val="24"/>
                                <w:sz w:val="28"/>
                                <w:szCs w:val="28"/>
                                <w:u w:val="single"/>
                              </w:rPr>
                              <w:t>Development goals</w:t>
                            </w:r>
                          </w:p>
                        </w:txbxContent>
                      </wps:txbx>
                      <wps:bodyPr wrap="square" rtlCol="0">
                        <a:spAutoFit/>
                      </wps:bodyPr>
                    </wps:wsp>
                  </a:graphicData>
                </a:graphic>
                <wp14:sizeRelH relativeFrom="margin">
                  <wp14:pctWidth>0</wp14:pctWidth>
                </wp14:sizeRelH>
              </wp:anchor>
            </w:drawing>
          </mc:Choice>
          <mc:Fallback>
            <w:pict>
              <v:shape w14:anchorId="63B10D7B" id="TextBox 59" o:spid="_x0000_s1028" type="#_x0000_t202" style="position:absolute;margin-left:315.8pt;margin-top:.6pt;width:128.6pt;height:26.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" filled="f" stroked="f">
                <v:textbox style="mso-fit-shape-to-text:t">
                  <w:txbxContent>
                    <w:p w14:paraId="0D1E5DB4" w14:textId="77777777" w:rsidR="0080006E" w:rsidRDefault="0080006E" w:rsidP="0080006E">
                      <w:pPr>
                        <w:pStyle w:val="NormalWeb"/>
                        <w:spacing w:before="0" w:beforeAutospacing="0" w:after="0" w:afterAutospacing="0"/>
                        <w:ind w:firstLine="0"/>
                        <w:jc w:val="center"/>
                      </w:pPr>
                      <w:r>
                        <w:rPr>
                          <w:rFonts w:ascii="Calibri" w:eastAsia="+mn-ea" w:hAnsi="Calibri" w:cs="+mn-cs"/>
                          <w:b/>
                          <w:bCs/>
                          <w:color w:val="000000"/>
                          <w:kern w:val="24"/>
                          <w:sz w:val="28"/>
                          <w:szCs w:val="28"/>
                          <w:u w:val="single"/>
                        </w:rPr>
                        <w:t>Development goals</w:t>
                      </w:r>
                    </w:p>
                  </w:txbxContent>
                </v:textbox>
                <w10:wrap type="square"/>
              </v:shape>
            </w:pict>
          </mc:Fallback>
        </mc:AlternateContent>
      </w:r>
      <w:r>
        <w:rPr>
          <w:noProof/>
          <w:lang w:val="nb-NO" w:eastAsia="nb-NO"/>
        </w:rPr>
        <mc:AlternateContent>
          <mc:Choice Requires="wps">
            <w:drawing>
              <wp:anchor distT="0" distB="0" distL="114300" distR="114300" simplePos="0" relativeHeight="251671552" behindDoc="0" locked="0" layoutInCell="1" allowOverlap="1" wp14:anchorId="092466A3" wp14:editId="1EBCF291">
                <wp:simplePos x="0" y="0"/>
                <wp:positionH relativeFrom="column">
                  <wp:posOffset>171738</wp:posOffset>
                </wp:positionH>
                <wp:positionV relativeFrom="paragraph">
                  <wp:posOffset>7620</wp:posOffset>
                </wp:positionV>
                <wp:extent cx="1618673" cy="340995"/>
                <wp:effectExtent l="0" t="0" r="0" b="0"/>
                <wp:wrapSquare wrapText="bothSides"/>
                <wp:docPr id="57" name="TextBox 2"/>
                <wp:cNvGraphicFramePr/>
                <a:graphic xmlns:a="http://schemas.openxmlformats.org/drawingml/2006/main">
                  <a:graphicData uri="http://schemas.microsoft.com/office/word/2010/wordprocessingShape">
                    <wps:wsp>
                      <wps:cNvSpPr txBox="1"/>
                      <wps:spPr>
                        <a:xfrm>
                          <a:off x="0" y="0"/>
                          <a:ext cx="1618673" cy="340995"/>
                        </a:xfrm>
                        <a:prstGeom prst="rect">
                          <a:avLst/>
                        </a:prstGeom>
                        <a:noFill/>
                      </wps:spPr>
                      <wps:txbx>
                        <w:txbxContent>
                          <w:p w14:paraId="388CD043" w14:textId="77777777" w:rsidR="0080006E" w:rsidRDefault="0080006E" w:rsidP="0080006E">
                            <w:pPr>
                              <w:pStyle w:val="NormalWeb"/>
                              <w:spacing w:before="0" w:beforeAutospacing="0" w:after="0" w:afterAutospacing="0"/>
                              <w:ind w:firstLine="0"/>
                              <w:jc w:val="center"/>
                            </w:pPr>
                            <w:r>
                              <w:rPr>
                                <w:rFonts w:ascii="Calibri" w:eastAsia="+mn-ea" w:hAnsi="Calibri" w:cs="+mn-cs"/>
                                <w:b/>
                                <w:bCs/>
                                <w:color w:val="000000"/>
                                <w:kern w:val="24"/>
                                <w:sz w:val="28"/>
                                <w:szCs w:val="28"/>
                                <w:u w:val="single"/>
                              </w:rPr>
                              <w:t>Institutional goals</w:t>
                            </w:r>
                          </w:p>
                        </w:txbxContent>
                      </wps:txbx>
                      <wps:bodyPr wrap="square" rtlCol="0">
                        <a:spAutoFit/>
                      </wps:bodyPr>
                    </wps:wsp>
                  </a:graphicData>
                </a:graphic>
                <wp14:sizeRelH relativeFrom="margin">
                  <wp14:pctWidth>0</wp14:pctWidth>
                </wp14:sizeRelH>
              </wp:anchor>
            </w:drawing>
          </mc:Choice>
          <mc:Fallback>
            <w:pict>
              <v:shape w14:anchorId="092466A3" id="TextBox 2" o:spid="_x0000_s1029" type="#_x0000_t202" style="position:absolute;margin-left:13.5pt;margin-top:.6pt;width:127.45pt;height:2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" filled="f" stroked="f">
                <v:textbox style="mso-fit-shape-to-text:t">
                  <w:txbxContent>
                    <w:p w14:paraId="388CD043" w14:textId="77777777" w:rsidR="0080006E" w:rsidRDefault="0080006E" w:rsidP="0080006E">
                      <w:pPr>
                        <w:pStyle w:val="NormalWeb"/>
                        <w:spacing w:before="0" w:beforeAutospacing="0" w:after="0" w:afterAutospacing="0"/>
                        <w:ind w:firstLine="0"/>
                        <w:jc w:val="center"/>
                      </w:pPr>
                      <w:r>
                        <w:rPr>
                          <w:rFonts w:ascii="Calibri" w:eastAsia="+mn-ea" w:hAnsi="Calibri" w:cs="+mn-cs"/>
                          <w:b/>
                          <w:bCs/>
                          <w:color w:val="000000"/>
                          <w:kern w:val="24"/>
                          <w:sz w:val="28"/>
                          <w:szCs w:val="28"/>
                          <w:u w:val="single"/>
                        </w:rPr>
                        <w:t>Institutional goals</w:t>
                      </w:r>
                    </w:p>
                  </w:txbxContent>
                </v:textbox>
                <w10:wrap type="square"/>
              </v:shape>
            </w:pict>
          </mc:Fallback>
        </mc:AlternateContent>
      </w:r>
      <w:r>
        <w:rPr>
          <w:noProof/>
          <w:lang w:val="nb-NO" w:eastAsia="nb-NO"/>
        </w:rPr>
        <mc:AlternateContent>
          <mc:Choice Requires="wps">
            <w:drawing>
              <wp:anchor distT="0" distB="0" distL="114300" distR="114300" simplePos="0" relativeHeight="251673600" behindDoc="0" locked="0" layoutInCell="1" allowOverlap="1" wp14:anchorId="27D0C3A0" wp14:editId="51B2755F">
                <wp:simplePos x="0" y="0"/>
                <wp:positionH relativeFrom="column">
                  <wp:posOffset>2138680</wp:posOffset>
                </wp:positionH>
                <wp:positionV relativeFrom="paragraph">
                  <wp:posOffset>23120</wp:posOffset>
                </wp:positionV>
                <wp:extent cx="1522950" cy="309995"/>
                <wp:effectExtent l="0" t="0" r="0" b="0"/>
                <wp:wrapSquare wrapText="bothSides"/>
                <wp:docPr id="64" name="TextBox 63"/>
                <wp:cNvGraphicFramePr/>
                <a:graphic xmlns:a="http://schemas.openxmlformats.org/drawingml/2006/main">
                  <a:graphicData uri="http://schemas.microsoft.com/office/word/2010/wordprocessingShape">
                    <wps:wsp>
                      <wps:cNvSpPr txBox="1"/>
                      <wps:spPr>
                        <a:xfrm>
                          <a:off x="0" y="0"/>
                          <a:ext cx="1522950" cy="309995"/>
                        </a:xfrm>
                        <a:prstGeom prst="rect">
                          <a:avLst/>
                        </a:prstGeom>
                        <a:noFill/>
                      </wps:spPr>
                      <wps:txbx>
                        <w:txbxContent>
                          <w:p w14:paraId="60FD812E" w14:textId="77777777" w:rsidR="0080006E" w:rsidRDefault="0080006E" w:rsidP="0080006E">
                            <w:pPr>
                              <w:pStyle w:val="NormalWeb"/>
                              <w:spacing w:before="0" w:beforeAutospacing="0" w:after="0" w:afterAutospacing="0"/>
                              <w:ind w:firstLine="0"/>
                              <w:jc w:val="center"/>
                            </w:pPr>
                            <w:r>
                              <w:rPr>
                                <w:rFonts w:ascii="Calibri" w:eastAsia="+mn-ea" w:hAnsi="Calibri" w:cs="+mn-cs"/>
                                <w:b/>
                                <w:bCs/>
                                <w:color w:val="000000"/>
                                <w:kern w:val="24"/>
                                <w:sz w:val="28"/>
                                <w:szCs w:val="28"/>
                                <w:u w:val="single"/>
                              </w:rPr>
                              <w:t>Operational goals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7D0C3A0" id="TextBox 63" o:spid="_x0000_s1030" type="#_x0000_t202" style="position:absolute;margin-left:168.4pt;margin-top:1.8pt;width:119.9pt;height:2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" filled="f" stroked="f">
                <v:textbox>
                  <w:txbxContent>
                    <w:p w14:paraId="60FD812E" w14:textId="77777777" w:rsidR="0080006E" w:rsidRDefault="0080006E" w:rsidP="0080006E">
                      <w:pPr>
                        <w:pStyle w:val="NormalWeb"/>
                        <w:spacing w:before="0" w:beforeAutospacing="0" w:after="0" w:afterAutospacing="0"/>
                        <w:ind w:firstLine="0"/>
                        <w:jc w:val="center"/>
                      </w:pPr>
                      <w:r>
                        <w:rPr>
                          <w:rFonts w:ascii="Calibri" w:eastAsia="+mn-ea" w:hAnsi="Calibri" w:cs="+mn-cs"/>
                          <w:b/>
                          <w:bCs/>
                          <w:color w:val="000000"/>
                          <w:kern w:val="24"/>
                          <w:sz w:val="28"/>
                          <w:szCs w:val="28"/>
                          <w:u w:val="single"/>
                        </w:rPr>
                        <w:t>Operational goals</w:t>
                      </w:r>
                    </w:p>
                  </w:txbxContent>
                </v:textbox>
                <w10:wrap type="square"/>
              </v:shape>
            </w:pict>
          </mc:Fallback>
        </mc:AlternateContent>
      </w:r>
      <w:r>
        <w:rPr>
          <w:noProof/>
          <w:lang w:val="nb-NO" w:eastAsia="nb-NO"/>
        </w:rPr>
        <mc:AlternateContent>
          <mc:Choice Requires="wps">
            <w:drawing>
              <wp:anchor distT="0" distB="0" distL="114300" distR="114300" simplePos="0" relativeHeight="251661312" behindDoc="0" locked="0" layoutInCell="1" allowOverlap="1" wp14:anchorId="1C385C24" wp14:editId="464DAF67">
                <wp:simplePos x="0" y="0"/>
                <wp:positionH relativeFrom="column">
                  <wp:posOffset>1894840</wp:posOffset>
                </wp:positionH>
                <wp:positionV relativeFrom="paragraph">
                  <wp:posOffset>0</wp:posOffset>
                </wp:positionV>
                <wp:extent cx="2019300" cy="3469005"/>
                <wp:effectExtent l="0" t="0" r="19050" b="17145"/>
                <wp:wrapSquare wrapText="bothSides"/>
                <wp:docPr id="49" name="Rectangle 48"/>
                <wp:cNvGraphicFramePr/>
                <a:graphic xmlns:a="http://schemas.openxmlformats.org/drawingml/2006/main">
                  <a:graphicData uri="http://schemas.microsoft.com/office/word/2010/wordprocessingShape">
                    <wps:wsp>
                      <wps:cNvSpPr/>
                      <wps:spPr>
                        <a:xfrm>
                          <a:off x="0" y="0"/>
                          <a:ext cx="2019300" cy="3469005"/>
                        </a:xfrm>
                        <a:prstGeom prst="rect">
                          <a:avLst/>
                        </a:prstGeom>
                        <a:solidFill>
                          <a:sysClr val="window" lastClr="FFFFFF">
                            <a:lumMod val="85000"/>
                          </a:sysClr>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AA47B6" id="Rectangle 48" o:spid="_x0000_s1026" style="position:absolute;margin-left:149.2pt;margin-top:0;width:159pt;height:273.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" fillcolor="#d9d9d9" strokecolor="#7f7f7f" strokeweight="2pt">
                <v:textbox inset="5.4pt,2.7pt,5.4pt,2.7pt"/>
                <w10:wrap type="square"/>
              </v:rect>
            </w:pict>
          </mc:Fallback>
        </mc:AlternateContent>
      </w:r>
      <w:r>
        <w:rPr>
          <w:noProof/>
          <w:lang w:val="nb-NO" w:eastAsia="nb-NO"/>
        </w:rPr>
        <mc:AlternateContent>
          <mc:Choice Requires="wps">
            <w:drawing>
              <wp:anchor distT="0" distB="0" distL="114300" distR="114300" simplePos="0" relativeHeight="251674624" behindDoc="0" locked="0" layoutInCell="1" allowOverlap="1" wp14:anchorId="4059A48B" wp14:editId="2D4EDFDB">
                <wp:simplePos x="0" y="0"/>
                <wp:positionH relativeFrom="column">
                  <wp:posOffset>1970405</wp:posOffset>
                </wp:positionH>
                <wp:positionV relativeFrom="paragraph">
                  <wp:posOffset>803910</wp:posOffset>
                </wp:positionV>
                <wp:extent cx="1861185" cy="944245"/>
                <wp:effectExtent l="0" t="0" r="24765" b="27305"/>
                <wp:wrapSquare wrapText="bothSides"/>
                <wp:docPr id="45" name="TextBox 44"/>
                <wp:cNvGraphicFramePr/>
                <a:graphic xmlns:a="http://schemas.openxmlformats.org/drawingml/2006/main">
                  <a:graphicData uri="http://schemas.microsoft.com/office/word/2010/wordprocessingShape">
                    <wps:wsp>
                      <wps:cNvSpPr txBox="1"/>
                      <wps:spPr>
                        <a:xfrm>
                          <a:off x="0" y="0"/>
                          <a:ext cx="1861185" cy="944245"/>
                        </a:xfrm>
                        <a:prstGeom prst="rect">
                          <a:avLst/>
                        </a:prstGeom>
                        <a:solidFill>
                          <a:sysClr val="window" lastClr="FFFFFF"/>
                        </a:solidFill>
                        <a:ln>
                          <a:solidFill>
                            <a:sysClr val="windowText" lastClr="000000"/>
                          </a:solidFill>
                        </a:ln>
                      </wps:spPr>
                      <wps:txbx>
                        <w:txbxContent>
                          <w:p w14:paraId="7851A3CA"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 xml:space="preserve">Goal O-2:  </w:t>
                            </w:r>
                            <w:r>
                              <w:rPr>
                                <w:rFonts w:ascii="Calibri" w:eastAsia="+mn-ea" w:hAnsi="Calibri" w:cs="+mn-cs"/>
                                <w:color w:val="000000"/>
                                <w:kern w:val="24"/>
                                <w:sz w:val="22"/>
                                <w:szCs w:val="22"/>
                              </w:rPr>
                              <w:t>Increase state capacity to implement the EITI standard and report in timely and comprehensible manner</w:t>
                            </w:r>
                          </w:p>
                        </w:txbxContent>
                      </wps:txbx>
                      <wps:bodyPr wrap="square" rtlCol="0">
                        <a:spAutoFit/>
                      </wps:bodyPr>
                    </wps:wsp>
                  </a:graphicData>
                </a:graphic>
                <wp14:sizeRelH relativeFrom="margin">
                  <wp14:pctWidth>0</wp14:pctWidth>
                </wp14:sizeRelH>
              </wp:anchor>
            </w:drawing>
          </mc:Choice>
          <mc:Fallback>
            <w:pict>
              <v:shape w14:anchorId="4059A48B" id="TextBox 44" o:spid="_x0000_s1031" type="#_x0000_t202" style="position:absolute;margin-left:155.15pt;margin-top:63.3pt;width:146.55pt;height:74.3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" fillcolor="window" strokecolor="windowText">
                <v:textbox style="mso-fit-shape-to-text:t">
                  <w:txbxContent>
                    <w:p w14:paraId="7851A3CA"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 xml:space="preserve">Goal O-2:  </w:t>
                      </w:r>
                      <w:r>
                        <w:rPr>
                          <w:rFonts w:ascii="Calibri" w:eastAsia="+mn-ea" w:hAnsi="Calibri" w:cs="+mn-cs"/>
                          <w:color w:val="000000"/>
                          <w:kern w:val="24"/>
                          <w:sz w:val="22"/>
                          <w:szCs w:val="22"/>
                        </w:rPr>
                        <w:t>Increase state capacity to implement the EITI standard and report in timely and comprehensible manner</w:t>
                      </w:r>
                    </w:p>
                  </w:txbxContent>
                </v:textbox>
                <w10:wrap type="square"/>
              </v:shape>
            </w:pict>
          </mc:Fallback>
        </mc:AlternateContent>
      </w:r>
      <w:r>
        <w:rPr>
          <w:noProof/>
          <w:lang w:val="nb-NO" w:eastAsia="nb-NO"/>
        </w:rPr>
        <mc:AlternateContent>
          <mc:Choice Requires="wps">
            <w:drawing>
              <wp:anchor distT="0" distB="0" distL="114300" distR="114300" simplePos="0" relativeHeight="251669504" behindDoc="0" locked="0" layoutInCell="1" allowOverlap="1" wp14:anchorId="1DB09169" wp14:editId="45EE9B71">
                <wp:simplePos x="0" y="0"/>
                <wp:positionH relativeFrom="column">
                  <wp:posOffset>1970405</wp:posOffset>
                </wp:positionH>
                <wp:positionV relativeFrom="paragraph">
                  <wp:posOffset>314325</wp:posOffset>
                </wp:positionV>
                <wp:extent cx="1860550" cy="603250"/>
                <wp:effectExtent l="0" t="0" r="25400" b="24765"/>
                <wp:wrapSquare wrapText="bothSides"/>
                <wp:docPr id="43" name="TextBox 42"/>
                <wp:cNvGraphicFramePr/>
                <a:graphic xmlns:a="http://schemas.openxmlformats.org/drawingml/2006/main">
                  <a:graphicData uri="http://schemas.microsoft.com/office/word/2010/wordprocessingShape">
                    <wps:wsp>
                      <wps:cNvSpPr txBox="1"/>
                      <wps:spPr>
                        <a:xfrm>
                          <a:off x="0" y="0"/>
                          <a:ext cx="1860550" cy="603250"/>
                        </a:xfrm>
                        <a:prstGeom prst="rect">
                          <a:avLst/>
                        </a:prstGeom>
                        <a:solidFill>
                          <a:sysClr val="window" lastClr="FFFFFF"/>
                        </a:solidFill>
                        <a:ln>
                          <a:solidFill>
                            <a:sysClr val="windowText" lastClr="000000"/>
                          </a:solidFill>
                        </a:ln>
                      </wps:spPr>
                      <wps:txbx>
                        <w:txbxContent>
                          <w:p w14:paraId="03E1FDD4"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Goal O-1</w:t>
                            </w:r>
                            <w:r>
                              <w:rPr>
                                <w:rFonts w:ascii="Calibri" w:eastAsia="+mn-ea" w:hAnsi="Calibri" w:cs="+mn-cs"/>
                                <w:color w:val="000000"/>
                                <w:kern w:val="24"/>
                                <w:sz w:val="22"/>
                                <w:szCs w:val="22"/>
                              </w:rPr>
                              <w:t>: Establish clear and credible EITI standards</w:t>
                            </w:r>
                          </w:p>
                        </w:txbxContent>
                      </wps:txbx>
                      <wps:bodyPr wrap="square" rtlCol="0">
                        <a:spAutoFit/>
                      </wps:bodyPr>
                    </wps:wsp>
                  </a:graphicData>
                </a:graphic>
                <wp14:sizeRelH relativeFrom="margin">
                  <wp14:pctWidth>0</wp14:pctWidth>
                </wp14:sizeRelH>
              </wp:anchor>
            </w:drawing>
          </mc:Choice>
          <mc:Fallback>
            <w:pict>
              <v:shape w14:anchorId="1DB09169" id="TextBox 42" o:spid="_x0000_s1032" type="#_x0000_t202" style="position:absolute;margin-left:155.15pt;margin-top:24.75pt;width:146.5pt;height:4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" fillcolor="window" strokecolor="windowText">
                <v:textbox style="mso-fit-shape-to-text:t">
                  <w:txbxContent>
                    <w:p w14:paraId="03E1FDD4"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Goal O-1</w:t>
                      </w:r>
                      <w:r>
                        <w:rPr>
                          <w:rFonts w:ascii="Calibri" w:eastAsia="+mn-ea" w:hAnsi="Calibri" w:cs="+mn-cs"/>
                          <w:color w:val="000000"/>
                          <w:kern w:val="24"/>
                          <w:sz w:val="22"/>
                          <w:szCs w:val="22"/>
                        </w:rPr>
                        <w:t>: Establish clear and credible EITI standards</w:t>
                      </w:r>
                    </w:p>
                  </w:txbxContent>
                </v:textbox>
                <w10:wrap type="square"/>
              </v:shape>
            </w:pict>
          </mc:Fallback>
        </mc:AlternateContent>
      </w:r>
      <w:r>
        <w:rPr>
          <w:noProof/>
          <w:lang w:val="nb-NO" w:eastAsia="nb-NO"/>
        </w:rPr>
        <mc:AlternateContent>
          <mc:Choice Requires="wps">
            <w:drawing>
              <wp:anchor distT="0" distB="0" distL="114300" distR="114300" simplePos="0" relativeHeight="251668480" behindDoc="0" locked="0" layoutInCell="1" allowOverlap="1" wp14:anchorId="5F83E806" wp14:editId="6DCE1172">
                <wp:simplePos x="0" y="0"/>
                <wp:positionH relativeFrom="column">
                  <wp:posOffset>1970405</wp:posOffset>
                </wp:positionH>
                <wp:positionV relativeFrom="paragraph">
                  <wp:posOffset>1805305</wp:posOffset>
                </wp:positionV>
                <wp:extent cx="1860804" cy="773430"/>
                <wp:effectExtent l="0" t="0" r="25400" b="26670"/>
                <wp:wrapSquare wrapText="bothSides"/>
                <wp:docPr id="42" name="TextBox 41"/>
                <wp:cNvGraphicFramePr/>
                <a:graphic xmlns:a="http://schemas.openxmlformats.org/drawingml/2006/main">
                  <a:graphicData uri="http://schemas.microsoft.com/office/word/2010/wordprocessingShape">
                    <wps:wsp>
                      <wps:cNvSpPr txBox="1"/>
                      <wps:spPr>
                        <a:xfrm>
                          <a:off x="0" y="0"/>
                          <a:ext cx="1860804" cy="773430"/>
                        </a:xfrm>
                        <a:prstGeom prst="rect">
                          <a:avLst/>
                        </a:prstGeom>
                        <a:solidFill>
                          <a:sysClr val="window" lastClr="FFFFFF"/>
                        </a:solidFill>
                        <a:ln>
                          <a:solidFill>
                            <a:sysClr val="windowText" lastClr="000000"/>
                          </a:solidFill>
                        </a:ln>
                      </wps:spPr>
                      <wps:txbx>
                        <w:txbxContent>
                          <w:p w14:paraId="57160C48"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 xml:space="preserve">Goal O-3: </w:t>
                            </w:r>
                            <w:r>
                              <w:rPr>
                                <w:rFonts w:ascii="Calibri" w:eastAsia="+mn-ea" w:hAnsi="Calibri" w:cs="+mn-cs"/>
                                <w:color w:val="000000"/>
                                <w:kern w:val="24"/>
                                <w:sz w:val="22"/>
                                <w:szCs w:val="22"/>
                              </w:rPr>
                              <w:t>Increase public understanding, debate, and influence of natural resource management</w:t>
                            </w:r>
                          </w:p>
                        </w:txbxContent>
                      </wps:txbx>
                      <wps:bodyPr wrap="square" rtlCol="0">
                        <a:spAutoFit/>
                      </wps:bodyPr>
                    </wps:wsp>
                  </a:graphicData>
                </a:graphic>
                <wp14:sizeRelH relativeFrom="margin">
                  <wp14:pctWidth>0</wp14:pctWidth>
                </wp14:sizeRelH>
              </wp:anchor>
            </w:drawing>
          </mc:Choice>
          <mc:Fallback>
            <w:pict>
              <v:shape w14:anchorId="5F83E806" id="TextBox 41" o:spid="_x0000_s1033" type="#_x0000_t202" style="position:absolute;margin-left:155.15pt;margin-top:142.15pt;width:146.5pt;height:60.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" fillcolor="window" strokecolor="windowText">
                <v:textbox style="mso-fit-shape-to-text:t">
                  <w:txbxContent>
                    <w:p w14:paraId="57160C48"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 xml:space="preserve">Goal O-3: </w:t>
                      </w:r>
                      <w:r>
                        <w:rPr>
                          <w:rFonts w:ascii="Calibri" w:eastAsia="+mn-ea" w:hAnsi="Calibri" w:cs="+mn-cs"/>
                          <w:color w:val="000000"/>
                          <w:kern w:val="24"/>
                          <w:sz w:val="22"/>
                          <w:szCs w:val="22"/>
                        </w:rPr>
                        <w:t>Increase public understanding, debate, and influence of natural resource management</w:t>
                      </w:r>
                    </w:p>
                  </w:txbxContent>
                </v:textbox>
                <w10:wrap type="square"/>
              </v:shape>
            </w:pict>
          </mc:Fallback>
        </mc:AlternateContent>
      </w:r>
      <w:r>
        <w:rPr>
          <w:noProof/>
          <w:lang w:val="nb-NO" w:eastAsia="nb-NO"/>
        </w:rPr>
        <mc:AlternateContent>
          <mc:Choice Requires="wps">
            <w:drawing>
              <wp:anchor distT="0" distB="0" distL="114300" distR="114300" simplePos="0" relativeHeight="251662336" behindDoc="0" locked="0" layoutInCell="1" allowOverlap="1" wp14:anchorId="5F54FA67" wp14:editId="158022A0">
                <wp:simplePos x="0" y="0"/>
                <wp:positionH relativeFrom="column">
                  <wp:posOffset>59690</wp:posOffset>
                </wp:positionH>
                <wp:positionV relativeFrom="paragraph">
                  <wp:posOffset>0</wp:posOffset>
                </wp:positionV>
                <wp:extent cx="1836000" cy="3464955"/>
                <wp:effectExtent l="0" t="0" r="12065" b="21590"/>
                <wp:wrapSquare wrapText="bothSides"/>
                <wp:docPr id="41" name="Rectangle 40"/>
                <wp:cNvGraphicFramePr/>
                <a:graphic xmlns:a="http://schemas.openxmlformats.org/drawingml/2006/main">
                  <a:graphicData uri="http://schemas.microsoft.com/office/word/2010/wordprocessingShape">
                    <wps:wsp>
                      <wps:cNvSpPr/>
                      <wps:spPr>
                        <a:xfrm>
                          <a:off x="0" y="0"/>
                          <a:ext cx="1836000" cy="3464955"/>
                        </a:xfrm>
                        <a:prstGeom prst="rect">
                          <a:avLst/>
                        </a:prstGeom>
                        <a:solidFill>
                          <a:sysClr val="window" lastClr="FFFFFF">
                            <a:lumMod val="85000"/>
                          </a:sysClr>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rect w14:anchorId="201CC8E6" id="Rectangle 40" o:spid="_x0000_s1026" style="position:absolute;margin-left:4.7pt;margin-top:0;width:144.55pt;height:27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" fillcolor="#d9d9d9" strokecolor="#7f7f7f" strokeweight="2pt">
                <v:textbox inset="5.4pt,2.7pt,5.4pt,2.7pt"/>
                <w10:wrap type="square"/>
              </v:rect>
            </w:pict>
          </mc:Fallback>
        </mc:AlternateContent>
      </w:r>
      <w:r>
        <w:rPr>
          <w:noProof/>
          <w:lang w:val="nb-NO" w:eastAsia="nb-NO"/>
        </w:rPr>
        <mc:AlternateContent>
          <mc:Choice Requires="wps">
            <w:drawing>
              <wp:anchor distT="0" distB="0" distL="114300" distR="114300" simplePos="0" relativeHeight="251663360" behindDoc="0" locked="0" layoutInCell="1" allowOverlap="1" wp14:anchorId="372AF90F" wp14:editId="6FBD104A">
                <wp:simplePos x="0" y="0"/>
                <wp:positionH relativeFrom="column">
                  <wp:posOffset>3914140</wp:posOffset>
                </wp:positionH>
                <wp:positionV relativeFrom="paragraph">
                  <wp:posOffset>0</wp:posOffset>
                </wp:positionV>
                <wp:extent cx="1836000" cy="3467128"/>
                <wp:effectExtent l="0" t="0" r="12065" b="19050"/>
                <wp:wrapSquare wrapText="bothSides"/>
                <wp:docPr id="56" name="Rectangle 55"/>
                <wp:cNvGraphicFramePr/>
                <a:graphic xmlns:a="http://schemas.openxmlformats.org/drawingml/2006/main">
                  <a:graphicData uri="http://schemas.microsoft.com/office/word/2010/wordprocessingShape">
                    <wps:wsp>
                      <wps:cNvSpPr/>
                      <wps:spPr>
                        <a:xfrm>
                          <a:off x="0" y="0"/>
                          <a:ext cx="1836000" cy="3467128"/>
                        </a:xfrm>
                        <a:prstGeom prst="rect">
                          <a:avLst/>
                        </a:prstGeom>
                        <a:solidFill>
                          <a:sysClr val="window" lastClr="FFFFFF">
                            <a:lumMod val="85000"/>
                          </a:sysClr>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rect w14:anchorId="324F198B" id="Rectangle 55" o:spid="_x0000_s1026" style="position:absolute;margin-left:308.2pt;margin-top:0;width:144.55pt;height:27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" fillcolor="#d9d9d9" strokecolor="#7f7f7f" strokeweight="2pt">
                <v:textbox inset="5.4pt,2.7pt,5.4pt,2.7pt"/>
                <w10:wrap type="square"/>
              </v:rect>
            </w:pict>
          </mc:Fallback>
        </mc:AlternateContent>
      </w:r>
      <w:r>
        <w:rPr>
          <w:noProof/>
          <w:lang w:val="nb-NO" w:eastAsia="nb-NO"/>
        </w:rPr>
        <mc:AlternateContent>
          <mc:Choice Requires="wps">
            <w:drawing>
              <wp:anchor distT="0" distB="0" distL="114300" distR="114300" simplePos="0" relativeHeight="251664384" behindDoc="0" locked="0" layoutInCell="1" allowOverlap="1" wp14:anchorId="5665B877" wp14:editId="4326E19E">
                <wp:simplePos x="0" y="0"/>
                <wp:positionH relativeFrom="column">
                  <wp:posOffset>135493</wp:posOffset>
                </wp:positionH>
                <wp:positionV relativeFrom="paragraph">
                  <wp:posOffset>314852</wp:posOffset>
                </wp:positionV>
                <wp:extent cx="1691640" cy="432435"/>
                <wp:effectExtent l="0" t="0" r="22860" b="24765"/>
                <wp:wrapSquare wrapText="bothSides"/>
                <wp:docPr id="35" name="TextBox 34"/>
                <wp:cNvGraphicFramePr/>
                <a:graphic xmlns:a="http://schemas.openxmlformats.org/drawingml/2006/main">
                  <a:graphicData uri="http://schemas.microsoft.com/office/word/2010/wordprocessingShape">
                    <wps:wsp>
                      <wps:cNvSpPr txBox="1"/>
                      <wps:spPr>
                        <a:xfrm>
                          <a:off x="0" y="0"/>
                          <a:ext cx="1691640" cy="432435"/>
                        </a:xfrm>
                        <a:prstGeom prst="rect">
                          <a:avLst/>
                        </a:prstGeom>
                        <a:solidFill>
                          <a:sysClr val="window" lastClr="FFFFFF"/>
                        </a:solidFill>
                        <a:ln>
                          <a:solidFill>
                            <a:sysClr val="windowText" lastClr="000000"/>
                          </a:solidFill>
                        </a:ln>
                      </wps:spPr>
                      <wps:txbx>
                        <w:txbxContent>
                          <w:p w14:paraId="71EF4D9E"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Goal I-1</w:t>
                            </w:r>
                            <w:r>
                              <w:rPr>
                                <w:rFonts w:ascii="Calibri" w:eastAsia="+mn-ea" w:hAnsi="Calibri" w:cs="+mn-cs"/>
                                <w:color w:val="000000"/>
                                <w:kern w:val="24"/>
                                <w:sz w:val="22"/>
                                <w:szCs w:val="22"/>
                              </w:rPr>
                              <w:t>: Brand EITI globally and nationally</w:t>
                            </w:r>
                          </w:p>
                        </w:txbxContent>
                      </wps:txbx>
                      <wps:bodyPr wrap="square" rtlCol="0">
                        <a:spAutoFit/>
                      </wps:bodyPr>
                    </wps:wsp>
                  </a:graphicData>
                </a:graphic>
              </wp:anchor>
            </w:drawing>
          </mc:Choice>
          <mc:Fallback>
            <w:pict>
              <v:shape w14:anchorId="5665B877" id="TextBox 34" o:spid="_x0000_s1034" type="#_x0000_t202" style="position:absolute;margin-left:10.65pt;margin-top:24.8pt;width:133.2pt;height:34.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" fillcolor="window" strokecolor="windowText">
                <v:textbox style="mso-fit-shape-to-text:t">
                  <w:txbxContent>
                    <w:p w14:paraId="71EF4D9E"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Goal I-1</w:t>
                      </w:r>
                      <w:r>
                        <w:rPr>
                          <w:rFonts w:ascii="Calibri" w:eastAsia="+mn-ea" w:hAnsi="Calibri" w:cs="+mn-cs"/>
                          <w:color w:val="000000"/>
                          <w:kern w:val="24"/>
                          <w:sz w:val="22"/>
                          <w:szCs w:val="22"/>
                        </w:rPr>
                        <w:t>: Brand EITI globally and nationally</w:t>
                      </w:r>
                    </w:p>
                  </w:txbxContent>
                </v:textbox>
                <w10:wrap type="square"/>
              </v:shape>
            </w:pict>
          </mc:Fallback>
        </mc:AlternateContent>
      </w:r>
      <w:r>
        <w:rPr>
          <w:noProof/>
          <w:lang w:val="nb-NO" w:eastAsia="nb-NO"/>
        </w:rPr>
        <mc:AlternateContent>
          <mc:Choice Requires="wps">
            <w:drawing>
              <wp:anchor distT="0" distB="0" distL="114300" distR="114300" simplePos="0" relativeHeight="251665408" behindDoc="0" locked="0" layoutInCell="1" allowOverlap="1" wp14:anchorId="5D774298" wp14:editId="45AA3241">
                <wp:simplePos x="0" y="0"/>
                <wp:positionH relativeFrom="column">
                  <wp:posOffset>135493</wp:posOffset>
                </wp:positionH>
                <wp:positionV relativeFrom="paragraph">
                  <wp:posOffset>1466316</wp:posOffset>
                </wp:positionV>
                <wp:extent cx="1691640" cy="773430"/>
                <wp:effectExtent l="0" t="0" r="22860" b="26670"/>
                <wp:wrapSquare wrapText="bothSides"/>
                <wp:docPr id="36" name="TextBox 35"/>
                <wp:cNvGraphicFramePr/>
                <a:graphic xmlns:a="http://schemas.openxmlformats.org/drawingml/2006/main">
                  <a:graphicData uri="http://schemas.microsoft.com/office/word/2010/wordprocessingShape">
                    <wps:wsp>
                      <wps:cNvSpPr txBox="1"/>
                      <wps:spPr>
                        <a:xfrm>
                          <a:off x="0" y="0"/>
                          <a:ext cx="1691640" cy="773430"/>
                        </a:xfrm>
                        <a:prstGeom prst="rect">
                          <a:avLst/>
                        </a:prstGeom>
                        <a:solidFill>
                          <a:sysClr val="window" lastClr="FFFFFF"/>
                        </a:solidFill>
                        <a:ln>
                          <a:solidFill>
                            <a:sysClr val="windowText" lastClr="000000"/>
                          </a:solidFill>
                        </a:ln>
                      </wps:spPr>
                      <wps:txbx>
                        <w:txbxContent>
                          <w:p w14:paraId="0481A508"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Goal I-3</w:t>
                            </w:r>
                            <w:r>
                              <w:rPr>
                                <w:rFonts w:ascii="Calibri" w:eastAsia="+mn-ea" w:hAnsi="Calibri" w:cs="+mn-cs"/>
                                <w:color w:val="000000"/>
                                <w:kern w:val="24"/>
                                <w:sz w:val="22"/>
                                <w:szCs w:val="22"/>
                              </w:rPr>
                              <w:t>: Increase EITI participation, compliance, and support from governments</w:t>
                            </w:r>
                          </w:p>
                        </w:txbxContent>
                      </wps:txbx>
                      <wps:bodyPr wrap="square" rtlCol="0">
                        <a:spAutoFit/>
                      </wps:bodyPr>
                    </wps:wsp>
                  </a:graphicData>
                </a:graphic>
              </wp:anchor>
            </w:drawing>
          </mc:Choice>
          <mc:Fallback>
            <w:pict>
              <v:shape w14:anchorId="5D774298" id="TextBox 35" o:spid="_x0000_s1035" type="#_x0000_t202" style="position:absolute;margin-left:10.65pt;margin-top:115.45pt;width:133.2pt;height:60.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" fillcolor="window" strokecolor="windowText">
                <v:textbox style="mso-fit-shape-to-text:t">
                  <w:txbxContent>
                    <w:p w14:paraId="0481A508"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Goal I-3</w:t>
                      </w:r>
                      <w:r>
                        <w:rPr>
                          <w:rFonts w:ascii="Calibri" w:eastAsia="+mn-ea" w:hAnsi="Calibri" w:cs="+mn-cs"/>
                          <w:color w:val="000000"/>
                          <w:kern w:val="24"/>
                          <w:sz w:val="22"/>
                          <w:szCs w:val="22"/>
                        </w:rPr>
                        <w:t>: Increase EITI participation, compliance, and support from governments</w:t>
                      </w:r>
                    </w:p>
                  </w:txbxContent>
                </v:textbox>
                <w10:wrap type="square"/>
              </v:shape>
            </w:pict>
          </mc:Fallback>
        </mc:AlternateContent>
      </w:r>
      <w:r>
        <w:rPr>
          <w:noProof/>
          <w:lang w:val="nb-NO" w:eastAsia="nb-NO"/>
        </w:rPr>
        <mc:AlternateContent>
          <mc:Choice Requires="wps">
            <w:drawing>
              <wp:anchor distT="0" distB="0" distL="114300" distR="114300" simplePos="0" relativeHeight="251666432" behindDoc="0" locked="0" layoutInCell="1" allowOverlap="1" wp14:anchorId="2CDC2503" wp14:editId="2D56C8DF">
                <wp:simplePos x="0" y="0"/>
                <wp:positionH relativeFrom="column">
                  <wp:posOffset>135493</wp:posOffset>
                </wp:positionH>
                <wp:positionV relativeFrom="paragraph">
                  <wp:posOffset>818256</wp:posOffset>
                </wp:positionV>
                <wp:extent cx="1691640" cy="603250"/>
                <wp:effectExtent l="0" t="0" r="22860" b="25400"/>
                <wp:wrapSquare wrapText="bothSides"/>
                <wp:docPr id="38" name="TextBox 37"/>
                <wp:cNvGraphicFramePr/>
                <a:graphic xmlns:a="http://schemas.openxmlformats.org/drawingml/2006/main">
                  <a:graphicData uri="http://schemas.microsoft.com/office/word/2010/wordprocessingShape">
                    <wps:wsp>
                      <wps:cNvSpPr txBox="1"/>
                      <wps:spPr>
                        <a:xfrm>
                          <a:off x="0" y="0"/>
                          <a:ext cx="1691640" cy="603250"/>
                        </a:xfrm>
                        <a:prstGeom prst="rect">
                          <a:avLst/>
                        </a:prstGeom>
                        <a:solidFill>
                          <a:sysClr val="window" lastClr="FFFFFF"/>
                        </a:solidFill>
                        <a:ln>
                          <a:solidFill>
                            <a:sysClr val="windowText" lastClr="000000"/>
                          </a:solidFill>
                        </a:ln>
                      </wps:spPr>
                      <wps:txbx>
                        <w:txbxContent>
                          <w:p w14:paraId="7CA4D67B"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Goal I-2</w:t>
                            </w:r>
                            <w:r>
                              <w:rPr>
                                <w:rFonts w:ascii="Calibri" w:eastAsia="+mn-ea" w:hAnsi="Calibri" w:cs="+mn-cs"/>
                                <w:color w:val="000000"/>
                                <w:kern w:val="24"/>
                                <w:sz w:val="22"/>
                                <w:szCs w:val="22"/>
                              </w:rPr>
                              <w:t>: Establish (EITI) transparency as a norm globally and nationally</w:t>
                            </w:r>
                          </w:p>
                        </w:txbxContent>
                      </wps:txbx>
                      <wps:bodyPr wrap="square" rtlCol="0">
                        <a:spAutoFit/>
                      </wps:bodyPr>
                    </wps:wsp>
                  </a:graphicData>
                </a:graphic>
              </wp:anchor>
            </w:drawing>
          </mc:Choice>
          <mc:Fallback>
            <w:pict>
              <v:shape w14:anchorId="2CDC2503" id="TextBox 37" o:spid="_x0000_s1036" type="#_x0000_t202" style="position:absolute;margin-left:10.65pt;margin-top:64.45pt;width:133.2pt;height: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" fillcolor="window" strokecolor="windowText">
                <v:textbox style="mso-fit-shape-to-text:t">
                  <w:txbxContent>
                    <w:p w14:paraId="7CA4D67B"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Goal I-2</w:t>
                      </w:r>
                      <w:r>
                        <w:rPr>
                          <w:rFonts w:ascii="Calibri" w:eastAsia="+mn-ea" w:hAnsi="Calibri" w:cs="+mn-cs"/>
                          <w:color w:val="000000"/>
                          <w:kern w:val="24"/>
                          <w:sz w:val="22"/>
                          <w:szCs w:val="22"/>
                        </w:rPr>
                        <w:t>: Establish (EITI) transparency as a norm globally and nationally</w:t>
                      </w:r>
                    </w:p>
                  </w:txbxContent>
                </v:textbox>
                <w10:wrap type="square"/>
              </v:shape>
            </w:pict>
          </mc:Fallback>
        </mc:AlternateContent>
      </w:r>
      <w:r>
        <w:rPr>
          <w:noProof/>
          <w:lang w:val="nb-NO" w:eastAsia="nb-NO"/>
        </w:rPr>
        <mc:AlternateContent>
          <mc:Choice Requires="wps">
            <w:drawing>
              <wp:anchor distT="0" distB="0" distL="114300" distR="114300" simplePos="0" relativeHeight="251667456" behindDoc="0" locked="0" layoutInCell="1" allowOverlap="1" wp14:anchorId="733D671A" wp14:editId="7564E402">
                <wp:simplePos x="0" y="0"/>
                <wp:positionH relativeFrom="column">
                  <wp:posOffset>135493</wp:posOffset>
                </wp:positionH>
                <wp:positionV relativeFrom="paragraph">
                  <wp:posOffset>2287963</wp:posOffset>
                </wp:positionV>
                <wp:extent cx="1691640" cy="1114425"/>
                <wp:effectExtent l="0" t="0" r="22860" b="28575"/>
                <wp:wrapSquare wrapText="bothSides"/>
                <wp:docPr id="39" name="TextBox 38"/>
                <wp:cNvGraphicFramePr/>
                <a:graphic xmlns:a="http://schemas.openxmlformats.org/drawingml/2006/main">
                  <a:graphicData uri="http://schemas.microsoft.com/office/word/2010/wordprocessingShape">
                    <wps:wsp>
                      <wps:cNvSpPr txBox="1"/>
                      <wps:spPr>
                        <a:xfrm>
                          <a:off x="0" y="0"/>
                          <a:ext cx="1691640" cy="1114425"/>
                        </a:xfrm>
                        <a:prstGeom prst="rect">
                          <a:avLst/>
                        </a:prstGeom>
                        <a:solidFill>
                          <a:sysClr val="window" lastClr="FFFFFF"/>
                        </a:solidFill>
                        <a:ln>
                          <a:solidFill>
                            <a:sysClr val="windowText" lastClr="000000"/>
                          </a:solidFill>
                        </a:ln>
                      </wps:spPr>
                      <wps:txbx>
                        <w:txbxContent>
                          <w:p w14:paraId="5AC51DD3"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Goal I-4</w:t>
                            </w:r>
                            <w:r>
                              <w:rPr>
                                <w:rFonts w:ascii="Calibri" w:eastAsia="+mn-ea" w:hAnsi="Calibri" w:cs="+mn-cs"/>
                                <w:color w:val="000000"/>
                                <w:kern w:val="24"/>
                                <w:sz w:val="22"/>
                                <w:szCs w:val="22"/>
                              </w:rPr>
                              <w:t xml:space="preserve">: Establish multi-stakeholder groups as the organizational basis and promote multi-stakeholder model of governance. </w:t>
                            </w:r>
                          </w:p>
                        </w:txbxContent>
                      </wps:txbx>
                      <wps:bodyPr wrap="square" rtlCol="0">
                        <a:spAutoFit/>
                      </wps:bodyPr>
                    </wps:wsp>
                  </a:graphicData>
                </a:graphic>
              </wp:anchor>
            </w:drawing>
          </mc:Choice>
          <mc:Fallback>
            <w:pict>
              <v:shape w14:anchorId="733D671A" id="TextBox 38" o:spid="_x0000_s1037" type="#_x0000_t202" style="position:absolute;margin-left:10.65pt;margin-top:180.15pt;width:133.2pt;height:87.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" fillcolor="window" strokecolor="windowText">
                <v:textbox style="mso-fit-shape-to-text:t">
                  <w:txbxContent>
                    <w:p w14:paraId="5AC51DD3"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Goal I-4</w:t>
                      </w:r>
                      <w:r>
                        <w:rPr>
                          <w:rFonts w:ascii="Calibri" w:eastAsia="+mn-ea" w:hAnsi="Calibri" w:cs="+mn-cs"/>
                          <w:color w:val="000000"/>
                          <w:kern w:val="24"/>
                          <w:sz w:val="22"/>
                          <w:szCs w:val="22"/>
                        </w:rPr>
                        <w:t xml:space="preserve">: Establish multi-stakeholder groups as the organizational basis and promote multi-stakeholder model of governance. </w:t>
                      </w:r>
                    </w:p>
                  </w:txbxContent>
                </v:textbox>
                <w10:wrap type="square"/>
              </v:shape>
            </w:pict>
          </mc:Fallback>
        </mc:AlternateContent>
      </w:r>
      <w:r>
        <w:rPr>
          <w:noProof/>
          <w:lang w:val="nb-NO" w:eastAsia="nb-NO"/>
        </w:rPr>
        <mc:AlternateContent>
          <mc:Choice Requires="wps">
            <w:drawing>
              <wp:anchor distT="0" distB="0" distL="114300" distR="114300" simplePos="0" relativeHeight="251675648" behindDoc="0" locked="0" layoutInCell="1" allowOverlap="1" wp14:anchorId="6A32EF4B" wp14:editId="20C47BDE">
                <wp:simplePos x="0" y="0"/>
                <wp:positionH relativeFrom="column">
                  <wp:posOffset>3983355</wp:posOffset>
                </wp:positionH>
                <wp:positionV relativeFrom="paragraph">
                  <wp:posOffset>314325</wp:posOffset>
                </wp:positionV>
                <wp:extent cx="1692275" cy="944245"/>
                <wp:effectExtent l="0" t="0" r="22225" b="27305"/>
                <wp:wrapSquare wrapText="bothSides"/>
                <wp:docPr id="31" name="TextBox 30"/>
                <wp:cNvGraphicFramePr/>
                <a:graphic xmlns:a="http://schemas.openxmlformats.org/drawingml/2006/main">
                  <a:graphicData uri="http://schemas.microsoft.com/office/word/2010/wordprocessingShape">
                    <wps:wsp>
                      <wps:cNvSpPr txBox="1"/>
                      <wps:spPr>
                        <a:xfrm>
                          <a:off x="0" y="0"/>
                          <a:ext cx="1692275" cy="944245"/>
                        </a:xfrm>
                        <a:prstGeom prst="rect">
                          <a:avLst/>
                        </a:prstGeom>
                        <a:solidFill>
                          <a:sysClr val="window" lastClr="FFFFFF"/>
                        </a:solidFill>
                        <a:ln>
                          <a:solidFill>
                            <a:sysClr val="windowText" lastClr="000000"/>
                          </a:solidFill>
                        </a:ln>
                      </wps:spPr>
                      <wps:txbx>
                        <w:txbxContent>
                          <w:p w14:paraId="6F0573AB"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Goal D-1</w:t>
                            </w:r>
                            <w:r>
                              <w:rPr>
                                <w:rFonts w:ascii="Calibri" w:eastAsia="+mn-ea" w:hAnsi="Calibri" w:cs="+mn-cs"/>
                                <w:color w:val="000000"/>
                                <w:kern w:val="24"/>
                                <w:sz w:val="22"/>
                                <w:szCs w:val="22"/>
                              </w:rPr>
                              <w:t>: Increasing revenues that are returned to the society through reduced corruption</w:t>
                            </w:r>
                          </w:p>
                        </w:txbxContent>
                      </wps:txbx>
                      <wps:bodyPr wrap="square" rtlCol="0">
                        <a:spAutoFit/>
                      </wps:bodyPr>
                    </wps:wsp>
                  </a:graphicData>
                </a:graphic>
              </wp:anchor>
            </w:drawing>
          </mc:Choice>
          <mc:Fallback>
            <w:pict>
              <v:shape w14:anchorId="6A32EF4B" id="TextBox 30" o:spid="_x0000_s1038" type="#_x0000_t202" style="position:absolute;margin-left:313.65pt;margin-top:24.75pt;width:133.25pt;height:74.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" fillcolor="window" strokecolor="windowText">
                <v:textbox style="mso-fit-shape-to-text:t">
                  <w:txbxContent>
                    <w:p w14:paraId="6F0573AB"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Goal D-1</w:t>
                      </w:r>
                      <w:r>
                        <w:rPr>
                          <w:rFonts w:ascii="Calibri" w:eastAsia="+mn-ea" w:hAnsi="Calibri" w:cs="+mn-cs"/>
                          <w:color w:val="000000"/>
                          <w:kern w:val="24"/>
                          <w:sz w:val="22"/>
                          <w:szCs w:val="22"/>
                        </w:rPr>
                        <w:t>: Increasing revenues that are returned to the society through reduced corruption</w:t>
                      </w:r>
                    </w:p>
                  </w:txbxContent>
                </v:textbox>
                <w10:wrap type="square"/>
              </v:shape>
            </w:pict>
          </mc:Fallback>
        </mc:AlternateContent>
      </w:r>
      <w:r>
        <w:rPr>
          <w:noProof/>
          <w:lang w:val="nb-NO" w:eastAsia="nb-NO"/>
        </w:rPr>
        <mc:AlternateContent>
          <mc:Choice Requires="wps">
            <w:drawing>
              <wp:anchor distT="0" distB="0" distL="114300" distR="114300" simplePos="0" relativeHeight="251676672" behindDoc="0" locked="0" layoutInCell="1" allowOverlap="1" wp14:anchorId="0CD2617A" wp14:editId="7D221D21">
                <wp:simplePos x="0" y="0"/>
                <wp:positionH relativeFrom="column">
                  <wp:posOffset>3983355</wp:posOffset>
                </wp:positionH>
                <wp:positionV relativeFrom="paragraph">
                  <wp:posOffset>1336675</wp:posOffset>
                </wp:positionV>
                <wp:extent cx="1692275" cy="1114425"/>
                <wp:effectExtent l="0" t="0" r="22225" b="28575"/>
                <wp:wrapSquare wrapText="bothSides"/>
                <wp:docPr id="32" name="TextBox 31"/>
                <wp:cNvGraphicFramePr/>
                <a:graphic xmlns:a="http://schemas.openxmlformats.org/drawingml/2006/main">
                  <a:graphicData uri="http://schemas.microsoft.com/office/word/2010/wordprocessingShape">
                    <wps:wsp>
                      <wps:cNvSpPr txBox="1"/>
                      <wps:spPr>
                        <a:xfrm>
                          <a:off x="0" y="0"/>
                          <a:ext cx="1692275" cy="1114425"/>
                        </a:xfrm>
                        <a:prstGeom prst="rect">
                          <a:avLst/>
                        </a:prstGeom>
                        <a:solidFill>
                          <a:sysClr val="window" lastClr="FFFFFF"/>
                        </a:solidFill>
                        <a:ln>
                          <a:solidFill>
                            <a:sysClr val="windowText" lastClr="000000"/>
                          </a:solidFill>
                        </a:ln>
                      </wps:spPr>
                      <wps:txbx>
                        <w:txbxContent>
                          <w:p w14:paraId="3F33478E"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Goal D-2</w:t>
                            </w:r>
                            <w:r>
                              <w:rPr>
                                <w:rFonts w:ascii="Calibri" w:eastAsia="+mn-ea" w:hAnsi="Calibri" w:cs="+mn-cs"/>
                                <w:color w:val="000000"/>
                                <w:kern w:val="24"/>
                                <w:sz w:val="22"/>
                                <w:szCs w:val="22"/>
                              </w:rPr>
                              <w:t>: Improve investment climate, increase aid flows, and promote fairer government share of revenues</w:t>
                            </w:r>
                          </w:p>
                        </w:txbxContent>
                      </wps:txbx>
                      <wps:bodyPr wrap="square" rtlCol="0">
                        <a:spAutoFit/>
                      </wps:bodyPr>
                    </wps:wsp>
                  </a:graphicData>
                </a:graphic>
              </wp:anchor>
            </w:drawing>
          </mc:Choice>
          <mc:Fallback>
            <w:pict>
              <v:shape w14:anchorId="0CD2617A" id="TextBox 31" o:spid="_x0000_s1039" type="#_x0000_t202" style="position:absolute;margin-left:313.65pt;margin-top:105.25pt;width:133.25pt;height:87.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" fillcolor="window" strokecolor="windowText">
                <v:textbox style="mso-fit-shape-to-text:t">
                  <w:txbxContent>
                    <w:p w14:paraId="3F33478E" w14:textId="77777777" w:rsidR="0080006E" w:rsidRDefault="0080006E" w:rsidP="0080006E">
                      <w:pPr>
                        <w:pStyle w:val="NormalWeb"/>
                        <w:spacing w:before="0" w:beforeAutospacing="0" w:after="0" w:afterAutospacing="0" w:line="240" w:lineRule="auto"/>
                        <w:ind w:firstLine="0"/>
                      </w:pPr>
                      <w:r>
                        <w:rPr>
                          <w:rFonts w:ascii="Calibri" w:eastAsia="+mn-ea" w:hAnsi="Calibri" w:cs="+mn-cs"/>
                          <w:b/>
                          <w:bCs/>
                          <w:color w:val="000000"/>
                          <w:kern w:val="24"/>
                          <w:sz w:val="22"/>
                          <w:szCs w:val="22"/>
                        </w:rPr>
                        <w:t>Goal D-2</w:t>
                      </w:r>
                      <w:r>
                        <w:rPr>
                          <w:rFonts w:ascii="Calibri" w:eastAsia="+mn-ea" w:hAnsi="Calibri" w:cs="+mn-cs"/>
                          <w:color w:val="000000"/>
                          <w:kern w:val="24"/>
                          <w:sz w:val="22"/>
                          <w:szCs w:val="22"/>
                        </w:rPr>
                        <w:t>: Improve investment climate, increase aid flows, and promote fairer government share of revenues</w:t>
                      </w:r>
                    </w:p>
                  </w:txbxContent>
                </v:textbox>
                <w10:wrap type="square"/>
              </v:shape>
            </w:pict>
          </mc:Fallback>
        </mc:AlternateContent>
      </w:r>
    </w:p>
    <w:p w14:paraId="0BA55DF5" w14:textId="795B0748" w:rsidR="00847BA8" w:rsidRDefault="00847BA8" w:rsidP="002C279D">
      <w:pPr>
        <w:pStyle w:val="Caption"/>
        <w:spacing w:line="276" w:lineRule="auto"/>
      </w:pPr>
      <w:bookmarkStart w:id="0" w:name="_Ref450815038"/>
      <w:r>
        <w:t xml:space="preserve">Figure </w:t>
      </w:r>
      <w:r>
        <w:fldChar w:fldCharType="begin"/>
      </w:r>
      <w:r>
        <w:instrText xml:space="preserve"> SEQ Figure \* ARABIC </w:instrText>
      </w:r>
      <w:r>
        <w:fldChar w:fldCharType="separate"/>
      </w:r>
      <w:r w:rsidR="00146B0B">
        <w:rPr>
          <w:noProof/>
        </w:rPr>
        <w:t>1</w:t>
      </w:r>
      <w:r>
        <w:rPr>
          <w:noProof/>
        </w:rPr>
        <w:fldChar w:fldCharType="end"/>
      </w:r>
      <w:bookmarkEnd w:id="0"/>
      <w:r>
        <w:t xml:space="preserve">. The EITI goals </w:t>
      </w:r>
    </w:p>
    <w:p w14:paraId="410CE801" w14:textId="77777777" w:rsidR="00903C7A" w:rsidRDefault="00903C7A" w:rsidP="002C279D"/>
    <w:p w14:paraId="7057E8A4" w14:textId="7EBCBFF3" w:rsidR="00212FE0" w:rsidRDefault="00212FE0" w:rsidP="002C279D">
      <w:r>
        <w:t xml:space="preserve">In the case of the EITI, defining a ToC for the transparency process would require identifying and sequencing the steps from </w:t>
      </w:r>
      <w:r w:rsidR="00572659">
        <w:t>in</w:t>
      </w:r>
      <w:r w:rsidR="007D3483">
        <w:t xml:space="preserve">itial ones such as a policy commitment </w:t>
      </w:r>
      <w:r w:rsidR="00572659">
        <w:t>to</w:t>
      </w:r>
      <w:r w:rsidR="007D3483">
        <w:t xml:space="preserve"> revenue transparency, to</w:t>
      </w:r>
      <w:r w:rsidR="00572659">
        <w:t xml:space="preserve"> </w:t>
      </w:r>
      <w:r>
        <w:t>final outcome</w:t>
      </w:r>
      <w:r w:rsidR="007D3483">
        <w:t>s</w:t>
      </w:r>
      <w:r>
        <w:t xml:space="preserve"> such as improved living standards. These </w:t>
      </w:r>
      <w:r w:rsidR="00572659">
        <w:t>would</w:t>
      </w:r>
      <w:r>
        <w:t xml:space="preserve"> include short-term outcomes such as </w:t>
      </w:r>
      <w:r w:rsidR="00572659">
        <w:t xml:space="preserve">setting up a system to </w:t>
      </w:r>
      <w:r>
        <w:t>collect t</w:t>
      </w:r>
      <w:r w:rsidR="00572659">
        <w:t>he required information, medium-</w:t>
      </w:r>
      <w:r>
        <w:t xml:space="preserve">term outcomes such as increased public engagement in </w:t>
      </w:r>
      <w:r w:rsidR="00572659">
        <w:t xml:space="preserve">natural resource </w:t>
      </w:r>
      <w:r>
        <w:t>management</w:t>
      </w:r>
      <w:r w:rsidR="00572659">
        <w:t>, and more long-term outcomes such as i</w:t>
      </w:r>
      <w:r w:rsidR="00D65062">
        <w:t>ncreased revenue reaching populations</w:t>
      </w:r>
      <w:r>
        <w:t>.</w:t>
      </w:r>
      <w:r w:rsidR="00572659">
        <w:t xml:space="preserve"> Many</w:t>
      </w:r>
      <w:r>
        <w:t xml:space="preserve"> EITI goals that we identified fall </w:t>
      </w:r>
      <w:r w:rsidR="00572659">
        <w:t xml:space="preserve">within such a </w:t>
      </w:r>
      <w:r>
        <w:t xml:space="preserve">linear, temporal </w:t>
      </w:r>
      <w:r w:rsidR="00572659">
        <w:t>process</w:t>
      </w:r>
      <w:r w:rsidR="00903C7A">
        <w:t>es</w:t>
      </w:r>
      <w:r>
        <w:t>.</w:t>
      </w:r>
      <w:r w:rsidR="00B64EA1">
        <w:t xml:space="preserve"> Within these goals, there are goals that the EITI itself is to produce (e.g., the clear standards and increased public understanding) and goals for which the success is dependent on other changes in society (e.g., sustainable development). </w:t>
      </w:r>
      <w:r w:rsidR="00572659">
        <w:t>Other goals, h</w:t>
      </w:r>
      <w:r>
        <w:t>owever, clearly fall</w:t>
      </w:r>
      <w:r w:rsidR="00B64EA1">
        <w:t>s</w:t>
      </w:r>
      <w:r>
        <w:t xml:space="preserve"> outside </w:t>
      </w:r>
      <w:r w:rsidR="00B64EA1">
        <w:t xml:space="preserve">such a linear, temporal process </w:t>
      </w:r>
      <w:r>
        <w:t>and rather describe goals that EITI has set fo</w:t>
      </w:r>
      <w:r w:rsidR="00572659">
        <w:t>r itself as an institution</w:t>
      </w:r>
      <w:r>
        <w:t xml:space="preserve"> and </w:t>
      </w:r>
      <w:r w:rsidR="00572659">
        <w:t>that</w:t>
      </w:r>
      <w:r>
        <w:t xml:space="preserve"> to a </w:t>
      </w:r>
      <w:r w:rsidR="00572659">
        <w:t>certain</w:t>
      </w:r>
      <w:r>
        <w:t xml:space="preserve"> degree are independent of its success of pro</w:t>
      </w:r>
      <w:r w:rsidR="00572659">
        <w:t>ducing the ultimate outcomes</w:t>
      </w:r>
      <w:r>
        <w:t xml:space="preserve">.  </w:t>
      </w:r>
    </w:p>
    <w:p w14:paraId="3C41583D" w14:textId="4F50FE48" w:rsidR="00212FE0" w:rsidRPr="000521B6" w:rsidRDefault="00572659" w:rsidP="002C279D">
      <w:r>
        <w:t>Thus</w:t>
      </w:r>
      <w:r w:rsidR="00212FE0" w:rsidRPr="000521B6">
        <w:t xml:space="preserve">, </w:t>
      </w:r>
      <w:r w:rsidR="00B64EA1">
        <w:t xml:space="preserve">based on the material, </w:t>
      </w:r>
      <w:r w:rsidR="00212FE0" w:rsidRPr="000521B6">
        <w:t xml:space="preserve">we distinguish between three </w:t>
      </w:r>
      <w:r w:rsidR="00212FE0">
        <w:t xml:space="preserve">conceptual </w:t>
      </w:r>
      <w:r w:rsidR="00212FE0" w:rsidRPr="000521B6">
        <w:t>categories of goals</w:t>
      </w:r>
      <w:r w:rsidR="00B64EA1">
        <w:t xml:space="preserve"> for an organization like EITI</w:t>
      </w:r>
      <w:r w:rsidR="00212FE0" w:rsidRPr="000521B6">
        <w:t>: institutional, operational and developmental, which respectively refer to the goals of (i) establishing an organization and consolidating its position and its view of thinking or functioning</w:t>
      </w:r>
      <w:r w:rsidR="00212FE0">
        <w:t xml:space="preserve"> among the competitors</w:t>
      </w:r>
      <w:r w:rsidR="00212FE0" w:rsidRPr="000521B6">
        <w:t>; (ii) attaining its internal objectives of how it operates</w:t>
      </w:r>
      <w:r w:rsidR="00212FE0">
        <w:t xml:space="preserve"> and what it is to produce </w:t>
      </w:r>
      <w:r w:rsidR="00212FE0" w:rsidRPr="000521B6">
        <w:t xml:space="preserve">(e.g., process and system goals); and (iii) fulfilling the needs of society relating to the organization. </w:t>
      </w:r>
    </w:p>
    <w:p w14:paraId="31E2E91D" w14:textId="70075E5D" w:rsidR="00212FE0" w:rsidRPr="000521B6" w:rsidRDefault="00212FE0" w:rsidP="002C279D">
      <w:r w:rsidRPr="000521B6">
        <w:rPr>
          <w:i/>
        </w:rPr>
        <w:t>Institutional goals</w:t>
      </w:r>
      <w:r w:rsidRPr="000521B6">
        <w:t xml:space="preserve"> refer to an organization’s, often </w:t>
      </w:r>
      <w:r>
        <w:t>medium</w:t>
      </w:r>
      <w:r w:rsidRPr="000521B6">
        <w:t>-term, goals of how it seeks to establish itself in terms of both reputation and influence in the eyes of the others</w:t>
      </w:r>
      <w:r>
        <w:t xml:space="preserve">, a goal that often </w:t>
      </w:r>
      <w:r>
        <w:lastRenderedPageBreak/>
        <w:t xml:space="preserve">is reflected in the organization’s mission statement, </w:t>
      </w:r>
      <w:r w:rsidRPr="000521B6">
        <w:t xml:space="preserve">and its objectives </w:t>
      </w:r>
      <w:r w:rsidR="002164D0">
        <w:t xml:space="preserve">regarding </w:t>
      </w:r>
      <w:r w:rsidRPr="000521B6">
        <w:t xml:space="preserve">its own organizational structure. </w:t>
      </w:r>
      <w:r w:rsidRPr="000521B6">
        <w:rPr>
          <w:i/>
        </w:rPr>
        <w:t>Operational goals</w:t>
      </w:r>
      <w:r w:rsidRPr="000521B6">
        <w:t xml:space="preserve"> refer to set goals about what the organization is to produce (outputs) and thus has direct control over, as well as the process and procedures that support the production of the</w:t>
      </w:r>
      <w:r w:rsidR="0085489A">
        <w:t>se</w:t>
      </w:r>
      <w:r w:rsidRPr="000521B6">
        <w:t xml:space="preserve"> outputs. These are </w:t>
      </w:r>
      <w:r>
        <w:t xml:space="preserve">what in the Theory of Change literature are often considered as the </w:t>
      </w:r>
      <w:r w:rsidRPr="000521B6">
        <w:t xml:space="preserve">short and medium term </w:t>
      </w:r>
      <w:r>
        <w:t>outputs and outcomes</w:t>
      </w:r>
      <w:r w:rsidRPr="000521B6">
        <w:t>. The operational goals can include aspects such as the type and quality of support systems that facilitate achieving these goals</w:t>
      </w:r>
      <w:r w:rsidR="0053328F">
        <w:t>,</w:t>
      </w:r>
      <w:r w:rsidRPr="000521B6">
        <w:t xml:space="preserve"> </w:t>
      </w:r>
      <w:r w:rsidR="0053328F">
        <w:t xml:space="preserve">including </w:t>
      </w:r>
      <w:r w:rsidRPr="000521B6">
        <w:t xml:space="preserve">administrative procedures to support </w:t>
      </w:r>
      <w:r w:rsidR="0053328F">
        <w:t>broader outcomes</w:t>
      </w:r>
      <w:r w:rsidRPr="000521B6">
        <w:t xml:space="preserve">. </w:t>
      </w:r>
      <w:r w:rsidRPr="000521B6">
        <w:rPr>
          <w:i/>
        </w:rPr>
        <w:t>Developmental goals</w:t>
      </w:r>
      <w:r w:rsidRPr="000521B6">
        <w:t xml:space="preserve"> relate to the </w:t>
      </w:r>
      <w:r>
        <w:t>‘</w:t>
      </w:r>
      <w:r w:rsidRPr="000521B6">
        <w:t>ultimate outcomes</w:t>
      </w:r>
      <w:r>
        <w:t>’</w:t>
      </w:r>
      <w:r w:rsidRPr="000521B6">
        <w:t xml:space="preserve"> that the organization seeks to achieve or have impact on, but for which they also depend on contribution</w:t>
      </w:r>
      <w:r>
        <w:t xml:space="preserve"> from other actors and processes and which generally are long-term goals</w:t>
      </w:r>
      <w:r w:rsidRPr="000521B6">
        <w:t>.</w:t>
      </w:r>
    </w:p>
    <w:p w14:paraId="16EAA829" w14:textId="2FD55233" w:rsidR="00E7198B" w:rsidRDefault="00EC5D53" w:rsidP="002C279D">
      <w:r w:rsidRPr="00ED4973">
        <w:t>With respect to the EITI, t</w:t>
      </w:r>
      <w:r w:rsidR="0059130C" w:rsidRPr="00ED4973">
        <w:t xml:space="preserve">hese </w:t>
      </w:r>
      <w:r w:rsidRPr="00ED4973">
        <w:t xml:space="preserve">three broad </w:t>
      </w:r>
      <w:r w:rsidR="0059130C" w:rsidRPr="00ED4973">
        <w:t>goal</w:t>
      </w:r>
      <w:r w:rsidRPr="00ED4973">
        <w:t xml:space="preserve"> categorie</w:t>
      </w:r>
      <w:r w:rsidR="0059130C" w:rsidRPr="00AE7CE4">
        <w:t>s</w:t>
      </w:r>
      <w:r w:rsidR="0059130C" w:rsidRPr="00ED4973">
        <w:rPr>
          <w:b/>
        </w:rPr>
        <w:t xml:space="preserve"> </w:t>
      </w:r>
      <w:r w:rsidR="0059130C" w:rsidRPr="00ED4973">
        <w:t>reflect specific paradigms, and most notably the 'resource curse'</w:t>
      </w:r>
      <w:r w:rsidR="0053328F">
        <w:t xml:space="preserve"> paradigm</w:t>
      </w:r>
      <w:r w:rsidR="0059130C" w:rsidRPr="00ED4973">
        <w:t xml:space="preserve"> arguing that resource wealth is unlikely to deliver broad development without sound revenue management policies and robust institutions able to counteract a high risk of corruption</w:t>
      </w:r>
      <w:r w:rsidR="00EF2367">
        <w:t>, conflicts over resource ownership,</w:t>
      </w:r>
      <w:r w:rsidR="0059130C" w:rsidRPr="00ED4973">
        <w:t xml:space="preserve"> </w:t>
      </w:r>
      <w:r w:rsidR="003269F0">
        <w:t xml:space="preserve">and </w:t>
      </w:r>
      <w:r w:rsidR="00D34751">
        <w:t>preference</w:t>
      </w:r>
      <w:r w:rsidR="00AD49DF">
        <w:t>s</w:t>
      </w:r>
      <w:r w:rsidR="00D34751">
        <w:t xml:space="preserve"> for </w:t>
      </w:r>
      <w:r w:rsidR="00AD49DF">
        <w:t xml:space="preserve">short-term spending </w:t>
      </w:r>
      <w:r w:rsidR="0059130C" w:rsidRPr="00ED4973">
        <w:t>(</w:t>
      </w:r>
      <w:r w:rsidR="004837D1" w:rsidRPr="00ED4973">
        <w:t>Auty 2002; Humphreys et al. 2007</w:t>
      </w:r>
      <w:r w:rsidR="004837D1">
        <w:t xml:space="preserve">; </w:t>
      </w:r>
      <w:r w:rsidR="0059130C" w:rsidRPr="00ED4973">
        <w:t>Ross 1999</w:t>
      </w:r>
      <w:r w:rsidR="00EF2367">
        <w:t>; Le Billon 2013; Collier 2016</w:t>
      </w:r>
      <w:r w:rsidR="0059130C" w:rsidRPr="00ED4973">
        <w:t xml:space="preserve">). The </w:t>
      </w:r>
      <w:r w:rsidR="0059130C" w:rsidRPr="00ED4973">
        <w:rPr>
          <w:i/>
        </w:rPr>
        <w:t>Institutional</w:t>
      </w:r>
      <w:r w:rsidR="0059130C" w:rsidRPr="00ED4973">
        <w:t xml:space="preserve"> and</w:t>
      </w:r>
      <w:r w:rsidR="0059130C" w:rsidRPr="00ED4973">
        <w:rPr>
          <w:i/>
        </w:rPr>
        <w:t xml:space="preserve"> Operation</w:t>
      </w:r>
      <w:r w:rsidR="0053328F">
        <w:rPr>
          <w:i/>
        </w:rPr>
        <w:t>al</w:t>
      </w:r>
      <w:r w:rsidR="0059130C" w:rsidRPr="00ED4973">
        <w:t xml:space="preserve"> goals also reflect broader paradigms of 'good governance', including on the importance of transparency in bringing accountability and improving revenue management (see Kaufmann 2002; Hood and Heald 2006), as well the need for a 'shift from government to governance' to create more effective institutions through tri-partite governance models involving governments, companies, and civil society (see Weiss 2000; Brinkerhoff and Brinkerhoff 2011). </w:t>
      </w:r>
      <w:r w:rsidR="0059130C" w:rsidRPr="00ED4973">
        <w:rPr>
          <w:i/>
        </w:rPr>
        <w:t>Developmental</w:t>
      </w:r>
      <w:r w:rsidR="0059130C" w:rsidRPr="00ED4973">
        <w:t xml:space="preserve"> goals reflect the broad tenets of neoliberal development models, including on the</w:t>
      </w:r>
      <w:r w:rsidR="00454B94" w:rsidRPr="00ED4973">
        <w:t xml:space="preserve"> detrimental effects of </w:t>
      </w:r>
      <w:r w:rsidR="0059130C" w:rsidRPr="00ED4973">
        <w:t xml:space="preserve">corruption </w:t>
      </w:r>
      <w:r w:rsidR="00454B94" w:rsidRPr="00ED4973">
        <w:t>on</w:t>
      </w:r>
      <w:r w:rsidR="0059130C" w:rsidRPr="00ED4973">
        <w:t xml:space="preserve"> </w:t>
      </w:r>
      <w:r w:rsidR="00454B94" w:rsidRPr="00ED4973">
        <w:t>a broad range of socio-economic dimensions</w:t>
      </w:r>
      <w:r w:rsidR="0059130C" w:rsidRPr="00ED4973">
        <w:t xml:space="preserve"> (Bardhan 1997; Leite and Weidmann 1999),</w:t>
      </w:r>
      <w:r w:rsidR="00454B94" w:rsidRPr="00ED4973">
        <w:t xml:space="preserve"> the benefits of foreign direct investment for economic growth (see </w:t>
      </w:r>
      <w:r w:rsidR="004837D1" w:rsidRPr="00ED4973">
        <w:t>Chowdhury and Mavrotas 2006</w:t>
      </w:r>
      <w:r w:rsidR="004837D1">
        <w:t xml:space="preserve">; </w:t>
      </w:r>
      <w:r w:rsidR="00454B94" w:rsidRPr="00ED4973">
        <w:t>Goldsbrough and Landell-Mills),</w:t>
      </w:r>
      <w:r w:rsidR="0059130C" w:rsidRPr="00ED4973">
        <w:t xml:space="preserve"> and the importance of 'inclusive development' approaches </w:t>
      </w:r>
      <w:r w:rsidR="00454B94" w:rsidRPr="00ED4973">
        <w:t xml:space="preserve">to improve living standards </w:t>
      </w:r>
      <w:r w:rsidR="003900C0">
        <w:t>(Spence 2008)</w:t>
      </w:r>
      <w:r w:rsidR="00CF7523">
        <w:t>.</w:t>
      </w:r>
      <w:r w:rsidR="00934620">
        <w:t xml:space="preserve"> </w:t>
      </w:r>
    </w:p>
    <w:p w14:paraId="3CC96479" w14:textId="149A710A" w:rsidR="00847BA8" w:rsidRDefault="002850A7" w:rsidP="002C279D">
      <w:pPr>
        <w:pStyle w:val="Heading2"/>
      </w:pPr>
      <w:r>
        <w:t xml:space="preserve">2.1 </w:t>
      </w:r>
      <w:r w:rsidR="00847BA8">
        <w:t>Institutional goals</w:t>
      </w:r>
    </w:p>
    <w:p w14:paraId="15205AE3" w14:textId="66DAE4BA" w:rsidR="00847BA8" w:rsidRDefault="00847BA8" w:rsidP="002C279D">
      <w:pPr>
        <w:pStyle w:val="Firstparagrpah"/>
      </w:pPr>
      <w:r>
        <w:t xml:space="preserve">The institutional goals of EITI are mainly stated in </w:t>
      </w:r>
      <w:r w:rsidR="006E0410">
        <w:t xml:space="preserve">the </w:t>
      </w:r>
      <w:r>
        <w:t xml:space="preserve">EITI </w:t>
      </w:r>
      <w:r w:rsidRPr="001233E7">
        <w:t>A</w:t>
      </w:r>
      <w:r>
        <w:t xml:space="preserve">rticles of Association and EITI Principles. </w:t>
      </w:r>
      <w:r w:rsidRPr="001233E7">
        <w:t>Article</w:t>
      </w:r>
      <w:r>
        <w:t xml:space="preserve"> </w:t>
      </w:r>
      <w:r w:rsidRPr="001233E7">
        <w:t>2.2 of the EITI A</w:t>
      </w:r>
      <w:r>
        <w:t xml:space="preserve">rticles of </w:t>
      </w:r>
      <w:r w:rsidRPr="001233E7">
        <w:t>Association states:</w:t>
      </w:r>
      <w:r>
        <w:t xml:space="preserve"> “</w:t>
      </w:r>
      <w:r w:rsidRPr="00E843CE">
        <w:rPr>
          <w:rFonts w:cs="Times New Roman"/>
        </w:rPr>
        <w:t xml:space="preserve">The objective of the EITI Association is to make the EITI Principles and EITI requirements the </w:t>
      </w:r>
      <w:r w:rsidRPr="008C462A">
        <w:rPr>
          <w:rFonts w:cs="Times New Roman"/>
          <w:i/>
        </w:rPr>
        <w:t>internationally accepted standard for transparency</w:t>
      </w:r>
      <w:r w:rsidRPr="00E843CE">
        <w:rPr>
          <w:rFonts w:cs="Times New Roman"/>
        </w:rPr>
        <w:t xml:space="preserve"> in the oil, gas and mining sector</w:t>
      </w:r>
      <w:r>
        <w:rPr>
          <w:rFonts w:cs="Times New Roman"/>
        </w:rPr>
        <w:t>” (EITI 2016, p. 48, our emphasis). This echoes and expands the Overview of Validation document stating that validation “…</w:t>
      </w:r>
      <w:r w:rsidRPr="006107E6">
        <w:rPr>
          <w:rFonts w:cs="Times New Roman"/>
        </w:rPr>
        <w:t>safeguards the integrity of the EITI by holding all EITI implementing countries to the same global standard</w:t>
      </w:r>
      <w:r>
        <w:rPr>
          <w:rFonts w:cs="Times New Roman"/>
        </w:rPr>
        <w:t xml:space="preserve"> (</w:t>
      </w:r>
      <w:r w:rsidRPr="006107E6">
        <w:rPr>
          <w:rFonts w:cs="Times New Roman"/>
        </w:rPr>
        <w:t>EITI 2016, p. 39)</w:t>
      </w:r>
      <w:r>
        <w:rPr>
          <w:rFonts w:cs="Times New Roman"/>
        </w:rPr>
        <w:t xml:space="preserve">. </w:t>
      </w:r>
      <w:r>
        <w:t>These statements thus suggest that the EITI aims at building a globally recognized institution</w:t>
      </w:r>
      <w:r w:rsidR="0053328F">
        <w:t xml:space="preserve">al norm around </w:t>
      </w:r>
      <w:r>
        <w:t>transparency in natural resource management.</w:t>
      </w:r>
      <w:r>
        <w:rPr>
          <w:rStyle w:val="FootnoteReference"/>
        </w:rPr>
        <w:footnoteReference w:id="4"/>
      </w:r>
      <w:r>
        <w:t xml:space="preserve">  </w:t>
      </w:r>
    </w:p>
    <w:p w14:paraId="154B83A5" w14:textId="77777777" w:rsidR="00847BA8" w:rsidRPr="00E1668E" w:rsidRDefault="00847BA8" w:rsidP="002C279D">
      <w:pPr>
        <w:rPr>
          <w:i/>
        </w:rPr>
      </w:pPr>
      <w:r w:rsidRPr="00E1668E">
        <w:rPr>
          <w:i/>
        </w:rPr>
        <w:t xml:space="preserve">Goal </w:t>
      </w:r>
      <w:r>
        <w:rPr>
          <w:i/>
        </w:rPr>
        <w:t>I-</w:t>
      </w:r>
      <w:r w:rsidRPr="00E1668E">
        <w:rPr>
          <w:i/>
        </w:rPr>
        <w:t xml:space="preserve">1: Brand </w:t>
      </w:r>
      <w:r>
        <w:rPr>
          <w:i/>
        </w:rPr>
        <w:t xml:space="preserve">the </w:t>
      </w:r>
      <w:r w:rsidRPr="00E1668E">
        <w:rPr>
          <w:i/>
        </w:rPr>
        <w:t>EITI globally and nationally</w:t>
      </w:r>
    </w:p>
    <w:p w14:paraId="3D09F387" w14:textId="60110673" w:rsidR="000512A8" w:rsidRDefault="00847BA8" w:rsidP="002C279D">
      <w:pPr>
        <w:rPr>
          <w:i/>
        </w:rPr>
      </w:pPr>
      <w:r w:rsidRPr="00E1668E">
        <w:rPr>
          <w:i/>
        </w:rPr>
        <w:t xml:space="preserve">Goal </w:t>
      </w:r>
      <w:r>
        <w:rPr>
          <w:i/>
        </w:rPr>
        <w:t>I-</w:t>
      </w:r>
      <w:r w:rsidRPr="00E1668E">
        <w:rPr>
          <w:i/>
        </w:rPr>
        <w:t>2: Establish (EITI) transparency as a norm globally and nationally</w:t>
      </w:r>
    </w:p>
    <w:p w14:paraId="169819CA" w14:textId="77777777" w:rsidR="00482619" w:rsidRDefault="00482619" w:rsidP="002C279D"/>
    <w:p w14:paraId="344D0ADB" w14:textId="0CC212CF" w:rsidR="00847BA8" w:rsidRPr="006E0410" w:rsidRDefault="00CB06B9" w:rsidP="002C279D">
      <w:r w:rsidRPr="006E0410">
        <w:lastRenderedPageBreak/>
        <w:t xml:space="preserve">The </w:t>
      </w:r>
      <w:r w:rsidR="00775E38" w:rsidRPr="006E0410">
        <w:t>branding and spread of EITI standards is mostly pursued through the process of state-level participation in the initiative. As such a core institutional goal of the EITI</w:t>
      </w:r>
      <w:r w:rsidR="00C9028C">
        <w:t xml:space="preserve">, and more specifically of the EITI </w:t>
      </w:r>
      <w:r w:rsidR="00876EC2">
        <w:t>International Secretariat</w:t>
      </w:r>
      <w:r w:rsidR="00775E38" w:rsidRPr="006E0410">
        <w:t xml:space="preserve"> has been to </w:t>
      </w:r>
      <w:r w:rsidR="0061165C">
        <w:t>“</w:t>
      </w:r>
      <w:r w:rsidR="00876EC2">
        <w:t>encourag[e] countries to implement the EITI</w:t>
      </w:r>
      <w:r w:rsidR="0061165C">
        <w:t>”</w:t>
      </w:r>
      <w:r w:rsidR="00775E38" w:rsidRPr="006E0410">
        <w:t xml:space="preserve">, </w:t>
      </w:r>
      <w:r w:rsidR="00876EC2">
        <w:t>notably through increasing</w:t>
      </w:r>
      <w:r w:rsidR="00775E38" w:rsidRPr="006E0410">
        <w:t xml:space="preserve"> financial and diplomatic support from donor countries</w:t>
      </w:r>
      <w:r w:rsidR="000679F4">
        <w:t xml:space="preserve"> (EITI 2014a)</w:t>
      </w:r>
      <w:r w:rsidR="00775E38" w:rsidRPr="006E0410">
        <w:t xml:space="preserve">. </w:t>
      </w:r>
      <w:r w:rsidR="00934620">
        <w:t>Thus, the EITI aims at having a substantial number of countries that either are implementing the EITI standard or that support the EITI.</w:t>
      </w:r>
      <w:r w:rsidR="00934620">
        <w:rPr>
          <w:rStyle w:val="FootnoteReference"/>
        </w:rPr>
        <w:footnoteReference w:id="5"/>
      </w:r>
      <w:r w:rsidR="00934620">
        <w:t xml:space="preserve"> </w:t>
      </w:r>
      <w:r w:rsidR="00775E38" w:rsidRPr="006E0410">
        <w:t xml:space="preserve">  </w:t>
      </w:r>
    </w:p>
    <w:p w14:paraId="0AA65305" w14:textId="7351F3F7" w:rsidR="00847BA8" w:rsidRDefault="00847BA8" w:rsidP="002C279D">
      <w:pPr>
        <w:rPr>
          <w:i/>
        </w:rPr>
      </w:pPr>
      <w:r w:rsidRPr="006E0410">
        <w:rPr>
          <w:i/>
        </w:rPr>
        <w:t>Goal I-3: Increase EITI participation</w:t>
      </w:r>
      <w:r w:rsidR="0061165C">
        <w:rPr>
          <w:i/>
        </w:rPr>
        <w:t>, compliance,</w:t>
      </w:r>
      <w:r w:rsidRPr="006E0410">
        <w:rPr>
          <w:i/>
        </w:rPr>
        <w:t xml:space="preserve"> and</w:t>
      </w:r>
      <w:r w:rsidR="00B01BC6" w:rsidRPr="006E0410">
        <w:rPr>
          <w:i/>
        </w:rPr>
        <w:t xml:space="preserve"> support from </w:t>
      </w:r>
      <w:r w:rsidRPr="006E0410">
        <w:rPr>
          <w:i/>
        </w:rPr>
        <w:t>governments</w:t>
      </w:r>
    </w:p>
    <w:p w14:paraId="29CBAA07" w14:textId="77777777" w:rsidR="00847BA8" w:rsidRDefault="00847BA8" w:rsidP="002C279D"/>
    <w:p w14:paraId="0546A5C3" w14:textId="38694A83" w:rsidR="00847BA8" w:rsidRPr="009031E1" w:rsidRDefault="00847BA8" w:rsidP="002C279D">
      <w:r>
        <w:t>The creation of multi-stakeholder groups (MSG) as the organizational basis and governing structure of the EITI Association and the national EITIs is embedded in the core EITI documents throughout with the justification that “In seeking solutions, [EITI] believe[s] that all stakeholders have important and relevant contributions to make” (Principle 12</w:t>
      </w:r>
      <w:r w:rsidR="0061165C">
        <w:t xml:space="preserve">; </w:t>
      </w:r>
      <w:r>
        <w:t xml:space="preserve">EITI 2016, p. 10). Establishing a MSG is one of the key requirements in order to be accepted as </w:t>
      </w:r>
      <w:r w:rsidR="0061165C">
        <w:t>a</w:t>
      </w:r>
      <w:r w:rsidR="000265CA">
        <w:t>n</w:t>
      </w:r>
      <w:r w:rsidR="0061165C">
        <w:t xml:space="preserve"> </w:t>
      </w:r>
      <w:r>
        <w:t>EITI implementing country.</w:t>
      </w:r>
      <w:r w:rsidR="000512A8">
        <w:t xml:space="preserve"> Beyond the case of the EITI itself, and its own MSG components, the EITI is often given the goal of promoting a multi-stakeholder model of governance and demonstrat</w:t>
      </w:r>
      <w:r w:rsidR="0061165C">
        <w:t>ing</w:t>
      </w:r>
      <w:r w:rsidR="000512A8">
        <w:t xml:space="preserve"> its relevance and viability for complex governance issues where trust in government </w:t>
      </w:r>
      <w:r w:rsidR="001C6F3B">
        <w:t>is</w:t>
      </w:r>
      <w:r w:rsidR="000512A8">
        <w:t xml:space="preserve"> low, the participation of businesses is key, and the role of civil society is deemed important (Rich and Moberg 2015). </w:t>
      </w:r>
    </w:p>
    <w:p w14:paraId="0251EDCE" w14:textId="6C515113" w:rsidR="003F6F7F" w:rsidRDefault="00847BA8" w:rsidP="002C279D">
      <w:pPr>
        <w:rPr>
          <w:i/>
        </w:rPr>
      </w:pPr>
      <w:r w:rsidRPr="00353387">
        <w:rPr>
          <w:i/>
        </w:rPr>
        <w:t>Goal I-4: Establish multi-stakeholder groups as the organizational basis</w:t>
      </w:r>
      <w:r w:rsidR="000512A8">
        <w:rPr>
          <w:i/>
        </w:rPr>
        <w:t xml:space="preserve"> and promote multi-stakeholder model of governance.</w:t>
      </w:r>
      <w:r w:rsidRPr="00353387">
        <w:rPr>
          <w:i/>
        </w:rPr>
        <w:t xml:space="preserve"> </w:t>
      </w:r>
    </w:p>
    <w:p w14:paraId="1C1CA1A6" w14:textId="13A96AFB" w:rsidR="00847BA8" w:rsidRDefault="002850A7" w:rsidP="002C279D">
      <w:pPr>
        <w:pStyle w:val="Heading2"/>
      </w:pPr>
      <w:r>
        <w:t xml:space="preserve">2.2. </w:t>
      </w:r>
      <w:r w:rsidR="00847BA8">
        <w:t>Operational goals</w:t>
      </w:r>
    </w:p>
    <w:p w14:paraId="11721E6C" w14:textId="6AB3B56F" w:rsidR="00847BA8" w:rsidRDefault="00847BA8" w:rsidP="002C279D">
      <w:pPr>
        <w:pStyle w:val="Firstparagrpah"/>
      </w:pPr>
      <w:r>
        <w:t>A clear and credible EITI standard is a cornerstone operational goal that contributes to achieving the institutional goals (discussed in the previous section), and that works towards the other operational goals</w:t>
      </w:r>
      <w:r w:rsidR="001C6F3B">
        <w:t xml:space="preserve">, </w:t>
      </w:r>
      <w:r>
        <w:t>in particular to ensure the national level implementation of EITI and to promote public participation in natural resource management. According to the EITI Principle 10, the EITI seeks to establish “…</w:t>
      </w:r>
      <w:r w:rsidRPr="00CD79B9">
        <w:t xml:space="preserve">a broadly consistent and workable approach to the disclosure of payments and revenues </w:t>
      </w:r>
      <w:r>
        <w:t>…</w:t>
      </w:r>
      <w:r w:rsidRPr="00CD79B9">
        <w:t xml:space="preserve"> which is</w:t>
      </w:r>
      <w:r>
        <w:t xml:space="preserve"> simple to undertake and to use”</w:t>
      </w:r>
      <w:r w:rsidRPr="00CD79B9">
        <w:t xml:space="preserve"> </w:t>
      </w:r>
      <w:r>
        <w:t>(EITI 2016, p. 10).</w:t>
      </w:r>
    </w:p>
    <w:p w14:paraId="6205D9CB" w14:textId="2603FAC3" w:rsidR="00847BA8" w:rsidRPr="007A670D" w:rsidRDefault="00847BA8" w:rsidP="002C279D">
      <w:pPr>
        <w:rPr>
          <w:i/>
        </w:rPr>
      </w:pPr>
      <w:r w:rsidRPr="007A670D">
        <w:rPr>
          <w:i/>
        </w:rPr>
        <w:t xml:space="preserve">Goal O-1: </w:t>
      </w:r>
      <w:r>
        <w:rPr>
          <w:i/>
        </w:rPr>
        <w:t xml:space="preserve">Establish a clear </w:t>
      </w:r>
      <w:r w:rsidR="001C6F3B">
        <w:rPr>
          <w:i/>
        </w:rPr>
        <w:t xml:space="preserve">and credible </w:t>
      </w:r>
      <w:r>
        <w:rPr>
          <w:i/>
        </w:rPr>
        <w:t xml:space="preserve">EITI standard </w:t>
      </w:r>
    </w:p>
    <w:p w14:paraId="1581224E" w14:textId="77777777" w:rsidR="00847BA8" w:rsidRDefault="00847BA8" w:rsidP="002C279D"/>
    <w:p w14:paraId="160DD0D9" w14:textId="285F1305" w:rsidR="00847BA8" w:rsidRDefault="00847BA8" w:rsidP="002C279D">
      <w:r>
        <w:t>As the EITI Standards note “[a] primary motivation for the adoption of the EITI Standard was the desire to produce more relevant, more reliable and more usable information” (EITI 2016, p. 41) in a timely fashion. However, many of the implementing countries lack both the human and financial capacity to implement the EITI requirements and to produce the information within the stipulated timeframes and disseminate it effectively and in a comprehensible manner to the wider public. Therefore, the EITI International Secretariat, EITI support</w:t>
      </w:r>
      <w:r w:rsidR="003C77FB">
        <w:t>ing governments</w:t>
      </w:r>
      <w:r>
        <w:t xml:space="preserve">, and other </w:t>
      </w:r>
      <w:r w:rsidRPr="00AE57F2">
        <w:t xml:space="preserve">international community </w:t>
      </w:r>
      <w:r>
        <w:t xml:space="preserve">actors </w:t>
      </w:r>
      <w:r w:rsidRPr="00AE57F2">
        <w:t xml:space="preserve">provide </w:t>
      </w:r>
      <w:r>
        <w:t xml:space="preserve">considerable </w:t>
      </w:r>
      <w:r w:rsidR="003C77FB">
        <w:t>assistance</w:t>
      </w:r>
      <w:r w:rsidR="003C77FB" w:rsidRPr="00AE57F2">
        <w:t xml:space="preserve"> </w:t>
      </w:r>
      <w:r>
        <w:t xml:space="preserve">to increase the member states’ capacity to implement the EITI requirements through bilateral schemes </w:t>
      </w:r>
      <w:r w:rsidRPr="00AE57F2">
        <w:t>and the EITI Multi-Donor Trust Fund managed by the World Bank.</w:t>
      </w:r>
      <w:r>
        <w:t xml:space="preserve"> </w:t>
      </w:r>
    </w:p>
    <w:p w14:paraId="2B11C563" w14:textId="77777777" w:rsidR="00847BA8" w:rsidRPr="00E1668E" w:rsidRDefault="00847BA8" w:rsidP="002C279D">
      <w:pPr>
        <w:rPr>
          <w:i/>
        </w:rPr>
      </w:pPr>
      <w:r w:rsidRPr="00E1668E">
        <w:rPr>
          <w:i/>
        </w:rPr>
        <w:lastRenderedPageBreak/>
        <w:t>Goal O-</w:t>
      </w:r>
      <w:r>
        <w:rPr>
          <w:i/>
        </w:rPr>
        <w:t>2</w:t>
      </w:r>
      <w:r w:rsidRPr="00E1668E">
        <w:rPr>
          <w:i/>
        </w:rPr>
        <w:t xml:space="preserve">: Increase state capacity </w:t>
      </w:r>
      <w:r>
        <w:rPr>
          <w:i/>
        </w:rPr>
        <w:t xml:space="preserve">to implement the EITI standard and report in </w:t>
      </w:r>
      <w:r w:rsidRPr="00E1668E">
        <w:rPr>
          <w:i/>
        </w:rPr>
        <w:t>timely</w:t>
      </w:r>
      <w:r>
        <w:rPr>
          <w:i/>
        </w:rPr>
        <w:t xml:space="preserve"> and comprehensible manner</w:t>
      </w:r>
    </w:p>
    <w:p w14:paraId="63CE356A" w14:textId="77777777" w:rsidR="00847BA8" w:rsidRDefault="00847BA8" w:rsidP="002C279D"/>
    <w:p w14:paraId="78E4042A" w14:textId="4DC85F06" w:rsidR="00847BA8" w:rsidRDefault="00847BA8" w:rsidP="002C279D">
      <w:r>
        <w:t>Increasing</w:t>
      </w:r>
      <w:r w:rsidRPr="008B0293">
        <w:t xml:space="preserve"> public understanding</w:t>
      </w:r>
      <w:r>
        <w:t xml:space="preserve"> of, debate about, and influence in</w:t>
      </w:r>
      <w:r w:rsidRPr="008B0293">
        <w:t xml:space="preserve"> natural resource management</w:t>
      </w:r>
      <w:r>
        <w:t xml:space="preserve"> is a key EITI goal, and directly linked to development goals in the EITI core documents: “</w:t>
      </w:r>
      <w:r w:rsidRPr="00017BFE">
        <w:t xml:space="preserve">We </w:t>
      </w:r>
      <w:r w:rsidR="00BB3336" w:rsidRPr="00017BFE">
        <w:t>recognize</w:t>
      </w:r>
      <w:r w:rsidRPr="00017BFE">
        <w:t xml:space="preserve"> that a public understanding of government revenues and expenditure over time could help public debate and inform choice of appropriate and realistic options for sustainable development</w:t>
      </w:r>
      <w:r>
        <w:t xml:space="preserve">” </w:t>
      </w:r>
      <w:r w:rsidRPr="00223D08">
        <w:t>(</w:t>
      </w:r>
      <w:r w:rsidR="005E58DA" w:rsidRPr="00223D08">
        <w:t>Principle</w:t>
      </w:r>
      <w:r w:rsidR="005E58DA" w:rsidRPr="00B116E6">
        <w:t xml:space="preserve"> 4</w:t>
      </w:r>
      <w:r w:rsidR="005E58DA">
        <w:t xml:space="preserve">; </w:t>
      </w:r>
      <w:r w:rsidRPr="00223D08">
        <w:t xml:space="preserve">EITI </w:t>
      </w:r>
      <w:r>
        <w:t xml:space="preserve">2016, p. 10). In fact, all EITI Requirements evoke </w:t>
      </w:r>
      <w:r w:rsidR="00967737">
        <w:t>‘</w:t>
      </w:r>
      <w:r>
        <w:t>public</w:t>
      </w:r>
      <w:r w:rsidR="00967737">
        <w:t>’</w:t>
      </w:r>
      <w:r>
        <w:t xml:space="preserve"> directly or as part of </w:t>
      </w:r>
      <w:r w:rsidR="00967737">
        <w:t>‘</w:t>
      </w:r>
      <w:r>
        <w:t>all stakeholders</w:t>
      </w:r>
      <w:r w:rsidR="00967737">
        <w:t>’</w:t>
      </w:r>
      <w:r>
        <w:t xml:space="preserve"> as the key audience for the increased information on natural resource management emphasizing </w:t>
      </w:r>
      <w:r w:rsidR="00967737">
        <w:t>‘</w:t>
      </w:r>
      <w:r>
        <w:t>understanding</w:t>
      </w:r>
      <w:r w:rsidR="00967737">
        <w:t>’</w:t>
      </w:r>
      <w:r>
        <w:t xml:space="preserve"> of the issues, </w:t>
      </w:r>
      <w:r w:rsidR="00967737">
        <w:t>‘</w:t>
      </w:r>
      <w:r>
        <w:t>assessment</w:t>
      </w:r>
      <w:r w:rsidR="00967737">
        <w:t>’</w:t>
      </w:r>
      <w:r>
        <w:t xml:space="preserve"> and </w:t>
      </w:r>
      <w:r w:rsidR="00967737">
        <w:t>‘</w:t>
      </w:r>
      <w:r>
        <w:t>debate</w:t>
      </w:r>
      <w:r w:rsidR="00967737">
        <w:t>’</w:t>
      </w:r>
      <w:r>
        <w:t xml:space="preserve"> of and </w:t>
      </w:r>
      <w:r w:rsidR="00967737">
        <w:t>‘</w:t>
      </w:r>
      <w:r>
        <w:t>dialogue</w:t>
      </w:r>
      <w:r w:rsidR="00967737">
        <w:t>’</w:t>
      </w:r>
      <w:r>
        <w:t xml:space="preserve"> about the management as the crucial contributions to increased transparency (EITI 2016) and as the underlying condition for that “</w:t>
      </w:r>
      <w:r w:rsidRPr="00EC0FC6">
        <w:t>the transparency created by the EITI leads to greater accountability” (p. 41)</w:t>
      </w:r>
      <w:r>
        <w:t xml:space="preserve">. </w:t>
      </w:r>
    </w:p>
    <w:p w14:paraId="5E80A53C" w14:textId="37720C9E" w:rsidR="00847BA8" w:rsidRPr="00BC4807" w:rsidRDefault="00847BA8" w:rsidP="002C279D">
      <w:pPr>
        <w:rPr>
          <w:i/>
          <w:u w:val="single"/>
        </w:rPr>
      </w:pPr>
      <w:r w:rsidRPr="007A670D">
        <w:rPr>
          <w:i/>
        </w:rPr>
        <w:t>Goal O-</w:t>
      </w:r>
      <w:r>
        <w:rPr>
          <w:i/>
        </w:rPr>
        <w:t>3</w:t>
      </w:r>
      <w:r w:rsidRPr="007A670D">
        <w:rPr>
          <w:i/>
        </w:rPr>
        <w:t xml:space="preserve">: </w:t>
      </w:r>
      <w:r w:rsidR="005E58DA" w:rsidRPr="005E58DA">
        <w:rPr>
          <w:i/>
        </w:rPr>
        <w:t>Increase public understanding, debate, and influence of natural resource management</w:t>
      </w:r>
    </w:p>
    <w:p w14:paraId="084FD0E2" w14:textId="77777777" w:rsidR="00847BA8" w:rsidRDefault="00847BA8" w:rsidP="002C279D"/>
    <w:p w14:paraId="790D18A8" w14:textId="051A1F1B" w:rsidR="00847BA8" w:rsidRDefault="00847BA8" w:rsidP="002C279D">
      <w:r>
        <w:t>The final core operational goal we identif</w:t>
      </w:r>
      <w:r w:rsidR="005E58DA">
        <w:t>ied</w:t>
      </w:r>
      <w:r>
        <w:t xml:space="preserve"> for the EITI is related to MSGs: “The EITI requires effective multi-stakeholder oversight, including a functioning multi-stakeholder group that involves the government, companies, and the full, independent, active and effective participation of civil society” (</w:t>
      </w:r>
      <w:r w:rsidR="005E58DA">
        <w:t xml:space="preserve">Requirement 1; </w:t>
      </w:r>
      <w:r>
        <w:t xml:space="preserve">EITI 2016, p. </w:t>
      </w:r>
      <w:r w:rsidR="005E58DA">
        <w:t>12</w:t>
      </w:r>
      <w:r>
        <w:t>).</w:t>
      </w:r>
      <w:r>
        <w:rPr>
          <w:rStyle w:val="FootnoteReference"/>
        </w:rPr>
        <w:footnoteReference w:id="6"/>
      </w:r>
      <w:r>
        <w:t xml:space="preserve"> The EITI Requirements put particular emphasis on the participation of the civil society in MSG (EITI 2016, p. 14). These requirements for the inclusion and independent status of the civil society are further elaborated in a separate section on civil society in the EITI Standard 2016, namely in the protocol on civil society participation (EITI 2016, p. 41). </w:t>
      </w:r>
    </w:p>
    <w:p w14:paraId="0677EBD5" w14:textId="5627F41F" w:rsidR="00847BA8" w:rsidRPr="00E1668E" w:rsidRDefault="00847BA8" w:rsidP="002C279D">
      <w:pPr>
        <w:ind w:firstLine="0"/>
        <w:rPr>
          <w:i/>
        </w:rPr>
      </w:pPr>
      <w:r>
        <w:rPr>
          <w:i/>
        </w:rPr>
        <w:t xml:space="preserve"> </w:t>
      </w:r>
      <w:r w:rsidRPr="00E1668E">
        <w:rPr>
          <w:i/>
        </w:rPr>
        <w:t xml:space="preserve"> Goal O-</w:t>
      </w:r>
      <w:r>
        <w:rPr>
          <w:i/>
        </w:rPr>
        <w:t>4</w:t>
      </w:r>
      <w:r w:rsidRPr="00E1668E">
        <w:rPr>
          <w:i/>
        </w:rPr>
        <w:t xml:space="preserve">: Ensure </w:t>
      </w:r>
      <w:r>
        <w:rPr>
          <w:i/>
        </w:rPr>
        <w:t xml:space="preserve">civil society’s </w:t>
      </w:r>
      <w:r w:rsidR="005D46C4">
        <w:rPr>
          <w:i/>
        </w:rPr>
        <w:t xml:space="preserve">effective </w:t>
      </w:r>
      <w:r>
        <w:rPr>
          <w:i/>
        </w:rPr>
        <w:t xml:space="preserve">participation in </w:t>
      </w:r>
      <w:r w:rsidR="005D46C4" w:rsidRPr="00ED4973">
        <w:rPr>
          <w:i/>
        </w:rPr>
        <w:t>multi-stakeholder groups</w:t>
      </w:r>
      <w:r w:rsidRPr="00E1668E">
        <w:rPr>
          <w:i/>
        </w:rPr>
        <w:t xml:space="preserve"> </w:t>
      </w:r>
    </w:p>
    <w:p w14:paraId="419EF52A" w14:textId="386FD1B6" w:rsidR="00847BA8" w:rsidRDefault="002850A7" w:rsidP="002C279D">
      <w:pPr>
        <w:pStyle w:val="Heading2"/>
      </w:pPr>
      <w:r>
        <w:t xml:space="preserve">2.3. </w:t>
      </w:r>
      <w:r w:rsidR="00847BA8">
        <w:t>Developmental goals</w:t>
      </w:r>
    </w:p>
    <w:p w14:paraId="0A301B3C" w14:textId="2DEDD08C" w:rsidR="00847BA8" w:rsidRPr="00BA5D32" w:rsidRDefault="00847BA8" w:rsidP="002C279D">
      <w:pPr>
        <w:pStyle w:val="Firstparagrpah"/>
      </w:pPr>
      <w:r>
        <w:t xml:space="preserve">EITI’s development goals are in the medium term linked to </w:t>
      </w:r>
      <w:r w:rsidRPr="00E1668E">
        <w:rPr>
          <w:i/>
        </w:rPr>
        <w:t>increased revenues</w:t>
      </w:r>
      <w:r>
        <w:t>. The EITI Principl</w:t>
      </w:r>
      <w:r w:rsidR="00DC3194">
        <w:t>e</w:t>
      </w:r>
      <w:r>
        <w:t xml:space="preserve">s and Articles of Association evoke two ways that are likely to increase </w:t>
      </w:r>
      <w:r w:rsidR="00BB3336">
        <w:t>government revenues</w:t>
      </w:r>
      <w:r>
        <w:t xml:space="preserve"> from natural resource extraction: reduction in corruption and increased domestic and foreign investment (EITI 2016). The latter is expected from EITI implementation as signaling </w:t>
      </w:r>
      <w:r w:rsidRPr="00A70725">
        <w:t>improved investment climate</w:t>
      </w:r>
      <w:r>
        <w:t xml:space="preserve"> (including through requirements by International Financial Institutions for EITI implementation to provide support)</w:t>
      </w:r>
      <w:r w:rsidRPr="00A70725">
        <w:t xml:space="preserve"> </w:t>
      </w:r>
      <w:r>
        <w:t xml:space="preserve">and </w:t>
      </w:r>
      <w:r w:rsidRPr="00A70725">
        <w:t xml:space="preserve">government </w:t>
      </w:r>
      <w:r>
        <w:t>commitment</w:t>
      </w:r>
      <w:r w:rsidRPr="00A70725">
        <w:t xml:space="preserve"> to greater transparency</w:t>
      </w:r>
      <w:r>
        <w:t xml:space="preserve">. </w:t>
      </w:r>
      <w:r w:rsidRPr="00BA5D32">
        <w:t xml:space="preserve">Further, it is also expected that the recommendations based on discrepancies and poor management strategies uncovered during compilation of the annual reports will increase the government share of revenues from extractive sector </w:t>
      </w:r>
      <w:r w:rsidRPr="003F6F7F">
        <w:t>(</w:t>
      </w:r>
      <w:r w:rsidR="00D55965">
        <w:t>EITI 2006</w:t>
      </w:r>
      <w:r w:rsidRPr="003F6F7F">
        <w:t>).</w:t>
      </w:r>
      <w:r w:rsidRPr="00BA5D32">
        <w:t xml:space="preserve"> Increasing aid, although not being a stated EITI goal, is frequently mentioned as an incentive to adopt EITI (e.g., David-Barret &amp; Okamura 2016)</w:t>
      </w:r>
      <w:r w:rsidR="00D24560">
        <w:t>.</w:t>
      </w:r>
    </w:p>
    <w:p w14:paraId="72919181" w14:textId="1718AB14" w:rsidR="00847BA8" w:rsidRPr="00BC6484" w:rsidRDefault="00847BA8" w:rsidP="002C279D">
      <w:pPr>
        <w:rPr>
          <w:i/>
        </w:rPr>
      </w:pPr>
      <w:r w:rsidRPr="00BC6484">
        <w:rPr>
          <w:i/>
        </w:rPr>
        <w:lastRenderedPageBreak/>
        <w:t>Goal D-1: Increas</w:t>
      </w:r>
      <w:r w:rsidR="000512A8" w:rsidRPr="00BC6484">
        <w:rPr>
          <w:i/>
        </w:rPr>
        <w:t>ing</w:t>
      </w:r>
      <w:r w:rsidRPr="00BC6484">
        <w:rPr>
          <w:i/>
        </w:rPr>
        <w:t xml:space="preserve"> revenues that are returned to the society</w:t>
      </w:r>
      <w:r w:rsidR="000512A8" w:rsidRPr="00BC6484">
        <w:rPr>
          <w:i/>
        </w:rPr>
        <w:t xml:space="preserve"> through reduced corruption</w:t>
      </w:r>
    </w:p>
    <w:p w14:paraId="5587F15B" w14:textId="1BEC24AC" w:rsidR="00847BA8" w:rsidRPr="00AA2D7F" w:rsidRDefault="00847BA8" w:rsidP="002C279D">
      <w:pPr>
        <w:ind w:left="170" w:firstLine="0"/>
        <w:rPr>
          <w:i/>
        </w:rPr>
      </w:pPr>
      <w:r w:rsidRPr="00BC6484">
        <w:rPr>
          <w:i/>
        </w:rPr>
        <w:t xml:space="preserve">Goal D-2: </w:t>
      </w:r>
      <w:r w:rsidR="00BC6484" w:rsidRPr="00BC6484">
        <w:rPr>
          <w:i/>
        </w:rPr>
        <w:t>Improve investment climate, increase aid flows, and promote fairer government share of revenues</w:t>
      </w:r>
    </w:p>
    <w:p w14:paraId="5B4314B0" w14:textId="77777777" w:rsidR="00847BA8" w:rsidRDefault="00847BA8" w:rsidP="002C279D"/>
    <w:p w14:paraId="377D7B9B" w14:textId="5F802E30" w:rsidR="00847BA8" w:rsidRDefault="00847BA8" w:rsidP="002C279D">
      <w:r>
        <w:t xml:space="preserve">The </w:t>
      </w:r>
      <w:r w:rsidRPr="00630080">
        <w:t>long-term of EITI goals</w:t>
      </w:r>
      <w:r>
        <w:t xml:space="preserve"> or the </w:t>
      </w:r>
      <w:r>
        <w:rPr>
          <w:i/>
        </w:rPr>
        <w:t xml:space="preserve">ultimate goals </w:t>
      </w:r>
      <w:r>
        <w:t xml:space="preserve">can also be found in the EITI Principles and </w:t>
      </w:r>
      <w:r w:rsidR="00101782">
        <w:t xml:space="preserve">EITI </w:t>
      </w:r>
      <w:r>
        <w:t xml:space="preserve">Articles of Association. The very first </w:t>
      </w:r>
      <w:r w:rsidRPr="001233E7">
        <w:t xml:space="preserve">EITI </w:t>
      </w:r>
      <w:r>
        <w:t>P</w:t>
      </w:r>
      <w:r w:rsidRPr="001233E7">
        <w:t>rinciple</w:t>
      </w:r>
      <w:r>
        <w:t xml:space="preserve"> states</w:t>
      </w:r>
      <w:r w:rsidRPr="001233E7">
        <w:t xml:space="preserve">: </w:t>
      </w:r>
      <w:r>
        <w:t>“</w:t>
      </w:r>
      <w:r w:rsidRPr="007303FF">
        <w:t xml:space="preserve">We share a belief that the prudent use of natural resource wealth should be an important engine for </w:t>
      </w:r>
      <w:r w:rsidRPr="007303FF">
        <w:rPr>
          <w:i/>
        </w:rPr>
        <w:t>sustainable economic growth</w:t>
      </w:r>
      <w:r w:rsidRPr="007303FF">
        <w:t xml:space="preserve"> that contributes to </w:t>
      </w:r>
      <w:r w:rsidRPr="007303FF">
        <w:rPr>
          <w:i/>
        </w:rPr>
        <w:t>sustainable development</w:t>
      </w:r>
      <w:r w:rsidRPr="007303FF">
        <w:t xml:space="preserve"> and </w:t>
      </w:r>
      <w:r w:rsidRPr="007303FF">
        <w:rPr>
          <w:i/>
        </w:rPr>
        <w:t>poverty reduction</w:t>
      </w:r>
      <w:r>
        <w:t>” (EITI 2016, p. 10</w:t>
      </w:r>
      <w:r w:rsidR="0080236F">
        <w:t>, our emphasis</w:t>
      </w:r>
      <w:r>
        <w:t xml:space="preserve">). Further, the </w:t>
      </w:r>
      <w:r w:rsidRPr="001233E7">
        <w:t>Article</w:t>
      </w:r>
      <w:r w:rsidR="00101782">
        <w:t xml:space="preserve"> </w:t>
      </w:r>
      <w:r w:rsidRPr="001233E7">
        <w:t xml:space="preserve">2.2 of the EITI </w:t>
      </w:r>
      <w:r w:rsidR="00101782">
        <w:t xml:space="preserve">Articles of </w:t>
      </w:r>
      <w:r w:rsidRPr="001233E7">
        <w:t>Association states:</w:t>
      </w:r>
      <w:r>
        <w:t xml:space="preserve"> “</w:t>
      </w:r>
      <w:r w:rsidRPr="00E843CE">
        <w:rPr>
          <w:rFonts w:cs="Times New Roman"/>
        </w:rPr>
        <w:t xml:space="preserve">the revenues from extractive industry can </w:t>
      </w:r>
      <w:r w:rsidRPr="008C462A">
        <w:rPr>
          <w:rFonts w:cs="Times New Roman"/>
          <w:i/>
        </w:rPr>
        <w:t>transform economies</w:t>
      </w:r>
      <w:r w:rsidRPr="00E843CE">
        <w:rPr>
          <w:rFonts w:cs="Times New Roman"/>
        </w:rPr>
        <w:t xml:space="preserve">, </w:t>
      </w:r>
      <w:r w:rsidRPr="008C462A">
        <w:rPr>
          <w:rFonts w:cs="Times New Roman"/>
          <w:i/>
        </w:rPr>
        <w:t>reduce poverty</w:t>
      </w:r>
      <w:r w:rsidRPr="00E843CE">
        <w:rPr>
          <w:rFonts w:cs="Times New Roman"/>
        </w:rPr>
        <w:t xml:space="preserve"> and </w:t>
      </w:r>
      <w:r w:rsidRPr="008C462A">
        <w:rPr>
          <w:rFonts w:cs="Times New Roman"/>
          <w:i/>
        </w:rPr>
        <w:t>raise the living standard</w:t>
      </w:r>
      <w:r>
        <w:rPr>
          <w:rFonts w:cs="Times New Roman"/>
        </w:rPr>
        <w:t xml:space="preserve"> of entire populations” (EITI 2016, p. </w:t>
      </w:r>
      <w:r w:rsidR="0080236F">
        <w:rPr>
          <w:rFonts w:cs="Times New Roman"/>
        </w:rPr>
        <w:t>48, our emphasis</w:t>
      </w:r>
      <w:r>
        <w:rPr>
          <w:rFonts w:cs="Times New Roman"/>
        </w:rPr>
        <w:t>).</w:t>
      </w:r>
      <w:r w:rsidR="000512A8">
        <w:rPr>
          <w:rFonts w:cs="Times New Roman"/>
        </w:rPr>
        <w:t xml:space="preserve"> Principle 9 of the EITI Principles also states that EITI encourages “…</w:t>
      </w:r>
      <w:r w:rsidR="000512A8" w:rsidRPr="000C674D">
        <w:rPr>
          <w:rFonts w:cs="Times New Roman"/>
        </w:rPr>
        <w:t>high standards of transparency and accountability in public life, government operations and in business</w:t>
      </w:r>
      <w:r w:rsidR="000512A8">
        <w:rPr>
          <w:rFonts w:cs="Times New Roman"/>
        </w:rPr>
        <w:t xml:space="preserve">” </w:t>
      </w:r>
      <w:r w:rsidR="000512A8" w:rsidRPr="000C674D">
        <w:rPr>
          <w:rFonts w:cs="Times New Roman"/>
        </w:rPr>
        <w:t xml:space="preserve">(EITI </w:t>
      </w:r>
      <w:r w:rsidR="000512A8">
        <w:rPr>
          <w:rFonts w:cs="Times New Roman"/>
        </w:rPr>
        <w:t xml:space="preserve">2016, p. 10), thus promoting </w:t>
      </w:r>
      <w:r w:rsidR="00101782">
        <w:rPr>
          <w:rFonts w:cs="Times New Roman"/>
        </w:rPr>
        <w:t>–</w:t>
      </w:r>
      <w:r w:rsidR="000512A8">
        <w:rPr>
          <w:rFonts w:cs="Times New Roman"/>
        </w:rPr>
        <w:t xml:space="preserve"> through the example of the EITI </w:t>
      </w:r>
      <w:r w:rsidR="00101782">
        <w:rPr>
          <w:rFonts w:cs="Times New Roman"/>
        </w:rPr>
        <w:t>–</w:t>
      </w:r>
      <w:r w:rsidR="000512A8">
        <w:rPr>
          <w:rFonts w:cs="Times New Roman"/>
        </w:rPr>
        <w:t xml:space="preserve"> </w:t>
      </w:r>
      <w:r w:rsidR="00101782">
        <w:rPr>
          <w:rFonts w:cs="Times New Roman"/>
        </w:rPr>
        <w:t>i</w:t>
      </w:r>
      <w:r w:rsidR="000512A8">
        <w:rPr>
          <w:rFonts w:cs="Times New Roman"/>
        </w:rPr>
        <w:t>mproved governance practices</w:t>
      </w:r>
      <w:r w:rsidR="00101782">
        <w:rPr>
          <w:rFonts w:cs="Times New Roman"/>
        </w:rPr>
        <w:t xml:space="preserve"> in general</w:t>
      </w:r>
      <w:r w:rsidR="000512A8">
        <w:rPr>
          <w:rFonts w:cs="Times New Roman"/>
        </w:rPr>
        <w:t>.</w:t>
      </w:r>
      <w:r>
        <w:rPr>
          <w:rFonts w:cs="Times New Roman"/>
        </w:rPr>
        <w:t xml:space="preserve"> </w:t>
      </w:r>
    </w:p>
    <w:p w14:paraId="63FBB0B7" w14:textId="2ECC2228" w:rsidR="00847BA8" w:rsidRDefault="00847BA8" w:rsidP="002C279D">
      <w:pPr>
        <w:rPr>
          <w:i/>
        </w:rPr>
      </w:pPr>
      <w:r w:rsidRPr="003F6F7F">
        <w:rPr>
          <w:i/>
        </w:rPr>
        <w:t>Goal D-3</w:t>
      </w:r>
      <w:r w:rsidRPr="00101782">
        <w:rPr>
          <w:i/>
        </w:rPr>
        <w:t xml:space="preserve">: Promote </w:t>
      </w:r>
      <w:r w:rsidRPr="003F6F7F">
        <w:rPr>
          <w:i/>
        </w:rPr>
        <w:t>good governance</w:t>
      </w:r>
      <w:r w:rsidRPr="00101782">
        <w:rPr>
          <w:i/>
        </w:rPr>
        <w:t>,</w:t>
      </w:r>
      <w:r>
        <w:rPr>
          <w:i/>
        </w:rPr>
        <w:t xml:space="preserve"> sustainable development</w:t>
      </w:r>
      <w:r w:rsidR="00101782">
        <w:rPr>
          <w:i/>
        </w:rPr>
        <w:t>,</w:t>
      </w:r>
      <w:r>
        <w:rPr>
          <w:i/>
        </w:rPr>
        <w:t xml:space="preserve"> and improved </w:t>
      </w:r>
      <w:r w:rsidRPr="006F4983">
        <w:rPr>
          <w:i/>
        </w:rPr>
        <w:t>living standards</w:t>
      </w:r>
    </w:p>
    <w:p w14:paraId="49B73A4A" w14:textId="7E07615D" w:rsidR="00847BA8" w:rsidRDefault="009C40B6" w:rsidP="002C279D">
      <w:pPr>
        <w:pStyle w:val="Heading1"/>
      </w:pPr>
      <w:r>
        <w:t>Meta-study material</w:t>
      </w:r>
    </w:p>
    <w:p w14:paraId="10A69F7D" w14:textId="62CF66FA" w:rsidR="00D11431" w:rsidRDefault="00847BA8" w:rsidP="002C279D">
      <w:pPr>
        <w:pStyle w:val="Firstparagrpah"/>
        <w:rPr>
          <w:rFonts w:cs="Times New Roman"/>
        </w:rPr>
      </w:pPr>
      <w:r>
        <w:t>To evaluate the EITI goals identified above</w:t>
      </w:r>
      <w:r w:rsidR="0080236F">
        <w:t>,</w:t>
      </w:r>
      <w:r>
        <w:t xml:space="preserve"> we reviewed </w:t>
      </w:r>
      <w:r w:rsidR="002A0907">
        <w:t xml:space="preserve">studies (published as academic articles or </w:t>
      </w:r>
      <w:r w:rsidRPr="001233E7">
        <w:t>reports</w:t>
      </w:r>
      <w:r w:rsidR="002A0907">
        <w:t>), either</w:t>
      </w:r>
      <w:r w:rsidRPr="001233E7">
        <w:t xml:space="preserve"> independent and commissioned by the EITI</w:t>
      </w:r>
      <w:r w:rsidR="0080236F">
        <w:t xml:space="preserve">, </w:t>
      </w:r>
      <w:r w:rsidR="002A0907">
        <w:t xml:space="preserve">as long as they clearly assessed </w:t>
      </w:r>
      <w:r w:rsidR="00D36B87">
        <w:t>on</w:t>
      </w:r>
      <w:r w:rsidR="0080236F">
        <w:t>e</w:t>
      </w:r>
      <w:r w:rsidR="00D36B87">
        <w:t xml:space="preserve"> or several of the goals</w:t>
      </w:r>
      <w:r w:rsidR="0080236F">
        <w:t>.</w:t>
      </w:r>
      <w:r w:rsidR="00D36B87">
        <w:rPr>
          <w:rStyle w:val="FootnoteReference"/>
        </w:rPr>
        <w:footnoteReference w:id="7"/>
      </w:r>
      <w:r w:rsidR="00D36B87">
        <w:t xml:space="preserve"> </w:t>
      </w:r>
      <w:r>
        <w:t xml:space="preserve"> </w:t>
      </w:r>
      <w:r w:rsidR="00EC586C">
        <w:rPr>
          <w:rFonts w:cs="Times New Roman"/>
        </w:rPr>
        <w:t xml:space="preserve">Table 1 </w:t>
      </w:r>
      <w:r w:rsidR="002A0907">
        <w:rPr>
          <w:rFonts w:cs="Times New Roman"/>
        </w:rPr>
        <w:t xml:space="preserve">summarizes the findings from </w:t>
      </w:r>
      <w:r w:rsidR="00EC586C">
        <w:rPr>
          <w:rFonts w:cs="Times New Roman"/>
        </w:rPr>
        <w:t xml:space="preserve">the </w:t>
      </w:r>
      <w:r w:rsidR="00D36B87">
        <w:rPr>
          <w:rFonts w:cs="Times New Roman"/>
        </w:rPr>
        <w:t>4</w:t>
      </w:r>
      <w:r w:rsidR="001D5E9D">
        <w:rPr>
          <w:rFonts w:cs="Times New Roman"/>
        </w:rPr>
        <w:t>5</w:t>
      </w:r>
      <w:r w:rsidR="002A0907">
        <w:rPr>
          <w:rFonts w:cs="Times New Roman"/>
        </w:rPr>
        <w:t xml:space="preserve"> studies</w:t>
      </w:r>
      <w:r>
        <w:rPr>
          <w:rFonts w:cs="Times New Roman"/>
        </w:rPr>
        <w:t xml:space="preserve"> </w:t>
      </w:r>
      <w:r w:rsidR="00EC586C">
        <w:rPr>
          <w:rFonts w:cs="Times New Roman"/>
        </w:rPr>
        <w:t>included</w:t>
      </w:r>
      <w:r w:rsidR="00702941">
        <w:rPr>
          <w:rFonts w:cs="Times New Roman"/>
        </w:rPr>
        <w:t xml:space="preserve"> in this </w:t>
      </w:r>
      <w:r w:rsidR="002A0907">
        <w:rPr>
          <w:rFonts w:cs="Times New Roman"/>
        </w:rPr>
        <w:t>meta-study. Findings are characterized as either success, mixed (i.e. diverse outcomes within study sample), or failure. We also note when the study noted that the analysis was ‘too early’ to strongly conclude on the findings.</w:t>
      </w:r>
      <w:r w:rsidRPr="002B7EBD">
        <w:rPr>
          <w:rFonts w:cs="Times New Roman"/>
        </w:rPr>
        <w:t xml:space="preserve"> </w:t>
      </w:r>
      <w:r w:rsidR="002A0907">
        <w:rPr>
          <w:rFonts w:cs="Times New Roman"/>
        </w:rPr>
        <w:t xml:space="preserve">The </w:t>
      </w:r>
      <w:r w:rsidRPr="002B7EBD">
        <w:rPr>
          <w:rFonts w:cs="Times New Roman"/>
        </w:rPr>
        <w:t>Appendix</w:t>
      </w:r>
      <w:r w:rsidR="00913B55">
        <w:rPr>
          <w:rFonts w:cs="Times New Roman"/>
        </w:rPr>
        <w:t xml:space="preserve"> provides a </w:t>
      </w:r>
      <w:r w:rsidRPr="002B7EBD">
        <w:rPr>
          <w:rFonts w:cs="Times New Roman"/>
        </w:rPr>
        <w:t xml:space="preserve">detailed </w:t>
      </w:r>
      <w:r w:rsidR="00EC586C">
        <w:rPr>
          <w:rFonts w:cs="Times New Roman"/>
        </w:rPr>
        <w:t xml:space="preserve">summary </w:t>
      </w:r>
      <w:r w:rsidR="00913B55">
        <w:rPr>
          <w:rFonts w:cs="Times New Roman"/>
        </w:rPr>
        <w:t>of study characteristics according to methods, sample, time period, as well as the full list of studies (for individual study arguments about findings, see the on-line Appendix).</w:t>
      </w:r>
    </w:p>
    <w:p w14:paraId="4CA32F34" w14:textId="67F5F200" w:rsidR="002C279D" w:rsidRDefault="002C279D" w:rsidP="00AC103F">
      <w:r>
        <w:t xml:space="preserve">Table 1 </w:t>
      </w:r>
      <w:r w:rsidRPr="002B7EBD">
        <w:t>clearly</w:t>
      </w:r>
      <w:r>
        <w:t xml:space="preserve"> indicates that the institutional goals have been the most successful, where 72% of the relevant studies view the EITI as a success. The evidence for the success in attaining the operational goals is more mixed while evaluations of development goals point to a 50% rate of failure and only 23% success rate, although 5 studies out of 30 indicate that the analysis was too early to adequately assess EITI developmental effects.</w:t>
      </w:r>
    </w:p>
    <w:tbl>
      <w:tblPr>
        <w:tblW w:w="9214" w:type="dxa"/>
        <w:tblInd w:w="-5" w:type="dxa"/>
        <w:tblLayout w:type="fixed"/>
        <w:tblCellMar>
          <w:left w:w="70" w:type="dxa"/>
          <w:right w:w="70" w:type="dxa"/>
        </w:tblCellMar>
        <w:tblLook w:val="04A0" w:firstRow="1" w:lastRow="0" w:firstColumn="1" w:lastColumn="0" w:noHBand="0" w:noVBand="1"/>
      </w:tblPr>
      <w:tblGrid>
        <w:gridCol w:w="4186"/>
        <w:gridCol w:w="838"/>
        <w:gridCol w:w="838"/>
        <w:gridCol w:w="838"/>
        <w:gridCol w:w="1030"/>
        <w:gridCol w:w="646"/>
        <w:gridCol w:w="838"/>
      </w:tblGrid>
      <w:tr w:rsidR="00D30A64" w:rsidRPr="00D30A64" w14:paraId="191B6ED0" w14:textId="77777777" w:rsidTr="00D30A64">
        <w:trPr>
          <w:trHeight w:val="315"/>
        </w:trPr>
        <w:tc>
          <w:tcPr>
            <w:tcW w:w="418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5E91812D"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lastRenderedPageBreak/>
              <w:t>Goals</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0F157F61"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Success</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46C47285"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Mixed</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796A40B0"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Failure</w:t>
            </w:r>
          </w:p>
        </w:tc>
        <w:tc>
          <w:tcPr>
            <w:tcW w:w="1030" w:type="dxa"/>
            <w:tcBorders>
              <w:top w:val="single" w:sz="4" w:space="0" w:color="auto"/>
              <w:left w:val="nil"/>
              <w:bottom w:val="single" w:sz="8" w:space="0" w:color="auto"/>
              <w:right w:val="single" w:sz="4" w:space="0" w:color="auto"/>
            </w:tcBorders>
            <w:shd w:val="clear" w:color="auto" w:fill="auto"/>
            <w:noWrap/>
            <w:vAlign w:val="center"/>
          </w:tcPr>
          <w:p w14:paraId="7C40A11C"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Too early</w:t>
            </w:r>
          </w:p>
        </w:tc>
        <w:tc>
          <w:tcPr>
            <w:tcW w:w="646" w:type="dxa"/>
            <w:tcBorders>
              <w:top w:val="single" w:sz="4" w:space="0" w:color="auto"/>
              <w:left w:val="nil"/>
              <w:bottom w:val="single" w:sz="8" w:space="0" w:color="auto"/>
              <w:right w:val="single" w:sz="4" w:space="0" w:color="auto"/>
            </w:tcBorders>
            <w:shd w:val="clear" w:color="auto" w:fill="auto"/>
            <w:noWrap/>
            <w:vAlign w:val="center"/>
          </w:tcPr>
          <w:p w14:paraId="5671B511"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Total</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633C3DCB"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Success</w:t>
            </w:r>
          </w:p>
        </w:tc>
      </w:tr>
      <w:tr w:rsidR="00D30A64" w:rsidRPr="00D30A64" w14:paraId="37B59C73" w14:textId="77777777" w:rsidTr="00D30A64">
        <w:trPr>
          <w:trHeight w:val="315"/>
        </w:trPr>
        <w:tc>
          <w:tcPr>
            <w:tcW w:w="418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4C76E1C7" w14:textId="77777777" w:rsidR="00D30A64" w:rsidRPr="001662E7" w:rsidRDefault="00D30A64" w:rsidP="002C279D">
            <w:pPr>
              <w:ind w:firstLine="0"/>
              <w:jc w:val="left"/>
              <w:rPr>
                <w:rFonts w:cs="Times New Roman"/>
                <w:b/>
                <w:sz w:val="20"/>
                <w:szCs w:val="20"/>
                <w:lang w:eastAsia="nb-NO"/>
              </w:rPr>
            </w:pPr>
            <w:r w:rsidRPr="001662E7">
              <w:rPr>
                <w:rFonts w:cs="Times New Roman"/>
                <w:b/>
                <w:sz w:val="20"/>
                <w:szCs w:val="20"/>
                <w:lang w:eastAsia="nb-NO"/>
              </w:rPr>
              <w:t>Institutional</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07C05C53"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38</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79A28523"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9</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6ADA7743"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6</w:t>
            </w:r>
          </w:p>
        </w:tc>
        <w:tc>
          <w:tcPr>
            <w:tcW w:w="1030" w:type="dxa"/>
            <w:tcBorders>
              <w:top w:val="single" w:sz="4" w:space="0" w:color="auto"/>
              <w:left w:val="nil"/>
              <w:bottom w:val="single" w:sz="8" w:space="0" w:color="auto"/>
              <w:right w:val="single" w:sz="4" w:space="0" w:color="auto"/>
            </w:tcBorders>
            <w:shd w:val="clear" w:color="auto" w:fill="auto"/>
            <w:noWrap/>
            <w:vAlign w:val="center"/>
          </w:tcPr>
          <w:p w14:paraId="5A1E46BD"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0</w:t>
            </w:r>
          </w:p>
        </w:tc>
        <w:tc>
          <w:tcPr>
            <w:tcW w:w="646" w:type="dxa"/>
            <w:tcBorders>
              <w:top w:val="single" w:sz="4" w:space="0" w:color="auto"/>
              <w:left w:val="nil"/>
              <w:bottom w:val="single" w:sz="8" w:space="0" w:color="auto"/>
              <w:right w:val="single" w:sz="4" w:space="0" w:color="auto"/>
            </w:tcBorders>
            <w:shd w:val="clear" w:color="auto" w:fill="auto"/>
            <w:noWrap/>
            <w:vAlign w:val="center"/>
          </w:tcPr>
          <w:p w14:paraId="568CB52C"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53</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6F0F4421"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72%</w:t>
            </w:r>
          </w:p>
        </w:tc>
      </w:tr>
      <w:tr w:rsidR="00D30A64" w:rsidRPr="00D30A64" w14:paraId="5D6D9C72" w14:textId="77777777" w:rsidTr="00D30A64">
        <w:trPr>
          <w:trHeight w:val="315"/>
        </w:trPr>
        <w:tc>
          <w:tcPr>
            <w:tcW w:w="418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4D3FC85C"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 xml:space="preserve">Goal I-1, EITI brand </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22F6506F"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1</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5E787216"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0</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4DBDA5EF"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0</w:t>
            </w:r>
          </w:p>
        </w:tc>
        <w:tc>
          <w:tcPr>
            <w:tcW w:w="1030" w:type="dxa"/>
            <w:tcBorders>
              <w:top w:val="single" w:sz="4" w:space="0" w:color="auto"/>
              <w:left w:val="nil"/>
              <w:bottom w:val="single" w:sz="8" w:space="0" w:color="auto"/>
              <w:right w:val="single" w:sz="4" w:space="0" w:color="auto"/>
            </w:tcBorders>
            <w:shd w:val="clear" w:color="auto" w:fill="auto"/>
            <w:noWrap/>
            <w:vAlign w:val="center"/>
          </w:tcPr>
          <w:p w14:paraId="7F93A9E5"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0</w:t>
            </w:r>
          </w:p>
        </w:tc>
        <w:tc>
          <w:tcPr>
            <w:tcW w:w="646" w:type="dxa"/>
            <w:tcBorders>
              <w:top w:val="single" w:sz="4" w:space="0" w:color="auto"/>
              <w:left w:val="nil"/>
              <w:bottom w:val="single" w:sz="8" w:space="0" w:color="auto"/>
              <w:right w:val="single" w:sz="4" w:space="0" w:color="auto"/>
            </w:tcBorders>
            <w:shd w:val="clear" w:color="auto" w:fill="auto"/>
            <w:noWrap/>
            <w:vAlign w:val="center"/>
          </w:tcPr>
          <w:p w14:paraId="5EE9C1DB"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1</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48BEDE94"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100%</w:t>
            </w:r>
          </w:p>
        </w:tc>
      </w:tr>
      <w:tr w:rsidR="00D30A64" w:rsidRPr="00D30A64" w14:paraId="0F492B35" w14:textId="77777777" w:rsidTr="00D30A64">
        <w:trPr>
          <w:trHeight w:val="315"/>
        </w:trPr>
        <w:tc>
          <w:tcPr>
            <w:tcW w:w="418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5117A298"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Goal I-2, Transparency norm and government participation</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12C5919D"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17</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406FF932"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1</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22B7BFBE"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1</w:t>
            </w:r>
          </w:p>
        </w:tc>
        <w:tc>
          <w:tcPr>
            <w:tcW w:w="1030" w:type="dxa"/>
            <w:tcBorders>
              <w:top w:val="single" w:sz="4" w:space="0" w:color="auto"/>
              <w:left w:val="nil"/>
              <w:bottom w:val="single" w:sz="8" w:space="0" w:color="auto"/>
              <w:right w:val="single" w:sz="4" w:space="0" w:color="auto"/>
            </w:tcBorders>
            <w:shd w:val="clear" w:color="auto" w:fill="auto"/>
            <w:noWrap/>
            <w:vAlign w:val="center"/>
          </w:tcPr>
          <w:p w14:paraId="7E43A7EC"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0</w:t>
            </w:r>
          </w:p>
        </w:tc>
        <w:tc>
          <w:tcPr>
            <w:tcW w:w="646" w:type="dxa"/>
            <w:tcBorders>
              <w:top w:val="single" w:sz="4" w:space="0" w:color="auto"/>
              <w:left w:val="nil"/>
              <w:bottom w:val="single" w:sz="8" w:space="0" w:color="auto"/>
              <w:right w:val="single" w:sz="4" w:space="0" w:color="auto"/>
            </w:tcBorders>
            <w:shd w:val="clear" w:color="auto" w:fill="auto"/>
            <w:noWrap/>
            <w:vAlign w:val="center"/>
          </w:tcPr>
          <w:p w14:paraId="048E0904"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19</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57FC90BB"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89%</w:t>
            </w:r>
          </w:p>
        </w:tc>
      </w:tr>
      <w:tr w:rsidR="00D30A64" w:rsidRPr="00D30A64" w14:paraId="13141E49" w14:textId="77777777" w:rsidTr="00D30A64">
        <w:trPr>
          <w:trHeight w:val="315"/>
        </w:trPr>
        <w:tc>
          <w:tcPr>
            <w:tcW w:w="418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050B387F"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Goal I-3, Support, participation and compliance by governments</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1A830202"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14</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2EF0BE1A"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8</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64B9A7D6"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3</w:t>
            </w:r>
          </w:p>
        </w:tc>
        <w:tc>
          <w:tcPr>
            <w:tcW w:w="1030" w:type="dxa"/>
            <w:tcBorders>
              <w:top w:val="single" w:sz="4" w:space="0" w:color="auto"/>
              <w:left w:val="nil"/>
              <w:bottom w:val="single" w:sz="8" w:space="0" w:color="auto"/>
              <w:right w:val="single" w:sz="4" w:space="0" w:color="auto"/>
            </w:tcBorders>
            <w:shd w:val="clear" w:color="auto" w:fill="auto"/>
            <w:noWrap/>
            <w:vAlign w:val="center"/>
          </w:tcPr>
          <w:p w14:paraId="4168A604"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0</w:t>
            </w:r>
          </w:p>
        </w:tc>
        <w:tc>
          <w:tcPr>
            <w:tcW w:w="646" w:type="dxa"/>
            <w:tcBorders>
              <w:top w:val="single" w:sz="4" w:space="0" w:color="auto"/>
              <w:left w:val="nil"/>
              <w:bottom w:val="single" w:sz="8" w:space="0" w:color="auto"/>
              <w:right w:val="single" w:sz="4" w:space="0" w:color="auto"/>
            </w:tcBorders>
            <w:shd w:val="clear" w:color="auto" w:fill="auto"/>
            <w:noWrap/>
            <w:vAlign w:val="center"/>
          </w:tcPr>
          <w:p w14:paraId="66B5C928"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25</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66F2FE56"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56%</w:t>
            </w:r>
          </w:p>
        </w:tc>
      </w:tr>
      <w:tr w:rsidR="00D30A64" w:rsidRPr="00D30A64" w14:paraId="7941453D" w14:textId="77777777" w:rsidTr="00D30A64">
        <w:trPr>
          <w:trHeight w:val="315"/>
        </w:trPr>
        <w:tc>
          <w:tcPr>
            <w:tcW w:w="418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05DA7F5C"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Goal I-4, Multi-stakeholder governance model</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2A549FAD"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6</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0B7E6C9E"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0</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0C19A8CB"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2</w:t>
            </w:r>
          </w:p>
        </w:tc>
        <w:tc>
          <w:tcPr>
            <w:tcW w:w="1030" w:type="dxa"/>
            <w:tcBorders>
              <w:top w:val="single" w:sz="4" w:space="0" w:color="auto"/>
              <w:left w:val="nil"/>
              <w:bottom w:val="single" w:sz="8" w:space="0" w:color="auto"/>
              <w:right w:val="single" w:sz="4" w:space="0" w:color="auto"/>
            </w:tcBorders>
            <w:shd w:val="clear" w:color="auto" w:fill="auto"/>
            <w:noWrap/>
            <w:vAlign w:val="center"/>
          </w:tcPr>
          <w:p w14:paraId="4F6D1A7C"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0</w:t>
            </w:r>
          </w:p>
        </w:tc>
        <w:tc>
          <w:tcPr>
            <w:tcW w:w="646" w:type="dxa"/>
            <w:tcBorders>
              <w:top w:val="single" w:sz="4" w:space="0" w:color="auto"/>
              <w:left w:val="nil"/>
              <w:bottom w:val="single" w:sz="8" w:space="0" w:color="auto"/>
              <w:right w:val="single" w:sz="4" w:space="0" w:color="auto"/>
            </w:tcBorders>
            <w:shd w:val="clear" w:color="auto" w:fill="auto"/>
            <w:noWrap/>
            <w:vAlign w:val="center"/>
          </w:tcPr>
          <w:p w14:paraId="279DDD5E"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8</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6E421C36"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75%</w:t>
            </w:r>
          </w:p>
        </w:tc>
      </w:tr>
      <w:tr w:rsidR="00D30A64" w:rsidRPr="00D30A64" w14:paraId="236AC3A8" w14:textId="77777777" w:rsidTr="00D30A64">
        <w:trPr>
          <w:trHeight w:val="315"/>
        </w:trPr>
        <w:tc>
          <w:tcPr>
            <w:tcW w:w="418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580A3EA7"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Operational</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1C12727F"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25</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0ABF4636"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16</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66F53173"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16</w:t>
            </w:r>
          </w:p>
        </w:tc>
        <w:tc>
          <w:tcPr>
            <w:tcW w:w="1030" w:type="dxa"/>
            <w:tcBorders>
              <w:top w:val="single" w:sz="4" w:space="0" w:color="auto"/>
              <w:left w:val="nil"/>
              <w:bottom w:val="single" w:sz="8" w:space="0" w:color="auto"/>
              <w:right w:val="single" w:sz="4" w:space="0" w:color="auto"/>
            </w:tcBorders>
            <w:shd w:val="clear" w:color="auto" w:fill="auto"/>
            <w:noWrap/>
            <w:vAlign w:val="center"/>
          </w:tcPr>
          <w:p w14:paraId="6776EC94"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0</w:t>
            </w:r>
          </w:p>
        </w:tc>
        <w:tc>
          <w:tcPr>
            <w:tcW w:w="646" w:type="dxa"/>
            <w:tcBorders>
              <w:top w:val="single" w:sz="4" w:space="0" w:color="auto"/>
              <w:left w:val="nil"/>
              <w:bottom w:val="single" w:sz="8" w:space="0" w:color="auto"/>
              <w:right w:val="single" w:sz="4" w:space="0" w:color="auto"/>
            </w:tcBorders>
            <w:shd w:val="clear" w:color="auto" w:fill="auto"/>
            <w:noWrap/>
            <w:vAlign w:val="center"/>
          </w:tcPr>
          <w:p w14:paraId="585EE7DE"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57</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4BF22463"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44%</w:t>
            </w:r>
          </w:p>
        </w:tc>
      </w:tr>
      <w:tr w:rsidR="00D30A64" w:rsidRPr="00D30A64" w14:paraId="20963D97" w14:textId="77777777" w:rsidTr="00D30A64">
        <w:trPr>
          <w:trHeight w:val="315"/>
        </w:trPr>
        <w:tc>
          <w:tcPr>
            <w:tcW w:w="418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51E0C7C4"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Goal O-1, Standards</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375C8BD6"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6</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746D5E37"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1</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22C45D24"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0</w:t>
            </w:r>
          </w:p>
        </w:tc>
        <w:tc>
          <w:tcPr>
            <w:tcW w:w="1030" w:type="dxa"/>
            <w:tcBorders>
              <w:top w:val="single" w:sz="4" w:space="0" w:color="auto"/>
              <w:left w:val="nil"/>
              <w:bottom w:val="single" w:sz="8" w:space="0" w:color="auto"/>
              <w:right w:val="single" w:sz="4" w:space="0" w:color="auto"/>
            </w:tcBorders>
            <w:shd w:val="clear" w:color="auto" w:fill="auto"/>
            <w:noWrap/>
            <w:vAlign w:val="center"/>
          </w:tcPr>
          <w:p w14:paraId="6235FCFA"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0</w:t>
            </w:r>
          </w:p>
        </w:tc>
        <w:tc>
          <w:tcPr>
            <w:tcW w:w="646" w:type="dxa"/>
            <w:tcBorders>
              <w:top w:val="single" w:sz="4" w:space="0" w:color="auto"/>
              <w:left w:val="nil"/>
              <w:bottom w:val="single" w:sz="8" w:space="0" w:color="auto"/>
              <w:right w:val="single" w:sz="4" w:space="0" w:color="auto"/>
            </w:tcBorders>
            <w:shd w:val="clear" w:color="auto" w:fill="auto"/>
            <w:noWrap/>
            <w:vAlign w:val="center"/>
          </w:tcPr>
          <w:p w14:paraId="4C36E6ED"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7</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7145DF59"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86%</w:t>
            </w:r>
          </w:p>
        </w:tc>
      </w:tr>
      <w:tr w:rsidR="00D30A64" w:rsidRPr="00D30A64" w14:paraId="168A32EB" w14:textId="77777777" w:rsidTr="00D30A64">
        <w:trPr>
          <w:trHeight w:val="315"/>
        </w:trPr>
        <w:tc>
          <w:tcPr>
            <w:tcW w:w="418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3EC57ED5"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Goal O-2, National capacity and reporting</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399F74F7"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11</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3556FB6D"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4</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64F85A50"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0</w:t>
            </w:r>
          </w:p>
        </w:tc>
        <w:tc>
          <w:tcPr>
            <w:tcW w:w="1030" w:type="dxa"/>
            <w:tcBorders>
              <w:top w:val="single" w:sz="4" w:space="0" w:color="auto"/>
              <w:left w:val="nil"/>
              <w:bottom w:val="single" w:sz="8" w:space="0" w:color="auto"/>
              <w:right w:val="single" w:sz="4" w:space="0" w:color="auto"/>
            </w:tcBorders>
            <w:shd w:val="clear" w:color="auto" w:fill="auto"/>
            <w:noWrap/>
            <w:vAlign w:val="center"/>
          </w:tcPr>
          <w:p w14:paraId="26ADA779"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0</w:t>
            </w:r>
          </w:p>
        </w:tc>
        <w:tc>
          <w:tcPr>
            <w:tcW w:w="646" w:type="dxa"/>
            <w:tcBorders>
              <w:top w:val="single" w:sz="4" w:space="0" w:color="auto"/>
              <w:left w:val="nil"/>
              <w:bottom w:val="single" w:sz="8" w:space="0" w:color="auto"/>
              <w:right w:val="single" w:sz="4" w:space="0" w:color="auto"/>
            </w:tcBorders>
            <w:shd w:val="clear" w:color="auto" w:fill="auto"/>
            <w:noWrap/>
            <w:vAlign w:val="center"/>
          </w:tcPr>
          <w:p w14:paraId="6EFEA2D3"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15</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39B958A3"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73%</w:t>
            </w:r>
          </w:p>
        </w:tc>
      </w:tr>
      <w:tr w:rsidR="00D30A64" w:rsidRPr="00D30A64" w14:paraId="7344D0FA" w14:textId="77777777" w:rsidTr="00D30A64">
        <w:trPr>
          <w:trHeight w:val="315"/>
        </w:trPr>
        <w:tc>
          <w:tcPr>
            <w:tcW w:w="418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4ED022B5"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Goal O-3, Public understanding</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21D06295"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2</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5262A606"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4</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2D88215A"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8</w:t>
            </w:r>
          </w:p>
        </w:tc>
        <w:tc>
          <w:tcPr>
            <w:tcW w:w="1030" w:type="dxa"/>
            <w:tcBorders>
              <w:top w:val="single" w:sz="4" w:space="0" w:color="auto"/>
              <w:left w:val="nil"/>
              <w:bottom w:val="single" w:sz="8" w:space="0" w:color="auto"/>
              <w:right w:val="single" w:sz="4" w:space="0" w:color="auto"/>
            </w:tcBorders>
            <w:shd w:val="clear" w:color="auto" w:fill="auto"/>
            <w:noWrap/>
            <w:vAlign w:val="center"/>
          </w:tcPr>
          <w:p w14:paraId="5A74461F"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0</w:t>
            </w:r>
          </w:p>
        </w:tc>
        <w:tc>
          <w:tcPr>
            <w:tcW w:w="646" w:type="dxa"/>
            <w:tcBorders>
              <w:top w:val="single" w:sz="4" w:space="0" w:color="auto"/>
              <w:left w:val="nil"/>
              <w:bottom w:val="single" w:sz="8" w:space="0" w:color="auto"/>
              <w:right w:val="single" w:sz="4" w:space="0" w:color="auto"/>
            </w:tcBorders>
            <w:shd w:val="clear" w:color="auto" w:fill="auto"/>
            <w:noWrap/>
            <w:vAlign w:val="center"/>
          </w:tcPr>
          <w:p w14:paraId="39B2F797"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14</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21D13E04"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14%</w:t>
            </w:r>
          </w:p>
        </w:tc>
      </w:tr>
      <w:tr w:rsidR="00D30A64" w:rsidRPr="00D30A64" w14:paraId="38DC9419" w14:textId="77777777" w:rsidTr="00D30A64">
        <w:trPr>
          <w:trHeight w:val="315"/>
        </w:trPr>
        <w:tc>
          <w:tcPr>
            <w:tcW w:w="418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3212097F"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 xml:space="preserve">Goal O-4, Civil society’s participation in MSG </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79031E95"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6</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07B924FB"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7</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64CC658E"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8</w:t>
            </w:r>
          </w:p>
        </w:tc>
        <w:tc>
          <w:tcPr>
            <w:tcW w:w="1030" w:type="dxa"/>
            <w:tcBorders>
              <w:top w:val="single" w:sz="4" w:space="0" w:color="auto"/>
              <w:left w:val="nil"/>
              <w:bottom w:val="single" w:sz="8" w:space="0" w:color="auto"/>
              <w:right w:val="single" w:sz="4" w:space="0" w:color="auto"/>
            </w:tcBorders>
            <w:shd w:val="clear" w:color="auto" w:fill="auto"/>
            <w:noWrap/>
            <w:vAlign w:val="center"/>
          </w:tcPr>
          <w:p w14:paraId="1060F785"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0</w:t>
            </w:r>
          </w:p>
        </w:tc>
        <w:tc>
          <w:tcPr>
            <w:tcW w:w="646" w:type="dxa"/>
            <w:tcBorders>
              <w:top w:val="single" w:sz="4" w:space="0" w:color="auto"/>
              <w:left w:val="nil"/>
              <w:bottom w:val="single" w:sz="8" w:space="0" w:color="auto"/>
              <w:right w:val="single" w:sz="4" w:space="0" w:color="auto"/>
            </w:tcBorders>
            <w:shd w:val="clear" w:color="auto" w:fill="auto"/>
            <w:noWrap/>
            <w:vAlign w:val="center"/>
          </w:tcPr>
          <w:p w14:paraId="73045140"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21</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07ADFD56"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29%</w:t>
            </w:r>
          </w:p>
        </w:tc>
      </w:tr>
      <w:tr w:rsidR="00D30A64" w:rsidRPr="00D30A64" w14:paraId="4447379C" w14:textId="77777777" w:rsidTr="00D30A64">
        <w:trPr>
          <w:trHeight w:val="315"/>
        </w:trPr>
        <w:tc>
          <w:tcPr>
            <w:tcW w:w="418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012A6458"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Developmental</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52582E9A"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7</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1C00B15A"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2</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61A07BBF"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16</w:t>
            </w:r>
          </w:p>
        </w:tc>
        <w:tc>
          <w:tcPr>
            <w:tcW w:w="1030" w:type="dxa"/>
            <w:tcBorders>
              <w:top w:val="single" w:sz="4" w:space="0" w:color="auto"/>
              <w:left w:val="nil"/>
              <w:bottom w:val="single" w:sz="8" w:space="0" w:color="auto"/>
              <w:right w:val="single" w:sz="4" w:space="0" w:color="auto"/>
            </w:tcBorders>
            <w:shd w:val="clear" w:color="auto" w:fill="auto"/>
            <w:noWrap/>
            <w:vAlign w:val="center"/>
          </w:tcPr>
          <w:p w14:paraId="64B8351D"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5</w:t>
            </w:r>
          </w:p>
        </w:tc>
        <w:tc>
          <w:tcPr>
            <w:tcW w:w="646" w:type="dxa"/>
            <w:tcBorders>
              <w:top w:val="single" w:sz="4" w:space="0" w:color="auto"/>
              <w:left w:val="nil"/>
              <w:bottom w:val="single" w:sz="8" w:space="0" w:color="auto"/>
              <w:right w:val="single" w:sz="4" w:space="0" w:color="auto"/>
            </w:tcBorders>
            <w:shd w:val="clear" w:color="auto" w:fill="auto"/>
            <w:noWrap/>
            <w:vAlign w:val="center"/>
          </w:tcPr>
          <w:p w14:paraId="09DA7480"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30</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1CB4199C"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23%</w:t>
            </w:r>
          </w:p>
        </w:tc>
      </w:tr>
      <w:tr w:rsidR="00D30A64" w:rsidRPr="00D30A64" w14:paraId="47281A86" w14:textId="77777777" w:rsidTr="00D30A64">
        <w:trPr>
          <w:trHeight w:val="315"/>
        </w:trPr>
        <w:tc>
          <w:tcPr>
            <w:tcW w:w="418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7B2D2F83" w14:textId="79404E6F"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 xml:space="preserve">Goal D-1, </w:t>
            </w:r>
            <w:r w:rsidR="001662E7" w:rsidRPr="00D30A64">
              <w:rPr>
                <w:rFonts w:cs="Times New Roman"/>
                <w:sz w:val="20"/>
                <w:szCs w:val="20"/>
                <w:lang w:eastAsia="nb-NO"/>
              </w:rPr>
              <w:t>Increase</w:t>
            </w:r>
            <w:r w:rsidRPr="00D30A64">
              <w:rPr>
                <w:rFonts w:cs="Times New Roman"/>
                <w:sz w:val="20"/>
                <w:szCs w:val="20"/>
                <w:lang w:eastAsia="nb-NO"/>
              </w:rPr>
              <w:t xml:space="preserve"> natural resource revenues</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0F84BE9C"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2</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729130A0"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1</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47034EAE"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8</w:t>
            </w:r>
          </w:p>
        </w:tc>
        <w:tc>
          <w:tcPr>
            <w:tcW w:w="1030" w:type="dxa"/>
            <w:tcBorders>
              <w:top w:val="single" w:sz="4" w:space="0" w:color="auto"/>
              <w:left w:val="nil"/>
              <w:bottom w:val="single" w:sz="8" w:space="0" w:color="auto"/>
              <w:right w:val="single" w:sz="4" w:space="0" w:color="auto"/>
            </w:tcBorders>
            <w:shd w:val="clear" w:color="auto" w:fill="auto"/>
            <w:noWrap/>
            <w:vAlign w:val="center"/>
          </w:tcPr>
          <w:p w14:paraId="64EE3A0E"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2</w:t>
            </w:r>
          </w:p>
        </w:tc>
        <w:tc>
          <w:tcPr>
            <w:tcW w:w="646" w:type="dxa"/>
            <w:tcBorders>
              <w:top w:val="single" w:sz="4" w:space="0" w:color="auto"/>
              <w:left w:val="nil"/>
              <w:bottom w:val="single" w:sz="8" w:space="0" w:color="auto"/>
              <w:right w:val="single" w:sz="4" w:space="0" w:color="auto"/>
            </w:tcBorders>
            <w:shd w:val="clear" w:color="auto" w:fill="auto"/>
            <w:noWrap/>
            <w:vAlign w:val="center"/>
          </w:tcPr>
          <w:p w14:paraId="22362AEA"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13</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13192834"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15%</w:t>
            </w:r>
          </w:p>
        </w:tc>
      </w:tr>
      <w:tr w:rsidR="00D30A64" w:rsidRPr="00D30A64" w14:paraId="25E18D29" w14:textId="77777777" w:rsidTr="00D30A64">
        <w:trPr>
          <w:trHeight w:val="315"/>
        </w:trPr>
        <w:tc>
          <w:tcPr>
            <w:tcW w:w="418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88E5308" w14:textId="39807344"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 xml:space="preserve">Goal D-2, </w:t>
            </w:r>
            <w:r w:rsidR="001662E7" w:rsidRPr="00D30A64">
              <w:rPr>
                <w:rFonts w:cs="Times New Roman"/>
                <w:sz w:val="20"/>
                <w:szCs w:val="20"/>
                <w:lang w:eastAsia="nb-NO"/>
              </w:rPr>
              <w:t>Increase</w:t>
            </w:r>
            <w:r w:rsidRPr="00D30A64">
              <w:rPr>
                <w:rFonts w:cs="Times New Roman"/>
                <w:sz w:val="20"/>
                <w:szCs w:val="20"/>
                <w:lang w:eastAsia="nb-NO"/>
              </w:rPr>
              <w:t xml:space="preserve"> investments</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37143745"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5</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1D9911FC"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0</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1453A1B4"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1</w:t>
            </w:r>
          </w:p>
        </w:tc>
        <w:tc>
          <w:tcPr>
            <w:tcW w:w="1030" w:type="dxa"/>
            <w:tcBorders>
              <w:top w:val="single" w:sz="4" w:space="0" w:color="auto"/>
              <w:left w:val="nil"/>
              <w:bottom w:val="single" w:sz="8" w:space="0" w:color="auto"/>
              <w:right w:val="single" w:sz="4" w:space="0" w:color="auto"/>
            </w:tcBorders>
            <w:shd w:val="clear" w:color="auto" w:fill="auto"/>
            <w:noWrap/>
            <w:vAlign w:val="center"/>
          </w:tcPr>
          <w:p w14:paraId="676F2FDC"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1</w:t>
            </w:r>
          </w:p>
        </w:tc>
        <w:tc>
          <w:tcPr>
            <w:tcW w:w="646" w:type="dxa"/>
            <w:tcBorders>
              <w:top w:val="single" w:sz="4" w:space="0" w:color="auto"/>
              <w:left w:val="nil"/>
              <w:bottom w:val="single" w:sz="8" w:space="0" w:color="auto"/>
              <w:right w:val="single" w:sz="4" w:space="0" w:color="auto"/>
            </w:tcBorders>
            <w:shd w:val="clear" w:color="auto" w:fill="auto"/>
            <w:noWrap/>
            <w:vAlign w:val="center"/>
          </w:tcPr>
          <w:p w14:paraId="2F8BF0FA"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7</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26A8696F"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71%</w:t>
            </w:r>
          </w:p>
        </w:tc>
      </w:tr>
      <w:tr w:rsidR="00D30A64" w:rsidRPr="00D30A64" w14:paraId="55A2E3D1" w14:textId="77777777" w:rsidTr="00D30A64">
        <w:trPr>
          <w:trHeight w:val="315"/>
        </w:trPr>
        <w:tc>
          <w:tcPr>
            <w:tcW w:w="418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58F11C75" w14:textId="0B023776"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Goal D-3, Governance, sustainable development</w:t>
            </w:r>
            <w:r w:rsidR="003900C0">
              <w:rPr>
                <w:rFonts w:cs="Times New Roman"/>
                <w:sz w:val="20"/>
                <w:szCs w:val="20"/>
                <w:lang w:eastAsia="nb-NO"/>
              </w:rPr>
              <w:t>,</w:t>
            </w:r>
            <w:r w:rsidRPr="00D30A64">
              <w:rPr>
                <w:rFonts w:cs="Times New Roman"/>
                <w:sz w:val="20"/>
                <w:szCs w:val="20"/>
                <w:lang w:eastAsia="nb-NO"/>
              </w:rPr>
              <w:t xml:space="preserve"> and living standards</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34DDA80B"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0</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36848B48"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1</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15E02878"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7</w:t>
            </w:r>
          </w:p>
        </w:tc>
        <w:tc>
          <w:tcPr>
            <w:tcW w:w="1030" w:type="dxa"/>
            <w:tcBorders>
              <w:top w:val="single" w:sz="4" w:space="0" w:color="auto"/>
              <w:left w:val="nil"/>
              <w:bottom w:val="single" w:sz="8" w:space="0" w:color="auto"/>
              <w:right w:val="single" w:sz="4" w:space="0" w:color="auto"/>
            </w:tcBorders>
            <w:shd w:val="clear" w:color="auto" w:fill="auto"/>
            <w:noWrap/>
            <w:vAlign w:val="center"/>
          </w:tcPr>
          <w:p w14:paraId="537D38DE"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2</w:t>
            </w:r>
          </w:p>
        </w:tc>
        <w:tc>
          <w:tcPr>
            <w:tcW w:w="646" w:type="dxa"/>
            <w:tcBorders>
              <w:top w:val="single" w:sz="4" w:space="0" w:color="auto"/>
              <w:left w:val="nil"/>
              <w:bottom w:val="single" w:sz="8" w:space="0" w:color="auto"/>
              <w:right w:val="single" w:sz="4" w:space="0" w:color="auto"/>
            </w:tcBorders>
            <w:shd w:val="clear" w:color="auto" w:fill="auto"/>
            <w:noWrap/>
            <w:vAlign w:val="center"/>
          </w:tcPr>
          <w:p w14:paraId="05FB7C1C"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10</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1BD50163" w14:textId="77777777" w:rsidR="00D30A64" w:rsidRPr="00D30A64" w:rsidRDefault="00D30A64" w:rsidP="002C279D">
            <w:pPr>
              <w:ind w:firstLine="0"/>
              <w:jc w:val="left"/>
              <w:rPr>
                <w:rFonts w:cs="Times New Roman"/>
                <w:sz w:val="20"/>
                <w:szCs w:val="20"/>
                <w:lang w:eastAsia="nb-NO"/>
              </w:rPr>
            </w:pPr>
            <w:r w:rsidRPr="00D30A64">
              <w:rPr>
                <w:rFonts w:cs="Times New Roman"/>
                <w:sz w:val="20"/>
                <w:szCs w:val="20"/>
                <w:lang w:eastAsia="nb-NO"/>
              </w:rPr>
              <w:t>0%</w:t>
            </w:r>
          </w:p>
        </w:tc>
      </w:tr>
      <w:tr w:rsidR="00D30A64" w:rsidRPr="00D30A64" w14:paraId="33829E91" w14:textId="77777777" w:rsidTr="00D30A64">
        <w:trPr>
          <w:trHeight w:val="315"/>
        </w:trPr>
        <w:tc>
          <w:tcPr>
            <w:tcW w:w="418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50AB33F"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Total</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668B6E6C"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70</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0E180CB7"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27</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4BAC7609"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38</w:t>
            </w:r>
          </w:p>
        </w:tc>
        <w:tc>
          <w:tcPr>
            <w:tcW w:w="1030" w:type="dxa"/>
            <w:tcBorders>
              <w:top w:val="single" w:sz="4" w:space="0" w:color="auto"/>
              <w:left w:val="nil"/>
              <w:bottom w:val="single" w:sz="8" w:space="0" w:color="auto"/>
              <w:right w:val="single" w:sz="4" w:space="0" w:color="auto"/>
            </w:tcBorders>
            <w:shd w:val="clear" w:color="auto" w:fill="auto"/>
            <w:noWrap/>
            <w:vAlign w:val="center"/>
          </w:tcPr>
          <w:p w14:paraId="323921E5"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5</w:t>
            </w:r>
          </w:p>
        </w:tc>
        <w:tc>
          <w:tcPr>
            <w:tcW w:w="646" w:type="dxa"/>
            <w:tcBorders>
              <w:top w:val="single" w:sz="4" w:space="0" w:color="auto"/>
              <w:left w:val="nil"/>
              <w:bottom w:val="single" w:sz="8" w:space="0" w:color="auto"/>
              <w:right w:val="single" w:sz="4" w:space="0" w:color="auto"/>
            </w:tcBorders>
            <w:shd w:val="clear" w:color="auto" w:fill="auto"/>
            <w:noWrap/>
            <w:vAlign w:val="center"/>
          </w:tcPr>
          <w:p w14:paraId="54D613E0"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140</w:t>
            </w:r>
          </w:p>
        </w:tc>
        <w:tc>
          <w:tcPr>
            <w:tcW w:w="838" w:type="dxa"/>
            <w:tcBorders>
              <w:top w:val="single" w:sz="4" w:space="0" w:color="auto"/>
              <w:left w:val="nil"/>
              <w:bottom w:val="single" w:sz="8" w:space="0" w:color="auto"/>
              <w:right w:val="single" w:sz="4" w:space="0" w:color="auto"/>
            </w:tcBorders>
            <w:shd w:val="clear" w:color="auto" w:fill="auto"/>
            <w:noWrap/>
            <w:vAlign w:val="center"/>
          </w:tcPr>
          <w:p w14:paraId="33C54F5E" w14:textId="77777777" w:rsidR="00D30A64" w:rsidRPr="00ED4973" w:rsidRDefault="00D30A64" w:rsidP="002C279D">
            <w:pPr>
              <w:ind w:firstLine="0"/>
              <w:jc w:val="left"/>
              <w:rPr>
                <w:rFonts w:cs="Times New Roman"/>
                <w:b/>
                <w:sz w:val="20"/>
                <w:szCs w:val="20"/>
                <w:lang w:eastAsia="nb-NO"/>
              </w:rPr>
            </w:pPr>
            <w:r w:rsidRPr="00ED4973">
              <w:rPr>
                <w:rFonts w:cs="Times New Roman"/>
                <w:b/>
                <w:sz w:val="20"/>
                <w:szCs w:val="20"/>
                <w:lang w:eastAsia="nb-NO"/>
              </w:rPr>
              <w:t>50%</w:t>
            </w:r>
          </w:p>
        </w:tc>
      </w:tr>
    </w:tbl>
    <w:p w14:paraId="196F75B6" w14:textId="09A735E8" w:rsidR="00D11431" w:rsidRPr="00001028" w:rsidRDefault="00D11431" w:rsidP="002C279D">
      <w:pPr>
        <w:pStyle w:val="Caption"/>
        <w:spacing w:line="276" w:lineRule="auto"/>
      </w:pPr>
      <w:r w:rsidRPr="006F4983">
        <w:t xml:space="preserve">Table </w:t>
      </w:r>
      <w:r>
        <w:fldChar w:fldCharType="begin"/>
      </w:r>
      <w:r>
        <w:instrText xml:space="preserve"> SEQ Table \* ARABIC </w:instrText>
      </w:r>
      <w:r>
        <w:fldChar w:fldCharType="separate"/>
      </w:r>
      <w:r>
        <w:rPr>
          <w:noProof/>
        </w:rPr>
        <w:t>1</w:t>
      </w:r>
      <w:r>
        <w:fldChar w:fldCharType="end"/>
      </w:r>
      <w:r w:rsidRPr="00174C20">
        <w:t>. Overview of assessment studies</w:t>
      </w:r>
    </w:p>
    <w:p w14:paraId="6AFFCC4A" w14:textId="77777777" w:rsidR="00D11431" w:rsidRDefault="00D11431" w:rsidP="002C279D">
      <w:pPr>
        <w:pStyle w:val="Firstparagrpah"/>
        <w:rPr>
          <w:rFonts w:cs="Times New Roman"/>
        </w:rPr>
      </w:pPr>
    </w:p>
    <w:p w14:paraId="02F77378" w14:textId="2A49E26A" w:rsidR="001662E7" w:rsidRDefault="00166EE5" w:rsidP="002C279D">
      <w:r>
        <w:t xml:space="preserve">The meta-study material </w:t>
      </w:r>
      <w:r w:rsidR="00121A7D">
        <w:t>consists of</w:t>
      </w:r>
      <w:r w:rsidR="001E1C45">
        <w:t xml:space="preserve"> </w:t>
      </w:r>
      <w:r w:rsidR="00121A7D">
        <w:t xml:space="preserve">peer-reviewed studies (59%), non-peer-reviewed but independent studies (30%) and EITI-commissioned studies (11%). We compare success rates across these three categories to identify possible biases, and find </w:t>
      </w:r>
      <w:r w:rsidR="001662E7">
        <w:t>EITI</w:t>
      </w:r>
      <w:r w:rsidR="00121A7D">
        <w:t>-commissioned studies</w:t>
      </w:r>
      <w:r w:rsidR="001662E7">
        <w:t xml:space="preserve"> report a higher overall success rate than the peer-reviewed articles and other </w:t>
      </w:r>
      <w:r w:rsidR="00121A7D">
        <w:t>non-</w:t>
      </w:r>
      <w:r w:rsidR="001662E7">
        <w:t>peer-reviewed evaluations</w:t>
      </w:r>
      <w:r w:rsidR="00121A7D">
        <w:t>, while independent studies whether peer-reviewed or not have relatively similar success rate evaluations</w:t>
      </w:r>
      <w:r w:rsidR="00F45822">
        <w:t xml:space="preserve"> (Table 2)</w:t>
      </w:r>
      <w:r w:rsidR="001662E7">
        <w:t>.</w:t>
      </w:r>
      <w:r w:rsidR="00F36EE5">
        <w:t xml:space="preserve"> We also identified </w:t>
      </w:r>
      <w:r w:rsidR="006F26E3">
        <w:t xml:space="preserve">the studies </w:t>
      </w:r>
      <w:r w:rsidR="00F36EE5">
        <w:t>through broad categories of methods: quantitative</w:t>
      </w:r>
      <w:r w:rsidR="00F24F9C">
        <w:t xml:space="preserve"> (</w:t>
      </w:r>
      <w:r w:rsidR="00ED55B9">
        <w:t xml:space="preserve">e.g. </w:t>
      </w:r>
      <w:r w:rsidR="00F24F9C">
        <w:t>multivariate statistical analyses and opinion polls)</w:t>
      </w:r>
      <w:r w:rsidR="00F36EE5">
        <w:t>, qualitative</w:t>
      </w:r>
      <w:r w:rsidR="00F24F9C">
        <w:t xml:space="preserve"> (</w:t>
      </w:r>
      <w:r w:rsidR="00ED55B9">
        <w:t>e.g.</w:t>
      </w:r>
      <w:r w:rsidR="00F24F9C">
        <w:t xml:space="preserve"> single or comparative country case studies</w:t>
      </w:r>
      <w:r w:rsidR="00F24F9C" w:rsidRPr="0029603C">
        <w:t>)</w:t>
      </w:r>
      <w:r w:rsidR="00E8080D" w:rsidRPr="0029603C">
        <w:t>, and other</w:t>
      </w:r>
      <w:r w:rsidR="002A6D42" w:rsidRPr="0029603C">
        <w:t xml:space="preserve"> types</w:t>
      </w:r>
      <w:r w:rsidR="00E8080D" w:rsidRPr="0029603C">
        <w:t xml:space="preserve"> (</w:t>
      </w:r>
      <w:r w:rsidR="00ED55B9" w:rsidRPr="0029603C">
        <w:t xml:space="preserve">e.g. </w:t>
      </w:r>
      <w:r w:rsidR="00E8080D" w:rsidRPr="0029603C">
        <w:t xml:space="preserve">conceptual </w:t>
      </w:r>
      <w:r w:rsidR="00783B2B" w:rsidRPr="0029603C">
        <w:t xml:space="preserve">analyses including limited </w:t>
      </w:r>
      <w:r w:rsidR="00E8080D" w:rsidRPr="0029603C">
        <w:t>anecdotal evidence)</w:t>
      </w:r>
      <w:r w:rsidR="00F24F9C" w:rsidRPr="0029603C">
        <w:t>.</w:t>
      </w:r>
      <w:r w:rsidR="00F24F9C">
        <w:t xml:space="preserve"> Comparing findings across these three methods, we find that </w:t>
      </w:r>
      <w:r w:rsidR="00F36EE5">
        <w:t>the overall success rate is approximately 50% for qualitative studies, and slightly higher for quantitative studies (62%) and other types of methods (63</w:t>
      </w:r>
      <w:r w:rsidR="00F36EE5" w:rsidRPr="00F45822">
        <w:t>%) (see Appendix for further details).</w:t>
      </w:r>
    </w:p>
    <w:p w14:paraId="7BA02D3E" w14:textId="2DBE0334" w:rsidR="0006016A" w:rsidRDefault="0006016A" w:rsidP="002C279D"/>
    <w:tbl>
      <w:tblPr>
        <w:tblStyle w:val="TableGrid"/>
        <w:tblW w:w="0" w:type="auto"/>
        <w:tblInd w:w="113" w:type="dxa"/>
        <w:tblLook w:val="04A0" w:firstRow="1" w:lastRow="0" w:firstColumn="1" w:lastColumn="0" w:noHBand="0" w:noVBand="1"/>
      </w:tblPr>
      <w:tblGrid>
        <w:gridCol w:w="2111"/>
        <w:gridCol w:w="2531"/>
        <w:gridCol w:w="2312"/>
        <w:gridCol w:w="2327"/>
      </w:tblGrid>
      <w:tr w:rsidR="006F4218" w14:paraId="1E2790D6" w14:textId="77777777" w:rsidTr="001662E7">
        <w:tc>
          <w:tcPr>
            <w:tcW w:w="2122" w:type="dxa"/>
          </w:tcPr>
          <w:p w14:paraId="5C39F1EE" w14:textId="53BF6C7F" w:rsidR="0006016A" w:rsidRDefault="0006016A" w:rsidP="002C279D">
            <w:pPr>
              <w:ind w:firstLine="0"/>
            </w:pPr>
          </w:p>
        </w:tc>
        <w:tc>
          <w:tcPr>
            <w:tcW w:w="7272" w:type="dxa"/>
            <w:gridSpan w:val="3"/>
          </w:tcPr>
          <w:p w14:paraId="31FEFC73" w14:textId="36466214" w:rsidR="0006016A" w:rsidRDefault="0006016A" w:rsidP="002C279D">
            <w:pPr>
              <w:ind w:firstLine="0"/>
              <w:jc w:val="center"/>
            </w:pPr>
            <w:r>
              <w:t>Success rate</w:t>
            </w:r>
          </w:p>
        </w:tc>
      </w:tr>
      <w:tr w:rsidR="006F4218" w14:paraId="3722C7CE" w14:textId="77777777" w:rsidTr="001662E7">
        <w:tc>
          <w:tcPr>
            <w:tcW w:w="2122" w:type="dxa"/>
          </w:tcPr>
          <w:p w14:paraId="480468B0" w14:textId="00D2F8E7" w:rsidR="0006016A" w:rsidRDefault="006F4218" w:rsidP="002C279D">
            <w:pPr>
              <w:ind w:left="58" w:firstLine="0"/>
            </w:pPr>
            <w:r>
              <w:t>Goal categories</w:t>
            </w:r>
          </w:p>
        </w:tc>
        <w:tc>
          <w:tcPr>
            <w:tcW w:w="2574" w:type="dxa"/>
          </w:tcPr>
          <w:p w14:paraId="6C30FA22" w14:textId="793B34DE" w:rsidR="0006016A" w:rsidRDefault="0006016A" w:rsidP="002C279D">
            <w:pPr>
              <w:ind w:left="-51" w:firstLine="0"/>
              <w:jc w:val="center"/>
            </w:pPr>
            <w:r>
              <w:t>Peer-reviewed</w:t>
            </w:r>
          </w:p>
        </w:tc>
        <w:tc>
          <w:tcPr>
            <w:tcW w:w="2349" w:type="dxa"/>
          </w:tcPr>
          <w:p w14:paraId="2DF8CE28" w14:textId="7856B418" w:rsidR="0006016A" w:rsidRDefault="0006016A" w:rsidP="002C279D">
            <w:pPr>
              <w:ind w:left="0" w:firstLine="0"/>
              <w:jc w:val="center"/>
            </w:pPr>
            <w:r>
              <w:t>Non peer-r</w:t>
            </w:r>
            <w:r w:rsidR="006F4218">
              <w:t>eviewed</w:t>
            </w:r>
          </w:p>
        </w:tc>
        <w:tc>
          <w:tcPr>
            <w:tcW w:w="2349" w:type="dxa"/>
          </w:tcPr>
          <w:p w14:paraId="3D09AC46" w14:textId="67C8CE41" w:rsidR="0006016A" w:rsidRDefault="00603298" w:rsidP="002C279D">
            <w:pPr>
              <w:ind w:left="0" w:firstLine="0"/>
              <w:jc w:val="center"/>
            </w:pPr>
            <w:r>
              <w:t>EITI c</w:t>
            </w:r>
            <w:r w:rsidR="0006016A">
              <w:t>om</w:t>
            </w:r>
            <w:r w:rsidR="006F4218">
              <w:t xml:space="preserve">missioned </w:t>
            </w:r>
          </w:p>
        </w:tc>
      </w:tr>
      <w:tr w:rsidR="006F4218" w14:paraId="6EEF5AFF" w14:textId="77777777" w:rsidTr="001662E7">
        <w:tc>
          <w:tcPr>
            <w:tcW w:w="2122" w:type="dxa"/>
          </w:tcPr>
          <w:p w14:paraId="6EEC1909" w14:textId="1D9D75C6" w:rsidR="0006016A" w:rsidRDefault="0006016A" w:rsidP="002C279D">
            <w:pPr>
              <w:ind w:left="58" w:firstLine="0"/>
            </w:pPr>
            <w:r>
              <w:t>Ins</w:t>
            </w:r>
            <w:r w:rsidR="006F4218">
              <w:t>titutional</w:t>
            </w:r>
          </w:p>
        </w:tc>
        <w:tc>
          <w:tcPr>
            <w:tcW w:w="2574" w:type="dxa"/>
            <w:vAlign w:val="center"/>
          </w:tcPr>
          <w:p w14:paraId="7289706B" w14:textId="56CDE0E6" w:rsidR="0006016A" w:rsidRDefault="00AF6555" w:rsidP="002C279D">
            <w:pPr>
              <w:ind w:firstLine="0"/>
              <w:jc w:val="right"/>
            </w:pPr>
            <w:r>
              <w:t>65%</w:t>
            </w:r>
          </w:p>
        </w:tc>
        <w:tc>
          <w:tcPr>
            <w:tcW w:w="2349" w:type="dxa"/>
            <w:vAlign w:val="center"/>
          </w:tcPr>
          <w:p w14:paraId="1DAAA658" w14:textId="37932F27" w:rsidR="0006016A" w:rsidRDefault="00D30A64" w:rsidP="002C279D">
            <w:pPr>
              <w:ind w:firstLine="0"/>
              <w:jc w:val="right"/>
            </w:pPr>
            <w:r>
              <w:t>79</w:t>
            </w:r>
            <w:r w:rsidR="00D11431">
              <w:t>%</w:t>
            </w:r>
          </w:p>
        </w:tc>
        <w:tc>
          <w:tcPr>
            <w:tcW w:w="2349" w:type="dxa"/>
            <w:vAlign w:val="center"/>
          </w:tcPr>
          <w:p w14:paraId="36BC3FFB" w14:textId="14990DDD" w:rsidR="0006016A" w:rsidRDefault="00D11431" w:rsidP="002C279D">
            <w:pPr>
              <w:ind w:firstLine="0"/>
              <w:jc w:val="right"/>
            </w:pPr>
            <w:r>
              <w:t>100 %</w:t>
            </w:r>
          </w:p>
        </w:tc>
      </w:tr>
      <w:tr w:rsidR="006F4218" w14:paraId="2BE6D470" w14:textId="77777777" w:rsidTr="001662E7">
        <w:tc>
          <w:tcPr>
            <w:tcW w:w="2122" w:type="dxa"/>
          </w:tcPr>
          <w:p w14:paraId="6F82C82B" w14:textId="3CBBDE75" w:rsidR="0006016A" w:rsidRDefault="0006016A" w:rsidP="002C279D">
            <w:pPr>
              <w:ind w:left="58" w:firstLine="0"/>
            </w:pPr>
            <w:r>
              <w:t>Operat</w:t>
            </w:r>
            <w:r w:rsidR="006F4218">
              <w:t>ional</w:t>
            </w:r>
          </w:p>
        </w:tc>
        <w:tc>
          <w:tcPr>
            <w:tcW w:w="2574" w:type="dxa"/>
            <w:vAlign w:val="center"/>
          </w:tcPr>
          <w:p w14:paraId="07460A3E" w14:textId="6C3F126D" w:rsidR="0006016A" w:rsidRDefault="00D30A64" w:rsidP="002C279D">
            <w:pPr>
              <w:ind w:firstLine="0"/>
              <w:jc w:val="right"/>
            </w:pPr>
            <w:r>
              <w:t>53</w:t>
            </w:r>
            <w:r w:rsidR="00AF6555">
              <w:t>%</w:t>
            </w:r>
          </w:p>
        </w:tc>
        <w:tc>
          <w:tcPr>
            <w:tcW w:w="2349" w:type="dxa"/>
            <w:vAlign w:val="center"/>
          </w:tcPr>
          <w:p w14:paraId="2503A04D" w14:textId="05DB4F9B" w:rsidR="0006016A" w:rsidRDefault="00D30A64" w:rsidP="002C279D">
            <w:pPr>
              <w:ind w:firstLine="0"/>
              <w:jc w:val="right"/>
            </w:pPr>
            <w:r>
              <w:t>32</w:t>
            </w:r>
            <w:r w:rsidR="00D11431">
              <w:t>%</w:t>
            </w:r>
          </w:p>
        </w:tc>
        <w:tc>
          <w:tcPr>
            <w:tcW w:w="2349" w:type="dxa"/>
            <w:vAlign w:val="center"/>
          </w:tcPr>
          <w:p w14:paraId="17297128" w14:textId="7FE5BEA5" w:rsidR="0006016A" w:rsidRDefault="00D11431" w:rsidP="002C279D">
            <w:pPr>
              <w:ind w:firstLine="0"/>
              <w:jc w:val="right"/>
            </w:pPr>
            <w:r>
              <w:t>50 %</w:t>
            </w:r>
          </w:p>
        </w:tc>
      </w:tr>
      <w:tr w:rsidR="006F4218" w14:paraId="2DDB011A" w14:textId="77777777" w:rsidTr="001662E7">
        <w:tc>
          <w:tcPr>
            <w:tcW w:w="2122" w:type="dxa"/>
          </w:tcPr>
          <w:p w14:paraId="51709C69" w14:textId="0E520AD2" w:rsidR="0006016A" w:rsidRDefault="0006016A" w:rsidP="002C279D">
            <w:pPr>
              <w:ind w:left="58" w:firstLine="0"/>
            </w:pPr>
            <w:r>
              <w:t>Dev</w:t>
            </w:r>
            <w:r w:rsidR="006F4218">
              <w:t>elopmental</w:t>
            </w:r>
          </w:p>
        </w:tc>
        <w:tc>
          <w:tcPr>
            <w:tcW w:w="2574" w:type="dxa"/>
            <w:vAlign w:val="center"/>
          </w:tcPr>
          <w:p w14:paraId="682D4C2C" w14:textId="15CF95B6" w:rsidR="0006016A" w:rsidRDefault="00AF6555" w:rsidP="002C279D">
            <w:pPr>
              <w:ind w:firstLine="0"/>
              <w:jc w:val="right"/>
            </w:pPr>
            <w:r>
              <w:t>2</w:t>
            </w:r>
            <w:r w:rsidR="00D30A64">
              <w:t>5</w:t>
            </w:r>
            <w:r>
              <w:t>%</w:t>
            </w:r>
          </w:p>
        </w:tc>
        <w:tc>
          <w:tcPr>
            <w:tcW w:w="2349" w:type="dxa"/>
            <w:vAlign w:val="center"/>
          </w:tcPr>
          <w:p w14:paraId="2CD020A2" w14:textId="45DEB737" w:rsidR="0006016A" w:rsidRDefault="00D11431" w:rsidP="002C279D">
            <w:pPr>
              <w:ind w:firstLine="0"/>
              <w:jc w:val="right"/>
            </w:pPr>
            <w:r>
              <w:t>25%</w:t>
            </w:r>
          </w:p>
        </w:tc>
        <w:tc>
          <w:tcPr>
            <w:tcW w:w="2349" w:type="dxa"/>
            <w:vAlign w:val="center"/>
          </w:tcPr>
          <w:p w14:paraId="4780A8DD" w14:textId="10D40D26" w:rsidR="0006016A" w:rsidRDefault="00D11431" w:rsidP="002C279D">
            <w:pPr>
              <w:ind w:firstLine="0"/>
              <w:jc w:val="right"/>
            </w:pPr>
            <w:r>
              <w:t>100 %</w:t>
            </w:r>
          </w:p>
        </w:tc>
      </w:tr>
      <w:tr w:rsidR="00B73FC3" w14:paraId="731FAFE9" w14:textId="77777777" w:rsidTr="00AF6555">
        <w:tc>
          <w:tcPr>
            <w:tcW w:w="2122" w:type="dxa"/>
          </w:tcPr>
          <w:p w14:paraId="2BD78AD2" w14:textId="09CCB609" w:rsidR="00B73FC3" w:rsidRDefault="00B73FC3" w:rsidP="002C279D">
            <w:pPr>
              <w:ind w:left="58" w:firstLine="0"/>
            </w:pPr>
            <w:r>
              <w:t>Total</w:t>
            </w:r>
          </w:p>
        </w:tc>
        <w:tc>
          <w:tcPr>
            <w:tcW w:w="2574" w:type="dxa"/>
            <w:vAlign w:val="center"/>
          </w:tcPr>
          <w:p w14:paraId="06F56B24" w14:textId="6840E5B2" w:rsidR="00B73FC3" w:rsidRDefault="00B73FC3" w:rsidP="002C279D">
            <w:pPr>
              <w:ind w:firstLine="0"/>
              <w:jc w:val="right"/>
            </w:pPr>
            <w:r>
              <w:t>52%</w:t>
            </w:r>
          </w:p>
        </w:tc>
        <w:tc>
          <w:tcPr>
            <w:tcW w:w="2349" w:type="dxa"/>
            <w:vAlign w:val="center"/>
          </w:tcPr>
          <w:p w14:paraId="101BF72F" w14:textId="124BF58F" w:rsidR="00B73FC3" w:rsidRDefault="00B73FC3" w:rsidP="002C279D">
            <w:pPr>
              <w:ind w:firstLine="0"/>
              <w:jc w:val="right"/>
            </w:pPr>
            <w:r>
              <w:t>48%</w:t>
            </w:r>
          </w:p>
        </w:tc>
        <w:tc>
          <w:tcPr>
            <w:tcW w:w="2349" w:type="dxa"/>
            <w:vAlign w:val="center"/>
          </w:tcPr>
          <w:p w14:paraId="1BE674E8" w14:textId="1CF9F199" w:rsidR="00B73FC3" w:rsidRDefault="00B73FC3" w:rsidP="002C279D">
            <w:pPr>
              <w:ind w:firstLine="0"/>
              <w:jc w:val="right"/>
            </w:pPr>
            <w:r>
              <w:t>73%</w:t>
            </w:r>
          </w:p>
        </w:tc>
      </w:tr>
    </w:tbl>
    <w:p w14:paraId="28FD38F1" w14:textId="305BC0F2" w:rsidR="0006016A" w:rsidRDefault="0006016A" w:rsidP="002C279D">
      <w:pPr>
        <w:pStyle w:val="Caption"/>
        <w:spacing w:line="276" w:lineRule="auto"/>
      </w:pPr>
      <w:r>
        <w:t xml:space="preserve">Table 2. The success rate of attaining the EITI goals by </w:t>
      </w:r>
      <w:r w:rsidR="00F45822">
        <w:t xml:space="preserve">the </w:t>
      </w:r>
      <w:r>
        <w:t xml:space="preserve">assessment type. </w:t>
      </w:r>
    </w:p>
    <w:p w14:paraId="37016FFC" w14:textId="1850EDF9" w:rsidR="0006016A" w:rsidRDefault="0006016A" w:rsidP="002C279D"/>
    <w:p w14:paraId="190F707B" w14:textId="3C1D90CB" w:rsidR="00EE5EC9" w:rsidRDefault="00F45822" w:rsidP="002C279D">
      <w:r>
        <w:rPr>
          <w:rFonts w:cs="Times New Roman"/>
        </w:rPr>
        <w:t xml:space="preserve">In general, there is an increasing number of evaluations over time, and in particular, the number of peer-reviewed articles </w:t>
      </w:r>
      <w:r>
        <w:t>(Figure 2)</w:t>
      </w:r>
      <w:r w:rsidR="0043387A">
        <w:t>.</w:t>
      </w:r>
      <w:r w:rsidR="0013237E">
        <w:t xml:space="preserve"> </w:t>
      </w:r>
      <w:r w:rsidR="00F24F9C">
        <w:t xml:space="preserve">We also observe a growing </w:t>
      </w:r>
      <w:r w:rsidR="00F24F9C">
        <w:rPr>
          <w:rFonts w:cs="Times New Roman"/>
        </w:rPr>
        <w:t xml:space="preserve">use of quantitative approaches corresponding in part to longer time period and larger number of data points allowing for this type of statistical approach. </w:t>
      </w:r>
      <w:r w:rsidR="009F4D3F">
        <w:t>Overall trends regarding the relative proportion of successes, mixed outcome</w:t>
      </w:r>
      <w:r w:rsidR="00F24F9C">
        <w:t>s,</w:t>
      </w:r>
      <w:r w:rsidR="009F4D3F">
        <w:t xml:space="preserve"> or failures are not particularly strong, but seems to possibly indicate a slight rise in the proportion of successes, no overall </w:t>
      </w:r>
      <w:r w:rsidR="00F24F9C">
        <w:t xml:space="preserve">rate </w:t>
      </w:r>
      <w:r w:rsidR="009F4D3F">
        <w:t xml:space="preserve">change for failures, and a slight decline in mixed outcomes. </w:t>
      </w:r>
      <w:r w:rsidR="00F24F9C">
        <w:t>This remains a short period of time and limited number of studies to assess robust trends.</w:t>
      </w:r>
    </w:p>
    <w:p w14:paraId="323893BD" w14:textId="3497C453" w:rsidR="0013237E" w:rsidRDefault="0013237E" w:rsidP="002C279D"/>
    <w:p w14:paraId="5F4DC3D6" w14:textId="3497C453" w:rsidR="00F43F86" w:rsidRDefault="00F43F86" w:rsidP="002C279D">
      <w:pPr>
        <w:pStyle w:val="Firstparagrpah"/>
        <w:rPr>
          <w:b/>
        </w:rPr>
      </w:pPr>
      <w:r>
        <w:rPr>
          <w:noProof/>
          <w:lang w:val="nb-NO" w:eastAsia="nb-NO"/>
        </w:rPr>
        <w:drawing>
          <wp:inline distT="0" distB="0" distL="0" distR="0" wp14:anchorId="49C0FE54" wp14:editId="6EBCF141">
            <wp:extent cx="5834063" cy="2840593"/>
            <wp:effectExtent l="0" t="0" r="8255" b="44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2A11F7" w14:textId="5C485E12" w:rsidR="0013237E" w:rsidRPr="001662E7" w:rsidRDefault="0013237E" w:rsidP="002C279D">
      <w:pPr>
        <w:pStyle w:val="Firstparagrpah"/>
        <w:rPr>
          <w:b/>
        </w:rPr>
      </w:pPr>
      <w:r w:rsidRPr="001662E7">
        <w:rPr>
          <w:b/>
        </w:rPr>
        <w:t>Figure 2</w:t>
      </w:r>
      <w:r w:rsidR="009550F9">
        <w:rPr>
          <w:b/>
        </w:rPr>
        <w:t>.</w:t>
      </w:r>
      <w:r w:rsidRPr="001662E7">
        <w:rPr>
          <w:b/>
        </w:rPr>
        <w:t xml:space="preserve"> Time trends of type of literature and success and failures</w:t>
      </w:r>
    </w:p>
    <w:p w14:paraId="5988959D" w14:textId="77777777" w:rsidR="005100F0" w:rsidRPr="001233E7" w:rsidRDefault="005100F0" w:rsidP="002C279D">
      <w:pPr>
        <w:pStyle w:val="Heading1"/>
      </w:pPr>
      <w:r w:rsidRPr="001233E7">
        <w:t>Institutional goals</w:t>
      </w:r>
    </w:p>
    <w:p w14:paraId="44BE5DCF" w14:textId="3D00F449" w:rsidR="00111A71" w:rsidRDefault="005100F0" w:rsidP="002C279D">
      <w:pPr>
        <w:pStyle w:val="Firstparagrpah"/>
      </w:pPr>
      <w:r w:rsidRPr="00FC2B3D">
        <w:t>The institutional goals refer to EITI’s objectives to establish itself as a key transparency institution and initiative, spreading transparency as a global norm</w:t>
      </w:r>
      <w:r>
        <w:t>,</w:t>
      </w:r>
      <w:r w:rsidRPr="00FC2B3D">
        <w:t xml:space="preserve"> and promoting multi</w:t>
      </w:r>
      <w:r>
        <w:t>-</w:t>
      </w:r>
      <w:r w:rsidRPr="00FC2B3D">
        <w:t>stakeholder organizational structure as the optimal form for these types</w:t>
      </w:r>
      <w:r>
        <w:t xml:space="preserve"> of</w:t>
      </w:r>
      <w:r w:rsidRPr="00FC2B3D">
        <w:t xml:space="preserve"> initiatives. </w:t>
      </w:r>
      <w:r w:rsidRPr="001233E7">
        <w:t xml:space="preserve">In its extensive assessment of the </w:t>
      </w:r>
      <w:r w:rsidRPr="000521B6">
        <w:t>EITI, Scanteam (2011</w:t>
      </w:r>
      <w:r>
        <w:t>, p.</w:t>
      </w:r>
      <w:r w:rsidRPr="000521B6">
        <w:t xml:space="preserve">4) argues that </w:t>
      </w:r>
      <w:r>
        <w:t>“</w:t>
      </w:r>
      <w:r w:rsidRPr="000521B6">
        <w:t>[</w:t>
      </w:r>
      <w:r w:rsidRPr="001233E7">
        <w:t>o]ne of [</w:t>
      </w:r>
      <w:r>
        <w:t>EITI’s</w:t>
      </w:r>
      <w:r w:rsidRPr="001233E7">
        <w:t>] most impressive achievements is the virtually universal acceptance and support EITI has mobilized from the international community, private sector</w:t>
      </w:r>
      <w:r>
        <w:t>,</w:t>
      </w:r>
      <w:r w:rsidRPr="001233E7">
        <w:t xml:space="preserve"> and civil society.</w:t>
      </w:r>
      <w:r>
        <w:t>”</w:t>
      </w:r>
      <w:r w:rsidRPr="001233E7">
        <w:t xml:space="preserve"> This view is widely shared by other assessment studies</w:t>
      </w:r>
      <w:r>
        <w:t xml:space="preserve">, </w:t>
      </w:r>
      <w:r w:rsidRPr="009D3371">
        <w:t xml:space="preserve">with </w:t>
      </w:r>
      <w:r w:rsidR="0008367E">
        <w:t>an overall</w:t>
      </w:r>
      <w:r w:rsidR="00AB0C3A">
        <w:t xml:space="preserve"> success rate</w:t>
      </w:r>
      <w:r w:rsidR="0008367E">
        <w:t xml:space="preserve"> of 75%</w:t>
      </w:r>
      <w:r w:rsidR="00AB0C3A">
        <w:t xml:space="preserve"> for institutional goals among the studies </w:t>
      </w:r>
      <w:r>
        <w:t>evaluating the EITI in t</w:t>
      </w:r>
      <w:r w:rsidR="0008367E">
        <w:t xml:space="preserve">erms of </w:t>
      </w:r>
      <w:r>
        <w:t>me</w:t>
      </w:r>
      <w:r w:rsidR="0008367E">
        <w:t>eting</w:t>
      </w:r>
      <w:r>
        <w:t xml:space="preserve"> at least some institutional success</w:t>
      </w:r>
      <w:r w:rsidRPr="001233E7">
        <w:t xml:space="preserve">. </w:t>
      </w:r>
      <w:r>
        <w:t>As discussed below, m</w:t>
      </w:r>
      <w:r w:rsidRPr="001233E7">
        <w:t>any indicators</w:t>
      </w:r>
      <w:r>
        <w:t xml:space="preserve"> indeed</w:t>
      </w:r>
      <w:r w:rsidRPr="001233E7">
        <w:t xml:space="preserve"> lend credit to the idea of institutional success</w:t>
      </w:r>
      <w:r>
        <w:t xml:space="preserve">, but a </w:t>
      </w:r>
      <w:r w:rsidRPr="001233E7">
        <w:t xml:space="preserve">few assessments </w:t>
      </w:r>
      <w:r>
        <w:t xml:space="preserve">do point at </w:t>
      </w:r>
      <w:r w:rsidRPr="001233E7">
        <w:t>mixed outcome</w:t>
      </w:r>
      <w:r>
        <w:t>s.</w:t>
      </w:r>
      <w:r w:rsidR="00111A71">
        <w:t xml:space="preserve"> A</w:t>
      </w:r>
      <w:r w:rsidR="00C163B4">
        <w:t>n</w:t>
      </w:r>
      <w:r w:rsidR="00111A71">
        <w:t xml:space="preserve"> </w:t>
      </w:r>
      <w:r w:rsidR="009F26B5">
        <w:t>opinion survey</w:t>
      </w:r>
      <w:r w:rsidR="00111A71">
        <w:t xml:space="preserve"> conducted in early 2016</w:t>
      </w:r>
      <w:r w:rsidR="009F26B5">
        <w:t xml:space="preserve"> of </w:t>
      </w:r>
      <w:r w:rsidR="00111A71">
        <w:t>108 individuals closely related to the EITI</w:t>
      </w:r>
      <w:r w:rsidR="00710545">
        <w:t xml:space="preserve"> </w:t>
      </w:r>
      <w:r w:rsidR="00111A71">
        <w:t xml:space="preserve">confirmed a positive view of the initiative and </w:t>
      </w:r>
      <w:r w:rsidR="009F7688">
        <w:t xml:space="preserve">its achievements (see </w:t>
      </w:r>
      <w:r w:rsidR="00482619" w:rsidRPr="005A412B">
        <w:fldChar w:fldCharType="begin"/>
      </w:r>
      <w:r w:rsidR="00482619" w:rsidRPr="00482619">
        <w:instrText xml:space="preserve"> REF _Ref462321614 \h </w:instrText>
      </w:r>
      <w:r w:rsidR="00482619" w:rsidRPr="005A412B">
        <w:instrText xml:space="preserve"> \* MERGEFORMAT </w:instrText>
      </w:r>
      <w:r w:rsidR="00482619" w:rsidRPr="005A412B">
        <w:fldChar w:fldCharType="separate"/>
      </w:r>
      <w:r w:rsidR="005A412B" w:rsidRPr="0072230A">
        <w:t xml:space="preserve">Figure </w:t>
      </w:r>
      <w:r w:rsidR="009550F9">
        <w:t>3</w:t>
      </w:r>
      <w:r w:rsidR="005A412B" w:rsidRPr="0072230A">
        <w:t>.</w:t>
      </w:r>
      <w:r w:rsidR="00482619" w:rsidRPr="005A412B">
        <w:fldChar w:fldCharType="end"/>
      </w:r>
      <w:r w:rsidR="009F7688">
        <w:t xml:space="preserve">), with even more positive opinion level about the future </w:t>
      </w:r>
      <w:r w:rsidR="00603298">
        <w:t xml:space="preserve">likely </w:t>
      </w:r>
      <w:r w:rsidR="009F7688">
        <w:t>impacts of the EITI (Neumann</w:t>
      </w:r>
      <w:r w:rsidR="005A412B">
        <w:t xml:space="preserve"> et al.</w:t>
      </w:r>
      <w:r w:rsidR="009F7688">
        <w:t xml:space="preserve"> 2016). </w:t>
      </w:r>
    </w:p>
    <w:p w14:paraId="67E084B8" w14:textId="68DEE368" w:rsidR="005100F0" w:rsidRDefault="00111A71" w:rsidP="002C279D">
      <w:pPr>
        <w:pStyle w:val="Firstparagrpah"/>
      </w:pPr>
      <w:r w:rsidRPr="0070767F">
        <w:rPr>
          <w:noProof/>
          <w:lang w:val="nb-NO" w:eastAsia="nb-NO"/>
        </w:rPr>
        <w:lastRenderedPageBreak/>
        <w:drawing>
          <wp:inline distT="0" distB="0" distL="0" distR="0" wp14:anchorId="49C6FC46" wp14:editId="61804066">
            <wp:extent cx="5572125" cy="3524250"/>
            <wp:effectExtent l="0" t="0" r="15875" b="6350"/>
            <wp:docPr id="12" name="Diagram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 xml:space="preserve">  </w:t>
      </w:r>
    </w:p>
    <w:p w14:paraId="10520A38" w14:textId="38C9180A" w:rsidR="00482619" w:rsidRPr="001C4167" w:rsidRDefault="00482619" w:rsidP="002C279D">
      <w:pPr>
        <w:pStyle w:val="Firstparagrpah"/>
        <w:rPr>
          <w:b/>
        </w:rPr>
      </w:pPr>
      <w:bookmarkStart w:id="1" w:name="_Ref462321614"/>
      <w:r w:rsidRPr="004C3DDD">
        <w:rPr>
          <w:b/>
        </w:rPr>
        <w:t xml:space="preserve">Figure </w:t>
      </w:r>
      <w:r w:rsidR="009550F9">
        <w:rPr>
          <w:b/>
        </w:rPr>
        <w:t>3</w:t>
      </w:r>
      <w:r w:rsidRPr="004C3DDD">
        <w:rPr>
          <w:b/>
        </w:rPr>
        <w:t>.</w:t>
      </w:r>
      <w:bookmarkEnd w:id="1"/>
      <w:r>
        <w:rPr>
          <w:b/>
        </w:rPr>
        <w:t xml:space="preserve"> </w:t>
      </w:r>
      <w:r w:rsidR="001C4167">
        <w:rPr>
          <w:b/>
        </w:rPr>
        <w:t>Perceptions on EITI’s contributions and achievements</w:t>
      </w:r>
    </w:p>
    <w:p w14:paraId="34119BDD" w14:textId="6D31808D" w:rsidR="005100F0" w:rsidRPr="006600DA" w:rsidRDefault="00111A71" w:rsidP="002C279D">
      <w:pPr>
        <w:pStyle w:val="Caption"/>
        <w:spacing w:line="276" w:lineRule="auto"/>
        <w:rPr>
          <w:rFonts w:cs="Times New Roman"/>
        </w:rPr>
      </w:pPr>
      <w:r w:rsidRPr="001C4167">
        <w:rPr>
          <w:rFonts w:cs="Times New Roman"/>
          <w:b w:val="0"/>
        </w:rPr>
        <w:t xml:space="preserve">Source: Online </w:t>
      </w:r>
      <w:r w:rsidR="001C4167">
        <w:rPr>
          <w:rFonts w:cs="Times New Roman"/>
          <w:b w:val="0"/>
        </w:rPr>
        <w:t xml:space="preserve">opinion </w:t>
      </w:r>
      <w:r w:rsidRPr="001C4167">
        <w:rPr>
          <w:rFonts w:cs="Times New Roman"/>
          <w:b w:val="0"/>
        </w:rPr>
        <w:t>survey</w:t>
      </w:r>
      <w:r w:rsidR="00A65FB5" w:rsidRPr="001C4167">
        <w:rPr>
          <w:rFonts w:cs="Times New Roman"/>
          <w:b w:val="0"/>
        </w:rPr>
        <w:t xml:space="preserve"> </w:t>
      </w:r>
      <w:r w:rsidR="001C4167">
        <w:rPr>
          <w:rFonts w:cs="Times New Roman"/>
          <w:b w:val="0"/>
        </w:rPr>
        <w:t xml:space="preserve">conducted by </w:t>
      </w:r>
      <w:r w:rsidR="00A65FB5" w:rsidRPr="001C4167">
        <w:rPr>
          <w:rFonts w:cs="Times New Roman"/>
          <w:b w:val="0"/>
        </w:rPr>
        <w:t>Neumann et al. (2016)</w:t>
      </w:r>
      <w:r w:rsidR="001C4167">
        <w:rPr>
          <w:rFonts w:cs="Times New Roman"/>
          <w:b w:val="0"/>
        </w:rPr>
        <w:t xml:space="preserve"> among </w:t>
      </w:r>
      <w:r w:rsidR="001C4167" w:rsidRPr="001C4167">
        <w:rPr>
          <w:rFonts w:cs="Times New Roman"/>
          <w:b w:val="0"/>
        </w:rPr>
        <w:t>108 individuals closely related to the EITI</w:t>
      </w:r>
      <w:r w:rsidR="00A65FB5" w:rsidRPr="001C4167">
        <w:rPr>
          <w:rFonts w:cs="Times New Roman"/>
          <w:b w:val="0"/>
        </w:rPr>
        <w:t>.</w:t>
      </w:r>
    </w:p>
    <w:p w14:paraId="75B71BA5" w14:textId="45D2C34D" w:rsidR="00847BA8" w:rsidRPr="003809DE" w:rsidRDefault="002850A7" w:rsidP="002C279D">
      <w:pPr>
        <w:pStyle w:val="Heading2"/>
      </w:pPr>
      <w:r>
        <w:t xml:space="preserve">4.1. </w:t>
      </w:r>
      <w:r w:rsidR="00847BA8" w:rsidRPr="003809DE">
        <w:t xml:space="preserve">Branding </w:t>
      </w:r>
      <w:r w:rsidR="00847BA8">
        <w:t>the</w:t>
      </w:r>
      <w:r w:rsidR="00847BA8" w:rsidRPr="003809DE">
        <w:t xml:space="preserve"> EITI at global and national levels</w:t>
      </w:r>
      <w:r w:rsidR="00847BA8">
        <w:t xml:space="preserve"> (Goal I-1)</w:t>
      </w:r>
    </w:p>
    <w:p w14:paraId="0CAC7537" w14:textId="50B9B5C8" w:rsidR="00847BA8" w:rsidRDefault="00A835F8" w:rsidP="002C279D">
      <w:pPr>
        <w:pStyle w:val="Firstparagrpah"/>
      </w:pPr>
      <w:r>
        <w:t>A first criterion</w:t>
      </w:r>
      <w:r w:rsidR="00847BA8">
        <w:t xml:space="preserve"> of institutional success can be measured through the </w:t>
      </w:r>
      <w:r w:rsidR="00967737">
        <w:t>‘</w:t>
      </w:r>
      <w:r w:rsidR="00847BA8">
        <w:t>branding</w:t>
      </w:r>
      <w:r w:rsidR="00967737">
        <w:t>’</w:t>
      </w:r>
      <w:r w:rsidR="00847BA8">
        <w:t xml:space="preserve"> of the EITI and indicators of its reach, notably within policy circles. There has been no study assessing the recognition of the EITI </w:t>
      </w:r>
      <w:r w:rsidR="00F23F5C">
        <w:t>‘</w:t>
      </w:r>
      <w:r w:rsidR="00847BA8">
        <w:t>brand</w:t>
      </w:r>
      <w:r w:rsidR="00F23F5C">
        <w:t xml:space="preserve">’ </w:t>
      </w:r>
      <w:r w:rsidR="00847BA8">
        <w:t xml:space="preserve">at the international level, but several indicators suggest that it has achieved a relatively high level of recognition. The EITI returns about 10 million hits on Google, about twenty times more than that Global Reporting Initiative (GRI), and thirty times more than the Kimberley Process Certification Scheme (KPCS) against </w:t>
      </w:r>
      <w:r w:rsidR="00967737">
        <w:t>‘</w:t>
      </w:r>
      <w:r w:rsidR="00847BA8">
        <w:t>conflict diamonds</w:t>
      </w:r>
      <w:r w:rsidR="00967737">
        <w:t>’</w:t>
      </w:r>
      <w:r w:rsidR="00847BA8">
        <w:t xml:space="preserve"> created at about the same time as the EITI. The EITI has been endorsed once by the UN General Assembly, at least three times by the G20, and ten times by the G7/G8. Press media reporting reached a total of 6,914 articles between 2003 and 2015, with a peak in 2013 (see </w:t>
      </w:r>
      <w:r w:rsidR="00847BA8">
        <w:fldChar w:fldCharType="begin"/>
      </w:r>
      <w:r w:rsidR="00847BA8">
        <w:instrText xml:space="preserve"> REF _Ref448677992 \h  \* MERGEFORMAT </w:instrText>
      </w:r>
      <w:r w:rsidR="00847BA8">
        <w:fldChar w:fldCharType="separate"/>
      </w:r>
      <w:r w:rsidR="005A412B" w:rsidRPr="00EF0751">
        <w:t xml:space="preserve">Figure </w:t>
      </w:r>
      <w:r w:rsidR="00847BA8">
        <w:fldChar w:fldCharType="end"/>
      </w:r>
      <w:r w:rsidR="009550F9">
        <w:t>4</w:t>
      </w:r>
      <w:r w:rsidR="00847BA8">
        <w:t>).</w:t>
      </w:r>
      <w:r w:rsidR="00792F58">
        <w:rPr>
          <w:rStyle w:val="FootnoteReference"/>
        </w:rPr>
        <w:footnoteReference w:id="8"/>
      </w:r>
    </w:p>
    <w:p w14:paraId="489653CF" w14:textId="77777777" w:rsidR="004C3DDD" w:rsidRPr="000521B6" w:rsidRDefault="004C3DDD" w:rsidP="002C279D"/>
    <w:p w14:paraId="4A1A1A6B" w14:textId="04530D21" w:rsidR="004C3DDD" w:rsidRPr="004C3DDD" w:rsidRDefault="004C3DDD" w:rsidP="002C279D">
      <w:pPr>
        <w:pStyle w:val="Firstparagrpah"/>
        <w:rPr>
          <w:b/>
        </w:rPr>
      </w:pPr>
      <w:r w:rsidRPr="004C3DDD">
        <w:rPr>
          <w:b/>
          <w:noProof/>
          <w:lang w:val="nb-NO" w:eastAsia="nb-NO"/>
        </w:rPr>
        <w:lastRenderedPageBreak/>
        <w:drawing>
          <wp:anchor distT="0" distB="0" distL="114300" distR="114300" simplePos="0" relativeHeight="251640832" behindDoc="0" locked="0" layoutInCell="1" allowOverlap="1" wp14:anchorId="18FF2EFD" wp14:editId="10337794">
            <wp:simplePos x="0" y="0"/>
            <wp:positionH relativeFrom="column">
              <wp:posOffset>-1270</wp:posOffset>
            </wp:positionH>
            <wp:positionV relativeFrom="paragraph">
              <wp:posOffset>-1270</wp:posOffset>
            </wp:positionV>
            <wp:extent cx="4288972" cy="1981200"/>
            <wp:effectExtent l="0" t="0" r="16510" b="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2" w:name="_Ref448677992"/>
      <w:r w:rsidRPr="004C3DDD">
        <w:rPr>
          <w:b/>
        </w:rPr>
        <w:t xml:space="preserve">Figure </w:t>
      </w:r>
      <w:r w:rsidR="009550F9">
        <w:rPr>
          <w:b/>
        </w:rPr>
        <w:t>4</w:t>
      </w:r>
      <w:bookmarkEnd w:id="2"/>
      <w:r w:rsidRPr="004C3DDD">
        <w:rPr>
          <w:b/>
        </w:rPr>
        <w:t xml:space="preserve">. Worldwide number of media reports on EITI </w:t>
      </w:r>
    </w:p>
    <w:p w14:paraId="66745C20" w14:textId="05AE3DF1" w:rsidR="004C3DDD" w:rsidRPr="00E1668E" w:rsidRDefault="004C3DDD" w:rsidP="002C279D">
      <w:pPr>
        <w:pStyle w:val="Caption"/>
        <w:spacing w:line="276" w:lineRule="auto"/>
        <w:rPr>
          <w:rFonts w:cs="Times New Roman"/>
          <w:b w:val="0"/>
        </w:rPr>
      </w:pPr>
      <w:r w:rsidRPr="00E1668E">
        <w:rPr>
          <w:b w:val="0"/>
        </w:rPr>
        <w:t xml:space="preserve">Note: </w:t>
      </w:r>
      <w:r w:rsidRPr="00E1668E">
        <w:rPr>
          <w:rFonts w:cs="Times New Roman"/>
          <w:b w:val="0"/>
        </w:rPr>
        <w:t xml:space="preserve">Source for data is Factiva database, accessed on 7 March 2016. Search words: </w:t>
      </w:r>
      <w:r>
        <w:rPr>
          <w:rFonts w:cs="Times New Roman"/>
          <w:b w:val="0"/>
        </w:rPr>
        <w:t>“</w:t>
      </w:r>
      <w:r w:rsidRPr="00E1668E">
        <w:rPr>
          <w:rFonts w:cs="Times New Roman"/>
          <w:b w:val="0"/>
        </w:rPr>
        <w:t>EITI AND transparency</w:t>
      </w:r>
      <w:r>
        <w:rPr>
          <w:rFonts w:cs="Times New Roman"/>
          <w:b w:val="0"/>
        </w:rPr>
        <w:t>”</w:t>
      </w:r>
      <w:r w:rsidRPr="00E1668E">
        <w:rPr>
          <w:rFonts w:cs="Times New Roman"/>
          <w:b w:val="0"/>
        </w:rPr>
        <w:t>. The search includes translations of some foreign media into English</w:t>
      </w:r>
      <w:r w:rsidRPr="00792F58">
        <w:rPr>
          <w:rFonts w:cs="Times New Roman"/>
          <w:b w:val="0"/>
        </w:rPr>
        <w:t>.</w:t>
      </w:r>
      <w:r w:rsidR="002F027E" w:rsidRPr="00792F58">
        <w:rPr>
          <w:rFonts w:cs="Times New Roman"/>
          <w:b w:val="0"/>
        </w:rPr>
        <w:t xml:space="preserve"> </w:t>
      </w:r>
    </w:p>
    <w:p w14:paraId="43A84942" w14:textId="77777777" w:rsidR="004C3DDD" w:rsidRPr="004C3DDD" w:rsidRDefault="004C3DDD" w:rsidP="002C279D"/>
    <w:p w14:paraId="704A8002" w14:textId="3326460F" w:rsidR="002B7EBD" w:rsidRDefault="002B7EBD" w:rsidP="002C279D">
      <w:r>
        <w:t>The success of EITI branding at the national level is more difficult to assess, but m</w:t>
      </w:r>
      <w:r w:rsidR="001B40A9">
        <w:t>any</w:t>
      </w:r>
      <w:r>
        <w:t xml:space="preserve"> efforts have been devoted by the national EITIs to getting the EITI better known and having revenue information more frequently accessed by local populations. Among the few assessments of public awareness, a survey conducted in 2008 in Liberia – </w:t>
      </w:r>
      <w:r w:rsidR="00E06B11">
        <w:t xml:space="preserve">the </w:t>
      </w:r>
      <w:r>
        <w:t>year</w:t>
      </w:r>
      <w:r w:rsidR="00E06B11">
        <w:t xml:space="preserve"> following</w:t>
      </w:r>
      <w:r>
        <w:t xml:space="preserve"> its </w:t>
      </w:r>
      <w:r w:rsidR="00E06B11">
        <w:t xml:space="preserve">candidacy status being accepted by the </w:t>
      </w:r>
      <w:r>
        <w:t>EITI</w:t>
      </w:r>
      <w:r w:rsidR="00E06B11">
        <w:t xml:space="preserve"> International Secretariat</w:t>
      </w:r>
      <w:r>
        <w:t xml:space="preserve"> – found 41.5% of respondents claiming to have heard or read about LEITI, with 28.3 % having a minimum knowledge of the initiative</w:t>
      </w:r>
      <w:r w:rsidRPr="000521B6">
        <w:t xml:space="preserve"> (Randall and Blamo 2011). In contrast, a 2014 survey in the extractive regions of Albania </w:t>
      </w:r>
      <w:r>
        <w:t>–</w:t>
      </w:r>
      <w:r w:rsidRPr="000521B6">
        <w:t xml:space="preserve"> which became compliant in 2013 </w:t>
      </w:r>
      <w:r>
        <w:t>–</w:t>
      </w:r>
      <w:r w:rsidRPr="000521B6">
        <w:t xml:space="preserve"> found </w:t>
      </w:r>
      <w:r>
        <w:t>“</w:t>
      </w:r>
      <w:r w:rsidRPr="000521B6">
        <w:t>minimum level of awareness</w:t>
      </w:r>
      <w:r>
        <w:t>”</w:t>
      </w:r>
      <w:r w:rsidRPr="000521B6">
        <w:t xml:space="preserve"> of the EITI among 500 respondents (Albania EITI 2014).</w:t>
      </w:r>
    </w:p>
    <w:p w14:paraId="75761172" w14:textId="00C85752" w:rsidR="00E7198B" w:rsidRDefault="002B7EBD" w:rsidP="002C279D">
      <w:r w:rsidRPr="000521B6">
        <w:t xml:space="preserve">The relative branding success of the EITI is not without criticisms. A first one is that institutional success has been celebrated for its own sake. The first evaluation requested by the EITI, for example, stated that </w:t>
      </w:r>
      <w:r>
        <w:t>“</w:t>
      </w:r>
      <w:r w:rsidRPr="000521B6">
        <w:t xml:space="preserve">EITI is seen as a success </w:t>
      </w:r>
      <w:r w:rsidRPr="000521B6">
        <w:rPr>
          <w:i/>
        </w:rPr>
        <w:t>simply</w:t>
      </w:r>
      <w:r w:rsidRPr="000521B6">
        <w:t xml:space="preserve"> by the fact that it exists, with its infrastructure, processes, policies and procedures having now been established</w:t>
      </w:r>
      <w:r>
        <w:t>”</w:t>
      </w:r>
      <w:r w:rsidRPr="000521B6">
        <w:t xml:space="preserve"> (Rainbow Insight 2009</w:t>
      </w:r>
      <w:r>
        <w:t>,</w:t>
      </w:r>
      <w:r w:rsidRPr="000521B6">
        <w:t xml:space="preserve"> </w:t>
      </w:r>
      <w:r>
        <w:t xml:space="preserve">p. </w:t>
      </w:r>
      <w:r w:rsidRPr="000521B6">
        <w:t xml:space="preserve">4, emphasis added). A second, and related criticism, is that the EITI may have focused too much efforts on the wrong issue. Building on a review of the resource curse literature, and finding that greater transparency (as measured through </w:t>
      </w:r>
      <w:r w:rsidR="00E06B11">
        <w:t>'</w:t>
      </w:r>
      <w:r w:rsidRPr="000521B6">
        <w:t>press freedom</w:t>
      </w:r>
      <w:r w:rsidR="00E06B11">
        <w:t>'</w:t>
      </w:r>
      <w:r w:rsidRPr="000521B6">
        <w:t xml:space="preserve">) does not improve resource-dependent economic growth, Kolstad and Wiig (2009) argue that </w:t>
      </w:r>
      <w:r>
        <w:t>“</w:t>
      </w:r>
      <w:r w:rsidRPr="000521B6">
        <w:t>it is not immediately apparent that transparency reform should receive priority. At the very least, the effectiveness of improving transparency should be more systematically evaluated vis-à-vis other policy options</w:t>
      </w:r>
      <w:r>
        <w:t xml:space="preserve">” (p. </w:t>
      </w:r>
      <w:r w:rsidRPr="000521B6">
        <w:t>529</w:t>
      </w:r>
      <w:r>
        <w:t>)</w:t>
      </w:r>
      <w:r w:rsidRPr="000521B6">
        <w:t>. Going further, Sovacool et al</w:t>
      </w:r>
      <w:r w:rsidR="00E06B11">
        <w:t>.</w:t>
      </w:r>
      <w:r w:rsidRPr="000521B6">
        <w:t xml:space="preserve"> (2016) suggest that </w:t>
      </w:r>
      <w:r>
        <w:t>“</w:t>
      </w:r>
      <w:r w:rsidRPr="000521B6">
        <w:t>EITI has not served the discussion well through its simplistic focus on revenues and transparency</w:t>
      </w:r>
      <w:r>
        <w:t>” (p.</w:t>
      </w:r>
      <w:r w:rsidRPr="000521B6">
        <w:t xml:space="preserve"> 11</w:t>
      </w:r>
      <w:r>
        <w:t>)</w:t>
      </w:r>
      <w:r w:rsidRPr="000521B6">
        <w:t>.</w:t>
      </w:r>
    </w:p>
    <w:p w14:paraId="1DAA2366" w14:textId="3B59739D" w:rsidR="00847BA8" w:rsidRPr="000521B6" w:rsidRDefault="002850A7" w:rsidP="002C279D">
      <w:pPr>
        <w:pStyle w:val="Heading2"/>
      </w:pPr>
      <w:r>
        <w:t xml:space="preserve">4.2. </w:t>
      </w:r>
      <w:r w:rsidR="00847BA8" w:rsidRPr="000521B6">
        <w:t>Diffuse transparency norm through and outside the EITI</w:t>
      </w:r>
      <w:r w:rsidR="00847BA8">
        <w:t xml:space="preserve"> (Goal </w:t>
      </w:r>
      <w:r w:rsidR="008258D8">
        <w:t>I</w:t>
      </w:r>
      <w:r w:rsidR="00847BA8">
        <w:t>-2)</w:t>
      </w:r>
    </w:p>
    <w:p w14:paraId="231CB315" w14:textId="42CF539F" w:rsidR="00847BA8" w:rsidRDefault="00847BA8" w:rsidP="002C279D">
      <w:pPr>
        <w:pStyle w:val="Firstparagrpah"/>
      </w:pPr>
      <w:r w:rsidRPr="000521B6">
        <w:rPr>
          <w:rFonts w:cs="Times New Roman"/>
        </w:rPr>
        <w:t xml:space="preserve">As David-Barret and Okamura (2016) argue, </w:t>
      </w:r>
      <w:r w:rsidR="005975D8">
        <w:t>“</w:t>
      </w:r>
      <w:r w:rsidRPr="00B74B6E">
        <w:t>EITI serves as a reputational intermediary, whereby reformers can signal good intentions and international actors can reward achievement. International and domestic actors thus utilize EITI to diffuse the norm of resource transparency</w:t>
      </w:r>
      <w:r w:rsidR="005975D8">
        <w:t>”</w:t>
      </w:r>
      <w:r w:rsidRPr="000521B6">
        <w:t xml:space="preserve"> </w:t>
      </w:r>
      <w:r w:rsidR="00967737">
        <w:t>(</w:t>
      </w:r>
      <w:r w:rsidR="00967737" w:rsidRPr="000521B6">
        <w:rPr>
          <w:rFonts w:cs="Times New Roman"/>
        </w:rPr>
        <w:t>p. 227</w:t>
      </w:r>
      <w:r w:rsidR="00967737">
        <w:rPr>
          <w:rFonts w:cs="Times New Roman"/>
        </w:rPr>
        <w:t xml:space="preserve">). </w:t>
      </w:r>
      <w:r w:rsidRPr="000521B6">
        <w:t xml:space="preserve">More </w:t>
      </w:r>
      <w:r w:rsidRPr="000521B6">
        <w:lastRenderedPageBreak/>
        <w:t>broadly, the EITI has made normative contributions to the advancement of the transparency agenda through its definition of disclosure standards and its prominence in public debates, policy and press reports, as well as industry narrat</w:t>
      </w:r>
      <w:r w:rsidR="00EB3B09">
        <w:t>ives. In turn, as Haufler (2010</w:t>
      </w:r>
      <w:r w:rsidRPr="000521B6">
        <w:t xml:space="preserve">) observed, the institutional success of the EITI was </w:t>
      </w:r>
      <w:r w:rsidR="005975D8">
        <w:t>“</w:t>
      </w:r>
      <w:r w:rsidRPr="00B74B6E">
        <w:t>significantly helped by the existence of intersecting transnational networks with complementary global norms ... and the broader corporate accountability movement within which [its leaders and supporters] were embedded</w:t>
      </w:r>
      <w:r w:rsidR="005975D8">
        <w:t>”</w:t>
      </w:r>
      <w:r w:rsidR="00967737">
        <w:t xml:space="preserve"> (p.</w:t>
      </w:r>
      <w:r w:rsidR="00967737" w:rsidRPr="000521B6">
        <w:t xml:space="preserve"> 70</w:t>
      </w:r>
      <w:r w:rsidR="00F23F5C">
        <w:t>)</w:t>
      </w:r>
      <w:r w:rsidRPr="000521B6">
        <w:t>.</w:t>
      </w:r>
    </w:p>
    <w:p w14:paraId="16745403" w14:textId="019A918C" w:rsidR="00E7198B" w:rsidRDefault="00847BA8" w:rsidP="002C279D">
      <w:r w:rsidRPr="000521B6">
        <w:t xml:space="preserve">Although the EITI contributed to, and benefited from the consolidation of a broad policy community around the diffusion of transparency norms in governance, some critics point at the deflecting effect that the EITI, as a voluntary initiative, may have had on mandatory ones. Although such mandatory approaches </w:t>
      </w:r>
      <w:r w:rsidR="000B5DEF">
        <w:t>have</w:t>
      </w:r>
      <w:r w:rsidR="000B5DEF" w:rsidRPr="000521B6">
        <w:t xml:space="preserve"> </w:t>
      </w:r>
      <w:r w:rsidRPr="000521B6">
        <w:t>emerge</w:t>
      </w:r>
      <w:r w:rsidR="000B5DEF">
        <w:t xml:space="preserve">d, such as the EU Transparency and Accounting Directives, </w:t>
      </w:r>
      <w:r w:rsidRPr="000521B6">
        <w:t xml:space="preserve">or are supposed to, as in the case of 1504 Dodd Frank still awaiting SEC regulation by </w:t>
      </w:r>
      <w:r w:rsidR="00967737">
        <w:t xml:space="preserve">the </w:t>
      </w:r>
      <w:r w:rsidRPr="000521B6">
        <w:t xml:space="preserve">early 2016, the EITI may have delayed these processes, notably by focalizing the attention </w:t>
      </w:r>
      <w:r w:rsidR="000B5DEF">
        <w:t xml:space="preserve">of the policy community </w:t>
      </w:r>
      <w:r>
        <w:t>on</w:t>
      </w:r>
      <w:r w:rsidR="000B5DEF">
        <w:t xml:space="preserve"> this voluntary initiative </w:t>
      </w:r>
      <w:r w:rsidRPr="000521B6">
        <w:t xml:space="preserve">and </w:t>
      </w:r>
      <w:r w:rsidR="00967737">
        <w:t>‘</w:t>
      </w:r>
      <w:r w:rsidRPr="000521B6">
        <w:t>softening</w:t>
      </w:r>
      <w:r w:rsidR="00967737">
        <w:t>’</w:t>
      </w:r>
      <w:r w:rsidRPr="000521B6">
        <w:t xml:space="preserve"> the position of civil society organizations</w:t>
      </w:r>
      <w:r>
        <w:t xml:space="preserve">. Further, it has </w:t>
      </w:r>
      <w:r w:rsidRPr="000521B6">
        <w:t>provid</w:t>
      </w:r>
      <w:r>
        <w:t>ed</w:t>
      </w:r>
      <w:r w:rsidRPr="000521B6">
        <w:t xml:space="preserve"> an argument to those opposing mandatory disclosure that the issue was already being addressed and that a </w:t>
      </w:r>
      <w:r w:rsidR="00967737">
        <w:t>‘</w:t>
      </w:r>
      <w:r w:rsidRPr="000521B6">
        <w:t>constructive</w:t>
      </w:r>
      <w:r w:rsidR="00967737">
        <w:t>’</w:t>
      </w:r>
      <w:r w:rsidRPr="000521B6">
        <w:t>, voluntary and tripartite approach was best suited to the issues at stake (interviews with oil executives by one of the authors, EITI Global Conference, Paris, 2011).</w:t>
      </w:r>
    </w:p>
    <w:p w14:paraId="1CBA6F50" w14:textId="20528B8A" w:rsidR="00847BA8" w:rsidRPr="000521B6" w:rsidRDefault="002850A7" w:rsidP="002C279D">
      <w:pPr>
        <w:pStyle w:val="Heading2"/>
      </w:pPr>
      <w:r>
        <w:t xml:space="preserve">4.3. </w:t>
      </w:r>
      <w:r w:rsidR="00847BA8" w:rsidRPr="000521B6">
        <w:t>Increase EITI support</w:t>
      </w:r>
      <w:r w:rsidR="008B737F">
        <w:t xml:space="preserve"> and</w:t>
      </w:r>
      <w:r w:rsidR="00847BA8" w:rsidRPr="000521B6">
        <w:t xml:space="preserve"> participation by governments</w:t>
      </w:r>
      <w:r w:rsidR="00847BA8">
        <w:t xml:space="preserve"> (Goal </w:t>
      </w:r>
      <w:r w:rsidR="008258D8">
        <w:t>I</w:t>
      </w:r>
      <w:r w:rsidR="00847BA8">
        <w:t>-3)</w:t>
      </w:r>
    </w:p>
    <w:p w14:paraId="374D1C0A" w14:textId="3AF23DD0" w:rsidR="00847BA8" w:rsidRDefault="00847BA8" w:rsidP="002C279D">
      <w:pPr>
        <w:pStyle w:val="Firstparagrpah"/>
      </w:pPr>
      <w:r w:rsidRPr="000521B6">
        <w:t xml:space="preserve">By early 2016, the number of implementing countries </w:t>
      </w:r>
      <w:r w:rsidR="00FF4C0D">
        <w:t>–</w:t>
      </w:r>
      <w:r w:rsidRPr="000521B6">
        <w:t xml:space="preserve"> with either candidate or compliant status </w:t>
      </w:r>
      <w:r w:rsidR="00FF4C0D">
        <w:t>–</w:t>
      </w:r>
      <w:r w:rsidRPr="000521B6">
        <w:t xml:space="preserve"> had grown to 51, from 15 a decade earlier</w:t>
      </w:r>
      <w:r w:rsidR="00FF4C0D">
        <w:t xml:space="preserve"> (see </w:t>
      </w:r>
      <w:r w:rsidR="005A412B">
        <w:fldChar w:fldCharType="begin"/>
      </w:r>
      <w:r w:rsidR="005A412B">
        <w:instrText xml:space="preserve"> REF _Ref462321841 \h </w:instrText>
      </w:r>
      <w:r w:rsidR="00E7198B">
        <w:instrText xml:space="preserve"> \* MERGEFORMAT </w:instrText>
      </w:r>
      <w:r w:rsidR="005A412B">
        <w:fldChar w:fldCharType="separate"/>
      </w:r>
      <w:r w:rsidR="005A412B">
        <w:t xml:space="preserve">Figure </w:t>
      </w:r>
      <w:r w:rsidR="005A412B">
        <w:fldChar w:fldCharType="end"/>
      </w:r>
      <w:r w:rsidR="009550F9">
        <w:t>5</w:t>
      </w:r>
      <w:r w:rsidR="00A835F8">
        <w:t>.).</w:t>
      </w:r>
      <w:r w:rsidRPr="000521B6">
        <w:t xml:space="preserve"> The adoption of the EITI has spread from mostly low-income and aid-dependent African countries to middle-income countries across all four major continents, including several high-income countries such as Norway, the United Kingdom, and the United States</w:t>
      </w:r>
      <w:r w:rsidR="00775E38">
        <w:t>.</w:t>
      </w:r>
      <w:r w:rsidRPr="000521B6">
        <w:t xml:space="preserve"> </w:t>
      </w:r>
      <w:r>
        <w:t>R</w:t>
      </w:r>
      <w:r w:rsidRPr="000521B6">
        <w:t>eaching compliance proved to be a major challenge up until 2009, the process</w:t>
      </w:r>
      <w:r w:rsidR="00B257D0">
        <w:t xml:space="preserve"> then</w:t>
      </w:r>
      <w:r w:rsidRPr="000521B6">
        <w:t xml:space="preserve"> rapidly improved over the next five years</w:t>
      </w:r>
      <w:r w:rsidR="00C42C0B">
        <w:t xml:space="preserve">, though </w:t>
      </w:r>
      <w:r w:rsidR="00C42C0B" w:rsidRPr="000521B6">
        <w:rPr>
          <w:szCs w:val="24"/>
        </w:rPr>
        <w:t>the participation growth</w:t>
      </w:r>
      <w:r w:rsidR="00C42C0B">
        <w:rPr>
          <w:szCs w:val="24"/>
        </w:rPr>
        <w:t xml:space="preserve"> rate</w:t>
      </w:r>
      <w:r w:rsidR="00C42C0B" w:rsidRPr="000521B6">
        <w:rPr>
          <w:szCs w:val="24"/>
        </w:rPr>
        <w:t xml:space="preserve"> slowed down since 2011</w:t>
      </w:r>
      <w:r w:rsidR="00914997">
        <w:rPr>
          <w:szCs w:val="24"/>
        </w:rPr>
        <w:t>.</w:t>
      </w:r>
      <w:r w:rsidRPr="000521B6">
        <w:t xml:space="preserve"> </w:t>
      </w:r>
    </w:p>
    <w:p w14:paraId="7A3A15F9" w14:textId="474D5006" w:rsidR="00265504" w:rsidRDefault="00265504" w:rsidP="002C279D">
      <w:r w:rsidRPr="000521B6">
        <w:t xml:space="preserve">Despite </w:t>
      </w:r>
      <w:r>
        <w:t>such</w:t>
      </w:r>
      <w:r w:rsidRPr="000521B6">
        <w:t xml:space="preserve"> positive trend in participation, </w:t>
      </w:r>
      <w:r>
        <w:t>several</w:t>
      </w:r>
      <w:r w:rsidRPr="000521B6">
        <w:t xml:space="preserve"> evaluations </w:t>
      </w:r>
      <w:r>
        <w:t xml:space="preserve">consider the EITI either a failure or a mixed outcome in terms of country participation by </w:t>
      </w:r>
      <w:r w:rsidRPr="000521B6">
        <w:t>point</w:t>
      </w:r>
      <w:r>
        <w:t>ing</w:t>
      </w:r>
      <w:r w:rsidRPr="000521B6">
        <w:t xml:space="preserve"> at the lack of adoption by </w:t>
      </w:r>
      <w:r>
        <w:t xml:space="preserve">many of </w:t>
      </w:r>
      <w:r w:rsidRPr="000521B6">
        <w:t>the most resource-rich (and corrupt) countries</w:t>
      </w:r>
      <w:r w:rsidRPr="000521B6">
        <w:rPr>
          <w:szCs w:val="24"/>
        </w:rPr>
        <w:t>.</w:t>
      </w:r>
      <w:r>
        <w:rPr>
          <w:rStyle w:val="FootnoteReference"/>
        </w:rPr>
        <w:footnoteReference w:id="9"/>
      </w:r>
      <w:r w:rsidRPr="000521B6">
        <w:rPr>
          <w:szCs w:val="24"/>
        </w:rPr>
        <w:t xml:space="preserve"> They sugg</w:t>
      </w:r>
      <w:r>
        <w:rPr>
          <w:szCs w:val="24"/>
        </w:rPr>
        <w:t>est</w:t>
      </w:r>
      <w:r w:rsidRPr="000521B6">
        <w:rPr>
          <w:szCs w:val="24"/>
        </w:rPr>
        <w:t xml:space="preserve"> that institutional adoption is mostly driven by incentives or external pressures - such as foreign aid dependence or the need for diplomatic and security support; factors that would have little influence over some of the oil-rich countries most </w:t>
      </w:r>
      <w:r>
        <w:rPr>
          <w:szCs w:val="24"/>
        </w:rPr>
        <w:t>‘</w:t>
      </w:r>
      <w:r w:rsidRPr="000521B6">
        <w:rPr>
          <w:szCs w:val="24"/>
        </w:rPr>
        <w:t>in need</w:t>
      </w:r>
      <w:r>
        <w:rPr>
          <w:szCs w:val="24"/>
        </w:rPr>
        <w:t>’</w:t>
      </w:r>
      <w:r w:rsidRPr="000521B6">
        <w:rPr>
          <w:szCs w:val="24"/>
        </w:rPr>
        <w:t xml:space="preserve"> of the EITI </w:t>
      </w:r>
      <w:r w:rsidRPr="000521B6">
        <w:t>(</w:t>
      </w:r>
      <w:r w:rsidRPr="000521B6">
        <w:rPr>
          <w:szCs w:val="24"/>
        </w:rPr>
        <w:t xml:space="preserve">Ölcer 2009; Shaxson 2009). </w:t>
      </w:r>
      <w:r>
        <w:rPr>
          <w:szCs w:val="24"/>
        </w:rPr>
        <w:t xml:space="preserve">These evaluations point to the case of </w:t>
      </w:r>
      <w:r w:rsidRPr="000521B6">
        <w:rPr>
          <w:szCs w:val="24"/>
        </w:rPr>
        <w:t xml:space="preserve">the Angolan government, whose lack of transparency originally motivated Global Witness to campaign for an international transparency instrument in 1998, </w:t>
      </w:r>
      <w:r>
        <w:rPr>
          <w:szCs w:val="24"/>
        </w:rPr>
        <w:t xml:space="preserve">but which </w:t>
      </w:r>
      <w:r w:rsidRPr="000521B6">
        <w:rPr>
          <w:szCs w:val="24"/>
        </w:rPr>
        <w:t>still had not adopted the EITI by early 2016</w:t>
      </w:r>
      <w:r>
        <w:rPr>
          <w:szCs w:val="24"/>
        </w:rPr>
        <w:t xml:space="preserve"> - though its domestic financial institutions did increase public reporting of some resource-based revenue flows</w:t>
      </w:r>
      <w:r w:rsidRPr="000521B6">
        <w:rPr>
          <w:szCs w:val="24"/>
        </w:rPr>
        <w:t xml:space="preserve">. Similarly, none of the petro-states in the Middle East and </w:t>
      </w:r>
      <w:r w:rsidRPr="000521B6">
        <w:rPr>
          <w:szCs w:val="24"/>
        </w:rPr>
        <w:lastRenderedPageBreak/>
        <w:t xml:space="preserve">North Africa (MENA) region have adopted the EITI, with the exception of Iraq (compliant status) and Yemen (suspended status), both of which had closer and more dependent relations towards western governments, including in terms of security concerns. Testing for these relations, </w:t>
      </w:r>
      <w:r w:rsidRPr="000521B6">
        <w:t>David-Barrett and Okamura (2016) statistically confirm that resource-rich and highly corrupt countries demonstrate less interest in implementing the EITI. In contrast, aid-dependent countries are among the most interested to join, as the reputational gains obtained through implementing the EITI appears to translate into high levels of foreign aid</w:t>
      </w:r>
      <w:r>
        <w:t>.</w:t>
      </w:r>
    </w:p>
    <w:p w14:paraId="2127D49C" w14:textId="77777777" w:rsidR="007C3A69" w:rsidRPr="000521B6" w:rsidRDefault="007C3A69" w:rsidP="007C3A69">
      <w:pPr>
        <w:rPr>
          <w:szCs w:val="24"/>
        </w:rPr>
      </w:pPr>
      <w:r w:rsidRPr="000521B6">
        <w:t>Some evaluations also point at the ability of many governments to delay the actual implementation of the EITI, noting that the average time between commitment and candidacy was 2.8 years, and 4.3 years between candidacy and compliance. Despite having officially expressed its intention to adopt the EITI in 2008, the Government of Uganda still had not yet become a candidate country by early 2016. Such delays have notably been attributed to a lack of political will to actually adopt the standards, disinterest of government agencies in charge of implementing them, delays on the part of companies to provide information, and unconstitutional government changes resulting in the suspension of country (Andrews 2016</w:t>
      </w:r>
      <w:r>
        <w:t xml:space="preserve">; </w:t>
      </w:r>
      <w:r w:rsidRPr="000521B6">
        <w:t>Sturesson and Zobel 2015).</w:t>
      </w:r>
      <w:r w:rsidRPr="000521B6">
        <w:rPr>
          <w:szCs w:val="24"/>
        </w:rPr>
        <w:t xml:space="preserve"> </w:t>
      </w:r>
    </w:p>
    <w:p w14:paraId="10141C6C" w14:textId="77777777" w:rsidR="007C3A69" w:rsidRDefault="007C3A69" w:rsidP="007C3A69">
      <w:pPr>
        <w:rPr>
          <w:szCs w:val="24"/>
        </w:rPr>
      </w:pPr>
      <w:r w:rsidRPr="000521B6">
        <w:rPr>
          <w:szCs w:val="24"/>
        </w:rPr>
        <w:t>Overall, the goal of increasing EITI country participation has largely been met given the current number of candidate or compliant countries. Yet</w:t>
      </w:r>
      <w:r>
        <w:rPr>
          <w:szCs w:val="24"/>
        </w:rPr>
        <w:t xml:space="preserve"> many evaluations have qualified this </w:t>
      </w:r>
      <w:r w:rsidRPr="000521B6">
        <w:rPr>
          <w:szCs w:val="24"/>
        </w:rPr>
        <w:t>success</w:t>
      </w:r>
      <w:r>
        <w:rPr>
          <w:szCs w:val="24"/>
        </w:rPr>
        <w:t>, first with the argument that many</w:t>
      </w:r>
      <w:r w:rsidRPr="000521B6">
        <w:rPr>
          <w:szCs w:val="24"/>
        </w:rPr>
        <w:t xml:space="preserve"> governments seem to have participated in the EITI with the objective of improving their international reputational rather than genuinely achieve reforms, </w:t>
      </w:r>
      <w:r>
        <w:rPr>
          <w:szCs w:val="24"/>
        </w:rPr>
        <w:t>and second, and more importantly,</w:t>
      </w:r>
      <w:r w:rsidRPr="000521B6">
        <w:rPr>
          <w:szCs w:val="24"/>
        </w:rPr>
        <w:t xml:space="preserve"> </w:t>
      </w:r>
      <w:r>
        <w:rPr>
          <w:szCs w:val="24"/>
        </w:rPr>
        <w:t xml:space="preserve">with the observation that </w:t>
      </w:r>
      <w:r w:rsidRPr="000521B6">
        <w:rPr>
          <w:szCs w:val="24"/>
        </w:rPr>
        <w:t xml:space="preserve">many of the countries arguably most in need of greater transparency and accountability over extractive sector revenues have not </w:t>
      </w:r>
      <w:r>
        <w:rPr>
          <w:szCs w:val="24"/>
        </w:rPr>
        <w:t xml:space="preserve">been participating </w:t>
      </w:r>
      <w:r w:rsidRPr="000521B6">
        <w:rPr>
          <w:szCs w:val="24"/>
        </w:rPr>
        <w:t>in the EITI</w:t>
      </w:r>
      <w:r>
        <w:rPr>
          <w:szCs w:val="24"/>
        </w:rPr>
        <w:t>.</w:t>
      </w:r>
    </w:p>
    <w:p w14:paraId="6E93141A" w14:textId="77777777" w:rsidR="007C3A69" w:rsidRDefault="007C3A69" w:rsidP="007C3A69">
      <w:r>
        <w:rPr>
          <w:szCs w:val="24"/>
        </w:rPr>
        <w:t xml:space="preserve">In terms of support, the EITI has been relatively successful. Initially supported mostly by the British and Norwegian governments, </w:t>
      </w:r>
      <w:r>
        <w:t>the EITI has seen its budget, at the international level, growing from US$0.8 million in 2007 to a plateau of about US$5 million per year in 2011-14.</w:t>
      </w:r>
      <w:r>
        <w:rPr>
          <w:rStyle w:val="FootnoteReference"/>
        </w:rPr>
        <w:footnoteReference w:id="10"/>
      </w:r>
      <w:r>
        <w:t xml:space="preserve"> The EITI also receives off-budget funding for the EITI Global Conference held every three years with a budget of about US$1.2 million, as well as in-kind support for national-level activities. This funding model, however, is coming under increased strains as the reach and breadth of the initiative have grown, signs of donor fatigue become more evident, commodity prices have sharply declined, and there is still no self-financing scheme in place by implementing countries for the core EITI international activities budget. Furthermore, the total budget of the national organizations, as well as the expenditures of the various organizations engaged with the EITI are not known, making it difficult to assess its cost-effectiveness. </w:t>
      </w:r>
    </w:p>
    <w:p w14:paraId="05C3C183" w14:textId="2DD809DD" w:rsidR="002C279D" w:rsidRDefault="002C279D">
      <w:pPr>
        <w:spacing w:after="160" w:line="259" w:lineRule="auto"/>
        <w:ind w:firstLine="0"/>
        <w:jc w:val="left"/>
      </w:pPr>
    </w:p>
    <w:p w14:paraId="2EAA8F9A" w14:textId="3964E03C" w:rsidR="00847BA8" w:rsidRPr="00B454E4" w:rsidRDefault="002C279D" w:rsidP="002C279D">
      <w:pPr>
        <w:pStyle w:val="Firstparagrpah"/>
      </w:pPr>
      <w:r>
        <w:rPr>
          <w:noProof/>
          <w:lang w:val="nb-NO" w:eastAsia="nb-NO"/>
        </w:rPr>
        <w:lastRenderedPageBreak/>
        <w:drawing>
          <wp:inline distT="0" distB="0" distL="0" distR="0" wp14:anchorId="6DFB26B3" wp14:editId="2AE28B31">
            <wp:extent cx="3232150" cy="5230806"/>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80810E.tmp"/>
                    <pic:cNvPicPr/>
                  </pic:nvPicPr>
                  <pic:blipFill>
                    <a:blip r:embed="rId14">
                      <a:extLst>
                        <a:ext uri="{28A0092B-C50C-407E-A947-70E740481C1C}">
                          <a14:useLocalDpi xmlns:a14="http://schemas.microsoft.com/office/drawing/2010/main" val="0"/>
                        </a:ext>
                      </a:extLst>
                    </a:blip>
                    <a:stretch>
                      <a:fillRect/>
                    </a:stretch>
                  </pic:blipFill>
                  <pic:spPr>
                    <a:xfrm>
                      <a:off x="0" y="0"/>
                      <a:ext cx="3237398" cy="5239299"/>
                    </a:xfrm>
                    <a:prstGeom prst="rect">
                      <a:avLst/>
                    </a:prstGeom>
                  </pic:spPr>
                </pic:pic>
              </a:graphicData>
            </a:graphic>
          </wp:inline>
        </w:drawing>
      </w:r>
    </w:p>
    <w:p w14:paraId="06B718C6" w14:textId="31CF9244" w:rsidR="002D6CF0" w:rsidRPr="00265504" w:rsidRDefault="002D6CF0" w:rsidP="002C279D">
      <w:pPr>
        <w:pStyle w:val="Firstparagrpah"/>
        <w:rPr>
          <w:rFonts w:cs="Times New Roman"/>
          <w:i/>
        </w:rPr>
      </w:pPr>
      <w:r>
        <w:rPr>
          <w:noProof/>
          <w:lang w:val="nb-NO" w:eastAsia="nb-NO"/>
        </w:rPr>
        <w:drawing>
          <wp:inline distT="0" distB="0" distL="0" distR="0" wp14:anchorId="3E77F14F" wp14:editId="5F9B079E">
            <wp:extent cx="5033645" cy="2204357"/>
            <wp:effectExtent l="0" t="0" r="14605" b="57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F38F61" w14:textId="73722232" w:rsidR="0070496E" w:rsidRDefault="00FF4C0D" w:rsidP="002C279D">
      <w:pPr>
        <w:pStyle w:val="Caption"/>
        <w:spacing w:line="276" w:lineRule="auto"/>
      </w:pPr>
      <w:bookmarkStart w:id="3" w:name="_Ref462321841"/>
      <w:r>
        <w:t>Figure</w:t>
      </w:r>
      <w:r w:rsidR="00AE7CE4">
        <w:t>s</w:t>
      </w:r>
      <w:r w:rsidR="00057B98">
        <w:t xml:space="preserve"> </w:t>
      </w:r>
      <w:bookmarkEnd w:id="3"/>
      <w:r w:rsidR="009550F9">
        <w:t>5</w:t>
      </w:r>
      <w:r w:rsidR="00AE7CE4">
        <w:t>a,b</w:t>
      </w:r>
      <w:r>
        <w:t xml:space="preserve">. </w:t>
      </w:r>
      <w:r w:rsidR="00FC75D4">
        <w:t>The map shows the d</w:t>
      </w:r>
      <w:r w:rsidR="00B454E4" w:rsidRPr="00A216FA">
        <w:t>istribution of EITI candidate and compliant countries in 2003, 2006, 2009 and 2015</w:t>
      </w:r>
      <w:r w:rsidR="00AE7CE4">
        <w:t>,</w:t>
      </w:r>
      <w:r w:rsidR="00B454E4" w:rsidRPr="00A216FA">
        <w:t xml:space="preserve"> </w:t>
      </w:r>
      <w:r w:rsidR="00FC75D4">
        <w:t>and the figure the n</w:t>
      </w:r>
      <w:r w:rsidR="002D6CF0">
        <w:t>umber and status of EITI countries between 2003 and 2015</w:t>
      </w:r>
      <w:r w:rsidR="009217F4">
        <w:t>.</w:t>
      </w:r>
    </w:p>
    <w:p w14:paraId="393E0AAB" w14:textId="30DBD487" w:rsidR="002D6CF0" w:rsidRPr="003F6F7F" w:rsidRDefault="0070496E" w:rsidP="002C279D">
      <w:pPr>
        <w:pStyle w:val="Caption"/>
        <w:spacing w:line="276" w:lineRule="auto"/>
        <w:rPr>
          <w:b w:val="0"/>
        </w:rPr>
      </w:pPr>
      <w:r w:rsidRPr="00E1668E">
        <w:rPr>
          <w:b w:val="0"/>
        </w:rPr>
        <w:t xml:space="preserve">Note: </w:t>
      </w:r>
      <w:r w:rsidR="002D6CF0" w:rsidRPr="003F6F7F">
        <w:rPr>
          <w:b w:val="0"/>
        </w:rPr>
        <w:t>Source</w:t>
      </w:r>
      <w:r w:rsidRPr="003F6F7F">
        <w:rPr>
          <w:b w:val="0"/>
        </w:rPr>
        <w:t xml:space="preserve"> for data is the</w:t>
      </w:r>
      <w:r w:rsidR="002D6CF0" w:rsidRPr="003F6F7F">
        <w:rPr>
          <w:b w:val="0"/>
        </w:rPr>
        <w:t xml:space="preserve"> EITI country profiles</w:t>
      </w:r>
      <w:r w:rsidR="00576414">
        <w:rPr>
          <w:b w:val="0"/>
        </w:rPr>
        <w:t>.</w:t>
      </w:r>
      <w:r w:rsidR="002D6CF0" w:rsidRPr="003F6F7F">
        <w:rPr>
          <w:b w:val="0"/>
        </w:rPr>
        <w:t xml:space="preserve"> </w:t>
      </w:r>
    </w:p>
    <w:p w14:paraId="4019F61B" w14:textId="70ACF48B" w:rsidR="00847BA8" w:rsidRPr="000521B6" w:rsidRDefault="002850A7" w:rsidP="002C279D">
      <w:pPr>
        <w:pStyle w:val="Heading2"/>
      </w:pPr>
      <w:r>
        <w:lastRenderedPageBreak/>
        <w:t xml:space="preserve">4.4. </w:t>
      </w:r>
      <w:r w:rsidR="00847BA8">
        <w:t>I</w:t>
      </w:r>
      <w:r w:rsidR="00847BA8" w:rsidRPr="000521B6">
        <w:t>nstitutionalization of multi-stakeholder governance mechanism</w:t>
      </w:r>
      <w:r w:rsidR="00847BA8">
        <w:t xml:space="preserve"> (Goal I-4)</w:t>
      </w:r>
    </w:p>
    <w:p w14:paraId="3F032E85" w14:textId="4516A78A" w:rsidR="00847BA8" w:rsidRPr="000521B6" w:rsidRDefault="00A35C95" w:rsidP="002C279D">
      <w:pPr>
        <w:pStyle w:val="Firstparagrpah"/>
      </w:pPr>
      <w:r>
        <w:t>A</w:t>
      </w:r>
      <w:r w:rsidR="00847BA8">
        <w:t xml:space="preserve">n indirect institutional contribution of the EITI has been to refine multi-stakeholder governance that came to prominence in the 1990s as a result of the </w:t>
      </w:r>
      <w:r>
        <w:t>‘</w:t>
      </w:r>
      <w:r w:rsidR="00847BA8">
        <w:t>good governance</w:t>
      </w:r>
      <w:r>
        <w:t>’</w:t>
      </w:r>
      <w:r w:rsidR="00847BA8">
        <w:t xml:space="preserve"> agenda and the formal opening of international governance instruments to industry and civil society </w:t>
      </w:r>
      <w:r w:rsidR="00847BA8" w:rsidRPr="000521B6">
        <w:t xml:space="preserve">organizations (Hemmati 2002). In this respect, the EITI has </w:t>
      </w:r>
      <w:r w:rsidR="00466748">
        <w:t xml:space="preserve">frequently </w:t>
      </w:r>
      <w:r w:rsidR="00847BA8" w:rsidRPr="000521B6">
        <w:t xml:space="preserve">been touted as a novel and effective model of </w:t>
      </w:r>
      <w:r>
        <w:t>‘</w:t>
      </w:r>
      <w:r w:rsidR="00847BA8" w:rsidRPr="000521B6">
        <w:t>tripartite</w:t>
      </w:r>
      <w:r>
        <w:t>’</w:t>
      </w:r>
      <w:r w:rsidR="00847BA8" w:rsidRPr="000521B6">
        <w:t xml:space="preserve"> governance between governments, companies</w:t>
      </w:r>
      <w:r>
        <w:t>,</w:t>
      </w:r>
      <w:r w:rsidR="00847BA8" w:rsidRPr="000521B6">
        <w:t xml:space="preserve"> and CSO</w:t>
      </w:r>
      <w:r>
        <w:t>s</w:t>
      </w:r>
      <w:r w:rsidR="00847BA8" w:rsidRPr="000521B6">
        <w:t>, but also one that combines voluntary participation, mandatory implementation, and independent validation approaches</w:t>
      </w:r>
      <w:r w:rsidR="00DB2BC9">
        <w:t xml:space="preserve"> (ScanTeam 2011; Short 2014; Wilson and Van Alestine 2014)</w:t>
      </w:r>
      <w:r w:rsidR="00847BA8" w:rsidRPr="000521B6">
        <w:t xml:space="preserve">. Yet, as Rich and Moberg (2015) </w:t>
      </w:r>
      <w:r>
        <w:t>–</w:t>
      </w:r>
      <w:r w:rsidR="00847BA8" w:rsidRPr="000521B6">
        <w:t xml:space="preserve"> the deputy-director and head of the EITI International Secretariat </w:t>
      </w:r>
      <w:r>
        <w:t>–</w:t>
      </w:r>
      <w:r w:rsidR="00847BA8" w:rsidRPr="000521B6">
        <w:t xml:space="preserve"> repeatedly caution in their own evaluation of the institutional value of this model: this is a slow and incremental mode of governance resting on a consensus-based approach that often require a focus on the smallest common denominator. </w:t>
      </w:r>
    </w:p>
    <w:p w14:paraId="781C6D71" w14:textId="77777777" w:rsidR="00847BA8" w:rsidRPr="000521B6" w:rsidRDefault="00847BA8" w:rsidP="002C279D">
      <w:pPr>
        <w:pStyle w:val="Heading1"/>
      </w:pPr>
      <w:r w:rsidRPr="000521B6">
        <w:t>Operational goals</w:t>
      </w:r>
    </w:p>
    <w:p w14:paraId="759F930A" w14:textId="5C55A871" w:rsidR="00847BA8" w:rsidRPr="000521B6" w:rsidRDefault="00B9744D" w:rsidP="002C279D">
      <w:pPr>
        <w:pStyle w:val="Firstparagrpah"/>
      </w:pPr>
      <w:r>
        <w:t>O</w:t>
      </w:r>
      <w:r w:rsidR="00847BA8" w:rsidRPr="00BA5D32">
        <w:t>perational</w:t>
      </w:r>
      <w:r w:rsidR="00847BA8" w:rsidRPr="000521B6">
        <w:t xml:space="preserve"> goals </w:t>
      </w:r>
      <w:r>
        <w:t xml:space="preserve">consist of </w:t>
      </w:r>
      <w:r w:rsidRPr="000521B6">
        <w:t xml:space="preserve">intermediate measures </w:t>
      </w:r>
      <w:r>
        <w:t xml:space="preserve">deemed necessary for the EITI </w:t>
      </w:r>
      <w:r w:rsidRPr="000521B6">
        <w:t xml:space="preserve">to </w:t>
      </w:r>
      <w:r>
        <w:t xml:space="preserve">attain broader </w:t>
      </w:r>
      <w:r w:rsidRPr="000521B6">
        <w:t>development</w:t>
      </w:r>
      <w:r>
        <w:t>al</w:t>
      </w:r>
      <w:r w:rsidRPr="000521B6">
        <w:t xml:space="preserve"> goals</w:t>
      </w:r>
      <w:r>
        <w:t>. Operational goals involve concrete steps both within the EITI itself (establishing EITI standards) and within the broad diversity of political and bureaucratic contexts specific to countries implementing the initiative. Yet, operational goals still</w:t>
      </w:r>
      <w:r w:rsidRPr="000521B6">
        <w:t xml:space="preserve"> </w:t>
      </w:r>
      <w:r w:rsidR="00847BA8" w:rsidRPr="000521B6">
        <w:t xml:space="preserve">relate to aspects that </w:t>
      </w:r>
      <w:r w:rsidR="00847BA8">
        <w:t xml:space="preserve">the </w:t>
      </w:r>
      <w:r w:rsidR="00847BA8" w:rsidRPr="000521B6">
        <w:t>EITI can directly produce or influence</w:t>
      </w:r>
      <w:r>
        <w:t>, in contrast to developmental goals which often involve many dimensions outside the institutional or operational realm of the EITI</w:t>
      </w:r>
      <w:r w:rsidR="00847BA8" w:rsidRPr="000521B6">
        <w:t>.</w:t>
      </w:r>
      <w:r w:rsidR="00847BA8" w:rsidRPr="000521B6">
        <w:rPr>
          <w:b/>
        </w:rPr>
        <w:t xml:space="preserve"> </w:t>
      </w:r>
      <w:r>
        <w:t>As T</w:t>
      </w:r>
      <w:r w:rsidR="00847BA8" w:rsidRPr="000521B6">
        <w:t>able 1 indicates</w:t>
      </w:r>
      <w:r>
        <w:t xml:space="preserve">, the assessments reviewed generally point to more </w:t>
      </w:r>
      <w:r w:rsidR="00847BA8" w:rsidRPr="000521B6">
        <w:t>failures</w:t>
      </w:r>
      <w:r>
        <w:t xml:space="preserve"> with respect to </w:t>
      </w:r>
      <w:r w:rsidR="00847BA8">
        <w:t xml:space="preserve">EITI </w:t>
      </w:r>
      <w:r w:rsidR="00847BA8" w:rsidRPr="000521B6">
        <w:t>operational goals compared to</w:t>
      </w:r>
      <w:r>
        <w:t xml:space="preserve"> </w:t>
      </w:r>
      <w:r w:rsidR="00847BA8" w:rsidRPr="000521B6">
        <w:t>institutional goals.</w:t>
      </w:r>
    </w:p>
    <w:p w14:paraId="05D8E4BE" w14:textId="1E7423C2" w:rsidR="00847BA8" w:rsidRPr="000521B6" w:rsidRDefault="00587799" w:rsidP="002C279D">
      <w:pPr>
        <w:pStyle w:val="Heading2"/>
      </w:pPr>
      <w:r>
        <w:t xml:space="preserve">5.1. </w:t>
      </w:r>
      <w:r w:rsidR="00847BA8" w:rsidRPr="000521B6">
        <w:t>Establish clear and credible EITI standards</w:t>
      </w:r>
      <w:r w:rsidR="00847BA8">
        <w:t xml:space="preserve"> (Goal O-1)</w:t>
      </w:r>
    </w:p>
    <w:p w14:paraId="6CCBF51C" w14:textId="5DBE25B0" w:rsidR="00847BA8" w:rsidRPr="000521B6" w:rsidRDefault="00847BA8" w:rsidP="002C279D">
      <w:pPr>
        <w:pStyle w:val="Firstparagrpah"/>
      </w:pPr>
      <w:r w:rsidRPr="000521B6">
        <w:t xml:space="preserve">The </w:t>
      </w:r>
      <w:r w:rsidR="000E23C0">
        <w:t xml:space="preserve">definition and </w:t>
      </w:r>
      <w:r w:rsidR="006963E3">
        <w:t>implementation</w:t>
      </w:r>
      <w:r w:rsidR="000E23C0" w:rsidRPr="000521B6">
        <w:t xml:space="preserve"> </w:t>
      </w:r>
      <w:r w:rsidRPr="000521B6">
        <w:t>of transparency standards ha</w:t>
      </w:r>
      <w:r w:rsidR="000E23C0">
        <w:t>ve</w:t>
      </w:r>
      <w:r w:rsidRPr="000521B6">
        <w:t xml:space="preserve"> been a major objective and operating mode for the EITI. First set in 2003 through the EITI </w:t>
      </w:r>
      <w:r>
        <w:t>P</w:t>
      </w:r>
      <w:r w:rsidRPr="000521B6">
        <w:t>rinciples, the standards have regularly evolved</w:t>
      </w:r>
      <w:r w:rsidR="006963E3">
        <w:t>,</w:t>
      </w:r>
      <w:r w:rsidRPr="000521B6">
        <w:t xml:space="preserve"> with greater clarity of definitions and processes, and</w:t>
      </w:r>
      <w:r w:rsidR="006963E3">
        <w:t xml:space="preserve"> a</w:t>
      </w:r>
      <w:r w:rsidRPr="000521B6">
        <w:t xml:space="preserve"> broadening </w:t>
      </w:r>
      <w:r w:rsidR="006963E3">
        <w:t xml:space="preserve">of </w:t>
      </w:r>
      <w:r>
        <w:t xml:space="preserve">the </w:t>
      </w:r>
      <w:r w:rsidRPr="000521B6">
        <w:t xml:space="preserve">requirements. The credibility of the standards has rested on third party verification, mostly </w:t>
      </w:r>
      <w:r w:rsidR="006963E3">
        <w:t xml:space="preserve">third-party </w:t>
      </w:r>
      <w:r w:rsidRPr="000521B6">
        <w:t>auditing</w:t>
      </w:r>
      <w:r w:rsidR="006963E3">
        <w:t xml:space="preserve"> via</w:t>
      </w:r>
      <w:r w:rsidRPr="000521B6">
        <w:t xml:space="preserve"> consultancies, and assessments by the elected EITI Board at key junctures - such as for changes of </w:t>
      </w:r>
      <w:r>
        <w:t>complian</w:t>
      </w:r>
      <w:r w:rsidR="006963E3">
        <w:t>ce</w:t>
      </w:r>
      <w:r>
        <w:t xml:space="preserve"> </w:t>
      </w:r>
      <w:r w:rsidRPr="000521B6">
        <w:t xml:space="preserve">status, </w:t>
      </w:r>
      <w:r w:rsidR="006963E3">
        <w:t xml:space="preserve">suspension, </w:t>
      </w:r>
      <w:r w:rsidRPr="000521B6">
        <w:t xml:space="preserve">or delisting. No external evaluation study has yet specifically examined the issue of standards clarity and credibility. </w:t>
      </w:r>
      <w:r>
        <w:t xml:space="preserve">However, the scope of the requirements was repeatedly criticized in the EITI’s early years </w:t>
      </w:r>
      <w:r w:rsidRPr="000521B6">
        <w:t xml:space="preserve">for </w:t>
      </w:r>
      <w:r>
        <w:t xml:space="preserve">the </w:t>
      </w:r>
      <w:r w:rsidRPr="000521B6">
        <w:t>data</w:t>
      </w:r>
      <w:r>
        <w:t xml:space="preserve"> requirements</w:t>
      </w:r>
      <w:r w:rsidRPr="000521B6">
        <w:t xml:space="preserve"> being </w:t>
      </w:r>
      <w:r>
        <w:t xml:space="preserve">not </w:t>
      </w:r>
      <w:r w:rsidRPr="000521B6">
        <w:t xml:space="preserve">detailed enough and </w:t>
      </w:r>
      <w:r w:rsidR="006B635B">
        <w:t xml:space="preserve">for the </w:t>
      </w:r>
      <w:r w:rsidRPr="000521B6">
        <w:t>EITI</w:t>
      </w:r>
      <w:r w:rsidR="006B635B">
        <w:t xml:space="preserve">'s </w:t>
      </w:r>
      <w:r w:rsidRPr="000521B6">
        <w:t>narrow</w:t>
      </w:r>
      <w:r w:rsidR="006B635B">
        <w:t xml:space="preserve"> focus</w:t>
      </w:r>
      <w:r w:rsidRPr="000521B6">
        <w:t xml:space="preserve"> on revenues flowing from companies to government (</w:t>
      </w:r>
      <w:r w:rsidR="004837D1">
        <w:t xml:space="preserve">Gillies and Heuty 2011; </w:t>
      </w:r>
      <w:r w:rsidRPr="000521B6">
        <w:t>Kolstad and Wiig 2009; Ölcer 2009)</w:t>
      </w:r>
    </w:p>
    <w:p w14:paraId="678713D4" w14:textId="63165791" w:rsidR="00847BA8" w:rsidRPr="000521B6" w:rsidRDefault="00847BA8" w:rsidP="002C279D">
      <w:r w:rsidRPr="000521B6">
        <w:t xml:space="preserve">The EITI Standard has since </w:t>
      </w:r>
      <w:r w:rsidR="006B635B">
        <w:t>evolved</w:t>
      </w:r>
      <w:r w:rsidR="006B635B" w:rsidRPr="000521B6">
        <w:t xml:space="preserve"> </w:t>
      </w:r>
      <w:r w:rsidRPr="000521B6">
        <w:t>to cover several other aspects of the natural resource value chain (EITI 2016). It now requires the implementing countries to disclose revenue flows disaggregated by company and government entity</w:t>
      </w:r>
      <w:r w:rsidR="006B635B">
        <w:t>,</w:t>
      </w:r>
      <w:r w:rsidRPr="000521B6">
        <w:t xml:space="preserve"> and to be provided at sub-national level when revenues from companies go to sub-national government units. It includes requirements to make publicly available information about </w:t>
      </w:r>
      <w:r>
        <w:t xml:space="preserve">the </w:t>
      </w:r>
      <w:r w:rsidRPr="000521B6">
        <w:t>exploration activities</w:t>
      </w:r>
      <w:r>
        <w:t xml:space="preserve">, </w:t>
      </w:r>
      <w:r w:rsidRPr="000521B6">
        <w:t xml:space="preserve">licenses and contracts, beneficial </w:t>
      </w:r>
      <w:r w:rsidRPr="000521B6">
        <w:lastRenderedPageBreak/>
        <w:t>owners</w:t>
      </w:r>
      <w:r w:rsidRPr="000521B6">
        <w:rPr>
          <w:rStyle w:val="FootnoteReference"/>
        </w:rPr>
        <w:footnoteReference w:id="11"/>
      </w:r>
      <w:r w:rsidRPr="000521B6">
        <w:t>, rules that govern the management of the extractive sector, the fiscal regime the country has adapted</w:t>
      </w:r>
      <w:r>
        <w:t xml:space="preserve"> for handling the natural resource revenues, </w:t>
      </w:r>
      <w:r w:rsidRPr="000521B6">
        <w:t>production and export volumes and values (by commodity type and region)</w:t>
      </w:r>
      <w:r>
        <w:t>,</w:t>
      </w:r>
      <w:r w:rsidRPr="000521B6">
        <w:t xml:space="preserve"> </w:t>
      </w:r>
      <w:r>
        <w:t xml:space="preserve">and how the </w:t>
      </w:r>
      <w:r w:rsidRPr="000521B6">
        <w:t>revenue</w:t>
      </w:r>
      <w:r>
        <w:t>s</w:t>
      </w:r>
      <w:r w:rsidRPr="000521B6">
        <w:t xml:space="preserve"> </w:t>
      </w:r>
      <w:r>
        <w:t>are spent</w:t>
      </w:r>
      <w:r w:rsidRPr="000521B6">
        <w:t xml:space="preserve">. Finally, the standard requires the multi-stakeholder group “to take steps to act upon lessons learnt; to identify, investigate and address the causes of any discrepancies; and to consider the recommendations resulting from EITI reporting” and to follow-up the progress in addressing the recommendations. </w:t>
      </w:r>
    </w:p>
    <w:p w14:paraId="44109225" w14:textId="4DF49B09" w:rsidR="00847BA8" w:rsidRPr="000521B6" w:rsidRDefault="00847BA8" w:rsidP="002C279D">
      <w:r w:rsidRPr="000521B6">
        <w:t xml:space="preserve">Although the revised 2016 EITI Standards clearly attempt to address issues the EITI has been criticized for, the broader scope and </w:t>
      </w:r>
      <w:r>
        <w:t xml:space="preserve">more stringent </w:t>
      </w:r>
      <w:r w:rsidRPr="000521B6">
        <w:t xml:space="preserve">validation process raise concerns </w:t>
      </w:r>
      <w:r>
        <w:t>of rising implementation costs and greater risk of losing</w:t>
      </w:r>
      <w:r w:rsidRPr="000521B6">
        <w:t xml:space="preserve"> compliant status</w:t>
      </w:r>
      <w:r>
        <w:t>, which could</w:t>
      </w:r>
      <w:r w:rsidRPr="000521B6">
        <w:t xml:space="preserve"> raise frustrations </w:t>
      </w:r>
      <w:r>
        <w:t xml:space="preserve">among participating countries </w:t>
      </w:r>
      <w:r w:rsidRPr="000521B6">
        <w:t>(</w:t>
      </w:r>
      <w:r w:rsidR="00DD6B80" w:rsidRPr="005F58FE">
        <w:t>Bickham 2015</w:t>
      </w:r>
      <w:r w:rsidR="00DD6B80">
        <w:t xml:space="preserve">; </w:t>
      </w:r>
      <w:r w:rsidRPr="000521B6">
        <w:t>interview</w:t>
      </w:r>
      <w:r>
        <w:t xml:space="preserve"> with EITI International Secretariat official</w:t>
      </w:r>
      <w:r w:rsidRPr="000521B6">
        <w:t>, Lima 2016</w:t>
      </w:r>
      <w:r w:rsidRPr="005F58FE">
        <w:t>).</w:t>
      </w:r>
    </w:p>
    <w:p w14:paraId="44212AE4" w14:textId="56AC96D2" w:rsidR="00847BA8" w:rsidRPr="000521B6" w:rsidRDefault="00587799" w:rsidP="002C279D">
      <w:pPr>
        <w:pStyle w:val="Heading2"/>
      </w:pPr>
      <w:r>
        <w:t xml:space="preserve">5.2. </w:t>
      </w:r>
      <w:r w:rsidR="00847BA8" w:rsidRPr="000521B6">
        <w:t>National implementation of EITI Standard</w:t>
      </w:r>
      <w:r w:rsidR="00847BA8">
        <w:t xml:space="preserve"> (Goal O-2)</w:t>
      </w:r>
    </w:p>
    <w:p w14:paraId="47775222" w14:textId="776FB5F3" w:rsidR="00847BA8" w:rsidRDefault="00847BA8" w:rsidP="0035485B">
      <w:pPr>
        <w:pStyle w:val="Firstparagrpah"/>
      </w:pPr>
      <w:r w:rsidRPr="000521B6">
        <w:t>The disclosure of revenues in the annual EITI reports has so far been at the core of the EITI activity</w:t>
      </w:r>
      <w:r>
        <w:t xml:space="preserve">, with publication often being valued for its own sake rather than for what reports contained during </w:t>
      </w:r>
      <w:r w:rsidRPr="000521B6">
        <w:t xml:space="preserve">early phases of EITI candidacy </w:t>
      </w:r>
      <w:r>
        <w:t xml:space="preserve">as </w:t>
      </w:r>
      <w:r w:rsidRPr="000521B6">
        <w:t>a willingness for public disclosure</w:t>
      </w:r>
      <w:r>
        <w:t xml:space="preserve"> was considered a priority (Rich and Moberg 2015)</w:t>
      </w:r>
      <w:r w:rsidRPr="000521B6">
        <w:t xml:space="preserve">. As the EITI 2014 progress report claims, </w:t>
      </w:r>
      <w:r w:rsidRPr="003F6F7F">
        <w:rPr>
          <w:rFonts w:cs="Times New Roman"/>
          <w:szCs w:val="24"/>
        </w:rPr>
        <w:t>“A reason to why the EITI has been so successful in many countries is that it has had this clear focus that implementation leads to real and measurable results: in each country and each year, government agencies and companies have disclosed payment data, which are then reconciled and published.”</w:t>
      </w:r>
      <w:r w:rsidRPr="000521B6">
        <w:rPr>
          <w:rFonts w:cs="Times New Roman"/>
          <w:i/>
          <w:szCs w:val="24"/>
        </w:rPr>
        <w:t xml:space="preserve"> </w:t>
      </w:r>
      <w:r w:rsidRPr="000521B6">
        <w:rPr>
          <w:rFonts w:cs="Times New Roman"/>
          <w:szCs w:val="24"/>
        </w:rPr>
        <w:t>(EITI 2014</w:t>
      </w:r>
      <w:r w:rsidR="000679F4">
        <w:rPr>
          <w:rFonts w:cs="Times New Roman"/>
          <w:szCs w:val="24"/>
        </w:rPr>
        <w:t>b</w:t>
      </w:r>
      <w:r w:rsidRPr="000521B6">
        <w:rPr>
          <w:rFonts w:cs="Times New Roman"/>
          <w:szCs w:val="24"/>
        </w:rPr>
        <w:t>, p</w:t>
      </w:r>
      <w:r w:rsidR="003D59A3">
        <w:rPr>
          <w:rFonts w:cs="Times New Roman"/>
          <w:szCs w:val="24"/>
        </w:rPr>
        <w:t xml:space="preserve">. </w:t>
      </w:r>
      <w:r w:rsidRPr="000521B6">
        <w:rPr>
          <w:rFonts w:cs="Times New Roman"/>
          <w:szCs w:val="24"/>
        </w:rPr>
        <w:t>8)</w:t>
      </w:r>
      <w:r w:rsidRPr="000521B6">
        <w:rPr>
          <w:rFonts w:cs="Times New Roman"/>
          <w:i/>
          <w:szCs w:val="24"/>
        </w:rPr>
        <w:t>.</w:t>
      </w:r>
      <w:r w:rsidRPr="000521B6">
        <w:rPr>
          <w:rFonts w:cs="Times New Roman"/>
          <w:szCs w:val="24"/>
        </w:rPr>
        <w:t xml:space="preserve"> </w:t>
      </w:r>
      <w:r>
        <w:rPr>
          <w:rFonts w:cs="Times New Roman"/>
          <w:szCs w:val="24"/>
        </w:rPr>
        <w:t>The success of disclosure, for its own, i</w:t>
      </w:r>
      <w:r w:rsidRPr="000521B6">
        <w:rPr>
          <w:rFonts w:cs="Times New Roman"/>
          <w:szCs w:val="24"/>
        </w:rPr>
        <w:t xml:space="preserve">s illustrated </w:t>
      </w:r>
      <w:r>
        <w:rPr>
          <w:rFonts w:cs="Times New Roman"/>
          <w:szCs w:val="24"/>
        </w:rPr>
        <w:t xml:space="preserve">by the rising </w:t>
      </w:r>
      <w:r w:rsidRPr="000521B6">
        <w:t>number of report</w:t>
      </w:r>
      <w:r>
        <w:t>s</w:t>
      </w:r>
      <w:r w:rsidRPr="000521B6">
        <w:t xml:space="preserve"> </w:t>
      </w:r>
      <w:r>
        <w:t xml:space="preserve">published </w:t>
      </w:r>
      <w:r w:rsidRPr="000521B6">
        <w:t>each year</w:t>
      </w:r>
      <w:r>
        <w:t xml:space="preserve"> between </w:t>
      </w:r>
      <w:r w:rsidRPr="000521B6">
        <w:t>2003</w:t>
      </w:r>
      <w:r>
        <w:t xml:space="preserve"> and 201</w:t>
      </w:r>
      <w:r w:rsidR="0035485B">
        <w:t>0</w:t>
      </w:r>
      <w:r w:rsidR="0070214F">
        <w:t xml:space="preserve"> (</w:t>
      </w:r>
      <w:r w:rsidR="009217F4">
        <w:rPr>
          <w:highlight w:val="yellow"/>
        </w:rPr>
        <w:fldChar w:fldCharType="begin"/>
      </w:r>
      <w:r w:rsidR="009217F4">
        <w:instrText xml:space="preserve"> REF _Ref455058353 \h </w:instrText>
      </w:r>
      <w:r w:rsidR="00E7198B">
        <w:rPr>
          <w:highlight w:val="yellow"/>
        </w:rPr>
        <w:instrText xml:space="preserve"> \* MERGEFORMAT </w:instrText>
      </w:r>
      <w:r w:rsidR="009217F4">
        <w:rPr>
          <w:highlight w:val="yellow"/>
        </w:rPr>
      </w:r>
      <w:r w:rsidR="009217F4">
        <w:rPr>
          <w:highlight w:val="yellow"/>
        </w:rPr>
        <w:fldChar w:fldCharType="separate"/>
      </w:r>
      <w:r w:rsidR="005A412B">
        <w:t xml:space="preserve">Figure </w:t>
      </w:r>
      <w:r w:rsidR="009217F4">
        <w:rPr>
          <w:highlight w:val="yellow"/>
        </w:rPr>
        <w:fldChar w:fldCharType="end"/>
      </w:r>
      <w:r w:rsidR="009550F9">
        <w:t>6</w:t>
      </w:r>
      <w:r w:rsidR="0070214F">
        <w:t>)</w:t>
      </w:r>
      <w:r w:rsidRPr="000521B6">
        <w:t xml:space="preserve">. </w:t>
      </w:r>
      <w:r w:rsidR="00371582">
        <w:t>S</w:t>
      </w:r>
      <w:r w:rsidR="0035485B">
        <w:t xml:space="preserve">everal countries have </w:t>
      </w:r>
      <w:r w:rsidR="00371582">
        <w:t xml:space="preserve">not yet submitted their annual report for the years 2011-2013 </w:t>
      </w:r>
      <w:r w:rsidR="0035485B">
        <w:t xml:space="preserve">(Nigeria, Trinidad and Tobago, Mali, Central Africa Republic, Gabon, Madagascar, and Yemen) </w:t>
      </w:r>
      <w:r w:rsidR="00371582">
        <w:t>which explains the downward turn in the figure.</w:t>
      </w:r>
      <w:r w:rsidR="0035485B">
        <w:rPr>
          <w:rStyle w:val="FootnoteReference"/>
        </w:rPr>
        <w:footnoteReference w:id="12"/>
      </w:r>
      <w:r w:rsidR="0035485B">
        <w:t xml:space="preserve"> </w:t>
      </w:r>
    </w:p>
    <w:p w14:paraId="409BC47F" w14:textId="77777777" w:rsidR="0035485B" w:rsidRPr="000521B6" w:rsidRDefault="0035485B" w:rsidP="0035485B">
      <w:r w:rsidRPr="000521B6">
        <w:t>Overall, EITI seems to have increased timely reporting on revenues, and thus has been successful in achieving this goal</w:t>
      </w:r>
      <w:r>
        <w:t xml:space="preserve"> and </w:t>
      </w:r>
      <w:r w:rsidRPr="000521B6">
        <w:t>many of the studies argue that the EITI has improved or at least partly improved transparency through the reporting</w:t>
      </w:r>
      <w:r>
        <w:t xml:space="preserve"> </w:t>
      </w:r>
      <w:r w:rsidRPr="000521B6">
        <w:t>(</w:t>
      </w:r>
      <w:r w:rsidRPr="002225C9">
        <w:rPr>
          <w:rFonts w:cs="Times New Roman"/>
          <w:szCs w:val="24"/>
        </w:rPr>
        <w:t>Neumann et al</w:t>
      </w:r>
      <w:r>
        <w:rPr>
          <w:rFonts w:cs="Times New Roman"/>
          <w:szCs w:val="24"/>
        </w:rPr>
        <w:t>.</w:t>
      </w:r>
      <w:r w:rsidRPr="002225C9">
        <w:rPr>
          <w:rFonts w:eastAsia="Times New Roman" w:cs="Times New Roman"/>
          <w:szCs w:val="24"/>
          <w:lang w:eastAsia="nb-NO"/>
        </w:rPr>
        <w:t xml:space="preserve"> 2016</w:t>
      </w:r>
      <w:r>
        <w:rPr>
          <w:rFonts w:eastAsia="Times New Roman" w:cs="Times New Roman"/>
          <w:sz w:val="20"/>
          <w:szCs w:val="20"/>
          <w:lang w:eastAsia="nb-NO"/>
        </w:rPr>
        <w:t xml:space="preserve">; </w:t>
      </w:r>
      <w:r w:rsidRPr="000521B6">
        <w:t>Ölcer 2009</w:t>
      </w:r>
      <w:r>
        <w:t>;</w:t>
      </w:r>
      <w:r w:rsidRPr="000521B6">
        <w:t xml:space="preserve"> Rich and Warner 2012</w:t>
      </w:r>
      <w:r>
        <w:t xml:space="preserve">; </w:t>
      </w:r>
      <w:r w:rsidRPr="000521B6">
        <w:t>Sovacool and Andrews 2015)</w:t>
      </w:r>
      <w:r>
        <w:t xml:space="preserve">. </w:t>
      </w:r>
      <w:r w:rsidRPr="000521B6">
        <w:t xml:space="preserve">For example, Nigeria </w:t>
      </w:r>
      <w:r>
        <w:t xml:space="preserve">which </w:t>
      </w:r>
      <w:r w:rsidRPr="000521B6">
        <w:t xml:space="preserve">was one of the EITI pilot </w:t>
      </w:r>
      <w:r>
        <w:t>countries</w:t>
      </w:r>
      <w:r w:rsidRPr="000521B6">
        <w:t xml:space="preserve"> has been seen as one of EITI’s success stories</w:t>
      </w:r>
      <w:r>
        <w:t xml:space="preserve">: </w:t>
      </w:r>
      <w:r w:rsidRPr="00B74B6E">
        <w:t>“[NEITI’s] periodic audits have opened up, widely, a hitherto opaque industry to public scrutiny”</w:t>
      </w:r>
      <w:r w:rsidRPr="000521B6">
        <w:t xml:space="preserve"> (</w:t>
      </w:r>
      <w:r>
        <w:t xml:space="preserve">EITI 2010, </w:t>
      </w:r>
      <w:r w:rsidRPr="000521B6">
        <w:t xml:space="preserve">p. 7). </w:t>
      </w:r>
      <w:r>
        <w:t>H</w:t>
      </w:r>
      <w:r w:rsidRPr="000521B6">
        <w:t>owever</w:t>
      </w:r>
      <w:r>
        <w:t>,</w:t>
      </w:r>
      <w:r w:rsidRPr="000521B6">
        <w:t xml:space="preserve"> </w:t>
      </w:r>
      <w:r>
        <w:t>as in the case of Nigeria, increased information has not necessarily led to improved accountability; A</w:t>
      </w:r>
      <w:r w:rsidRPr="000521B6">
        <w:t xml:space="preserve">n independent study by Shaxson (2009) found that </w:t>
      </w:r>
      <w:r>
        <w:t xml:space="preserve">although </w:t>
      </w:r>
      <w:r w:rsidRPr="000521B6">
        <w:t xml:space="preserve">the </w:t>
      </w:r>
      <w:r>
        <w:t>N</w:t>
      </w:r>
      <w:r w:rsidRPr="000521B6">
        <w:t>EITI report</w:t>
      </w:r>
      <w:r>
        <w:t>s</w:t>
      </w:r>
      <w:r w:rsidRPr="000521B6">
        <w:t xml:space="preserve"> produced for the period 1999-2004 were quite successful and showed great prospect</w:t>
      </w:r>
      <w:r>
        <w:t xml:space="preserve">, </w:t>
      </w:r>
      <w:r w:rsidRPr="000521B6">
        <w:t>the EITI process stalled in Nigeria</w:t>
      </w:r>
      <w:r>
        <w:t xml:space="preserve"> after 2004</w:t>
      </w:r>
      <w:r w:rsidRPr="000521B6">
        <w:t xml:space="preserve">. Both Shaxson and Keblusek (2010) conclude that NEITI did not drive the </w:t>
      </w:r>
      <w:r w:rsidRPr="000521B6">
        <w:lastRenderedPageBreak/>
        <w:t xml:space="preserve">reforms, but were piggybacking on already happening reforms and that President Obasanjo used the EITI to increase good will from the West towards his government. </w:t>
      </w:r>
    </w:p>
    <w:p w14:paraId="2E452C5D" w14:textId="77777777" w:rsidR="00E94D93" w:rsidRPr="00E94D93" w:rsidRDefault="00E94D93" w:rsidP="002C279D"/>
    <w:p w14:paraId="264423F7" w14:textId="58513CDF" w:rsidR="00847BA8" w:rsidRDefault="000E541D" w:rsidP="002C279D">
      <w:pPr>
        <w:pStyle w:val="Firstparagrpah"/>
        <w:rPr>
          <w:noProof/>
        </w:rPr>
      </w:pPr>
      <w:r>
        <w:rPr>
          <w:noProof/>
          <w:lang w:val="nb-NO" w:eastAsia="nb-NO"/>
        </w:rPr>
        <w:drawing>
          <wp:inline distT="0" distB="0" distL="0" distR="0" wp14:anchorId="3F991353" wp14:editId="6ECA99C1">
            <wp:extent cx="3619500" cy="1936750"/>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4D958E" w14:textId="62BE0170" w:rsidR="000E541D" w:rsidRDefault="000E541D" w:rsidP="000E541D">
      <w:pPr>
        <w:pStyle w:val="Caption"/>
      </w:pPr>
      <w:r>
        <w:t xml:space="preserve">Figure 6. </w:t>
      </w:r>
      <w:r w:rsidRPr="000521B6">
        <w:t xml:space="preserve">Number of </w:t>
      </w:r>
      <w:r>
        <w:t>countries that have disclosed data</w:t>
      </w:r>
      <w:r w:rsidR="0035485B">
        <w:t xml:space="preserve"> per year</w:t>
      </w:r>
      <w:r>
        <w:t>,</w:t>
      </w:r>
      <w:r w:rsidRPr="000521B6">
        <w:t xml:space="preserve"> 2003-201</w:t>
      </w:r>
      <w:r>
        <w:t>3</w:t>
      </w:r>
    </w:p>
    <w:p w14:paraId="676F36CF" w14:textId="64013410" w:rsidR="000E541D" w:rsidRPr="003F6F7F" w:rsidRDefault="0035485B" w:rsidP="000E541D">
      <w:pPr>
        <w:pStyle w:val="Caption"/>
        <w:spacing w:line="276" w:lineRule="auto"/>
        <w:rPr>
          <w:b w:val="0"/>
        </w:rPr>
      </w:pPr>
      <w:r>
        <w:rPr>
          <w:b w:val="0"/>
        </w:rPr>
        <w:t xml:space="preserve">Note: The figure shows how many countries have disclosed data in an EITI annual report for the specific year. In some cases, one report can cover more than one year. In those cases, each of the years are included in the figure. </w:t>
      </w:r>
      <w:r w:rsidR="000E541D">
        <w:rPr>
          <w:b w:val="0"/>
        </w:rPr>
        <w:t>Source</w:t>
      </w:r>
      <w:r>
        <w:rPr>
          <w:b w:val="0"/>
        </w:rPr>
        <w:t xml:space="preserve"> for the data</w:t>
      </w:r>
      <w:r w:rsidR="00371582">
        <w:rPr>
          <w:b w:val="0"/>
        </w:rPr>
        <w:t xml:space="preserve"> is the EITI’s online </w:t>
      </w:r>
      <w:r w:rsidR="00371582" w:rsidRPr="00371582">
        <w:rPr>
          <w:b w:val="0"/>
        </w:rPr>
        <w:t>Summary data from EITI Reports</w:t>
      </w:r>
      <w:r w:rsidR="00371582">
        <w:rPr>
          <w:b w:val="0"/>
        </w:rPr>
        <w:t xml:space="preserve"> as of October 2016 (</w:t>
      </w:r>
      <w:hyperlink r:id="rId17" w:history="1">
        <w:r w:rsidR="000E541D" w:rsidRPr="00534050">
          <w:rPr>
            <w:rStyle w:val="Hyperlink"/>
            <w:b w:val="0"/>
          </w:rPr>
          <w:t>https://eiti.org/summary-data</w:t>
        </w:r>
      </w:hyperlink>
      <w:r w:rsidR="00371582">
        <w:rPr>
          <w:b w:val="0"/>
        </w:rPr>
        <w:t>).</w:t>
      </w:r>
    </w:p>
    <w:p w14:paraId="1DB267E0" w14:textId="5A4BA3EF" w:rsidR="00847BA8" w:rsidRPr="000521B6" w:rsidRDefault="00587799" w:rsidP="002C279D">
      <w:pPr>
        <w:pStyle w:val="Heading2"/>
      </w:pPr>
      <w:r>
        <w:t xml:space="preserve">5.3. </w:t>
      </w:r>
      <w:r w:rsidR="00847BA8" w:rsidRPr="000521B6">
        <w:t>Public Participation</w:t>
      </w:r>
      <w:r w:rsidR="00847BA8">
        <w:t xml:space="preserve"> (Goal O-3)</w:t>
      </w:r>
    </w:p>
    <w:p w14:paraId="6047AC67" w14:textId="14F2972E" w:rsidR="00847BA8" w:rsidRPr="000521B6" w:rsidRDefault="00847BA8" w:rsidP="002C279D">
      <w:pPr>
        <w:pStyle w:val="Firstparagrpah"/>
      </w:pPr>
      <w:r>
        <w:t>Only few of the reviewed studies (</w:t>
      </w:r>
      <w:r w:rsidR="00830A11">
        <w:t>2</w:t>
      </w:r>
      <w:r>
        <w:t xml:space="preserve"> out of 14) found that t</w:t>
      </w:r>
      <w:r w:rsidRPr="000521B6">
        <w:t xml:space="preserve">he EITI </w:t>
      </w:r>
      <w:r>
        <w:t xml:space="preserve">has been successful </w:t>
      </w:r>
      <w:r w:rsidRPr="000521B6">
        <w:t xml:space="preserve">in </w:t>
      </w:r>
      <w:r>
        <w:t xml:space="preserve">promoting public debate about and action for better natural resource governance. </w:t>
      </w:r>
      <w:r w:rsidRPr="000521B6">
        <w:t xml:space="preserve"> As Gillies and Heuty (2011) argue</w:t>
      </w:r>
      <w:r w:rsidR="00A8121D">
        <w:t>,</w:t>
      </w:r>
      <w:r w:rsidRPr="000521B6">
        <w:t xml:space="preserve"> the </w:t>
      </w:r>
      <w:r w:rsidR="004C4C34">
        <w:t>‘</w:t>
      </w:r>
      <w:r w:rsidRPr="000521B6">
        <w:t>public</w:t>
      </w:r>
      <w:r w:rsidR="004C4C34">
        <w:t>’</w:t>
      </w:r>
      <w:r w:rsidRPr="000521B6">
        <w:t xml:space="preserve"> should not only be educated about the revenues and state of natural resource management in their country, but also empowered to be able to use the information so that they can hold governments and companies accountable. </w:t>
      </w:r>
    </w:p>
    <w:p w14:paraId="38ADD5D1" w14:textId="4932FD28" w:rsidR="00847BA8" w:rsidRPr="000521B6" w:rsidRDefault="00847BA8" w:rsidP="002C279D">
      <w:r w:rsidRPr="000521B6">
        <w:t xml:space="preserve">Although there are </w:t>
      </w:r>
      <w:r w:rsidR="004C4C34">
        <w:t xml:space="preserve">a few cases </w:t>
      </w:r>
      <w:r w:rsidRPr="000521B6">
        <w:t xml:space="preserve">of the general </w:t>
      </w:r>
      <w:r w:rsidR="00A8121D">
        <w:t>public</w:t>
      </w:r>
      <w:r w:rsidRPr="000521B6">
        <w:t xml:space="preserve"> contributing to transparency and accountability</w:t>
      </w:r>
      <w:r w:rsidR="007B5E1F">
        <w:t xml:space="preserve"> in EITI implementing countries</w:t>
      </w:r>
      <w:r w:rsidR="00A8121D">
        <w:t>, mostly through the work of civil society organizations</w:t>
      </w:r>
      <w:r w:rsidRPr="000521B6">
        <w:t xml:space="preserve">, there is little </w:t>
      </w:r>
      <w:r w:rsidR="007B5E1F">
        <w:t xml:space="preserve">general </w:t>
      </w:r>
      <w:r w:rsidRPr="000521B6">
        <w:t>evidence of EITI being able to promote better governance through public participation (</w:t>
      </w:r>
      <w:r w:rsidR="004837D1">
        <w:t>Aaronsen and Brinkerhoff 2011</w:t>
      </w:r>
      <w:r w:rsidR="004837D1" w:rsidRPr="000521B6">
        <w:t xml:space="preserve">; </w:t>
      </w:r>
      <w:r w:rsidR="00876112" w:rsidRPr="00E7308A">
        <w:rPr>
          <w:noProof/>
        </w:rPr>
        <w:t>Epremian</w:t>
      </w:r>
      <w:r w:rsidR="00876112">
        <w:rPr>
          <w:noProof/>
        </w:rPr>
        <w:t xml:space="preserve"> et al. </w:t>
      </w:r>
      <w:r w:rsidR="00876112" w:rsidRPr="00E7308A">
        <w:rPr>
          <w:noProof/>
        </w:rPr>
        <w:t>2016</w:t>
      </w:r>
      <w:r w:rsidR="00876112">
        <w:rPr>
          <w:noProof/>
        </w:rPr>
        <w:t xml:space="preserve">; </w:t>
      </w:r>
      <w:r w:rsidR="003D59A3" w:rsidRPr="000521B6">
        <w:t>Keblusek 2010</w:t>
      </w:r>
      <w:r w:rsidR="003D59A3">
        <w:t xml:space="preserve">; </w:t>
      </w:r>
      <w:r w:rsidR="00876112" w:rsidRPr="00E7308A">
        <w:rPr>
          <w:noProof/>
        </w:rPr>
        <w:t>Lujala</w:t>
      </w:r>
      <w:r w:rsidR="00876112">
        <w:rPr>
          <w:noProof/>
        </w:rPr>
        <w:t xml:space="preserve"> and</w:t>
      </w:r>
      <w:r w:rsidR="00876112" w:rsidRPr="00E7308A">
        <w:rPr>
          <w:noProof/>
        </w:rPr>
        <w:t xml:space="preserve"> Epremian 2016</w:t>
      </w:r>
      <w:r w:rsidR="00876112" w:rsidRPr="001F5DF6">
        <w:rPr>
          <w:noProof/>
          <w:szCs w:val="24"/>
        </w:rPr>
        <w:t xml:space="preserve">; </w:t>
      </w:r>
      <w:r w:rsidR="00876112" w:rsidRPr="00057B98">
        <w:rPr>
          <w:rFonts w:cs="Times New Roman"/>
          <w:szCs w:val="24"/>
        </w:rPr>
        <w:t>Neumann et al</w:t>
      </w:r>
      <w:r w:rsidR="00876112">
        <w:rPr>
          <w:rFonts w:cs="Times New Roman"/>
          <w:szCs w:val="24"/>
        </w:rPr>
        <w:t>.</w:t>
      </w:r>
      <w:r w:rsidR="00876112" w:rsidRPr="00057B98">
        <w:rPr>
          <w:rFonts w:eastAsia="Times New Roman" w:cs="Times New Roman"/>
          <w:szCs w:val="24"/>
          <w:lang w:eastAsia="nb-NO"/>
        </w:rPr>
        <w:t xml:space="preserve"> 2016</w:t>
      </w:r>
      <w:r w:rsidR="00876112">
        <w:rPr>
          <w:rFonts w:eastAsia="Times New Roman" w:cs="Times New Roman"/>
          <w:sz w:val="20"/>
          <w:szCs w:val="20"/>
          <w:lang w:eastAsia="nb-NO"/>
        </w:rPr>
        <w:t xml:space="preserve">; </w:t>
      </w:r>
      <w:r w:rsidR="004837D1">
        <w:t xml:space="preserve">Ofori and Lujala 2015; </w:t>
      </w:r>
      <w:r w:rsidR="003D59A3" w:rsidRPr="000521B6">
        <w:t>Scanteam 201</w:t>
      </w:r>
      <w:r w:rsidR="003D59A3">
        <w:t xml:space="preserve">1; </w:t>
      </w:r>
      <w:r w:rsidR="003D59A3" w:rsidRPr="000521B6">
        <w:t xml:space="preserve">Smith et al. 2012; Søreide and Truex 2013; </w:t>
      </w:r>
      <w:r w:rsidR="004837D1" w:rsidRPr="000521B6">
        <w:t xml:space="preserve">Sovacool and Andrews 2015; </w:t>
      </w:r>
      <w:r w:rsidR="00876112">
        <w:t>Sovacool et al. 2016; Wilson and Van Alestine 2014</w:t>
      </w:r>
      <w:r w:rsidRPr="000521B6">
        <w:t>). The evaluations name several reasons for th</w:t>
      </w:r>
      <w:r w:rsidR="007B5E1F">
        <w:t>is</w:t>
      </w:r>
      <w:r w:rsidRPr="000521B6">
        <w:t xml:space="preserve">, </w:t>
      </w:r>
      <w:r w:rsidR="00A8121D">
        <w:t xml:space="preserve">with </w:t>
      </w:r>
      <w:r w:rsidRPr="000521B6">
        <w:t xml:space="preserve">the key reasoning </w:t>
      </w:r>
      <w:r w:rsidR="00A8121D">
        <w:t xml:space="preserve">being </w:t>
      </w:r>
      <w:r w:rsidRPr="000521B6">
        <w:t xml:space="preserve">that the civil society, or the </w:t>
      </w:r>
      <w:r w:rsidR="00967737">
        <w:t>‘</w:t>
      </w:r>
      <w:r w:rsidRPr="000521B6">
        <w:t>public</w:t>
      </w:r>
      <w:r w:rsidR="00967737">
        <w:t>’</w:t>
      </w:r>
      <w:r>
        <w:t>,</w:t>
      </w:r>
      <w:r w:rsidRPr="000521B6">
        <w:t xml:space="preserve"> is a diverse entity with diverse, and often conflicting, objectives and expectations with regard to natural resource governance, and not least, with regard to how resource revenues should be distributed and invested. </w:t>
      </w:r>
      <w:r w:rsidR="00A8121D">
        <w:t xml:space="preserve">A further reason is that </w:t>
      </w:r>
      <w:r>
        <w:t>the EITI has to a large extent been a national level initiative</w:t>
      </w:r>
      <w:r w:rsidR="00A8121D">
        <w:t>, with</w:t>
      </w:r>
      <w:r>
        <w:t xml:space="preserve"> possibly little relevance for the general public’s needs when it comes to information and changes to natural resource governance that are likely to focus on local level management rather than national level</w:t>
      </w:r>
      <w:r w:rsidR="007B5E1F">
        <w:t xml:space="preserve"> natural resource </w:t>
      </w:r>
      <w:r w:rsidR="0076709D">
        <w:t>governance</w:t>
      </w:r>
      <w:r>
        <w:t xml:space="preserve">. </w:t>
      </w:r>
      <w:r w:rsidR="00A8121D">
        <w:t xml:space="preserve">Another frequently mentioned reason is about what </w:t>
      </w:r>
      <w:r>
        <w:t xml:space="preserve">the general public can do </w:t>
      </w:r>
      <w:r w:rsidR="007B5E1F">
        <w:t xml:space="preserve">or </w:t>
      </w:r>
      <w:r>
        <w:t xml:space="preserve">engage in, </w:t>
      </w:r>
      <w:r w:rsidR="00A8121D">
        <w:t xml:space="preserve">when faced by high levels of </w:t>
      </w:r>
      <w:r>
        <w:t>repression</w:t>
      </w:r>
      <w:r w:rsidR="00A8121D">
        <w:t>, or coercive forms of influence,</w:t>
      </w:r>
      <w:r>
        <w:t xml:space="preserve"> exerted by the central and local government, and in some cases, by traditional leaders.   </w:t>
      </w:r>
    </w:p>
    <w:p w14:paraId="7FF08A10" w14:textId="15E0BC5F" w:rsidR="00847BA8" w:rsidRPr="000521B6" w:rsidRDefault="00587799" w:rsidP="002C279D">
      <w:pPr>
        <w:pStyle w:val="Heading2"/>
      </w:pPr>
      <w:r>
        <w:lastRenderedPageBreak/>
        <w:t xml:space="preserve">5.4. </w:t>
      </w:r>
      <w:r w:rsidR="007B5E1F">
        <w:t>C</w:t>
      </w:r>
      <w:r w:rsidR="007B5E1F" w:rsidRPr="007B5E1F">
        <w:t xml:space="preserve">ivil society’s </w:t>
      </w:r>
      <w:r w:rsidR="007B5E1F">
        <w:t>participation in multi</w:t>
      </w:r>
      <w:r w:rsidR="00847BA8" w:rsidRPr="000521B6">
        <w:t>-stakeholder groups</w:t>
      </w:r>
      <w:r w:rsidR="00847BA8">
        <w:t xml:space="preserve"> (Goal O-4)</w:t>
      </w:r>
    </w:p>
    <w:p w14:paraId="49ED9188" w14:textId="58361360" w:rsidR="00847BA8" w:rsidRPr="000521B6" w:rsidRDefault="00847BA8" w:rsidP="002C279D">
      <w:pPr>
        <w:pStyle w:val="Firstparagrpah"/>
      </w:pPr>
      <w:r>
        <w:t>While t</w:t>
      </w:r>
      <w:r w:rsidRPr="00EA4272">
        <w:t xml:space="preserve">he EITI seems </w:t>
      </w:r>
      <w:r>
        <w:t xml:space="preserve">not </w:t>
      </w:r>
      <w:r w:rsidRPr="00EA4272">
        <w:t xml:space="preserve">to have succeeded </w:t>
      </w:r>
      <w:r>
        <w:t xml:space="preserve">in engaging the </w:t>
      </w:r>
      <w:r w:rsidR="007B5E1F">
        <w:t xml:space="preserve">general </w:t>
      </w:r>
      <w:r>
        <w:t xml:space="preserve">public, it has had better success in </w:t>
      </w:r>
      <w:r w:rsidRPr="00EA4272">
        <w:t>engag</w:t>
      </w:r>
      <w:r w:rsidR="00BE4C1F">
        <w:t>ing</w:t>
      </w:r>
      <w:r w:rsidRPr="00EA4272">
        <w:t xml:space="preserve"> civil society through </w:t>
      </w:r>
      <w:r>
        <w:t xml:space="preserve">the </w:t>
      </w:r>
      <w:r w:rsidRPr="00EA4272">
        <w:t xml:space="preserve">MSGs. </w:t>
      </w:r>
      <w:r w:rsidRPr="000521B6">
        <w:t>In order to comply with the EITI Standard, the government is dependent on the collaboration of both the extractive companies and the civil society</w:t>
      </w:r>
      <w:r w:rsidR="00BE4C1F">
        <w:t>,</w:t>
      </w:r>
      <w:r w:rsidRPr="000521B6">
        <w:t xml:space="preserve"> as the establishment of a MSG is a requirement to become a candidate country. In particular, MSG is to give the civil society a seat </w:t>
      </w:r>
      <w:r w:rsidR="00BE4C1F">
        <w:t>at</w:t>
      </w:r>
      <w:r w:rsidRPr="000521B6">
        <w:t xml:space="preserve"> the table and a voice to fully participate in a </w:t>
      </w:r>
      <w:r w:rsidR="00BE4C1F">
        <w:t>genuine</w:t>
      </w:r>
      <w:r w:rsidR="00BE4C1F" w:rsidRPr="000521B6">
        <w:t xml:space="preserve"> </w:t>
      </w:r>
      <w:r w:rsidRPr="000521B6">
        <w:t xml:space="preserve">partnership with the other stakeholders. Sometimes governments may assume that the issues at hand are too complex for the civil society and that </w:t>
      </w:r>
      <w:r>
        <w:t xml:space="preserve">it </w:t>
      </w:r>
      <w:r w:rsidRPr="000521B6">
        <w:t xml:space="preserve">is thus </w:t>
      </w:r>
      <w:r w:rsidR="00967737">
        <w:t>‘</w:t>
      </w:r>
      <w:r w:rsidRPr="000521B6">
        <w:t>safe</w:t>
      </w:r>
      <w:r w:rsidR="00967737">
        <w:t>’</w:t>
      </w:r>
      <w:r w:rsidRPr="000521B6">
        <w:t xml:space="preserve"> for the government to sign on to the EITI and inclu</w:t>
      </w:r>
      <w:r>
        <w:t>de</w:t>
      </w:r>
      <w:r w:rsidRPr="000521B6">
        <w:t xml:space="preserve"> </w:t>
      </w:r>
      <w:r>
        <w:t>the</w:t>
      </w:r>
      <w:r w:rsidRPr="000521B6">
        <w:t xml:space="preserve"> civil society in the MSG (Rich and Moberg 2015). However, </w:t>
      </w:r>
      <w:r>
        <w:t xml:space="preserve">in many cases the civil society MSG members mature with the task and start to </w:t>
      </w:r>
      <w:r w:rsidRPr="000521B6">
        <w:t>demand clearer reporting, improving the overall standard of EITI implementation in the country.</w:t>
      </w:r>
    </w:p>
    <w:p w14:paraId="39F4E2DA" w14:textId="1CE38212" w:rsidR="00847BA8" w:rsidRPr="000521B6" w:rsidRDefault="00847BA8" w:rsidP="002C279D">
      <w:r>
        <w:t>Several evaluations have looked at the MSG</w:t>
      </w:r>
      <w:r w:rsidR="007B5E1F">
        <w:t>s</w:t>
      </w:r>
      <w:r>
        <w:t xml:space="preserve">, and especially the civil society’s role in it. In some countries there seems to have been a genuine progress in including the civil society and ensuring its </w:t>
      </w:r>
      <w:r w:rsidR="00967737">
        <w:t>‘</w:t>
      </w:r>
      <w:r>
        <w:t>voice</w:t>
      </w:r>
      <w:r w:rsidR="00967737">
        <w:t>’</w:t>
      </w:r>
      <w:r>
        <w:t xml:space="preserve"> in the process. </w:t>
      </w:r>
      <w:r w:rsidRPr="000521B6">
        <w:t>The 2011 Scanteam report</w:t>
      </w:r>
      <w:r>
        <w:t xml:space="preserve">, for example, </w:t>
      </w:r>
      <w:r w:rsidRPr="000521B6">
        <w:t>concluded that the multi-stakeholder groups had become legitimate arenas for dialogue in Nigeria, Gabon</w:t>
      </w:r>
      <w:r w:rsidR="007B5E1F">
        <w:t>,</w:t>
      </w:r>
      <w:r w:rsidRPr="000521B6">
        <w:t xml:space="preserve"> and Mongolia</w:t>
      </w:r>
      <w:r>
        <w:t xml:space="preserve">. In other countries, like in </w:t>
      </w:r>
      <w:r w:rsidRPr="000521B6">
        <w:t>Azerbaijan</w:t>
      </w:r>
      <w:r>
        <w:t xml:space="preserve">, Kyrgyzstan, and </w:t>
      </w:r>
      <w:r w:rsidRPr="000521B6">
        <w:t>G</w:t>
      </w:r>
      <w:r>
        <w:t>hana</w:t>
      </w:r>
      <w:r w:rsidR="007B5E1F">
        <w:t>,</w:t>
      </w:r>
      <w:r w:rsidRPr="000521B6">
        <w:t xml:space="preserve"> </w:t>
      </w:r>
      <w:r>
        <w:t>the civil society’s participation in MSG have been seriously curtailed (</w:t>
      </w:r>
      <w:r w:rsidR="00830139">
        <w:t xml:space="preserve">Andrews 2016; </w:t>
      </w:r>
      <w:r w:rsidR="00A31199" w:rsidRPr="00B74B6E">
        <w:t>Furstenberg</w:t>
      </w:r>
      <w:r w:rsidR="00A31199">
        <w:t xml:space="preserve"> 2015; </w:t>
      </w:r>
      <w:r w:rsidRPr="000521B6">
        <w:t>Sovacool et al</w:t>
      </w:r>
      <w:r>
        <w:t>.</w:t>
      </w:r>
      <w:r w:rsidRPr="000521B6">
        <w:t xml:space="preserve"> 2016)</w:t>
      </w:r>
      <w:r>
        <w:t xml:space="preserve">. </w:t>
      </w:r>
    </w:p>
    <w:p w14:paraId="02AF93E0" w14:textId="03C4C90A" w:rsidR="00847BA8" w:rsidRPr="000521B6" w:rsidRDefault="00847BA8" w:rsidP="002C279D">
      <w:r>
        <w:t xml:space="preserve">In some cases, the civil society can find it difficult to speak </w:t>
      </w:r>
      <w:r w:rsidR="00917305">
        <w:t>with</w:t>
      </w:r>
      <w:r>
        <w:t xml:space="preserve"> </w:t>
      </w:r>
      <w:r w:rsidR="00967737">
        <w:t>‘</w:t>
      </w:r>
      <w:r>
        <w:t>one voice</w:t>
      </w:r>
      <w:r w:rsidR="00967737">
        <w:t>’</w:t>
      </w:r>
      <w:r>
        <w:t xml:space="preserve"> as it is difficult for </w:t>
      </w:r>
      <w:r w:rsidRPr="000521B6">
        <w:t xml:space="preserve">one or a few persons to represent the views and opinions in such a wide spectrum of </w:t>
      </w:r>
      <w:r>
        <w:t xml:space="preserve">civil society </w:t>
      </w:r>
      <w:r w:rsidRPr="000521B6">
        <w:t xml:space="preserve">organizations, </w:t>
      </w:r>
      <w:r>
        <w:t xml:space="preserve">and in some cases the </w:t>
      </w:r>
      <w:r w:rsidRPr="000521B6">
        <w:t>individuals within the civil society can be motivated by personal gain for getting involved in the proces</w:t>
      </w:r>
      <w:r w:rsidR="00290B76">
        <w:t>s (Aaronsen and Brinkerhoff 2011</w:t>
      </w:r>
      <w:r w:rsidRPr="000521B6">
        <w:t xml:space="preserve">; </w:t>
      </w:r>
      <w:r w:rsidR="00A31199" w:rsidRPr="000521B6">
        <w:t>Smith et al. 2012</w:t>
      </w:r>
      <w:r w:rsidR="00A31199">
        <w:t>;</w:t>
      </w:r>
      <w:r w:rsidR="00A31199" w:rsidRPr="000521B6">
        <w:t xml:space="preserve"> Søreide and Truex 2013</w:t>
      </w:r>
      <w:r w:rsidR="00A31199">
        <w:t xml:space="preserve">; </w:t>
      </w:r>
      <w:r w:rsidRPr="000521B6">
        <w:t>Sovacool et al</w:t>
      </w:r>
      <w:r w:rsidR="00A31199">
        <w:t>.</w:t>
      </w:r>
      <w:r w:rsidRPr="000521B6">
        <w:t xml:space="preserve"> 2016). This </w:t>
      </w:r>
      <w:r>
        <w:t>can</w:t>
      </w:r>
      <w:r w:rsidRPr="000521B6">
        <w:t xml:space="preserve"> undermine other relevant voices in the civil society and </w:t>
      </w:r>
      <w:r w:rsidR="00FC5B4F">
        <w:t>can</w:t>
      </w:r>
      <w:r w:rsidR="00FC5B4F" w:rsidRPr="000521B6">
        <w:t xml:space="preserve"> </w:t>
      </w:r>
      <w:r w:rsidRPr="000521B6">
        <w:t xml:space="preserve">lead to manipulation by and of stakeholders, which is not helping to improve accountability but rather increase </w:t>
      </w:r>
      <w:r w:rsidR="00FC5B4F">
        <w:t>the likelihood of mismanagement</w:t>
      </w:r>
      <w:r w:rsidRPr="000521B6">
        <w:t xml:space="preserve">. </w:t>
      </w:r>
      <w:r>
        <w:t xml:space="preserve">In fact, </w:t>
      </w:r>
      <w:r w:rsidRPr="000521B6">
        <w:t xml:space="preserve">incompatibilities within group </w:t>
      </w:r>
      <w:r w:rsidR="00FC5B4F">
        <w:t>can</w:t>
      </w:r>
      <w:r w:rsidRPr="000521B6">
        <w:t xml:space="preserve"> prevent to effectively address the real issues</w:t>
      </w:r>
      <w:r>
        <w:t xml:space="preserve"> (Rich and Moberg 2015</w:t>
      </w:r>
      <w:r w:rsidR="00830139">
        <w:t xml:space="preserve">; </w:t>
      </w:r>
      <w:r w:rsidR="00830139" w:rsidRPr="000521B6">
        <w:t>Søreide and Truex 2013</w:t>
      </w:r>
      <w:r>
        <w:t>)</w:t>
      </w:r>
      <w:r w:rsidRPr="000521B6">
        <w:t xml:space="preserve">. Sovacool et al. (2016) </w:t>
      </w:r>
      <w:r>
        <w:t xml:space="preserve">go as far as to </w:t>
      </w:r>
      <w:r w:rsidRPr="000521B6">
        <w:t>argue that the inclusion of civil society in the process has been the EITI’s biggest setback, not because it is a bad strategy, but because the partnership</w:t>
      </w:r>
      <w:r w:rsidR="00FC5B4F">
        <w:t>s</w:t>
      </w:r>
      <w:r w:rsidRPr="000521B6">
        <w:t xml:space="preserve"> between the </w:t>
      </w:r>
      <w:r>
        <w:t xml:space="preserve">civil society </w:t>
      </w:r>
      <w:r w:rsidRPr="000521B6">
        <w:t xml:space="preserve">stakeholders are not as genuine as it </w:t>
      </w:r>
      <w:r w:rsidR="00FC5B4F">
        <w:t>should</w:t>
      </w:r>
      <w:r w:rsidR="00FC5B4F" w:rsidRPr="000521B6">
        <w:t xml:space="preserve"> </w:t>
      </w:r>
      <w:r w:rsidRPr="000521B6">
        <w:t>be.</w:t>
      </w:r>
    </w:p>
    <w:p w14:paraId="24C8A137" w14:textId="5E157B0D" w:rsidR="00847BA8" w:rsidRPr="000521B6" w:rsidRDefault="00847BA8" w:rsidP="002C279D">
      <w:r w:rsidRPr="000521B6">
        <w:t>It is clear that the EITI has been successful in establishing the MSGs in the implementing countries</w:t>
      </w:r>
      <w:r>
        <w:t xml:space="preserve"> and that </w:t>
      </w:r>
      <w:r w:rsidRPr="000521B6">
        <w:t>MSG</w:t>
      </w:r>
      <w:r w:rsidR="00917305">
        <w:t>s</w:t>
      </w:r>
      <w:r w:rsidRPr="000521B6">
        <w:t xml:space="preserve"> often provide one of the </w:t>
      </w:r>
      <w:r>
        <w:t xml:space="preserve">very </w:t>
      </w:r>
      <w:r w:rsidRPr="000521B6">
        <w:t>first opportunities for many civil society organizations to</w:t>
      </w:r>
      <w:r w:rsidR="00F667AF">
        <w:t xml:space="preserve"> directly</w:t>
      </w:r>
      <w:r w:rsidRPr="000521B6">
        <w:t xml:space="preserve"> discuss natural resource governance with the government and extractive industry</w:t>
      </w:r>
      <w:r>
        <w:t xml:space="preserve">. However, </w:t>
      </w:r>
      <w:r w:rsidRPr="000521B6">
        <w:t xml:space="preserve">to what degree </w:t>
      </w:r>
      <w:r w:rsidR="00FC5B4F">
        <w:t>MSGs</w:t>
      </w:r>
      <w:r w:rsidR="00FC5B4F" w:rsidRPr="000521B6">
        <w:t xml:space="preserve"> </w:t>
      </w:r>
      <w:r w:rsidRPr="000521B6">
        <w:t xml:space="preserve">are filling the governance gap is </w:t>
      </w:r>
      <w:r w:rsidR="00FC5B4F">
        <w:t xml:space="preserve">questioned </w:t>
      </w:r>
      <w:r>
        <w:t xml:space="preserve">as </w:t>
      </w:r>
      <w:r w:rsidR="00FC5B4F">
        <w:t xml:space="preserve">the civil </w:t>
      </w:r>
      <w:r w:rsidR="00E27CEE">
        <w:t>society</w:t>
      </w:r>
      <w:r w:rsidR="00FC5B4F">
        <w:t xml:space="preserve"> </w:t>
      </w:r>
      <w:r w:rsidRPr="000521B6">
        <w:t xml:space="preserve">in many cases represent </w:t>
      </w:r>
      <w:r w:rsidR="00FC5B4F">
        <w:t>MSG’s</w:t>
      </w:r>
      <w:r w:rsidR="00FC5B4F" w:rsidRPr="000521B6">
        <w:t xml:space="preserve"> </w:t>
      </w:r>
      <w:r w:rsidRPr="000521B6">
        <w:t>weakest part</w:t>
      </w:r>
      <w:r w:rsidR="00F667AF">
        <w:t>,</w:t>
      </w:r>
      <w:r w:rsidR="00FC5B4F">
        <w:t xml:space="preserve"> </w:t>
      </w:r>
      <w:r w:rsidRPr="000521B6">
        <w:t xml:space="preserve">and have very little power to </w:t>
      </w:r>
      <w:r>
        <w:t>influence</w:t>
      </w:r>
      <w:r w:rsidRPr="000521B6">
        <w:t xml:space="preserve"> the other stakeholders (Ölcer 2009). </w:t>
      </w:r>
    </w:p>
    <w:p w14:paraId="3FDD6E3C" w14:textId="77777777" w:rsidR="00847BA8" w:rsidRPr="000521B6" w:rsidRDefault="00847BA8" w:rsidP="002C279D">
      <w:pPr>
        <w:pStyle w:val="Heading1"/>
      </w:pPr>
      <w:r w:rsidRPr="000521B6">
        <w:t>Developmental goals</w:t>
      </w:r>
    </w:p>
    <w:p w14:paraId="2CDAC791" w14:textId="10292E00" w:rsidR="00847BA8" w:rsidRDefault="00847BA8" w:rsidP="002C279D">
      <w:pPr>
        <w:pStyle w:val="Firstparagrpah"/>
      </w:pPr>
      <w:r>
        <w:t>D</w:t>
      </w:r>
      <w:r w:rsidRPr="000521B6">
        <w:t>evelopmental goals are, by nature, more long-term than the operational goals</w:t>
      </w:r>
      <w:r w:rsidR="004415CE">
        <w:t>. They are also,</w:t>
      </w:r>
      <w:r w:rsidR="005A412B">
        <w:t xml:space="preserve"> at least partially</w:t>
      </w:r>
      <w:r w:rsidR="004415CE">
        <w:t>,</w:t>
      </w:r>
      <w:r w:rsidR="005A412B">
        <w:t xml:space="preserve"> beyond EITI’s direct reach</w:t>
      </w:r>
      <w:r w:rsidRPr="000521B6">
        <w:t xml:space="preserve">. In </w:t>
      </w:r>
      <w:r>
        <w:fldChar w:fldCharType="begin"/>
      </w:r>
      <w:r>
        <w:instrText xml:space="preserve"> REF _Ref450815038 \h </w:instrText>
      </w:r>
      <w:r w:rsidR="00E7198B">
        <w:instrText xml:space="preserve"> \* MERGEFORMAT </w:instrText>
      </w:r>
      <w:r>
        <w:fldChar w:fldCharType="separate"/>
      </w:r>
      <w:r w:rsidR="00146B0B">
        <w:t xml:space="preserve">Figure </w:t>
      </w:r>
      <w:r w:rsidR="00146B0B">
        <w:rPr>
          <w:noProof/>
        </w:rPr>
        <w:t>1</w:t>
      </w:r>
      <w:r>
        <w:fldChar w:fldCharType="end"/>
      </w:r>
      <w:r w:rsidRPr="000521B6">
        <w:t xml:space="preserve"> we group these goals in </w:t>
      </w:r>
      <w:r w:rsidR="009A4010">
        <w:t xml:space="preserve">three </w:t>
      </w:r>
      <w:r w:rsidR="002664A9">
        <w:t>main</w:t>
      </w:r>
      <w:r w:rsidRPr="000521B6">
        <w:t xml:space="preserve"> categories: increased revenues through </w:t>
      </w:r>
      <w:r w:rsidR="002664A9">
        <w:t xml:space="preserve">(1) </w:t>
      </w:r>
      <w:r w:rsidRPr="000521B6">
        <w:t>decreasing corruption</w:t>
      </w:r>
      <w:r w:rsidR="003F64C0">
        <w:t xml:space="preserve">; </w:t>
      </w:r>
      <w:r w:rsidR="002664A9">
        <w:t xml:space="preserve">(2) </w:t>
      </w:r>
      <w:r w:rsidRPr="000521B6">
        <w:t>increas</w:t>
      </w:r>
      <w:r w:rsidR="003F64C0">
        <w:t>ed</w:t>
      </w:r>
      <w:r w:rsidRPr="000521B6">
        <w:t xml:space="preserve"> FDI and aid flows </w:t>
      </w:r>
      <w:r w:rsidR="003F64C0">
        <w:t xml:space="preserve">to the country </w:t>
      </w:r>
      <w:r w:rsidRPr="000521B6">
        <w:t xml:space="preserve">as well as the host country getting increasingly </w:t>
      </w:r>
      <w:r w:rsidR="00967737">
        <w:t>‘</w:t>
      </w:r>
      <w:r w:rsidRPr="000521B6">
        <w:t>fairer</w:t>
      </w:r>
      <w:r w:rsidR="00967737">
        <w:t>’</w:t>
      </w:r>
      <w:r w:rsidRPr="000521B6">
        <w:t xml:space="preserve"> share of the revenues</w:t>
      </w:r>
      <w:r w:rsidR="003F64C0">
        <w:t>;</w:t>
      </w:r>
      <w:r w:rsidRPr="000521B6">
        <w:t xml:space="preserve"> and </w:t>
      </w:r>
      <w:r w:rsidRPr="000521B6">
        <w:lastRenderedPageBreak/>
        <w:t>(</w:t>
      </w:r>
      <w:r w:rsidR="002664A9">
        <w:t>3</w:t>
      </w:r>
      <w:r w:rsidRPr="000521B6">
        <w:t xml:space="preserve">) the </w:t>
      </w:r>
      <w:r w:rsidR="00967737">
        <w:t>‘</w:t>
      </w:r>
      <w:r w:rsidRPr="000521B6">
        <w:t>ultimate goals</w:t>
      </w:r>
      <w:r w:rsidR="00967737">
        <w:t>’</w:t>
      </w:r>
      <w:r w:rsidRPr="000521B6">
        <w:t xml:space="preserve"> comprising sustainable development economic transformation, improved governance, reduced poverty and improved living conditions.  </w:t>
      </w:r>
    </w:p>
    <w:p w14:paraId="6026E25C" w14:textId="4DD01971" w:rsidR="00847BA8" w:rsidRPr="000521B6" w:rsidRDefault="00587799" w:rsidP="002C279D">
      <w:pPr>
        <w:pStyle w:val="Heading2"/>
      </w:pPr>
      <w:r>
        <w:t xml:space="preserve">6.1. </w:t>
      </w:r>
      <w:r w:rsidR="00847BA8" w:rsidRPr="000521B6">
        <w:t>Increase</w:t>
      </w:r>
      <w:r w:rsidR="00847BA8">
        <w:t xml:space="preserve"> natural resource</w:t>
      </w:r>
      <w:r w:rsidR="00847BA8" w:rsidRPr="000521B6">
        <w:t xml:space="preserve"> revenues</w:t>
      </w:r>
      <w:r w:rsidR="008258D8">
        <w:t xml:space="preserve"> through reduced corruption</w:t>
      </w:r>
      <w:r w:rsidR="00847BA8" w:rsidRPr="000521B6">
        <w:t xml:space="preserve"> </w:t>
      </w:r>
      <w:r w:rsidR="00847BA8">
        <w:t>(Goal D-1)</w:t>
      </w:r>
    </w:p>
    <w:p w14:paraId="4EC6D7B6" w14:textId="3949A28B" w:rsidR="00847BA8" w:rsidRDefault="00847BA8" w:rsidP="002C279D">
      <w:pPr>
        <w:pStyle w:val="Firstparagrpah"/>
        <w:rPr>
          <w:szCs w:val="24"/>
        </w:rPr>
      </w:pPr>
      <w:r w:rsidRPr="000521B6">
        <w:t>Reduc</w:t>
      </w:r>
      <w:r>
        <w:t>ing</w:t>
      </w:r>
      <w:r w:rsidRPr="000521B6">
        <w:t xml:space="preserve"> corruption has </w:t>
      </w:r>
      <w:r>
        <w:t>arguably been the foundational goal of the EITI and the one with the highest public profile; even if the EITI has refrained from using the term corruption itself, notably in order to entice governments to join</w:t>
      </w:r>
      <w:r w:rsidRPr="000521B6">
        <w:t>. In that respect, Ölcer (2009), Öge (2016</w:t>
      </w:r>
      <w:r w:rsidR="005F58FE">
        <w:t>a; 2016b</w:t>
      </w:r>
      <w:r w:rsidRPr="000521B6">
        <w:t>)</w:t>
      </w:r>
      <w:r w:rsidR="00FF5D28">
        <w:t>,</w:t>
      </w:r>
      <w:r w:rsidRPr="000521B6">
        <w:t xml:space="preserve"> and Kasekende et al</w:t>
      </w:r>
      <w:r w:rsidR="00A31199">
        <w:t>.</w:t>
      </w:r>
      <w:r w:rsidRPr="000521B6">
        <w:t xml:space="preserve"> (2016) conclude that even though the EITI has been successful in providing transparency by directing attention towards discrepancies in the revenues coming from the extractive industry, it has not contributed to a reduction of corruption. </w:t>
      </w:r>
      <w:r w:rsidRPr="000521B6">
        <w:rPr>
          <w:szCs w:val="24"/>
        </w:rPr>
        <w:t xml:space="preserve">Papyrakis et al. (2016), in </w:t>
      </w:r>
      <w:r>
        <w:rPr>
          <w:szCs w:val="24"/>
        </w:rPr>
        <w:t>contrast</w:t>
      </w:r>
      <w:r w:rsidRPr="000521B6">
        <w:rPr>
          <w:szCs w:val="24"/>
        </w:rPr>
        <w:t>, finds evidence EITI membership positively mediates the level of corruption in resource rich countries</w:t>
      </w:r>
      <w:r w:rsidR="009A4010">
        <w:rPr>
          <w:szCs w:val="24"/>
        </w:rPr>
        <w:t>,</w:t>
      </w:r>
      <w:r w:rsidR="008B21FA">
        <w:rPr>
          <w:szCs w:val="24"/>
        </w:rPr>
        <w:t xml:space="preserve"> while </w:t>
      </w:r>
      <w:r w:rsidRPr="001233E7">
        <w:t>Etter (201</w:t>
      </w:r>
      <w:r w:rsidR="00830139">
        <w:t>4</w:t>
      </w:r>
      <w:r w:rsidRPr="001233E7">
        <w:t>)</w:t>
      </w:r>
      <w:r w:rsidRPr="001233E7">
        <w:rPr>
          <w:szCs w:val="24"/>
        </w:rPr>
        <w:t xml:space="preserve"> </w:t>
      </w:r>
      <w:r w:rsidR="008B21FA">
        <w:rPr>
          <w:szCs w:val="24"/>
        </w:rPr>
        <w:t>reports</w:t>
      </w:r>
      <w:r w:rsidR="008B21FA" w:rsidRPr="001233E7">
        <w:rPr>
          <w:szCs w:val="24"/>
        </w:rPr>
        <w:t xml:space="preserve"> </w:t>
      </w:r>
      <w:r w:rsidRPr="001233E7">
        <w:rPr>
          <w:szCs w:val="24"/>
        </w:rPr>
        <w:t>that there has</w:t>
      </w:r>
      <w:r>
        <w:rPr>
          <w:szCs w:val="24"/>
        </w:rPr>
        <w:t xml:space="preserve"> been a significant reduction in</w:t>
      </w:r>
      <w:r w:rsidRPr="001233E7">
        <w:rPr>
          <w:szCs w:val="24"/>
        </w:rPr>
        <w:t xml:space="preserve"> corruption in Peru after joining the EITI, </w:t>
      </w:r>
      <w:r w:rsidR="008B21FA">
        <w:rPr>
          <w:szCs w:val="24"/>
        </w:rPr>
        <w:t xml:space="preserve">but not in </w:t>
      </w:r>
      <w:r w:rsidRPr="001233E7">
        <w:rPr>
          <w:szCs w:val="24"/>
        </w:rPr>
        <w:t>in Mali</w:t>
      </w:r>
      <w:r w:rsidR="009A6A31">
        <w:rPr>
          <w:szCs w:val="24"/>
        </w:rPr>
        <w:t>; which he suggests relates from the relative absence of a "functioning civil society" in place prior to EITI implementation in Mali compared to Peru, and to the voluntary nature of the initiative, with the Peruvian government being more genuinely interested to carry out the initiative than Mali</w:t>
      </w:r>
      <w:r w:rsidRPr="001233E7">
        <w:rPr>
          <w:szCs w:val="24"/>
        </w:rPr>
        <w:t>.</w:t>
      </w:r>
      <w:r w:rsidR="009A4010">
        <w:rPr>
          <w:szCs w:val="24"/>
        </w:rPr>
        <w:t xml:space="preserve"> </w:t>
      </w:r>
      <w:r w:rsidR="003F7927">
        <w:rPr>
          <w:szCs w:val="24"/>
        </w:rPr>
        <w:t>Overall, there is some evidence that the EITI may have had</w:t>
      </w:r>
      <w:r w:rsidR="006D0A90">
        <w:rPr>
          <w:szCs w:val="24"/>
        </w:rPr>
        <w:t xml:space="preserve"> a</w:t>
      </w:r>
      <w:r w:rsidR="003F7927">
        <w:rPr>
          <w:szCs w:val="24"/>
        </w:rPr>
        <w:t xml:space="preserve"> positive impact on </w:t>
      </w:r>
      <w:r w:rsidR="006D0A90">
        <w:rPr>
          <w:szCs w:val="24"/>
        </w:rPr>
        <w:t xml:space="preserve">reducing </w:t>
      </w:r>
      <w:r w:rsidR="003F7927">
        <w:rPr>
          <w:szCs w:val="24"/>
        </w:rPr>
        <w:t xml:space="preserve">corruption in some countries, but most studies (8 out of 13) find no support for this. </w:t>
      </w:r>
      <w:r w:rsidR="009A4010">
        <w:rPr>
          <w:szCs w:val="24"/>
        </w:rPr>
        <w:t>The</w:t>
      </w:r>
      <w:r w:rsidR="00AF1249">
        <w:rPr>
          <w:szCs w:val="24"/>
        </w:rPr>
        <w:t xml:space="preserve"> anti-corruption</w:t>
      </w:r>
      <w:r w:rsidR="009A4010">
        <w:rPr>
          <w:szCs w:val="24"/>
        </w:rPr>
        <w:t xml:space="preserve"> </w:t>
      </w:r>
      <w:r w:rsidR="00AF1249">
        <w:rPr>
          <w:szCs w:val="24"/>
        </w:rPr>
        <w:t xml:space="preserve">impact of the EITI </w:t>
      </w:r>
      <w:r w:rsidR="009A4010">
        <w:rPr>
          <w:szCs w:val="24"/>
        </w:rPr>
        <w:t xml:space="preserve">thus seem to be context-dependent, </w:t>
      </w:r>
      <w:r w:rsidR="006D0A90">
        <w:rPr>
          <w:szCs w:val="24"/>
        </w:rPr>
        <w:t xml:space="preserve">and involve dimensions that </w:t>
      </w:r>
      <w:r w:rsidR="009A4010">
        <w:rPr>
          <w:szCs w:val="24"/>
        </w:rPr>
        <w:t>the</w:t>
      </w:r>
      <w:r w:rsidR="00AF1249">
        <w:rPr>
          <w:szCs w:val="24"/>
        </w:rPr>
        <w:t xml:space="preserve"> EITI </w:t>
      </w:r>
      <w:r w:rsidR="00AF1249" w:rsidRPr="00057B98">
        <w:rPr>
          <w:i/>
          <w:szCs w:val="24"/>
        </w:rPr>
        <w:t>in itself</w:t>
      </w:r>
      <w:r w:rsidR="009A4010">
        <w:rPr>
          <w:szCs w:val="24"/>
        </w:rPr>
        <w:t xml:space="preserve"> cannot</w:t>
      </w:r>
      <w:r w:rsidR="006D0A90">
        <w:rPr>
          <w:szCs w:val="24"/>
        </w:rPr>
        <w:t xml:space="preserve"> address</w:t>
      </w:r>
      <w:r w:rsidR="009A4010">
        <w:rPr>
          <w:szCs w:val="24"/>
        </w:rPr>
        <w:t>.</w:t>
      </w:r>
      <w:r w:rsidR="006D0A90">
        <w:rPr>
          <w:szCs w:val="24"/>
        </w:rPr>
        <w:t xml:space="preserve"> </w:t>
      </w:r>
      <w:r w:rsidR="00B9412E">
        <w:rPr>
          <w:szCs w:val="24"/>
        </w:rPr>
        <w:t>Measuring</w:t>
      </w:r>
      <w:r w:rsidR="006D0A90">
        <w:rPr>
          <w:szCs w:val="24"/>
        </w:rPr>
        <w:t xml:space="preserve"> anti-corruption effects within more directly EITI-related processes may help </w:t>
      </w:r>
      <w:r w:rsidR="00B9412E">
        <w:rPr>
          <w:szCs w:val="24"/>
        </w:rPr>
        <w:t>to draw more specific conclusions with regard to the impact of the EITI in this domain (see Le Billon 2011).</w:t>
      </w:r>
    </w:p>
    <w:p w14:paraId="3D4E375C" w14:textId="369465B0" w:rsidR="00847BA8" w:rsidRPr="00E64518" w:rsidRDefault="00587799" w:rsidP="002C279D">
      <w:pPr>
        <w:pStyle w:val="Heading2"/>
      </w:pPr>
      <w:r>
        <w:t xml:space="preserve">6.2. </w:t>
      </w:r>
      <w:r w:rsidR="00EB3B09">
        <w:t>Improve</w:t>
      </w:r>
      <w:r w:rsidR="00847BA8" w:rsidRPr="00E64518">
        <w:t xml:space="preserve"> investment</w:t>
      </w:r>
      <w:r w:rsidR="00EB3B09">
        <w:t xml:space="preserve"> climate</w:t>
      </w:r>
      <w:r w:rsidR="00C36D7F">
        <w:t>, increase aid flows, and promote fairer government share of revenues</w:t>
      </w:r>
      <w:r w:rsidR="00847BA8">
        <w:t xml:space="preserve"> (Goal D-2)</w:t>
      </w:r>
    </w:p>
    <w:p w14:paraId="53FCB393" w14:textId="2A091BD5" w:rsidR="00273C32" w:rsidRDefault="00847BA8" w:rsidP="00AE7CE4">
      <w:pPr>
        <w:pStyle w:val="Firstparagrpah"/>
        <w:rPr>
          <w:szCs w:val="24"/>
        </w:rPr>
      </w:pPr>
      <w:r w:rsidRPr="000521B6">
        <w:t xml:space="preserve">EITI implementation is thought to send out a signal to the investors that these countries are safer investment climates, thus, being an EITI country should increase the inflow of FDI. </w:t>
      </w:r>
      <w:r w:rsidR="006410E8">
        <w:t xml:space="preserve">Implementation of the EITI is also a requirement for receiving funding support from some international financial institutions, thus enticing governments and extractive companies to join the initiative. </w:t>
      </w:r>
      <w:r w:rsidRPr="000521B6">
        <w:t xml:space="preserve">All studies that have looked at this, find support for </w:t>
      </w:r>
      <w:r>
        <w:t>it</w:t>
      </w:r>
      <w:r w:rsidRPr="000521B6">
        <w:t xml:space="preserve"> (</w:t>
      </w:r>
      <w:r w:rsidR="00830139">
        <w:t xml:space="preserve">Neumann et al. 2016; </w:t>
      </w:r>
      <w:r w:rsidR="00A31199" w:rsidRPr="000521B6">
        <w:t>Scanteam 2011</w:t>
      </w:r>
      <w:r w:rsidR="00A31199">
        <w:t xml:space="preserve">; </w:t>
      </w:r>
      <w:r w:rsidRPr="000521B6">
        <w:t xml:space="preserve">Schmaljohann 2013; Sovacool et al. 2016). Further, </w:t>
      </w:r>
      <w:r w:rsidRPr="000521B6">
        <w:rPr>
          <w:color w:val="000000" w:themeColor="text1"/>
        </w:rPr>
        <w:t>David-Barret and Okamura (201</w:t>
      </w:r>
      <w:r>
        <w:rPr>
          <w:color w:val="000000" w:themeColor="text1"/>
        </w:rPr>
        <w:t>6</w:t>
      </w:r>
      <w:r w:rsidRPr="000521B6">
        <w:rPr>
          <w:color w:val="000000" w:themeColor="text1"/>
        </w:rPr>
        <w:t>)</w:t>
      </w:r>
      <w:r w:rsidR="00205612">
        <w:rPr>
          <w:color w:val="000000" w:themeColor="text1"/>
        </w:rPr>
        <w:t>,</w:t>
      </w:r>
      <w:r w:rsidRPr="000521B6">
        <w:rPr>
          <w:color w:val="000000" w:themeColor="text1"/>
        </w:rPr>
        <w:t xml:space="preserve"> </w:t>
      </w:r>
      <w:r w:rsidRPr="000521B6">
        <w:t xml:space="preserve">show that countries </w:t>
      </w:r>
      <w:r w:rsidR="00C36D7F">
        <w:t xml:space="preserve">get more </w:t>
      </w:r>
      <w:r w:rsidRPr="000521B6">
        <w:t>aid the longer they have been part of the EITI, and argue that EITI</w:t>
      </w:r>
      <w:r w:rsidR="00C36D7F">
        <w:t xml:space="preserve"> membership </w:t>
      </w:r>
      <w:r w:rsidRPr="000521B6">
        <w:t>serves as an aid-conditionality for aid donors</w:t>
      </w:r>
      <w:r w:rsidR="003F7927">
        <w:t>, and thus could motive countries to join for the sake of accessing more international aid</w:t>
      </w:r>
      <w:r w:rsidRPr="000521B6">
        <w:t>.</w:t>
      </w:r>
      <w:r w:rsidR="003F7927" w:rsidDel="003F7927">
        <w:t xml:space="preserve"> </w:t>
      </w:r>
      <w:r w:rsidR="003F7927">
        <w:t xml:space="preserve">If most studies find </w:t>
      </w:r>
      <w:r w:rsidR="003F7927">
        <w:rPr>
          <w:szCs w:val="24"/>
        </w:rPr>
        <w:t>a</w:t>
      </w:r>
      <w:r>
        <w:rPr>
          <w:szCs w:val="24"/>
        </w:rPr>
        <w:t xml:space="preserve"> positive association between increased FDI and aid flows</w:t>
      </w:r>
      <w:r w:rsidR="003F7927">
        <w:rPr>
          <w:szCs w:val="24"/>
        </w:rPr>
        <w:t xml:space="preserve">, not study has yet been conducted to determine </w:t>
      </w:r>
      <w:r>
        <w:rPr>
          <w:szCs w:val="24"/>
        </w:rPr>
        <w:t>whether the EITI increase</w:t>
      </w:r>
      <w:r w:rsidR="003F7927">
        <w:rPr>
          <w:szCs w:val="24"/>
        </w:rPr>
        <w:t>s the</w:t>
      </w:r>
      <w:r>
        <w:rPr>
          <w:szCs w:val="24"/>
        </w:rPr>
        <w:t xml:space="preserve"> amount of natural resource revenues accruing to the government.</w:t>
      </w:r>
      <w:r w:rsidR="003F7927">
        <w:rPr>
          <w:szCs w:val="24"/>
        </w:rPr>
        <w:t xml:space="preserve"> While increased FDI would suggest that this is probably the case, the public revenue effects of FDI vary according to the fiscal policies in place</w:t>
      </w:r>
      <w:r w:rsidR="00273C32">
        <w:rPr>
          <w:szCs w:val="24"/>
        </w:rPr>
        <w:t>;</w:t>
      </w:r>
      <w:r w:rsidR="000833F5">
        <w:rPr>
          <w:szCs w:val="24"/>
        </w:rPr>
        <w:t xml:space="preserve"> with </w:t>
      </w:r>
      <w:r w:rsidR="00273C32">
        <w:rPr>
          <w:szCs w:val="24"/>
        </w:rPr>
        <w:t>disclosure through EITI potentially helping to demonstrate that corruption may not be the main issue but rather unfavorable contractual terms drastically reducing host government revenues</w:t>
      </w:r>
      <w:r w:rsidR="00E52500">
        <w:rPr>
          <w:szCs w:val="24"/>
        </w:rPr>
        <w:t>,</w:t>
      </w:r>
      <w:r w:rsidR="00273C32">
        <w:rPr>
          <w:szCs w:val="24"/>
        </w:rPr>
        <w:t xml:space="preserve"> and thereby supporting the need for reforms in mineral taxation (Hilson and Maconachie 2009)</w:t>
      </w:r>
      <w:r w:rsidR="003F7927">
        <w:rPr>
          <w:szCs w:val="24"/>
        </w:rPr>
        <w:t>.</w:t>
      </w:r>
    </w:p>
    <w:p w14:paraId="5A9F8E9A" w14:textId="371B96C5" w:rsidR="00DC4448" w:rsidRDefault="00DC4448" w:rsidP="00AE7CE4">
      <w:pPr>
        <w:pStyle w:val="Firstparagrpah"/>
      </w:pPr>
    </w:p>
    <w:p w14:paraId="1C63C0BB" w14:textId="58E699AF" w:rsidR="00847BA8" w:rsidRPr="000521B6" w:rsidRDefault="00587799" w:rsidP="002C279D">
      <w:pPr>
        <w:pStyle w:val="Heading2"/>
      </w:pPr>
      <w:r>
        <w:t xml:space="preserve">6.3. </w:t>
      </w:r>
      <w:r w:rsidR="00847BA8">
        <w:t>Governance, s</w:t>
      </w:r>
      <w:r w:rsidR="00847BA8" w:rsidRPr="000521B6">
        <w:t>ustainable development</w:t>
      </w:r>
      <w:r w:rsidR="005235C6">
        <w:t>,</w:t>
      </w:r>
      <w:r w:rsidR="00847BA8" w:rsidRPr="000521B6">
        <w:t xml:space="preserve"> and improved living conditions</w:t>
      </w:r>
      <w:r w:rsidR="00847BA8">
        <w:t xml:space="preserve"> (Goal D-3)</w:t>
      </w:r>
    </w:p>
    <w:p w14:paraId="39E581E0" w14:textId="00961C45" w:rsidR="00847BA8" w:rsidRDefault="00847BA8" w:rsidP="002C279D">
      <w:pPr>
        <w:pStyle w:val="Firstparagrpah"/>
      </w:pPr>
      <w:r w:rsidRPr="000521B6">
        <w:t xml:space="preserve">Several studies have tested whether </w:t>
      </w:r>
      <w:r>
        <w:t xml:space="preserve">the </w:t>
      </w:r>
      <w:r w:rsidRPr="000521B6">
        <w:t xml:space="preserve">EITI membership has had a positive effect on </w:t>
      </w:r>
      <w:r>
        <w:t>governance</w:t>
      </w:r>
      <w:r w:rsidRPr="000521B6">
        <w:t xml:space="preserve"> indicator</w:t>
      </w:r>
      <w:r>
        <w:t>s</w:t>
      </w:r>
      <w:r w:rsidRPr="000521B6">
        <w:t xml:space="preserve"> after joining the EITI</w:t>
      </w:r>
      <w:r w:rsidR="005235C6">
        <w:t>, but</w:t>
      </w:r>
      <w:r w:rsidRPr="000521B6">
        <w:t xml:space="preserve"> none of them </w:t>
      </w:r>
      <w:r>
        <w:t xml:space="preserve">have found </w:t>
      </w:r>
      <w:r w:rsidRPr="000521B6">
        <w:t>any improvement (</w:t>
      </w:r>
      <w:r w:rsidR="00A31199" w:rsidRPr="000521B6">
        <w:t>Corrigan 2014</w:t>
      </w:r>
      <w:r w:rsidR="00A31199">
        <w:t xml:space="preserve">; </w:t>
      </w:r>
      <w:r w:rsidR="00830139">
        <w:t xml:space="preserve">Phillips and Whiting 2016; </w:t>
      </w:r>
      <w:r w:rsidRPr="000521B6">
        <w:t>Sovacool and Andrews 2015</w:t>
      </w:r>
      <w:r>
        <w:t>;</w:t>
      </w:r>
      <w:r w:rsidRPr="000521B6">
        <w:t xml:space="preserve"> Sovacool et al</w:t>
      </w:r>
      <w:r w:rsidR="00592CB2">
        <w:t>.</w:t>
      </w:r>
      <w:r w:rsidRPr="000521B6">
        <w:t xml:space="preserve"> 2016).</w:t>
      </w:r>
      <w:r w:rsidR="003A6103">
        <w:rPr>
          <w:rStyle w:val="FootnoteReference"/>
        </w:rPr>
        <w:footnoteReference w:id="13"/>
      </w:r>
      <w:r w:rsidRPr="000521B6">
        <w:t xml:space="preserve"> On the contrary, Sovacool and Andrews (2015) find that Liberia and Azerbaijan seem</w:t>
      </w:r>
      <w:r>
        <w:t>ed</w:t>
      </w:r>
      <w:r w:rsidRPr="000521B6">
        <w:t xml:space="preserve"> to </w:t>
      </w:r>
      <w:r>
        <w:t xml:space="preserve">be </w:t>
      </w:r>
      <w:r w:rsidRPr="000521B6">
        <w:t>do</w:t>
      </w:r>
      <w:r>
        <w:t>ing</w:t>
      </w:r>
      <w:r w:rsidRPr="000521B6">
        <w:t xml:space="preserve"> slightly better in the period </w:t>
      </w:r>
      <w:r w:rsidR="00B1119D">
        <w:t>prior to achieving</w:t>
      </w:r>
      <w:r w:rsidR="00B1119D" w:rsidRPr="000521B6">
        <w:t xml:space="preserve"> </w:t>
      </w:r>
      <w:r w:rsidRPr="000521B6">
        <w:t xml:space="preserve">EITI compliance </w:t>
      </w:r>
      <w:r>
        <w:t xml:space="preserve">than </w:t>
      </w:r>
      <w:r w:rsidRPr="000521B6">
        <w:t>after</w:t>
      </w:r>
      <w:r>
        <w:t>wards</w:t>
      </w:r>
      <w:r w:rsidRPr="000521B6">
        <w:t>. Sovacool and Andrews point at the fact that in the period before 2009 the countries</w:t>
      </w:r>
      <w:r>
        <w:t>’</w:t>
      </w:r>
      <w:r w:rsidRPr="000521B6">
        <w:t xml:space="preserve"> international reputation </w:t>
      </w:r>
      <w:r>
        <w:t>was</w:t>
      </w:r>
      <w:r w:rsidRPr="000521B6">
        <w:t xml:space="preserve"> at stake if they were not able to live up to the expectations of EITI</w:t>
      </w:r>
      <w:r w:rsidR="00B1119D">
        <w:t xml:space="preserve"> compliance</w:t>
      </w:r>
      <w:r w:rsidRPr="000521B6">
        <w:t xml:space="preserve">. </w:t>
      </w:r>
      <w:r w:rsidR="00B1119D">
        <w:t xml:space="preserve">Once </w:t>
      </w:r>
      <w:r>
        <w:t>complian</w:t>
      </w:r>
      <w:r w:rsidR="00B1119D">
        <w:t>ce</w:t>
      </w:r>
      <w:r>
        <w:t xml:space="preserve"> status</w:t>
      </w:r>
      <w:r w:rsidR="00B1119D">
        <w:t xml:space="preserve"> was achieved</w:t>
      </w:r>
      <w:r>
        <w:t xml:space="preserve"> in </w:t>
      </w:r>
      <w:r w:rsidRPr="000521B6">
        <w:t>2009 th</w:t>
      </w:r>
      <w:r w:rsidR="00B1119D">
        <w:t xml:space="preserve">is incentive decreased, as the chance of delisting was low since the EITI was also very eager to increase institutional success through increasing compliant country numbers, and </w:t>
      </w:r>
      <w:r w:rsidRPr="000521B6">
        <w:t>positive development</w:t>
      </w:r>
      <w:r w:rsidR="00B1119D">
        <w:t>s in both countries</w:t>
      </w:r>
      <w:r w:rsidRPr="000521B6">
        <w:t xml:space="preserve"> halted. </w:t>
      </w:r>
      <w:r w:rsidR="00965729" w:rsidRPr="000521B6">
        <w:t>Sovacool et al</w:t>
      </w:r>
      <w:r w:rsidR="00965729">
        <w:t>.</w:t>
      </w:r>
      <w:r w:rsidR="00965729" w:rsidRPr="000521B6">
        <w:t xml:space="preserve"> (2016)</w:t>
      </w:r>
      <w:r>
        <w:t xml:space="preserve"> confirm</w:t>
      </w:r>
      <w:r w:rsidR="00965729">
        <w:t>s a lack of governance improvement across a range of indicators</w:t>
      </w:r>
      <w:r>
        <w:t xml:space="preserve"> </w:t>
      </w:r>
      <w:r w:rsidR="00965729">
        <w:t xml:space="preserve">through a </w:t>
      </w:r>
      <w:r w:rsidRPr="000521B6">
        <w:t>large-N analysis</w:t>
      </w:r>
      <w:r>
        <w:t xml:space="preserve">. </w:t>
      </w:r>
      <w:r w:rsidRPr="000521B6">
        <w:t xml:space="preserve"> </w:t>
      </w:r>
    </w:p>
    <w:p w14:paraId="34B45434" w14:textId="4574FF02" w:rsidR="00847BA8" w:rsidRPr="000521B6" w:rsidRDefault="00847BA8" w:rsidP="002C279D">
      <w:pPr>
        <w:rPr>
          <w:b/>
        </w:rPr>
      </w:pPr>
      <w:r w:rsidRPr="000521B6">
        <w:t xml:space="preserve">While the EITI does not make strong claims about contributing to societal development such as poverty reduction and improved living standards (Scanteam 2011), it is clear from the EITI Principles and the EITI </w:t>
      </w:r>
      <w:r w:rsidR="00592CB2">
        <w:t xml:space="preserve">Articles of </w:t>
      </w:r>
      <w:r w:rsidRPr="000521B6">
        <w:t>Association that this is a long-term goal. However, very few studies test societal measures, in fact the only one we could find was the Scanteam report, which tests indicators related to health and education and find no difference between candidate countries, compliant countries</w:t>
      </w:r>
      <w:r w:rsidR="00592CB2">
        <w:t>,</w:t>
      </w:r>
      <w:r w:rsidRPr="000521B6">
        <w:t xml:space="preserve"> and non-EITI countries (p</w:t>
      </w:r>
      <w:r w:rsidR="00592CB2">
        <w:t>.</w:t>
      </w:r>
      <w:r w:rsidRPr="000521B6">
        <w:t xml:space="preserve"> 33). </w:t>
      </w:r>
    </w:p>
    <w:p w14:paraId="050F22F7" w14:textId="7595C11C" w:rsidR="00847BA8" w:rsidRPr="000521B6" w:rsidRDefault="00847BA8" w:rsidP="002C279D">
      <w:r>
        <w:t xml:space="preserve">A few studies found that the </w:t>
      </w:r>
      <w:r w:rsidRPr="000521B6">
        <w:t xml:space="preserve">EITI membership </w:t>
      </w:r>
      <w:r>
        <w:t xml:space="preserve">may </w:t>
      </w:r>
      <w:r w:rsidRPr="000521B6">
        <w:t>moderate the negative effect of resource abundance on GDP per capita</w:t>
      </w:r>
      <w:r>
        <w:t xml:space="preserve"> (</w:t>
      </w:r>
      <w:r w:rsidR="00A31199" w:rsidRPr="000521B6">
        <w:t>Corrigan 2014</w:t>
      </w:r>
      <w:r w:rsidR="00A31199">
        <w:t xml:space="preserve">; </w:t>
      </w:r>
      <w:r w:rsidRPr="000521B6">
        <w:t>Sovacool et al. 2016)</w:t>
      </w:r>
      <w:r w:rsidR="00965729">
        <w:t xml:space="preserve">, a positive indication, even if </w:t>
      </w:r>
      <w:r w:rsidRPr="000521B6">
        <w:t>the author</w:t>
      </w:r>
      <w:r>
        <w:t>s</w:t>
      </w:r>
      <w:r w:rsidRPr="000521B6">
        <w:t xml:space="preserve"> recognize that it might be too early to make any firm conclusion on the EITI performance based on these analyses. Further, it is difficult to prove th</w:t>
      </w:r>
      <w:r>
        <w:t xml:space="preserve">at it is the EITI process that is the </w:t>
      </w:r>
      <w:r w:rsidRPr="000521B6">
        <w:t xml:space="preserve">causal </w:t>
      </w:r>
      <w:r>
        <w:t xml:space="preserve">factor in improving the GDP and not another, </w:t>
      </w:r>
      <w:r w:rsidRPr="000521B6">
        <w:t xml:space="preserve">ongoing process, which the EITI becomes a part </w:t>
      </w:r>
      <w:r>
        <w:t xml:space="preserve">or sign </w:t>
      </w:r>
      <w:r w:rsidRPr="000521B6">
        <w:t>of, as in the example of Nigeria (</w:t>
      </w:r>
      <w:r w:rsidR="00830139" w:rsidRPr="000521B6">
        <w:t>Keblusek 2010</w:t>
      </w:r>
      <w:r w:rsidR="00830139">
        <w:t xml:space="preserve">; </w:t>
      </w:r>
      <w:r w:rsidRPr="000521B6">
        <w:t>Shaxon 2009).</w:t>
      </w:r>
    </w:p>
    <w:p w14:paraId="30BD0991" w14:textId="77777777" w:rsidR="00847BA8" w:rsidRPr="000521B6" w:rsidRDefault="00847BA8" w:rsidP="002C279D">
      <w:pPr>
        <w:pStyle w:val="Heading1"/>
      </w:pPr>
      <w:r w:rsidRPr="000521B6">
        <w:t xml:space="preserve">Conclusion: What is success for </w:t>
      </w:r>
      <w:r>
        <w:t xml:space="preserve">the </w:t>
      </w:r>
      <w:r w:rsidRPr="000521B6">
        <w:t xml:space="preserve">EITI? </w:t>
      </w:r>
    </w:p>
    <w:p w14:paraId="25DACBF7" w14:textId="312235F9" w:rsidR="00F24F9C" w:rsidRDefault="00847BA8" w:rsidP="00204A1B">
      <w:pPr>
        <w:pStyle w:val="Firstparagrpah"/>
      </w:pPr>
      <w:r w:rsidRPr="000521B6">
        <w:t xml:space="preserve">In this </w:t>
      </w:r>
      <w:r w:rsidR="00B302F9">
        <w:t>article</w:t>
      </w:r>
      <w:r w:rsidRPr="000521B6">
        <w:t xml:space="preserve"> we have assessed what the literature </w:t>
      </w:r>
      <w:r w:rsidR="00250BFB">
        <w:t xml:space="preserve">has </w:t>
      </w:r>
      <w:r w:rsidRPr="000521B6">
        <w:t>so far concluded on the</w:t>
      </w:r>
      <w:r w:rsidR="00250BFB">
        <w:t xml:space="preserve"> performance of the EITI</w:t>
      </w:r>
      <w:r w:rsidRPr="000521B6">
        <w:t>. We categorized the EIT</w:t>
      </w:r>
      <w:r w:rsidR="006C30E0">
        <w:t>I goals into three categories: i</w:t>
      </w:r>
      <w:r w:rsidRPr="000521B6">
        <w:t xml:space="preserve">nstitutional, operational and developmental objectives. </w:t>
      </w:r>
      <w:r w:rsidR="00F24F9C">
        <w:t>The meta-study material included 45 studie</w:t>
      </w:r>
      <w:r w:rsidR="006C30E0">
        <w:t>s using quantitative, qualitative or conceptual research methods, and including peer-reviewed, non-</w:t>
      </w:r>
      <w:r w:rsidR="00F24F9C">
        <w:t>peer-reviewed independent</w:t>
      </w:r>
      <w:r w:rsidR="006C30E0">
        <w:t xml:space="preserve"> studies as well as EITI-commissioned evaluations</w:t>
      </w:r>
      <w:r w:rsidR="00F24F9C">
        <w:t xml:space="preserve">. We did not find obvious evaluation biases within any type of assessment or method, with the exception of a possible positive bias among EITI-commissioned </w:t>
      </w:r>
      <w:r w:rsidR="006C30E0">
        <w:t>evaluations</w:t>
      </w:r>
      <w:r w:rsidR="00F24F9C">
        <w:t>.</w:t>
      </w:r>
    </w:p>
    <w:p w14:paraId="5F24BD1E" w14:textId="72803911" w:rsidR="00847BA8" w:rsidRDefault="00957137" w:rsidP="002C279D">
      <w:pPr>
        <w:pStyle w:val="Firstparagrpah"/>
        <w:ind w:firstLine="170"/>
      </w:pPr>
      <w:r>
        <w:lastRenderedPageBreak/>
        <w:t>Overall, w</w:t>
      </w:r>
      <w:r w:rsidR="00847BA8" w:rsidRPr="000521B6">
        <w:t xml:space="preserve">e find that </w:t>
      </w:r>
      <w:r>
        <w:t>studies assess the EITI to have</w:t>
      </w:r>
      <w:r w:rsidR="00847BA8" w:rsidRPr="000521B6">
        <w:t xml:space="preserve"> succeeded in reaching its institutional goals an</w:t>
      </w:r>
      <w:r w:rsidR="006C30E0">
        <w:t>d some of its operational goals. The</w:t>
      </w:r>
      <w:r w:rsidR="00847BA8" w:rsidRPr="000521B6">
        <w:t xml:space="preserve"> </w:t>
      </w:r>
      <w:r w:rsidR="006C30E0">
        <w:t xml:space="preserve">early goal of </w:t>
      </w:r>
      <w:r w:rsidR="000C7474">
        <w:t>increasing revenue transparency through</w:t>
      </w:r>
      <w:r w:rsidR="000C7474" w:rsidRPr="000521B6">
        <w:t xml:space="preserve"> </w:t>
      </w:r>
      <w:r w:rsidR="000C7474">
        <w:t xml:space="preserve">publicly available </w:t>
      </w:r>
      <w:r w:rsidR="00847BA8" w:rsidRPr="000521B6">
        <w:t>annual reports</w:t>
      </w:r>
      <w:r w:rsidR="006C30E0">
        <w:t xml:space="preserve"> has been reached, while the key goal of engaging</w:t>
      </w:r>
      <w:r w:rsidR="00847BA8" w:rsidRPr="000521B6">
        <w:t xml:space="preserve"> the</w:t>
      </w:r>
      <w:r w:rsidR="000C7474">
        <w:t xml:space="preserve"> public</w:t>
      </w:r>
      <w:r w:rsidR="006C30E0">
        <w:t xml:space="preserve"> has been evaluated as only partially successful, with a relative success in terms of </w:t>
      </w:r>
      <w:r w:rsidR="00847BA8" w:rsidRPr="000521B6">
        <w:t>civil society group</w:t>
      </w:r>
      <w:r w:rsidR="000C7474">
        <w:t xml:space="preserve">s participation in </w:t>
      </w:r>
      <w:r w:rsidR="006C30E0">
        <w:t>the MSG</w:t>
      </w:r>
      <w:r w:rsidR="00847BA8" w:rsidRPr="000521B6">
        <w:t xml:space="preserve"> but </w:t>
      </w:r>
      <w:r w:rsidR="006C30E0">
        <w:t>a relative failure in terms of</w:t>
      </w:r>
      <w:r w:rsidR="00847BA8" w:rsidRPr="000521B6">
        <w:t xml:space="preserve"> empower</w:t>
      </w:r>
      <w:r w:rsidR="006C30E0">
        <w:t>ing</w:t>
      </w:r>
      <w:r w:rsidR="00847BA8" w:rsidRPr="000521B6">
        <w:t xml:space="preserve"> the public to hold </w:t>
      </w:r>
      <w:r w:rsidR="006C30E0">
        <w:t xml:space="preserve">accountable </w:t>
      </w:r>
      <w:r w:rsidR="00847BA8" w:rsidRPr="000521B6">
        <w:t>the governments and companies</w:t>
      </w:r>
      <w:r w:rsidR="00847BA8">
        <w:t xml:space="preserve">. </w:t>
      </w:r>
    </w:p>
    <w:p w14:paraId="15F3B024" w14:textId="7C518752" w:rsidR="005A412B" w:rsidRDefault="00847BA8" w:rsidP="002C279D">
      <w:pPr>
        <w:rPr>
          <w:rFonts w:cs="Times New Roman"/>
        </w:rPr>
      </w:pPr>
      <w:r w:rsidRPr="000521B6">
        <w:t xml:space="preserve">The conclusions drawn in the different evaluations reviewed </w:t>
      </w:r>
      <w:r>
        <w:t xml:space="preserve">for this </w:t>
      </w:r>
      <w:r w:rsidR="00B302F9">
        <w:t>article</w:t>
      </w:r>
      <w:r w:rsidRPr="000521B6">
        <w:t xml:space="preserve"> vary to a great extent</w:t>
      </w:r>
      <w:r>
        <w:t xml:space="preserve"> when it comes to scientific rigor, and no</w:t>
      </w:r>
      <w:r w:rsidR="005F2859">
        <w:t xml:space="preserve">t least, what they expect </w:t>
      </w:r>
      <w:r w:rsidR="00967737">
        <w:t>‘</w:t>
      </w:r>
      <w:r>
        <w:t>success</w:t>
      </w:r>
      <w:r w:rsidR="00967737">
        <w:t>’</w:t>
      </w:r>
      <w:r>
        <w:t xml:space="preserve"> </w:t>
      </w:r>
      <w:r w:rsidR="005F2859">
        <w:t xml:space="preserve">to be </w:t>
      </w:r>
      <w:r>
        <w:t>for the EITI</w:t>
      </w:r>
      <w:r w:rsidRPr="000521B6">
        <w:t xml:space="preserve">. Thus, a question we need to ask is whether the current evaluations are using the right criteria to measure </w:t>
      </w:r>
      <w:r>
        <w:t xml:space="preserve">the </w:t>
      </w:r>
      <w:r w:rsidRPr="000521B6">
        <w:t>success</w:t>
      </w:r>
      <w:r>
        <w:t xml:space="preserve"> of the EITI</w:t>
      </w:r>
      <w:r w:rsidRPr="000521B6">
        <w:t xml:space="preserve">. </w:t>
      </w:r>
      <w:r w:rsidR="002C6C73">
        <w:t>A</w:t>
      </w:r>
      <w:r w:rsidRPr="000521B6">
        <w:t>ssessing the broad developmental goals of the EITI remains a worthy enterprise, especially in light of the EITI</w:t>
      </w:r>
      <w:r w:rsidR="00592CB2">
        <w:t>’</w:t>
      </w:r>
      <w:r w:rsidRPr="000521B6">
        <w:t>s own Principles</w:t>
      </w:r>
      <w:r w:rsidR="00483643">
        <w:t>. Y</w:t>
      </w:r>
      <w:r w:rsidR="002C6C73">
        <w:t>et</w:t>
      </w:r>
      <w:r w:rsidR="00483643">
        <w:t>,</w:t>
      </w:r>
      <w:r w:rsidR="002C6C73">
        <w:t xml:space="preserve"> given the broad scope of expectations</w:t>
      </w:r>
      <w:r>
        <w:t xml:space="preserve"> </w:t>
      </w:r>
      <w:r w:rsidR="00483643">
        <w:t>associated with EITI developmental goals, and the strong of likelihood of seeing these goals being affected by variables independent from the EITI, developmental goals</w:t>
      </w:r>
      <w:r>
        <w:t xml:space="preserve"> </w:t>
      </w:r>
      <w:r w:rsidR="002C6C73">
        <w:t xml:space="preserve">evaluations </w:t>
      </w:r>
      <w:r>
        <w:t>are also the ones</w:t>
      </w:r>
      <w:r w:rsidR="00483643">
        <w:t xml:space="preserve"> most </w:t>
      </w:r>
      <w:r>
        <w:t>likely to deem the EITI as a failure.</w:t>
      </w:r>
      <w:r w:rsidRPr="000521B6">
        <w:t xml:space="preserve"> </w:t>
      </w:r>
      <w:r w:rsidR="002C6C73">
        <w:t>S</w:t>
      </w:r>
      <w:r w:rsidRPr="000521B6">
        <w:t xml:space="preserve">een from an EITI perspective, </w:t>
      </w:r>
      <w:r>
        <w:t>the evaluation</w:t>
      </w:r>
      <w:r w:rsidR="00EB3B09">
        <w:t>s</w:t>
      </w:r>
      <w:r>
        <w:t xml:space="preserve"> </w:t>
      </w:r>
      <w:r w:rsidR="005A412B">
        <w:t xml:space="preserve">on the developmental goals may </w:t>
      </w:r>
      <w:r>
        <w:t xml:space="preserve">say </w:t>
      </w:r>
      <w:r w:rsidRPr="000521B6">
        <w:t xml:space="preserve">little about the achievements of </w:t>
      </w:r>
      <w:r>
        <w:t xml:space="preserve">the </w:t>
      </w:r>
      <w:r w:rsidRPr="000521B6">
        <w:t>EITI</w:t>
      </w:r>
      <w:r>
        <w:t xml:space="preserve"> that it can</w:t>
      </w:r>
      <w:r w:rsidR="00483643">
        <w:t xml:space="preserve"> have</w:t>
      </w:r>
      <w:r>
        <w:t xml:space="preserve"> </w:t>
      </w:r>
      <w:r w:rsidR="00993596" w:rsidRPr="00993596">
        <w:t>through</w:t>
      </w:r>
      <w:r w:rsidRPr="00993596">
        <w:t xml:space="preserve"> its</w:t>
      </w:r>
      <w:r w:rsidRPr="002C6C73">
        <w:rPr>
          <w:i/>
        </w:rPr>
        <w:t xml:space="preserve"> own</w:t>
      </w:r>
      <w:r>
        <w:t xml:space="preserve"> influence. </w:t>
      </w:r>
      <w:r w:rsidRPr="000521B6">
        <w:rPr>
          <w:rFonts w:cs="Times New Roman"/>
        </w:rPr>
        <w:t xml:space="preserve">Along the same lines, </w:t>
      </w:r>
      <w:r>
        <w:rPr>
          <w:rFonts w:cs="Times New Roman"/>
        </w:rPr>
        <w:t xml:space="preserve">the then EITI Board Chair </w:t>
      </w:r>
      <w:r w:rsidRPr="000521B6">
        <w:rPr>
          <w:rFonts w:cs="Times New Roman"/>
        </w:rPr>
        <w:t xml:space="preserve">Clare Short stated at a World Bank workshop </w:t>
      </w:r>
      <w:r>
        <w:rPr>
          <w:rFonts w:cs="Times New Roman"/>
        </w:rPr>
        <w:t xml:space="preserve">in November 2015 </w:t>
      </w:r>
      <w:r w:rsidRPr="000521B6">
        <w:rPr>
          <w:rFonts w:cs="Times New Roman"/>
        </w:rPr>
        <w:t xml:space="preserve">that </w:t>
      </w:r>
      <w:r w:rsidRPr="00BA5D32">
        <w:rPr>
          <w:rFonts w:cs="Times New Roman"/>
        </w:rPr>
        <w:t>“</w:t>
      </w:r>
      <w:r w:rsidRPr="003F6F7F">
        <w:rPr>
          <w:rFonts w:cs="Times New Roman"/>
        </w:rPr>
        <w:t>it is more helpful that evaluations look into what the EITI actually achieve rather than large overarching developmental goals</w:t>
      </w:r>
      <w:r w:rsidRPr="00BA5D32">
        <w:rPr>
          <w:rFonts w:cs="Times New Roman"/>
        </w:rPr>
        <w:t>”.</w:t>
      </w:r>
      <w:r w:rsidRPr="00BA5D32">
        <w:rPr>
          <w:rStyle w:val="FootnoteReference"/>
          <w:rFonts w:cs="Times New Roman"/>
        </w:rPr>
        <w:footnoteReference w:id="14"/>
      </w:r>
      <w:r w:rsidR="009C16F4">
        <w:rPr>
          <w:rFonts w:cs="Times New Roman"/>
        </w:rPr>
        <w:t xml:space="preserve"> </w:t>
      </w:r>
    </w:p>
    <w:p w14:paraId="11A5DE55" w14:textId="4BB377AE" w:rsidR="00847BA8" w:rsidRPr="000521B6" w:rsidRDefault="00E91F66" w:rsidP="002C279D">
      <w:r>
        <w:rPr>
          <w:rFonts w:cs="Times New Roman"/>
        </w:rPr>
        <w:t xml:space="preserve">Beyond what may pass for more realistic assessments, </w:t>
      </w:r>
      <w:r w:rsidR="00847BA8" w:rsidRPr="000521B6">
        <w:rPr>
          <w:rFonts w:cs="Times New Roman"/>
          <w:szCs w:val="24"/>
        </w:rPr>
        <w:t xml:space="preserve">Rich and Moberg (2015) </w:t>
      </w:r>
      <w:r w:rsidR="009C16F4">
        <w:rPr>
          <w:rFonts w:cs="Times New Roman"/>
          <w:szCs w:val="24"/>
        </w:rPr>
        <w:t>also argue</w:t>
      </w:r>
      <w:r>
        <w:rPr>
          <w:rFonts w:cs="Times New Roman"/>
          <w:szCs w:val="24"/>
        </w:rPr>
        <w:t xml:space="preserve"> that </w:t>
      </w:r>
      <w:r w:rsidR="00847BA8" w:rsidRPr="000521B6">
        <w:rPr>
          <w:rFonts w:cs="Times New Roman"/>
          <w:szCs w:val="24"/>
        </w:rPr>
        <w:t>focusing on the smaller achievements</w:t>
      </w:r>
      <w:r>
        <w:rPr>
          <w:rFonts w:cs="Times New Roman"/>
          <w:szCs w:val="24"/>
        </w:rPr>
        <w:t>,</w:t>
      </w:r>
      <w:r w:rsidR="00847BA8" w:rsidRPr="000521B6">
        <w:rPr>
          <w:rFonts w:cs="Times New Roman"/>
          <w:szCs w:val="24"/>
        </w:rPr>
        <w:t xml:space="preserve"> or what they call </w:t>
      </w:r>
      <w:r w:rsidR="00967737">
        <w:rPr>
          <w:rFonts w:cs="Times New Roman"/>
          <w:szCs w:val="24"/>
        </w:rPr>
        <w:t>‘</w:t>
      </w:r>
      <w:r w:rsidR="00847BA8" w:rsidRPr="000521B6">
        <w:rPr>
          <w:rFonts w:cs="Times New Roman"/>
          <w:szCs w:val="24"/>
        </w:rPr>
        <w:t>small wins</w:t>
      </w:r>
      <w:r w:rsidR="00967737">
        <w:rPr>
          <w:rFonts w:cs="Times New Roman"/>
          <w:szCs w:val="24"/>
        </w:rPr>
        <w:t>’</w:t>
      </w:r>
      <w:r w:rsidR="00847BA8" w:rsidRPr="000521B6">
        <w:rPr>
          <w:rFonts w:cs="Times New Roman"/>
          <w:szCs w:val="24"/>
        </w:rPr>
        <w:t xml:space="preserve">, </w:t>
      </w:r>
      <w:r>
        <w:rPr>
          <w:rFonts w:cs="Times New Roman"/>
          <w:szCs w:val="24"/>
        </w:rPr>
        <w:t xml:space="preserve">can better inform analyses of </w:t>
      </w:r>
      <w:r w:rsidR="00847BA8" w:rsidRPr="000521B6">
        <w:rPr>
          <w:rFonts w:cs="Times New Roman"/>
          <w:szCs w:val="24"/>
        </w:rPr>
        <w:t>collective</w:t>
      </w:r>
      <w:r>
        <w:rPr>
          <w:rFonts w:cs="Times New Roman"/>
          <w:szCs w:val="24"/>
        </w:rPr>
        <w:t xml:space="preserve"> forms of</w:t>
      </w:r>
      <w:r w:rsidR="00847BA8" w:rsidRPr="000521B6">
        <w:rPr>
          <w:rFonts w:cs="Times New Roman"/>
          <w:szCs w:val="24"/>
        </w:rPr>
        <w:t xml:space="preserve"> governance, which </w:t>
      </w:r>
      <w:r>
        <w:rPr>
          <w:rFonts w:cs="Times New Roman"/>
          <w:szCs w:val="24"/>
        </w:rPr>
        <w:t>rarely follow a linear and predetermined process - as a grand theory of change would suggest</w:t>
      </w:r>
      <w:r w:rsidR="00847BA8" w:rsidRPr="000521B6">
        <w:rPr>
          <w:rFonts w:cs="Times New Roman"/>
          <w:szCs w:val="24"/>
        </w:rPr>
        <w:t xml:space="preserve">. </w:t>
      </w:r>
      <w:r>
        <w:rPr>
          <w:rFonts w:cs="Times New Roman"/>
          <w:szCs w:val="24"/>
        </w:rPr>
        <w:t>E</w:t>
      </w:r>
      <w:r w:rsidR="00847BA8" w:rsidRPr="000521B6">
        <w:rPr>
          <w:rFonts w:cs="Times New Roman"/>
          <w:szCs w:val="24"/>
        </w:rPr>
        <w:t>valuation</w:t>
      </w:r>
      <w:r>
        <w:rPr>
          <w:rFonts w:cs="Times New Roman"/>
          <w:szCs w:val="24"/>
        </w:rPr>
        <w:t>s</w:t>
      </w:r>
      <w:r w:rsidR="00847BA8" w:rsidRPr="000521B6">
        <w:rPr>
          <w:rFonts w:cs="Times New Roman"/>
          <w:szCs w:val="24"/>
        </w:rPr>
        <w:t xml:space="preserve"> </w:t>
      </w:r>
      <w:r w:rsidR="006C30E0">
        <w:rPr>
          <w:rFonts w:cs="Times New Roman"/>
          <w:szCs w:val="24"/>
        </w:rPr>
        <w:t>examining</w:t>
      </w:r>
      <w:r w:rsidR="00847BA8" w:rsidRPr="000521B6">
        <w:rPr>
          <w:rFonts w:cs="Times New Roman"/>
          <w:szCs w:val="24"/>
        </w:rPr>
        <w:t xml:space="preserve"> what is going on within the MSG</w:t>
      </w:r>
      <w:r w:rsidR="00847BA8">
        <w:rPr>
          <w:rFonts w:cs="Times New Roman"/>
          <w:szCs w:val="24"/>
        </w:rPr>
        <w:t>s</w:t>
      </w:r>
      <w:r>
        <w:rPr>
          <w:rFonts w:cs="Times New Roman"/>
          <w:szCs w:val="24"/>
        </w:rPr>
        <w:t>, for example,</w:t>
      </w:r>
      <w:r w:rsidR="00847BA8" w:rsidRPr="000521B6">
        <w:rPr>
          <w:rFonts w:cs="Times New Roman"/>
          <w:szCs w:val="24"/>
        </w:rPr>
        <w:t xml:space="preserve"> could focus on </w:t>
      </w:r>
      <w:r>
        <w:rPr>
          <w:rFonts w:cs="Times New Roman"/>
          <w:szCs w:val="24"/>
        </w:rPr>
        <w:t xml:space="preserve">such </w:t>
      </w:r>
      <w:r w:rsidR="00967737">
        <w:rPr>
          <w:rFonts w:cs="Times New Roman"/>
          <w:szCs w:val="24"/>
        </w:rPr>
        <w:t>‘</w:t>
      </w:r>
      <w:r w:rsidR="00847BA8" w:rsidRPr="000521B6">
        <w:rPr>
          <w:rFonts w:cs="Times New Roman"/>
          <w:szCs w:val="24"/>
        </w:rPr>
        <w:t>small wins</w:t>
      </w:r>
      <w:r w:rsidR="00967737">
        <w:rPr>
          <w:rFonts w:cs="Times New Roman"/>
          <w:szCs w:val="24"/>
        </w:rPr>
        <w:t>’</w:t>
      </w:r>
      <w:r w:rsidR="00847BA8" w:rsidRPr="000521B6">
        <w:rPr>
          <w:rFonts w:cs="Times New Roman"/>
          <w:szCs w:val="24"/>
        </w:rPr>
        <w:t xml:space="preserve"> </w:t>
      </w:r>
      <w:r>
        <w:rPr>
          <w:rFonts w:cs="Times New Roman"/>
          <w:szCs w:val="24"/>
        </w:rPr>
        <w:t>and the</w:t>
      </w:r>
      <w:r w:rsidR="00847BA8" w:rsidRPr="000521B6">
        <w:rPr>
          <w:rFonts w:cs="Times New Roman"/>
          <w:szCs w:val="24"/>
        </w:rPr>
        <w:t xml:space="preserve"> process</w:t>
      </w:r>
      <w:r>
        <w:rPr>
          <w:rFonts w:cs="Times New Roman"/>
          <w:szCs w:val="24"/>
        </w:rPr>
        <w:t>es</w:t>
      </w:r>
      <w:r w:rsidR="00847BA8" w:rsidRPr="000521B6">
        <w:rPr>
          <w:rFonts w:cs="Times New Roman"/>
          <w:szCs w:val="24"/>
        </w:rPr>
        <w:t xml:space="preserve"> </w:t>
      </w:r>
      <w:r w:rsidR="006040BF">
        <w:rPr>
          <w:rFonts w:cs="Times New Roman"/>
          <w:szCs w:val="24"/>
        </w:rPr>
        <w:t xml:space="preserve">involved in </w:t>
      </w:r>
      <w:r w:rsidR="00847BA8" w:rsidRPr="000521B6">
        <w:rPr>
          <w:rFonts w:cs="Times New Roman"/>
          <w:szCs w:val="24"/>
        </w:rPr>
        <w:t xml:space="preserve">achieving them, </w:t>
      </w:r>
      <w:r w:rsidR="00847BA8">
        <w:rPr>
          <w:rFonts w:cs="Times New Roman"/>
          <w:szCs w:val="24"/>
        </w:rPr>
        <w:t xml:space="preserve">with precise definitions of sub-goals for that particular </w:t>
      </w:r>
      <w:r w:rsidR="00847BA8" w:rsidRPr="000521B6">
        <w:rPr>
          <w:rFonts w:cs="Times New Roman"/>
          <w:szCs w:val="24"/>
        </w:rPr>
        <w:t xml:space="preserve">operational goal. </w:t>
      </w:r>
      <w:r>
        <w:t>E</w:t>
      </w:r>
      <w:r w:rsidR="00847BA8" w:rsidRPr="000521B6">
        <w:t>valuation</w:t>
      </w:r>
      <w:r w:rsidR="00DC464D">
        <w:t>s</w:t>
      </w:r>
      <w:r w:rsidR="00847BA8" w:rsidRPr="000521B6">
        <w:t xml:space="preserve"> </w:t>
      </w:r>
      <w:r w:rsidR="00DC464D">
        <w:t>of more detailed sub-goals</w:t>
      </w:r>
      <w:r w:rsidR="00DC464D" w:rsidRPr="000521B6">
        <w:t xml:space="preserve"> </w:t>
      </w:r>
      <w:r w:rsidR="00847BA8" w:rsidRPr="000521B6">
        <w:t>might be a more constructive way of evaluating the EITI</w:t>
      </w:r>
      <w:r>
        <w:t>,</w:t>
      </w:r>
      <w:r w:rsidR="00847BA8" w:rsidRPr="000521B6">
        <w:t xml:space="preserve"> and yield a more appropriate and accurate reflection of the successes and failures of the EITI</w:t>
      </w:r>
      <w:r w:rsidR="00847BA8">
        <w:t xml:space="preserve">. </w:t>
      </w:r>
      <w:r>
        <w:t>Yet</w:t>
      </w:r>
      <w:r w:rsidR="00847BA8" w:rsidRPr="000521B6">
        <w:t xml:space="preserve">, as long as the EITI is </w:t>
      </w:r>
      <w:r>
        <w:t xml:space="preserve">also </w:t>
      </w:r>
      <w:r w:rsidR="00847BA8" w:rsidRPr="000521B6">
        <w:t>claiming to have long term developmental effect</w:t>
      </w:r>
      <w:r>
        <w:t>s</w:t>
      </w:r>
      <w:r w:rsidR="00847BA8" w:rsidRPr="000521B6">
        <w:t xml:space="preserve">, independent reports and academic studies </w:t>
      </w:r>
      <w:r w:rsidR="00847BA8">
        <w:t xml:space="preserve">will continue </w:t>
      </w:r>
      <w:r w:rsidR="00847BA8" w:rsidRPr="000521B6">
        <w:t xml:space="preserve">to evaluate performance </w:t>
      </w:r>
      <w:r>
        <w:t>on that criteria</w:t>
      </w:r>
      <w:r w:rsidR="00847BA8" w:rsidRPr="000521B6">
        <w:t>.</w:t>
      </w:r>
      <w:r w:rsidR="00847BA8">
        <w:t xml:space="preserve"> </w:t>
      </w:r>
      <w:r>
        <w:t xml:space="preserve">In turn, </w:t>
      </w:r>
      <w:r w:rsidR="00847BA8">
        <w:t>assess</w:t>
      </w:r>
      <w:r>
        <w:t xml:space="preserve">ing </w:t>
      </w:r>
      <w:r w:rsidR="00847BA8" w:rsidRPr="000521B6">
        <w:t>broad</w:t>
      </w:r>
      <w:r w:rsidR="00847BA8">
        <w:t>er</w:t>
      </w:r>
      <w:r w:rsidR="00847BA8" w:rsidRPr="000521B6">
        <w:t xml:space="preserve"> developmental goals</w:t>
      </w:r>
      <w:r w:rsidR="00847BA8">
        <w:t xml:space="preserve"> </w:t>
      </w:r>
      <w:r>
        <w:t xml:space="preserve">will still </w:t>
      </w:r>
      <w:r w:rsidR="00847BA8" w:rsidRPr="000521B6">
        <w:t xml:space="preserve">require a clear, detailed theory of change that can be tested and potentially validated or falsified. </w:t>
      </w:r>
      <w:r>
        <w:t>As such, s</w:t>
      </w:r>
      <w:r w:rsidR="00847BA8" w:rsidRPr="000521B6">
        <w:t xml:space="preserve">everal studies </w:t>
      </w:r>
      <w:r w:rsidR="00DC464D">
        <w:t xml:space="preserve">have </w:t>
      </w:r>
      <w:r>
        <w:t>continued to express</w:t>
      </w:r>
      <w:r w:rsidR="00847BA8" w:rsidRPr="000521B6">
        <w:t xml:space="preserve"> a need for a more detailed theory of change to better understand and improve the EITI process (</w:t>
      </w:r>
      <w:r w:rsidR="00A31199" w:rsidRPr="000521B6">
        <w:t>Gillies and Heuty 2011</w:t>
      </w:r>
      <w:r w:rsidR="00A31199">
        <w:t xml:space="preserve">; </w:t>
      </w:r>
      <w:r w:rsidR="00664BC0">
        <w:t xml:space="preserve">Neumann et </w:t>
      </w:r>
      <w:r w:rsidR="00664BC0" w:rsidRPr="002934AD">
        <w:t>al. 2016</w:t>
      </w:r>
      <w:r w:rsidR="00664BC0">
        <w:t xml:space="preserve">; </w:t>
      </w:r>
      <w:r w:rsidR="00A31199" w:rsidRPr="000521B6">
        <w:t>Scanteam 2011</w:t>
      </w:r>
      <w:r w:rsidR="00A31199">
        <w:t xml:space="preserve">; </w:t>
      </w:r>
      <w:r w:rsidR="00847BA8" w:rsidRPr="000521B6">
        <w:t xml:space="preserve">Sovacool </w:t>
      </w:r>
      <w:r w:rsidR="00E27CEE">
        <w:t>and</w:t>
      </w:r>
      <w:r w:rsidR="00847BA8" w:rsidRPr="000521B6">
        <w:t xml:space="preserve"> Andrews 2015</w:t>
      </w:r>
      <w:r w:rsidR="00847BA8" w:rsidRPr="002934AD">
        <w:t>).</w:t>
      </w:r>
      <w:r w:rsidR="00847BA8" w:rsidRPr="000521B6">
        <w:t xml:space="preserve"> </w:t>
      </w:r>
    </w:p>
    <w:p w14:paraId="234F269E" w14:textId="58C9A365" w:rsidR="00847BA8" w:rsidRDefault="00847BA8" w:rsidP="002C279D">
      <w:r>
        <w:t xml:space="preserve">We </w:t>
      </w:r>
      <w:r w:rsidR="00E91F66">
        <w:t xml:space="preserve">therefore </w:t>
      </w:r>
      <w:r>
        <w:t xml:space="preserve">conclude, that any evaluation of the EITI </w:t>
      </w:r>
      <w:r w:rsidR="00DC464D">
        <w:t xml:space="preserve">needs to </w:t>
      </w:r>
      <w:r>
        <w:rPr>
          <w:szCs w:val="24"/>
        </w:rPr>
        <w:t xml:space="preserve">be clear about which type of objective it is measuring; whether the EITI can achieve the goal on its own or only with </w:t>
      </w:r>
      <w:r w:rsidR="006040BF">
        <w:rPr>
          <w:szCs w:val="24"/>
        </w:rPr>
        <w:t xml:space="preserve">the </w:t>
      </w:r>
      <w:r>
        <w:rPr>
          <w:szCs w:val="24"/>
        </w:rPr>
        <w:t xml:space="preserve">help of other, simultaneous changes in </w:t>
      </w:r>
      <w:r w:rsidR="00507C97">
        <w:rPr>
          <w:szCs w:val="24"/>
        </w:rPr>
        <w:t xml:space="preserve">governance and </w:t>
      </w:r>
      <w:r>
        <w:rPr>
          <w:szCs w:val="24"/>
        </w:rPr>
        <w:t xml:space="preserve">society; and that </w:t>
      </w:r>
      <w:r>
        <w:t>a</w:t>
      </w:r>
      <w:r w:rsidRPr="00B45A2C">
        <w:t>n evaluati</w:t>
      </w:r>
      <w:r>
        <w:t xml:space="preserve">on should not deem EITI </w:t>
      </w:r>
      <w:r w:rsidR="006040BF">
        <w:t xml:space="preserve">a </w:t>
      </w:r>
      <w:r>
        <w:t xml:space="preserve">success or </w:t>
      </w:r>
      <w:r w:rsidRPr="00B45A2C">
        <w:t xml:space="preserve">failure based on evaluating one or two aspects of </w:t>
      </w:r>
      <w:r>
        <w:t xml:space="preserve">the </w:t>
      </w:r>
      <w:r w:rsidRPr="00B45A2C">
        <w:t>EITI</w:t>
      </w:r>
      <w:r>
        <w:t>. Further</w:t>
      </w:r>
      <w:r w:rsidR="00E91F66">
        <w:t>more</w:t>
      </w:r>
      <w:r>
        <w:t xml:space="preserve">, </w:t>
      </w:r>
      <w:r w:rsidRPr="000521B6">
        <w:t xml:space="preserve">future evaluations should thrive for multi-scalar approaches, </w:t>
      </w:r>
      <w:r w:rsidR="007E1B00">
        <w:t>most notably by comparing and consolidating</w:t>
      </w:r>
      <w:r w:rsidRPr="000521B6">
        <w:t xml:space="preserve"> the </w:t>
      </w:r>
      <w:r w:rsidR="0087450C">
        <w:t xml:space="preserve">wealth of evidence collected at the level of individual countries </w:t>
      </w:r>
      <w:r w:rsidRPr="000521B6">
        <w:t>within the three categories of goals</w:t>
      </w:r>
      <w:r>
        <w:t xml:space="preserve"> we have identified</w:t>
      </w:r>
      <w:r w:rsidRPr="000521B6">
        <w:t>, and build</w:t>
      </w:r>
      <w:r w:rsidR="007E1B00">
        <w:t>ing</w:t>
      </w:r>
      <w:r w:rsidRPr="000521B6">
        <w:t xml:space="preserve"> a testable theory of change</w:t>
      </w:r>
      <w:r>
        <w:t xml:space="preserve"> both for </w:t>
      </w:r>
      <w:r>
        <w:lastRenderedPageBreak/>
        <w:t>development</w:t>
      </w:r>
      <w:r w:rsidR="007E1B00">
        <w:t>al</w:t>
      </w:r>
      <w:r>
        <w:t xml:space="preserve"> goals and for </w:t>
      </w:r>
      <w:r w:rsidR="00967737">
        <w:t>‘</w:t>
      </w:r>
      <w:r>
        <w:t>small wins</w:t>
      </w:r>
      <w:r w:rsidR="00967737">
        <w:t>’</w:t>
      </w:r>
      <w:r w:rsidR="007E1B00" w:rsidRPr="007E1B00">
        <w:t xml:space="preserve"> </w:t>
      </w:r>
      <w:r w:rsidR="007E1B00">
        <w:t xml:space="preserve">to more systematically evaluate what works and what does not in </w:t>
      </w:r>
      <w:r w:rsidR="007E1B00" w:rsidRPr="007E1B00">
        <w:rPr>
          <w:i/>
        </w:rPr>
        <w:t>specific</w:t>
      </w:r>
      <w:r w:rsidR="007E1B00">
        <w:t xml:space="preserve"> contexts</w:t>
      </w:r>
      <w:r>
        <w:t xml:space="preserve">. </w:t>
      </w:r>
      <w:r w:rsidR="007E1B00">
        <w:t xml:space="preserve">Such further research will help </w:t>
      </w:r>
      <w:r w:rsidR="006600DA">
        <w:t>to identify the specific mechanisms through which success</w:t>
      </w:r>
      <w:r w:rsidR="006040BF">
        <w:t>es have</w:t>
      </w:r>
      <w:r w:rsidR="006600DA">
        <w:t xml:space="preserve"> been attained and what factors have contributed to failures. In this way, more robust policy recommendations can be formulated to address </w:t>
      </w:r>
      <w:r w:rsidR="0087450C">
        <w:t xml:space="preserve">some of the remaining </w:t>
      </w:r>
      <w:r w:rsidR="006600DA">
        <w:t xml:space="preserve">shortcomings </w:t>
      </w:r>
      <w:r w:rsidR="0087450C">
        <w:t xml:space="preserve">of </w:t>
      </w:r>
      <w:r w:rsidR="006600DA">
        <w:t xml:space="preserve">the EITI. </w:t>
      </w:r>
    </w:p>
    <w:p w14:paraId="28441D39" w14:textId="15BC2221" w:rsidR="00C4469F" w:rsidRDefault="00C4469F" w:rsidP="00C4469F">
      <w:pPr>
        <w:pStyle w:val="Heading1"/>
        <w:rPr>
          <w:rStyle w:val="Emphasis"/>
          <w:i w:val="0"/>
          <w:iCs w:val="0"/>
        </w:rPr>
      </w:pPr>
      <w:r>
        <w:t xml:space="preserve"> </w:t>
      </w:r>
      <w:r w:rsidRPr="00C4469F">
        <w:rPr>
          <w:rStyle w:val="Emphasis"/>
          <w:i w:val="0"/>
          <w:iCs w:val="0"/>
        </w:rPr>
        <w:t>Acknowledgements</w:t>
      </w:r>
    </w:p>
    <w:p w14:paraId="042ECD64" w14:textId="3AE40BF4" w:rsidR="00C4469F" w:rsidRDefault="00C4469F" w:rsidP="00C4469F">
      <w:pPr>
        <w:pStyle w:val="Firstparagrpah"/>
      </w:pPr>
      <w:r>
        <w:t xml:space="preserve">We would like to thank the editor and reviewers for the excellent comments and suggestions. We also thank </w:t>
      </w:r>
      <w:r w:rsidR="00A47495">
        <w:t xml:space="preserve">Levon Epremian and </w:t>
      </w:r>
      <w:r>
        <w:t xml:space="preserve">the participants of the </w:t>
      </w:r>
      <w:r w:rsidR="00A47495" w:rsidRPr="00A47495">
        <w:t>Geography Research Seminar</w:t>
      </w:r>
      <w:r w:rsidR="00A47495">
        <w:t xml:space="preserve"> at the Norwegian University of Technology and Science (NTNU) in May 2016 and the </w:t>
      </w:r>
      <w:r>
        <w:t>TrAcRevenues Workshop in Trondheim in August 2016 for discussions and feedback</w:t>
      </w:r>
      <w:r w:rsidR="00D82CB2">
        <w:t xml:space="preserve"> on earlier versions of this article</w:t>
      </w:r>
      <w:r>
        <w:t xml:space="preserve">. </w:t>
      </w:r>
    </w:p>
    <w:p w14:paraId="1CA069C5" w14:textId="4E27A6F4" w:rsidR="00C4469F" w:rsidRDefault="00C4469F" w:rsidP="00C4469F">
      <w:pPr>
        <w:pStyle w:val="Heading1"/>
      </w:pPr>
      <w:r>
        <w:t>Funding</w:t>
      </w:r>
    </w:p>
    <w:p w14:paraId="6D7617F7" w14:textId="1BBB4320" w:rsidR="00C4469F" w:rsidRPr="00C4469F" w:rsidRDefault="00C4469F" w:rsidP="00C4469F">
      <w:pPr>
        <w:pStyle w:val="Firstparagrpah"/>
      </w:pPr>
      <w:r>
        <w:t xml:space="preserve">This work has been supported by the </w:t>
      </w:r>
      <w:r w:rsidRPr="00C4469F">
        <w:t xml:space="preserve">Research Council of Norway </w:t>
      </w:r>
      <w:r>
        <w:t xml:space="preserve">[Grant number </w:t>
      </w:r>
      <w:r w:rsidRPr="00C4469F">
        <w:t>231757/F10</w:t>
      </w:r>
      <w:r>
        <w:t>]</w:t>
      </w:r>
      <w:r w:rsidR="00AC103F">
        <w:t xml:space="preserve"> and </w:t>
      </w:r>
      <w:r w:rsidR="00AC103F" w:rsidRPr="00AC103F">
        <w:t>SSHRC, Social Sciences and Humanities Rese</w:t>
      </w:r>
      <w:r w:rsidR="00AC103F">
        <w:t xml:space="preserve">arch </w:t>
      </w:r>
      <w:r w:rsidR="00A47495">
        <w:t>Council</w:t>
      </w:r>
      <w:r w:rsidR="00AC103F">
        <w:t xml:space="preserve"> [Grant F09-05026]. </w:t>
      </w:r>
    </w:p>
    <w:p w14:paraId="4D8731F3" w14:textId="0A627741" w:rsidR="00847BA8" w:rsidRPr="001233E7" w:rsidRDefault="00847BA8" w:rsidP="002C279D">
      <w:pPr>
        <w:pStyle w:val="Heading1"/>
      </w:pPr>
      <w:r>
        <w:br w:type="page"/>
      </w:r>
      <w:r>
        <w:lastRenderedPageBreak/>
        <w:t>R</w:t>
      </w:r>
      <w:r w:rsidRPr="002A5511">
        <w:t>eference</w:t>
      </w:r>
      <w:r w:rsidRPr="001233E7">
        <w:t xml:space="preserve"> list</w:t>
      </w:r>
    </w:p>
    <w:p w14:paraId="442FC39A" w14:textId="6DA7041E" w:rsidR="005A4AF1" w:rsidRDefault="005A4AF1" w:rsidP="00AB7A47">
      <w:pPr>
        <w:autoSpaceDE w:val="0"/>
        <w:autoSpaceDN w:val="0"/>
        <w:adjustRightInd w:val="0"/>
        <w:ind w:left="284" w:hanging="294"/>
        <w:jc w:val="left"/>
        <w:rPr>
          <w:rFonts w:cs="Times New Roman"/>
          <w:szCs w:val="24"/>
        </w:rPr>
      </w:pPr>
      <w:r w:rsidRPr="00C530B6">
        <w:rPr>
          <w:rFonts w:cs="Times New Roman"/>
          <w:szCs w:val="24"/>
        </w:rPr>
        <w:t>Aaronsen, S. and J. Brinkerhoff (201</w:t>
      </w:r>
      <w:r>
        <w:rPr>
          <w:rFonts w:cs="Times New Roman"/>
          <w:szCs w:val="24"/>
        </w:rPr>
        <w:t>1</w:t>
      </w:r>
      <w:r w:rsidRPr="00C530B6">
        <w:rPr>
          <w:rFonts w:cs="Times New Roman"/>
          <w:szCs w:val="24"/>
        </w:rPr>
        <w:t xml:space="preserve">). Limited Partnership: Business, Government, Civil Society (NGOs) and the Public in the Extractive Industry Transparency Initiative (EITI). </w:t>
      </w:r>
      <w:r w:rsidRPr="00E050E8">
        <w:rPr>
          <w:rFonts w:cs="Times New Roman"/>
          <w:i/>
          <w:szCs w:val="24"/>
        </w:rPr>
        <w:t>Public Administration and Development</w:t>
      </w:r>
      <w:r>
        <w:rPr>
          <w:rFonts w:cs="Times New Roman"/>
          <w:szCs w:val="24"/>
        </w:rPr>
        <w:t xml:space="preserve">. 31: 50-63. </w:t>
      </w:r>
      <w:hyperlink r:id="rId18" w:tgtFrame="_blank" w:history="1">
        <w:r>
          <w:rPr>
            <w:rStyle w:val="Hyperlink"/>
          </w:rPr>
          <w:t>http://dx.doi.org/10.1002/pad.588</w:t>
        </w:r>
      </w:hyperlink>
      <w:r>
        <w:rPr>
          <w:rFonts w:cs="Times New Roman"/>
          <w:szCs w:val="24"/>
        </w:rPr>
        <w:t xml:space="preserve"> </w:t>
      </w:r>
    </w:p>
    <w:p w14:paraId="776FD5B7" w14:textId="3B55E098" w:rsidR="005A4AF1" w:rsidRPr="001233E7" w:rsidRDefault="005A4AF1" w:rsidP="00AB7A47">
      <w:pPr>
        <w:autoSpaceDE w:val="0"/>
        <w:autoSpaceDN w:val="0"/>
        <w:adjustRightInd w:val="0"/>
        <w:ind w:left="284" w:hanging="294"/>
        <w:jc w:val="left"/>
        <w:rPr>
          <w:rFonts w:cs="Times New Roman"/>
          <w:szCs w:val="24"/>
        </w:rPr>
      </w:pPr>
      <w:r>
        <w:rPr>
          <w:rFonts w:cs="Times New Roman"/>
          <w:szCs w:val="24"/>
        </w:rPr>
        <w:t xml:space="preserve">Albania EITI (2014). Annual Activity Report. Albania EITI Secretariat. Accessed 10 May 2016 at </w:t>
      </w:r>
      <w:hyperlink r:id="rId19" w:history="1">
        <w:r w:rsidRPr="00B04CE9">
          <w:rPr>
            <w:rStyle w:val="Hyperlink"/>
            <w:rFonts w:cs="Times New Roman"/>
            <w:szCs w:val="24"/>
          </w:rPr>
          <w:t>https://eiti.org/files/2014</w:t>
        </w:r>
        <w:r>
          <w:rPr>
            <w:rStyle w:val="Hyperlink"/>
            <w:rFonts w:cs="Times New Roman"/>
            <w:szCs w:val="24"/>
          </w:rPr>
          <w:t xml:space="preserve"> </w:t>
        </w:r>
        <w:r w:rsidRPr="00B04CE9">
          <w:rPr>
            <w:rStyle w:val="Hyperlink"/>
            <w:rFonts w:cs="Times New Roman"/>
            <w:szCs w:val="24"/>
          </w:rPr>
          <w:t>EITI</w:t>
        </w:r>
        <w:r>
          <w:rPr>
            <w:rStyle w:val="Hyperlink"/>
            <w:rFonts w:cs="Times New Roman"/>
            <w:szCs w:val="24"/>
          </w:rPr>
          <w:t xml:space="preserve"> </w:t>
        </w:r>
        <w:r w:rsidRPr="00B04CE9">
          <w:rPr>
            <w:rStyle w:val="Hyperlink"/>
            <w:rFonts w:cs="Times New Roman"/>
            <w:szCs w:val="24"/>
          </w:rPr>
          <w:t>Albania</w:t>
        </w:r>
        <w:r>
          <w:rPr>
            <w:rStyle w:val="Hyperlink"/>
            <w:rFonts w:cs="Times New Roman"/>
            <w:szCs w:val="24"/>
          </w:rPr>
          <w:t xml:space="preserve"> </w:t>
        </w:r>
        <w:r w:rsidRPr="00B04CE9">
          <w:rPr>
            <w:rStyle w:val="Hyperlink"/>
            <w:rFonts w:cs="Times New Roman"/>
            <w:szCs w:val="24"/>
          </w:rPr>
          <w:t>AAR</w:t>
        </w:r>
        <w:r>
          <w:rPr>
            <w:rStyle w:val="Hyperlink"/>
            <w:rFonts w:cs="Times New Roman"/>
            <w:szCs w:val="24"/>
          </w:rPr>
          <w:t xml:space="preserve"> </w:t>
        </w:r>
        <w:r w:rsidRPr="00B04CE9">
          <w:rPr>
            <w:rStyle w:val="Hyperlink"/>
            <w:rFonts w:cs="Times New Roman"/>
            <w:szCs w:val="24"/>
          </w:rPr>
          <w:t>English.pdf</w:t>
        </w:r>
      </w:hyperlink>
    </w:p>
    <w:p w14:paraId="1866C777" w14:textId="6895FE0F" w:rsidR="005A4AF1" w:rsidRDefault="005A4AF1" w:rsidP="00AB7A47">
      <w:pPr>
        <w:autoSpaceDE w:val="0"/>
        <w:autoSpaceDN w:val="0"/>
        <w:adjustRightInd w:val="0"/>
        <w:ind w:left="284" w:hanging="294"/>
        <w:jc w:val="left"/>
        <w:rPr>
          <w:rFonts w:cs="Times New Roman"/>
          <w:iCs/>
          <w:szCs w:val="24"/>
        </w:rPr>
      </w:pPr>
      <w:r>
        <w:rPr>
          <w:rFonts w:cs="Times New Roman"/>
          <w:szCs w:val="24"/>
        </w:rPr>
        <w:t xml:space="preserve">Andrews, N. (2016). </w:t>
      </w:r>
      <w:r w:rsidRPr="001233E7">
        <w:rPr>
          <w:rFonts w:cs="Times New Roman"/>
          <w:szCs w:val="24"/>
        </w:rPr>
        <w:t>A Swiss-Army Knife? A Critical Assessment of the Extractive Industries Transparenc</w:t>
      </w:r>
      <w:r>
        <w:rPr>
          <w:rFonts w:cs="Times New Roman"/>
          <w:szCs w:val="24"/>
        </w:rPr>
        <w:t>y Initiative (EITI) in Ghana.</w:t>
      </w:r>
      <w:r w:rsidRPr="001233E7">
        <w:rPr>
          <w:rFonts w:cs="Times New Roman"/>
          <w:szCs w:val="24"/>
        </w:rPr>
        <w:t xml:space="preserve"> </w:t>
      </w:r>
      <w:r w:rsidRPr="001233E7">
        <w:rPr>
          <w:rFonts w:cs="Times New Roman"/>
          <w:i/>
          <w:iCs/>
          <w:szCs w:val="24"/>
        </w:rPr>
        <w:t>Business and Society Review.</w:t>
      </w:r>
      <w:r>
        <w:rPr>
          <w:rFonts w:cs="Times New Roman"/>
          <w:iCs/>
          <w:szCs w:val="24"/>
        </w:rPr>
        <w:t xml:space="preserve"> 121: 59-83. </w:t>
      </w:r>
      <w:hyperlink r:id="rId20" w:tgtFrame="_blank" w:history="1">
        <w:r>
          <w:rPr>
            <w:rStyle w:val="Hyperlink"/>
          </w:rPr>
          <w:t>http://dx.doi.org/10.1111/basr.12081</w:t>
        </w:r>
      </w:hyperlink>
    </w:p>
    <w:p w14:paraId="25AAF067" w14:textId="087FE821" w:rsidR="006B5980" w:rsidRPr="00C75059" w:rsidRDefault="006B5980" w:rsidP="00AB7A47">
      <w:pPr>
        <w:autoSpaceDE w:val="0"/>
        <w:autoSpaceDN w:val="0"/>
        <w:adjustRightInd w:val="0"/>
        <w:ind w:left="284" w:hanging="294"/>
        <w:jc w:val="left"/>
        <w:rPr>
          <w:rFonts w:cs="Times New Roman"/>
        </w:rPr>
      </w:pPr>
      <w:r w:rsidRPr="00C75059">
        <w:rPr>
          <w:rFonts w:cs="Times New Roman"/>
        </w:rPr>
        <w:t xml:space="preserve">Auty, R. (2002). </w:t>
      </w:r>
      <w:r w:rsidRPr="00C75059">
        <w:rPr>
          <w:rFonts w:cs="Times New Roman"/>
          <w:i/>
          <w:iCs/>
        </w:rPr>
        <w:t>Sustaining development in mineral economies: the resource curse thesis</w:t>
      </w:r>
      <w:r w:rsidRPr="00C75059">
        <w:rPr>
          <w:rFonts w:cs="Times New Roman"/>
        </w:rPr>
        <w:t xml:space="preserve">. </w:t>
      </w:r>
      <w:r w:rsidR="00687BE7">
        <w:rPr>
          <w:rFonts w:cs="Times New Roman"/>
        </w:rPr>
        <w:t>London:</w:t>
      </w:r>
      <w:r w:rsidR="00B93C68">
        <w:rPr>
          <w:rFonts w:cs="Times New Roman"/>
        </w:rPr>
        <w:t xml:space="preserve"> </w:t>
      </w:r>
      <w:r w:rsidRPr="00C75059">
        <w:rPr>
          <w:rFonts w:cs="Times New Roman"/>
        </w:rPr>
        <w:t>Routledge.</w:t>
      </w:r>
    </w:p>
    <w:p w14:paraId="559267FA" w14:textId="28514036" w:rsidR="00F7584E" w:rsidRPr="00C75059" w:rsidRDefault="00F7584E" w:rsidP="00AB7A47">
      <w:pPr>
        <w:autoSpaceDE w:val="0"/>
        <w:autoSpaceDN w:val="0"/>
        <w:adjustRightInd w:val="0"/>
        <w:ind w:left="284" w:hanging="294"/>
        <w:jc w:val="left"/>
        <w:rPr>
          <w:rFonts w:cs="Times New Roman"/>
        </w:rPr>
      </w:pPr>
      <w:r w:rsidRPr="00C75059">
        <w:rPr>
          <w:rFonts w:cs="Times New Roman"/>
        </w:rPr>
        <w:t xml:space="preserve">Bardhan, P. (1997) Corruption and development: a review of issues. </w:t>
      </w:r>
      <w:r w:rsidRPr="00C75059">
        <w:rPr>
          <w:rFonts w:cs="Times New Roman"/>
          <w:i/>
          <w:iCs/>
        </w:rPr>
        <w:t>Journal of economic literature</w:t>
      </w:r>
      <w:r w:rsidRPr="00C75059">
        <w:rPr>
          <w:rFonts w:cs="Times New Roman"/>
          <w:iCs/>
        </w:rPr>
        <w:t>.</w:t>
      </w:r>
      <w:r w:rsidRPr="00C75059">
        <w:rPr>
          <w:rFonts w:cs="Times New Roman"/>
        </w:rPr>
        <w:t xml:space="preserve"> </w:t>
      </w:r>
      <w:r w:rsidRPr="00C75059">
        <w:rPr>
          <w:rFonts w:cs="Times New Roman"/>
          <w:iCs/>
        </w:rPr>
        <w:t>35</w:t>
      </w:r>
      <w:r w:rsidRPr="00C75059">
        <w:rPr>
          <w:rFonts w:cs="Times New Roman"/>
        </w:rPr>
        <w:t>: 1320-1346.</w:t>
      </w:r>
    </w:p>
    <w:p w14:paraId="2A765D5F" w14:textId="77777777" w:rsidR="00BD4AFE" w:rsidRPr="00E050E8" w:rsidRDefault="00BD4AFE" w:rsidP="00AB7A47">
      <w:pPr>
        <w:autoSpaceDE w:val="0"/>
        <w:autoSpaceDN w:val="0"/>
        <w:adjustRightInd w:val="0"/>
        <w:ind w:left="284" w:hanging="294"/>
        <w:jc w:val="left"/>
        <w:rPr>
          <w:rFonts w:cs="Times New Roman"/>
        </w:rPr>
      </w:pPr>
      <w:r w:rsidRPr="00E050E8">
        <w:rPr>
          <w:rFonts w:cs="Times New Roman"/>
        </w:rPr>
        <w:t xml:space="preserve">Bickham, E. (2015). Mining and the Extractive Industries Transparency Initiative. A review of international and in-country experiences of the EITI from the perspective of supporting mining companies. Report commissioned by the ICMM President. </w:t>
      </w:r>
      <w:hyperlink r:id="rId21" w:history="1">
        <w:r w:rsidRPr="00E050E8">
          <w:t>https://eiti.org/sites/default/files/migrated_files/eiti_review_report_v10_-_final.pdf</w:t>
        </w:r>
      </w:hyperlink>
    </w:p>
    <w:p w14:paraId="7260F25F" w14:textId="2FC4DB93" w:rsidR="004429CA" w:rsidRPr="00C75059" w:rsidRDefault="004429CA" w:rsidP="00AB7A47">
      <w:pPr>
        <w:autoSpaceDE w:val="0"/>
        <w:autoSpaceDN w:val="0"/>
        <w:adjustRightInd w:val="0"/>
        <w:ind w:left="284" w:hanging="294"/>
        <w:jc w:val="left"/>
        <w:rPr>
          <w:rFonts w:cs="Times New Roman"/>
        </w:rPr>
      </w:pPr>
      <w:r w:rsidRPr="00C75059">
        <w:rPr>
          <w:rFonts w:cs="Times New Roman"/>
        </w:rPr>
        <w:t xml:space="preserve">Brinkerhoff, D. W. and J.M. Brinkerhoff (2011). Public–private partnerships: perspectives on purposes, publicness, and good governance. </w:t>
      </w:r>
      <w:r w:rsidRPr="00C75059">
        <w:rPr>
          <w:rFonts w:cs="Times New Roman"/>
          <w:i/>
          <w:iCs/>
        </w:rPr>
        <w:t xml:space="preserve">Public Administration and </w:t>
      </w:r>
      <w:r w:rsidRPr="00C75059">
        <w:rPr>
          <w:rFonts w:cs="Times New Roman"/>
          <w:iCs/>
        </w:rPr>
        <w:t>Development</w:t>
      </w:r>
      <w:r w:rsidR="00F7584E" w:rsidRPr="00C75059">
        <w:rPr>
          <w:rFonts w:cs="Times New Roman"/>
        </w:rPr>
        <w:t xml:space="preserve">. </w:t>
      </w:r>
      <w:r w:rsidRPr="00C75059">
        <w:rPr>
          <w:rFonts w:cs="Times New Roman"/>
          <w:iCs/>
        </w:rPr>
        <w:t>31</w:t>
      </w:r>
      <w:r w:rsidRPr="00C75059">
        <w:rPr>
          <w:rFonts w:cs="Times New Roman"/>
        </w:rPr>
        <w:t>: 2-14.</w:t>
      </w:r>
      <w:r w:rsidR="00C75059" w:rsidRPr="00C75059">
        <w:rPr>
          <w:rFonts w:cs="Times New Roman"/>
        </w:rPr>
        <w:t xml:space="preserve"> </w:t>
      </w:r>
      <w:hyperlink r:id="rId22" w:history="1">
        <w:r w:rsidR="00E050E8" w:rsidRPr="006C76C0">
          <w:rPr>
            <w:rStyle w:val="Hyperlink"/>
            <w:rFonts w:cs="Times New Roman"/>
          </w:rPr>
          <w:t xml:space="preserve">http://dx.doi.org/10.1002/pad.584 </w:t>
        </w:r>
      </w:hyperlink>
      <w:r w:rsidR="00E050E8">
        <w:t xml:space="preserve"> </w:t>
      </w:r>
      <w:r w:rsidR="00C75059" w:rsidRPr="00C75059">
        <w:t xml:space="preserve"> </w:t>
      </w:r>
      <w:r w:rsidR="00E050E8">
        <w:t xml:space="preserve"> </w:t>
      </w:r>
    </w:p>
    <w:p w14:paraId="482006FE" w14:textId="5B5DE141" w:rsidR="002060D0" w:rsidRPr="00C75059" w:rsidRDefault="002060D0" w:rsidP="00AB7A47">
      <w:pPr>
        <w:autoSpaceDE w:val="0"/>
        <w:autoSpaceDN w:val="0"/>
        <w:adjustRightInd w:val="0"/>
        <w:ind w:left="284" w:hanging="294"/>
        <w:jc w:val="left"/>
        <w:rPr>
          <w:rFonts w:cs="Times New Roman"/>
        </w:rPr>
      </w:pPr>
      <w:r w:rsidRPr="00C75059">
        <w:rPr>
          <w:rFonts w:cs="Times New Roman"/>
        </w:rPr>
        <w:t xml:space="preserve">Chowdhury, A. and G. Mavrotas (2006). FDI and growth: What causes what? </w:t>
      </w:r>
      <w:r w:rsidRPr="00C75059">
        <w:rPr>
          <w:rFonts w:cs="Times New Roman"/>
          <w:i/>
          <w:iCs/>
        </w:rPr>
        <w:t>The World Economy</w:t>
      </w:r>
      <w:r w:rsidRPr="00C75059">
        <w:rPr>
          <w:rFonts w:cs="Times New Roman"/>
          <w:iCs/>
        </w:rPr>
        <w:t>.</w:t>
      </w:r>
      <w:r w:rsidRPr="00C75059">
        <w:rPr>
          <w:rFonts w:cs="Times New Roman"/>
        </w:rPr>
        <w:t xml:space="preserve"> </w:t>
      </w:r>
      <w:r w:rsidRPr="00C75059">
        <w:rPr>
          <w:rFonts w:cs="Times New Roman"/>
          <w:iCs/>
        </w:rPr>
        <w:t>29</w:t>
      </w:r>
      <w:r w:rsidRPr="00C75059">
        <w:rPr>
          <w:rFonts w:cs="Times New Roman"/>
        </w:rPr>
        <w:t>: 9-19.</w:t>
      </w:r>
      <w:r w:rsidR="00C75059" w:rsidRPr="00C75059">
        <w:rPr>
          <w:rFonts w:cs="Times New Roman"/>
        </w:rPr>
        <w:t xml:space="preserve"> </w:t>
      </w:r>
      <w:hyperlink r:id="rId23" w:history="1">
        <w:r w:rsidR="00E050E8" w:rsidRPr="006C76C0">
          <w:rPr>
            <w:rStyle w:val="Hyperlink"/>
            <w:rFonts w:cs="Times New Roman"/>
          </w:rPr>
          <w:t xml:space="preserve">http://dx.doi.org/10.1111/j.1467-9701.2006.00755.x </w:t>
        </w:r>
        <w:r w:rsidR="00E050E8" w:rsidRPr="006C76C0">
          <w:rPr>
            <w:rStyle w:val="Hyperlink"/>
            <w:rFonts w:ascii="Helvetica" w:hAnsi="Helvetica"/>
            <w:sz w:val="20"/>
            <w:szCs w:val="20"/>
            <w:shd w:val="clear" w:color="auto" w:fill="FFFFFF"/>
          </w:rPr>
          <w:t> </w:t>
        </w:r>
      </w:hyperlink>
      <w:r w:rsidR="00C75059" w:rsidRPr="00C75059">
        <w:t xml:space="preserve"> </w:t>
      </w:r>
    </w:p>
    <w:p w14:paraId="4B941A40" w14:textId="6836BDBC" w:rsidR="00EF2367" w:rsidRDefault="00EF2367" w:rsidP="00AB7A47">
      <w:pPr>
        <w:autoSpaceDE w:val="0"/>
        <w:autoSpaceDN w:val="0"/>
        <w:adjustRightInd w:val="0"/>
        <w:ind w:left="284" w:hanging="294"/>
        <w:jc w:val="left"/>
        <w:rPr>
          <w:rFonts w:cs="Times New Roman"/>
        </w:rPr>
      </w:pPr>
      <w:r>
        <w:rPr>
          <w:rFonts w:cs="Times New Roman"/>
        </w:rPr>
        <w:t xml:space="preserve">Collier, P. (2016). </w:t>
      </w:r>
      <w:r w:rsidRPr="00EF2367">
        <w:rPr>
          <w:rFonts w:cs="Times New Roman"/>
        </w:rPr>
        <w:t>The institutional and psychological foundation</w:t>
      </w:r>
      <w:r>
        <w:rPr>
          <w:rFonts w:cs="Times New Roman"/>
        </w:rPr>
        <w:t>s of natural resource policies.</w:t>
      </w:r>
      <w:r w:rsidRPr="00EF2367">
        <w:rPr>
          <w:rFonts w:cs="Times New Roman"/>
        </w:rPr>
        <w:t xml:space="preserve"> </w:t>
      </w:r>
      <w:r w:rsidRPr="00EF2367">
        <w:rPr>
          <w:rFonts w:cs="Times New Roman"/>
          <w:i/>
          <w:iCs/>
        </w:rPr>
        <w:t>The Journal of Development Studies</w:t>
      </w:r>
      <w:r>
        <w:rPr>
          <w:rFonts w:cs="Times New Roman"/>
        </w:rPr>
        <w:t>.</w:t>
      </w:r>
      <w:r w:rsidRPr="00EF2367">
        <w:rPr>
          <w:rFonts w:cs="Times New Roman"/>
        </w:rPr>
        <w:t xml:space="preserve"> 1-12.</w:t>
      </w:r>
      <w:r>
        <w:rPr>
          <w:rFonts w:cs="Times New Roman"/>
        </w:rPr>
        <w:t xml:space="preserve"> </w:t>
      </w:r>
      <w:r w:rsidRPr="00EF2367">
        <w:rPr>
          <w:rFonts w:cs="Times New Roman"/>
        </w:rPr>
        <w:t>http://dx.doi.org.ezproxy.library.ubc.ca/10.1080/00220388.2016.1160067</w:t>
      </w:r>
    </w:p>
    <w:p w14:paraId="39FEEEFB" w14:textId="5D40734B" w:rsidR="005A4AF1" w:rsidRPr="00B134A7" w:rsidRDefault="005A4AF1" w:rsidP="00AB7A47">
      <w:pPr>
        <w:autoSpaceDE w:val="0"/>
        <w:autoSpaceDN w:val="0"/>
        <w:adjustRightInd w:val="0"/>
        <w:ind w:left="284" w:hanging="294"/>
        <w:jc w:val="left"/>
        <w:rPr>
          <w:rFonts w:cs="Times New Roman"/>
        </w:rPr>
      </w:pPr>
      <w:r w:rsidRPr="00687BE7">
        <w:rPr>
          <w:rFonts w:cs="Times New Roman"/>
        </w:rPr>
        <w:t xml:space="preserve">Corrigan, C. (2014). Breaking the resource curse: Transparency in the natural resource sector and the extractive industry transparency initiative. </w:t>
      </w:r>
      <w:r w:rsidRPr="00687BE7">
        <w:rPr>
          <w:rFonts w:cs="Times New Roman"/>
          <w:i/>
        </w:rPr>
        <w:t>Resources Policy</w:t>
      </w:r>
      <w:r w:rsidRPr="00687BE7">
        <w:rPr>
          <w:rFonts w:cs="Times New Roman"/>
        </w:rPr>
        <w:t>. 40: 17-30.</w:t>
      </w:r>
      <w:r>
        <w:rPr>
          <w:rFonts w:cs="Times New Roman"/>
        </w:rPr>
        <w:t xml:space="preserve"> </w:t>
      </w:r>
      <w:hyperlink r:id="rId24" w:tgtFrame="_blank" w:history="1">
        <w:r>
          <w:rPr>
            <w:rStyle w:val="Hyperlink"/>
          </w:rPr>
          <w:t>http://dx.doi.org/10.1016/j.resourpol.2013.10.003</w:t>
        </w:r>
      </w:hyperlink>
    </w:p>
    <w:p w14:paraId="0422E95B" w14:textId="0C93E907" w:rsidR="005A4AF1" w:rsidRPr="00B134A7" w:rsidRDefault="005A4AF1" w:rsidP="00AB7A47">
      <w:pPr>
        <w:autoSpaceDE w:val="0"/>
        <w:autoSpaceDN w:val="0"/>
        <w:adjustRightInd w:val="0"/>
        <w:ind w:left="284" w:hanging="294"/>
        <w:jc w:val="left"/>
        <w:rPr>
          <w:rFonts w:cs="Times New Roman"/>
        </w:rPr>
      </w:pPr>
      <w:r w:rsidRPr="00B134A7">
        <w:rPr>
          <w:rFonts w:cs="Times New Roman"/>
        </w:rPr>
        <w:t xml:space="preserve">David-Barrett, </w:t>
      </w:r>
      <w:r>
        <w:rPr>
          <w:rFonts w:cs="Times New Roman"/>
        </w:rPr>
        <w:t>E. and K. Okamura (2016</w:t>
      </w:r>
      <w:r w:rsidRPr="00B134A7">
        <w:rPr>
          <w:rFonts w:cs="Times New Roman"/>
        </w:rPr>
        <w:t xml:space="preserve">) </w:t>
      </w:r>
      <w:r w:rsidRPr="00B9000F">
        <w:rPr>
          <w:rFonts w:cs="Times New Roman"/>
          <w:iCs/>
        </w:rPr>
        <w:t>Norm diffusion and reputation: the rise of the extractive industries transparency initiative.</w:t>
      </w:r>
      <w:r w:rsidRPr="00B134A7">
        <w:rPr>
          <w:rFonts w:cs="Times New Roman"/>
        </w:rPr>
        <w:t xml:space="preserve"> </w:t>
      </w:r>
      <w:r>
        <w:rPr>
          <w:i/>
        </w:rPr>
        <w:t>Governance.</w:t>
      </w:r>
      <w:r>
        <w:t xml:space="preserve"> 29: 227-246</w:t>
      </w:r>
      <w:r w:rsidRPr="00B134A7">
        <w:rPr>
          <w:rFonts w:cs="Times New Roman"/>
        </w:rPr>
        <w:t xml:space="preserve">. </w:t>
      </w:r>
      <w:hyperlink r:id="rId25" w:tgtFrame="_blank" w:history="1">
        <w:r>
          <w:rPr>
            <w:rStyle w:val="Hyperlink"/>
          </w:rPr>
          <w:t>http://dx.doi.org/10.1111/gove.12163</w:t>
        </w:r>
      </w:hyperlink>
    </w:p>
    <w:p w14:paraId="4A5EF730" w14:textId="53C265C7" w:rsidR="005A4AF1" w:rsidRPr="001233E7" w:rsidRDefault="005A4AF1" w:rsidP="00AB7A47">
      <w:pPr>
        <w:autoSpaceDE w:val="0"/>
        <w:autoSpaceDN w:val="0"/>
        <w:adjustRightInd w:val="0"/>
        <w:ind w:left="284" w:hanging="294"/>
        <w:jc w:val="left"/>
        <w:rPr>
          <w:rFonts w:cs="Times New Roman"/>
          <w:szCs w:val="24"/>
        </w:rPr>
      </w:pPr>
      <w:r w:rsidRPr="001233E7">
        <w:rPr>
          <w:rFonts w:cs="Times New Roman"/>
          <w:szCs w:val="24"/>
        </w:rPr>
        <w:t xml:space="preserve">EITI </w:t>
      </w:r>
      <w:r>
        <w:rPr>
          <w:rFonts w:cs="Times New Roman"/>
          <w:szCs w:val="24"/>
        </w:rPr>
        <w:t>(</w:t>
      </w:r>
      <w:r w:rsidRPr="001233E7">
        <w:rPr>
          <w:rFonts w:cs="Times New Roman"/>
          <w:szCs w:val="24"/>
        </w:rPr>
        <w:t>2010</w:t>
      </w:r>
      <w:r>
        <w:rPr>
          <w:rFonts w:cs="Times New Roman"/>
          <w:szCs w:val="24"/>
        </w:rPr>
        <w:t>)</w:t>
      </w:r>
      <w:r w:rsidRPr="001233E7">
        <w:rPr>
          <w:rFonts w:cs="Times New Roman"/>
          <w:szCs w:val="24"/>
        </w:rPr>
        <w:t>. Impact of the EITI in Africa: Stories from the ground.</w:t>
      </w:r>
      <w:r>
        <w:rPr>
          <w:rFonts w:cs="Times New Roman"/>
          <w:szCs w:val="24"/>
        </w:rPr>
        <w:t xml:space="preserve"> Accessed 24 May 2016</w:t>
      </w:r>
      <w:r w:rsidRPr="001233E7">
        <w:rPr>
          <w:rFonts w:cs="Times New Roman"/>
          <w:szCs w:val="24"/>
        </w:rPr>
        <w:t xml:space="preserve"> </w:t>
      </w:r>
      <w:hyperlink r:id="rId26" w:history="1">
        <w:r w:rsidRPr="00B134A7">
          <w:rPr>
            <w:rFonts w:cs="Times New Roman"/>
          </w:rPr>
          <w:t>https://eiti.org/files/EITI%20Impact%20in%20Africa.pdf</w:t>
        </w:r>
      </w:hyperlink>
      <w:r w:rsidR="00687BE7">
        <w:rPr>
          <w:rFonts w:cs="Times New Roman"/>
        </w:rPr>
        <w:t xml:space="preserve">  </w:t>
      </w:r>
    </w:p>
    <w:p w14:paraId="383DCFF1" w14:textId="0F9C5DBF" w:rsidR="005A4AF1" w:rsidRPr="00EC47DF" w:rsidRDefault="005A4AF1" w:rsidP="00AB7A47">
      <w:pPr>
        <w:autoSpaceDE w:val="0"/>
        <w:autoSpaceDN w:val="0"/>
        <w:adjustRightInd w:val="0"/>
        <w:ind w:left="284" w:hanging="294"/>
        <w:jc w:val="left"/>
      </w:pPr>
      <w:r>
        <w:rPr>
          <w:rFonts w:cs="Times New Roman"/>
          <w:szCs w:val="24"/>
        </w:rPr>
        <w:t xml:space="preserve">EITI (2014a). International Secretariat Workplan. </w:t>
      </w:r>
      <w:r w:rsidRPr="00B74B6E">
        <w:t>Oslo</w:t>
      </w:r>
      <w:r>
        <w:t xml:space="preserve">: EITI International Secretariat. </w:t>
      </w:r>
      <w:r w:rsidR="00687BE7">
        <w:rPr>
          <w:rFonts w:cs="Times New Roman"/>
          <w:szCs w:val="24"/>
        </w:rPr>
        <w:t xml:space="preserve">Accessed 24 May 2016 </w:t>
      </w:r>
      <w:r>
        <w:t>https://eiti.org/files/EITI Secretariat Workplan and Budget 2015.pdf</w:t>
      </w:r>
      <w:r w:rsidR="00687BE7">
        <w:t xml:space="preserve"> </w:t>
      </w:r>
    </w:p>
    <w:p w14:paraId="365F32C8" w14:textId="06DFD59D" w:rsidR="005A4AF1" w:rsidRDefault="005A4AF1" w:rsidP="00AB7A47">
      <w:pPr>
        <w:autoSpaceDE w:val="0"/>
        <w:autoSpaceDN w:val="0"/>
        <w:adjustRightInd w:val="0"/>
        <w:ind w:left="284" w:hanging="294"/>
        <w:jc w:val="left"/>
        <w:rPr>
          <w:rFonts w:cs="Times New Roman"/>
          <w:szCs w:val="24"/>
        </w:rPr>
      </w:pPr>
      <w:r w:rsidRPr="001233E7">
        <w:rPr>
          <w:rFonts w:cs="Times New Roman"/>
          <w:szCs w:val="24"/>
        </w:rPr>
        <w:t xml:space="preserve">EITI </w:t>
      </w:r>
      <w:r>
        <w:rPr>
          <w:rFonts w:cs="Times New Roman"/>
          <w:szCs w:val="24"/>
        </w:rPr>
        <w:t>(</w:t>
      </w:r>
      <w:r w:rsidRPr="001233E7">
        <w:rPr>
          <w:rFonts w:cs="Times New Roman"/>
          <w:szCs w:val="24"/>
        </w:rPr>
        <w:t>2014</w:t>
      </w:r>
      <w:r>
        <w:rPr>
          <w:rFonts w:cs="Times New Roman"/>
          <w:szCs w:val="24"/>
        </w:rPr>
        <w:t>b)</w:t>
      </w:r>
      <w:r w:rsidRPr="001233E7">
        <w:rPr>
          <w:rFonts w:cs="Times New Roman"/>
          <w:szCs w:val="24"/>
        </w:rPr>
        <w:t>. Making transparency matter</w:t>
      </w:r>
      <w:r>
        <w:rPr>
          <w:rFonts w:cs="Times New Roman"/>
          <w:szCs w:val="24"/>
        </w:rPr>
        <w:t>.</w:t>
      </w:r>
      <w:r w:rsidRPr="001233E7">
        <w:rPr>
          <w:rFonts w:cs="Times New Roman"/>
          <w:szCs w:val="24"/>
        </w:rPr>
        <w:t xml:space="preserve"> Progress Report 2014</w:t>
      </w:r>
      <w:r w:rsidR="00687BE7">
        <w:rPr>
          <w:rFonts w:cs="Times New Roman"/>
          <w:szCs w:val="24"/>
        </w:rPr>
        <w:t xml:space="preserve">. Accessed 24 May 2016 </w:t>
      </w:r>
      <w:r w:rsidRPr="001233E7">
        <w:rPr>
          <w:rFonts w:cs="Times New Roman"/>
          <w:szCs w:val="24"/>
        </w:rPr>
        <w:t>http://eiti.org/files/EITI_ProgressReport_2014_En_Web_Interactif.pdf</w:t>
      </w:r>
    </w:p>
    <w:p w14:paraId="7D2C0183" w14:textId="65768E2F" w:rsidR="005A4AF1" w:rsidRPr="001B01EB" w:rsidRDefault="005A4AF1" w:rsidP="00AB7A47">
      <w:pPr>
        <w:ind w:left="284" w:hanging="294"/>
        <w:jc w:val="left"/>
        <w:rPr>
          <w:rStyle w:val="Hyperlink"/>
        </w:rPr>
      </w:pPr>
      <w:r w:rsidRPr="001233E7">
        <w:t>E</w:t>
      </w:r>
      <w:r>
        <w:t>ITI (2016)</w:t>
      </w:r>
      <w:r w:rsidRPr="001233E7">
        <w:t>. The EITI Standard</w:t>
      </w:r>
      <w:r>
        <w:t xml:space="preserve"> 2016</w:t>
      </w:r>
      <w:r w:rsidRPr="001233E7">
        <w:t xml:space="preserve">. </w:t>
      </w:r>
      <w:r w:rsidRPr="00B74B6E">
        <w:t>Oslo</w:t>
      </w:r>
      <w:r>
        <w:t xml:space="preserve">: EITI International Secretariat. </w:t>
      </w:r>
      <w:r w:rsidRPr="003F6F7F">
        <w:rPr>
          <w:rFonts w:cs="Times New Roman"/>
          <w:szCs w:val="24"/>
        </w:rPr>
        <w:t>Accessed 26 June 2016</w:t>
      </w:r>
      <w:r>
        <w:rPr>
          <w:rFonts w:cs="Times New Roman"/>
          <w:szCs w:val="24"/>
        </w:rPr>
        <w:t xml:space="preserve"> at </w:t>
      </w:r>
      <w:hyperlink r:id="rId27" w:history="1">
        <w:r w:rsidRPr="001B01EB">
          <w:rPr>
            <w:rStyle w:val="Hyperlink"/>
          </w:rPr>
          <w:t>https://eiti.org/document/standard</w:t>
        </w:r>
      </w:hyperlink>
    </w:p>
    <w:p w14:paraId="1C42FD25" w14:textId="77777777" w:rsidR="005A4AF1" w:rsidRPr="00AB56C7" w:rsidRDefault="005A4AF1" w:rsidP="00AB7A47">
      <w:pPr>
        <w:autoSpaceDE w:val="0"/>
        <w:autoSpaceDN w:val="0"/>
        <w:adjustRightInd w:val="0"/>
        <w:ind w:left="284" w:hanging="294"/>
        <w:jc w:val="left"/>
        <w:rPr>
          <w:rFonts w:cs="Times New Roman"/>
        </w:rPr>
      </w:pPr>
      <w:r w:rsidRPr="00AF4E04">
        <w:rPr>
          <w:rFonts w:cs="Times New Roman"/>
        </w:rPr>
        <w:lastRenderedPageBreak/>
        <w:t xml:space="preserve">Epremian, L, P Lujala and C Bruch (2016). High-value natural resources and transparency: Accounting for revenues and governance. </w:t>
      </w:r>
      <w:r w:rsidRPr="00AB56C7">
        <w:rPr>
          <w:rFonts w:cs="Times New Roman"/>
          <w:i/>
        </w:rPr>
        <w:t>Oxford Research Encyclopedia of Politics</w:t>
      </w:r>
      <w:r w:rsidRPr="00AB56C7">
        <w:rPr>
          <w:rFonts w:cs="Times New Roman"/>
        </w:rPr>
        <w:t>. In press.</w:t>
      </w:r>
    </w:p>
    <w:p w14:paraId="6640B241" w14:textId="77777777" w:rsidR="00BD4AFE" w:rsidRDefault="00BD4AFE" w:rsidP="00AB7A47">
      <w:pPr>
        <w:ind w:left="284" w:hanging="294"/>
        <w:jc w:val="left"/>
      </w:pPr>
      <w:r w:rsidRPr="00E050E8">
        <w:t xml:space="preserve">Etter, L. (2014). Can transparency reduce corruption? – Evidence from firms in Peru and Mali on the impact of the extractive industries transparency initiative (EITI) on corruption. Working paper presented at Doing Business Conference at Georgetown University, Washington, DC, February 20-21, 2014. </w:t>
      </w:r>
      <w:hyperlink r:id="rId28" w:history="1">
        <w:r w:rsidRPr="00E050E8">
          <w:t>https://eiti.org/document/can-transparency-reduce-corruption</w:t>
        </w:r>
      </w:hyperlink>
    </w:p>
    <w:p w14:paraId="12F53F8A" w14:textId="08E24C89" w:rsidR="005A4AF1" w:rsidRDefault="005A4AF1" w:rsidP="00AB7A47">
      <w:pPr>
        <w:ind w:left="284" w:hanging="294"/>
        <w:jc w:val="left"/>
      </w:pPr>
      <w:r w:rsidRPr="00AF4E04">
        <w:t>Furstenberg, S. (2015). Consolidating global governance in nondemocratic</w:t>
      </w:r>
      <w:r w:rsidRPr="00B74B6E">
        <w:t xml:space="preserve"> countries: Critical reflections on the Extractive Industries Transparency Initiative (EITI) in Kyrgyzstan. </w:t>
      </w:r>
      <w:r w:rsidRPr="00B74B6E">
        <w:rPr>
          <w:i/>
          <w:iCs/>
        </w:rPr>
        <w:t>The Extractive Industries and Society</w:t>
      </w:r>
      <w:r w:rsidRPr="00B74B6E">
        <w:t xml:space="preserve">. </w:t>
      </w:r>
      <w:r w:rsidRPr="00B74B6E">
        <w:rPr>
          <w:i/>
          <w:iCs/>
        </w:rPr>
        <w:t>2</w:t>
      </w:r>
      <w:r w:rsidRPr="00B74B6E">
        <w:t>(3): 462-471.</w:t>
      </w:r>
      <w:r>
        <w:t xml:space="preserve"> </w:t>
      </w:r>
      <w:hyperlink r:id="rId29" w:tgtFrame="_blank" w:history="1">
        <w:r>
          <w:rPr>
            <w:rStyle w:val="Hyperlink"/>
          </w:rPr>
          <w:t>http://dx.doi.org/10.1016/j.exis.2015.06.007</w:t>
        </w:r>
      </w:hyperlink>
    </w:p>
    <w:p w14:paraId="659352FE" w14:textId="77777777" w:rsidR="005A4AF1" w:rsidRDefault="005A4AF1" w:rsidP="00AB7A47">
      <w:pPr>
        <w:pStyle w:val="Default"/>
        <w:spacing w:line="276" w:lineRule="auto"/>
        <w:ind w:left="284" w:hanging="294"/>
      </w:pPr>
      <w:r w:rsidRPr="001233E7">
        <w:t xml:space="preserve">Gillies, A. and A. Heuty </w:t>
      </w:r>
      <w:r>
        <w:t>(</w:t>
      </w:r>
      <w:r w:rsidRPr="001233E7">
        <w:t>2011</w:t>
      </w:r>
      <w:r>
        <w:t>)</w:t>
      </w:r>
      <w:r w:rsidRPr="001233E7">
        <w:t xml:space="preserve">. Does Transparency Work? The Challenges of Measurement and Effectiveness in Resource-Rich Countries. </w:t>
      </w:r>
      <w:r w:rsidRPr="00B74B6E">
        <w:rPr>
          <w:i/>
        </w:rPr>
        <w:t>Yale Journal of International Affairs</w:t>
      </w:r>
      <w:r w:rsidRPr="001233E7">
        <w:t>. 6</w:t>
      </w:r>
      <w:r>
        <w:t xml:space="preserve">: </w:t>
      </w:r>
      <w:r w:rsidRPr="00B74B6E">
        <w:t>26-42</w:t>
      </w:r>
      <w:r w:rsidRPr="00F15145">
        <w:t>.</w:t>
      </w:r>
    </w:p>
    <w:p w14:paraId="19239612" w14:textId="18E5023C" w:rsidR="00BF0A7D" w:rsidRDefault="00BF0A7D" w:rsidP="00AB7A47">
      <w:pPr>
        <w:pStyle w:val="Default"/>
        <w:spacing w:line="276" w:lineRule="auto"/>
        <w:ind w:left="284" w:hanging="294"/>
      </w:pPr>
      <w:r w:rsidRPr="00687BE7">
        <w:t xml:space="preserve">Goldsbrough, D. and J. Landell-Mills (1985). </w:t>
      </w:r>
      <w:r w:rsidRPr="00687BE7">
        <w:rPr>
          <w:i/>
          <w:iCs/>
        </w:rPr>
        <w:t>Foreign Private Investment in Developing Countries: A Study by the Research Department</w:t>
      </w:r>
      <w:r w:rsidRPr="00687BE7">
        <w:t>. International Monetary Fund.</w:t>
      </w:r>
    </w:p>
    <w:p w14:paraId="5FE3CD83" w14:textId="77777777" w:rsidR="005A4AF1" w:rsidRDefault="005A4AF1" w:rsidP="00AB7A47">
      <w:pPr>
        <w:pStyle w:val="Default"/>
        <w:spacing w:line="276" w:lineRule="auto"/>
        <w:ind w:left="284" w:hanging="294"/>
      </w:pPr>
      <w:r>
        <w:t xml:space="preserve">Hall, R.H. (1999). </w:t>
      </w:r>
      <w:r w:rsidRPr="00EB221B">
        <w:rPr>
          <w:i/>
        </w:rPr>
        <w:t>Organizations: structures, processes, and outcomes</w:t>
      </w:r>
      <w:r>
        <w:t xml:space="preserve">. 7th edn. New Jersey: Prentice-Hall. </w:t>
      </w:r>
    </w:p>
    <w:p w14:paraId="4150025E" w14:textId="6C9EDFB6" w:rsidR="005A4AF1" w:rsidRDefault="005A4AF1" w:rsidP="00AB7A47">
      <w:pPr>
        <w:autoSpaceDE w:val="0"/>
        <w:autoSpaceDN w:val="0"/>
        <w:adjustRightInd w:val="0"/>
        <w:ind w:left="284" w:hanging="294"/>
        <w:jc w:val="left"/>
        <w:rPr>
          <w:rFonts w:cs="Times New Roman"/>
        </w:rPr>
      </w:pPr>
      <w:r>
        <w:rPr>
          <w:rFonts w:cs="Times New Roman"/>
        </w:rPr>
        <w:t xml:space="preserve">Haufler, V. (2010). </w:t>
      </w:r>
      <w:r w:rsidRPr="007B4C3A">
        <w:rPr>
          <w:rFonts w:cs="Times New Roman"/>
          <w:color w:val="000000"/>
          <w:szCs w:val="17"/>
        </w:rPr>
        <w:t>Disclosure as Governance: The Extractive Industries Transparency Initiative and Resource Management in the Developing World</w:t>
      </w:r>
      <w:r>
        <w:rPr>
          <w:rFonts w:cs="Times New Roman"/>
          <w:color w:val="000000"/>
          <w:szCs w:val="17"/>
        </w:rPr>
        <w:t xml:space="preserve">. </w:t>
      </w:r>
      <w:r w:rsidRPr="007B4C3A">
        <w:rPr>
          <w:rFonts w:cs="Times New Roman"/>
          <w:i/>
          <w:color w:val="000000"/>
          <w:szCs w:val="17"/>
        </w:rPr>
        <w:t>Global Environmental Politics</w:t>
      </w:r>
      <w:r>
        <w:rPr>
          <w:rFonts w:cs="Times New Roman"/>
          <w:color w:val="000000"/>
          <w:szCs w:val="17"/>
        </w:rPr>
        <w:t xml:space="preserve"> 10: 53-73. </w:t>
      </w:r>
      <w:hyperlink r:id="rId30" w:tgtFrame="_blank" w:history="1">
        <w:r>
          <w:rPr>
            <w:rStyle w:val="Hyperlink"/>
          </w:rPr>
          <w:t>http://dx.doi.org/10.1162/GLEP_a_00014</w:t>
        </w:r>
      </w:hyperlink>
    </w:p>
    <w:p w14:paraId="35779994" w14:textId="77777777" w:rsidR="005A4AF1" w:rsidRDefault="005A4AF1" w:rsidP="00AB7A47">
      <w:pPr>
        <w:ind w:left="284" w:hanging="294"/>
        <w:jc w:val="left"/>
      </w:pPr>
      <w:r w:rsidRPr="00E0081A">
        <w:t xml:space="preserve">Hemmati, M. (2002). </w:t>
      </w:r>
      <w:r w:rsidRPr="00B74B6E">
        <w:rPr>
          <w:i/>
        </w:rPr>
        <w:t>Multi-stakeholder processes for governance and sustainability: Beyond deadlock and conflict</w:t>
      </w:r>
      <w:r w:rsidRPr="00E0081A">
        <w:t xml:space="preserve">. </w:t>
      </w:r>
      <w:r w:rsidRPr="00B74B6E">
        <w:t>London</w:t>
      </w:r>
      <w:r w:rsidRPr="00F15145">
        <w:t>:</w:t>
      </w:r>
      <w:r>
        <w:t xml:space="preserve"> </w:t>
      </w:r>
      <w:r w:rsidRPr="00E0081A">
        <w:t>Routledge.</w:t>
      </w:r>
    </w:p>
    <w:p w14:paraId="5375D1C1" w14:textId="009535CB" w:rsidR="00273C32" w:rsidRDefault="00273C32" w:rsidP="00AB7A47">
      <w:pPr>
        <w:ind w:left="284" w:hanging="294"/>
        <w:jc w:val="left"/>
      </w:pPr>
      <w:r>
        <w:t>Hilson, G. and Maconachie, R. (</w:t>
      </w:r>
      <w:r w:rsidRPr="00273C32">
        <w:t>2009</w:t>
      </w:r>
      <w:r>
        <w:t>)</w:t>
      </w:r>
      <w:r w:rsidRPr="00273C32">
        <w:t>. The extractive industries transparency initiative: panacea or white elephant for sub-Saharan Africa?. In</w:t>
      </w:r>
      <w:r>
        <w:t>,</w:t>
      </w:r>
      <w:r w:rsidRPr="00273C32">
        <w:t xml:space="preserve"> </w:t>
      </w:r>
      <w:r>
        <w:t xml:space="preserve">Richards, J. (Ed.). </w:t>
      </w:r>
      <w:r>
        <w:rPr>
          <w:i/>
          <w:iCs/>
        </w:rPr>
        <w:t>Mining, Society, and a Sustainable W</w:t>
      </w:r>
      <w:r w:rsidRPr="00273C32">
        <w:rPr>
          <w:i/>
          <w:iCs/>
        </w:rPr>
        <w:t>orld</w:t>
      </w:r>
      <w:r>
        <w:rPr>
          <w:iCs/>
        </w:rPr>
        <w:t xml:space="preserve">, </w:t>
      </w:r>
      <w:r>
        <w:t xml:space="preserve"> pp. 469-491</w:t>
      </w:r>
      <w:r w:rsidRPr="00273C32">
        <w:t>. Berlin</w:t>
      </w:r>
      <w:r>
        <w:t xml:space="preserve">: </w:t>
      </w:r>
      <w:r w:rsidRPr="00273C32">
        <w:t>Springer.</w:t>
      </w:r>
      <w:r w:rsidR="0073545C">
        <w:t xml:space="preserve"> http://dx.doi.org/</w:t>
      </w:r>
      <w:r w:rsidR="0073545C" w:rsidRPr="0073545C">
        <w:t>10.1007/978-3-642-01103-0_16</w:t>
      </w:r>
    </w:p>
    <w:p w14:paraId="3A8F9942" w14:textId="1F938636" w:rsidR="004429CA" w:rsidRDefault="004429CA" w:rsidP="00AB7A47">
      <w:pPr>
        <w:ind w:left="284" w:hanging="294"/>
        <w:jc w:val="left"/>
      </w:pPr>
      <w:r w:rsidRPr="00687BE7">
        <w:t xml:space="preserve">Hood, C. and D. Heald </w:t>
      </w:r>
      <w:r w:rsidR="00583508" w:rsidRPr="00687BE7">
        <w:t>(</w:t>
      </w:r>
      <w:r w:rsidRPr="00687BE7">
        <w:t>2006</w:t>
      </w:r>
      <w:r w:rsidR="00583508" w:rsidRPr="00687BE7">
        <w:t>)</w:t>
      </w:r>
      <w:r w:rsidRPr="00687BE7">
        <w:t xml:space="preserve">. </w:t>
      </w:r>
      <w:r w:rsidRPr="00687BE7">
        <w:rPr>
          <w:i/>
          <w:iCs/>
        </w:rPr>
        <w:t>Transparency: The key to better governance?</w:t>
      </w:r>
      <w:r w:rsidRPr="00687BE7">
        <w:t xml:space="preserve"> </w:t>
      </w:r>
      <w:r w:rsidR="00687BE7" w:rsidRPr="00687BE7">
        <w:t xml:space="preserve">Oxford: </w:t>
      </w:r>
      <w:r w:rsidRPr="00687BE7">
        <w:t>Oxford University Press.</w:t>
      </w:r>
    </w:p>
    <w:p w14:paraId="0A928992" w14:textId="628916E8" w:rsidR="00AA74D6" w:rsidRDefault="00AA74D6" w:rsidP="00AB7A47">
      <w:pPr>
        <w:ind w:left="284" w:hanging="294"/>
        <w:jc w:val="left"/>
      </w:pPr>
      <w:r w:rsidRPr="00687BE7">
        <w:t xml:space="preserve">Humphreys, M., J. Sachs, J.E. Stiglitz (2007). </w:t>
      </w:r>
      <w:r w:rsidRPr="00687BE7">
        <w:rPr>
          <w:i/>
          <w:iCs/>
        </w:rPr>
        <w:t>Escaping the resource curse</w:t>
      </w:r>
      <w:r w:rsidRPr="00687BE7">
        <w:t>. New York: Columbia University Press.</w:t>
      </w:r>
    </w:p>
    <w:p w14:paraId="484B9CE7" w14:textId="25F92EF2" w:rsidR="005A4AF1" w:rsidRDefault="005A4AF1" w:rsidP="00AB7A47">
      <w:pPr>
        <w:autoSpaceDE w:val="0"/>
        <w:autoSpaceDN w:val="0"/>
        <w:adjustRightInd w:val="0"/>
        <w:ind w:left="284" w:hanging="294"/>
        <w:jc w:val="left"/>
        <w:rPr>
          <w:rFonts w:cs="Times New Roman"/>
        </w:rPr>
      </w:pPr>
      <w:r>
        <w:rPr>
          <w:rFonts w:cs="Times New Roman"/>
        </w:rPr>
        <w:t xml:space="preserve">Kasekende, E., C. Abuka and M. Sarr (2016). Extractive Industries and corruption: Investigating the effectiveness of EITI as scrutiny mechanism. </w:t>
      </w:r>
      <w:r w:rsidRPr="00B9000F">
        <w:rPr>
          <w:rFonts w:cs="Times New Roman"/>
          <w:i/>
        </w:rPr>
        <w:t>Resource</w:t>
      </w:r>
      <w:r>
        <w:rPr>
          <w:rFonts w:cs="Times New Roman"/>
          <w:i/>
        </w:rPr>
        <w:t>s</w:t>
      </w:r>
      <w:r w:rsidRPr="00B9000F">
        <w:rPr>
          <w:rFonts w:cs="Times New Roman"/>
          <w:i/>
        </w:rPr>
        <w:t xml:space="preserve"> Policy</w:t>
      </w:r>
      <w:r>
        <w:rPr>
          <w:rFonts w:cs="Times New Roman"/>
        </w:rPr>
        <w:t xml:space="preserve">. 48: 117-128. </w:t>
      </w:r>
      <w:hyperlink r:id="rId31" w:tgtFrame="_blank" w:history="1">
        <w:r>
          <w:rPr>
            <w:rStyle w:val="Hyperlink"/>
          </w:rPr>
          <w:t>http://dx.doi.org/10.1016/j.resourpol.2016.03.002</w:t>
        </w:r>
      </w:hyperlink>
    </w:p>
    <w:p w14:paraId="1F630D06" w14:textId="50C15FA9" w:rsidR="00583508" w:rsidRPr="00E062F7" w:rsidRDefault="00583508" w:rsidP="00AB7A47">
      <w:pPr>
        <w:ind w:left="284" w:hanging="294"/>
        <w:jc w:val="left"/>
      </w:pPr>
      <w:r w:rsidRPr="00687BE7">
        <w:t xml:space="preserve">Kaufmann, D. (2002). Transparency, incentives and prevention (TIP) for corruption control and good governance. </w:t>
      </w:r>
      <w:r w:rsidRPr="00687BE7">
        <w:rPr>
          <w:i/>
          <w:iCs/>
        </w:rPr>
        <w:t xml:space="preserve">Empirical Findings, Practical Lessons, and Strategies for Action based on International Experience. </w:t>
      </w:r>
      <w:r w:rsidR="00687BE7" w:rsidRPr="00687BE7">
        <w:rPr>
          <w:iCs/>
        </w:rPr>
        <w:t xml:space="preserve">Washington, DC: </w:t>
      </w:r>
      <w:r w:rsidRPr="00687BE7">
        <w:rPr>
          <w:iCs/>
        </w:rPr>
        <w:t>The World Bank.</w:t>
      </w:r>
    </w:p>
    <w:p w14:paraId="17CF3777" w14:textId="638ACE0F" w:rsidR="005A4AF1" w:rsidRDefault="005A4AF1" w:rsidP="00AB7A47">
      <w:pPr>
        <w:autoSpaceDE w:val="0"/>
        <w:autoSpaceDN w:val="0"/>
        <w:adjustRightInd w:val="0"/>
        <w:ind w:left="284" w:hanging="294"/>
        <w:jc w:val="left"/>
        <w:rPr>
          <w:rFonts w:cs="Times New Roman"/>
          <w:szCs w:val="24"/>
        </w:rPr>
      </w:pPr>
      <w:r>
        <w:rPr>
          <w:rFonts w:cs="Times New Roman"/>
          <w:szCs w:val="24"/>
        </w:rPr>
        <w:t>Keblusek,</w:t>
      </w:r>
      <w:r w:rsidRPr="001233E7">
        <w:rPr>
          <w:rFonts w:cs="Times New Roman"/>
          <w:szCs w:val="24"/>
        </w:rPr>
        <w:t xml:space="preserve"> M. </w:t>
      </w:r>
      <w:r>
        <w:rPr>
          <w:rFonts w:cs="Times New Roman"/>
          <w:szCs w:val="24"/>
        </w:rPr>
        <w:t>(</w:t>
      </w:r>
      <w:r w:rsidRPr="001233E7">
        <w:rPr>
          <w:rFonts w:cs="Times New Roman"/>
          <w:szCs w:val="24"/>
        </w:rPr>
        <w:t>2010</w:t>
      </w:r>
      <w:r>
        <w:rPr>
          <w:rFonts w:cs="Times New Roman"/>
          <w:szCs w:val="24"/>
        </w:rPr>
        <w:t>)</w:t>
      </w:r>
      <w:r w:rsidRPr="001233E7">
        <w:rPr>
          <w:rFonts w:cs="Times New Roman"/>
          <w:szCs w:val="24"/>
        </w:rPr>
        <w:t xml:space="preserve">. Is EITI really helping to improve global good governance? Examining the Resource Curse, Corruption and Nigeria’s EITI implementation Experience. </w:t>
      </w:r>
      <w:r w:rsidRPr="00B9000F">
        <w:rPr>
          <w:rFonts w:cs="Times New Roman"/>
          <w:i/>
          <w:szCs w:val="24"/>
        </w:rPr>
        <w:t>Niger Delta Professionals for Development</w:t>
      </w:r>
      <w:r>
        <w:rPr>
          <w:rFonts w:cs="Times New Roman"/>
          <w:szCs w:val="24"/>
        </w:rPr>
        <w:t xml:space="preserve">. Accessed 20 May 2016 at </w:t>
      </w:r>
      <w:hyperlink r:id="rId32" w:history="1">
        <w:r w:rsidRPr="003A6294">
          <w:rPr>
            <w:rStyle w:val="Hyperlink"/>
            <w:rFonts w:cs="Times New Roman"/>
            <w:szCs w:val="24"/>
          </w:rPr>
          <w:t>http://nidprodev.org/EITI</w:t>
        </w:r>
        <w:r>
          <w:rPr>
            <w:rStyle w:val="Hyperlink"/>
            <w:rFonts w:cs="Times New Roman"/>
            <w:szCs w:val="24"/>
          </w:rPr>
          <w:t xml:space="preserve"> - </w:t>
        </w:r>
        <w:r w:rsidRPr="003A6294">
          <w:rPr>
            <w:rStyle w:val="Hyperlink"/>
            <w:rFonts w:cs="Times New Roman"/>
            <w:szCs w:val="24"/>
          </w:rPr>
          <w:t>Nigeria</w:t>
        </w:r>
        <w:r>
          <w:rPr>
            <w:rStyle w:val="Hyperlink"/>
            <w:rFonts w:cs="Times New Roman"/>
            <w:szCs w:val="24"/>
          </w:rPr>
          <w:t xml:space="preserve"> </w:t>
        </w:r>
        <w:r w:rsidRPr="003A6294">
          <w:rPr>
            <w:rStyle w:val="Hyperlink"/>
            <w:rFonts w:cs="Times New Roman"/>
            <w:szCs w:val="24"/>
          </w:rPr>
          <w:t>Analysis.pdf</w:t>
        </w:r>
      </w:hyperlink>
    </w:p>
    <w:p w14:paraId="038F9924" w14:textId="260FD5E6" w:rsidR="005A4AF1" w:rsidRDefault="005A4AF1" w:rsidP="00AB7A47">
      <w:pPr>
        <w:autoSpaceDE w:val="0"/>
        <w:autoSpaceDN w:val="0"/>
        <w:adjustRightInd w:val="0"/>
        <w:ind w:left="284" w:hanging="294"/>
        <w:jc w:val="left"/>
        <w:rPr>
          <w:rStyle w:val="Hyperlink"/>
        </w:rPr>
      </w:pPr>
      <w:r>
        <w:rPr>
          <w:rFonts w:cs="Times New Roman"/>
        </w:rPr>
        <w:t xml:space="preserve">Kolstad, I. and A. Wiig (2009). Is transparency the key to reducing corruption in resource-rich countries? </w:t>
      </w:r>
      <w:r w:rsidRPr="00B9000F">
        <w:rPr>
          <w:rFonts w:cs="Times New Roman"/>
          <w:i/>
        </w:rPr>
        <w:t>World Development</w:t>
      </w:r>
      <w:r w:rsidR="00687BE7">
        <w:rPr>
          <w:rFonts w:cs="Times New Roman"/>
        </w:rPr>
        <w:t>.</w:t>
      </w:r>
      <w:r>
        <w:rPr>
          <w:rFonts w:cs="Times New Roman"/>
        </w:rPr>
        <w:t xml:space="preserve"> 37: 521-532. </w:t>
      </w:r>
      <w:hyperlink r:id="rId33" w:tgtFrame="_blank" w:history="1">
        <w:r>
          <w:rPr>
            <w:rStyle w:val="Hyperlink"/>
          </w:rPr>
          <w:t>http://dx.doi.org/10.1016/j.worlddev.2008.07.002</w:t>
        </w:r>
      </w:hyperlink>
    </w:p>
    <w:p w14:paraId="488D92D9" w14:textId="65F3336F" w:rsidR="006513DA" w:rsidRDefault="006513DA" w:rsidP="00AB7A47">
      <w:pPr>
        <w:autoSpaceDE w:val="0"/>
        <w:autoSpaceDN w:val="0"/>
        <w:adjustRightInd w:val="0"/>
        <w:ind w:left="284" w:hanging="294"/>
        <w:jc w:val="left"/>
        <w:rPr>
          <w:rFonts w:cs="Times New Roman"/>
        </w:rPr>
      </w:pPr>
      <w:r w:rsidRPr="006513DA">
        <w:rPr>
          <w:rFonts w:cs="Times New Roman"/>
        </w:rPr>
        <w:lastRenderedPageBreak/>
        <w:t>Le Billon, P. (2011)</w:t>
      </w:r>
      <w:r>
        <w:rPr>
          <w:rFonts w:cs="Times New Roman"/>
        </w:rPr>
        <w:t xml:space="preserve"> Extractive sectors and illicit financial flows: What role for revenue governance initiatives? CMI/U4.</w:t>
      </w:r>
    </w:p>
    <w:p w14:paraId="25BF2B72" w14:textId="458F6925" w:rsidR="00EF2367" w:rsidRDefault="005426F7" w:rsidP="00AB7A47">
      <w:pPr>
        <w:autoSpaceDE w:val="0"/>
        <w:autoSpaceDN w:val="0"/>
        <w:adjustRightInd w:val="0"/>
        <w:ind w:left="284" w:hanging="294"/>
        <w:jc w:val="left"/>
        <w:rPr>
          <w:rFonts w:cs="Times New Roman"/>
        </w:rPr>
      </w:pPr>
      <w:r>
        <w:rPr>
          <w:rFonts w:cs="Times New Roman"/>
        </w:rPr>
        <w:t>Le Billon, P. (2013</w:t>
      </w:r>
      <w:r w:rsidRPr="005426F7">
        <w:rPr>
          <w:rFonts w:cs="Times New Roman"/>
        </w:rPr>
        <w:t xml:space="preserve">). </w:t>
      </w:r>
      <w:r w:rsidR="00C403DF">
        <w:rPr>
          <w:rFonts w:cs="Times New Roman"/>
          <w:i/>
          <w:iCs/>
        </w:rPr>
        <w:t>Wars of Plunder: Conflicts, Profits and the Politics of R</w:t>
      </w:r>
      <w:r w:rsidRPr="005426F7">
        <w:rPr>
          <w:rFonts w:cs="Times New Roman"/>
          <w:i/>
          <w:iCs/>
        </w:rPr>
        <w:t>esources</w:t>
      </w:r>
      <w:r w:rsidRPr="005426F7">
        <w:rPr>
          <w:rFonts w:cs="Times New Roman"/>
        </w:rPr>
        <w:t xml:space="preserve">. New York: </w:t>
      </w:r>
      <w:r w:rsidR="00C403DF">
        <w:rPr>
          <w:rFonts w:cs="Times New Roman"/>
        </w:rPr>
        <w:t>Oxford</w:t>
      </w:r>
      <w:r w:rsidRPr="005426F7">
        <w:rPr>
          <w:rFonts w:cs="Times New Roman"/>
        </w:rPr>
        <w:t xml:space="preserve"> University Press.</w:t>
      </w:r>
    </w:p>
    <w:p w14:paraId="2DBEFC94" w14:textId="308B3461" w:rsidR="007C0A8E" w:rsidRDefault="007C0A8E" w:rsidP="00AB7A47">
      <w:pPr>
        <w:autoSpaceDE w:val="0"/>
        <w:autoSpaceDN w:val="0"/>
        <w:adjustRightInd w:val="0"/>
        <w:ind w:left="284" w:hanging="294"/>
        <w:jc w:val="left"/>
        <w:rPr>
          <w:rFonts w:cs="Times New Roman"/>
        </w:rPr>
      </w:pPr>
      <w:r w:rsidRPr="00687BE7">
        <w:rPr>
          <w:rFonts w:cs="Times New Roman"/>
        </w:rPr>
        <w:t xml:space="preserve">Leite, C. A., &amp; Weidmann, J. (1999). Does mother nature corrupt? Natural resources, corruption, and economic growth. </w:t>
      </w:r>
      <w:r w:rsidRPr="00687BE7">
        <w:rPr>
          <w:rFonts w:cs="Times New Roman"/>
          <w:i/>
          <w:iCs/>
        </w:rPr>
        <w:t>IMF Working Paper</w:t>
      </w:r>
      <w:r w:rsidRPr="00687BE7">
        <w:rPr>
          <w:rFonts w:cs="Times New Roman"/>
        </w:rPr>
        <w:t xml:space="preserve"> 99/85.</w:t>
      </w:r>
    </w:p>
    <w:p w14:paraId="36F2A370" w14:textId="77777777" w:rsidR="005A4AF1" w:rsidRDefault="005A4AF1" w:rsidP="00AB7A47">
      <w:pPr>
        <w:autoSpaceDE w:val="0"/>
        <w:autoSpaceDN w:val="0"/>
        <w:adjustRightInd w:val="0"/>
        <w:ind w:left="284" w:hanging="294"/>
        <w:jc w:val="left"/>
        <w:rPr>
          <w:rFonts w:cs="Times New Roman"/>
        </w:rPr>
      </w:pPr>
      <w:r w:rsidRPr="000979E4">
        <w:rPr>
          <w:rFonts w:cs="Times New Roman"/>
        </w:rPr>
        <w:t xml:space="preserve">Lujala, P </w:t>
      </w:r>
      <w:r>
        <w:rPr>
          <w:rFonts w:cs="Times New Roman"/>
        </w:rPr>
        <w:t>and</w:t>
      </w:r>
      <w:r w:rsidRPr="000979E4">
        <w:rPr>
          <w:rFonts w:cs="Times New Roman"/>
        </w:rPr>
        <w:t xml:space="preserve"> L</w:t>
      </w:r>
      <w:r>
        <w:rPr>
          <w:rFonts w:cs="Times New Roman"/>
        </w:rPr>
        <w:t>.</w:t>
      </w:r>
      <w:r w:rsidRPr="000979E4">
        <w:rPr>
          <w:rFonts w:cs="Times New Roman"/>
        </w:rPr>
        <w:t xml:space="preserve"> Epremian </w:t>
      </w:r>
      <w:r>
        <w:rPr>
          <w:rFonts w:cs="Times New Roman"/>
        </w:rPr>
        <w:t>(</w:t>
      </w:r>
      <w:r w:rsidRPr="000979E4">
        <w:rPr>
          <w:rFonts w:cs="Times New Roman"/>
        </w:rPr>
        <w:t>2016</w:t>
      </w:r>
      <w:r>
        <w:rPr>
          <w:rFonts w:cs="Times New Roman"/>
        </w:rPr>
        <w:t>).</w:t>
      </w:r>
      <w:r w:rsidRPr="000979E4">
        <w:rPr>
          <w:rFonts w:cs="Times New Roman"/>
        </w:rPr>
        <w:t xml:space="preserve"> Transparency and natural resource revenue management: Empowering the public with information? </w:t>
      </w:r>
      <w:r>
        <w:rPr>
          <w:rFonts w:cs="Times New Roman"/>
        </w:rPr>
        <w:t xml:space="preserve">In: </w:t>
      </w:r>
      <w:r w:rsidRPr="00E050E8">
        <w:rPr>
          <w:rFonts w:cs="Times New Roman"/>
          <w:i/>
        </w:rPr>
        <w:t>Corruption, natural resources and development</w:t>
      </w:r>
      <w:r>
        <w:rPr>
          <w:rFonts w:cs="Times New Roman"/>
        </w:rPr>
        <w:t>,</w:t>
      </w:r>
      <w:r w:rsidRPr="000979E4">
        <w:rPr>
          <w:rFonts w:cs="Times New Roman"/>
        </w:rPr>
        <w:t xml:space="preserve"> A</w:t>
      </w:r>
      <w:r>
        <w:rPr>
          <w:rFonts w:cs="Times New Roman"/>
        </w:rPr>
        <w:t>.</w:t>
      </w:r>
      <w:r w:rsidRPr="000979E4">
        <w:rPr>
          <w:rFonts w:cs="Times New Roman"/>
        </w:rPr>
        <w:t xml:space="preserve"> Williams &amp; P</w:t>
      </w:r>
      <w:r>
        <w:rPr>
          <w:rFonts w:cs="Times New Roman"/>
        </w:rPr>
        <w:t>. Le Billon.</w:t>
      </w:r>
      <w:r w:rsidRPr="000979E4">
        <w:rPr>
          <w:rFonts w:cs="Times New Roman"/>
        </w:rPr>
        <w:t xml:space="preserve"> Edward Elgar Publishing.</w:t>
      </w:r>
    </w:p>
    <w:p w14:paraId="335F12C7" w14:textId="270C1701" w:rsidR="00BD4AFE" w:rsidRDefault="00BD4AFE" w:rsidP="00AB7A47">
      <w:pPr>
        <w:autoSpaceDE w:val="0"/>
        <w:autoSpaceDN w:val="0"/>
        <w:adjustRightInd w:val="0"/>
        <w:ind w:left="284" w:hanging="294"/>
        <w:jc w:val="left"/>
        <w:rPr>
          <w:rFonts w:cs="Times New Roman"/>
        </w:rPr>
      </w:pPr>
      <w:r w:rsidRPr="00A43F4B">
        <w:rPr>
          <w:rFonts w:cs="Times New Roman"/>
        </w:rPr>
        <w:t xml:space="preserve">Neumann, L., S. Silvestrini, T. Strauss, H. Harnack, R. Dion, S. Darby, </w:t>
      </w:r>
      <w:r w:rsidR="00855DFA" w:rsidRPr="00A43F4B">
        <w:rPr>
          <w:rFonts w:cs="Times New Roman"/>
        </w:rPr>
        <w:t xml:space="preserve">C. von Haldenwang </w:t>
      </w:r>
      <w:r w:rsidRPr="00A43F4B">
        <w:rPr>
          <w:rFonts w:cs="Times New Roman"/>
        </w:rPr>
        <w:t xml:space="preserve">and N. Roloff (2016). Assessing the Effectiveness and Impact of the Extractive Industries Transparency Initiative (EITI). </w:t>
      </w:r>
      <w:r w:rsidR="00855DFA" w:rsidRPr="00A43F4B">
        <w:rPr>
          <w:rFonts w:cs="Times New Roman"/>
        </w:rPr>
        <w:t>Deutsche Gesellschaft für Internationale Zusammenarbeit (GIZ).</w:t>
      </w:r>
    </w:p>
    <w:p w14:paraId="1574E3B8" w14:textId="538F1680" w:rsidR="005A4AF1" w:rsidRDefault="005A4AF1" w:rsidP="00AB7A47">
      <w:pPr>
        <w:autoSpaceDE w:val="0"/>
        <w:autoSpaceDN w:val="0"/>
        <w:adjustRightInd w:val="0"/>
        <w:ind w:left="284" w:hanging="294"/>
        <w:jc w:val="left"/>
        <w:rPr>
          <w:rFonts w:cs="Times New Roman"/>
        </w:rPr>
      </w:pPr>
      <w:r w:rsidRPr="00592CB2">
        <w:rPr>
          <w:rFonts w:cs="Times New Roman"/>
        </w:rPr>
        <w:t xml:space="preserve">Ofori, J.J.Y. &amp; P. Lujala (2015). </w:t>
      </w:r>
      <w:r w:rsidRPr="000979E4">
        <w:rPr>
          <w:rFonts w:cs="Times New Roman"/>
        </w:rPr>
        <w:t xml:space="preserve">Illusionary transparency? Oil revenues, information disclosure, and transparency. </w:t>
      </w:r>
      <w:r w:rsidRPr="00B74B6E">
        <w:rPr>
          <w:rFonts w:cs="Times New Roman"/>
          <w:i/>
        </w:rPr>
        <w:t>Society &amp; Natural Resources</w:t>
      </w:r>
      <w:r w:rsidRPr="000979E4">
        <w:rPr>
          <w:rFonts w:cs="Times New Roman"/>
        </w:rPr>
        <w:t xml:space="preserve"> 28:</w:t>
      </w:r>
      <w:r>
        <w:rPr>
          <w:rFonts w:cs="Times New Roman"/>
        </w:rPr>
        <w:t xml:space="preserve"> </w:t>
      </w:r>
      <w:r w:rsidRPr="000979E4">
        <w:rPr>
          <w:rFonts w:cs="Times New Roman"/>
        </w:rPr>
        <w:t>1187–1202.</w:t>
      </w:r>
      <w:r>
        <w:rPr>
          <w:rFonts w:cs="Times New Roman"/>
        </w:rPr>
        <w:t xml:space="preserve"> </w:t>
      </w:r>
      <w:hyperlink r:id="rId34" w:tgtFrame="_blank" w:history="1">
        <w:r>
          <w:rPr>
            <w:rStyle w:val="Hyperlink"/>
          </w:rPr>
          <w:t>http://dx.doi.org/10.1080/08941920.2015.1024806</w:t>
        </w:r>
      </w:hyperlink>
    </w:p>
    <w:p w14:paraId="4354143B" w14:textId="77777777" w:rsidR="005F58FE" w:rsidRPr="00E050E8" w:rsidRDefault="005F58FE" w:rsidP="00AB7A47">
      <w:pPr>
        <w:autoSpaceDE w:val="0"/>
        <w:autoSpaceDN w:val="0"/>
        <w:adjustRightInd w:val="0"/>
        <w:ind w:left="284" w:hanging="294"/>
        <w:jc w:val="left"/>
        <w:rPr>
          <w:rFonts w:cs="Times New Roman"/>
        </w:rPr>
      </w:pPr>
      <w:r w:rsidRPr="00E050E8">
        <w:rPr>
          <w:rFonts w:cs="Times New Roman"/>
        </w:rPr>
        <w:t xml:space="preserve">Öge K. (2016a). Which transparency matters? Compliance with anti-corruption efforts in extractive industries. </w:t>
      </w:r>
      <w:r w:rsidRPr="00E050E8">
        <w:rPr>
          <w:rFonts w:cs="Times New Roman"/>
          <w:i/>
        </w:rPr>
        <w:t>Resources Policy</w:t>
      </w:r>
      <w:r w:rsidRPr="00E050E8">
        <w:rPr>
          <w:rFonts w:cs="Times New Roman"/>
        </w:rPr>
        <w:t>. 49: 41–50.</w:t>
      </w:r>
    </w:p>
    <w:p w14:paraId="0B98FCEB" w14:textId="1DD9A03D" w:rsidR="005F58FE" w:rsidRPr="00E050E8" w:rsidRDefault="005F58FE" w:rsidP="00AB7A47">
      <w:pPr>
        <w:autoSpaceDE w:val="0"/>
        <w:autoSpaceDN w:val="0"/>
        <w:adjustRightInd w:val="0"/>
        <w:ind w:left="284" w:hanging="294"/>
        <w:jc w:val="left"/>
        <w:rPr>
          <w:rFonts w:cs="Times New Roman"/>
        </w:rPr>
      </w:pPr>
      <w:r w:rsidRPr="00E050E8">
        <w:rPr>
          <w:rFonts w:cs="Times New Roman"/>
        </w:rPr>
        <w:t xml:space="preserve">Öge K. (2016b). To disclose or not to disclose: How global competition for foreign direct investment influences transparency reforms in extractive industries. </w:t>
      </w:r>
      <w:r w:rsidRPr="00E050E8">
        <w:rPr>
          <w:rFonts w:cs="Times New Roman"/>
          <w:i/>
        </w:rPr>
        <w:t>Energy Policy</w:t>
      </w:r>
      <w:r w:rsidRPr="00E050E8">
        <w:rPr>
          <w:rFonts w:cs="Times New Roman"/>
        </w:rPr>
        <w:t>. 98: 133–141</w:t>
      </w:r>
      <w:r w:rsidR="00E050E8">
        <w:rPr>
          <w:rFonts w:cs="Times New Roman"/>
        </w:rPr>
        <w:t>.</w:t>
      </w:r>
    </w:p>
    <w:p w14:paraId="774D43FF" w14:textId="0AD63426" w:rsidR="005A4AF1" w:rsidRPr="001233E7" w:rsidRDefault="005A4AF1" w:rsidP="00AB7A47">
      <w:pPr>
        <w:autoSpaceDE w:val="0"/>
        <w:autoSpaceDN w:val="0"/>
        <w:adjustRightInd w:val="0"/>
        <w:ind w:left="284" w:hanging="294"/>
        <w:jc w:val="left"/>
        <w:rPr>
          <w:rFonts w:cs="Times New Roman"/>
          <w:szCs w:val="24"/>
        </w:rPr>
      </w:pPr>
      <w:r w:rsidRPr="001233E7">
        <w:rPr>
          <w:rFonts w:cs="Times New Roman"/>
          <w:szCs w:val="24"/>
        </w:rPr>
        <w:t>Ölcer, D. (2009)</w:t>
      </w:r>
      <w:r>
        <w:rPr>
          <w:rFonts w:cs="Times New Roman"/>
          <w:szCs w:val="24"/>
        </w:rPr>
        <w:t>.</w:t>
      </w:r>
      <w:r w:rsidRPr="001233E7">
        <w:rPr>
          <w:rFonts w:cs="Times New Roman"/>
          <w:szCs w:val="24"/>
        </w:rPr>
        <w:t xml:space="preserve"> Extracting the Maximum from the EITI. Working Paper No. 276. Paris: </w:t>
      </w:r>
      <w:r w:rsidRPr="00B9000F">
        <w:rPr>
          <w:rFonts w:cs="Times New Roman"/>
          <w:i/>
          <w:szCs w:val="24"/>
        </w:rPr>
        <w:t>OECD Development Centre</w:t>
      </w:r>
      <w:r w:rsidRPr="001233E7">
        <w:rPr>
          <w:rFonts w:cs="Times New Roman"/>
          <w:szCs w:val="24"/>
        </w:rPr>
        <w:t xml:space="preserve">. </w:t>
      </w:r>
      <w:hyperlink r:id="rId35" w:tgtFrame="_blank" w:history="1">
        <w:r>
          <w:rPr>
            <w:rStyle w:val="Hyperlink"/>
          </w:rPr>
          <w:t>http://dx.doi.org/10.1787/225520261678</w:t>
        </w:r>
      </w:hyperlink>
      <w:r>
        <w:rPr>
          <w:rFonts w:cs="Times New Roman"/>
          <w:szCs w:val="24"/>
        </w:rPr>
        <w:t xml:space="preserve"> </w:t>
      </w:r>
    </w:p>
    <w:p w14:paraId="6A368ED0" w14:textId="6835E941" w:rsidR="005A4AF1" w:rsidRPr="00D65C17" w:rsidRDefault="005A4AF1" w:rsidP="00AB7A47">
      <w:pPr>
        <w:autoSpaceDE w:val="0"/>
        <w:autoSpaceDN w:val="0"/>
        <w:adjustRightInd w:val="0"/>
        <w:ind w:left="284" w:hanging="294"/>
        <w:jc w:val="left"/>
        <w:rPr>
          <w:rFonts w:cs="Times New Roman"/>
          <w:szCs w:val="24"/>
        </w:rPr>
      </w:pPr>
      <w:r w:rsidRPr="00D65C17">
        <w:rPr>
          <w:rFonts w:cs="Times New Roman"/>
          <w:szCs w:val="24"/>
        </w:rPr>
        <w:t xml:space="preserve">Papyrakis, E., M. Riger and E. Gilberthorpe (2016). Corruption and the Extractive Industry Transparency Initiative. </w:t>
      </w:r>
      <w:r w:rsidRPr="00E050E8">
        <w:rPr>
          <w:rFonts w:cs="Times New Roman"/>
          <w:i/>
          <w:szCs w:val="24"/>
        </w:rPr>
        <w:t>The Journal of Development Studies</w:t>
      </w:r>
      <w:r w:rsidRPr="00D65C17">
        <w:rPr>
          <w:rFonts w:cs="Times New Roman"/>
          <w:szCs w:val="24"/>
        </w:rPr>
        <w:t>. In press</w:t>
      </w:r>
      <w:r>
        <w:rPr>
          <w:rFonts w:cs="Times New Roman"/>
          <w:szCs w:val="24"/>
        </w:rPr>
        <w:t>.</w:t>
      </w:r>
      <w:r w:rsidRPr="00D65C17">
        <w:rPr>
          <w:rFonts w:cs="Times New Roman"/>
          <w:szCs w:val="24"/>
        </w:rPr>
        <w:t xml:space="preserve"> </w:t>
      </w:r>
      <w:hyperlink r:id="rId36" w:tgtFrame="_blank" w:history="1">
        <w:r>
          <w:rPr>
            <w:rStyle w:val="Hyperlink"/>
          </w:rPr>
          <w:t>http://dx.doi.org/10.1080/00220388.2016.1160065</w:t>
        </w:r>
      </w:hyperlink>
    </w:p>
    <w:p w14:paraId="23254604" w14:textId="77777777" w:rsidR="00205612" w:rsidRPr="00687BE7" w:rsidRDefault="00205612" w:rsidP="00AB7A47">
      <w:pPr>
        <w:autoSpaceDE w:val="0"/>
        <w:autoSpaceDN w:val="0"/>
        <w:adjustRightInd w:val="0"/>
        <w:ind w:left="284" w:hanging="294"/>
        <w:jc w:val="left"/>
      </w:pPr>
      <w:r w:rsidRPr="00687BE7">
        <w:rPr>
          <w:rFonts w:cs="Times New Roman"/>
          <w:szCs w:val="24"/>
        </w:rPr>
        <w:t xml:space="preserve">Phillips, J. and K. Whiting (2016). A geocybernetic analysis of the principles of the Extractive Industries Transparency Initiative (EITI). </w:t>
      </w:r>
      <w:r w:rsidRPr="00687BE7">
        <w:rPr>
          <w:rFonts w:cs="Times New Roman"/>
          <w:i/>
          <w:szCs w:val="24"/>
        </w:rPr>
        <w:t>Resources Policy</w:t>
      </w:r>
      <w:r w:rsidRPr="00687BE7">
        <w:rPr>
          <w:rFonts w:cs="Times New Roman"/>
          <w:szCs w:val="24"/>
        </w:rPr>
        <w:t>. 49: 248-265.</w:t>
      </w:r>
    </w:p>
    <w:p w14:paraId="4A11A119" w14:textId="49F0E3D7" w:rsidR="005A4AF1" w:rsidRDefault="005A4AF1" w:rsidP="00AB7A47">
      <w:pPr>
        <w:autoSpaceDE w:val="0"/>
        <w:autoSpaceDN w:val="0"/>
        <w:adjustRightInd w:val="0"/>
        <w:ind w:left="284" w:hanging="294"/>
        <w:jc w:val="left"/>
        <w:rPr>
          <w:rFonts w:cs="Times New Roman"/>
        </w:rPr>
      </w:pPr>
      <w:r>
        <w:rPr>
          <w:rFonts w:cs="Times New Roman"/>
        </w:rPr>
        <w:t xml:space="preserve">Rainbow Insight (2009). Evaluating the EITI’s impact on the Transparency of Natural Resource Revenues. </w:t>
      </w:r>
      <w:r>
        <w:rPr>
          <w:rFonts w:cs="Times New Roman"/>
          <w:szCs w:val="24"/>
        </w:rPr>
        <w:t xml:space="preserve">Accessed 23 May 2016 at  </w:t>
      </w:r>
      <w:hyperlink r:id="rId37" w:history="1">
        <w:r w:rsidRPr="003A6294">
          <w:rPr>
            <w:rStyle w:val="Hyperlink"/>
            <w:rFonts w:cs="Times New Roman"/>
          </w:rPr>
          <w:t>https://eiti.org/files/Rainbow%20Insight%20Report.pdf</w:t>
        </w:r>
      </w:hyperlink>
    </w:p>
    <w:p w14:paraId="215E0643" w14:textId="449A0E5B" w:rsidR="005A4AF1" w:rsidRPr="00B73EB8" w:rsidRDefault="005A4AF1" w:rsidP="00AB7A47">
      <w:pPr>
        <w:autoSpaceDE w:val="0"/>
        <w:autoSpaceDN w:val="0"/>
        <w:adjustRightInd w:val="0"/>
        <w:ind w:left="284" w:hanging="294"/>
        <w:jc w:val="left"/>
        <w:rPr>
          <w:rFonts w:cs="Times New Roman"/>
          <w:szCs w:val="24"/>
        </w:rPr>
      </w:pPr>
      <w:r w:rsidRPr="00B9000F">
        <w:rPr>
          <w:rFonts w:cs="Times New Roman"/>
          <w:szCs w:val="24"/>
        </w:rPr>
        <w:t>Randall, L. and K. Blamo (2009)</w:t>
      </w:r>
      <w:r>
        <w:rPr>
          <w:rFonts w:cs="Times New Roman"/>
          <w:szCs w:val="24"/>
        </w:rPr>
        <w:t>.</w:t>
      </w:r>
      <w:r w:rsidRPr="00B9000F">
        <w:rPr>
          <w:rFonts w:cs="Times New Roman"/>
          <w:szCs w:val="24"/>
        </w:rPr>
        <w:t xml:space="preserve"> </w:t>
      </w:r>
      <w:r w:rsidRPr="00B74B6E">
        <w:rPr>
          <w:rFonts w:cs="Times New Roman"/>
          <w:i/>
          <w:szCs w:val="24"/>
        </w:rPr>
        <w:t>Bridging the disconnect: Why communication is crucial to promoting extractive transparency?</w:t>
      </w:r>
      <w:r>
        <w:rPr>
          <w:rFonts w:cs="Times New Roman"/>
          <w:szCs w:val="24"/>
        </w:rPr>
        <w:t xml:space="preserve"> </w:t>
      </w:r>
      <w:r w:rsidRPr="00B74B6E">
        <w:rPr>
          <w:rFonts w:cs="Times New Roman"/>
          <w:szCs w:val="24"/>
        </w:rPr>
        <w:t>Liberia Media Center and Liberia EITI</w:t>
      </w:r>
      <w:r w:rsidRPr="00B9000F">
        <w:rPr>
          <w:rFonts w:cs="Times New Roman"/>
          <w:i/>
          <w:szCs w:val="24"/>
        </w:rPr>
        <w:t>.</w:t>
      </w:r>
      <w:r>
        <w:rPr>
          <w:rFonts w:cs="Times New Roman"/>
          <w:i/>
          <w:szCs w:val="24"/>
        </w:rPr>
        <w:t xml:space="preserve"> </w:t>
      </w:r>
      <w:r>
        <w:rPr>
          <w:rFonts w:cs="Times New Roman"/>
          <w:szCs w:val="24"/>
        </w:rPr>
        <w:t xml:space="preserve">Accessed 30 June 2016 at </w:t>
      </w:r>
      <w:hyperlink r:id="rId38" w:history="1">
        <w:r w:rsidRPr="00B04CE9">
          <w:rPr>
            <w:rStyle w:val="Hyperlink"/>
            <w:rFonts w:cs="Times New Roman"/>
            <w:i/>
            <w:szCs w:val="24"/>
          </w:rPr>
          <w:t>http://www.leiti.org.lr/uploads/2/1/5/6/21569928/leiti_perception_survey_report.pdf</w:t>
        </w:r>
      </w:hyperlink>
    </w:p>
    <w:p w14:paraId="2F230B70" w14:textId="77777777" w:rsidR="005A4AF1" w:rsidRPr="00B9000F" w:rsidRDefault="005A4AF1" w:rsidP="00AB7A47">
      <w:pPr>
        <w:autoSpaceDE w:val="0"/>
        <w:autoSpaceDN w:val="0"/>
        <w:adjustRightInd w:val="0"/>
        <w:ind w:left="284" w:hanging="294"/>
        <w:jc w:val="left"/>
        <w:rPr>
          <w:rFonts w:cs="Times New Roman"/>
          <w:szCs w:val="24"/>
        </w:rPr>
      </w:pPr>
      <w:r w:rsidRPr="00B9000F">
        <w:rPr>
          <w:rFonts w:cs="Times New Roman"/>
          <w:szCs w:val="24"/>
        </w:rPr>
        <w:t>Rich, E. and J Moberg (2015)</w:t>
      </w:r>
      <w:r>
        <w:rPr>
          <w:rFonts w:cs="Times New Roman"/>
          <w:szCs w:val="24"/>
        </w:rPr>
        <w:t>.</w:t>
      </w:r>
      <w:r w:rsidRPr="00B9000F">
        <w:rPr>
          <w:rFonts w:cs="Times New Roman"/>
          <w:szCs w:val="24"/>
        </w:rPr>
        <w:t xml:space="preserve"> </w:t>
      </w:r>
      <w:r w:rsidRPr="00B74B6E">
        <w:rPr>
          <w:rFonts w:cs="Times New Roman"/>
          <w:i/>
          <w:szCs w:val="24"/>
        </w:rPr>
        <w:t xml:space="preserve">Beyond Governments: Making Collective Governance Work. Lessons from the </w:t>
      </w:r>
      <w:r>
        <w:rPr>
          <w:rFonts w:cs="Times New Roman"/>
          <w:i/>
          <w:szCs w:val="24"/>
        </w:rPr>
        <w:t>E</w:t>
      </w:r>
      <w:r w:rsidRPr="00B74B6E">
        <w:rPr>
          <w:rFonts w:cs="Times New Roman"/>
          <w:i/>
          <w:szCs w:val="24"/>
        </w:rPr>
        <w:t xml:space="preserve">xtractive </w:t>
      </w:r>
      <w:r>
        <w:rPr>
          <w:rFonts w:cs="Times New Roman"/>
          <w:i/>
          <w:szCs w:val="24"/>
        </w:rPr>
        <w:t>I</w:t>
      </w:r>
      <w:r w:rsidRPr="00B74B6E">
        <w:rPr>
          <w:rFonts w:cs="Times New Roman"/>
          <w:i/>
          <w:szCs w:val="24"/>
        </w:rPr>
        <w:t xml:space="preserve">ndustry </w:t>
      </w:r>
      <w:r>
        <w:rPr>
          <w:rFonts w:cs="Times New Roman"/>
          <w:i/>
          <w:szCs w:val="24"/>
        </w:rPr>
        <w:t>T</w:t>
      </w:r>
      <w:r w:rsidRPr="00B74B6E">
        <w:rPr>
          <w:rFonts w:cs="Times New Roman"/>
          <w:i/>
          <w:szCs w:val="24"/>
        </w:rPr>
        <w:t xml:space="preserve">ransparency </w:t>
      </w:r>
      <w:r>
        <w:rPr>
          <w:rFonts w:cs="Times New Roman"/>
          <w:i/>
          <w:szCs w:val="24"/>
        </w:rPr>
        <w:t>I</w:t>
      </w:r>
      <w:r w:rsidRPr="00B74B6E">
        <w:rPr>
          <w:rFonts w:cs="Times New Roman"/>
          <w:i/>
          <w:szCs w:val="24"/>
        </w:rPr>
        <w:t>nitative</w:t>
      </w:r>
      <w:r w:rsidRPr="00B9000F">
        <w:rPr>
          <w:rFonts w:cs="Times New Roman"/>
          <w:szCs w:val="24"/>
        </w:rPr>
        <w:t xml:space="preserve">. </w:t>
      </w:r>
      <w:r w:rsidRPr="00B74B6E">
        <w:rPr>
          <w:rFonts w:cs="Times New Roman"/>
          <w:szCs w:val="24"/>
        </w:rPr>
        <w:t>Sheffield</w:t>
      </w:r>
      <w:r w:rsidRPr="003D2890">
        <w:rPr>
          <w:rFonts w:cs="Times New Roman"/>
          <w:szCs w:val="24"/>
        </w:rPr>
        <w:t>:</w:t>
      </w:r>
      <w:r>
        <w:rPr>
          <w:rFonts w:cs="Times New Roman"/>
          <w:szCs w:val="24"/>
        </w:rPr>
        <w:t xml:space="preserve"> </w:t>
      </w:r>
      <w:r w:rsidRPr="00B9000F">
        <w:rPr>
          <w:rFonts w:cs="Times New Roman"/>
          <w:szCs w:val="24"/>
        </w:rPr>
        <w:t>Greenleaf Publishing.</w:t>
      </w:r>
    </w:p>
    <w:p w14:paraId="6E7A8C05" w14:textId="23E347F6" w:rsidR="005A4AF1" w:rsidRDefault="005A4AF1" w:rsidP="00AB7A47">
      <w:pPr>
        <w:autoSpaceDE w:val="0"/>
        <w:autoSpaceDN w:val="0"/>
        <w:adjustRightInd w:val="0"/>
        <w:ind w:left="284" w:hanging="294"/>
        <w:jc w:val="left"/>
        <w:rPr>
          <w:rFonts w:cs="Times New Roman"/>
        </w:rPr>
      </w:pPr>
      <w:r>
        <w:rPr>
          <w:rFonts w:cs="Times New Roman"/>
        </w:rPr>
        <w:t>Rich, E., and</w:t>
      </w:r>
      <w:r w:rsidRPr="00B9000F">
        <w:rPr>
          <w:rFonts w:cs="Times New Roman"/>
        </w:rPr>
        <w:t xml:space="preserve"> </w:t>
      </w:r>
      <w:r>
        <w:rPr>
          <w:rFonts w:cs="Times New Roman"/>
        </w:rPr>
        <w:t>T.</w:t>
      </w:r>
      <w:r w:rsidRPr="00B9000F">
        <w:rPr>
          <w:rFonts w:cs="Times New Roman"/>
        </w:rPr>
        <w:t xml:space="preserve">N. Warner (2012). Addressing the roots of Liberia’s conflict through the Extractive Industries Transparency Initiative. </w:t>
      </w:r>
      <w:r>
        <w:rPr>
          <w:rFonts w:cs="Times New Roman"/>
        </w:rPr>
        <w:t>I</w:t>
      </w:r>
      <w:r w:rsidRPr="00B9000F">
        <w:rPr>
          <w:rFonts w:cs="Times New Roman"/>
        </w:rPr>
        <w:t xml:space="preserve">n </w:t>
      </w:r>
      <w:r w:rsidRPr="00B74B6E">
        <w:rPr>
          <w:rFonts w:cs="Times New Roman"/>
          <w:i/>
        </w:rPr>
        <w:t>High-Value Natural Resources and Peacebuilding</w:t>
      </w:r>
      <w:r w:rsidRPr="00B9000F">
        <w:rPr>
          <w:rFonts w:cs="Times New Roman"/>
        </w:rPr>
        <w:t xml:space="preserve">, P. Lujala and S.A. Rustad, Editors. </w:t>
      </w:r>
      <w:r>
        <w:rPr>
          <w:rFonts w:cs="Times New Roman"/>
        </w:rPr>
        <w:t xml:space="preserve">London: </w:t>
      </w:r>
      <w:r w:rsidR="00687BE7">
        <w:rPr>
          <w:rFonts w:cs="Times New Roman"/>
        </w:rPr>
        <w:t>Routledge</w:t>
      </w:r>
      <w:r w:rsidRPr="00B9000F">
        <w:rPr>
          <w:rFonts w:cs="Times New Roman"/>
        </w:rPr>
        <w:t>.</w:t>
      </w:r>
    </w:p>
    <w:p w14:paraId="19AB1514" w14:textId="2957550A" w:rsidR="006B5980" w:rsidRPr="00B9000F" w:rsidRDefault="006B5980" w:rsidP="00AB7A47">
      <w:pPr>
        <w:autoSpaceDE w:val="0"/>
        <w:autoSpaceDN w:val="0"/>
        <w:adjustRightInd w:val="0"/>
        <w:ind w:left="284" w:hanging="294"/>
        <w:jc w:val="left"/>
        <w:rPr>
          <w:rFonts w:cs="Times New Roman"/>
        </w:rPr>
      </w:pPr>
      <w:r w:rsidRPr="006B5980">
        <w:rPr>
          <w:rFonts w:cs="Times New Roman"/>
        </w:rPr>
        <w:t xml:space="preserve">Ross, M. L. (1999). The political economy of the resource curse. </w:t>
      </w:r>
      <w:r w:rsidRPr="006B5980">
        <w:rPr>
          <w:rFonts w:cs="Times New Roman"/>
          <w:i/>
          <w:iCs/>
        </w:rPr>
        <w:t>World politics</w:t>
      </w:r>
      <w:r>
        <w:rPr>
          <w:rFonts w:cs="Times New Roman"/>
        </w:rPr>
        <w:t>.</w:t>
      </w:r>
      <w:r w:rsidRPr="006B5980">
        <w:rPr>
          <w:rFonts w:cs="Times New Roman"/>
        </w:rPr>
        <w:t xml:space="preserve"> </w:t>
      </w:r>
      <w:r w:rsidRPr="00B93C68">
        <w:rPr>
          <w:rFonts w:cs="Times New Roman"/>
          <w:iCs/>
        </w:rPr>
        <w:t>51</w:t>
      </w:r>
      <w:r>
        <w:rPr>
          <w:rFonts w:cs="Times New Roman"/>
        </w:rPr>
        <w:t>:</w:t>
      </w:r>
      <w:r w:rsidRPr="006B5980">
        <w:rPr>
          <w:rFonts w:cs="Times New Roman"/>
        </w:rPr>
        <w:t xml:space="preserve"> 297-322.</w:t>
      </w:r>
    </w:p>
    <w:p w14:paraId="6E5A8ED4" w14:textId="65257F44" w:rsidR="005A4AF1" w:rsidRPr="003F6F7F" w:rsidRDefault="005A4AF1" w:rsidP="00AB7A47">
      <w:pPr>
        <w:autoSpaceDE w:val="0"/>
        <w:autoSpaceDN w:val="0"/>
        <w:adjustRightInd w:val="0"/>
        <w:ind w:left="284" w:hanging="294"/>
        <w:jc w:val="left"/>
        <w:rPr>
          <w:rFonts w:cs="Times New Roman"/>
          <w:szCs w:val="24"/>
        </w:rPr>
      </w:pPr>
      <w:r w:rsidRPr="001233E7">
        <w:rPr>
          <w:rFonts w:cs="Times New Roman"/>
          <w:szCs w:val="24"/>
        </w:rPr>
        <w:lastRenderedPageBreak/>
        <w:t xml:space="preserve">Scanteam </w:t>
      </w:r>
      <w:r>
        <w:rPr>
          <w:rFonts w:cs="Times New Roman"/>
          <w:szCs w:val="24"/>
        </w:rPr>
        <w:t>(</w:t>
      </w:r>
      <w:r w:rsidRPr="001233E7">
        <w:rPr>
          <w:rFonts w:cs="Times New Roman"/>
          <w:szCs w:val="24"/>
        </w:rPr>
        <w:t>2011</w:t>
      </w:r>
      <w:r>
        <w:rPr>
          <w:rFonts w:cs="Times New Roman"/>
          <w:szCs w:val="24"/>
        </w:rPr>
        <w:t>)</w:t>
      </w:r>
      <w:r w:rsidRPr="001233E7">
        <w:rPr>
          <w:rFonts w:cs="Times New Roman"/>
          <w:szCs w:val="24"/>
        </w:rPr>
        <w:t xml:space="preserve">. Achievements and Strategic Options: Evaluation of the Extractive Industry Transparency Initiative. </w:t>
      </w:r>
      <w:r w:rsidRPr="003F6F7F">
        <w:rPr>
          <w:rFonts w:cs="Times New Roman"/>
          <w:szCs w:val="24"/>
        </w:rPr>
        <w:t xml:space="preserve">Oslo. </w:t>
      </w:r>
      <w:r>
        <w:rPr>
          <w:rFonts w:cs="Times New Roman"/>
          <w:szCs w:val="24"/>
        </w:rPr>
        <w:t xml:space="preserve">Accessed 30 June 2016 at </w:t>
      </w:r>
      <w:hyperlink r:id="rId39" w:history="1">
        <w:r w:rsidRPr="003F6F7F">
          <w:rPr>
            <w:rStyle w:val="Hyperlink"/>
            <w:rFonts w:cs="Times New Roman"/>
            <w:szCs w:val="24"/>
          </w:rPr>
          <w:t>https://eiti.org/files/2011-EITI-evaluation-report.pdf</w:t>
        </w:r>
      </w:hyperlink>
    </w:p>
    <w:p w14:paraId="23265454" w14:textId="6A90351C" w:rsidR="005A4AF1" w:rsidRDefault="005A4AF1" w:rsidP="00AB7A47">
      <w:pPr>
        <w:autoSpaceDE w:val="0"/>
        <w:autoSpaceDN w:val="0"/>
        <w:adjustRightInd w:val="0"/>
        <w:ind w:left="284" w:hanging="294"/>
        <w:jc w:val="left"/>
        <w:rPr>
          <w:rFonts w:cs="Times New Roman"/>
        </w:rPr>
      </w:pPr>
      <w:r w:rsidRPr="003F6F7F">
        <w:rPr>
          <w:rFonts w:cs="Times New Roman"/>
        </w:rPr>
        <w:t xml:space="preserve">Schmaljohann, M. (2013). </w:t>
      </w:r>
      <w:r w:rsidRPr="00635AB3">
        <w:rPr>
          <w:rFonts w:cs="Times New Roman"/>
        </w:rPr>
        <w:t>Enhancing Foreign Direct Investment via Transparency? Evaluating the Effects of the EITI on FDI</w:t>
      </w:r>
      <w:r>
        <w:rPr>
          <w:rFonts w:cs="Times New Roman"/>
        </w:rPr>
        <w:t xml:space="preserve">. University of Heidelberg. </w:t>
      </w:r>
      <w:r w:rsidRPr="00B9000F">
        <w:rPr>
          <w:rFonts w:cs="Times New Roman"/>
          <w:i/>
        </w:rPr>
        <w:t>Discussion Paper Series</w:t>
      </w:r>
      <w:r>
        <w:rPr>
          <w:rFonts w:cs="Times New Roman"/>
        </w:rPr>
        <w:t xml:space="preserve"> No. 538. </w:t>
      </w:r>
      <w:r>
        <w:rPr>
          <w:rFonts w:cs="Times New Roman"/>
          <w:szCs w:val="24"/>
        </w:rPr>
        <w:t xml:space="preserve">Accessed 30 June 2016 at </w:t>
      </w:r>
      <w:hyperlink r:id="rId40" w:history="1">
        <w:r w:rsidRPr="003A6294">
          <w:rPr>
            <w:rStyle w:val="Hyperlink"/>
            <w:rFonts w:cs="Times New Roman"/>
          </w:rPr>
          <w:t>https://eiti.org/files/Schmaljohann_2013_dp538.pdf</w:t>
        </w:r>
      </w:hyperlink>
    </w:p>
    <w:p w14:paraId="107DD0FE" w14:textId="3952521B" w:rsidR="005A4AF1" w:rsidRPr="001233E7" w:rsidRDefault="005A4AF1" w:rsidP="00AB7A47">
      <w:pPr>
        <w:autoSpaceDE w:val="0"/>
        <w:autoSpaceDN w:val="0"/>
        <w:adjustRightInd w:val="0"/>
        <w:ind w:left="284" w:hanging="294"/>
        <w:jc w:val="left"/>
        <w:rPr>
          <w:rFonts w:cs="Times New Roman"/>
          <w:szCs w:val="24"/>
        </w:rPr>
      </w:pPr>
      <w:r>
        <w:rPr>
          <w:rFonts w:cs="Times New Roman"/>
          <w:szCs w:val="24"/>
        </w:rPr>
        <w:t>Shaxson,</w:t>
      </w:r>
      <w:r w:rsidRPr="001233E7">
        <w:rPr>
          <w:rFonts w:cs="Times New Roman"/>
          <w:szCs w:val="24"/>
        </w:rPr>
        <w:t xml:space="preserve"> N. </w:t>
      </w:r>
      <w:r>
        <w:rPr>
          <w:rFonts w:cs="Times New Roman"/>
          <w:szCs w:val="24"/>
        </w:rPr>
        <w:t>(</w:t>
      </w:r>
      <w:r w:rsidRPr="001233E7">
        <w:rPr>
          <w:rFonts w:cs="Times New Roman"/>
          <w:szCs w:val="24"/>
        </w:rPr>
        <w:t>2009</w:t>
      </w:r>
      <w:r>
        <w:rPr>
          <w:rFonts w:cs="Times New Roman"/>
          <w:szCs w:val="24"/>
        </w:rPr>
        <w:t>)</w:t>
      </w:r>
      <w:r w:rsidRPr="001233E7">
        <w:rPr>
          <w:rFonts w:cs="Times New Roman"/>
          <w:szCs w:val="24"/>
        </w:rPr>
        <w:t>. Nigeria’s Extractive Industry Transparency Initiative. Just a Glorious Audit? Chatham House Report.</w:t>
      </w:r>
      <w:r>
        <w:rPr>
          <w:rFonts w:cs="Times New Roman"/>
          <w:szCs w:val="24"/>
        </w:rPr>
        <w:t xml:space="preserve"> Accessed 30 June 2016 at </w:t>
      </w:r>
      <w:hyperlink r:id="rId41" w:history="1">
        <w:r w:rsidRPr="00B04CE9">
          <w:rPr>
            <w:rStyle w:val="Hyperlink"/>
            <w:rFonts w:cs="Times New Roman"/>
            <w:szCs w:val="24"/>
          </w:rPr>
          <w:t>https://eiti.org/document/shaxson-neiti-glorious-audit</w:t>
        </w:r>
      </w:hyperlink>
    </w:p>
    <w:p w14:paraId="45C755C6" w14:textId="2624B4F8" w:rsidR="005A4AF1" w:rsidRPr="001233E7" w:rsidRDefault="005A4AF1" w:rsidP="00AB7A47">
      <w:pPr>
        <w:autoSpaceDE w:val="0"/>
        <w:autoSpaceDN w:val="0"/>
        <w:adjustRightInd w:val="0"/>
        <w:ind w:left="284" w:hanging="294"/>
        <w:jc w:val="left"/>
        <w:rPr>
          <w:rFonts w:cs="Times New Roman"/>
          <w:szCs w:val="24"/>
        </w:rPr>
      </w:pPr>
      <w:r w:rsidRPr="001233E7">
        <w:rPr>
          <w:rFonts w:cs="Times New Roman"/>
          <w:szCs w:val="24"/>
        </w:rPr>
        <w:t xml:space="preserve">Smith, S.M., D. Shepherd and P. Dorward </w:t>
      </w:r>
      <w:r>
        <w:rPr>
          <w:rFonts w:cs="Times New Roman"/>
          <w:szCs w:val="24"/>
        </w:rPr>
        <w:t>(</w:t>
      </w:r>
      <w:r w:rsidRPr="001233E7">
        <w:rPr>
          <w:rFonts w:cs="Times New Roman"/>
          <w:szCs w:val="24"/>
        </w:rPr>
        <w:t>2012</w:t>
      </w:r>
      <w:r>
        <w:rPr>
          <w:rFonts w:cs="Times New Roman"/>
          <w:szCs w:val="24"/>
        </w:rPr>
        <w:t>)</w:t>
      </w:r>
      <w:r w:rsidRPr="001233E7">
        <w:rPr>
          <w:rFonts w:cs="Times New Roman"/>
          <w:szCs w:val="24"/>
        </w:rPr>
        <w:t xml:space="preserve">. Perspectives on community representation within the Extractive Industries Transparency Initiative: Experiences from south-east Madagascar. </w:t>
      </w:r>
      <w:r w:rsidRPr="00B9000F">
        <w:rPr>
          <w:rFonts w:cs="Times New Roman"/>
          <w:i/>
          <w:szCs w:val="24"/>
        </w:rPr>
        <w:t>Resource</w:t>
      </w:r>
      <w:r>
        <w:rPr>
          <w:rFonts w:cs="Times New Roman"/>
          <w:i/>
          <w:szCs w:val="24"/>
        </w:rPr>
        <w:t>s</w:t>
      </w:r>
      <w:r w:rsidRPr="00B9000F">
        <w:rPr>
          <w:rFonts w:cs="Times New Roman"/>
          <w:i/>
          <w:szCs w:val="24"/>
        </w:rPr>
        <w:t xml:space="preserve"> Policy</w:t>
      </w:r>
      <w:r>
        <w:rPr>
          <w:rFonts w:cs="Times New Roman"/>
          <w:szCs w:val="24"/>
        </w:rPr>
        <w:t>.</w:t>
      </w:r>
      <w:r w:rsidRPr="001233E7">
        <w:rPr>
          <w:rFonts w:cs="Times New Roman"/>
          <w:szCs w:val="24"/>
        </w:rPr>
        <w:t xml:space="preserve"> 37: 241-250</w:t>
      </w:r>
      <w:r>
        <w:rPr>
          <w:rFonts w:cs="Times New Roman"/>
          <w:szCs w:val="24"/>
        </w:rPr>
        <w:t xml:space="preserve">. </w:t>
      </w:r>
      <w:hyperlink r:id="rId42" w:tgtFrame="_blank" w:history="1">
        <w:r>
          <w:rPr>
            <w:rStyle w:val="Hyperlink"/>
          </w:rPr>
          <w:t>http://dx.doi.org/10.1016/j.resourpol.2011.01.001</w:t>
        </w:r>
      </w:hyperlink>
    </w:p>
    <w:p w14:paraId="0B325AEF" w14:textId="693F5BCB" w:rsidR="005A4AF1" w:rsidRPr="001233E7" w:rsidRDefault="005A4AF1" w:rsidP="00AB7A47">
      <w:pPr>
        <w:autoSpaceDE w:val="0"/>
        <w:autoSpaceDN w:val="0"/>
        <w:adjustRightInd w:val="0"/>
        <w:ind w:left="284" w:hanging="294"/>
        <w:jc w:val="left"/>
        <w:rPr>
          <w:rFonts w:cs="Times New Roman"/>
          <w:szCs w:val="24"/>
        </w:rPr>
      </w:pPr>
      <w:r w:rsidRPr="001233E7">
        <w:rPr>
          <w:rFonts w:cs="Times New Roman"/>
          <w:szCs w:val="24"/>
        </w:rPr>
        <w:t xml:space="preserve">Søreide, T. and R. Truex </w:t>
      </w:r>
      <w:r>
        <w:rPr>
          <w:rFonts w:cs="Times New Roman"/>
          <w:szCs w:val="24"/>
        </w:rPr>
        <w:t>(</w:t>
      </w:r>
      <w:r w:rsidRPr="001233E7">
        <w:rPr>
          <w:rFonts w:cs="Times New Roman"/>
          <w:szCs w:val="24"/>
        </w:rPr>
        <w:t>2013</w:t>
      </w:r>
      <w:r>
        <w:rPr>
          <w:rFonts w:cs="Times New Roman"/>
          <w:szCs w:val="24"/>
        </w:rPr>
        <w:t>)</w:t>
      </w:r>
      <w:r w:rsidRPr="001233E7">
        <w:rPr>
          <w:rFonts w:cs="Times New Roman"/>
          <w:szCs w:val="24"/>
        </w:rPr>
        <w:t xml:space="preserve">. Multi-stakeholder Groups for Better Sector Performance: A Key to Fighting Corruption in Natural-Resource Governance?  </w:t>
      </w:r>
      <w:r w:rsidRPr="00B9000F">
        <w:rPr>
          <w:rFonts w:cs="Times New Roman"/>
          <w:i/>
          <w:szCs w:val="24"/>
        </w:rPr>
        <w:t>Development Policy Review</w:t>
      </w:r>
      <w:r>
        <w:rPr>
          <w:rFonts w:cs="Times New Roman"/>
          <w:szCs w:val="24"/>
        </w:rPr>
        <w:t>.</w:t>
      </w:r>
      <w:r w:rsidRPr="001233E7">
        <w:rPr>
          <w:rFonts w:cs="Times New Roman"/>
          <w:szCs w:val="24"/>
        </w:rPr>
        <w:t xml:space="preserve"> 31: 203-217</w:t>
      </w:r>
      <w:r>
        <w:rPr>
          <w:rFonts w:cs="Times New Roman"/>
          <w:szCs w:val="24"/>
        </w:rPr>
        <w:t xml:space="preserve">. </w:t>
      </w:r>
      <w:hyperlink r:id="rId43" w:tgtFrame="_blank" w:history="1">
        <w:r>
          <w:rPr>
            <w:rStyle w:val="Hyperlink"/>
          </w:rPr>
          <w:t>http://dx.doi.org/10.1111/dpr.12003</w:t>
        </w:r>
      </w:hyperlink>
    </w:p>
    <w:p w14:paraId="25D739AC" w14:textId="3EB16272" w:rsidR="005A4AF1" w:rsidRDefault="005A4AF1" w:rsidP="00AB7A47">
      <w:pPr>
        <w:autoSpaceDE w:val="0"/>
        <w:autoSpaceDN w:val="0"/>
        <w:adjustRightInd w:val="0"/>
        <w:ind w:left="284" w:hanging="294"/>
        <w:jc w:val="left"/>
        <w:rPr>
          <w:rFonts w:cs="Times New Roman"/>
          <w:szCs w:val="24"/>
        </w:rPr>
      </w:pPr>
      <w:r w:rsidRPr="001233E7">
        <w:rPr>
          <w:rFonts w:cs="Times New Roman"/>
          <w:szCs w:val="24"/>
        </w:rPr>
        <w:t>Sovacool B., N. Andrews (2015)</w:t>
      </w:r>
      <w:r>
        <w:rPr>
          <w:rFonts w:cs="Times New Roman"/>
          <w:szCs w:val="24"/>
        </w:rPr>
        <w:t>.</w:t>
      </w:r>
      <w:r w:rsidRPr="001233E7">
        <w:rPr>
          <w:rFonts w:cs="Times New Roman"/>
          <w:szCs w:val="24"/>
        </w:rPr>
        <w:t xml:space="preserve"> </w:t>
      </w:r>
      <w:r w:rsidRPr="00B9000F">
        <w:rPr>
          <w:rFonts w:cs="Times New Roman"/>
          <w:szCs w:val="24"/>
        </w:rPr>
        <w:t>Does transparency matter? Evaluating the governance impacts of the Extractive Industries Transparency Initiative (EITI) in Azerbaijan and Liberia</w:t>
      </w:r>
      <w:r>
        <w:rPr>
          <w:rFonts w:cs="Times New Roman"/>
          <w:szCs w:val="24"/>
        </w:rPr>
        <w:t xml:space="preserve">. </w:t>
      </w:r>
      <w:r w:rsidRPr="00B9000F">
        <w:rPr>
          <w:rFonts w:cs="Times New Roman"/>
          <w:i/>
          <w:szCs w:val="24"/>
        </w:rPr>
        <w:t>Resources Policy</w:t>
      </w:r>
      <w:r>
        <w:rPr>
          <w:rFonts w:cs="Times New Roman"/>
          <w:szCs w:val="24"/>
        </w:rPr>
        <w:t>.</w:t>
      </w:r>
      <w:r w:rsidRPr="001233E7">
        <w:rPr>
          <w:rFonts w:cs="Times New Roman"/>
          <w:szCs w:val="24"/>
        </w:rPr>
        <w:t xml:space="preserve"> 45</w:t>
      </w:r>
      <w:r>
        <w:rPr>
          <w:rFonts w:cs="Times New Roman"/>
          <w:szCs w:val="24"/>
        </w:rPr>
        <w:t>:</w:t>
      </w:r>
      <w:r w:rsidRPr="001233E7">
        <w:rPr>
          <w:rFonts w:cs="Times New Roman"/>
          <w:szCs w:val="24"/>
        </w:rPr>
        <w:t xml:space="preserve"> 183–192</w:t>
      </w:r>
      <w:r>
        <w:rPr>
          <w:rFonts w:cs="Times New Roman"/>
          <w:szCs w:val="24"/>
        </w:rPr>
        <w:t xml:space="preserve">. </w:t>
      </w:r>
      <w:hyperlink r:id="rId44" w:tgtFrame="_blank" w:history="1">
        <w:r>
          <w:rPr>
            <w:rStyle w:val="Hyperlink"/>
          </w:rPr>
          <w:t>http://dx.doi.org/10.1016/j.resourpol.2015.04.003</w:t>
        </w:r>
      </w:hyperlink>
    </w:p>
    <w:p w14:paraId="4CCC53D3" w14:textId="361A983D" w:rsidR="005A4AF1" w:rsidRPr="001233E7" w:rsidRDefault="005A4AF1" w:rsidP="00AB7A47">
      <w:pPr>
        <w:autoSpaceDE w:val="0"/>
        <w:autoSpaceDN w:val="0"/>
        <w:adjustRightInd w:val="0"/>
        <w:ind w:left="284" w:hanging="294"/>
        <w:jc w:val="left"/>
        <w:rPr>
          <w:rFonts w:cs="Times New Roman"/>
          <w:szCs w:val="24"/>
        </w:rPr>
      </w:pPr>
      <w:r w:rsidRPr="00B74B6E">
        <w:rPr>
          <w:rFonts w:cs="Times New Roman"/>
          <w:szCs w:val="24"/>
        </w:rPr>
        <w:t xml:space="preserve">Sovacool, B. K., </w:t>
      </w:r>
      <w:r>
        <w:rPr>
          <w:rFonts w:cs="Times New Roman"/>
          <w:szCs w:val="24"/>
        </w:rPr>
        <w:t xml:space="preserve">G. </w:t>
      </w:r>
      <w:r w:rsidRPr="00B74B6E">
        <w:rPr>
          <w:rFonts w:cs="Times New Roman"/>
          <w:szCs w:val="24"/>
        </w:rPr>
        <w:t xml:space="preserve">Walter, </w:t>
      </w:r>
      <w:r>
        <w:rPr>
          <w:rFonts w:cs="Times New Roman"/>
          <w:szCs w:val="24"/>
        </w:rPr>
        <w:t xml:space="preserve">T. </w:t>
      </w:r>
      <w:r w:rsidRPr="00B74B6E">
        <w:rPr>
          <w:rFonts w:cs="Times New Roman"/>
          <w:szCs w:val="24"/>
        </w:rPr>
        <w:t>Van de Graaf</w:t>
      </w:r>
      <w:r>
        <w:rPr>
          <w:rFonts w:cs="Times New Roman"/>
          <w:szCs w:val="24"/>
        </w:rPr>
        <w:t xml:space="preserve"> </w:t>
      </w:r>
      <w:r w:rsidRPr="00B74B6E">
        <w:rPr>
          <w:rFonts w:cs="Times New Roman"/>
          <w:szCs w:val="24"/>
        </w:rPr>
        <w:t xml:space="preserve">and </w:t>
      </w:r>
      <w:r>
        <w:rPr>
          <w:rFonts w:cs="Times New Roman"/>
          <w:szCs w:val="24"/>
        </w:rPr>
        <w:t xml:space="preserve">N. </w:t>
      </w:r>
      <w:r w:rsidRPr="00B74B6E">
        <w:rPr>
          <w:rFonts w:cs="Times New Roman"/>
          <w:szCs w:val="24"/>
        </w:rPr>
        <w:t xml:space="preserve">Andrews (2016). </w:t>
      </w:r>
      <w:r w:rsidRPr="00C30A9B">
        <w:rPr>
          <w:rFonts w:cs="Times New Roman"/>
          <w:szCs w:val="24"/>
        </w:rPr>
        <w:t xml:space="preserve">Energy Governance, Transnational Rules, and the Resource Curse: Exploring the Effectiveness of the Extractive Industries Transparency Initiative (EITI). </w:t>
      </w:r>
      <w:r w:rsidRPr="00C30A9B">
        <w:rPr>
          <w:rFonts w:cs="Times New Roman"/>
          <w:i/>
          <w:iCs/>
          <w:szCs w:val="24"/>
        </w:rPr>
        <w:t>World Development</w:t>
      </w:r>
      <w:r w:rsidRPr="00C30A9B">
        <w:rPr>
          <w:rFonts w:cs="Times New Roman"/>
          <w:szCs w:val="24"/>
        </w:rPr>
        <w:t>.</w:t>
      </w:r>
      <w:r>
        <w:rPr>
          <w:rFonts w:cs="Times New Roman"/>
          <w:szCs w:val="24"/>
        </w:rPr>
        <w:t xml:space="preserve"> 83: 179-192. </w:t>
      </w:r>
      <w:hyperlink r:id="rId45" w:tgtFrame="_blank" w:history="1">
        <w:r>
          <w:rPr>
            <w:rStyle w:val="Hyperlink"/>
          </w:rPr>
          <w:t>http://dx.doi.org/10.1016/j.worlddev.2016.01.021</w:t>
        </w:r>
      </w:hyperlink>
    </w:p>
    <w:p w14:paraId="49AB1787" w14:textId="2E8EDABB" w:rsidR="00BF0A7D" w:rsidRDefault="00BF0A7D" w:rsidP="00AB7A47">
      <w:pPr>
        <w:autoSpaceDE w:val="0"/>
        <w:autoSpaceDN w:val="0"/>
        <w:adjustRightInd w:val="0"/>
        <w:ind w:left="284" w:hanging="294"/>
        <w:jc w:val="left"/>
        <w:rPr>
          <w:rFonts w:cs="Times New Roman"/>
          <w:szCs w:val="24"/>
        </w:rPr>
      </w:pPr>
      <w:r w:rsidRPr="00E050E8">
        <w:rPr>
          <w:rFonts w:cs="Times New Roman"/>
          <w:szCs w:val="24"/>
        </w:rPr>
        <w:t>Spence, M. (2008). The growth report: Strategies for sustained growth and inclusive development. Commission on Growth and Development</w:t>
      </w:r>
      <w:r w:rsidR="003D0F73">
        <w:rPr>
          <w:rFonts w:cs="Times New Roman"/>
          <w:szCs w:val="24"/>
        </w:rPr>
        <w:t>.</w:t>
      </w:r>
      <w:r w:rsidRPr="00E050E8">
        <w:rPr>
          <w:rFonts w:cs="Times New Roman"/>
          <w:szCs w:val="24"/>
        </w:rPr>
        <w:t xml:space="preserve"> Final Report</w:t>
      </w:r>
      <w:r w:rsidR="003D0F73">
        <w:rPr>
          <w:rFonts w:cs="Times New Roman"/>
          <w:szCs w:val="24"/>
        </w:rPr>
        <w:t>.</w:t>
      </w:r>
      <w:r w:rsidRPr="00E050E8">
        <w:rPr>
          <w:rFonts w:cs="Times New Roman"/>
          <w:szCs w:val="24"/>
        </w:rPr>
        <w:t xml:space="preserve"> Washington, DC.</w:t>
      </w:r>
    </w:p>
    <w:p w14:paraId="55B8A569" w14:textId="354F3A6C" w:rsidR="005A4AF1" w:rsidRDefault="005A4AF1" w:rsidP="00AB7A47">
      <w:pPr>
        <w:autoSpaceDE w:val="0"/>
        <w:autoSpaceDN w:val="0"/>
        <w:adjustRightInd w:val="0"/>
        <w:ind w:left="284" w:hanging="294"/>
        <w:jc w:val="left"/>
      </w:pPr>
      <w:r w:rsidRPr="006744B5">
        <w:rPr>
          <w:rFonts w:cs="Times New Roman"/>
          <w:szCs w:val="24"/>
          <w:lang w:val="nb-NO"/>
        </w:rPr>
        <w:t xml:space="preserve">Stein, D., and C. Valters, (2012). </w:t>
      </w:r>
      <w:r w:rsidRPr="001233E7">
        <w:rPr>
          <w:rFonts w:cs="Times New Roman"/>
          <w:szCs w:val="24"/>
        </w:rPr>
        <w:t xml:space="preserve">Understanding “theory of change” in international development: A review of existing knowledge. The Asian Institute and the Justice and Security Research Programme. </w:t>
      </w:r>
      <w:r>
        <w:rPr>
          <w:rFonts w:cs="Times New Roman"/>
          <w:szCs w:val="24"/>
        </w:rPr>
        <w:t xml:space="preserve">Accessed 30 June 2016 at </w:t>
      </w:r>
      <w:hyperlink r:id="rId46" w:history="1">
        <w:r w:rsidRPr="00B04CE9">
          <w:rPr>
            <w:rStyle w:val="Hyperlink"/>
          </w:rPr>
          <w:t>http://r4d.dfid.gov.uk/pdf/outputs/JSRP/ToC_Lit_Review.pdf</w:t>
        </w:r>
      </w:hyperlink>
      <w:r w:rsidRPr="0063030C">
        <w:t xml:space="preserve"> </w:t>
      </w:r>
    </w:p>
    <w:p w14:paraId="27AE8C3B" w14:textId="3B81080B" w:rsidR="005A4AF1" w:rsidRPr="001233E7" w:rsidRDefault="005A4AF1" w:rsidP="00AB7A47">
      <w:pPr>
        <w:autoSpaceDE w:val="0"/>
        <w:autoSpaceDN w:val="0"/>
        <w:adjustRightInd w:val="0"/>
        <w:ind w:left="284" w:hanging="294"/>
        <w:jc w:val="left"/>
        <w:rPr>
          <w:rFonts w:cs="Times New Roman"/>
          <w:szCs w:val="24"/>
        </w:rPr>
      </w:pPr>
      <w:r w:rsidRPr="001233E7">
        <w:rPr>
          <w:rFonts w:cs="Times New Roman"/>
          <w:szCs w:val="24"/>
        </w:rPr>
        <w:t>Sture</w:t>
      </w:r>
      <w:r>
        <w:rPr>
          <w:rFonts w:cs="Times New Roman"/>
          <w:szCs w:val="24"/>
        </w:rPr>
        <w:t xml:space="preserve">sson, A. and T. Zobel (2015). </w:t>
      </w:r>
      <w:r w:rsidRPr="001233E7">
        <w:rPr>
          <w:rFonts w:cs="Times New Roman"/>
          <w:szCs w:val="24"/>
        </w:rPr>
        <w:t>The Extractive Industries Transparency Initiative (EITI) in Uganda: Who will take the lea</w:t>
      </w:r>
      <w:r>
        <w:rPr>
          <w:rFonts w:cs="Times New Roman"/>
          <w:szCs w:val="24"/>
        </w:rPr>
        <w:t>d when the government falters?</w:t>
      </w:r>
      <w:r w:rsidRPr="001233E7">
        <w:rPr>
          <w:rFonts w:cs="Times New Roman"/>
          <w:szCs w:val="24"/>
        </w:rPr>
        <w:t xml:space="preserve"> </w:t>
      </w:r>
      <w:r w:rsidRPr="001233E7">
        <w:rPr>
          <w:rFonts w:cs="Times New Roman"/>
          <w:i/>
          <w:iCs/>
          <w:szCs w:val="24"/>
        </w:rPr>
        <w:t>The Extractive Industries and Society</w:t>
      </w:r>
      <w:r w:rsidRPr="001233E7">
        <w:rPr>
          <w:rFonts w:cs="Times New Roman"/>
          <w:szCs w:val="24"/>
        </w:rPr>
        <w:t xml:space="preserve"> </w:t>
      </w:r>
      <w:r w:rsidRPr="003D2890">
        <w:rPr>
          <w:rFonts w:cs="Times New Roman"/>
          <w:szCs w:val="24"/>
        </w:rPr>
        <w:t>2</w:t>
      </w:r>
      <w:r w:rsidRPr="00B74B6E">
        <w:rPr>
          <w:rFonts w:cs="Times New Roman"/>
          <w:szCs w:val="24"/>
        </w:rPr>
        <w:t>:</w:t>
      </w:r>
      <w:r w:rsidRPr="001233E7">
        <w:rPr>
          <w:rFonts w:cs="Times New Roman"/>
          <w:szCs w:val="24"/>
        </w:rPr>
        <w:t xml:space="preserve"> 33-45.</w:t>
      </w:r>
      <w:r>
        <w:rPr>
          <w:rFonts w:cs="Times New Roman"/>
          <w:szCs w:val="24"/>
        </w:rPr>
        <w:t xml:space="preserve"> </w:t>
      </w:r>
      <w:hyperlink r:id="rId47" w:tgtFrame="_blank" w:history="1">
        <w:r>
          <w:rPr>
            <w:rStyle w:val="Hyperlink"/>
          </w:rPr>
          <w:t>http://dx.doi.org/10.1016/j.exis.2014.11.006</w:t>
        </w:r>
      </w:hyperlink>
    </w:p>
    <w:p w14:paraId="20B9A472" w14:textId="77777777" w:rsidR="002D6178" w:rsidRDefault="00F7584E" w:rsidP="00AB7A47">
      <w:pPr>
        <w:autoSpaceDE w:val="0"/>
        <w:autoSpaceDN w:val="0"/>
        <w:adjustRightInd w:val="0"/>
        <w:ind w:left="284" w:hanging="294"/>
        <w:jc w:val="left"/>
        <w:rPr>
          <w:rFonts w:cs="Times New Roman"/>
        </w:rPr>
      </w:pPr>
      <w:r w:rsidRPr="00E050E8">
        <w:rPr>
          <w:rFonts w:cs="Times New Roman"/>
        </w:rPr>
        <w:t xml:space="preserve">Weiss, T. G. (2000). Governance, good governance and global governance: conceptual and actual challenges. </w:t>
      </w:r>
      <w:r w:rsidRPr="00E050E8">
        <w:rPr>
          <w:rFonts w:cs="Times New Roman"/>
          <w:i/>
          <w:iCs/>
        </w:rPr>
        <w:t>Third world quarterly</w:t>
      </w:r>
      <w:r w:rsidRPr="00E050E8">
        <w:rPr>
          <w:rFonts w:cs="Times New Roman"/>
        </w:rPr>
        <w:t xml:space="preserve">. </w:t>
      </w:r>
      <w:r w:rsidRPr="00E050E8">
        <w:rPr>
          <w:rFonts w:cs="Times New Roman"/>
          <w:iCs/>
        </w:rPr>
        <w:t>21</w:t>
      </w:r>
      <w:r w:rsidRPr="00E050E8">
        <w:rPr>
          <w:rFonts w:cs="Times New Roman"/>
        </w:rPr>
        <w:t>: 795-814.</w:t>
      </w:r>
    </w:p>
    <w:p w14:paraId="06438DF9" w14:textId="61DE684D" w:rsidR="00F7584E" w:rsidRDefault="002D6178" w:rsidP="00AB7A47">
      <w:pPr>
        <w:autoSpaceDE w:val="0"/>
        <w:autoSpaceDN w:val="0"/>
        <w:adjustRightInd w:val="0"/>
        <w:ind w:left="284" w:hanging="294"/>
        <w:jc w:val="left"/>
        <w:rPr>
          <w:rFonts w:cs="Times New Roman"/>
        </w:rPr>
      </w:pPr>
      <w:r>
        <w:rPr>
          <w:rFonts w:cs="Times New Roman"/>
        </w:rPr>
        <w:t xml:space="preserve">Williams, </w:t>
      </w:r>
      <w:r w:rsidR="00AB7A47">
        <w:rPr>
          <w:rFonts w:cs="Times New Roman"/>
        </w:rPr>
        <w:t xml:space="preserve">A. (2011). </w:t>
      </w:r>
      <w:r w:rsidR="00AB7A47" w:rsidRPr="00AB7A47">
        <w:rPr>
          <w:rFonts w:cs="Times New Roman"/>
        </w:rPr>
        <w:t xml:space="preserve">Shining a light on the resource curse: An empirical analysis of the relationship between natural resources, transparency, and economic growth. </w:t>
      </w:r>
      <w:r w:rsidR="00AB7A47" w:rsidRPr="00AB7A47">
        <w:rPr>
          <w:rFonts w:cs="Times New Roman"/>
          <w:i/>
          <w:iCs/>
        </w:rPr>
        <w:t>World Development</w:t>
      </w:r>
      <w:r w:rsidR="00AB7A47" w:rsidRPr="00AB7A47">
        <w:rPr>
          <w:rFonts w:cs="Times New Roman"/>
        </w:rPr>
        <w:t xml:space="preserve">, </w:t>
      </w:r>
      <w:r w:rsidR="00AB7A47" w:rsidRPr="00AB7A47">
        <w:rPr>
          <w:rFonts w:cs="Times New Roman"/>
          <w:i/>
          <w:iCs/>
        </w:rPr>
        <w:t>39</w:t>
      </w:r>
      <w:r w:rsidR="00AB7A47" w:rsidRPr="00AB7A47">
        <w:rPr>
          <w:rFonts w:cs="Times New Roman"/>
        </w:rPr>
        <w:t>(4), 490-505.</w:t>
      </w:r>
    </w:p>
    <w:p w14:paraId="6E467A2A" w14:textId="601E5A6C" w:rsidR="005A4AF1" w:rsidRDefault="005A4AF1" w:rsidP="00AB7A47">
      <w:pPr>
        <w:autoSpaceDE w:val="0"/>
        <w:autoSpaceDN w:val="0"/>
        <w:adjustRightInd w:val="0"/>
        <w:ind w:left="284" w:hanging="294"/>
        <w:jc w:val="left"/>
        <w:rPr>
          <w:rStyle w:val="Hyperlink"/>
          <w:rFonts w:cs="Times New Roman"/>
        </w:rPr>
      </w:pPr>
      <w:r>
        <w:rPr>
          <w:rFonts w:cs="Times New Roman"/>
        </w:rPr>
        <w:t xml:space="preserve">Wilson, E. and J. Van Alestine (2014). Localizing Transparency: Exploring EITI’s contribution to sustainable development. Shaping Sustainable Markets. University of Leeds. </w:t>
      </w:r>
      <w:r>
        <w:rPr>
          <w:rFonts w:cs="Times New Roman"/>
          <w:szCs w:val="24"/>
        </w:rPr>
        <w:t xml:space="preserve">Accessed 30 June 2016 at </w:t>
      </w:r>
      <w:hyperlink r:id="rId48" w:history="1">
        <w:r w:rsidRPr="003A6294">
          <w:rPr>
            <w:rStyle w:val="Hyperlink"/>
            <w:rFonts w:cs="Times New Roman"/>
          </w:rPr>
          <w:t>http://pubs.iied.org/pdfs/16555IIED.pdf</w:t>
        </w:r>
      </w:hyperlink>
    </w:p>
    <w:p w14:paraId="7D305181" w14:textId="77777777" w:rsidR="00383D8B" w:rsidRDefault="00383D8B" w:rsidP="005760BD">
      <w:pPr>
        <w:autoSpaceDE w:val="0"/>
        <w:autoSpaceDN w:val="0"/>
        <w:adjustRightInd w:val="0"/>
        <w:jc w:val="left"/>
        <w:sectPr w:rsidR="00383D8B" w:rsidSect="000E541D">
          <w:footerReference w:type="default" r:id="rId49"/>
          <w:pgSz w:w="12240" w:h="15840" w:code="1"/>
          <w:pgMar w:top="1418" w:right="1418" w:bottom="1418" w:left="1418" w:header="568" w:footer="0" w:gutter="0"/>
          <w:cols w:space="708"/>
          <w:titlePg/>
          <w:docGrid w:linePitch="360"/>
        </w:sectPr>
      </w:pPr>
    </w:p>
    <w:p w14:paraId="00C7D974" w14:textId="77777777" w:rsidR="005760BD" w:rsidRPr="005760BD" w:rsidRDefault="005760BD" w:rsidP="005760BD">
      <w:pPr>
        <w:spacing w:line="240" w:lineRule="auto"/>
        <w:ind w:firstLine="0"/>
        <w:jc w:val="left"/>
        <w:rPr>
          <w:rFonts w:eastAsia="Calibri" w:cs="Times New Roman"/>
          <w:b/>
          <w:sz w:val="32"/>
        </w:rPr>
      </w:pPr>
      <w:r w:rsidRPr="005760BD">
        <w:rPr>
          <w:rFonts w:eastAsia="Calibri" w:cs="Times New Roman"/>
          <w:b/>
          <w:sz w:val="32"/>
        </w:rPr>
        <w:lastRenderedPageBreak/>
        <w:t>Appendix</w:t>
      </w:r>
    </w:p>
    <w:p w14:paraId="0DEDF6FC" w14:textId="5C350827" w:rsidR="005760BD" w:rsidRPr="005760BD" w:rsidRDefault="005760BD" w:rsidP="005760BD">
      <w:pPr>
        <w:spacing w:line="240" w:lineRule="auto"/>
        <w:ind w:firstLine="0"/>
        <w:jc w:val="left"/>
        <w:rPr>
          <w:rFonts w:eastAsia="Calibri" w:cs="Times New Roman"/>
        </w:rPr>
      </w:pPr>
      <w:r w:rsidRPr="005760BD">
        <w:rPr>
          <w:rFonts w:eastAsia="Calibri" w:cs="Times New Roman"/>
        </w:rPr>
        <w:t xml:space="preserve">Summary of studies included in the meta-study according to type, methods, sample, time period, and how they assess the 11 sub-goals identified in the article. An online appendix includes specific supporting statements from each study. </w:t>
      </w:r>
      <w:r w:rsidR="0025703F" w:rsidRPr="00AC103F">
        <w:rPr>
          <w:rFonts w:eastAsia="Calibri" w:cs="Times New Roman"/>
          <w:highlight w:val="yellow"/>
        </w:rPr>
        <w:t>[</w:t>
      </w:r>
      <w:r w:rsidRPr="00AC103F">
        <w:rPr>
          <w:rFonts w:eastAsia="Calibri" w:cs="Times New Roman"/>
          <w:highlight w:val="yellow"/>
        </w:rPr>
        <w:t>ADD URL/LINK UPON PUBLICATION</w:t>
      </w:r>
      <w:r w:rsidR="00AF515E" w:rsidRPr="00AC103F">
        <w:rPr>
          <w:rFonts w:eastAsia="Calibri" w:cs="Times New Roman"/>
          <w:highlight w:val="yellow"/>
        </w:rPr>
        <w:t>]</w:t>
      </w:r>
    </w:p>
    <w:p w14:paraId="7D28CBBB" w14:textId="77777777" w:rsidR="005760BD" w:rsidRPr="005760BD" w:rsidRDefault="005760BD" w:rsidP="005760BD">
      <w:pPr>
        <w:spacing w:line="240" w:lineRule="auto"/>
        <w:ind w:firstLine="0"/>
        <w:jc w:val="left"/>
        <w:rPr>
          <w:rFonts w:eastAsia="Calibri" w:cs="Times New Roman"/>
          <w:i/>
        </w:rPr>
      </w:pPr>
    </w:p>
    <w:p w14:paraId="211CB464" w14:textId="77777777" w:rsidR="005760BD" w:rsidRPr="005760BD" w:rsidRDefault="005760BD" w:rsidP="005760BD">
      <w:pPr>
        <w:spacing w:line="240" w:lineRule="auto"/>
        <w:ind w:firstLine="0"/>
        <w:jc w:val="left"/>
        <w:rPr>
          <w:rFonts w:eastAsia="Calibri" w:cs="Times New Roman"/>
          <w:b/>
          <w:sz w:val="28"/>
        </w:rPr>
      </w:pPr>
      <w:r w:rsidRPr="005760BD">
        <w:rPr>
          <w:rFonts w:eastAsia="Calibri" w:cs="Times New Roman"/>
          <w:b/>
          <w:sz w:val="28"/>
        </w:rPr>
        <w:t>The goals</w:t>
      </w:r>
    </w:p>
    <w:p w14:paraId="65412E54" w14:textId="77777777" w:rsidR="005760BD" w:rsidRPr="005760BD" w:rsidRDefault="005760BD" w:rsidP="005760BD">
      <w:pPr>
        <w:spacing w:line="240" w:lineRule="auto"/>
        <w:ind w:firstLine="0"/>
        <w:jc w:val="left"/>
        <w:rPr>
          <w:rFonts w:eastAsia="Calibri" w:cs="Times New Roman"/>
          <w:b/>
          <w:sz w:val="22"/>
        </w:rPr>
      </w:pPr>
      <w:r w:rsidRPr="005760BD">
        <w:rPr>
          <w:rFonts w:eastAsia="Calibri" w:cs="Times New Roman"/>
          <w:b/>
          <w:sz w:val="22"/>
        </w:rPr>
        <w:t>Institutional goals</w:t>
      </w:r>
    </w:p>
    <w:p w14:paraId="109B29BB" w14:textId="77777777" w:rsidR="005760BD" w:rsidRPr="005760BD" w:rsidRDefault="005760BD" w:rsidP="005760BD">
      <w:pPr>
        <w:spacing w:line="240" w:lineRule="auto"/>
        <w:ind w:firstLine="0"/>
        <w:jc w:val="left"/>
        <w:rPr>
          <w:rFonts w:eastAsia="Calibri" w:cs="Times New Roman"/>
          <w:i/>
          <w:sz w:val="22"/>
        </w:rPr>
      </w:pPr>
      <w:r w:rsidRPr="005760BD">
        <w:rPr>
          <w:rFonts w:eastAsia="Calibri" w:cs="Times New Roman"/>
          <w:i/>
          <w:sz w:val="22"/>
        </w:rPr>
        <w:t>Goal I-1: Brand the EITI globally and nationally</w:t>
      </w:r>
    </w:p>
    <w:p w14:paraId="2B9C9CEA" w14:textId="77777777" w:rsidR="005760BD" w:rsidRPr="005760BD" w:rsidRDefault="005760BD" w:rsidP="005760BD">
      <w:pPr>
        <w:spacing w:line="240" w:lineRule="auto"/>
        <w:ind w:firstLine="0"/>
        <w:jc w:val="left"/>
        <w:rPr>
          <w:rFonts w:eastAsia="Calibri" w:cs="Times New Roman"/>
          <w:i/>
          <w:sz w:val="22"/>
        </w:rPr>
      </w:pPr>
      <w:r w:rsidRPr="005760BD">
        <w:rPr>
          <w:rFonts w:eastAsia="Calibri" w:cs="Times New Roman"/>
          <w:i/>
          <w:sz w:val="22"/>
        </w:rPr>
        <w:t>Goal I-2: Establish (EITI) transparency as a norm globally and nationally</w:t>
      </w:r>
    </w:p>
    <w:p w14:paraId="323C7667" w14:textId="77777777" w:rsidR="005760BD" w:rsidRPr="005760BD" w:rsidRDefault="005760BD" w:rsidP="005760BD">
      <w:pPr>
        <w:spacing w:line="240" w:lineRule="auto"/>
        <w:ind w:firstLine="0"/>
        <w:jc w:val="left"/>
        <w:rPr>
          <w:rFonts w:eastAsia="Calibri" w:cs="Times New Roman"/>
          <w:i/>
          <w:sz w:val="22"/>
        </w:rPr>
      </w:pPr>
      <w:r w:rsidRPr="005760BD">
        <w:rPr>
          <w:rFonts w:eastAsia="Calibri" w:cs="Times New Roman"/>
          <w:i/>
          <w:sz w:val="22"/>
        </w:rPr>
        <w:t>Goal I-3: Increase EITI support, participation, and compliance by governments</w:t>
      </w:r>
    </w:p>
    <w:p w14:paraId="54972C80" w14:textId="77777777" w:rsidR="005760BD" w:rsidRPr="005760BD" w:rsidRDefault="005760BD" w:rsidP="005760BD">
      <w:pPr>
        <w:spacing w:line="240" w:lineRule="auto"/>
        <w:ind w:firstLine="0"/>
        <w:jc w:val="left"/>
        <w:rPr>
          <w:rFonts w:eastAsia="Calibri" w:cs="Times New Roman"/>
          <w:i/>
          <w:sz w:val="22"/>
        </w:rPr>
      </w:pPr>
      <w:r w:rsidRPr="005760BD">
        <w:rPr>
          <w:rFonts w:eastAsia="Calibri" w:cs="Times New Roman"/>
          <w:i/>
          <w:sz w:val="22"/>
        </w:rPr>
        <w:t>Goal I-4: Establish multi-stakeholder groups as the organizational basis and promote multi-stakeholder model of governance</w:t>
      </w:r>
    </w:p>
    <w:p w14:paraId="46931798" w14:textId="77777777" w:rsidR="005760BD" w:rsidRPr="005760BD" w:rsidRDefault="005760BD" w:rsidP="005760BD">
      <w:pPr>
        <w:spacing w:line="240" w:lineRule="auto"/>
        <w:ind w:firstLine="0"/>
        <w:jc w:val="left"/>
        <w:rPr>
          <w:rFonts w:eastAsia="Calibri" w:cs="Times New Roman"/>
          <w:b/>
          <w:sz w:val="22"/>
        </w:rPr>
      </w:pPr>
    </w:p>
    <w:p w14:paraId="13FD0E0B" w14:textId="77777777" w:rsidR="005760BD" w:rsidRPr="005760BD" w:rsidRDefault="005760BD" w:rsidP="005760BD">
      <w:pPr>
        <w:spacing w:line="240" w:lineRule="auto"/>
        <w:ind w:firstLine="0"/>
        <w:jc w:val="left"/>
        <w:rPr>
          <w:rFonts w:eastAsia="Calibri" w:cs="Times New Roman"/>
          <w:b/>
          <w:sz w:val="22"/>
        </w:rPr>
      </w:pPr>
      <w:r w:rsidRPr="005760BD">
        <w:rPr>
          <w:rFonts w:eastAsia="Calibri" w:cs="Times New Roman"/>
          <w:b/>
          <w:sz w:val="22"/>
        </w:rPr>
        <w:t>Operational goals</w:t>
      </w:r>
    </w:p>
    <w:p w14:paraId="6E107E15" w14:textId="77777777" w:rsidR="005760BD" w:rsidRPr="005760BD" w:rsidRDefault="005760BD" w:rsidP="005760BD">
      <w:pPr>
        <w:spacing w:line="240" w:lineRule="auto"/>
        <w:ind w:firstLine="0"/>
        <w:jc w:val="left"/>
        <w:rPr>
          <w:rFonts w:eastAsia="Calibri" w:cs="Times New Roman"/>
          <w:i/>
          <w:sz w:val="22"/>
        </w:rPr>
      </w:pPr>
      <w:r w:rsidRPr="005760BD">
        <w:rPr>
          <w:rFonts w:eastAsia="Calibri" w:cs="Times New Roman"/>
          <w:i/>
          <w:sz w:val="22"/>
        </w:rPr>
        <w:t>Goal O-1: Establish a clear EITI standard</w:t>
      </w:r>
    </w:p>
    <w:p w14:paraId="09C1CD6A" w14:textId="77777777" w:rsidR="005760BD" w:rsidRPr="005760BD" w:rsidRDefault="005760BD" w:rsidP="005760BD">
      <w:pPr>
        <w:spacing w:line="240" w:lineRule="auto"/>
        <w:ind w:firstLine="0"/>
        <w:jc w:val="left"/>
        <w:rPr>
          <w:rFonts w:eastAsia="Calibri" w:cs="Times New Roman"/>
          <w:i/>
          <w:sz w:val="22"/>
        </w:rPr>
      </w:pPr>
      <w:r w:rsidRPr="005760BD">
        <w:rPr>
          <w:rFonts w:eastAsia="Calibri" w:cs="Times New Roman"/>
          <w:i/>
          <w:sz w:val="22"/>
        </w:rPr>
        <w:t>Goal O-2: Increase state capacity to implement the EITI standard and report in timely and comprehensible manner</w:t>
      </w:r>
    </w:p>
    <w:p w14:paraId="6AF210A1" w14:textId="77777777" w:rsidR="005760BD" w:rsidRPr="005760BD" w:rsidRDefault="005760BD" w:rsidP="005760BD">
      <w:pPr>
        <w:spacing w:line="240" w:lineRule="auto"/>
        <w:ind w:firstLine="0"/>
        <w:jc w:val="left"/>
        <w:rPr>
          <w:rFonts w:eastAsia="Calibri" w:cs="Times New Roman"/>
          <w:i/>
          <w:sz w:val="22"/>
        </w:rPr>
      </w:pPr>
      <w:r w:rsidRPr="005760BD">
        <w:rPr>
          <w:rFonts w:eastAsia="Calibri" w:cs="Times New Roman"/>
          <w:i/>
          <w:sz w:val="22"/>
        </w:rPr>
        <w:t>Goal O-3:</w:t>
      </w:r>
      <w:r w:rsidRPr="005760BD">
        <w:rPr>
          <w:rFonts w:eastAsia="Calibri" w:cs="Times New Roman"/>
          <w:sz w:val="22"/>
        </w:rPr>
        <w:t xml:space="preserve"> </w:t>
      </w:r>
      <w:r w:rsidRPr="005760BD">
        <w:rPr>
          <w:rFonts w:eastAsia="Calibri" w:cs="Times New Roman"/>
          <w:i/>
          <w:sz w:val="22"/>
        </w:rPr>
        <w:t>Increase public understanding, debate, and influence of natural resource management</w:t>
      </w:r>
    </w:p>
    <w:p w14:paraId="6374E85F" w14:textId="77777777" w:rsidR="005760BD" w:rsidRPr="005760BD" w:rsidRDefault="005760BD" w:rsidP="005760BD">
      <w:pPr>
        <w:spacing w:line="240" w:lineRule="auto"/>
        <w:ind w:firstLine="0"/>
        <w:jc w:val="left"/>
        <w:rPr>
          <w:rFonts w:eastAsia="Calibri" w:cs="Times New Roman"/>
          <w:sz w:val="22"/>
        </w:rPr>
      </w:pPr>
      <w:r w:rsidRPr="005760BD">
        <w:rPr>
          <w:rFonts w:eastAsia="Calibri" w:cs="Times New Roman"/>
          <w:sz w:val="22"/>
        </w:rPr>
        <w:t>Goal O-4: Ensure civil society’s effective participation in multi-stakeholder groups</w:t>
      </w:r>
    </w:p>
    <w:p w14:paraId="17037655" w14:textId="77777777" w:rsidR="005760BD" w:rsidRPr="005760BD" w:rsidRDefault="005760BD" w:rsidP="005760BD">
      <w:pPr>
        <w:spacing w:line="240" w:lineRule="auto"/>
        <w:ind w:firstLine="0"/>
        <w:jc w:val="left"/>
        <w:rPr>
          <w:rFonts w:eastAsia="Calibri" w:cs="Times New Roman"/>
          <w:sz w:val="22"/>
        </w:rPr>
      </w:pPr>
      <w:bookmarkStart w:id="4" w:name="_GoBack"/>
      <w:bookmarkEnd w:id="4"/>
    </w:p>
    <w:p w14:paraId="7ADF4AFB" w14:textId="77777777" w:rsidR="005760BD" w:rsidRPr="005760BD" w:rsidRDefault="005760BD" w:rsidP="005760BD">
      <w:pPr>
        <w:spacing w:line="240" w:lineRule="auto"/>
        <w:ind w:firstLine="0"/>
        <w:jc w:val="left"/>
        <w:rPr>
          <w:rFonts w:eastAsia="Calibri" w:cs="Times New Roman"/>
          <w:b/>
          <w:sz w:val="22"/>
        </w:rPr>
      </w:pPr>
      <w:r w:rsidRPr="005760BD">
        <w:rPr>
          <w:rFonts w:eastAsia="Calibri" w:cs="Times New Roman"/>
          <w:b/>
          <w:sz w:val="22"/>
        </w:rPr>
        <w:t>Developmental goals</w:t>
      </w:r>
    </w:p>
    <w:p w14:paraId="634C708C" w14:textId="77777777" w:rsidR="005760BD" w:rsidRPr="005760BD" w:rsidRDefault="005760BD" w:rsidP="005760BD">
      <w:pPr>
        <w:spacing w:line="240" w:lineRule="auto"/>
        <w:ind w:firstLine="0"/>
        <w:jc w:val="left"/>
        <w:rPr>
          <w:rFonts w:eastAsia="Calibri" w:cs="Times New Roman"/>
          <w:i/>
          <w:sz w:val="22"/>
        </w:rPr>
      </w:pPr>
      <w:r w:rsidRPr="005760BD">
        <w:rPr>
          <w:rFonts w:eastAsia="Calibri" w:cs="Times New Roman"/>
          <w:i/>
          <w:sz w:val="22"/>
        </w:rPr>
        <w:t>Goal D-1: Increasing revenues that are returned to the society through reduced corruption</w:t>
      </w:r>
    </w:p>
    <w:p w14:paraId="0686A452" w14:textId="77777777" w:rsidR="005760BD" w:rsidRPr="005760BD" w:rsidRDefault="005760BD" w:rsidP="005760BD">
      <w:pPr>
        <w:spacing w:line="240" w:lineRule="auto"/>
        <w:ind w:firstLine="0"/>
        <w:jc w:val="left"/>
        <w:rPr>
          <w:rFonts w:eastAsia="Calibri" w:cs="Times New Roman"/>
          <w:i/>
          <w:sz w:val="22"/>
        </w:rPr>
      </w:pPr>
      <w:r w:rsidRPr="005760BD">
        <w:rPr>
          <w:rFonts w:eastAsia="Calibri" w:cs="Times New Roman"/>
          <w:i/>
          <w:sz w:val="22"/>
        </w:rPr>
        <w:t xml:space="preserve">Goal D-2: Improve investment climate, increase aid flows, and promote fairer government share of revenues </w:t>
      </w:r>
    </w:p>
    <w:p w14:paraId="765AA21F" w14:textId="77777777" w:rsidR="005760BD" w:rsidRPr="005760BD" w:rsidRDefault="005760BD" w:rsidP="005760BD">
      <w:pPr>
        <w:spacing w:line="240" w:lineRule="auto"/>
        <w:ind w:firstLine="0"/>
        <w:jc w:val="left"/>
        <w:rPr>
          <w:rFonts w:eastAsia="Calibri" w:cs="Times New Roman"/>
          <w:i/>
          <w:sz w:val="22"/>
        </w:rPr>
      </w:pPr>
      <w:r w:rsidRPr="005760BD">
        <w:rPr>
          <w:rFonts w:eastAsia="Calibri" w:cs="Times New Roman"/>
          <w:i/>
          <w:sz w:val="22"/>
        </w:rPr>
        <w:t>Goal D-2: Promote good governance, sustainable development, and improved living standards</w:t>
      </w:r>
    </w:p>
    <w:p w14:paraId="0E0A7248" w14:textId="77777777" w:rsidR="005760BD" w:rsidRPr="005760BD" w:rsidRDefault="005760BD" w:rsidP="005760BD">
      <w:pPr>
        <w:spacing w:line="240" w:lineRule="auto"/>
        <w:ind w:firstLine="0"/>
        <w:jc w:val="left"/>
        <w:rPr>
          <w:rFonts w:eastAsia="Calibri" w:cs="Times New Roman"/>
          <w:i/>
          <w:sz w:val="22"/>
        </w:rPr>
      </w:pPr>
    </w:p>
    <w:p w14:paraId="41CEE0BD" w14:textId="77777777" w:rsidR="005760BD" w:rsidRPr="005760BD" w:rsidRDefault="005760BD" w:rsidP="005760BD">
      <w:pPr>
        <w:spacing w:line="240" w:lineRule="auto"/>
        <w:ind w:firstLine="0"/>
        <w:jc w:val="left"/>
        <w:rPr>
          <w:rFonts w:eastAsia="Calibri" w:cs="Times New Roman"/>
          <w:i/>
          <w:sz w:val="22"/>
        </w:rPr>
      </w:pPr>
    </w:p>
    <w:p w14:paraId="38908F6C" w14:textId="77777777" w:rsidR="005760BD" w:rsidRPr="005760BD" w:rsidRDefault="005760BD" w:rsidP="005760BD">
      <w:pPr>
        <w:spacing w:line="240" w:lineRule="auto"/>
        <w:ind w:firstLine="0"/>
        <w:jc w:val="left"/>
        <w:rPr>
          <w:rFonts w:eastAsia="Calibri" w:cs="Times New Roman"/>
          <w:i/>
          <w:sz w:val="22"/>
        </w:rPr>
      </w:pPr>
    </w:p>
    <w:p w14:paraId="1CDAF721" w14:textId="77777777" w:rsidR="005760BD" w:rsidRPr="005760BD" w:rsidRDefault="005760BD" w:rsidP="005760BD">
      <w:pPr>
        <w:spacing w:line="240" w:lineRule="auto"/>
        <w:ind w:firstLine="0"/>
        <w:jc w:val="left"/>
        <w:rPr>
          <w:rFonts w:eastAsia="Calibri" w:cs="Times New Roman"/>
          <w:b/>
          <w:sz w:val="28"/>
        </w:rPr>
      </w:pPr>
      <w:r w:rsidRPr="005760BD">
        <w:rPr>
          <w:rFonts w:eastAsia="Calibri" w:cs="Times New Roman"/>
          <w:b/>
          <w:sz w:val="28"/>
        </w:rPr>
        <w:t xml:space="preserve">Coding </w:t>
      </w:r>
    </w:p>
    <w:p w14:paraId="17477F1D" w14:textId="77777777" w:rsidR="005760BD" w:rsidRPr="005760BD" w:rsidRDefault="005760BD" w:rsidP="005760BD">
      <w:pPr>
        <w:spacing w:line="240" w:lineRule="auto"/>
        <w:ind w:firstLine="0"/>
        <w:jc w:val="left"/>
        <w:rPr>
          <w:rFonts w:eastAsia="Calibri" w:cs="Times New Roman"/>
          <w:b/>
          <w:sz w:val="22"/>
        </w:rPr>
        <w:sectPr w:rsidR="005760BD" w:rsidRPr="005760BD" w:rsidSect="00472D15">
          <w:headerReference w:type="default" r:id="rId50"/>
          <w:footerReference w:type="default" r:id="rId51"/>
          <w:pgSz w:w="16838" w:h="11906" w:orient="landscape"/>
          <w:pgMar w:top="1418" w:right="1418" w:bottom="1418" w:left="1418" w:header="567" w:footer="567" w:gutter="0"/>
          <w:cols w:space="708"/>
          <w:docGrid w:linePitch="360"/>
        </w:sectPr>
      </w:pPr>
    </w:p>
    <w:p w14:paraId="2CE43202" w14:textId="77777777" w:rsidR="005760BD" w:rsidRPr="005760BD" w:rsidRDefault="005760BD" w:rsidP="005760BD">
      <w:pPr>
        <w:spacing w:line="240" w:lineRule="auto"/>
        <w:ind w:firstLine="0"/>
        <w:jc w:val="left"/>
        <w:rPr>
          <w:rFonts w:eastAsia="Calibri" w:cs="Times New Roman"/>
          <w:sz w:val="22"/>
        </w:rPr>
      </w:pPr>
      <w:r w:rsidRPr="005760BD">
        <w:rPr>
          <w:rFonts w:eastAsia="Calibri" w:cs="Times New Roman"/>
          <w:b/>
          <w:sz w:val="22"/>
        </w:rPr>
        <w:t>Type</w:t>
      </w:r>
      <w:r w:rsidRPr="005760BD">
        <w:rPr>
          <w:rFonts w:eastAsia="Calibri" w:cs="Times New Roman"/>
          <w:sz w:val="22"/>
        </w:rPr>
        <w:t xml:space="preserve"> </w:t>
      </w:r>
    </w:p>
    <w:p w14:paraId="495F5297" w14:textId="77777777" w:rsidR="005760BD" w:rsidRPr="005760BD" w:rsidRDefault="005760BD" w:rsidP="005760BD">
      <w:pPr>
        <w:spacing w:line="240" w:lineRule="auto"/>
        <w:ind w:firstLine="0"/>
        <w:jc w:val="left"/>
        <w:rPr>
          <w:rFonts w:eastAsia="Calibri" w:cs="Times New Roman"/>
          <w:sz w:val="22"/>
        </w:rPr>
      </w:pPr>
      <w:r w:rsidRPr="005760BD">
        <w:rPr>
          <w:rFonts w:eastAsia="Calibri" w:cs="Times New Roman"/>
          <w:sz w:val="22"/>
        </w:rPr>
        <w:t>1 – Commissioned by the EITI</w:t>
      </w:r>
    </w:p>
    <w:p w14:paraId="68F038DB" w14:textId="77777777" w:rsidR="005760BD" w:rsidRPr="005760BD" w:rsidRDefault="005760BD" w:rsidP="005760BD">
      <w:pPr>
        <w:spacing w:line="240" w:lineRule="auto"/>
        <w:ind w:firstLine="0"/>
        <w:jc w:val="left"/>
        <w:rPr>
          <w:rFonts w:eastAsia="Calibri" w:cs="Times New Roman"/>
          <w:sz w:val="22"/>
        </w:rPr>
      </w:pPr>
      <w:r w:rsidRPr="005760BD">
        <w:rPr>
          <w:rFonts w:eastAsia="Calibri" w:cs="Times New Roman"/>
          <w:sz w:val="22"/>
        </w:rPr>
        <w:t xml:space="preserve">2 – Non peer-review, independent study </w:t>
      </w:r>
    </w:p>
    <w:p w14:paraId="62C206C5" w14:textId="49600D0C" w:rsidR="005760BD" w:rsidRPr="005760BD" w:rsidRDefault="004973E9" w:rsidP="005760BD">
      <w:pPr>
        <w:spacing w:line="240" w:lineRule="auto"/>
        <w:ind w:firstLine="0"/>
        <w:jc w:val="left"/>
        <w:rPr>
          <w:rFonts w:eastAsia="Calibri" w:cs="Times New Roman"/>
          <w:sz w:val="22"/>
        </w:rPr>
      </w:pPr>
      <w:r>
        <w:rPr>
          <w:rFonts w:eastAsia="Calibri" w:cs="Times New Roman"/>
          <w:sz w:val="22"/>
        </w:rPr>
        <w:t>3 – Peer-review, independent study</w:t>
      </w:r>
    </w:p>
    <w:p w14:paraId="488A8BE8" w14:textId="77777777" w:rsidR="005760BD" w:rsidRPr="005760BD" w:rsidRDefault="005760BD" w:rsidP="005760BD">
      <w:pPr>
        <w:spacing w:line="240" w:lineRule="auto"/>
        <w:ind w:firstLine="0"/>
        <w:jc w:val="left"/>
        <w:rPr>
          <w:rFonts w:eastAsia="Calibri" w:cs="Times New Roman"/>
          <w:b/>
          <w:sz w:val="22"/>
        </w:rPr>
      </w:pPr>
    </w:p>
    <w:p w14:paraId="0626230B" w14:textId="77777777" w:rsidR="005760BD" w:rsidRPr="005760BD" w:rsidRDefault="005760BD" w:rsidP="005760BD">
      <w:pPr>
        <w:spacing w:line="240" w:lineRule="auto"/>
        <w:ind w:firstLine="0"/>
        <w:jc w:val="left"/>
        <w:rPr>
          <w:rFonts w:eastAsia="Calibri" w:cs="Times New Roman"/>
          <w:b/>
          <w:sz w:val="22"/>
        </w:rPr>
      </w:pPr>
      <w:r w:rsidRPr="005760BD">
        <w:rPr>
          <w:rFonts w:eastAsia="Calibri" w:cs="Times New Roman"/>
          <w:b/>
          <w:sz w:val="22"/>
        </w:rPr>
        <w:t>Method</w:t>
      </w:r>
    </w:p>
    <w:p w14:paraId="001B15B9" w14:textId="77777777" w:rsidR="005760BD" w:rsidRPr="005760BD" w:rsidRDefault="005760BD" w:rsidP="005760BD">
      <w:pPr>
        <w:spacing w:line="240" w:lineRule="auto"/>
        <w:ind w:firstLine="0"/>
        <w:jc w:val="left"/>
        <w:rPr>
          <w:rFonts w:eastAsia="Calibri" w:cs="Times New Roman"/>
          <w:sz w:val="22"/>
        </w:rPr>
      </w:pPr>
      <w:r w:rsidRPr="005760BD">
        <w:rPr>
          <w:rFonts w:eastAsia="Calibri" w:cs="Times New Roman"/>
          <w:sz w:val="22"/>
        </w:rPr>
        <w:t>1 – Qualitative</w:t>
      </w:r>
    </w:p>
    <w:p w14:paraId="2A1CFA94" w14:textId="77777777" w:rsidR="005760BD" w:rsidRPr="005760BD" w:rsidRDefault="005760BD" w:rsidP="005760BD">
      <w:pPr>
        <w:spacing w:line="240" w:lineRule="auto"/>
        <w:ind w:firstLine="0"/>
        <w:jc w:val="left"/>
        <w:rPr>
          <w:rFonts w:eastAsia="Calibri" w:cs="Times New Roman"/>
          <w:sz w:val="22"/>
        </w:rPr>
      </w:pPr>
      <w:r w:rsidRPr="005760BD">
        <w:rPr>
          <w:rFonts w:eastAsia="Calibri" w:cs="Times New Roman"/>
          <w:sz w:val="22"/>
        </w:rPr>
        <w:t>2 – Quantitative</w:t>
      </w:r>
    </w:p>
    <w:p w14:paraId="34C5C53A" w14:textId="77777777" w:rsidR="005760BD" w:rsidRPr="005760BD" w:rsidRDefault="005760BD" w:rsidP="005760BD">
      <w:pPr>
        <w:spacing w:line="240" w:lineRule="auto"/>
        <w:ind w:firstLine="0"/>
        <w:jc w:val="left"/>
        <w:rPr>
          <w:rFonts w:eastAsia="Calibri" w:cs="Times New Roman"/>
          <w:sz w:val="22"/>
        </w:rPr>
      </w:pPr>
      <w:r w:rsidRPr="005760BD">
        <w:rPr>
          <w:rFonts w:eastAsia="Calibri" w:cs="Times New Roman"/>
          <w:sz w:val="22"/>
        </w:rPr>
        <w:t>3 – Other</w:t>
      </w:r>
    </w:p>
    <w:p w14:paraId="222C128C" w14:textId="77777777" w:rsidR="005760BD" w:rsidRPr="005760BD" w:rsidRDefault="005760BD" w:rsidP="005760BD">
      <w:pPr>
        <w:spacing w:line="240" w:lineRule="auto"/>
        <w:ind w:firstLine="0"/>
        <w:jc w:val="left"/>
        <w:rPr>
          <w:rFonts w:eastAsia="Calibri" w:cs="Times New Roman"/>
          <w:b/>
          <w:sz w:val="22"/>
        </w:rPr>
      </w:pPr>
    </w:p>
    <w:p w14:paraId="0FD03B7C" w14:textId="77777777" w:rsidR="005760BD" w:rsidRPr="005760BD" w:rsidRDefault="005760BD" w:rsidP="005760BD">
      <w:pPr>
        <w:spacing w:line="240" w:lineRule="auto"/>
        <w:ind w:firstLine="0"/>
        <w:jc w:val="left"/>
        <w:rPr>
          <w:rFonts w:eastAsia="Calibri" w:cs="Times New Roman"/>
          <w:b/>
          <w:sz w:val="22"/>
        </w:rPr>
      </w:pPr>
      <w:r w:rsidRPr="005760BD">
        <w:rPr>
          <w:rFonts w:eastAsia="Calibri" w:cs="Times New Roman"/>
          <w:b/>
          <w:sz w:val="22"/>
        </w:rPr>
        <w:t>Goals</w:t>
      </w:r>
    </w:p>
    <w:p w14:paraId="4286C77C" w14:textId="77777777" w:rsidR="005760BD" w:rsidRPr="005760BD" w:rsidRDefault="005760BD" w:rsidP="005760BD">
      <w:pPr>
        <w:spacing w:line="240" w:lineRule="auto"/>
        <w:ind w:firstLine="0"/>
        <w:jc w:val="left"/>
        <w:rPr>
          <w:rFonts w:eastAsia="Calibri" w:cs="Times New Roman"/>
          <w:sz w:val="22"/>
        </w:rPr>
      </w:pPr>
      <w:r w:rsidRPr="005760BD">
        <w:rPr>
          <w:rFonts w:eastAsia="Calibri" w:cs="Times New Roman"/>
          <w:sz w:val="22"/>
        </w:rPr>
        <w:t>S – Success</w:t>
      </w:r>
    </w:p>
    <w:p w14:paraId="479FA5CE" w14:textId="77777777" w:rsidR="005760BD" w:rsidRPr="005760BD" w:rsidRDefault="005760BD" w:rsidP="005760BD">
      <w:pPr>
        <w:spacing w:line="240" w:lineRule="auto"/>
        <w:ind w:firstLine="0"/>
        <w:jc w:val="left"/>
        <w:rPr>
          <w:rFonts w:eastAsia="Calibri" w:cs="Times New Roman"/>
          <w:sz w:val="22"/>
        </w:rPr>
      </w:pPr>
      <w:r w:rsidRPr="005760BD">
        <w:rPr>
          <w:rFonts w:eastAsia="Calibri" w:cs="Times New Roman"/>
          <w:sz w:val="22"/>
        </w:rPr>
        <w:t>M – Mixed results</w:t>
      </w:r>
    </w:p>
    <w:p w14:paraId="52A8ADCC" w14:textId="77777777" w:rsidR="005760BD" w:rsidRPr="005760BD" w:rsidRDefault="005760BD" w:rsidP="005760BD">
      <w:pPr>
        <w:spacing w:line="240" w:lineRule="auto"/>
        <w:ind w:firstLine="0"/>
        <w:jc w:val="left"/>
        <w:rPr>
          <w:rFonts w:eastAsia="Calibri" w:cs="Times New Roman"/>
          <w:sz w:val="22"/>
        </w:rPr>
      </w:pPr>
      <w:r w:rsidRPr="005760BD">
        <w:rPr>
          <w:rFonts w:eastAsia="Calibri" w:cs="Times New Roman"/>
          <w:sz w:val="22"/>
        </w:rPr>
        <w:t xml:space="preserve">F – Failure </w:t>
      </w:r>
    </w:p>
    <w:p w14:paraId="2C203C68" w14:textId="77777777" w:rsidR="005760BD" w:rsidRPr="005760BD" w:rsidRDefault="005760BD" w:rsidP="005760BD">
      <w:pPr>
        <w:spacing w:line="240" w:lineRule="auto"/>
        <w:ind w:firstLine="0"/>
        <w:jc w:val="left"/>
        <w:rPr>
          <w:rFonts w:eastAsia="Calibri" w:cs="Times New Roman"/>
          <w:sz w:val="22"/>
        </w:rPr>
      </w:pPr>
      <w:r w:rsidRPr="005760BD">
        <w:rPr>
          <w:rFonts w:eastAsia="Calibri" w:cs="Times New Roman"/>
          <w:sz w:val="22"/>
        </w:rPr>
        <w:t>T – Too early to say</w:t>
      </w:r>
    </w:p>
    <w:p w14:paraId="6BBA3EB1" w14:textId="77777777" w:rsidR="005760BD" w:rsidRPr="005760BD" w:rsidRDefault="005760BD" w:rsidP="005760BD">
      <w:pPr>
        <w:spacing w:line="240" w:lineRule="auto"/>
        <w:ind w:firstLine="0"/>
        <w:jc w:val="left"/>
        <w:rPr>
          <w:rFonts w:eastAsia="Calibri" w:cs="Times New Roman"/>
          <w:sz w:val="22"/>
        </w:rPr>
        <w:sectPr w:rsidR="005760BD" w:rsidRPr="005760BD" w:rsidSect="005760BD">
          <w:type w:val="continuous"/>
          <w:pgSz w:w="16838" w:h="11906" w:orient="landscape"/>
          <w:pgMar w:top="1134" w:right="1417" w:bottom="1417" w:left="1417" w:header="708" w:footer="708" w:gutter="0"/>
          <w:cols w:num="3" w:space="708"/>
          <w:docGrid w:linePitch="360"/>
        </w:sectPr>
      </w:pPr>
    </w:p>
    <w:p w14:paraId="6303EF21" w14:textId="77777777" w:rsidR="005760BD" w:rsidRPr="005760BD" w:rsidRDefault="005760BD" w:rsidP="005760BD">
      <w:pPr>
        <w:spacing w:line="240" w:lineRule="auto"/>
        <w:ind w:firstLine="0"/>
        <w:jc w:val="left"/>
        <w:rPr>
          <w:rFonts w:eastAsia="Calibri" w:cs="Times New Roman"/>
          <w:sz w:val="22"/>
        </w:rPr>
      </w:pPr>
    </w:p>
    <w:p w14:paraId="28F9B54F" w14:textId="77777777" w:rsidR="005760BD" w:rsidRPr="005760BD" w:rsidRDefault="005760BD" w:rsidP="005760BD">
      <w:pPr>
        <w:spacing w:line="240" w:lineRule="auto"/>
        <w:ind w:firstLine="0"/>
        <w:jc w:val="left"/>
        <w:rPr>
          <w:rFonts w:eastAsia="Calibri" w:cs="Times New Roman"/>
          <w:i/>
          <w:sz w:val="22"/>
        </w:rPr>
      </w:pPr>
      <w:r w:rsidRPr="005760BD">
        <w:rPr>
          <w:rFonts w:eastAsia="Calibri" w:cs="Times New Roman"/>
          <w:i/>
          <w:sz w:val="22"/>
        </w:rPr>
        <w:br w:type="page"/>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70" w:type="dxa"/>
          <w:right w:w="70" w:type="dxa"/>
        </w:tblCellMar>
        <w:tblLook w:val="04A0" w:firstRow="1" w:lastRow="0" w:firstColumn="1" w:lastColumn="0" w:noHBand="0" w:noVBand="1"/>
      </w:tblPr>
      <w:tblGrid>
        <w:gridCol w:w="2695"/>
        <w:gridCol w:w="575"/>
        <w:gridCol w:w="809"/>
        <w:gridCol w:w="1211"/>
        <w:gridCol w:w="3679"/>
        <w:gridCol w:w="389"/>
        <w:gridCol w:w="388"/>
        <w:gridCol w:w="388"/>
        <w:gridCol w:w="388"/>
        <w:gridCol w:w="388"/>
        <w:gridCol w:w="388"/>
        <w:gridCol w:w="388"/>
        <w:gridCol w:w="388"/>
        <w:gridCol w:w="632"/>
        <w:gridCol w:w="634"/>
        <w:gridCol w:w="634"/>
      </w:tblGrid>
      <w:tr w:rsidR="005760BD" w:rsidRPr="005760BD" w14:paraId="18970139" w14:textId="77777777" w:rsidTr="005760BD">
        <w:trPr>
          <w:cantSplit/>
          <w:trHeight w:val="284"/>
          <w:tblHeader/>
        </w:trPr>
        <w:tc>
          <w:tcPr>
            <w:tcW w:w="964" w:type="pct"/>
            <w:shd w:val="clear" w:color="auto" w:fill="auto"/>
            <w:vAlign w:val="center"/>
            <w:hideMark/>
          </w:tcPr>
          <w:p w14:paraId="0EAD55E5" w14:textId="77777777" w:rsidR="005760BD" w:rsidRPr="005760BD" w:rsidRDefault="005760BD" w:rsidP="005760BD">
            <w:pPr>
              <w:spacing w:line="240" w:lineRule="auto"/>
              <w:ind w:firstLine="0"/>
              <w:jc w:val="left"/>
              <w:rPr>
                <w:rFonts w:eastAsia="Times New Roman" w:cs="Times New Roman"/>
                <w:b/>
                <w:bCs/>
                <w:sz w:val="20"/>
                <w:szCs w:val="20"/>
                <w:lang w:eastAsia="nb-NO"/>
              </w:rPr>
            </w:pPr>
            <w:r w:rsidRPr="005760BD">
              <w:rPr>
                <w:rFonts w:eastAsia="Times New Roman" w:cs="Times New Roman"/>
                <w:b/>
                <w:bCs/>
                <w:sz w:val="20"/>
                <w:szCs w:val="20"/>
                <w:lang w:eastAsia="nb-NO"/>
              </w:rPr>
              <w:lastRenderedPageBreak/>
              <w:t>Study</w:t>
            </w:r>
          </w:p>
        </w:tc>
        <w:tc>
          <w:tcPr>
            <w:tcW w:w="205" w:type="pct"/>
            <w:shd w:val="clear" w:color="auto" w:fill="auto"/>
            <w:vAlign w:val="center"/>
            <w:hideMark/>
          </w:tcPr>
          <w:p w14:paraId="2AC4DC87" w14:textId="77777777" w:rsidR="005760BD" w:rsidRPr="005760BD" w:rsidRDefault="005760BD" w:rsidP="005760BD">
            <w:pPr>
              <w:spacing w:line="240" w:lineRule="auto"/>
              <w:ind w:firstLine="0"/>
              <w:jc w:val="left"/>
              <w:rPr>
                <w:rFonts w:eastAsia="Times New Roman" w:cs="Times New Roman"/>
                <w:b/>
                <w:bCs/>
                <w:sz w:val="20"/>
                <w:szCs w:val="20"/>
                <w:lang w:eastAsia="nb-NO"/>
              </w:rPr>
            </w:pPr>
            <w:r w:rsidRPr="005760BD">
              <w:rPr>
                <w:rFonts w:eastAsia="Times New Roman" w:cs="Times New Roman"/>
                <w:b/>
                <w:bCs/>
                <w:sz w:val="20"/>
                <w:szCs w:val="20"/>
                <w:lang w:eastAsia="nb-NO"/>
              </w:rPr>
              <w:t>Type</w:t>
            </w:r>
          </w:p>
        </w:tc>
        <w:tc>
          <w:tcPr>
            <w:tcW w:w="289" w:type="pct"/>
            <w:shd w:val="clear" w:color="auto" w:fill="auto"/>
            <w:vAlign w:val="center"/>
            <w:hideMark/>
          </w:tcPr>
          <w:p w14:paraId="5D4CF292" w14:textId="77777777" w:rsidR="005760BD" w:rsidRPr="005760BD" w:rsidRDefault="005760BD" w:rsidP="005760BD">
            <w:pPr>
              <w:spacing w:line="240" w:lineRule="auto"/>
              <w:ind w:firstLine="0"/>
              <w:jc w:val="left"/>
              <w:rPr>
                <w:rFonts w:eastAsia="Times New Roman" w:cs="Times New Roman"/>
                <w:b/>
                <w:bCs/>
                <w:sz w:val="20"/>
                <w:szCs w:val="20"/>
                <w:lang w:eastAsia="nb-NO"/>
              </w:rPr>
            </w:pPr>
            <w:r w:rsidRPr="005760BD">
              <w:rPr>
                <w:rFonts w:eastAsia="Times New Roman" w:cs="Times New Roman"/>
                <w:b/>
                <w:bCs/>
                <w:sz w:val="20"/>
                <w:szCs w:val="20"/>
                <w:lang w:eastAsia="nb-NO"/>
              </w:rPr>
              <w:t>Method</w:t>
            </w:r>
          </w:p>
        </w:tc>
        <w:tc>
          <w:tcPr>
            <w:tcW w:w="433" w:type="pct"/>
            <w:shd w:val="clear" w:color="auto" w:fill="auto"/>
            <w:vAlign w:val="center"/>
            <w:hideMark/>
          </w:tcPr>
          <w:p w14:paraId="6C02A879" w14:textId="77777777" w:rsidR="005760BD" w:rsidRPr="005760BD" w:rsidRDefault="005760BD" w:rsidP="005760BD">
            <w:pPr>
              <w:spacing w:line="240" w:lineRule="auto"/>
              <w:ind w:firstLine="0"/>
              <w:jc w:val="left"/>
              <w:rPr>
                <w:rFonts w:eastAsia="Times New Roman" w:cs="Times New Roman"/>
                <w:b/>
                <w:bCs/>
                <w:sz w:val="20"/>
                <w:szCs w:val="20"/>
                <w:lang w:eastAsia="nb-NO"/>
              </w:rPr>
            </w:pPr>
            <w:r w:rsidRPr="005760BD">
              <w:rPr>
                <w:rFonts w:eastAsia="Times New Roman" w:cs="Times New Roman"/>
                <w:b/>
                <w:bCs/>
                <w:sz w:val="20"/>
                <w:szCs w:val="20"/>
                <w:lang w:eastAsia="nb-NO"/>
              </w:rPr>
              <w:t>Time period</w:t>
            </w:r>
          </w:p>
        </w:tc>
        <w:tc>
          <w:tcPr>
            <w:tcW w:w="1316" w:type="pct"/>
            <w:shd w:val="clear" w:color="auto" w:fill="auto"/>
            <w:vAlign w:val="center"/>
            <w:hideMark/>
          </w:tcPr>
          <w:p w14:paraId="3D061734" w14:textId="77777777" w:rsidR="005760BD" w:rsidRPr="005760BD" w:rsidRDefault="005760BD" w:rsidP="005760BD">
            <w:pPr>
              <w:spacing w:line="240" w:lineRule="auto"/>
              <w:ind w:firstLine="0"/>
              <w:jc w:val="left"/>
              <w:rPr>
                <w:rFonts w:eastAsia="Times New Roman" w:cs="Times New Roman"/>
                <w:b/>
                <w:bCs/>
                <w:sz w:val="20"/>
                <w:szCs w:val="20"/>
                <w:lang w:eastAsia="nb-NO"/>
              </w:rPr>
            </w:pPr>
            <w:r w:rsidRPr="005760BD">
              <w:rPr>
                <w:rFonts w:eastAsia="Times New Roman" w:cs="Times New Roman"/>
                <w:b/>
                <w:bCs/>
                <w:sz w:val="20"/>
                <w:szCs w:val="20"/>
                <w:lang w:eastAsia="nb-NO"/>
              </w:rPr>
              <w:t>Sample</w:t>
            </w:r>
          </w:p>
        </w:tc>
        <w:tc>
          <w:tcPr>
            <w:tcW w:w="556" w:type="pct"/>
            <w:gridSpan w:val="4"/>
            <w:shd w:val="clear" w:color="auto" w:fill="auto"/>
            <w:vAlign w:val="center"/>
            <w:hideMark/>
          </w:tcPr>
          <w:p w14:paraId="2DB4F970" w14:textId="77777777" w:rsidR="005760BD" w:rsidRPr="005760BD" w:rsidRDefault="005760BD" w:rsidP="005760BD">
            <w:pPr>
              <w:spacing w:line="240" w:lineRule="auto"/>
              <w:ind w:firstLine="0"/>
              <w:jc w:val="center"/>
              <w:rPr>
                <w:rFonts w:eastAsia="Times New Roman" w:cs="Times New Roman"/>
                <w:b/>
                <w:bCs/>
                <w:sz w:val="20"/>
                <w:szCs w:val="20"/>
                <w:lang w:eastAsia="nb-NO"/>
              </w:rPr>
            </w:pPr>
            <w:r w:rsidRPr="005760BD">
              <w:rPr>
                <w:rFonts w:eastAsia="Times New Roman" w:cs="Times New Roman"/>
                <w:b/>
                <w:bCs/>
                <w:sz w:val="20"/>
                <w:szCs w:val="20"/>
                <w:lang w:eastAsia="nb-NO"/>
              </w:rPr>
              <w:t>Institutional goals</w:t>
            </w:r>
          </w:p>
        </w:tc>
        <w:tc>
          <w:tcPr>
            <w:tcW w:w="556" w:type="pct"/>
            <w:gridSpan w:val="4"/>
            <w:shd w:val="clear" w:color="auto" w:fill="auto"/>
            <w:vAlign w:val="center"/>
            <w:hideMark/>
          </w:tcPr>
          <w:p w14:paraId="12D20579" w14:textId="77777777" w:rsidR="005760BD" w:rsidRPr="005760BD" w:rsidRDefault="005760BD" w:rsidP="005760BD">
            <w:pPr>
              <w:spacing w:line="240" w:lineRule="auto"/>
              <w:ind w:firstLine="0"/>
              <w:jc w:val="center"/>
              <w:rPr>
                <w:rFonts w:eastAsia="Times New Roman" w:cs="Times New Roman"/>
                <w:b/>
                <w:bCs/>
                <w:sz w:val="20"/>
                <w:szCs w:val="20"/>
                <w:lang w:eastAsia="nb-NO"/>
              </w:rPr>
            </w:pPr>
            <w:r w:rsidRPr="005760BD">
              <w:rPr>
                <w:rFonts w:eastAsia="Times New Roman" w:cs="Times New Roman"/>
                <w:b/>
                <w:bCs/>
                <w:sz w:val="20"/>
                <w:szCs w:val="20"/>
                <w:lang w:eastAsia="nb-NO"/>
              </w:rPr>
              <w:t>Operational goals</w:t>
            </w:r>
          </w:p>
        </w:tc>
        <w:tc>
          <w:tcPr>
            <w:tcW w:w="680" w:type="pct"/>
            <w:gridSpan w:val="3"/>
            <w:shd w:val="clear" w:color="auto" w:fill="auto"/>
            <w:vAlign w:val="center"/>
            <w:hideMark/>
          </w:tcPr>
          <w:p w14:paraId="1E28A6E2" w14:textId="77777777" w:rsidR="005760BD" w:rsidRPr="005760BD" w:rsidRDefault="005760BD" w:rsidP="005760BD">
            <w:pPr>
              <w:spacing w:line="240" w:lineRule="auto"/>
              <w:ind w:firstLine="0"/>
              <w:jc w:val="center"/>
              <w:rPr>
                <w:rFonts w:eastAsia="Times New Roman" w:cs="Times New Roman"/>
                <w:b/>
                <w:bCs/>
                <w:sz w:val="20"/>
                <w:szCs w:val="20"/>
                <w:lang w:eastAsia="nb-NO"/>
              </w:rPr>
            </w:pPr>
            <w:r w:rsidRPr="005760BD">
              <w:rPr>
                <w:rFonts w:eastAsia="Times New Roman" w:cs="Times New Roman"/>
                <w:b/>
                <w:bCs/>
                <w:sz w:val="20"/>
                <w:szCs w:val="20"/>
                <w:lang w:eastAsia="nb-NO"/>
              </w:rPr>
              <w:t>Developmental goals</w:t>
            </w:r>
          </w:p>
        </w:tc>
      </w:tr>
      <w:tr w:rsidR="005760BD" w:rsidRPr="005760BD" w14:paraId="27D806A8" w14:textId="77777777" w:rsidTr="005760BD">
        <w:trPr>
          <w:cantSplit/>
          <w:trHeight w:val="284"/>
          <w:tblHeader/>
        </w:trPr>
        <w:tc>
          <w:tcPr>
            <w:tcW w:w="964" w:type="pct"/>
            <w:shd w:val="clear" w:color="auto" w:fill="auto"/>
            <w:vAlign w:val="center"/>
            <w:hideMark/>
          </w:tcPr>
          <w:p w14:paraId="7416A85E" w14:textId="77777777" w:rsidR="005760BD" w:rsidRPr="005760BD" w:rsidRDefault="005760BD" w:rsidP="005760BD">
            <w:pPr>
              <w:spacing w:line="240" w:lineRule="auto"/>
              <w:ind w:firstLine="0"/>
              <w:jc w:val="left"/>
              <w:rPr>
                <w:rFonts w:eastAsia="Times New Roman" w:cs="Times New Roman"/>
                <w:i/>
                <w:iCs/>
                <w:sz w:val="20"/>
                <w:szCs w:val="20"/>
                <w:lang w:eastAsia="nb-NO"/>
              </w:rPr>
            </w:pPr>
            <w:r w:rsidRPr="005760BD">
              <w:rPr>
                <w:rFonts w:eastAsia="Times New Roman" w:cs="Times New Roman"/>
                <w:i/>
                <w:iCs/>
                <w:sz w:val="20"/>
                <w:szCs w:val="20"/>
                <w:lang w:eastAsia="nb-NO"/>
              </w:rPr>
              <w:t> </w:t>
            </w:r>
          </w:p>
        </w:tc>
        <w:tc>
          <w:tcPr>
            <w:tcW w:w="205" w:type="pct"/>
            <w:shd w:val="clear" w:color="auto" w:fill="auto"/>
            <w:vAlign w:val="center"/>
            <w:hideMark/>
          </w:tcPr>
          <w:p w14:paraId="244614FD" w14:textId="77777777" w:rsidR="005760BD" w:rsidRPr="005760BD" w:rsidRDefault="005760BD" w:rsidP="005760BD">
            <w:pPr>
              <w:spacing w:line="240" w:lineRule="auto"/>
              <w:ind w:firstLine="0"/>
              <w:jc w:val="center"/>
              <w:rPr>
                <w:rFonts w:eastAsia="Times New Roman" w:cs="Times New Roman"/>
                <w:i/>
                <w:iCs/>
                <w:sz w:val="20"/>
                <w:szCs w:val="20"/>
                <w:lang w:eastAsia="nb-NO"/>
              </w:rPr>
            </w:pPr>
            <w:r w:rsidRPr="005760BD">
              <w:rPr>
                <w:rFonts w:eastAsia="Times New Roman" w:cs="Times New Roman"/>
                <w:i/>
                <w:iCs/>
                <w:sz w:val="20"/>
                <w:szCs w:val="20"/>
                <w:lang w:eastAsia="nb-NO"/>
              </w:rPr>
              <w:t> </w:t>
            </w:r>
          </w:p>
        </w:tc>
        <w:tc>
          <w:tcPr>
            <w:tcW w:w="289" w:type="pct"/>
            <w:shd w:val="clear" w:color="auto" w:fill="auto"/>
            <w:vAlign w:val="bottom"/>
            <w:hideMark/>
          </w:tcPr>
          <w:p w14:paraId="2F9FE4AF" w14:textId="77777777" w:rsidR="005760BD" w:rsidRPr="005760BD" w:rsidRDefault="005760BD" w:rsidP="005760BD">
            <w:pPr>
              <w:spacing w:line="240" w:lineRule="auto"/>
              <w:ind w:firstLine="0"/>
              <w:jc w:val="center"/>
              <w:rPr>
                <w:rFonts w:ascii="Calibri" w:eastAsia="Times New Roman" w:hAnsi="Calibri" w:cs="Times New Roman"/>
                <w:sz w:val="22"/>
                <w:lang w:eastAsia="nb-NO"/>
              </w:rPr>
            </w:pPr>
          </w:p>
        </w:tc>
        <w:tc>
          <w:tcPr>
            <w:tcW w:w="433" w:type="pct"/>
            <w:shd w:val="clear" w:color="auto" w:fill="auto"/>
            <w:vAlign w:val="center"/>
            <w:hideMark/>
          </w:tcPr>
          <w:p w14:paraId="2414DEF3" w14:textId="77777777" w:rsidR="005760BD" w:rsidRPr="005760BD" w:rsidRDefault="005760BD" w:rsidP="005760BD">
            <w:pPr>
              <w:spacing w:line="240" w:lineRule="auto"/>
              <w:ind w:firstLine="0"/>
              <w:jc w:val="left"/>
              <w:rPr>
                <w:rFonts w:eastAsia="Times New Roman" w:cs="Times New Roman"/>
                <w:i/>
                <w:iCs/>
                <w:sz w:val="20"/>
                <w:szCs w:val="20"/>
                <w:lang w:eastAsia="nb-NO"/>
              </w:rPr>
            </w:pPr>
            <w:r w:rsidRPr="005760BD">
              <w:rPr>
                <w:rFonts w:eastAsia="Times New Roman" w:cs="Times New Roman"/>
                <w:i/>
                <w:iCs/>
                <w:sz w:val="20"/>
                <w:szCs w:val="20"/>
                <w:lang w:eastAsia="nb-NO"/>
              </w:rPr>
              <w:t> </w:t>
            </w:r>
          </w:p>
        </w:tc>
        <w:tc>
          <w:tcPr>
            <w:tcW w:w="1316" w:type="pct"/>
            <w:shd w:val="clear" w:color="auto" w:fill="auto"/>
            <w:vAlign w:val="center"/>
            <w:hideMark/>
          </w:tcPr>
          <w:p w14:paraId="4FB9CDCB" w14:textId="77777777" w:rsidR="005760BD" w:rsidRPr="005760BD" w:rsidRDefault="005760BD" w:rsidP="005760BD">
            <w:pPr>
              <w:spacing w:line="240" w:lineRule="auto"/>
              <w:ind w:firstLine="0"/>
              <w:jc w:val="left"/>
              <w:rPr>
                <w:rFonts w:eastAsia="Times New Roman" w:cs="Times New Roman"/>
                <w:i/>
                <w:iCs/>
                <w:sz w:val="20"/>
                <w:szCs w:val="20"/>
                <w:lang w:eastAsia="nb-NO"/>
              </w:rPr>
            </w:pPr>
            <w:r w:rsidRPr="005760BD">
              <w:rPr>
                <w:rFonts w:eastAsia="Times New Roman" w:cs="Times New Roman"/>
                <w:i/>
                <w:iCs/>
                <w:sz w:val="20"/>
                <w:szCs w:val="20"/>
                <w:lang w:eastAsia="nb-NO"/>
              </w:rPr>
              <w:t> </w:t>
            </w:r>
          </w:p>
        </w:tc>
        <w:tc>
          <w:tcPr>
            <w:tcW w:w="139" w:type="pct"/>
            <w:shd w:val="clear" w:color="auto" w:fill="auto"/>
            <w:vAlign w:val="center"/>
            <w:hideMark/>
          </w:tcPr>
          <w:p w14:paraId="2618C375" w14:textId="77777777" w:rsidR="005760BD" w:rsidRPr="005760BD" w:rsidRDefault="005760BD" w:rsidP="005760BD">
            <w:pPr>
              <w:spacing w:line="240" w:lineRule="auto"/>
              <w:ind w:firstLine="0"/>
              <w:jc w:val="center"/>
              <w:rPr>
                <w:rFonts w:eastAsia="Times New Roman" w:cs="Times New Roman"/>
                <w:b/>
                <w:iCs/>
                <w:sz w:val="20"/>
                <w:szCs w:val="20"/>
                <w:lang w:eastAsia="nb-NO"/>
              </w:rPr>
            </w:pPr>
            <w:r w:rsidRPr="005760BD">
              <w:rPr>
                <w:rFonts w:eastAsia="Times New Roman" w:cs="Times New Roman"/>
                <w:b/>
                <w:iCs/>
                <w:sz w:val="20"/>
                <w:szCs w:val="20"/>
                <w:lang w:eastAsia="nb-NO"/>
              </w:rPr>
              <w:t>1</w:t>
            </w:r>
          </w:p>
        </w:tc>
        <w:tc>
          <w:tcPr>
            <w:tcW w:w="139" w:type="pct"/>
            <w:shd w:val="clear" w:color="auto" w:fill="auto"/>
            <w:vAlign w:val="center"/>
            <w:hideMark/>
          </w:tcPr>
          <w:p w14:paraId="1F0F29C3" w14:textId="77777777" w:rsidR="005760BD" w:rsidRPr="005760BD" w:rsidRDefault="005760BD" w:rsidP="005760BD">
            <w:pPr>
              <w:spacing w:line="240" w:lineRule="auto"/>
              <w:ind w:firstLine="0"/>
              <w:jc w:val="center"/>
              <w:rPr>
                <w:rFonts w:eastAsia="Times New Roman" w:cs="Times New Roman"/>
                <w:b/>
                <w:iCs/>
                <w:sz w:val="20"/>
                <w:szCs w:val="20"/>
                <w:lang w:eastAsia="nb-NO"/>
              </w:rPr>
            </w:pPr>
            <w:r w:rsidRPr="005760BD">
              <w:rPr>
                <w:rFonts w:eastAsia="Times New Roman" w:cs="Times New Roman"/>
                <w:b/>
                <w:iCs/>
                <w:sz w:val="20"/>
                <w:szCs w:val="20"/>
                <w:lang w:eastAsia="nb-NO"/>
              </w:rPr>
              <w:t>2</w:t>
            </w:r>
          </w:p>
        </w:tc>
        <w:tc>
          <w:tcPr>
            <w:tcW w:w="139" w:type="pct"/>
            <w:shd w:val="clear" w:color="auto" w:fill="auto"/>
            <w:vAlign w:val="center"/>
            <w:hideMark/>
          </w:tcPr>
          <w:p w14:paraId="23C1D18B" w14:textId="77777777" w:rsidR="005760BD" w:rsidRPr="005760BD" w:rsidRDefault="005760BD" w:rsidP="005760BD">
            <w:pPr>
              <w:spacing w:line="240" w:lineRule="auto"/>
              <w:ind w:firstLine="0"/>
              <w:jc w:val="center"/>
              <w:rPr>
                <w:rFonts w:eastAsia="Times New Roman" w:cs="Times New Roman"/>
                <w:b/>
                <w:iCs/>
                <w:sz w:val="20"/>
                <w:szCs w:val="20"/>
                <w:lang w:eastAsia="nb-NO"/>
              </w:rPr>
            </w:pPr>
            <w:r w:rsidRPr="005760BD">
              <w:rPr>
                <w:rFonts w:eastAsia="Times New Roman" w:cs="Times New Roman"/>
                <w:b/>
                <w:iCs/>
                <w:sz w:val="20"/>
                <w:szCs w:val="20"/>
                <w:lang w:eastAsia="nb-NO"/>
              </w:rPr>
              <w:t>3</w:t>
            </w:r>
          </w:p>
        </w:tc>
        <w:tc>
          <w:tcPr>
            <w:tcW w:w="139" w:type="pct"/>
            <w:shd w:val="clear" w:color="auto" w:fill="auto"/>
            <w:vAlign w:val="center"/>
            <w:hideMark/>
          </w:tcPr>
          <w:p w14:paraId="5D9081B5" w14:textId="77777777" w:rsidR="005760BD" w:rsidRPr="005760BD" w:rsidRDefault="005760BD" w:rsidP="005760BD">
            <w:pPr>
              <w:spacing w:line="240" w:lineRule="auto"/>
              <w:ind w:firstLine="0"/>
              <w:jc w:val="center"/>
              <w:rPr>
                <w:rFonts w:eastAsia="Times New Roman" w:cs="Times New Roman"/>
                <w:b/>
                <w:iCs/>
                <w:sz w:val="20"/>
                <w:szCs w:val="20"/>
                <w:lang w:eastAsia="nb-NO"/>
              </w:rPr>
            </w:pPr>
            <w:r w:rsidRPr="005760BD">
              <w:rPr>
                <w:rFonts w:eastAsia="Times New Roman" w:cs="Times New Roman"/>
                <w:b/>
                <w:iCs/>
                <w:sz w:val="20"/>
                <w:szCs w:val="20"/>
                <w:lang w:eastAsia="nb-NO"/>
              </w:rPr>
              <w:t>4</w:t>
            </w:r>
          </w:p>
        </w:tc>
        <w:tc>
          <w:tcPr>
            <w:tcW w:w="139" w:type="pct"/>
            <w:shd w:val="clear" w:color="auto" w:fill="auto"/>
            <w:vAlign w:val="center"/>
            <w:hideMark/>
          </w:tcPr>
          <w:p w14:paraId="0BCCF026" w14:textId="77777777" w:rsidR="005760BD" w:rsidRPr="005760BD" w:rsidRDefault="005760BD" w:rsidP="005760BD">
            <w:pPr>
              <w:spacing w:line="240" w:lineRule="auto"/>
              <w:ind w:firstLine="0"/>
              <w:jc w:val="center"/>
              <w:rPr>
                <w:rFonts w:eastAsia="Times New Roman" w:cs="Times New Roman"/>
                <w:b/>
                <w:iCs/>
                <w:sz w:val="20"/>
                <w:szCs w:val="20"/>
                <w:lang w:eastAsia="nb-NO"/>
              </w:rPr>
            </w:pPr>
            <w:r w:rsidRPr="005760BD">
              <w:rPr>
                <w:rFonts w:eastAsia="Times New Roman" w:cs="Times New Roman"/>
                <w:b/>
                <w:iCs/>
                <w:sz w:val="20"/>
                <w:szCs w:val="20"/>
                <w:lang w:eastAsia="nb-NO"/>
              </w:rPr>
              <w:t>1</w:t>
            </w:r>
          </w:p>
        </w:tc>
        <w:tc>
          <w:tcPr>
            <w:tcW w:w="139" w:type="pct"/>
            <w:shd w:val="clear" w:color="auto" w:fill="auto"/>
            <w:vAlign w:val="center"/>
            <w:hideMark/>
          </w:tcPr>
          <w:p w14:paraId="50258ACA" w14:textId="77777777" w:rsidR="005760BD" w:rsidRPr="005760BD" w:rsidRDefault="005760BD" w:rsidP="005760BD">
            <w:pPr>
              <w:spacing w:line="240" w:lineRule="auto"/>
              <w:ind w:firstLine="0"/>
              <w:jc w:val="center"/>
              <w:rPr>
                <w:rFonts w:eastAsia="Times New Roman" w:cs="Times New Roman"/>
                <w:b/>
                <w:iCs/>
                <w:sz w:val="20"/>
                <w:szCs w:val="20"/>
                <w:lang w:eastAsia="nb-NO"/>
              </w:rPr>
            </w:pPr>
            <w:r w:rsidRPr="005760BD">
              <w:rPr>
                <w:rFonts w:eastAsia="Times New Roman" w:cs="Times New Roman"/>
                <w:b/>
                <w:iCs/>
                <w:sz w:val="20"/>
                <w:szCs w:val="20"/>
                <w:lang w:eastAsia="nb-NO"/>
              </w:rPr>
              <w:t>2</w:t>
            </w:r>
          </w:p>
        </w:tc>
        <w:tc>
          <w:tcPr>
            <w:tcW w:w="139" w:type="pct"/>
            <w:shd w:val="clear" w:color="auto" w:fill="auto"/>
            <w:vAlign w:val="center"/>
            <w:hideMark/>
          </w:tcPr>
          <w:p w14:paraId="4B4A4EEF" w14:textId="77777777" w:rsidR="005760BD" w:rsidRPr="005760BD" w:rsidRDefault="005760BD" w:rsidP="005760BD">
            <w:pPr>
              <w:spacing w:line="240" w:lineRule="auto"/>
              <w:ind w:firstLine="0"/>
              <w:jc w:val="center"/>
              <w:rPr>
                <w:rFonts w:eastAsia="Times New Roman" w:cs="Times New Roman"/>
                <w:b/>
                <w:iCs/>
                <w:sz w:val="20"/>
                <w:szCs w:val="20"/>
                <w:lang w:eastAsia="nb-NO"/>
              </w:rPr>
            </w:pPr>
            <w:r w:rsidRPr="005760BD">
              <w:rPr>
                <w:rFonts w:eastAsia="Times New Roman" w:cs="Times New Roman"/>
                <w:b/>
                <w:iCs/>
                <w:sz w:val="20"/>
                <w:szCs w:val="20"/>
                <w:lang w:eastAsia="nb-NO"/>
              </w:rPr>
              <w:t>3</w:t>
            </w:r>
          </w:p>
        </w:tc>
        <w:tc>
          <w:tcPr>
            <w:tcW w:w="139" w:type="pct"/>
            <w:shd w:val="clear" w:color="auto" w:fill="auto"/>
            <w:vAlign w:val="center"/>
            <w:hideMark/>
          </w:tcPr>
          <w:p w14:paraId="7CC301B5" w14:textId="77777777" w:rsidR="005760BD" w:rsidRPr="005760BD" w:rsidRDefault="005760BD" w:rsidP="005760BD">
            <w:pPr>
              <w:spacing w:line="240" w:lineRule="auto"/>
              <w:ind w:firstLine="0"/>
              <w:jc w:val="center"/>
              <w:rPr>
                <w:rFonts w:eastAsia="Times New Roman" w:cs="Times New Roman"/>
                <w:b/>
                <w:iCs/>
                <w:sz w:val="20"/>
                <w:szCs w:val="20"/>
                <w:lang w:eastAsia="nb-NO"/>
              </w:rPr>
            </w:pPr>
            <w:r w:rsidRPr="005760BD">
              <w:rPr>
                <w:rFonts w:eastAsia="Times New Roman" w:cs="Times New Roman"/>
                <w:b/>
                <w:iCs/>
                <w:sz w:val="20"/>
                <w:szCs w:val="20"/>
                <w:lang w:eastAsia="nb-NO"/>
              </w:rPr>
              <w:t>4</w:t>
            </w:r>
          </w:p>
        </w:tc>
        <w:tc>
          <w:tcPr>
            <w:tcW w:w="226" w:type="pct"/>
            <w:shd w:val="clear" w:color="auto" w:fill="auto"/>
            <w:vAlign w:val="center"/>
            <w:hideMark/>
          </w:tcPr>
          <w:p w14:paraId="6025899E" w14:textId="77777777" w:rsidR="005760BD" w:rsidRPr="005760BD" w:rsidRDefault="005760BD" w:rsidP="005760BD">
            <w:pPr>
              <w:spacing w:line="240" w:lineRule="auto"/>
              <w:ind w:firstLine="0"/>
              <w:jc w:val="center"/>
              <w:rPr>
                <w:rFonts w:eastAsia="Times New Roman" w:cs="Times New Roman"/>
                <w:b/>
                <w:iCs/>
                <w:sz w:val="20"/>
                <w:szCs w:val="20"/>
                <w:lang w:eastAsia="nb-NO"/>
              </w:rPr>
            </w:pPr>
            <w:r w:rsidRPr="005760BD">
              <w:rPr>
                <w:rFonts w:eastAsia="Times New Roman" w:cs="Times New Roman"/>
                <w:b/>
                <w:iCs/>
                <w:sz w:val="20"/>
                <w:szCs w:val="20"/>
                <w:lang w:eastAsia="nb-NO"/>
              </w:rPr>
              <w:t>1</w:t>
            </w:r>
          </w:p>
        </w:tc>
        <w:tc>
          <w:tcPr>
            <w:tcW w:w="227" w:type="pct"/>
            <w:shd w:val="clear" w:color="auto" w:fill="auto"/>
            <w:vAlign w:val="center"/>
            <w:hideMark/>
          </w:tcPr>
          <w:p w14:paraId="1B1D5ED2" w14:textId="77777777" w:rsidR="005760BD" w:rsidRPr="005760BD" w:rsidRDefault="005760BD" w:rsidP="005760BD">
            <w:pPr>
              <w:spacing w:line="240" w:lineRule="auto"/>
              <w:ind w:firstLine="0"/>
              <w:jc w:val="center"/>
              <w:rPr>
                <w:rFonts w:eastAsia="Times New Roman" w:cs="Times New Roman"/>
                <w:b/>
                <w:iCs/>
                <w:sz w:val="20"/>
                <w:szCs w:val="20"/>
                <w:lang w:eastAsia="nb-NO"/>
              </w:rPr>
            </w:pPr>
            <w:r w:rsidRPr="005760BD">
              <w:rPr>
                <w:rFonts w:eastAsia="Times New Roman" w:cs="Times New Roman"/>
                <w:b/>
                <w:iCs/>
                <w:sz w:val="20"/>
                <w:szCs w:val="20"/>
                <w:lang w:eastAsia="nb-NO"/>
              </w:rPr>
              <w:t>2</w:t>
            </w:r>
          </w:p>
        </w:tc>
        <w:tc>
          <w:tcPr>
            <w:tcW w:w="227" w:type="pct"/>
            <w:shd w:val="clear" w:color="auto" w:fill="auto"/>
            <w:vAlign w:val="center"/>
            <w:hideMark/>
          </w:tcPr>
          <w:p w14:paraId="50CB71C2" w14:textId="77777777" w:rsidR="005760BD" w:rsidRPr="005760BD" w:rsidRDefault="005760BD" w:rsidP="005760BD">
            <w:pPr>
              <w:spacing w:line="240" w:lineRule="auto"/>
              <w:ind w:firstLine="0"/>
              <w:jc w:val="center"/>
              <w:rPr>
                <w:rFonts w:eastAsia="Times New Roman" w:cs="Times New Roman"/>
                <w:b/>
                <w:iCs/>
                <w:sz w:val="20"/>
                <w:szCs w:val="20"/>
                <w:lang w:eastAsia="nb-NO"/>
              </w:rPr>
            </w:pPr>
            <w:r w:rsidRPr="005760BD">
              <w:rPr>
                <w:rFonts w:eastAsia="Times New Roman" w:cs="Times New Roman"/>
                <w:b/>
                <w:iCs/>
                <w:sz w:val="20"/>
                <w:szCs w:val="20"/>
                <w:lang w:eastAsia="nb-NO"/>
              </w:rPr>
              <w:t>3</w:t>
            </w:r>
          </w:p>
        </w:tc>
      </w:tr>
      <w:tr w:rsidR="005760BD" w:rsidRPr="005760BD" w14:paraId="38F4A227" w14:textId="77777777" w:rsidTr="005760BD">
        <w:trPr>
          <w:cantSplit/>
          <w:trHeight w:val="284"/>
          <w:tblHeader/>
        </w:trPr>
        <w:tc>
          <w:tcPr>
            <w:tcW w:w="964" w:type="pct"/>
            <w:shd w:val="clear" w:color="auto" w:fill="auto"/>
            <w:vAlign w:val="center"/>
            <w:hideMark/>
          </w:tcPr>
          <w:p w14:paraId="25841314"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Hilson &amp; Maconachie (2009)</w:t>
            </w:r>
          </w:p>
        </w:tc>
        <w:tc>
          <w:tcPr>
            <w:tcW w:w="205" w:type="pct"/>
            <w:shd w:val="clear" w:color="auto" w:fill="auto"/>
            <w:vAlign w:val="center"/>
            <w:hideMark/>
          </w:tcPr>
          <w:p w14:paraId="56DCBB0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6CFF264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433" w:type="pct"/>
            <w:shd w:val="clear" w:color="auto" w:fill="auto"/>
            <w:vAlign w:val="center"/>
            <w:hideMark/>
          </w:tcPr>
          <w:p w14:paraId="136C3083" w14:textId="76F50ABB"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388DC66A"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201AC8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544464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748009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139" w:type="pct"/>
            <w:shd w:val="clear" w:color="auto" w:fill="auto"/>
            <w:vAlign w:val="center"/>
            <w:hideMark/>
          </w:tcPr>
          <w:p w14:paraId="104B2D3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F12960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771399A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5FBBF6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65EB34A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6" w:type="pct"/>
            <w:shd w:val="clear" w:color="auto" w:fill="auto"/>
            <w:vAlign w:val="center"/>
            <w:hideMark/>
          </w:tcPr>
          <w:p w14:paraId="0B4EC64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T</w:t>
            </w:r>
          </w:p>
        </w:tc>
        <w:tc>
          <w:tcPr>
            <w:tcW w:w="227" w:type="pct"/>
            <w:shd w:val="clear" w:color="auto" w:fill="auto"/>
            <w:vAlign w:val="center"/>
            <w:hideMark/>
          </w:tcPr>
          <w:p w14:paraId="681957B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2F4659E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T</w:t>
            </w:r>
          </w:p>
        </w:tc>
      </w:tr>
      <w:tr w:rsidR="005760BD" w:rsidRPr="005760BD" w14:paraId="1F47DD73" w14:textId="77777777" w:rsidTr="005760BD">
        <w:trPr>
          <w:cantSplit/>
          <w:trHeight w:val="284"/>
          <w:tblHeader/>
        </w:trPr>
        <w:tc>
          <w:tcPr>
            <w:tcW w:w="964" w:type="pct"/>
            <w:shd w:val="clear" w:color="auto" w:fill="auto"/>
            <w:vAlign w:val="center"/>
            <w:hideMark/>
          </w:tcPr>
          <w:p w14:paraId="1BFD8FD5"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Rainbow insight (2009)</w:t>
            </w:r>
          </w:p>
        </w:tc>
        <w:tc>
          <w:tcPr>
            <w:tcW w:w="205" w:type="pct"/>
            <w:shd w:val="clear" w:color="auto" w:fill="auto"/>
            <w:vAlign w:val="center"/>
            <w:hideMark/>
          </w:tcPr>
          <w:p w14:paraId="698393C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289" w:type="pct"/>
            <w:shd w:val="clear" w:color="auto" w:fill="auto"/>
            <w:vAlign w:val="center"/>
            <w:hideMark/>
          </w:tcPr>
          <w:p w14:paraId="77CA0CD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433" w:type="pct"/>
            <w:shd w:val="clear" w:color="auto" w:fill="auto"/>
            <w:vAlign w:val="center"/>
            <w:hideMark/>
          </w:tcPr>
          <w:p w14:paraId="1D5C81FC" w14:textId="31A9B001"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00F3523A"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Cameroon</w:t>
            </w:r>
          </w:p>
        </w:tc>
        <w:tc>
          <w:tcPr>
            <w:tcW w:w="139" w:type="pct"/>
            <w:shd w:val="clear" w:color="auto" w:fill="auto"/>
            <w:vAlign w:val="center"/>
            <w:hideMark/>
          </w:tcPr>
          <w:p w14:paraId="11A63EF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1CA063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2E5D165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139" w:type="pct"/>
            <w:shd w:val="clear" w:color="auto" w:fill="auto"/>
            <w:vAlign w:val="center"/>
            <w:hideMark/>
          </w:tcPr>
          <w:p w14:paraId="442F5CE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680B5F0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749303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6DCB68F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F860A3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6" w:type="pct"/>
            <w:shd w:val="clear" w:color="auto" w:fill="auto"/>
            <w:vAlign w:val="center"/>
            <w:hideMark/>
          </w:tcPr>
          <w:p w14:paraId="4443CFF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788D9EE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6C15E6E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1B7F18AA" w14:textId="77777777" w:rsidTr="005760BD">
        <w:trPr>
          <w:cantSplit/>
          <w:trHeight w:val="284"/>
          <w:tblHeader/>
        </w:trPr>
        <w:tc>
          <w:tcPr>
            <w:tcW w:w="964" w:type="pct"/>
            <w:shd w:val="clear" w:color="auto" w:fill="auto"/>
            <w:vAlign w:val="center"/>
            <w:hideMark/>
          </w:tcPr>
          <w:p w14:paraId="23073ACE"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Shaxson (2009)</w:t>
            </w:r>
          </w:p>
        </w:tc>
        <w:tc>
          <w:tcPr>
            <w:tcW w:w="205" w:type="pct"/>
            <w:shd w:val="clear" w:color="auto" w:fill="auto"/>
            <w:vAlign w:val="center"/>
            <w:hideMark/>
          </w:tcPr>
          <w:p w14:paraId="6767A2E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289" w:type="pct"/>
            <w:shd w:val="clear" w:color="auto" w:fill="auto"/>
            <w:vAlign w:val="center"/>
            <w:hideMark/>
          </w:tcPr>
          <w:p w14:paraId="0DE0C53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433" w:type="pct"/>
            <w:shd w:val="clear" w:color="auto" w:fill="auto"/>
            <w:vAlign w:val="center"/>
            <w:hideMark/>
          </w:tcPr>
          <w:p w14:paraId="02F9C3C5" w14:textId="77777777" w:rsidR="005760BD" w:rsidRPr="005760BD" w:rsidRDefault="005760BD" w:rsidP="002B6C48">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1999-2008</w:t>
            </w:r>
          </w:p>
        </w:tc>
        <w:tc>
          <w:tcPr>
            <w:tcW w:w="1316" w:type="pct"/>
            <w:shd w:val="clear" w:color="auto" w:fill="auto"/>
            <w:vAlign w:val="center"/>
            <w:hideMark/>
          </w:tcPr>
          <w:p w14:paraId="42D7FD4F"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Nigeria</w:t>
            </w:r>
          </w:p>
        </w:tc>
        <w:tc>
          <w:tcPr>
            <w:tcW w:w="139" w:type="pct"/>
            <w:shd w:val="clear" w:color="auto" w:fill="auto"/>
            <w:vAlign w:val="center"/>
            <w:hideMark/>
          </w:tcPr>
          <w:p w14:paraId="731DA80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3C2F2D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78EB499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75723E9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AD88EC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0E9893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139" w:type="pct"/>
            <w:shd w:val="clear" w:color="auto" w:fill="auto"/>
            <w:vAlign w:val="center"/>
            <w:hideMark/>
          </w:tcPr>
          <w:p w14:paraId="3A41A33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139" w:type="pct"/>
            <w:shd w:val="clear" w:color="auto" w:fill="auto"/>
            <w:vAlign w:val="center"/>
            <w:hideMark/>
          </w:tcPr>
          <w:p w14:paraId="031EB96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226" w:type="pct"/>
            <w:shd w:val="clear" w:color="auto" w:fill="auto"/>
            <w:vAlign w:val="center"/>
            <w:hideMark/>
          </w:tcPr>
          <w:p w14:paraId="4CBBE1D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227" w:type="pct"/>
            <w:shd w:val="clear" w:color="auto" w:fill="auto"/>
            <w:vAlign w:val="center"/>
            <w:hideMark/>
          </w:tcPr>
          <w:p w14:paraId="5ED3AFC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7A0B386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r>
      <w:tr w:rsidR="005760BD" w:rsidRPr="005760BD" w14:paraId="6EACD343" w14:textId="77777777" w:rsidTr="005760BD">
        <w:trPr>
          <w:cantSplit/>
          <w:trHeight w:val="284"/>
          <w:tblHeader/>
        </w:trPr>
        <w:tc>
          <w:tcPr>
            <w:tcW w:w="964" w:type="pct"/>
            <w:shd w:val="clear" w:color="auto" w:fill="auto"/>
            <w:vAlign w:val="center"/>
            <w:hideMark/>
          </w:tcPr>
          <w:p w14:paraId="75E1FE68"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Ölcer (2009)</w:t>
            </w:r>
          </w:p>
        </w:tc>
        <w:tc>
          <w:tcPr>
            <w:tcW w:w="205" w:type="pct"/>
            <w:shd w:val="clear" w:color="auto" w:fill="auto"/>
            <w:vAlign w:val="center"/>
            <w:hideMark/>
          </w:tcPr>
          <w:p w14:paraId="79E9D50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289" w:type="pct"/>
            <w:shd w:val="clear" w:color="auto" w:fill="auto"/>
            <w:vAlign w:val="center"/>
            <w:hideMark/>
          </w:tcPr>
          <w:p w14:paraId="1A9DD06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 and 2</w:t>
            </w:r>
          </w:p>
        </w:tc>
        <w:tc>
          <w:tcPr>
            <w:tcW w:w="433" w:type="pct"/>
            <w:shd w:val="clear" w:color="auto" w:fill="auto"/>
            <w:vAlign w:val="center"/>
            <w:hideMark/>
          </w:tcPr>
          <w:p w14:paraId="335099B8" w14:textId="77777777" w:rsidR="005760BD" w:rsidRPr="005760BD" w:rsidRDefault="005760BD" w:rsidP="002B6C48">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2002-2008</w:t>
            </w:r>
          </w:p>
        </w:tc>
        <w:tc>
          <w:tcPr>
            <w:tcW w:w="1316" w:type="pct"/>
            <w:shd w:val="clear" w:color="auto" w:fill="auto"/>
            <w:vAlign w:val="center"/>
            <w:hideMark/>
          </w:tcPr>
          <w:p w14:paraId="3625F851"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26 resource rich countries</w:t>
            </w:r>
          </w:p>
        </w:tc>
        <w:tc>
          <w:tcPr>
            <w:tcW w:w="139" w:type="pct"/>
            <w:shd w:val="clear" w:color="auto" w:fill="auto"/>
            <w:vAlign w:val="center"/>
            <w:hideMark/>
          </w:tcPr>
          <w:p w14:paraId="69B4186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D195DF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139" w:type="pct"/>
            <w:shd w:val="clear" w:color="auto" w:fill="auto"/>
            <w:vAlign w:val="center"/>
            <w:hideMark/>
          </w:tcPr>
          <w:p w14:paraId="1135D2A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58DFEE7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1CB5CB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1B08F0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139" w:type="pct"/>
            <w:shd w:val="clear" w:color="auto" w:fill="auto"/>
            <w:vAlign w:val="center"/>
            <w:hideMark/>
          </w:tcPr>
          <w:p w14:paraId="3D6BE26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139" w:type="pct"/>
            <w:shd w:val="clear" w:color="auto" w:fill="auto"/>
            <w:vAlign w:val="center"/>
            <w:hideMark/>
          </w:tcPr>
          <w:p w14:paraId="6ED846C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226" w:type="pct"/>
            <w:shd w:val="clear" w:color="auto" w:fill="auto"/>
            <w:vAlign w:val="center"/>
            <w:hideMark/>
          </w:tcPr>
          <w:p w14:paraId="7A1F37B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227" w:type="pct"/>
            <w:shd w:val="clear" w:color="auto" w:fill="auto"/>
            <w:vAlign w:val="center"/>
            <w:hideMark/>
          </w:tcPr>
          <w:p w14:paraId="1AA8A2E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527F09E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197D8948" w14:textId="77777777" w:rsidTr="005760BD">
        <w:trPr>
          <w:cantSplit/>
          <w:trHeight w:val="284"/>
          <w:tblHeader/>
        </w:trPr>
        <w:tc>
          <w:tcPr>
            <w:tcW w:w="964" w:type="pct"/>
            <w:shd w:val="clear" w:color="auto" w:fill="auto"/>
            <w:vAlign w:val="center"/>
            <w:hideMark/>
          </w:tcPr>
          <w:p w14:paraId="7731AF71"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Haufler (2010)</w:t>
            </w:r>
          </w:p>
        </w:tc>
        <w:tc>
          <w:tcPr>
            <w:tcW w:w="205" w:type="pct"/>
            <w:shd w:val="clear" w:color="auto" w:fill="auto"/>
            <w:vAlign w:val="center"/>
            <w:hideMark/>
          </w:tcPr>
          <w:p w14:paraId="482476D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39F0DD0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433" w:type="pct"/>
            <w:shd w:val="clear" w:color="auto" w:fill="auto"/>
            <w:vAlign w:val="center"/>
            <w:hideMark/>
          </w:tcPr>
          <w:p w14:paraId="685BCF66" w14:textId="55D1EACE"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253059F1"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AF73CE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9E764C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0D11BC0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7C66FF9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667C2F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5AF03F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6375E0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51F7A8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6" w:type="pct"/>
            <w:shd w:val="clear" w:color="auto" w:fill="auto"/>
            <w:vAlign w:val="center"/>
            <w:hideMark/>
          </w:tcPr>
          <w:p w14:paraId="33AC5F2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76CBAB1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7E6F939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4F8D9116" w14:textId="77777777" w:rsidTr="005760BD">
        <w:trPr>
          <w:cantSplit/>
          <w:trHeight w:val="284"/>
          <w:tblHeader/>
        </w:trPr>
        <w:tc>
          <w:tcPr>
            <w:tcW w:w="964" w:type="pct"/>
            <w:shd w:val="clear" w:color="auto" w:fill="auto"/>
            <w:vAlign w:val="center"/>
            <w:hideMark/>
          </w:tcPr>
          <w:p w14:paraId="00085405"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 xml:space="preserve">EITI (2010) </w:t>
            </w:r>
          </w:p>
        </w:tc>
        <w:tc>
          <w:tcPr>
            <w:tcW w:w="205" w:type="pct"/>
            <w:shd w:val="clear" w:color="auto" w:fill="auto"/>
            <w:vAlign w:val="center"/>
            <w:hideMark/>
          </w:tcPr>
          <w:p w14:paraId="5A8BF48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289" w:type="pct"/>
            <w:shd w:val="clear" w:color="auto" w:fill="auto"/>
            <w:vAlign w:val="center"/>
            <w:hideMark/>
          </w:tcPr>
          <w:p w14:paraId="46306EB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433" w:type="pct"/>
            <w:shd w:val="clear" w:color="auto" w:fill="auto"/>
            <w:vAlign w:val="center"/>
            <w:hideMark/>
          </w:tcPr>
          <w:p w14:paraId="4B13D571" w14:textId="7129D5DF"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52F03906"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Sub-Saharan Africa</w:t>
            </w:r>
          </w:p>
        </w:tc>
        <w:tc>
          <w:tcPr>
            <w:tcW w:w="139" w:type="pct"/>
            <w:shd w:val="clear" w:color="auto" w:fill="auto"/>
            <w:vAlign w:val="center"/>
            <w:hideMark/>
          </w:tcPr>
          <w:p w14:paraId="64C8876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7BFE52C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66BB760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0AB2E8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224B7E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5B0D27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7B880BF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D4095B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226" w:type="pct"/>
            <w:shd w:val="clear" w:color="auto" w:fill="auto"/>
            <w:vAlign w:val="center"/>
            <w:hideMark/>
          </w:tcPr>
          <w:p w14:paraId="21BC7F4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227" w:type="pct"/>
            <w:shd w:val="clear" w:color="auto" w:fill="auto"/>
            <w:vAlign w:val="center"/>
            <w:hideMark/>
          </w:tcPr>
          <w:p w14:paraId="576C5D1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227" w:type="pct"/>
            <w:shd w:val="clear" w:color="auto" w:fill="auto"/>
            <w:vAlign w:val="center"/>
            <w:hideMark/>
          </w:tcPr>
          <w:p w14:paraId="733B934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51E2AAEB" w14:textId="77777777" w:rsidTr="005760BD">
        <w:trPr>
          <w:cantSplit/>
          <w:trHeight w:val="284"/>
          <w:tblHeader/>
        </w:trPr>
        <w:tc>
          <w:tcPr>
            <w:tcW w:w="964" w:type="pct"/>
            <w:shd w:val="clear" w:color="auto" w:fill="auto"/>
            <w:vAlign w:val="center"/>
            <w:hideMark/>
          </w:tcPr>
          <w:p w14:paraId="0503DCBA"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Keblusek (2010)</w:t>
            </w:r>
          </w:p>
        </w:tc>
        <w:tc>
          <w:tcPr>
            <w:tcW w:w="205" w:type="pct"/>
            <w:shd w:val="clear" w:color="auto" w:fill="auto"/>
            <w:noWrap/>
            <w:vAlign w:val="center"/>
            <w:hideMark/>
          </w:tcPr>
          <w:p w14:paraId="003775F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289" w:type="pct"/>
            <w:shd w:val="clear" w:color="auto" w:fill="auto"/>
            <w:vAlign w:val="center"/>
            <w:hideMark/>
          </w:tcPr>
          <w:p w14:paraId="6AB5F0A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433" w:type="pct"/>
            <w:shd w:val="clear" w:color="auto" w:fill="auto"/>
            <w:vAlign w:val="center"/>
            <w:hideMark/>
          </w:tcPr>
          <w:p w14:paraId="60DF1C86" w14:textId="6CFEC192"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6A563CAF"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Nigeria</w:t>
            </w:r>
          </w:p>
        </w:tc>
        <w:tc>
          <w:tcPr>
            <w:tcW w:w="139" w:type="pct"/>
            <w:shd w:val="clear" w:color="auto" w:fill="auto"/>
            <w:vAlign w:val="center"/>
            <w:hideMark/>
          </w:tcPr>
          <w:p w14:paraId="0962F70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4AB2E7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262184A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6EEB188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C195B7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3D6F5D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139" w:type="pct"/>
            <w:shd w:val="clear" w:color="auto" w:fill="auto"/>
            <w:vAlign w:val="center"/>
            <w:hideMark/>
          </w:tcPr>
          <w:p w14:paraId="68A129F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139" w:type="pct"/>
            <w:shd w:val="clear" w:color="auto" w:fill="auto"/>
            <w:vAlign w:val="center"/>
            <w:hideMark/>
          </w:tcPr>
          <w:p w14:paraId="09D4D1A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226" w:type="pct"/>
            <w:shd w:val="clear" w:color="auto" w:fill="auto"/>
            <w:vAlign w:val="center"/>
            <w:hideMark/>
          </w:tcPr>
          <w:p w14:paraId="447C18C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227" w:type="pct"/>
            <w:shd w:val="clear" w:color="auto" w:fill="auto"/>
            <w:vAlign w:val="center"/>
            <w:hideMark/>
          </w:tcPr>
          <w:p w14:paraId="67D0A3E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4A2D960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2EA999F3" w14:textId="77777777" w:rsidTr="005760BD">
        <w:trPr>
          <w:cantSplit/>
          <w:trHeight w:val="284"/>
          <w:tblHeader/>
        </w:trPr>
        <w:tc>
          <w:tcPr>
            <w:tcW w:w="964" w:type="pct"/>
            <w:shd w:val="clear" w:color="auto" w:fill="auto"/>
            <w:vAlign w:val="center"/>
            <w:hideMark/>
          </w:tcPr>
          <w:p w14:paraId="7FC3E1AB"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Aaronson and Brinkerhoff (2011)</w:t>
            </w:r>
          </w:p>
        </w:tc>
        <w:tc>
          <w:tcPr>
            <w:tcW w:w="205" w:type="pct"/>
            <w:shd w:val="clear" w:color="auto" w:fill="auto"/>
            <w:vAlign w:val="center"/>
            <w:hideMark/>
          </w:tcPr>
          <w:p w14:paraId="18B5575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7FE4153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433" w:type="pct"/>
            <w:shd w:val="clear" w:color="auto" w:fill="auto"/>
            <w:vAlign w:val="center"/>
            <w:hideMark/>
          </w:tcPr>
          <w:p w14:paraId="6C0FE2A8" w14:textId="77777777" w:rsidR="005760BD" w:rsidRPr="005760BD" w:rsidRDefault="005760BD" w:rsidP="002B6C48">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2008</w:t>
            </w:r>
          </w:p>
        </w:tc>
        <w:tc>
          <w:tcPr>
            <w:tcW w:w="1316" w:type="pct"/>
            <w:shd w:val="clear" w:color="auto" w:fill="auto"/>
            <w:vAlign w:val="center"/>
            <w:hideMark/>
          </w:tcPr>
          <w:p w14:paraId="3877400B"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EITI countries (survey sent to 23 countries and 38 firms)</w:t>
            </w:r>
          </w:p>
        </w:tc>
        <w:tc>
          <w:tcPr>
            <w:tcW w:w="139" w:type="pct"/>
            <w:shd w:val="clear" w:color="auto" w:fill="auto"/>
            <w:vAlign w:val="center"/>
            <w:hideMark/>
          </w:tcPr>
          <w:p w14:paraId="51E0A6F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271F15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844D63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63DA277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328B7E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C23F13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9E870D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139" w:type="pct"/>
            <w:shd w:val="clear" w:color="auto" w:fill="auto"/>
            <w:vAlign w:val="center"/>
            <w:hideMark/>
          </w:tcPr>
          <w:p w14:paraId="453EB17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226" w:type="pct"/>
            <w:shd w:val="clear" w:color="auto" w:fill="auto"/>
            <w:vAlign w:val="center"/>
            <w:hideMark/>
          </w:tcPr>
          <w:p w14:paraId="112BF52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5E67E25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5262AD9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60FEBB0D" w14:textId="77777777" w:rsidTr="005760BD">
        <w:trPr>
          <w:cantSplit/>
          <w:trHeight w:val="284"/>
          <w:tblHeader/>
        </w:trPr>
        <w:tc>
          <w:tcPr>
            <w:tcW w:w="964" w:type="pct"/>
            <w:shd w:val="clear" w:color="auto" w:fill="auto"/>
            <w:vAlign w:val="center"/>
            <w:hideMark/>
          </w:tcPr>
          <w:p w14:paraId="3B83C5EF"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Carbonnier &amp; al. (2011)</w:t>
            </w:r>
          </w:p>
        </w:tc>
        <w:tc>
          <w:tcPr>
            <w:tcW w:w="205" w:type="pct"/>
            <w:shd w:val="clear" w:color="auto" w:fill="auto"/>
            <w:vAlign w:val="center"/>
            <w:hideMark/>
          </w:tcPr>
          <w:p w14:paraId="494D46A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349D476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433" w:type="pct"/>
            <w:shd w:val="clear" w:color="auto" w:fill="auto"/>
            <w:vAlign w:val="center"/>
            <w:hideMark/>
          </w:tcPr>
          <w:p w14:paraId="10C9B548" w14:textId="77777777" w:rsidR="005760BD" w:rsidRPr="005760BD" w:rsidRDefault="005760BD" w:rsidP="002B6C48">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1999-2009</w:t>
            </w:r>
          </w:p>
        </w:tc>
        <w:tc>
          <w:tcPr>
            <w:tcW w:w="1316" w:type="pct"/>
            <w:shd w:val="clear" w:color="auto" w:fill="auto"/>
            <w:vAlign w:val="center"/>
            <w:hideMark/>
          </w:tcPr>
          <w:p w14:paraId="253C43BB"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Azerbaijan and Nigeria</w:t>
            </w:r>
          </w:p>
        </w:tc>
        <w:tc>
          <w:tcPr>
            <w:tcW w:w="139" w:type="pct"/>
            <w:shd w:val="clear" w:color="auto" w:fill="auto"/>
            <w:vAlign w:val="center"/>
            <w:hideMark/>
          </w:tcPr>
          <w:p w14:paraId="13FF15B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BF174A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914528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BAFD40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366AEA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1545D09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25F3D7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139" w:type="pct"/>
            <w:shd w:val="clear" w:color="auto" w:fill="auto"/>
            <w:vAlign w:val="center"/>
            <w:hideMark/>
          </w:tcPr>
          <w:p w14:paraId="0AC5E29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226" w:type="pct"/>
            <w:shd w:val="clear" w:color="auto" w:fill="auto"/>
            <w:vAlign w:val="center"/>
            <w:hideMark/>
          </w:tcPr>
          <w:p w14:paraId="64916A1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39A065B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596A605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740F949F" w14:textId="77777777" w:rsidTr="005760BD">
        <w:trPr>
          <w:cantSplit/>
          <w:trHeight w:val="284"/>
          <w:tblHeader/>
        </w:trPr>
        <w:tc>
          <w:tcPr>
            <w:tcW w:w="964" w:type="pct"/>
            <w:shd w:val="clear" w:color="auto" w:fill="auto"/>
            <w:vAlign w:val="center"/>
            <w:hideMark/>
          </w:tcPr>
          <w:p w14:paraId="275ACC92"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Gillies &amp; Heuty (2011)</w:t>
            </w:r>
          </w:p>
        </w:tc>
        <w:tc>
          <w:tcPr>
            <w:tcW w:w="205" w:type="pct"/>
            <w:shd w:val="clear" w:color="auto" w:fill="auto"/>
            <w:vAlign w:val="center"/>
            <w:hideMark/>
          </w:tcPr>
          <w:p w14:paraId="6166D7A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416B061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433" w:type="pct"/>
            <w:shd w:val="clear" w:color="auto" w:fill="auto"/>
            <w:vAlign w:val="center"/>
            <w:hideMark/>
          </w:tcPr>
          <w:p w14:paraId="41D68371" w14:textId="0454FE18"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5D7D5805"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CA6AD1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14ABC5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7B2955C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7BCBFE1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BDFBA0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0F1951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EF22DD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139" w:type="pct"/>
            <w:shd w:val="clear" w:color="auto" w:fill="auto"/>
            <w:vAlign w:val="center"/>
            <w:hideMark/>
          </w:tcPr>
          <w:p w14:paraId="6BD53C5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226" w:type="pct"/>
            <w:shd w:val="clear" w:color="auto" w:fill="auto"/>
            <w:vAlign w:val="center"/>
            <w:hideMark/>
          </w:tcPr>
          <w:p w14:paraId="6E78A80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25D2E6E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26F0844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42AB363F" w14:textId="77777777" w:rsidTr="005760BD">
        <w:trPr>
          <w:cantSplit/>
          <w:trHeight w:val="284"/>
          <w:tblHeader/>
        </w:trPr>
        <w:tc>
          <w:tcPr>
            <w:tcW w:w="964" w:type="pct"/>
            <w:shd w:val="clear" w:color="auto" w:fill="auto"/>
            <w:vAlign w:val="center"/>
            <w:hideMark/>
          </w:tcPr>
          <w:p w14:paraId="14C58922"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Randall and Blamo (2011)</w:t>
            </w:r>
          </w:p>
        </w:tc>
        <w:tc>
          <w:tcPr>
            <w:tcW w:w="205" w:type="pct"/>
            <w:shd w:val="clear" w:color="auto" w:fill="auto"/>
            <w:vAlign w:val="center"/>
            <w:hideMark/>
          </w:tcPr>
          <w:p w14:paraId="792A8A1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289" w:type="pct"/>
            <w:shd w:val="clear" w:color="auto" w:fill="auto"/>
            <w:vAlign w:val="center"/>
            <w:hideMark/>
          </w:tcPr>
          <w:p w14:paraId="7000325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433" w:type="pct"/>
            <w:shd w:val="clear" w:color="auto" w:fill="auto"/>
            <w:vAlign w:val="center"/>
            <w:hideMark/>
          </w:tcPr>
          <w:p w14:paraId="52978D2B" w14:textId="4BA4A287"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1B0F7D92"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Liberia</w:t>
            </w:r>
          </w:p>
        </w:tc>
        <w:tc>
          <w:tcPr>
            <w:tcW w:w="139" w:type="pct"/>
            <w:shd w:val="clear" w:color="auto" w:fill="auto"/>
            <w:vAlign w:val="center"/>
            <w:hideMark/>
          </w:tcPr>
          <w:p w14:paraId="3C51007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A8A9D9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2CC2F4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6E3D871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97432D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9CFE0A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6E9A85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139" w:type="pct"/>
            <w:shd w:val="clear" w:color="auto" w:fill="auto"/>
            <w:vAlign w:val="center"/>
            <w:hideMark/>
          </w:tcPr>
          <w:p w14:paraId="4CEB738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6" w:type="pct"/>
            <w:shd w:val="clear" w:color="auto" w:fill="auto"/>
            <w:vAlign w:val="center"/>
            <w:hideMark/>
          </w:tcPr>
          <w:p w14:paraId="7FBD150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13DBC25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70BAA07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21CB0848" w14:textId="77777777" w:rsidTr="005760BD">
        <w:trPr>
          <w:cantSplit/>
          <w:trHeight w:val="284"/>
          <w:tblHeader/>
        </w:trPr>
        <w:tc>
          <w:tcPr>
            <w:tcW w:w="964" w:type="pct"/>
            <w:shd w:val="clear" w:color="auto" w:fill="auto"/>
            <w:vAlign w:val="center"/>
            <w:hideMark/>
          </w:tcPr>
          <w:p w14:paraId="3D4CE521" w14:textId="77777777" w:rsidR="005760BD" w:rsidRPr="005760BD" w:rsidRDefault="005760BD" w:rsidP="005760BD">
            <w:pPr>
              <w:spacing w:line="240" w:lineRule="auto"/>
              <w:ind w:firstLine="0"/>
              <w:jc w:val="left"/>
              <w:rPr>
                <w:rFonts w:eastAsia="Times New Roman" w:cs="Times New Roman"/>
                <w:sz w:val="20"/>
                <w:szCs w:val="20"/>
                <w:lang w:eastAsia="nb-NO"/>
              </w:rPr>
            </w:pPr>
            <w:r w:rsidRPr="006F0EAE">
              <w:rPr>
                <w:rFonts w:eastAsia="Times New Roman" w:cs="Times New Roman"/>
                <w:sz w:val="20"/>
                <w:szCs w:val="20"/>
                <w:lang w:eastAsia="nb-NO"/>
              </w:rPr>
              <w:t>Scanteam</w:t>
            </w:r>
            <w:r w:rsidRPr="005760BD">
              <w:rPr>
                <w:rFonts w:eastAsia="Times New Roman" w:cs="Times New Roman"/>
                <w:sz w:val="20"/>
                <w:szCs w:val="20"/>
                <w:lang w:eastAsia="nb-NO"/>
              </w:rPr>
              <w:t xml:space="preserve"> (2011)</w:t>
            </w:r>
          </w:p>
        </w:tc>
        <w:tc>
          <w:tcPr>
            <w:tcW w:w="205" w:type="pct"/>
            <w:shd w:val="clear" w:color="auto" w:fill="auto"/>
            <w:vAlign w:val="center"/>
            <w:hideMark/>
          </w:tcPr>
          <w:p w14:paraId="49FEFF7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289" w:type="pct"/>
            <w:shd w:val="clear" w:color="auto" w:fill="auto"/>
            <w:vAlign w:val="center"/>
            <w:hideMark/>
          </w:tcPr>
          <w:p w14:paraId="569ABE2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 and 2</w:t>
            </w:r>
          </w:p>
        </w:tc>
        <w:tc>
          <w:tcPr>
            <w:tcW w:w="433" w:type="pct"/>
            <w:shd w:val="clear" w:color="auto" w:fill="auto"/>
            <w:vAlign w:val="center"/>
            <w:hideMark/>
          </w:tcPr>
          <w:p w14:paraId="097E0D81" w14:textId="77777777" w:rsidR="005760BD" w:rsidRPr="005760BD" w:rsidRDefault="005760BD" w:rsidP="002B6C48">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2000-2009</w:t>
            </w:r>
          </w:p>
        </w:tc>
        <w:tc>
          <w:tcPr>
            <w:tcW w:w="1316" w:type="pct"/>
            <w:shd w:val="clear" w:color="auto" w:fill="auto"/>
            <w:vAlign w:val="center"/>
            <w:hideMark/>
          </w:tcPr>
          <w:p w14:paraId="43D8C2D6" w14:textId="77777777" w:rsidR="005760BD" w:rsidRPr="005760BD" w:rsidRDefault="005760BD" w:rsidP="005760BD">
            <w:pPr>
              <w:spacing w:line="240" w:lineRule="auto"/>
              <w:ind w:firstLine="0"/>
              <w:jc w:val="left"/>
              <w:rPr>
                <w:rFonts w:eastAsia="Times New Roman" w:cs="Times New Roman"/>
                <w:sz w:val="20"/>
                <w:szCs w:val="20"/>
                <w:lang w:eastAsia="nb-NO"/>
              </w:rPr>
            </w:pPr>
          </w:p>
        </w:tc>
        <w:tc>
          <w:tcPr>
            <w:tcW w:w="139" w:type="pct"/>
            <w:shd w:val="clear" w:color="auto" w:fill="auto"/>
            <w:vAlign w:val="center"/>
            <w:hideMark/>
          </w:tcPr>
          <w:p w14:paraId="6DB775B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22ADAF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31203E6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3D07DAF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71687A9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5032ED0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4CBC3C8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6C6ABAB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226" w:type="pct"/>
            <w:shd w:val="clear" w:color="auto" w:fill="auto"/>
            <w:vAlign w:val="center"/>
            <w:hideMark/>
          </w:tcPr>
          <w:p w14:paraId="558AF19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4E636E0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578198A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r>
      <w:tr w:rsidR="005760BD" w:rsidRPr="005760BD" w14:paraId="0F97CECF" w14:textId="77777777" w:rsidTr="005760BD">
        <w:trPr>
          <w:cantSplit/>
          <w:trHeight w:val="284"/>
          <w:tblHeader/>
        </w:trPr>
        <w:tc>
          <w:tcPr>
            <w:tcW w:w="964" w:type="pct"/>
            <w:shd w:val="clear" w:color="auto" w:fill="auto"/>
            <w:vAlign w:val="center"/>
          </w:tcPr>
          <w:p w14:paraId="0509670F" w14:textId="77777777" w:rsidR="005760BD" w:rsidRPr="005760BD" w:rsidRDefault="005760BD" w:rsidP="005760BD">
            <w:pPr>
              <w:spacing w:line="240" w:lineRule="auto"/>
              <w:ind w:firstLine="0"/>
              <w:jc w:val="left"/>
              <w:rPr>
                <w:rFonts w:eastAsia="Times New Roman" w:cs="Times New Roman"/>
                <w:sz w:val="20"/>
                <w:szCs w:val="20"/>
                <w:lang w:eastAsia="nb-NO"/>
              </w:rPr>
            </w:pPr>
            <w:r w:rsidRPr="006F0EAE">
              <w:rPr>
                <w:rFonts w:eastAsia="Times New Roman" w:cs="Times New Roman"/>
                <w:sz w:val="20"/>
                <w:szCs w:val="20"/>
                <w:lang w:eastAsia="nb-NO"/>
              </w:rPr>
              <w:t>Dykstra</w:t>
            </w:r>
            <w:r w:rsidRPr="005760BD">
              <w:rPr>
                <w:rFonts w:eastAsia="Times New Roman" w:cs="Times New Roman"/>
                <w:sz w:val="20"/>
                <w:szCs w:val="20"/>
                <w:lang w:eastAsia="nb-NO"/>
              </w:rPr>
              <w:t xml:space="preserve"> (2011)</w:t>
            </w:r>
          </w:p>
        </w:tc>
        <w:tc>
          <w:tcPr>
            <w:tcW w:w="205" w:type="pct"/>
            <w:shd w:val="clear" w:color="auto" w:fill="auto"/>
            <w:vAlign w:val="center"/>
          </w:tcPr>
          <w:p w14:paraId="54C3671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289" w:type="pct"/>
            <w:shd w:val="clear" w:color="auto" w:fill="auto"/>
            <w:vAlign w:val="center"/>
          </w:tcPr>
          <w:p w14:paraId="6755CEF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433" w:type="pct"/>
            <w:shd w:val="clear" w:color="auto" w:fill="auto"/>
            <w:vAlign w:val="center"/>
          </w:tcPr>
          <w:p w14:paraId="61F2BB9D" w14:textId="77777777" w:rsidR="005760BD" w:rsidRPr="005760BD" w:rsidRDefault="005760BD" w:rsidP="002B6C48">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2009-2010</w:t>
            </w:r>
          </w:p>
        </w:tc>
        <w:tc>
          <w:tcPr>
            <w:tcW w:w="1316" w:type="pct"/>
            <w:shd w:val="clear" w:color="auto" w:fill="auto"/>
            <w:vAlign w:val="center"/>
          </w:tcPr>
          <w:p w14:paraId="381471F8"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Stakeholder survey</w:t>
            </w:r>
          </w:p>
        </w:tc>
        <w:tc>
          <w:tcPr>
            <w:tcW w:w="139" w:type="pct"/>
            <w:shd w:val="clear" w:color="auto" w:fill="auto"/>
            <w:vAlign w:val="center"/>
          </w:tcPr>
          <w:p w14:paraId="0364FB35"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139" w:type="pct"/>
            <w:shd w:val="clear" w:color="auto" w:fill="auto"/>
            <w:vAlign w:val="center"/>
          </w:tcPr>
          <w:p w14:paraId="5405D800"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139" w:type="pct"/>
            <w:shd w:val="clear" w:color="auto" w:fill="auto"/>
            <w:vAlign w:val="center"/>
          </w:tcPr>
          <w:p w14:paraId="7F3C573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139" w:type="pct"/>
            <w:shd w:val="clear" w:color="auto" w:fill="auto"/>
            <w:vAlign w:val="center"/>
          </w:tcPr>
          <w:p w14:paraId="48EB6D7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tcPr>
          <w:p w14:paraId="0AD351F7"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139" w:type="pct"/>
            <w:shd w:val="clear" w:color="auto" w:fill="auto"/>
            <w:vAlign w:val="center"/>
          </w:tcPr>
          <w:p w14:paraId="67FC1B2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139" w:type="pct"/>
            <w:shd w:val="clear" w:color="auto" w:fill="auto"/>
            <w:vAlign w:val="center"/>
          </w:tcPr>
          <w:p w14:paraId="4DAA0693"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139" w:type="pct"/>
            <w:shd w:val="clear" w:color="auto" w:fill="auto"/>
            <w:vAlign w:val="center"/>
          </w:tcPr>
          <w:p w14:paraId="0ECB0EB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226" w:type="pct"/>
            <w:shd w:val="clear" w:color="auto" w:fill="auto"/>
            <w:vAlign w:val="center"/>
          </w:tcPr>
          <w:p w14:paraId="1F00701A"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227" w:type="pct"/>
            <w:shd w:val="clear" w:color="auto" w:fill="auto"/>
            <w:vAlign w:val="center"/>
          </w:tcPr>
          <w:p w14:paraId="6ED96551"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227" w:type="pct"/>
            <w:shd w:val="clear" w:color="auto" w:fill="auto"/>
            <w:vAlign w:val="center"/>
          </w:tcPr>
          <w:p w14:paraId="2510C665" w14:textId="77777777" w:rsidR="005760BD" w:rsidRPr="005760BD" w:rsidRDefault="005760BD" w:rsidP="005760BD">
            <w:pPr>
              <w:spacing w:line="240" w:lineRule="auto"/>
              <w:ind w:firstLine="0"/>
              <w:jc w:val="center"/>
              <w:rPr>
                <w:rFonts w:eastAsia="Times New Roman" w:cs="Times New Roman"/>
                <w:sz w:val="20"/>
                <w:szCs w:val="20"/>
                <w:lang w:eastAsia="nb-NO"/>
              </w:rPr>
            </w:pPr>
          </w:p>
        </w:tc>
      </w:tr>
      <w:tr w:rsidR="005760BD" w:rsidRPr="005760BD" w14:paraId="33E5F751" w14:textId="77777777" w:rsidTr="005760BD">
        <w:trPr>
          <w:cantSplit/>
          <w:trHeight w:val="284"/>
          <w:tblHeader/>
        </w:trPr>
        <w:tc>
          <w:tcPr>
            <w:tcW w:w="964" w:type="pct"/>
            <w:shd w:val="clear" w:color="auto" w:fill="auto"/>
            <w:vAlign w:val="center"/>
            <w:hideMark/>
          </w:tcPr>
          <w:p w14:paraId="4DE5A4EE"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Rich &amp; Warner (2012)</w:t>
            </w:r>
          </w:p>
        </w:tc>
        <w:tc>
          <w:tcPr>
            <w:tcW w:w="205" w:type="pct"/>
            <w:shd w:val="clear" w:color="auto" w:fill="auto"/>
            <w:vAlign w:val="center"/>
            <w:hideMark/>
          </w:tcPr>
          <w:p w14:paraId="7DF50E1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3D2B253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433" w:type="pct"/>
            <w:shd w:val="clear" w:color="auto" w:fill="auto"/>
            <w:vAlign w:val="center"/>
            <w:hideMark/>
          </w:tcPr>
          <w:p w14:paraId="3B40395A" w14:textId="05FBFDA6"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29E50145"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Liberia</w:t>
            </w:r>
          </w:p>
        </w:tc>
        <w:tc>
          <w:tcPr>
            <w:tcW w:w="139" w:type="pct"/>
            <w:shd w:val="clear" w:color="auto" w:fill="auto"/>
            <w:vAlign w:val="center"/>
            <w:hideMark/>
          </w:tcPr>
          <w:p w14:paraId="516E8A2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8B7156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42BD917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139" w:type="pct"/>
            <w:shd w:val="clear" w:color="auto" w:fill="auto"/>
            <w:vAlign w:val="center"/>
            <w:hideMark/>
          </w:tcPr>
          <w:p w14:paraId="7D8396F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C4470A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8A2A38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0268BC0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07030D2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226" w:type="pct"/>
            <w:shd w:val="clear" w:color="auto" w:fill="auto"/>
            <w:vAlign w:val="center"/>
            <w:hideMark/>
          </w:tcPr>
          <w:p w14:paraId="1B1D31A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T</w:t>
            </w:r>
          </w:p>
        </w:tc>
        <w:tc>
          <w:tcPr>
            <w:tcW w:w="227" w:type="pct"/>
            <w:shd w:val="clear" w:color="auto" w:fill="auto"/>
            <w:vAlign w:val="center"/>
            <w:hideMark/>
          </w:tcPr>
          <w:p w14:paraId="4A065D8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T</w:t>
            </w:r>
          </w:p>
        </w:tc>
        <w:tc>
          <w:tcPr>
            <w:tcW w:w="227" w:type="pct"/>
            <w:shd w:val="clear" w:color="auto" w:fill="auto"/>
            <w:vAlign w:val="center"/>
            <w:hideMark/>
          </w:tcPr>
          <w:p w14:paraId="713FB3E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T</w:t>
            </w:r>
          </w:p>
        </w:tc>
      </w:tr>
      <w:tr w:rsidR="005760BD" w:rsidRPr="005760BD" w14:paraId="282AC822" w14:textId="77777777" w:rsidTr="005760BD">
        <w:trPr>
          <w:cantSplit/>
          <w:trHeight w:val="284"/>
          <w:tblHeader/>
        </w:trPr>
        <w:tc>
          <w:tcPr>
            <w:tcW w:w="964" w:type="pct"/>
            <w:shd w:val="clear" w:color="auto" w:fill="auto"/>
            <w:vAlign w:val="center"/>
            <w:hideMark/>
          </w:tcPr>
          <w:p w14:paraId="184DBA11"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Smith &amp; al. (2012)</w:t>
            </w:r>
          </w:p>
        </w:tc>
        <w:tc>
          <w:tcPr>
            <w:tcW w:w="205" w:type="pct"/>
            <w:shd w:val="clear" w:color="auto" w:fill="auto"/>
            <w:vAlign w:val="center"/>
            <w:hideMark/>
          </w:tcPr>
          <w:p w14:paraId="78E7D74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713A5BA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433" w:type="pct"/>
            <w:shd w:val="clear" w:color="auto" w:fill="auto"/>
            <w:vAlign w:val="center"/>
            <w:hideMark/>
          </w:tcPr>
          <w:p w14:paraId="66DA79DE" w14:textId="2F3E6C4C"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66822B03"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Madagascar</w:t>
            </w:r>
          </w:p>
        </w:tc>
        <w:tc>
          <w:tcPr>
            <w:tcW w:w="139" w:type="pct"/>
            <w:shd w:val="clear" w:color="auto" w:fill="auto"/>
            <w:vAlign w:val="center"/>
            <w:hideMark/>
          </w:tcPr>
          <w:p w14:paraId="2AB90B7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7FA04B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6D92A4B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DC5AC9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37BDC6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1C40FD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99FDD6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74FDAAC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226" w:type="pct"/>
            <w:shd w:val="clear" w:color="auto" w:fill="auto"/>
            <w:vAlign w:val="center"/>
            <w:hideMark/>
          </w:tcPr>
          <w:p w14:paraId="428CB55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227" w:type="pct"/>
            <w:shd w:val="clear" w:color="auto" w:fill="auto"/>
            <w:vAlign w:val="center"/>
            <w:hideMark/>
          </w:tcPr>
          <w:p w14:paraId="2B165F0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1447F91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r>
      <w:tr w:rsidR="005760BD" w:rsidRPr="005760BD" w14:paraId="5542E682" w14:textId="77777777" w:rsidTr="005760BD">
        <w:trPr>
          <w:cantSplit/>
          <w:trHeight w:val="284"/>
          <w:tblHeader/>
        </w:trPr>
        <w:tc>
          <w:tcPr>
            <w:tcW w:w="964" w:type="pct"/>
            <w:shd w:val="clear" w:color="auto" w:fill="auto"/>
            <w:vAlign w:val="center"/>
            <w:hideMark/>
          </w:tcPr>
          <w:p w14:paraId="0C4C9AB8" w14:textId="77777777" w:rsidR="005760BD" w:rsidRPr="005760BD" w:rsidRDefault="005760BD" w:rsidP="005760BD">
            <w:pPr>
              <w:spacing w:line="240" w:lineRule="auto"/>
              <w:ind w:firstLine="0"/>
              <w:jc w:val="left"/>
              <w:rPr>
                <w:rFonts w:eastAsia="Times New Roman" w:cs="Times New Roman"/>
                <w:sz w:val="20"/>
                <w:szCs w:val="20"/>
                <w:lang w:eastAsia="nb-NO"/>
              </w:rPr>
            </w:pPr>
            <w:r w:rsidRPr="006F0EAE">
              <w:rPr>
                <w:rFonts w:eastAsia="Times New Roman" w:cs="Times New Roman"/>
                <w:sz w:val="20"/>
                <w:szCs w:val="20"/>
                <w:lang w:eastAsia="nb-NO"/>
              </w:rPr>
              <w:t>Schmaljohann</w:t>
            </w:r>
            <w:r w:rsidRPr="005760BD">
              <w:rPr>
                <w:rFonts w:eastAsia="Times New Roman" w:cs="Times New Roman"/>
                <w:sz w:val="20"/>
                <w:szCs w:val="20"/>
                <w:lang w:eastAsia="nb-NO"/>
              </w:rPr>
              <w:t xml:space="preserve"> (2013)</w:t>
            </w:r>
          </w:p>
        </w:tc>
        <w:tc>
          <w:tcPr>
            <w:tcW w:w="205" w:type="pct"/>
            <w:shd w:val="clear" w:color="auto" w:fill="auto"/>
            <w:vAlign w:val="center"/>
            <w:hideMark/>
          </w:tcPr>
          <w:p w14:paraId="71D83A9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289" w:type="pct"/>
            <w:shd w:val="clear" w:color="auto" w:fill="auto"/>
            <w:vAlign w:val="center"/>
            <w:hideMark/>
          </w:tcPr>
          <w:p w14:paraId="0F4BAF9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433" w:type="pct"/>
            <w:shd w:val="clear" w:color="auto" w:fill="auto"/>
            <w:vAlign w:val="center"/>
            <w:hideMark/>
          </w:tcPr>
          <w:p w14:paraId="659BB7F9" w14:textId="08CD72C9" w:rsidR="005760BD" w:rsidRPr="005760BD" w:rsidRDefault="005760BD" w:rsidP="002B6C48">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2004-2011</w:t>
            </w:r>
          </w:p>
        </w:tc>
        <w:tc>
          <w:tcPr>
            <w:tcW w:w="1316" w:type="pct"/>
            <w:shd w:val="clear" w:color="auto" w:fill="auto"/>
            <w:vAlign w:val="center"/>
            <w:hideMark/>
          </w:tcPr>
          <w:p w14:paraId="21EDCB49"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81 developing countries</w:t>
            </w:r>
          </w:p>
        </w:tc>
        <w:tc>
          <w:tcPr>
            <w:tcW w:w="139" w:type="pct"/>
            <w:shd w:val="clear" w:color="auto" w:fill="auto"/>
            <w:vAlign w:val="center"/>
            <w:hideMark/>
          </w:tcPr>
          <w:p w14:paraId="3A9C84B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19C281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7EBBACE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0E45DD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3F04E1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4F03AB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F0987E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BAF615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6" w:type="pct"/>
            <w:shd w:val="clear" w:color="auto" w:fill="auto"/>
            <w:vAlign w:val="center"/>
            <w:hideMark/>
          </w:tcPr>
          <w:p w14:paraId="523617D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003CF5F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227" w:type="pct"/>
            <w:shd w:val="clear" w:color="auto" w:fill="auto"/>
            <w:vAlign w:val="center"/>
            <w:hideMark/>
          </w:tcPr>
          <w:p w14:paraId="3DB49EF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2BA8F95D" w14:textId="77777777" w:rsidTr="005760BD">
        <w:trPr>
          <w:cantSplit/>
          <w:trHeight w:val="284"/>
          <w:tblHeader/>
        </w:trPr>
        <w:tc>
          <w:tcPr>
            <w:tcW w:w="964" w:type="pct"/>
            <w:shd w:val="clear" w:color="auto" w:fill="auto"/>
            <w:vAlign w:val="center"/>
            <w:hideMark/>
          </w:tcPr>
          <w:p w14:paraId="0291F8B9"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Søreide &amp; Truex. (2013)</w:t>
            </w:r>
          </w:p>
        </w:tc>
        <w:tc>
          <w:tcPr>
            <w:tcW w:w="205" w:type="pct"/>
            <w:shd w:val="clear" w:color="auto" w:fill="auto"/>
            <w:vAlign w:val="center"/>
            <w:hideMark/>
          </w:tcPr>
          <w:p w14:paraId="34FF8F7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4B2FECA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433" w:type="pct"/>
            <w:shd w:val="clear" w:color="auto" w:fill="auto"/>
            <w:vAlign w:val="center"/>
            <w:hideMark/>
          </w:tcPr>
          <w:p w14:paraId="0895948A" w14:textId="4CB92DF5"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6D702083"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19C2C2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F561FF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0614499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358713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2FBFD6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83561F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2FCED4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C27500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226" w:type="pct"/>
            <w:shd w:val="clear" w:color="auto" w:fill="auto"/>
            <w:vAlign w:val="center"/>
            <w:hideMark/>
          </w:tcPr>
          <w:p w14:paraId="1B36D05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20E3C71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5D589DC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53E0BC87" w14:textId="77777777" w:rsidTr="005760BD">
        <w:trPr>
          <w:cantSplit/>
          <w:trHeight w:val="284"/>
          <w:tblHeader/>
        </w:trPr>
        <w:tc>
          <w:tcPr>
            <w:tcW w:w="964" w:type="pct"/>
            <w:shd w:val="clear" w:color="auto" w:fill="auto"/>
            <w:vAlign w:val="center"/>
            <w:hideMark/>
          </w:tcPr>
          <w:p w14:paraId="0C732F1E"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Albania EITI (2014)</w:t>
            </w:r>
          </w:p>
        </w:tc>
        <w:tc>
          <w:tcPr>
            <w:tcW w:w="205" w:type="pct"/>
            <w:shd w:val="clear" w:color="auto" w:fill="auto"/>
            <w:vAlign w:val="center"/>
            <w:hideMark/>
          </w:tcPr>
          <w:p w14:paraId="39E34C9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289" w:type="pct"/>
            <w:shd w:val="clear" w:color="auto" w:fill="auto"/>
            <w:vAlign w:val="center"/>
            <w:hideMark/>
          </w:tcPr>
          <w:p w14:paraId="5FFD392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433" w:type="pct"/>
            <w:shd w:val="clear" w:color="auto" w:fill="auto"/>
            <w:vAlign w:val="center"/>
            <w:hideMark/>
          </w:tcPr>
          <w:p w14:paraId="10859AC1" w14:textId="7724FEE5" w:rsidR="005760BD" w:rsidRPr="005760BD" w:rsidRDefault="005760BD" w:rsidP="002B6C48">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2014</w:t>
            </w:r>
          </w:p>
        </w:tc>
        <w:tc>
          <w:tcPr>
            <w:tcW w:w="1316" w:type="pct"/>
            <w:shd w:val="clear" w:color="auto" w:fill="auto"/>
            <w:vAlign w:val="center"/>
            <w:hideMark/>
          </w:tcPr>
          <w:p w14:paraId="708EA9F0"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Public survey, Albania</w:t>
            </w:r>
          </w:p>
        </w:tc>
        <w:tc>
          <w:tcPr>
            <w:tcW w:w="139" w:type="pct"/>
            <w:shd w:val="clear" w:color="auto" w:fill="auto"/>
            <w:vAlign w:val="center"/>
            <w:hideMark/>
          </w:tcPr>
          <w:p w14:paraId="2C1A557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94EC5F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E0DBD5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6024C0C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7D04E29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F75B98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25C82C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139" w:type="pct"/>
            <w:shd w:val="clear" w:color="auto" w:fill="auto"/>
            <w:vAlign w:val="center"/>
            <w:hideMark/>
          </w:tcPr>
          <w:p w14:paraId="521218B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6" w:type="pct"/>
            <w:shd w:val="clear" w:color="auto" w:fill="auto"/>
            <w:vAlign w:val="center"/>
            <w:hideMark/>
          </w:tcPr>
          <w:p w14:paraId="1B4AC0B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1DD08BC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648EC32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0339087D" w14:textId="77777777" w:rsidTr="005760BD">
        <w:trPr>
          <w:cantSplit/>
          <w:trHeight w:val="284"/>
          <w:tblHeader/>
        </w:trPr>
        <w:tc>
          <w:tcPr>
            <w:tcW w:w="964" w:type="pct"/>
            <w:shd w:val="clear" w:color="auto" w:fill="auto"/>
            <w:vAlign w:val="center"/>
            <w:hideMark/>
          </w:tcPr>
          <w:p w14:paraId="6FAD6453" w14:textId="77777777" w:rsidR="005760BD" w:rsidRPr="005760BD" w:rsidRDefault="005760BD" w:rsidP="005760BD">
            <w:pPr>
              <w:spacing w:line="240" w:lineRule="auto"/>
              <w:ind w:firstLine="0"/>
              <w:jc w:val="left"/>
              <w:rPr>
                <w:rFonts w:eastAsia="Times New Roman" w:cs="Times New Roman"/>
                <w:sz w:val="20"/>
                <w:szCs w:val="20"/>
                <w:lang w:eastAsia="nb-NO"/>
              </w:rPr>
            </w:pPr>
            <w:r w:rsidRPr="006F0EAE">
              <w:rPr>
                <w:rFonts w:eastAsia="Times New Roman" w:cs="Times New Roman"/>
                <w:sz w:val="20"/>
                <w:szCs w:val="20"/>
                <w:lang w:eastAsia="nb-NO"/>
              </w:rPr>
              <w:t>Corrigan</w:t>
            </w:r>
            <w:r w:rsidRPr="005760BD">
              <w:rPr>
                <w:rFonts w:eastAsia="Times New Roman" w:cs="Times New Roman"/>
                <w:sz w:val="20"/>
                <w:szCs w:val="20"/>
                <w:lang w:eastAsia="nb-NO"/>
              </w:rPr>
              <w:t xml:space="preserve"> (2014)</w:t>
            </w:r>
          </w:p>
        </w:tc>
        <w:tc>
          <w:tcPr>
            <w:tcW w:w="205" w:type="pct"/>
            <w:shd w:val="clear" w:color="auto" w:fill="auto"/>
            <w:vAlign w:val="center"/>
            <w:hideMark/>
          </w:tcPr>
          <w:p w14:paraId="69EEC9D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08C17F4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433" w:type="pct"/>
            <w:shd w:val="clear" w:color="auto" w:fill="auto"/>
            <w:vAlign w:val="center"/>
            <w:hideMark/>
          </w:tcPr>
          <w:p w14:paraId="023D1958" w14:textId="615390CC" w:rsidR="005760BD" w:rsidRPr="005760BD" w:rsidRDefault="005760BD" w:rsidP="002B6C48">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1995-2009</w:t>
            </w:r>
          </w:p>
        </w:tc>
        <w:tc>
          <w:tcPr>
            <w:tcW w:w="1316" w:type="pct"/>
            <w:shd w:val="clear" w:color="auto" w:fill="auto"/>
            <w:vAlign w:val="center"/>
            <w:hideMark/>
          </w:tcPr>
          <w:p w14:paraId="7D02082D"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Global</w:t>
            </w:r>
          </w:p>
        </w:tc>
        <w:tc>
          <w:tcPr>
            <w:tcW w:w="139" w:type="pct"/>
            <w:shd w:val="clear" w:color="auto" w:fill="auto"/>
            <w:vAlign w:val="center"/>
            <w:hideMark/>
          </w:tcPr>
          <w:p w14:paraId="5200A3E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7D9DBC7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755489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0DCE13B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5D7CF1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3307D3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6641B63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1F793F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6" w:type="pct"/>
            <w:shd w:val="clear" w:color="auto" w:fill="auto"/>
            <w:vAlign w:val="center"/>
            <w:hideMark/>
          </w:tcPr>
          <w:p w14:paraId="11F4A24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710364E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2A43B9B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r>
      <w:tr w:rsidR="005760BD" w:rsidRPr="005760BD" w14:paraId="632B875F" w14:textId="77777777" w:rsidTr="005760BD">
        <w:trPr>
          <w:cantSplit/>
          <w:trHeight w:val="284"/>
          <w:tblHeader/>
        </w:trPr>
        <w:tc>
          <w:tcPr>
            <w:tcW w:w="964" w:type="pct"/>
            <w:shd w:val="clear" w:color="auto" w:fill="auto"/>
            <w:vAlign w:val="center"/>
            <w:hideMark/>
          </w:tcPr>
          <w:p w14:paraId="3E0756D0"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EITI MDTF (2014)</w:t>
            </w:r>
          </w:p>
        </w:tc>
        <w:tc>
          <w:tcPr>
            <w:tcW w:w="205" w:type="pct"/>
            <w:shd w:val="clear" w:color="auto" w:fill="auto"/>
            <w:noWrap/>
            <w:vAlign w:val="center"/>
            <w:hideMark/>
          </w:tcPr>
          <w:p w14:paraId="3A9A344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289" w:type="pct"/>
            <w:shd w:val="clear" w:color="auto" w:fill="auto"/>
            <w:vAlign w:val="center"/>
            <w:hideMark/>
          </w:tcPr>
          <w:p w14:paraId="48D4093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433" w:type="pct"/>
            <w:shd w:val="clear" w:color="auto" w:fill="auto"/>
            <w:vAlign w:val="center"/>
            <w:hideMark/>
          </w:tcPr>
          <w:p w14:paraId="09726E22" w14:textId="5DE6DAD1"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05F7B817"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B5E048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0DF7A8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086CEA6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5687AC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43C1C6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311BA1D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0C1DAFC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69EDD90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6" w:type="pct"/>
            <w:shd w:val="clear" w:color="auto" w:fill="auto"/>
            <w:vAlign w:val="center"/>
            <w:hideMark/>
          </w:tcPr>
          <w:p w14:paraId="64AC036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360AD3F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587387B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54BEF9B6" w14:textId="77777777" w:rsidTr="005760BD">
        <w:trPr>
          <w:cantSplit/>
          <w:trHeight w:val="284"/>
          <w:tblHeader/>
        </w:trPr>
        <w:tc>
          <w:tcPr>
            <w:tcW w:w="964" w:type="pct"/>
            <w:shd w:val="clear" w:color="auto" w:fill="auto"/>
            <w:vAlign w:val="center"/>
            <w:hideMark/>
          </w:tcPr>
          <w:p w14:paraId="17F53150" w14:textId="77777777" w:rsidR="005760BD" w:rsidRPr="005760BD" w:rsidRDefault="005760BD" w:rsidP="005760BD">
            <w:pPr>
              <w:spacing w:line="240" w:lineRule="auto"/>
              <w:ind w:firstLine="0"/>
              <w:jc w:val="left"/>
              <w:rPr>
                <w:rFonts w:eastAsia="Times New Roman" w:cs="Times New Roman"/>
                <w:sz w:val="20"/>
                <w:szCs w:val="20"/>
                <w:lang w:eastAsia="nb-NO"/>
              </w:rPr>
            </w:pPr>
            <w:r w:rsidRPr="006F0EAE">
              <w:rPr>
                <w:rFonts w:eastAsia="Times New Roman" w:cs="Times New Roman"/>
                <w:sz w:val="20"/>
                <w:szCs w:val="20"/>
                <w:lang w:eastAsia="nb-NO"/>
              </w:rPr>
              <w:t>Etter</w:t>
            </w:r>
            <w:r w:rsidRPr="005760BD">
              <w:rPr>
                <w:rFonts w:eastAsia="Times New Roman" w:cs="Times New Roman"/>
                <w:sz w:val="20"/>
                <w:szCs w:val="20"/>
                <w:lang w:eastAsia="nb-NO"/>
              </w:rPr>
              <w:t xml:space="preserve"> (2014)</w:t>
            </w:r>
          </w:p>
        </w:tc>
        <w:tc>
          <w:tcPr>
            <w:tcW w:w="205" w:type="pct"/>
            <w:shd w:val="clear" w:color="auto" w:fill="auto"/>
            <w:noWrap/>
            <w:vAlign w:val="center"/>
            <w:hideMark/>
          </w:tcPr>
          <w:p w14:paraId="34718FD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289" w:type="pct"/>
            <w:shd w:val="clear" w:color="auto" w:fill="auto"/>
            <w:vAlign w:val="center"/>
            <w:hideMark/>
          </w:tcPr>
          <w:p w14:paraId="03A7494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433" w:type="pct"/>
            <w:shd w:val="clear" w:color="auto" w:fill="auto"/>
            <w:vAlign w:val="center"/>
            <w:hideMark/>
          </w:tcPr>
          <w:p w14:paraId="43B1ED8C" w14:textId="77777777" w:rsidR="005760BD" w:rsidRPr="005760BD" w:rsidRDefault="005760BD" w:rsidP="002B6C48">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2002-2010</w:t>
            </w:r>
          </w:p>
        </w:tc>
        <w:tc>
          <w:tcPr>
            <w:tcW w:w="1316" w:type="pct"/>
            <w:shd w:val="clear" w:color="auto" w:fill="auto"/>
            <w:vAlign w:val="center"/>
            <w:hideMark/>
          </w:tcPr>
          <w:p w14:paraId="1BF2F0C6"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Peru and Mali</w:t>
            </w:r>
          </w:p>
        </w:tc>
        <w:tc>
          <w:tcPr>
            <w:tcW w:w="139" w:type="pct"/>
            <w:shd w:val="clear" w:color="auto" w:fill="auto"/>
            <w:vAlign w:val="center"/>
            <w:hideMark/>
          </w:tcPr>
          <w:p w14:paraId="520B986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1E24AF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161906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16EDE0F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EDC2EE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FFF809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7F3D80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0B425F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226" w:type="pct"/>
            <w:shd w:val="clear" w:color="auto" w:fill="auto"/>
            <w:vAlign w:val="center"/>
            <w:hideMark/>
          </w:tcPr>
          <w:p w14:paraId="2A224EC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227" w:type="pct"/>
            <w:shd w:val="clear" w:color="auto" w:fill="auto"/>
            <w:vAlign w:val="center"/>
            <w:hideMark/>
          </w:tcPr>
          <w:p w14:paraId="0133EE8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40533FA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1B36FA58" w14:textId="77777777" w:rsidTr="005760BD">
        <w:trPr>
          <w:cantSplit/>
          <w:trHeight w:val="284"/>
          <w:tblHeader/>
        </w:trPr>
        <w:tc>
          <w:tcPr>
            <w:tcW w:w="964" w:type="pct"/>
            <w:shd w:val="clear" w:color="auto" w:fill="auto"/>
            <w:vAlign w:val="center"/>
            <w:hideMark/>
          </w:tcPr>
          <w:p w14:paraId="3D7E97F4"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Fineberg (2014)</w:t>
            </w:r>
          </w:p>
        </w:tc>
        <w:tc>
          <w:tcPr>
            <w:tcW w:w="205" w:type="pct"/>
            <w:shd w:val="clear" w:color="auto" w:fill="auto"/>
            <w:vAlign w:val="center"/>
            <w:hideMark/>
          </w:tcPr>
          <w:p w14:paraId="3C98478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38FBEDD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433" w:type="pct"/>
            <w:shd w:val="clear" w:color="auto" w:fill="auto"/>
            <w:vAlign w:val="center"/>
            <w:hideMark/>
          </w:tcPr>
          <w:p w14:paraId="33E1147F" w14:textId="7C6575AA"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5CDC247A"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USA</w:t>
            </w:r>
          </w:p>
        </w:tc>
        <w:tc>
          <w:tcPr>
            <w:tcW w:w="139" w:type="pct"/>
            <w:shd w:val="clear" w:color="auto" w:fill="auto"/>
            <w:vAlign w:val="center"/>
            <w:hideMark/>
          </w:tcPr>
          <w:p w14:paraId="04703C1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60BDAA5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673D056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139" w:type="pct"/>
            <w:shd w:val="clear" w:color="auto" w:fill="auto"/>
            <w:vAlign w:val="center"/>
            <w:hideMark/>
          </w:tcPr>
          <w:p w14:paraId="2B06126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22FD7B5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7170DA9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17DEE7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731A2B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6" w:type="pct"/>
            <w:shd w:val="clear" w:color="auto" w:fill="auto"/>
            <w:vAlign w:val="center"/>
            <w:hideMark/>
          </w:tcPr>
          <w:p w14:paraId="363B563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1D68384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4242E42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71543AB3" w14:textId="77777777" w:rsidTr="005760BD">
        <w:trPr>
          <w:cantSplit/>
          <w:trHeight w:val="284"/>
          <w:tblHeader/>
        </w:trPr>
        <w:tc>
          <w:tcPr>
            <w:tcW w:w="964" w:type="pct"/>
            <w:shd w:val="clear" w:color="auto" w:fill="auto"/>
            <w:vAlign w:val="center"/>
          </w:tcPr>
          <w:p w14:paraId="272EBD77"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Ihugba (2014)</w:t>
            </w:r>
          </w:p>
        </w:tc>
        <w:tc>
          <w:tcPr>
            <w:tcW w:w="205" w:type="pct"/>
            <w:shd w:val="clear" w:color="auto" w:fill="auto"/>
            <w:vAlign w:val="center"/>
          </w:tcPr>
          <w:p w14:paraId="47273A3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tcPr>
          <w:p w14:paraId="46F26FA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433" w:type="pct"/>
            <w:shd w:val="clear" w:color="auto" w:fill="auto"/>
            <w:vAlign w:val="center"/>
          </w:tcPr>
          <w:p w14:paraId="5DB35C85" w14:textId="77777777"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tcPr>
          <w:p w14:paraId="44F15340"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Nigeria</w:t>
            </w:r>
          </w:p>
        </w:tc>
        <w:tc>
          <w:tcPr>
            <w:tcW w:w="139" w:type="pct"/>
            <w:shd w:val="clear" w:color="auto" w:fill="auto"/>
            <w:vAlign w:val="center"/>
          </w:tcPr>
          <w:p w14:paraId="79139E88"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139" w:type="pct"/>
            <w:shd w:val="clear" w:color="auto" w:fill="auto"/>
            <w:vAlign w:val="center"/>
          </w:tcPr>
          <w:p w14:paraId="00B5B0E9"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139" w:type="pct"/>
            <w:shd w:val="clear" w:color="auto" w:fill="auto"/>
            <w:vAlign w:val="center"/>
          </w:tcPr>
          <w:p w14:paraId="5550848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139" w:type="pct"/>
            <w:shd w:val="clear" w:color="auto" w:fill="auto"/>
            <w:vAlign w:val="center"/>
          </w:tcPr>
          <w:p w14:paraId="0CF91D7E"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139" w:type="pct"/>
            <w:shd w:val="clear" w:color="auto" w:fill="auto"/>
            <w:vAlign w:val="center"/>
          </w:tcPr>
          <w:p w14:paraId="4BED1FAC"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139" w:type="pct"/>
            <w:shd w:val="clear" w:color="auto" w:fill="auto"/>
            <w:vAlign w:val="center"/>
          </w:tcPr>
          <w:p w14:paraId="62E4EC7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tcPr>
          <w:p w14:paraId="0350690D"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139" w:type="pct"/>
            <w:shd w:val="clear" w:color="auto" w:fill="auto"/>
            <w:vAlign w:val="center"/>
          </w:tcPr>
          <w:p w14:paraId="3EDAC6B4"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226" w:type="pct"/>
            <w:shd w:val="clear" w:color="auto" w:fill="auto"/>
            <w:vAlign w:val="center"/>
          </w:tcPr>
          <w:p w14:paraId="6A05BCF5"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227" w:type="pct"/>
            <w:shd w:val="clear" w:color="auto" w:fill="auto"/>
            <w:vAlign w:val="center"/>
          </w:tcPr>
          <w:p w14:paraId="792F047A"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227" w:type="pct"/>
            <w:shd w:val="clear" w:color="auto" w:fill="auto"/>
            <w:vAlign w:val="center"/>
          </w:tcPr>
          <w:p w14:paraId="1BCBB7BB" w14:textId="77777777" w:rsidR="005760BD" w:rsidRPr="005760BD" w:rsidRDefault="005760BD" w:rsidP="005760BD">
            <w:pPr>
              <w:spacing w:line="240" w:lineRule="auto"/>
              <w:ind w:firstLine="0"/>
              <w:jc w:val="center"/>
              <w:rPr>
                <w:rFonts w:eastAsia="Times New Roman" w:cs="Times New Roman"/>
                <w:sz w:val="20"/>
                <w:szCs w:val="20"/>
                <w:lang w:eastAsia="nb-NO"/>
              </w:rPr>
            </w:pPr>
          </w:p>
        </w:tc>
      </w:tr>
      <w:tr w:rsidR="005760BD" w:rsidRPr="005760BD" w14:paraId="25257CD2" w14:textId="77777777" w:rsidTr="005760BD">
        <w:trPr>
          <w:cantSplit/>
          <w:trHeight w:val="284"/>
          <w:tblHeader/>
        </w:trPr>
        <w:tc>
          <w:tcPr>
            <w:tcW w:w="964" w:type="pct"/>
            <w:shd w:val="clear" w:color="auto" w:fill="auto"/>
            <w:vAlign w:val="center"/>
            <w:hideMark/>
          </w:tcPr>
          <w:p w14:paraId="475CE6F4"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Öge (2014)</w:t>
            </w:r>
          </w:p>
        </w:tc>
        <w:tc>
          <w:tcPr>
            <w:tcW w:w="205" w:type="pct"/>
            <w:shd w:val="clear" w:color="auto" w:fill="auto"/>
            <w:vAlign w:val="center"/>
            <w:hideMark/>
          </w:tcPr>
          <w:p w14:paraId="5214F74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095F5A6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433" w:type="pct"/>
            <w:shd w:val="clear" w:color="auto" w:fill="auto"/>
            <w:vAlign w:val="center"/>
            <w:hideMark/>
          </w:tcPr>
          <w:p w14:paraId="2A1CD633" w14:textId="5B5FF09E"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2F522AC2"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Azerbaijan</w:t>
            </w:r>
          </w:p>
        </w:tc>
        <w:tc>
          <w:tcPr>
            <w:tcW w:w="139" w:type="pct"/>
            <w:shd w:val="clear" w:color="auto" w:fill="auto"/>
            <w:vAlign w:val="center"/>
            <w:hideMark/>
          </w:tcPr>
          <w:p w14:paraId="7E3F323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976245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245E39F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139" w:type="pct"/>
            <w:shd w:val="clear" w:color="auto" w:fill="auto"/>
            <w:vAlign w:val="center"/>
            <w:hideMark/>
          </w:tcPr>
          <w:p w14:paraId="4DE1757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5D6448C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6B49898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7F2E14E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5E59EF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226" w:type="pct"/>
            <w:shd w:val="clear" w:color="auto" w:fill="auto"/>
            <w:vAlign w:val="center"/>
            <w:hideMark/>
          </w:tcPr>
          <w:p w14:paraId="750F4B1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227" w:type="pct"/>
            <w:shd w:val="clear" w:color="auto" w:fill="auto"/>
            <w:vAlign w:val="center"/>
            <w:hideMark/>
          </w:tcPr>
          <w:p w14:paraId="66C1368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1D56C73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r>
      <w:tr w:rsidR="005760BD" w:rsidRPr="005760BD" w14:paraId="27306812" w14:textId="77777777" w:rsidTr="005760BD">
        <w:trPr>
          <w:cantSplit/>
          <w:trHeight w:val="284"/>
          <w:tblHeader/>
        </w:trPr>
        <w:tc>
          <w:tcPr>
            <w:tcW w:w="964" w:type="pct"/>
            <w:shd w:val="clear" w:color="auto" w:fill="auto"/>
            <w:vAlign w:val="center"/>
            <w:hideMark/>
          </w:tcPr>
          <w:p w14:paraId="2A325716"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Russell (2014)</w:t>
            </w:r>
          </w:p>
        </w:tc>
        <w:tc>
          <w:tcPr>
            <w:tcW w:w="205" w:type="pct"/>
            <w:shd w:val="clear" w:color="auto" w:fill="auto"/>
            <w:vAlign w:val="center"/>
            <w:hideMark/>
          </w:tcPr>
          <w:p w14:paraId="6843B5D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08A2F01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433" w:type="pct"/>
            <w:shd w:val="clear" w:color="auto" w:fill="auto"/>
            <w:vAlign w:val="center"/>
            <w:hideMark/>
          </w:tcPr>
          <w:p w14:paraId="6DE0672F" w14:textId="0A9ED2F7"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54E359F4"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USA</w:t>
            </w:r>
          </w:p>
        </w:tc>
        <w:tc>
          <w:tcPr>
            <w:tcW w:w="139" w:type="pct"/>
            <w:shd w:val="clear" w:color="auto" w:fill="auto"/>
            <w:vAlign w:val="center"/>
            <w:hideMark/>
          </w:tcPr>
          <w:p w14:paraId="30FEC46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8C25AD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323003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0CCBE6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09B0A57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8C8CDB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A88357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6776C6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226" w:type="pct"/>
            <w:shd w:val="clear" w:color="auto" w:fill="auto"/>
            <w:vAlign w:val="center"/>
            <w:hideMark/>
          </w:tcPr>
          <w:p w14:paraId="6E87376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5466931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7E2687B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4F7816A6" w14:textId="77777777" w:rsidTr="005760BD">
        <w:trPr>
          <w:cantSplit/>
          <w:trHeight w:val="284"/>
          <w:tblHeader/>
        </w:trPr>
        <w:tc>
          <w:tcPr>
            <w:tcW w:w="964" w:type="pct"/>
            <w:shd w:val="clear" w:color="auto" w:fill="auto"/>
            <w:vAlign w:val="center"/>
            <w:hideMark/>
          </w:tcPr>
          <w:p w14:paraId="07153B35"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Short (2014)</w:t>
            </w:r>
          </w:p>
        </w:tc>
        <w:tc>
          <w:tcPr>
            <w:tcW w:w="205" w:type="pct"/>
            <w:shd w:val="clear" w:color="auto" w:fill="auto"/>
            <w:vAlign w:val="center"/>
            <w:hideMark/>
          </w:tcPr>
          <w:p w14:paraId="548D0A5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41D36EC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433" w:type="pct"/>
            <w:shd w:val="clear" w:color="auto" w:fill="auto"/>
            <w:vAlign w:val="center"/>
            <w:hideMark/>
          </w:tcPr>
          <w:p w14:paraId="674D655D" w14:textId="0A1000FC"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1F368CE9"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AC87E3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89FE1D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8A7123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7C72115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F10C04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00AE27B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4362D8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D7CBD8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6" w:type="pct"/>
            <w:shd w:val="clear" w:color="auto" w:fill="auto"/>
            <w:vAlign w:val="center"/>
            <w:hideMark/>
          </w:tcPr>
          <w:p w14:paraId="557EC4B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7B4D36D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5C3DF1F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27EA0E4E" w14:textId="77777777" w:rsidTr="005760BD">
        <w:trPr>
          <w:cantSplit/>
          <w:trHeight w:val="284"/>
          <w:tblHeader/>
        </w:trPr>
        <w:tc>
          <w:tcPr>
            <w:tcW w:w="964" w:type="pct"/>
            <w:shd w:val="clear" w:color="auto" w:fill="auto"/>
            <w:vAlign w:val="center"/>
            <w:hideMark/>
          </w:tcPr>
          <w:p w14:paraId="4D09C58E"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Wilson and Van Alestine (2014)</w:t>
            </w:r>
          </w:p>
        </w:tc>
        <w:tc>
          <w:tcPr>
            <w:tcW w:w="205" w:type="pct"/>
            <w:shd w:val="clear" w:color="auto" w:fill="auto"/>
            <w:vAlign w:val="center"/>
            <w:hideMark/>
          </w:tcPr>
          <w:p w14:paraId="0AECBDF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289" w:type="pct"/>
            <w:shd w:val="clear" w:color="auto" w:fill="auto"/>
            <w:vAlign w:val="center"/>
            <w:hideMark/>
          </w:tcPr>
          <w:p w14:paraId="37407D5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433" w:type="pct"/>
            <w:shd w:val="clear" w:color="auto" w:fill="auto"/>
            <w:vAlign w:val="center"/>
            <w:hideMark/>
          </w:tcPr>
          <w:p w14:paraId="4015D09E" w14:textId="23028051"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1FF11EF5"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Azerbaijan, Ghana, Kazakhstan, Nigeria, Uganda</w:t>
            </w:r>
          </w:p>
        </w:tc>
        <w:tc>
          <w:tcPr>
            <w:tcW w:w="139" w:type="pct"/>
            <w:shd w:val="clear" w:color="auto" w:fill="auto"/>
            <w:vAlign w:val="center"/>
            <w:hideMark/>
          </w:tcPr>
          <w:p w14:paraId="003D638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E1F6F8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27059CA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1D5887E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6862170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1619981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6EEDA26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139" w:type="pct"/>
            <w:shd w:val="clear" w:color="auto" w:fill="auto"/>
            <w:vAlign w:val="center"/>
            <w:hideMark/>
          </w:tcPr>
          <w:p w14:paraId="2D7CD5D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226" w:type="pct"/>
            <w:shd w:val="clear" w:color="auto" w:fill="auto"/>
            <w:vAlign w:val="center"/>
            <w:hideMark/>
          </w:tcPr>
          <w:p w14:paraId="2923589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4C0B66E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6C76E2D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4AA175D7" w14:textId="77777777" w:rsidTr="005760BD">
        <w:trPr>
          <w:cantSplit/>
          <w:trHeight w:val="284"/>
          <w:tblHeader/>
        </w:trPr>
        <w:tc>
          <w:tcPr>
            <w:tcW w:w="964" w:type="pct"/>
            <w:shd w:val="clear" w:color="auto" w:fill="auto"/>
            <w:vAlign w:val="center"/>
            <w:hideMark/>
          </w:tcPr>
          <w:p w14:paraId="59338DE4"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Bickham (2015)</w:t>
            </w:r>
          </w:p>
        </w:tc>
        <w:tc>
          <w:tcPr>
            <w:tcW w:w="205" w:type="pct"/>
            <w:shd w:val="clear" w:color="auto" w:fill="auto"/>
            <w:vAlign w:val="center"/>
            <w:hideMark/>
          </w:tcPr>
          <w:p w14:paraId="29D74F9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289" w:type="pct"/>
            <w:shd w:val="clear" w:color="auto" w:fill="auto"/>
            <w:vAlign w:val="center"/>
            <w:hideMark/>
          </w:tcPr>
          <w:p w14:paraId="44149BE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433" w:type="pct"/>
            <w:shd w:val="clear" w:color="auto" w:fill="auto"/>
            <w:vAlign w:val="center"/>
            <w:hideMark/>
          </w:tcPr>
          <w:p w14:paraId="65AD1301" w14:textId="320162D1"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3BBEE867"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ICMM countries and companies</w:t>
            </w:r>
          </w:p>
        </w:tc>
        <w:tc>
          <w:tcPr>
            <w:tcW w:w="139" w:type="pct"/>
            <w:shd w:val="clear" w:color="auto" w:fill="auto"/>
            <w:vAlign w:val="center"/>
            <w:hideMark/>
          </w:tcPr>
          <w:p w14:paraId="25E6857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79C16F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5A2962D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00C2720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E9E5EA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139" w:type="pct"/>
            <w:shd w:val="clear" w:color="auto" w:fill="auto"/>
            <w:vAlign w:val="center"/>
            <w:hideMark/>
          </w:tcPr>
          <w:p w14:paraId="5CA1DEC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8ED0AE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8C8351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6" w:type="pct"/>
            <w:shd w:val="clear" w:color="auto" w:fill="auto"/>
            <w:vAlign w:val="center"/>
            <w:hideMark/>
          </w:tcPr>
          <w:p w14:paraId="43AA29F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7217FA4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1CE9A66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5FDFB547" w14:textId="77777777" w:rsidTr="005760BD">
        <w:trPr>
          <w:cantSplit/>
          <w:trHeight w:val="284"/>
          <w:tblHeader/>
        </w:trPr>
        <w:tc>
          <w:tcPr>
            <w:tcW w:w="964" w:type="pct"/>
            <w:shd w:val="clear" w:color="auto" w:fill="auto"/>
            <w:vAlign w:val="center"/>
            <w:hideMark/>
          </w:tcPr>
          <w:p w14:paraId="2F328A54"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lastRenderedPageBreak/>
              <w:t>Furstenberg (2015)</w:t>
            </w:r>
          </w:p>
        </w:tc>
        <w:tc>
          <w:tcPr>
            <w:tcW w:w="205" w:type="pct"/>
            <w:shd w:val="clear" w:color="auto" w:fill="auto"/>
            <w:vAlign w:val="center"/>
            <w:hideMark/>
          </w:tcPr>
          <w:p w14:paraId="40F18E7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0DF3057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433" w:type="pct"/>
            <w:shd w:val="clear" w:color="auto" w:fill="auto"/>
            <w:vAlign w:val="center"/>
            <w:hideMark/>
          </w:tcPr>
          <w:p w14:paraId="3F252302" w14:textId="7A38B906"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0EBCE4D6"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Kyrgyzstan</w:t>
            </w:r>
          </w:p>
        </w:tc>
        <w:tc>
          <w:tcPr>
            <w:tcW w:w="139" w:type="pct"/>
            <w:shd w:val="clear" w:color="auto" w:fill="auto"/>
            <w:vAlign w:val="center"/>
            <w:hideMark/>
          </w:tcPr>
          <w:p w14:paraId="7FA3A8C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48FB01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7643B4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B41E39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139" w:type="pct"/>
            <w:shd w:val="clear" w:color="auto" w:fill="auto"/>
            <w:vAlign w:val="center"/>
            <w:hideMark/>
          </w:tcPr>
          <w:p w14:paraId="69C5BDF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6214EAC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7804D9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702D0CD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226" w:type="pct"/>
            <w:shd w:val="clear" w:color="auto" w:fill="auto"/>
            <w:vAlign w:val="center"/>
            <w:hideMark/>
          </w:tcPr>
          <w:p w14:paraId="0B5196E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5416E1D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0CE2478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6EEA466E" w14:textId="77777777" w:rsidTr="005760BD">
        <w:trPr>
          <w:cantSplit/>
          <w:trHeight w:val="284"/>
          <w:tblHeader/>
        </w:trPr>
        <w:tc>
          <w:tcPr>
            <w:tcW w:w="964" w:type="pct"/>
            <w:shd w:val="clear" w:color="auto" w:fill="auto"/>
            <w:vAlign w:val="center"/>
          </w:tcPr>
          <w:p w14:paraId="243A4275"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Poretti (2015)</w:t>
            </w:r>
          </w:p>
        </w:tc>
        <w:tc>
          <w:tcPr>
            <w:tcW w:w="205" w:type="pct"/>
            <w:shd w:val="clear" w:color="auto" w:fill="auto"/>
            <w:vAlign w:val="center"/>
          </w:tcPr>
          <w:p w14:paraId="6A1437E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tcPr>
          <w:p w14:paraId="24B26C7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433" w:type="pct"/>
            <w:shd w:val="clear" w:color="auto" w:fill="auto"/>
            <w:vAlign w:val="center"/>
          </w:tcPr>
          <w:p w14:paraId="6BF8FF1A" w14:textId="77777777"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tcPr>
          <w:p w14:paraId="4A5F86C6"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Iraq</w:t>
            </w:r>
          </w:p>
        </w:tc>
        <w:tc>
          <w:tcPr>
            <w:tcW w:w="139" w:type="pct"/>
            <w:shd w:val="clear" w:color="auto" w:fill="auto"/>
            <w:vAlign w:val="center"/>
          </w:tcPr>
          <w:p w14:paraId="4DC23D5C"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139" w:type="pct"/>
            <w:shd w:val="clear" w:color="auto" w:fill="auto"/>
            <w:vAlign w:val="center"/>
          </w:tcPr>
          <w:p w14:paraId="2FB8CDB0"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139" w:type="pct"/>
            <w:shd w:val="clear" w:color="auto" w:fill="auto"/>
            <w:vAlign w:val="center"/>
          </w:tcPr>
          <w:p w14:paraId="5FB7958E"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139" w:type="pct"/>
            <w:shd w:val="clear" w:color="auto" w:fill="auto"/>
            <w:vAlign w:val="center"/>
          </w:tcPr>
          <w:p w14:paraId="20F14067"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139" w:type="pct"/>
            <w:shd w:val="clear" w:color="auto" w:fill="auto"/>
            <w:vAlign w:val="center"/>
          </w:tcPr>
          <w:p w14:paraId="624084C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tcPr>
          <w:p w14:paraId="6032026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tcPr>
          <w:p w14:paraId="79933A40"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139" w:type="pct"/>
            <w:shd w:val="clear" w:color="auto" w:fill="auto"/>
            <w:vAlign w:val="center"/>
          </w:tcPr>
          <w:p w14:paraId="202EADBA"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226" w:type="pct"/>
            <w:shd w:val="clear" w:color="auto" w:fill="auto"/>
            <w:vAlign w:val="center"/>
          </w:tcPr>
          <w:p w14:paraId="39CB7171"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227" w:type="pct"/>
            <w:shd w:val="clear" w:color="auto" w:fill="auto"/>
            <w:vAlign w:val="center"/>
          </w:tcPr>
          <w:p w14:paraId="4CCBD0B8"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227" w:type="pct"/>
            <w:shd w:val="clear" w:color="auto" w:fill="auto"/>
            <w:vAlign w:val="center"/>
          </w:tcPr>
          <w:p w14:paraId="4213066C" w14:textId="77777777" w:rsidR="005760BD" w:rsidRPr="005760BD" w:rsidRDefault="005760BD" w:rsidP="005760BD">
            <w:pPr>
              <w:spacing w:line="240" w:lineRule="auto"/>
              <w:ind w:firstLine="0"/>
              <w:jc w:val="center"/>
              <w:rPr>
                <w:rFonts w:eastAsia="Times New Roman" w:cs="Times New Roman"/>
                <w:sz w:val="20"/>
                <w:szCs w:val="20"/>
                <w:lang w:eastAsia="nb-NO"/>
              </w:rPr>
            </w:pPr>
          </w:p>
        </w:tc>
      </w:tr>
      <w:tr w:rsidR="005760BD" w:rsidRPr="005760BD" w14:paraId="3516D97B" w14:textId="77777777" w:rsidTr="005760BD">
        <w:trPr>
          <w:cantSplit/>
          <w:trHeight w:val="284"/>
          <w:tblHeader/>
        </w:trPr>
        <w:tc>
          <w:tcPr>
            <w:tcW w:w="964" w:type="pct"/>
            <w:shd w:val="clear" w:color="auto" w:fill="auto"/>
            <w:vAlign w:val="center"/>
            <w:hideMark/>
          </w:tcPr>
          <w:p w14:paraId="2C9CEB10"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Ofori and Lujala (2015)</w:t>
            </w:r>
          </w:p>
        </w:tc>
        <w:tc>
          <w:tcPr>
            <w:tcW w:w="205" w:type="pct"/>
            <w:shd w:val="clear" w:color="auto" w:fill="auto"/>
            <w:vAlign w:val="center"/>
            <w:hideMark/>
          </w:tcPr>
          <w:p w14:paraId="1AF29D7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688F406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433" w:type="pct"/>
            <w:shd w:val="clear" w:color="auto" w:fill="auto"/>
            <w:vAlign w:val="center"/>
            <w:hideMark/>
          </w:tcPr>
          <w:p w14:paraId="5AA6CABE" w14:textId="6D1F17DC"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4BBCC99E"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Ghana</w:t>
            </w:r>
          </w:p>
        </w:tc>
        <w:tc>
          <w:tcPr>
            <w:tcW w:w="139" w:type="pct"/>
            <w:shd w:val="clear" w:color="auto" w:fill="auto"/>
            <w:vAlign w:val="center"/>
            <w:hideMark/>
          </w:tcPr>
          <w:p w14:paraId="248F902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2994B1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DE3341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051EB5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139" w:type="pct"/>
            <w:shd w:val="clear" w:color="auto" w:fill="auto"/>
            <w:vAlign w:val="center"/>
            <w:hideMark/>
          </w:tcPr>
          <w:p w14:paraId="71BE16A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4792C9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7B1526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139" w:type="pct"/>
            <w:shd w:val="clear" w:color="auto" w:fill="auto"/>
            <w:vAlign w:val="center"/>
            <w:hideMark/>
          </w:tcPr>
          <w:p w14:paraId="48B2612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6" w:type="pct"/>
            <w:shd w:val="clear" w:color="auto" w:fill="auto"/>
            <w:vAlign w:val="center"/>
            <w:hideMark/>
          </w:tcPr>
          <w:p w14:paraId="7E45F00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5C172F9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008979E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5B7A09BC" w14:textId="77777777" w:rsidTr="005760BD">
        <w:trPr>
          <w:cantSplit/>
          <w:trHeight w:val="284"/>
          <w:tblHeader/>
        </w:trPr>
        <w:tc>
          <w:tcPr>
            <w:tcW w:w="964" w:type="pct"/>
            <w:shd w:val="clear" w:color="auto" w:fill="auto"/>
            <w:vAlign w:val="center"/>
            <w:hideMark/>
          </w:tcPr>
          <w:p w14:paraId="48A2047F"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Rich &amp; Moberg (2015)</w:t>
            </w:r>
          </w:p>
        </w:tc>
        <w:tc>
          <w:tcPr>
            <w:tcW w:w="205" w:type="pct"/>
            <w:shd w:val="clear" w:color="auto" w:fill="auto"/>
            <w:vAlign w:val="center"/>
            <w:hideMark/>
          </w:tcPr>
          <w:p w14:paraId="0A93660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289" w:type="pct"/>
            <w:shd w:val="clear" w:color="auto" w:fill="auto"/>
            <w:vAlign w:val="center"/>
            <w:hideMark/>
          </w:tcPr>
          <w:p w14:paraId="53BEBDB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433" w:type="pct"/>
            <w:shd w:val="clear" w:color="auto" w:fill="auto"/>
            <w:vAlign w:val="center"/>
            <w:hideMark/>
          </w:tcPr>
          <w:p w14:paraId="5780E9C6" w14:textId="5CE3365A"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07953809"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EITI countries</w:t>
            </w:r>
          </w:p>
        </w:tc>
        <w:tc>
          <w:tcPr>
            <w:tcW w:w="139" w:type="pct"/>
            <w:shd w:val="clear" w:color="auto" w:fill="auto"/>
            <w:vAlign w:val="center"/>
            <w:hideMark/>
          </w:tcPr>
          <w:p w14:paraId="0293625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6B30C93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49A36D5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1DA67BD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6E9F42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8471D4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B3A383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38B0AD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226" w:type="pct"/>
            <w:shd w:val="clear" w:color="auto" w:fill="auto"/>
            <w:vAlign w:val="center"/>
            <w:hideMark/>
          </w:tcPr>
          <w:p w14:paraId="582ACB4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7CC5CE2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4B82295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1AF777F2" w14:textId="77777777" w:rsidTr="005760BD">
        <w:trPr>
          <w:cantSplit/>
          <w:trHeight w:val="284"/>
          <w:tblHeader/>
        </w:trPr>
        <w:tc>
          <w:tcPr>
            <w:tcW w:w="964" w:type="pct"/>
            <w:shd w:val="clear" w:color="auto" w:fill="auto"/>
            <w:vAlign w:val="center"/>
            <w:hideMark/>
          </w:tcPr>
          <w:p w14:paraId="73D46489" w14:textId="77777777" w:rsidR="005760BD" w:rsidRPr="005760BD" w:rsidRDefault="005760BD" w:rsidP="005760BD">
            <w:pPr>
              <w:spacing w:line="240" w:lineRule="auto"/>
              <w:ind w:firstLine="0"/>
              <w:jc w:val="left"/>
              <w:rPr>
                <w:rFonts w:eastAsia="Times New Roman" w:cs="Times New Roman"/>
                <w:sz w:val="20"/>
                <w:szCs w:val="20"/>
                <w:lang w:eastAsia="nb-NO"/>
              </w:rPr>
            </w:pPr>
            <w:r w:rsidRPr="006F0EAE">
              <w:rPr>
                <w:rFonts w:eastAsia="Times New Roman" w:cs="Times New Roman"/>
                <w:sz w:val="20"/>
                <w:szCs w:val="20"/>
                <w:lang w:eastAsia="nb-NO"/>
              </w:rPr>
              <w:t>Sovacool</w:t>
            </w:r>
            <w:r w:rsidRPr="005760BD">
              <w:rPr>
                <w:rFonts w:eastAsia="Times New Roman" w:cs="Times New Roman"/>
                <w:sz w:val="20"/>
                <w:szCs w:val="20"/>
                <w:lang w:eastAsia="nb-NO"/>
              </w:rPr>
              <w:t xml:space="preserve"> &amp; Andrews (2015)</w:t>
            </w:r>
          </w:p>
        </w:tc>
        <w:tc>
          <w:tcPr>
            <w:tcW w:w="205" w:type="pct"/>
            <w:shd w:val="clear" w:color="auto" w:fill="auto"/>
            <w:vAlign w:val="center"/>
            <w:hideMark/>
          </w:tcPr>
          <w:p w14:paraId="3621C38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48579B5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433" w:type="pct"/>
            <w:shd w:val="clear" w:color="auto" w:fill="auto"/>
            <w:vAlign w:val="center"/>
            <w:hideMark/>
          </w:tcPr>
          <w:p w14:paraId="63F01FE4" w14:textId="77777777" w:rsidR="005760BD" w:rsidRPr="005760BD" w:rsidRDefault="005760BD" w:rsidP="002B6C48">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2006-2012</w:t>
            </w:r>
          </w:p>
        </w:tc>
        <w:tc>
          <w:tcPr>
            <w:tcW w:w="1316" w:type="pct"/>
            <w:shd w:val="clear" w:color="auto" w:fill="auto"/>
            <w:vAlign w:val="center"/>
            <w:hideMark/>
          </w:tcPr>
          <w:p w14:paraId="0E045741"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Liberia and Azerbaijan</w:t>
            </w:r>
          </w:p>
        </w:tc>
        <w:tc>
          <w:tcPr>
            <w:tcW w:w="139" w:type="pct"/>
            <w:shd w:val="clear" w:color="auto" w:fill="auto"/>
            <w:vAlign w:val="center"/>
            <w:hideMark/>
          </w:tcPr>
          <w:p w14:paraId="579421E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68E51A6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3832641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139" w:type="pct"/>
            <w:shd w:val="clear" w:color="auto" w:fill="auto"/>
            <w:vAlign w:val="center"/>
            <w:hideMark/>
          </w:tcPr>
          <w:p w14:paraId="00379B0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70443ED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52C181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07A461E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84C9BF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M</w:t>
            </w:r>
          </w:p>
        </w:tc>
        <w:tc>
          <w:tcPr>
            <w:tcW w:w="226" w:type="pct"/>
            <w:shd w:val="clear" w:color="auto" w:fill="auto"/>
            <w:vAlign w:val="center"/>
            <w:hideMark/>
          </w:tcPr>
          <w:p w14:paraId="3E07D2F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227" w:type="pct"/>
            <w:shd w:val="clear" w:color="auto" w:fill="auto"/>
            <w:vAlign w:val="center"/>
            <w:hideMark/>
          </w:tcPr>
          <w:p w14:paraId="4D34C96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7D1EA04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r>
      <w:tr w:rsidR="005760BD" w:rsidRPr="005760BD" w14:paraId="366AFE08" w14:textId="77777777" w:rsidTr="005760BD">
        <w:trPr>
          <w:cantSplit/>
          <w:trHeight w:val="284"/>
          <w:tblHeader/>
        </w:trPr>
        <w:tc>
          <w:tcPr>
            <w:tcW w:w="964" w:type="pct"/>
            <w:shd w:val="clear" w:color="auto" w:fill="auto"/>
            <w:vAlign w:val="center"/>
            <w:hideMark/>
          </w:tcPr>
          <w:p w14:paraId="22C14294"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Sturesson and Zobel (2015)</w:t>
            </w:r>
          </w:p>
        </w:tc>
        <w:tc>
          <w:tcPr>
            <w:tcW w:w="205" w:type="pct"/>
            <w:shd w:val="clear" w:color="auto" w:fill="auto"/>
            <w:vAlign w:val="center"/>
            <w:hideMark/>
          </w:tcPr>
          <w:p w14:paraId="6B23DC1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59BE49C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433" w:type="pct"/>
            <w:shd w:val="clear" w:color="auto" w:fill="auto"/>
            <w:vAlign w:val="center"/>
            <w:hideMark/>
          </w:tcPr>
          <w:p w14:paraId="7421036C" w14:textId="13A8F609"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318D45EA"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Uganda</w:t>
            </w:r>
          </w:p>
        </w:tc>
        <w:tc>
          <w:tcPr>
            <w:tcW w:w="139" w:type="pct"/>
            <w:shd w:val="clear" w:color="auto" w:fill="auto"/>
            <w:vAlign w:val="center"/>
            <w:hideMark/>
          </w:tcPr>
          <w:p w14:paraId="13BFE94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464A59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139" w:type="pct"/>
            <w:shd w:val="clear" w:color="auto" w:fill="auto"/>
            <w:vAlign w:val="center"/>
            <w:hideMark/>
          </w:tcPr>
          <w:p w14:paraId="6430EA5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139" w:type="pct"/>
            <w:shd w:val="clear" w:color="auto" w:fill="auto"/>
            <w:vAlign w:val="center"/>
            <w:hideMark/>
          </w:tcPr>
          <w:p w14:paraId="439BFC8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234965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678A81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DD5CA2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DB8484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6" w:type="pct"/>
            <w:shd w:val="clear" w:color="auto" w:fill="auto"/>
            <w:vAlign w:val="center"/>
            <w:hideMark/>
          </w:tcPr>
          <w:p w14:paraId="11B9A20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198A0FB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608A585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729C1EEE" w14:textId="77777777" w:rsidTr="005760BD">
        <w:trPr>
          <w:cantSplit/>
          <w:trHeight w:val="284"/>
          <w:tblHeader/>
        </w:trPr>
        <w:tc>
          <w:tcPr>
            <w:tcW w:w="964" w:type="pct"/>
            <w:shd w:val="clear" w:color="auto" w:fill="auto"/>
            <w:vAlign w:val="center"/>
            <w:hideMark/>
          </w:tcPr>
          <w:p w14:paraId="41A0543E"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Westenberg and Georg-Wagner (2015)</w:t>
            </w:r>
          </w:p>
        </w:tc>
        <w:tc>
          <w:tcPr>
            <w:tcW w:w="205" w:type="pct"/>
            <w:shd w:val="clear" w:color="auto" w:fill="auto"/>
            <w:vAlign w:val="center"/>
            <w:hideMark/>
          </w:tcPr>
          <w:p w14:paraId="3ECCB87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289" w:type="pct"/>
            <w:shd w:val="clear" w:color="auto" w:fill="auto"/>
            <w:vAlign w:val="center"/>
            <w:hideMark/>
          </w:tcPr>
          <w:p w14:paraId="4ECDCDA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433" w:type="pct"/>
            <w:shd w:val="clear" w:color="auto" w:fill="auto"/>
            <w:vAlign w:val="center"/>
            <w:hideMark/>
          </w:tcPr>
          <w:p w14:paraId="48575563" w14:textId="53F37ADB"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59738903"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EITI countries</w:t>
            </w:r>
          </w:p>
        </w:tc>
        <w:tc>
          <w:tcPr>
            <w:tcW w:w="139" w:type="pct"/>
            <w:shd w:val="clear" w:color="auto" w:fill="auto"/>
            <w:vAlign w:val="center"/>
            <w:hideMark/>
          </w:tcPr>
          <w:p w14:paraId="405C0DF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6904FF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9596A8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658EA8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C291D7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05B7C4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40BC604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5C74B0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6" w:type="pct"/>
            <w:shd w:val="clear" w:color="auto" w:fill="auto"/>
            <w:vAlign w:val="center"/>
            <w:hideMark/>
          </w:tcPr>
          <w:p w14:paraId="199547D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0EF110B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511A222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7CFB01ED" w14:textId="77777777" w:rsidTr="005760BD">
        <w:trPr>
          <w:cantSplit/>
          <w:trHeight w:val="284"/>
          <w:tblHeader/>
        </w:trPr>
        <w:tc>
          <w:tcPr>
            <w:tcW w:w="964" w:type="pct"/>
            <w:shd w:val="clear" w:color="auto" w:fill="auto"/>
            <w:vAlign w:val="center"/>
            <w:hideMark/>
          </w:tcPr>
          <w:p w14:paraId="6A5B9395"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Andrews (2016)</w:t>
            </w:r>
          </w:p>
        </w:tc>
        <w:tc>
          <w:tcPr>
            <w:tcW w:w="205" w:type="pct"/>
            <w:shd w:val="clear" w:color="auto" w:fill="auto"/>
            <w:vAlign w:val="center"/>
            <w:hideMark/>
          </w:tcPr>
          <w:p w14:paraId="5639B68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7F1C85D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w:t>
            </w:r>
          </w:p>
        </w:tc>
        <w:tc>
          <w:tcPr>
            <w:tcW w:w="433" w:type="pct"/>
            <w:shd w:val="clear" w:color="auto" w:fill="auto"/>
            <w:vAlign w:val="center"/>
            <w:hideMark/>
          </w:tcPr>
          <w:p w14:paraId="0446EA9D" w14:textId="3EBCF741"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2FA33F5C"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Ghana</w:t>
            </w:r>
          </w:p>
        </w:tc>
        <w:tc>
          <w:tcPr>
            <w:tcW w:w="139" w:type="pct"/>
            <w:shd w:val="clear" w:color="auto" w:fill="auto"/>
            <w:vAlign w:val="center"/>
            <w:hideMark/>
          </w:tcPr>
          <w:p w14:paraId="24C27A5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3DC7E9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CF0A9D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139" w:type="pct"/>
            <w:shd w:val="clear" w:color="auto" w:fill="auto"/>
            <w:vAlign w:val="center"/>
            <w:hideMark/>
          </w:tcPr>
          <w:p w14:paraId="47B162A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7B231CB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D11E6E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2D43C4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31A570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226" w:type="pct"/>
            <w:shd w:val="clear" w:color="auto" w:fill="auto"/>
            <w:vAlign w:val="center"/>
            <w:hideMark/>
          </w:tcPr>
          <w:p w14:paraId="44886C9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40BB130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63D4FD0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4B20C15A" w14:textId="77777777" w:rsidTr="005760BD">
        <w:trPr>
          <w:cantSplit/>
          <w:trHeight w:val="284"/>
          <w:tblHeader/>
        </w:trPr>
        <w:tc>
          <w:tcPr>
            <w:tcW w:w="964" w:type="pct"/>
            <w:shd w:val="clear" w:color="auto" w:fill="auto"/>
            <w:vAlign w:val="center"/>
            <w:hideMark/>
          </w:tcPr>
          <w:p w14:paraId="4485D6E3"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David-Barret &amp; Okamura (2016)</w:t>
            </w:r>
          </w:p>
        </w:tc>
        <w:tc>
          <w:tcPr>
            <w:tcW w:w="205" w:type="pct"/>
            <w:shd w:val="clear" w:color="auto" w:fill="auto"/>
            <w:vAlign w:val="center"/>
            <w:hideMark/>
          </w:tcPr>
          <w:p w14:paraId="5D918A9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337FCC8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433" w:type="pct"/>
            <w:shd w:val="clear" w:color="auto" w:fill="auto"/>
            <w:vAlign w:val="center"/>
            <w:hideMark/>
          </w:tcPr>
          <w:p w14:paraId="48D63DEB" w14:textId="72664E54"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5E124945"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Developing countries</w:t>
            </w:r>
          </w:p>
        </w:tc>
        <w:tc>
          <w:tcPr>
            <w:tcW w:w="139" w:type="pct"/>
            <w:shd w:val="clear" w:color="auto" w:fill="auto"/>
            <w:vAlign w:val="center"/>
            <w:hideMark/>
          </w:tcPr>
          <w:p w14:paraId="7E91C14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38B1434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036F879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68B067B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286DCF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AD816F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6EF6121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7121E38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6" w:type="pct"/>
            <w:shd w:val="clear" w:color="auto" w:fill="auto"/>
            <w:vAlign w:val="center"/>
            <w:hideMark/>
          </w:tcPr>
          <w:p w14:paraId="3C23DD0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46E468E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227" w:type="pct"/>
            <w:shd w:val="clear" w:color="auto" w:fill="auto"/>
            <w:vAlign w:val="center"/>
            <w:hideMark/>
          </w:tcPr>
          <w:p w14:paraId="4398772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1FBDEC12" w14:textId="77777777" w:rsidTr="005760BD">
        <w:trPr>
          <w:cantSplit/>
          <w:trHeight w:val="284"/>
          <w:tblHeader/>
        </w:trPr>
        <w:tc>
          <w:tcPr>
            <w:tcW w:w="964" w:type="pct"/>
            <w:shd w:val="clear" w:color="auto" w:fill="auto"/>
            <w:vAlign w:val="center"/>
            <w:hideMark/>
          </w:tcPr>
          <w:p w14:paraId="42A688E4"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Kasekende et al (2016)</w:t>
            </w:r>
          </w:p>
        </w:tc>
        <w:tc>
          <w:tcPr>
            <w:tcW w:w="205" w:type="pct"/>
            <w:shd w:val="clear" w:color="auto" w:fill="auto"/>
            <w:vAlign w:val="center"/>
            <w:hideMark/>
          </w:tcPr>
          <w:p w14:paraId="09DE5B9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326C4B4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433" w:type="pct"/>
            <w:shd w:val="clear" w:color="auto" w:fill="auto"/>
            <w:vAlign w:val="center"/>
            <w:hideMark/>
          </w:tcPr>
          <w:p w14:paraId="7F90CF10" w14:textId="77777777" w:rsidR="005760BD" w:rsidRPr="005760BD" w:rsidRDefault="005760BD" w:rsidP="002B6C48">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2002-2012</w:t>
            </w:r>
          </w:p>
        </w:tc>
        <w:tc>
          <w:tcPr>
            <w:tcW w:w="1316" w:type="pct"/>
            <w:shd w:val="clear" w:color="auto" w:fill="auto"/>
            <w:vAlign w:val="center"/>
            <w:hideMark/>
          </w:tcPr>
          <w:p w14:paraId="716484B5"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76 resource rich countries</w:t>
            </w:r>
          </w:p>
        </w:tc>
        <w:tc>
          <w:tcPr>
            <w:tcW w:w="139" w:type="pct"/>
            <w:shd w:val="clear" w:color="auto" w:fill="auto"/>
            <w:vAlign w:val="center"/>
            <w:hideMark/>
          </w:tcPr>
          <w:p w14:paraId="3844032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43A8CB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7535519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198843D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BA00A5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65B9870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97D955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1D82D1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6" w:type="pct"/>
            <w:shd w:val="clear" w:color="auto" w:fill="auto"/>
            <w:vAlign w:val="center"/>
            <w:hideMark/>
          </w:tcPr>
          <w:p w14:paraId="5D467B1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227" w:type="pct"/>
            <w:shd w:val="clear" w:color="auto" w:fill="auto"/>
            <w:vAlign w:val="center"/>
            <w:hideMark/>
          </w:tcPr>
          <w:p w14:paraId="73ECC98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5DFBCB9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0C49E8A8" w14:textId="77777777" w:rsidTr="005760BD">
        <w:trPr>
          <w:cantSplit/>
          <w:trHeight w:val="284"/>
          <w:tblHeader/>
        </w:trPr>
        <w:tc>
          <w:tcPr>
            <w:tcW w:w="964" w:type="pct"/>
            <w:shd w:val="clear" w:color="auto" w:fill="auto"/>
            <w:vAlign w:val="center"/>
            <w:hideMark/>
          </w:tcPr>
          <w:p w14:paraId="54163951"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Lujala and Epremian (2016)</w:t>
            </w:r>
          </w:p>
        </w:tc>
        <w:tc>
          <w:tcPr>
            <w:tcW w:w="205" w:type="pct"/>
            <w:shd w:val="clear" w:color="auto" w:fill="auto"/>
            <w:vAlign w:val="center"/>
            <w:hideMark/>
          </w:tcPr>
          <w:p w14:paraId="73A1BCE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289" w:type="pct"/>
            <w:shd w:val="clear" w:color="auto" w:fill="auto"/>
            <w:vAlign w:val="center"/>
            <w:hideMark/>
          </w:tcPr>
          <w:p w14:paraId="1ED8DA0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433" w:type="pct"/>
            <w:shd w:val="clear" w:color="auto" w:fill="auto"/>
            <w:vAlign w:val="center"/>
            <w:hideMark/>
          </w:tcPr>
          <w:p w14:paraId="003074BE" w14:textId="59D7E4ED"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5DFB53B8"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DC7AA9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FE9190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6C732DF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9B81F1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78CDF9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26971F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246556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139" w:type="pct"/>
            <w:shd w:val="clear" w:color="auto" w:fill="auto"/>
            <w:vAlign w:val="center"/>
            <w:hideMark/>
          </w:tcPr>
          <w:p w14:paraId="7F47BC4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6" w:type="pct"/>
            <w:shd w:val="clear" w:color="auto" w:fill="auto"/>
            <w:vAlign w:val="center"/>
            <w:hideMark/>
          </w:tcPr>
          <w:p w14:paraId="7E0F729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31AC1A0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326FF65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6F4AA5CE" w14:textId="77777777" w:rsidTr="005760BD">
        <w:trPr>
          <w:cantSplit/>
          <w:trHeight w:val="284"/>
          <w:tblHeader/>
        </w:trPr>
        <w:tc>
          <w:tcPr>
            <w:tcW w:w="964" w:type="pct"/>
            <w:shd w:val="clear" w:color="auto" w:fill="auto"/>
            <w:vAlign w:val="center"/>
            <w:hideMark/>
          </w:tcPr>
          <w:p w14:paraId="0A6F3D57" w14:textId="77777777" w:rsidR="005760BD" w:rsidRPr="005760BD" w:rsidRDefault="005760BD" w:rsidP="005760BD">
            <w:pPr>
              <w:spacing w:line="240" w:lineRule="auto"/>
              <w:ind w:firstLine="0"/>
              <w:jc w:val="left"/>
              <w:rPr>
                <w:rFonts w:eastAsia="Times New Roman" w:cs="Times New Roman"/>
                <w:sz w:val="20"/>
                <w:szCs w:val="20"/>
                <w:lang w:eastAsia="nb-NO"/>
              </w:rPr>
            </w:pPr>
            <w:r w:rsidRPr="006F0EAE">
              <w:rPr>
                <w:rFonts w:eastAsia="Times New Roman" w:cs="Times New Roman"/>
                <w:sz w:val="20"/>
                <w:szCs w:val="20"/>
                <w:lang w:eastAsia="nb-NO"/>
              </w:rPr>
              <w:t>Papyrakis</w:t>
            </w:r>
            <w:r w:rsidRPr="005760BD">
              <w:rPr>
                <w:rFonts w:eastAsia="Times New Roman" w:cs="Times New Roman"/>
                <w:sz w:val="20"/>
                <w:szCs w:val="20"/>
                <w:lang w:eastAsia="nb-NO"/>
              </w:rPr>
              <w:t xml:space="preserve"> et al 2016</w:t>
            </w:r>
          </w:p>
        </w:tc>
        <w:tc>
          <w:tcPr>
            <w:tcW w:w="205" w:type="pct"/>
            <w:shd w:val="clear" w:color="auto" w:fill="auto"/>
            <w:vAlign w:val="center"/>
            <w:hideMark/>
          </w:tcPr>
          <w:p w14:paraId="6890F0F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1B78528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433" w:type="pct"/>
            <w:shd w:val="clear" w:color="auto" w:fill="auto"/>
            <w:vAlign w:val="center"/>
            <w:hideMark/>
          </w:tcPr>
          <w:p w14:paraId="7203AE81" w14:textId="77777777" w:rsidR="005760BD" w:rsidRPr="005760BD" w:rsidRDefault="005760BD" w:rsidP="002B6C48">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2002-2011</w:t>
            </w:r>
          </w:p>
        </w:tc>
        <w:tc>
          <w:tcPr>
            <w:tcW w:w="1316" w:type="pct"/>
            <w:shd w:val="clear" w:color="auto" w:fill="auto"/>
            <w:vAlign w:val="center"/>
            <w:hideMark/>
          </w:tcPr>
          <w:p w14:paraId="124A8F6A"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Global</w:t>
            </w:r>
          </w:p>
        </w:tc>
        <w:tc>
          <w:tcPr>
            <w:tcW w:w="139" w:type="pct"/>
            <w:shd w:val="clear" w:color="auto" w:fill="auto"/>
            <w:vAlign w:val="center"/>
            <w:hideMark/>
          </w:tcPr>
          <w:p w14:paraId="516C956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DAD27C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6DAD09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1380CA2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ED92FA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7D0738C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919C27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C474F6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6" w:type="pct"/>
            <w:shd w:val="clear" w:color="auto" w:fill="auto"/>
            <w:vAlign w:val="center"/>
            <w:hideMark/>
          </w:tcPr>
          <w:p w14:paraId="26BD6D3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227" w:type="pct"/>
            <w:shd w:val="clear" w:color="auto" w:fill="auto"/>
            <w:vAlign w:val="center"/>
            <w:hideMark/>
          </w:tcPr>
          <w:p w14:paraId="4C13D88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3066B56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0E4B764A" w14:textId="77777777" w:rsidTr="005760BD">
        <w:trPr>
          <w:cantSplit/>
          <w:trHeight w:val="284"/>
          <w:tblHeader/>
        </w:trPr>
        <w:tc>
          <w:tcPr>
            <w:tcW w:w="964" w:type="pct"/>
            <w:shd w:val="clear" w:color="auto" w:fill="auto"/>
            <w:vAlign w:val="center"/>
            <w:hideMark/>
          </w:tcPr>
          <w:p w14:paraId="1DC7CB2C" w14:textId="77777777" w:rsidR="005760BD" w:rsidRPr="005760BD" w:rsidRDefault="005760BD" w:rsidP="005760BD">
            <w:pPr>
              <w:spacing w:line="240" w:lineRule="auto"/>
              <w:ind w:firstLine="0"/>
              <w:jc w:val="left"/>
              <w:rPr>
                <w:rFonts w:eastAsia="Times New Roman" w:cs="Times New Roman"/>
                <w:sz w:val="20"/>
                <w:szCs w:val="20"/>
                <w:lang w:eastAsia="nb-NO"/>
              </w:rPr>
            </w:pPr>
            <w:r w:rsidRPr="006F0EAE">
              <w:rPr>
                <w:rFonts w:eastAsia="Times New Roman" w:cs="Times New Roman"/>
                <w:sz w:val="20"/>
                <w:szCs w:val="20"/>
                <w:lang w:eastAsia="nb-NO"/>
              </w:rPr>
              <w:t>Phillips</w:t>
            </w:r>
            <w:r w:rsidRPr="005760BD">
              <w:rPr>
                <w:rFonts w:eastAsia="Times New Roman" w:cs="Times New Roman"/>
                <w:sz w:val="20"/>
                <w:szCs w:val="20"/>
                <w:lang w:eastAsia="nb-NO"/>
              </w:rPr>
              <w:t xml:space="preserve"> &amp; Whiting (2016)</w:t>
            </w:r>
          </w:p>
        </w:tc>
        <w:tc>
          <w:tcPr>
            <w:tcW w:w="205" w:type="pct"/>
            <w:shd w:val="clear" w:color="auto" w:fill="auto"/>
            <w:vAlign w:val="center"/>
            <w:hideMark/>
          </w:tcPr>
          <w:p w14:paraId="14CA09D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25E92393"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433" w:type="pct"/>
            <w:shd w:val="clear" w:color="auto" w:fill="auto"/>
            <w:vAlign w:val="center"/>
            <w:hideMark/>
          </w:tcPr>
          <w:p w14:paraId="7C069265" w14:textId="4A762E0A" w:rsidR="005760BD" w:rsidRPr="005760BD" w:rsidRDefault="005760BD" w:rsidP="002B6C48">
            <w:pPr>
              <w:spacing w:line="240" w:lineRule="auto"/>
              <w:ind w:firstLine="0"/>
              <w:jc w:val="center"/>
              <w:rPr>
                <w:rFonts w:eastAsia="Times New Roman" w:cs="Times New Roman"/>
                <w:sz w:val="20"/>
                <w:szCs w:val="20"/>
                <w:lang w:eastAsia="nb-NO"/>
              </w:rPr>
            </w:pPr>
          </w:p>
        </w:tc>
        <w:tc>
          <w:tcPr>
            <w:tcW w:w="1316" w:type="pct"/>
            <w:shd w:val="clear" w:color="auto" w:fill="auto"/>
            <w:vAlign w:val="center"/>
            <w:hideMark/>
          </w:tcPr>
          <w:p w14:paraId="232B1E49"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EITI countries</w:t>
            </w:r>
          </w:p>
        </w:tc>
        <w:tc>
          <w:tcPr>
            <w:tcW w:w="139" w:type="pct"/>
            <w:shd w:val="clear" w:color="auto" w:fill="auto"/>
            <w:vAlign w:val="center"/>
            <w:hideMark/>
          </w:tcPr>
          <w:p w14:paraId="4835981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B1834F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7AB5EC88"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0400BB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40DBA4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DAF1C7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01E4CF3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1ED2DDE"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6" w:type="pct"/>
            <w:shd w:val="clear" w:color="auto" w:fill="auto"/>
            <w:vAlign w:val="center"/>
            <w:hideMark/>
          </w:tcPr>
          <w:p w14:paraId="430577C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43D15E9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7" w:type="pct"/>
            <w:shd w:val="clear" w:color="auto" w:fill="auto"/>
            <w:vAlign w:val="center"/>
            <w:hideMark/>
          </w:tcPr>
          <w:p w14:paraId="5225C6E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r>
      <w:tr w:rsidR="005760BD" w:rsidRPr="005760BD" w14:paraId="6164BA48" w14:textId="77777777" w:rsidTr="005760BD">
        <w:trPr>
          <w:cantSplit/>
          <w:trHeight w:val="284"/>
          <w:tblHeader/>
        </w:trPr>
        <w:tc>
          <w:tcPr>
            <w:tcW w:w="964" w:type="pct"/>
            <w:shd w:val="clear" w:color="auto" w:fill="auto"/>
            <w:vAlign w:val="center"/>
            <w:hideMark/>
          </w:tcPr>
          <w:p w14:paraId="0005B27A"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Sovacool et al (2016)</w:t>
            </w:r>
          </w:p>
        </w:tc>
        <w:tc>
          <w:tcPr>
            <w:tcW w:w="205" w:type="pct"/>
            <w:shd w:val="clear" w:color="auto" w:fill="auto"/>
            <w:vAlign w:val="center"/>
            <w:hideMark/>
          </w:tcPr>
          <w:p w14:paraId="759CB1A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1757805A"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433" w:type="pct"/>
            <w:shd w:val="clear" w:color="auto" w:fill="auto"/>
            <w:vAlign w:val="center"/>
            <w:hideMark/>
          </w:tcPr>
          <w:p w14:paraId="12E3BEB6" w14:textId="77777777" w:rsidR="005760BD" w:rsidRPr="005760BD" w:rsidRDefault="005760BD" w:rsidP="002B6C48">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1996-2014</w:t>
            </w:r>
          </w:p>
        </w:tc>
        <w:tc>
          <w:tcPr>
            <w:tcW w:w="1316" w:type="pct"/>
            <w:shd w:val="clear" w:color="auto" w:fill="auto"/>
            <w:vAlign w:val="center"/>
            <w:hideMark/>
          </w:tcPr>
          <w:p w14:paraId="46180091"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Global</w:t>
            </w:r>
          </w:p>
        </w:tc>
        <w:tc>
          <w:tcPr>
            <w:tcW w:w="139" w:type="pct"/>
            <w:shd w:val="clear" w:color="auto" w:fill="auto"/>
            <w:vAlign w:val="center"/>
            <w:hideMark/>
          </w:tcPr>
          <w:p w14:paraId="21DA9A3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A5AD3CB" w14:textId="77777777" w:rsidR="005760BD" w:rsidRPr="005760BD" w:rsidRDefault="005760BD" w:rsidP="005760BD">
            <w:pPr>
              <w:spacing w:line="240" w:lineRule="auto"/>
              <w:ind w:firstLine="0"/>
              <w:jc w:val="center"/>
              <w:rPr>
                <w:rFonts w:eastAsia="Times New Roman" w:cs="Times New Roman"/>
                <w:sz w:val="18"/>
                <w:szCs w:val="18"/>
                <w:lang w:eastAsia="nb-NO"/>
              </w:rPr>
            </w:pPr>
            <w:r w:rsidRPr="005760BD">
              <w:rPr>
                <w:rFonts w:eastAsia="Times New Roman" w:cs="Times New Roman"/>
                <w:sz w:val="18"/>
                <w:szCs w:val="18"/>
                <w:lang w:eastAsia="nb-NO"/>
              </w:rPr>
              <w:t>S</w:t>
            </w:r>
          </w:p>
        </w:tc>
        <w:tc>
          <w:tcPr>
            <w:tcW w:w="139" w:type="pct"/>
            <w:shd w:val="clear" w:color="auto" w:fill="auto"/>
            <w:vAlign w:val="center"/>
            <w:hideMark/>
          </w:tcPr>
          <w:p w14:paraId="697C0C3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56ED1196"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FC89A8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2DDC4019"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7593D4DF"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435A6E6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226" w:type="pct"/>
            <w:shd w:val="clear" w:color="auto" w:fill="auto"/>
            <w:vAlign w:val="center"/>
            <w:hideMark/>
          </w:tcPr>
          <w:p w14:paraId="7F49C41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227" w:type="pct"/>
            <w:shd w:val="clear" w:color="auto" w:fill="auto"/>
            <w:vAlign w:val="center"/>
            <w:hideMark/>
          </w:tcPr>
          <w:p w14:paraId="4BF3ED42"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227" w:type="pct"/>
            <w:shd w:val="clear" w:color="auto" w:fill="auto"/>
            <w:vAlign w:val="center"/>
            <w:hideMark/>
          </w:tcPr>
          <w:p w14:paraId="67E1ED9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r>
      <w:tr w:rsidR="005760BD" w:rsidRPr="005760BD" w14:paraId="5C469996" w14:textId="77777777" w:rsidTr="005760BD">
        <w:trPr>
          <w:cantSplit/>
          <w:trHeight w:val="284"/>
          <w:tblHeader/>
        </w:trPr>
        <w:tc>
          <w:tcPr>
            <w:tcW w:w="964" w:type="pct"/>
            <w:shd w:val="clear" w:color="auto" w:fill="auto"/>
            <w:vAlign w:val="center"/>
            <w:hideMark/>
          </w:tcPr>
          <w:p w14:paraId="704B42BB" w14:textId="77777777" w:rsidR="005760BD" w:rsidRPr="005760BD" w:rsidRDefault="005760BD" w:rsidP="005760BD">
            <w:pPr>
              <w:spacing w:line="240" w:lineRule="auto"/>
              <w:ind w:firstLine="0"/>
              <w:jc w:val="left"/>
              <w:rPr>
                <w:rFonts w:eastAsia="Times New Roman" w:cs="Times New Roman"/>
                <w:sz w:val="20"/>
                <w:szCs w:val="20"/>
                <w:lang w:eastAsia="nb-NO"/>
              </w:rPr>
            </w:pPr>
            <w:r w:rsidRPr="006F0EAE">
              <w:rPr>
                <w:rFonts w:eastAsia="Times New Roman" w:cs="Times New Roman"/>
                <w:sz w:val="20"/>
                <w:szCs w:val="20"/>
                <w:lang w:eastAsia="nb-NO"/>
              </w:rPr>
              <w:t>Öge</w:t>
            </w:r>
            <w:r w:rsidRPr="005760BD">
              <w:rPr>
                <w:rFonts w:eastAsia="Times New Roman" w:cs="Times New Roman"/>
                <w:sz w:val="20"/>
                <w:szCs w:val="20"/>
                <w:lang w:eastAsia="nb-NO"/>
              </w:rPr>
              <w:t xml:space="preserve"> (2016a)</w:t>
            </w:r>
          </w:p>
        </w:tc>
        <w:tc>
          <w:tcPr>
            <w:tcW w:w="205" w:type="pct"/>
            <w:shd w:val="clear" w:color="auto" w:fill="auto"/>
            <w:vAlign w:val="center"/>
            <w:hideMark/>
          </w:tcPr>
          <w:p w14:paraId="124BF35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hideMark/>
          </w:tcPr>
          <w:p w14:paraId="06C2868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433" w:type="pct"/>
            <w:shd w:val="clear" w:color="auto" w:fill="auto"/>
            <w:vAlign w:val="center"/>
            <w:hideMark/>
          </w:tcPr>
          <w:p w14:paraId="6FAEC40C" w14:textId="77777777" w:rsidR="005760BD" w:rsidRPr="005760BD" w:rsidRDefault="005760BD" w:rsidP="002B6C48">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2006-2013</w:t>
            </w:r>
          </w:p>
        </w:tc>
        <w:tc>
          <w:tcPr>
            <w:tcW w:w="1316" w:type="pct"/>
            <w:shd w:val="clear" w:color="auto" w:fill="auto"/>
            <w:vAlign w:val="center"/>
            <w:hideMark/>
          </w:tcPr>
          <w:p w14:paraId="1EA4019D"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46 resource rich countries (EITI and non-EITI)</w:t>
            </w:r>
          </w:p>
        </w:tc>
        <w:tc>
          <w:tcPr>
            <w:tcW w:w="139" w:type="pct"/>
            <w:shd w:val="clear" w:color="auto" w:fill="auto"/>
            <w:vAlign w:val="center"/>
            <w:hideMark/>
          </w:tcPr>
          <w:p w14:paraId="14DEA44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3C4FF84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62F48B2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5A8ACBA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19B2BA6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78A4DB6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139" w:type="pct"/>
            <w:shd w:val="clear" w:color="auto" w:fill="auto"/>
            <w:vAlign w:val="center"/>
            <w:hideMark/>
          </w:tcPr>
          <w:p w14:paraId="6780DE4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139" w:type="pct"/>
            <w:shd w:val="clear" w:color="auto" w:fill="auto"/>
            <w:vAlign w:val="center"/>
            <w:hideMark/>
          </w:tcPr>
          <w:p w14:paraId="55DCDD27"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c>
          <w:tcPr>
            <w:tcW w:w="226" w:type="pct"/>
            <w:shd w:val="clear" w:color="auto" w:fill="auto"/>
            <w:vAlign w:val="center"/>
            <w:hideMark/>
          </w:tcPr>
          <w:p w14:paraId="151D0F51"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F</w:t>
            </w:r>
          </w:p>
        </w:tc>
        <w:tc>
          <w:tcPr>
            <w:tcW w:w="227" w:type="pct"/>
            <w:shd w:val="clear" w:color="auto" w:fill="auto"/>
            <w:vAlign w:val="center"/>
            <w:hideMark/>
          </w:tcPr>
          <w:p w14:paraId="16E14A5B"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227" w:type="pct"/>
            <w:shd w:val="clear" w:color="auto" w:fill="auto"/>
            <w:vAlign w:val="center"/>
            <w:hideMark/>
          </w:tcPr>
          <w:p w14:paraId="5BEE33D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 </w:t>
            </w:r>
          </w:p>
        </w:tc>
      </w:tr>
      <w:tr w:rsidR="005760BD" w:rsidRPr="005760BD" w14:paraId="79800985" w14:textId="77777777" w:rsidTr="005760BD">
        <w:trPr>
          <w:cantSplit/>
          <w:trHeight w:val="284"/>
          <w:tblHeader/>
        </w:trPr>
        <w:tc>
          <w:tcPr>
            <w:tcW w:w="964" w:type="pct"/>
            <w:shd w:val="clear" w:color="auto" w:fill="auto"/>
            <w:vAlign w:val="center"/>
          </w:tcPr>
          <w:p w14:paraId="1B7F0655" w14:textId="77777777" w:rsidR="005760BD" w:rsidRPr="005760BD" w:rsidRDefault="005760BD" w:rsidP="005760BD">
            <w:pPr>
              <w:spacing w:line="240" w:lineRule="auto"/>
              <w:ind w:firstLine="0"/>
              <w:jc w:val="left"/>
              <w:rPr>
                <w:rFonts w:eastAsia="Times New Roman" w:cs="Times New Roman"/>
                <w:sz w:val="20"/>
                <w:szCs w:val="20"/>
                <w:lang w:eastAsia="nb-NO"/>
              </w:rPr>
            </w:pPr>
            <w:r w:rsidRPr="006F0EAE">
              <w:rPr>
                <w:rFonts w:eastAsia="Times New Roman" w:cs="Times New Roman"/>
                <w:sz w:val="20"/>
                <w:szCs w:val="20"/>
                <w:lang w:eastAsia="nb-NO"/>
              </w:rPr>
              <w:t>Öge</w:t>
            </w:r>
            <w:r w:rsidRPr="005760BD">
              <w:rPr>
                <w:rFonts w:eastAsia="Times New Roman" w:cs="Times New Roman"/>
                <w:sz w:val="20"/>
                <w:szCs w:val="20"/>
                <w:lang w:eastAsia="nb-NO"/>
              </w:rPr>
              <w:t xml:space="preserve"> (2016b)</w:t>
            </w:r>
          </w:p>
        </w:tc>
        <w:tc>
          <w:tcPr>
            <w:tcW w:w="205" w:type="pct"/>
            <w:shd w:val="clear" w:color="auto" w:fill="auto"/>
            <w:vAlign w:val="center"/>
          </w:tcPr>
          <w:p w14:paraId="7322A180"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3</w:t>
            </w:r>
          </w:p>
        </w:tc>
        <w:tc>
          <w:tcPr>
            <w:tcW w:w="289" w:type="pct"/>
            <w:shd w:val="clear" w:color="auto" w:fill="auto"/>
            <w:vAlign w:val="center"/>
          </w:tcPr>
          <w:p w14:paraId="129A954D"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433" w:type="pct"/>
            <w:shd w:val="clear" w:color="auto" w:fill="auto"/>
            <w:vAlign w:val="center"/>
          </w:tcPr>
          <w:p w14:paraId="4F5E70BB" w14:textId="1F4FAD2D" w:rsidR="005760BD" w:rsidRPr="005760BD" w:rsidRDefault="00DD0C61" w:rsidP="002B6C48">
            <w:pPr>
              <w:spacing w:line="240" w:lineRule="auto"/>
              <w:ind w:firstLine="0"/>
              <w:jc w:val="center"/>
              <w:rPr>
                <w:rFonts w:eastAsia="Times New Roman" w:cs="Times New Roman"/>
                <w:sz w:val="20"/>
                <w:szCs w:val="20"/>
                <w:lang w:eastAsia="nb-NO"/>
              </w:rPr>
            </w:pPr>
            <w:r>
              <w:rPr>
                <w:rFonts w:eastAsia="Times New Roman" w:cs="Times New Roman"/>
                <w:sz w:val="20"/>
                <w:szCs w:val="20"/>
                <w:lang w:eastAsia="nb-NO"/>
              </w:rPr>
              <w:t>2014</w:t>
            </w:r>
          </w:p>
        </w:tc>
        <w:tc>
          <w:tcPr>
            <w:tcW w:w="1316" w:type="pct"/>
            <w:shd w:val="clear" w:color="auto" w:fill="auto"/>
            <w:vAlign w:val="center"/>
          </w:tcPr>
          <w:p w14:paraId="751793E4" w14:textId="4DBFDAB4"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Times New Roman" w:cs="Times New Roman"/>
                <w:sz w:val="20"/>
                <w:szCs w:val="20"/>
                <w:lang w:eastAsia="nb-NO"/>
              </w:rPr>
              <w:t>Global</w:t>
            </w:r>
            <w:r w:rsidR="00DD0C61">
              <w:rPr>
                <w:rFonts w:eastAsia="Times New Roman" w:cs="Times New Roman"/>
                <w:sz w:val="20"/>
                <w:szCs w:val="20"/>
                <w:lang w:eastAsia="nb-NO"/>
              </w:rPr>
              <w:t>, cross-section</w:t>
            </w:r>
          </w:p>
        </w:tc>
        <w:tc>
          <w:tcPr>
            <w:tcW w:w="139" w:type="pct"/>
            <w:shd w:val="clear" w:color="auto" w:fill="auto"/>
            <w:vAlign w:val="center"/>
          </w:tcPr>
          <w:p w14:paraId="2491897E"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139" w:type="pct"/>
            <w:shd w:val="clear" w:color="auto" w:fill="auto"/>
            <w:vAlign w:val="center"/>
          </w:tcPr>
          <w:p w14:paraId="7E545D65"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139" w:type="pct"/>
            <w:shd w:val="clear" w:color="auto" w:fill="auto"/>
            <w:vAlign w:val="center"/>
          </w:tcPr>
          <w:p w14:paraId="058FD57E"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139" w:type="pct"/>
            <w:shd w:val="clear" w:color="auto" w:fill="auto"/>
            <w:vAlign w:val="center"/>
          </w:tcPr>
          <w:p w14:paraId="79FE0887"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139" w:type="pct"/>
            <w:shd w:val="clear" w:color="auto" w:fill="auto"/>
            <w:vAlign w:val="center"/>
          </w:tcPr>
          <w:p w14:paraId="219A275E"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139" w:type="pct"/>
            <w:shd w:val="clear" w:color="auto" w:fill="auto"/>
            <w:vAlign w:val="center"/>
          </w:tcPr>
          <w:p w14:paraId="31E51299"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139" w:type="pct"/>
            <w:shd w:val="clear" w:color="auto" w:fill="auto"/>
            <w:vAlign w:val="center"/>
          </w:tcPr>
          <w:p w14:paraId="3C073C11"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139" w:type="pct"/>
            <w:shd w:val="clear" w:color="auto" w:fill="auto"/>
            <w:vAlign w:val="center"/>
          </w:tcPr>
          <w:p w14:paraId="7C9832C3"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226" w:type="pct"/>
            <w:shd w:val="clear" w:color="auto" w:fill="auto"/>
            <w:vAlign w:val="center"/>
          </w:tcPr>
          <w:p w14:paraId="75E053D4" w14:textId="77777777" w:rsidR="005760BD" w:rsidRPr="005760BD" w:rsidRDefault="005760BD" w:rsidP="005760BD">
            <w:pPr>
              <w:spacing w:line="240" w:lineRule="auto"/>
              <w:ind w:firstLine="0"/>
              <w:jc w:val="center"/>
              <w:rPr>
                <w:rFonts w:eastAsia="Times New Roman" w:cs="Times New Roman"/>
                <w:sz w:val="20"/>
                <w:szCs w:val="20"/>
                <w:lang w:eastAsia="nb-NO"/>
              </w:rPr>
            </w:pPr>
          </w:p>
        </w:tc>
        <w:tc>
          <w:tcPr>
            <w:tcW w:w="227" w:type="pct"/>
            <w:shd w:val="clear" w:color="auto" w:fill="auto"/>
            <w:vAlign w:val="center"/>
          </w:tcPr>
          <w:p w14:paraId="39FCE8EC"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S</w:t>
            </w:r>
          </w:p>
        </w:tc>
        <w:tc>
          <w:tcPr>
            <w:tcW w:w="227" w:type="pct"/>
            <w:shd w:val="clear" w:color="auto" w:fill="auto"/>
            <w:vAlign w:val="center"/>
          </w:tcPr>
          <w:p w14:paraId="368077C8" w14:textId="77777777" w:rsidR="005760BD" w:rsidRPr="005760BD" w:rsidRDefault="005760BD" w:rsidP="005760BD">
            <w:pPr>
              <w:spacing w:line="240" w:lineRule="auto"/>
              <w:ind w:firstLine="0"/>
              <w:jc w:val="center"/>
              <w:rPr>
                <w:rFonts w:eastAsia="Times New Roman" w:cs="Times New Roman"/>
                <w:sz w:val="20"/>
                <w:szCs w:val="20"/>
                <w:lang w:eastAsia="nb-NO"/>
              </w:rPr>
            </w:pPr>
          </w:p>
        </w:tc>
      </w:tr>
      <w:tr w:rsidR="005760BD" w:rsidRPr="005760BD" w14:paraId="4772EA13" w14:textId="77777777" w:rsidTr="005760BD">
        <w:trPr>
          <w:cantSplit/>
          <w:trHeight w:val="284"/>
          <w:tblHeader/>
        </w:trPr>
        <w:tc>
          <w:tcPr>
            <w:tcW w:w="964" w:type="pct"/>
            <w:shd w:val="clear" w:color="auto" w:fill="auto"/>
            <w:vAlign w:val="center"/>
            <w:hideMark/>
          </w:tcPr>
          <w:p w14:paraId="3FFA39AA" w14:textId="77777777" w:rsidR="005760BD" w:rsidRPr="005760BD" w:rsidRDefault="005760BD" w:rsidP="005760BD">
            <w:pPr>
              <w:spacing w:line="240" w:lineRule="auto"/>
              <w:ind w:firstLine="0"/>
              <w:jc w:val="left"/>
              <w:rPr>
                <w:rFonts w:eastAsia="Times New Roman" w:cs="Times New Roman"/>
                <w:sz w:val="20"/>
                <w:szCs w:val="20"/>
                <w:lang w:eastAsia="nb-NO"/>
              </w:rPr>
            </w:pPr>
            <w:r w:rsidRPr="005760BD">
              <w:rPr>
                <w:rFonts w:eastAsia="Calibri" w:cs="Times New Roman"/>
                <w:sz w:val="20"/>
                <w:szCs w:val="20"/>
              </w:rPr>
              <w:t>Neumann et al</w:t>
            </w:r>
            <w:r w:rsidRPr="005760BD">
              <w:rPr>
                <w:rFonts w:eastAsia="Times New Roman" w:cs="Times New Roman"/>
                <w:sz w:val="20"/>
                <w:szCs w:val="20"/>
                <w:lang w:eastAsia="nb-NO"/>
              </w:rPr>
              <w:t xml:space="preserve"> (2016)</w:t>
            </w:r>
          </w:p>
        </w:tc>
        <w:tc>
          <w:tcPr>
            <w:tcW w:w="205" w:type="pct"/>
            <w:shd w:val="clear" w:color="auto" w:fill="auto"/>
            <w:vAlign w:val="center"/>
            <w:hideMark/>
          </w:tcPr>
          <w:p w14:paraId="7D82FC74"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2</w:t>
            </w:r>
          </w:p>
        </w:tc>
        <w:tc>
          <w:tcPr>
            <w:tcW w:w="289" w:type="pct"/>
            <w:shd w:val="clear" w:color="auto" w:fill="auto"/>
            <w:vAlign w:val="center"/>
            <w:hideMark/>
          </w:tcPr>
          <w:p w14:paraId="251BFC35" w14:textId="77777777" w:rsidR="005760BD" w:rsidRPr="005760BD" w:rsidRDefault="005760BD" w:rsidP="005760BD">
            <w:pPr>
              <w:spacing w:line="240" w:lineRule="auto"/>
              <w:ind w:firstLine="0"/>
              <w:jc w:val="center"/>
              <w:rPr>
                <w:rFonts w:eastAsia="Times New Roman" w:cs="Times New Roman"/>
                <w:sz w:val="20"/>
                <w:szCs w:val="20"/>
                <w:lang w:eastAsia="nb-NO"/>
              </w:rPr>
            </w:pPr>
            <w:r w:rsidRPr="005760BD">
              <w:rPr>
                <w:rFonts w:eastAsia="Times New Roman" w:cs="Times New Roman"/>
                <w:sz w:val="20"/>
                <w:szCs w:val="20"/>
                <w:lang w:eastAsia="nb-NO"/>
              </w:rPr>
              <w:t>1 and 2</w:t>
            </w:r>
          </w:p>
        </w:tc>
        <w:tc>
          <w:tcPr>
            <w:tcW w:w="433" w:type="pct"/>
            <w:shd w:val="clear" w:color="auto" w:fill="auto"/>
            <w:vAlign w:val="bottom"/>
            <w:hideMark/>
          </w:tcPr>
          <w:p w14:paraId="3DA73FB7" w14:textId="365AC20E" w:rsidR="005760BD" w:rsidRPr="005760BD" w:rsidRDefault="000C13FF" w:rsidP="002B6C48">
            <w:pPr>
              <w:spacing w:line="240" w:lineRule="auto"/>
              <w:ind w:firstLine="0"/>
              <w:jc w:val="center"/>
              <w:rPr>
                <w:rFonts w:eastAsia="Times New Roman" w:cs="Times New Roman"/>
                <w:sz w:val="20"/>
                <w:szCs w:val="20"/>
                <w:lang w:eastAsia="nb-NO"/>
              </w:rPr>
            </w:pPr>
            <w:r>
              <w:rPr>
                <w:rFonts w:eastAsia="Times New Roman" w:cs="Times New Roman"/>
                <w:sz w:val="20"/>
                <w:szCs w:val="20"/>
                <w:lang w:eastAsia="nb-NO"/>
              </w:rPr>
              <w:t>2000-2014</w:t>
            </w:r>
          </w:p>
        </w:tc>
        <w:tc>
          <w:tcPr>
            <w:tcW w:w="1316" w:type="pct"/>
            <w:shd w:val="clear" w:color="auto" w:fill="auto"/>
            <w:vAlign w:val="center"/>
            <w:hideMark/>
          </w:tcPr>
          <w:p w14:paraId="54442DBD" w14:textId="613C8534" w:rsidR="005760BD" w:rsidRPr="005760BD" w:rsidRDefault="000C13FF" w:rsidP="005760BD">
            <w:pPr>
              <w:spacing w:line="240" w:lineRule="auto"/>
              <w:ind w:firstLine="0"/>
              <w:jc w:val="left"/>
              <w:rPr>
                <w:rFonts w:eastAsia="Times New Roman" w:cs="Times New Roman"/>
                <w:sz w:val="20"/>
                <w:szCs w:val="20"/>
                <w:lang w:eastAsia="nb-NO"/>
              </w:rPr>
            </w:pPr>
            <w:r>
              <w:rPr>
                <w:rFonts w:eastAsia="Times New Roman" w:cs="Times New Roman"/>
                <w:sz w:val="20"/>
                <w:szCs w:val="20"/>
                <w:lang w:eastAsia="nb-NO"/>
              </w:rPr>
              <w:t>98</w:t>
            </w:r>
            <w:r w:rsidR="005760BD" w:rsidRPr="005760BD">
              <w:rPr>
                <w:rFonts w:eastAsia="Times New Roman" w:cs="Times New Roman"/>
                <w:sz w:val="20"/>
                <w:szCs w:val="20"/>
                <w:lang w:eastAsia="nb-NO"/>
              </w:rPr>
              <w:t xml:space="preserve"> countries,  cases: DRC and Mozambique</w:t>
            </w:r>
          </w:p>
        </w:tc>
        <w:tc>
          <w:tcPr>
            <w:tcW w:w="139" w:type="pct"/>
            <w:shd w:val="clear" w:color="auto" w:fill="auto"/>
            <w:vAlign w:val="center"/>
            <w:hideMark/>
          </w:tcPr>
          <w:p w14:paraId="569B98D4" w14:textId="77777777" w:rsidR="005760BD" w:rsidRPr="005760BD" w:rsidRDefault="005760BD" w:rsidP="005760BD">
            <w:pPr>
              <w:spacing w:line="240" w:lineRule="auto"/>
              <w:ind w:firstLine="0"/>
              <w:jc w:val="center"/>
              <w:rPr>
                <w:rFonts w:ascii="Calibri" w:eastAsia="Times New Roman" w:hAnsi="Calibri" w:cs="Times New Roman"/>
                <w:sz w:val="22"/>
                <w:lang w:eastAsia="nb-NO"/>
              </w:rPr>
            </w:pPr>
            <w:r w:rsidRPr="005760BD">
              <w:rPr>
                <w:rFonts w:ascii="Calibri" w:eastAsia="Times New Roman" w:hAnsi="Calibri" w:cs="Times New Roman"/>
                <w:sz w:val="22"/>
                <w:lang w:eastAsia="nb-NO"/>
              </w:rPr>
              <w:t> </w:t>
            </w:r>
          </w:p>
        </w:tc>
        <w:tc>
          <w:tcPr>
            <w:tcW w:w="139" w:type="pct"/>
            <w:shd w:val="clear" w:color="auto" w:fill="auto"/>
            <w:vAlign w:val="center"/>
            <w:hideMark/>
          </w:tcPr>
          <w:p w14:paraId="2A42EFCF" w14:textId="77777777" w:rsidR="005760BD" w:rsidRPr="005760BD" w:rsidRDefault="005760BD" w:rsidP="005760BD">
            <w:pPr>
              <w:spacing w:line="240" w:lineRule="auto"/>
              <w:ind w:firstLine="0"/>
              <w:jc w:val="center"/>
              <w:rPr>
                <w:rFonts w:ascii="Calibri" w:eastAsia="Times New Roman" w:hAnsi="Calibri" w:cs="Times New Roman"/>
                <w:sz w:val="22"/>
                <w:lang w:eastAsia="nb-NO"/>
              </w:rPr>
            </w:pPr>
            <w:r w:rsidRPr="005760BD">
              <w:rPr>
                <w:rFonts w:ascii="Calibri" w:eastAsia="Times New Roman" w:hAnsi="Calibri" w:cs="Times New Roman"/>
                <w:sz w:val="22"/>
                <w:lang w:eastAsia="nb-NO"/>
              </w:rPr>
              <w:t>S</w:t>
            </w:r>
          </w:p>
        </w:tc>
        <w:tc>
          <w:tcPr>
            <w:tcW w:w="139" w:type="pct"/>
            <w:shd w:val="clear" w:color="auto" w:fill="auto"/>
            <w:vAlign w:val="center"/>
            <w:hideMark/>
          </w:tcPr>
          <w:p w14:paraId="64F6962A" w14:textId="77777777" w:rsidR="005760BD" w:rsidRPr="005760BD" w:rsidRDefault="005760BD" w:rsidP="005760BD">
            <w:pPr>
              <w:spacing w:line="240" w:lineRule="auto"/>
              <w:ind w:firstLine="0"/>
              <w:jc w:val="center"/>
              <w:rPr>
                <w:rFonts w:ascii="Calibri" w:eastAsia="Times New Roman" w:hAnsi="Calibri" w:cs="Times New Roman"/>
                <w:sz w:val="22"/>
                <w:lang w:eastAsia="nb-NO"/>
              </w:rPr>
            </w:pPr>
            <w:r w:rsidRPr="005760BD">
              <w:rPr>
                <w:rFonts w:ascii="Calibri" w:eastAsia="Times New Roman" w:hAnsi="Calibri" w:cs="Times New Roman"/>
                <w:sz w:val="22"/>
                <w:lang w:eastAsia="nb-NO"/>
              </w:rPr>
              <w:t>M</w:t>
            </w:r>
          </w:p>
        </w:tc>
        <w:tc>
          <w:tcPr>
            <w:tcW w:w="139" w:type="pct"/>
            <w:shd w:val="clear" w:color="auto" w:fill="auto"/>
            <w:vAlign w:val="center"/>
            <w:hideMark/>
          </w:tcPr>
          <w:p w14:paraId="62EBAB69" w14:textId="77777777" w:rsidR="005760BD" w:rsidRPr="005760BD" w:rsidRDefault="005760BD" w:rsidP="005760BD">
            <w:pPr>
              <w:spacing w:line="240" w:lineRule="auto"/>
              <w:ind w:firstLine="0"/>
              <w:jc w:val="center"/>
              <w:rPr>
                <w:rFonts w:ascii="Calibri" w:eastAsia="Times New Roman" w:hAnsi="Calibri" w:cs="Times New Roman"/>
                <w:sz w:val="22"/>
                <w:lang w:eastAsia="nb-NO"/>
              </w:rPr>
            </w:pPr>
            <w:r w:rsidRPr="005760BD">
              <w:rPr>
                <w:rFonts w:ascii="Calibri" w:eastAsia="Times New Roman" w:hAnsi="Calibri" w:cs="Times New Roman"/>
                <w:sz w:val="22"/>
                <w:lang w:eastAsia="nb-NO"/>
              </w:rPr>
              <w:t> </w:t>
            </w:r>
          </w:p>
        </w:tc>
        <w:tc>
          <w:tcPr>
            <w:tcW w:w="139" w:type="pct"/>
            <w:shd w:val="clear" w:color="auto" w:fill="auto"/>
            <w:vAlign w:val="center"/>
            <w:hideMark/>
          </w:tcPr>
          <w:p w14:paraId="061BD967" w14:textId="77777777" w:rsidR="005760BD" w:rsidRPr="005760BD" w:rsidRDefault="005760BD" w:rsidP="005760BD">
            <w:pPr>
              <w:spacing w:line="240" w:lineRule="auto"/>
              <w:ind w:firstLine="0"/>
              <w:jc w:val="center"/>
              <w:rPr>
                <w:rFonts w:ascii="Calibri" w:eastAsia="Times New Roman" w:hAnsi="Calibri" w:cs="Times New Roman"/>
                <w:sz w:val="22"/>
                <w:lang w:eastAsia="nb-NO"/>
              </w:rPr>
            </w:pPr>
            <w:r w:rsidRPr="005760BD">
              <w:rPr>
                <w:rFonts w:ascii="Calibri" w:eastAsia="Times New Roman" w:hAnsi="Calibri" w:cs="Times New Roman"/>
                <w:sz w:val="22"/>
                <w:lang w:eastAsia="nb-NO"/>
              </w:rPr>
              <w:t> </w:t>
            </w:r>
          </w:p>
        </w:tc>
        <w:tc>
          <w:tcPr>
            <w:tcW w:w="139" w:type="pct"/>
            <w:shd w:val="clear" w:color="auto" w:fill="auto"/>
            <w:vAlign w:val="center"/>
            <w:hideMark/>
          </w:tcPr>
          <w:p w14:paraId="756FFA5D" w14:textId="77777777" w:rsidR="005760BD" w:rsidRPr="005760BD" w:rsidRDefault="005760BD" w:rsidP="005760BD">
            <w:pPr>
              <w:spacing w:line="240" w:lineRule="auto"/>
              <w:ind w:firstLine="0"/>
              <w:jc w:val="center"/>
              <w:rPr>
                <w:rFonts w:ascii="Calibri" w:eastAsia="Times New Roman" w:hAnsi="Calibri" w:cs="Times New Roman"/>
                <w:sz w:val="22"/>
                <w:lang w:eastAsia="nb-NO"/>
              </w:rPr>
            </w:pPr>
            <w:r w:rsidRPr="005760BD">
              <w:rPr>
                <w:rFonts w:ascii="Calibri" w:eastAsia="Times New Roman" w:hAnsi="Calibri" w:cs="Times New Roman"/>
                <w:sz w:val="22"/>
                <w:lang w:eastAsia="nb-NO"/>
              </w:rPr>
              <w:t>S</w:t>
            </w:r>
          </w:p>
        </w:tc>
        <w:tc>
          <w:tcPr>
            <w:tcW w:w="139" w:type="pct"/>
            <w:shd w:val="clear" w:color="auto" w:fill="auto"/>
            <w:vAlign w:val="center"/>
            <w:hideMark/>
          </w:tcPr>
          <w:p w14:paraId="63E4B998" w14:textId="77777777" w:rsidR="005760BD" w:rsidRPr="005760BD" w:rsidRDefault="005760BD" w:rsidP="005760BD">
            <w:pPr>
              <w:spacing w:line="240" w:lineRule="auto"/>
              <w:ind w:firstLine="0"/>
              <w:jc w:val="center"/>
              <w:rPr>
                <w:rFonts w:ascii="Calibri" w:eastAsia="Times New Roman" w:hAnsi="Calibri" w:cs="Times New Roman"/>
                <w:sz w:val="22"/>
                <w:lang w:eastAsia="nb-NO"/>
              </w:rPr>
            </w:pPr>
            <w:r w:rsidRPr="005760BD">
              <w:rPr>
                <w:rFonts w:ascii="Calibri" w:eastAsia="Times New Roman" w:hAnsi="Calibri" w:cs="Times New Roman"/>
                <w:sz w:val="22"/>
                <w:lang w:eastAsia="nb-NO"/>
              </w:rPr>
              <w:t>M</w:t>
            </w:r>
          </w:p>
        </w:tc>
        <w:tc>
          <w:tcPr>
            <w:tcW w:w="139" w:type="pct"/>
            <w:shd w:val="clear" w:color="auto" w:fill="auto"/>
            <w:vAlign w:val="center"/>
            <w:hideMark/>
          </w:tcPr>
          <w:p w14:paraId="58B0E724" w14:textId="77777777" w:rsidR="005760BD" w:rsidRPr="005760BD" w:rsidRDefault="005760BD" w:rsidP="005760BD">
            <w:pPr>
              <w:spacing w:line="240" w:lineRule="auto"/>
              <w:ind w:firstLine="0"/>
              <w:jc w:val="center"/>
              <w:rPr>
                <w:rFonts w:ascii="Calibri" w:eastAsia="Times New Roman" w:hAnsi="Calibri" w:cs="Times New Roman"/>
                <w:sz w:val="22"/>
                <w:lang w:eastAsia="nb-NO"/>
              </w:rPr>
            </w:pPr>
            <w:r w:rsidRPr="005760BD">
              <w:rPr>
                <w:rFonts w:ascii="Calibri" w:eastAsia="Times New Roman" w:hAnsi="Calibri" w:cs="Times New Roman"/>
                <w:sz w:val="22"/>
                <w:lang w:eastAsia="nb-NO"/>
              </w:rPr>
              <w:t> </w:t>
            </w:r>
          </w:p>
        </w:tc>
        <w:tc>
          <w:tcPr>
            <w:tcW w:w="226" w:type="pct"/>
            <w:shd w:val="clear" w:color="auto" w:fill="auto"/>
            <w:vAlign w:val="center"/>
            <w:hideMark/>
          </w:tcPr>
          <w:p w14:paraId="15A031A3" w14:textId="77777777" w:rsidR="005760BD" w:rsidRPr="005760BD" w:rsidRDefault="005760BD" w:rsidP="005760BD">
            <w:pPr>
              <w:spacing w:line="240" w:lineRule="auto"/>
              <w:ind w:firstLine="0"/>
              <w:jc w:val="center"/>
              <w:rPr>
                <w:rFonts w:ascii="Calibri" w:eastAsia="Times New Roman" w:hAnsi="Calibri" w:cs="Times New Roman"/>
                <w:sz w:val="22"/>
                <w:lang w:eastAsia="nb-NO"/>
              </w:rPr>
            </w:pPr>
            <w:r w:rsidRPr="005760BD">
              <w:rPr>
                <w:rFonts w:ascii="Calibri" w:eastAsia="Times New Roman" w:hAnsi="Calibri" w:cs="Times New Roman"/>
                <w:sz w:val="22"/>
                <w:lang w:eastAsia="nb-NO"/>
              </w:rPr>
              <w:t> </w:t>
            </w:r>
          </w:p>
        </w:tc>
        <w:tc>
          <w:tcPr>
            <w:tcW w:w="227" w:type="pct"/>
            <w:shd w:val="clear" w:color="auto" w:fill="auto"/>
            <w:vAlign w:val="center"/>
            <w:hideMark/>
          </w:tcPr>
          <w:p w14:paraId="3D9D00B9" w14:textId="77777777" w:rsidR="005760BD" w:rsidRPr="005760BD" w:rsidRDefault="005760BD" w:rsidP="005760BD">
            <w:pPr>
              <w:spacing w:line="240" w:lineRule="auto"/>
              <w:ind w:firstLine="0"/>
              <w:jc w:val="center"/>
              <w:rPr>
                <w:rFonts w:ascii="Calibri" w:eastAsia="Times New Roman" w:hAnsi="Calibri" w:cs="Times New Roman"/>
                <w:sz w:val="22"/>
                <w:lang w:eastAsia="nb-NO"/>
              </w:rPr>
            </w:pPr>
            <w:r w:rsidRPr="005760BD">
              <w:rPr>
                <w:rFonts w:ascii="Calibri" w:eastAsia="Times New Roman" w:hAnsi="Calibri" w:cs="Times New Roman"/>
                <w:sz w:val="22"/>
                <w:lang w:eastAsia="nb-NO"/>
              </w:rPr>
              <w:t>S</w:t>
            </w:r>
          </w:p>
        </w:tc>
        <w:tc>
          <w:tcPr>
            <w:tcW w:w="227" w:type="pct"/>
            <w:shd w:val="clear" w:color="auto" w:fill="auto"/>
            <w:vAlign w:val="center"/>
            <w:hideMark/>
          </w:tcPr>
          <w:p w14:paraId="4B319020" w14:textId="77777777" w:rsidR="005760BD" w:rsidRPr="005760BD" w:rsidRDefault="005760BD" w:rsidP="005760BD">
            <w:pPr>
              <w:spacing w:line="240" w:lineRule="auto"/>
              <w:ind w:firstLine="0"/>
              <w:jc w:val="center"/>
              <w:rPr>
                <w:rFonts w:ascii="Calibri" w:eastAsia="Times New Roman" w:hAnsi="Calibri" w:cs="Times New Roman"/>
                <w:sz w:val="22"/>
                <w:lang w:eastAsia="nb-NO"/>
              </w:rPr>
            </w:pPr>
            <w:r w:rsidRPr="005760BD">
              <w:rPr>
                <w:rFonts w:ascii="Calibri" w:eastAsia="Times New Roman" w:hAnsi="Calibri" w:cs="Times New Roman"/>
                <w:sz w:val="22"/>
                <w:lang w:eastAsia="nb-NO"/>
              </w:rPr>
              <w:t> </w:t>
            </w:r>
          </w:p>
        </w:tc>
      </w:tr>
    </w:tbl>
    <w:p w14:paraId="1E8ABB90" w14:textId="77777777" w:rsidR="005760BD" w:rsidRPr="005760BD" w:rsidRDefault="005760BD" w:rsidP="005760BD">
      <w:pPr>
        <w:spacing w:after="200"/>
        <w:ind w:firstLine="0"/>
        <w:jc w:val="left"/>
        <w:rPr>
          <w:rFonts w:ascii="Calibri" w:eastAsia="Calibri" w:hAnsi="Calibri" w:cs="Times New Roman"/>
          <w:sz w:val="22"/>
        </w:rPr>
      </w:pPr>
    </w:p>
    <w:p w14:paraId="4B4A42ED" w14:textId="77777777" w:rsidR="005760BD" w:rsidRPr="005760BD" w:rsidRDefault="005760BD" w:rsidP="005760BD">
      <w:pPr>
        <w:keepNext/>
        <w:keepLines/>
        <w:spacing w:line="288" w:lineRule="auto"/>
        <w:ind w:firstLine="0"/>
        <w:outlineLvl w:val="1"/>
        <w:rPr>
          <w:rFonts w:eastAsia="Times New Roman" w:cs="Times New Roman"/>
          <w:b/>
          <w:sz w:val="32"/>
          <w:szCs w:val="26"/>
        </w:rPr>
      </w:pPr>
      <w:r w:rsidRPr="005760BD">
        <w:rPr>
          <w:rFonts w:eastAsia="Times New Roman" w:cs="Times New Roman"/>
          <w:b/>
          <w:sz w:val="32"/>
          <w:szCs w:val="26"/>
        </w:rPr>
        <w:t>Appendix reference list</w:t>
      </w:r>
    </w:p>
    <w:p w14:paraId="7AF6601A"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Aaronsen, S. and J. Brinkerhoff (2011). Limited Partnership: Business, Government, Civil Society (NGOs) and the Public in the Extractive Industry Transparency Initiative (EITI). </w:t>
      </w:r>
      <w:r w:rsidRPr="005760BD">
        <w:rPr>
          <w:rFonts w:eastAsia="Calibri" w:cs="Times New Roman"/>
          <w:i/>
          <w:sz w:val="20"/>
          <w:szCs w:val="20"/>
        </w:rPr>
        <w:t>Public Administration and Development</w:t>
      </w:r>
      <w:r w:rsidRPr="005760BD">
        <w:rPr>
          <w:rFonts w:eastAsia="Calibri" w:cs="Times New Roman"/>
          <w:sz w:val="20"/>
          <w:szCs w:val="20"/>
        </w:rPr>
        <w:t xml:space="preserve">. 31: 50–63. </w:t>
      </w:r>
    </w:p>
    <w:p w14:paraId="58D1B5C3" w14:textId="77777777" w:rsidR="005760BD" w:rsidRPr="007E1B00"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Albania EITI (2014). Annual Activity Report. Albania EITI Secretariat. </w:t>
      </w:r>
      <w:hyperlink r:id="rId52" w:history="1">
        <w:r w:rsidRPr="007E1B00">
          <w:rPr>
            <w:rFonts w:eastAsia="Calibri" w:cs="Times New Roman"/>
            <w:color w:val="0563C1"/>
            <w:sz w:val="20"/>
            <w:szCs w:val="20"/>
            <w:u w:val="single"/>
          </w:rPr>
          <w:t>https://eiti.org/files/2014%20EITI%20Albania%20AAR%20English.pdf</w:t>
        </w:r>
      </w:hyperlink>
    </w:p>
    <w:p w14:paraId="0036DE79" w14:textId="77777777" w:rsidR="005760BD" w:rsidRPr="005760BD" w:rsidRDefault="005760BD" w:rsidP="005760BD">
      <w:pPr>
        <w:autoSpaceDE w:val="0"/>
        <w:autoSpaceDN w:val="0"/>
        <w:adjustRightInd w:val="0"/>
        <w:spacing w:line="240" w:lineRule="auto"/>
        <w:ind w:left="567" w:hanging="567"/>
        <w:jc w:val="left"/>
        <w:rPr>
          <w:rFonts w:eastAsia="Calibri" w:cs="Times New Roman"/>
          <w:iCs/>
          <w:sz w:val="20"/>
          <w:szCs w:val="20"/>
        </w:rPr>
      </w:pPr>
      <w:r w:rsidRPr="007E1B00">
        <w:rPr>
          <w:rFonts w:eastAsia="Calibri" w:cs="Times New Roman"/>
          <w:sz w:val="20"/>
          <w:szCs w:val="20"/>
        </w:rPr>
        <w:t xml:space="preserve">Andrews, N. (2016). </w:t>
      </w:r>
      <w:r w:rsidRPr="005760BD">
        <w:rPr>
          <w:rFonts w:eastAsia="Calibri" w:cs="Times New Roman"/>
          <w:sz w:val="20"/>
          <w:szCs w:val="20"/>
        </w:rPr>
        <w:t xml:space="preserve">A Swiss-Army Knife? A Critical Assessment of the Extractive Industries Transparency Initiative (EITI) in Ghana. </w:t>
      </w:r>
      <w:r w:rsidRPr="005760BD">
        <w:rPr>
          <w:rFonts w:eastAsia="Calibri" w:cs="Times New Roman"/>
          <w:i/>
          <w:iCs/>
          <w:sz w:val="20"/>
          <w:szCs w:val="20"/>
        </w:rPr>
        <w:t>Business and Society Review.</w:t>
      </w:r>
      <w:r w:rsidRPr="005760BD">
        <w:rPr>
          <w:rFonts w:eastAsia="Calibri" w:cs="Times New Roman"/>
          <w:iCs/>
          <w:sz w:val="20"/>
          <w:szCs w:val="20"/>
        </w:rPr>
        <w:t xml:space="preserve"> 121: 59</w:t>
      </w:r>
      <w:r w:rsidRPr="005760BD">
        <w:rPr>
          <w:rFonts w:eastAsia="Calibri" w:cs="Times New Roman"/>
          <w:sz w:val="20"/>
          <w:szCs w:val="20"/>
        </w:rPr>
        <w:t>–</w:t>
      </w:r>
      <w:r w:rsidRPr="005760BD">
        <w:rPr>
          <w:rFonts w:eastAsia="Calibri" w:cs="Times New Roman"/>
          <w:iCs/>
          <w:sz w:val="20"/>
          <w:szCs w:val="20"/>
        </w:rPr>
        <w:t xml:space="preserve">83. </w:t>
      </w:r>
    </w:p>
    <w:p w14:paraId="54017942"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Bickham, E. (2015). </w:t>
      </w:r>
      <w:r w:rsidRPr="005760BD">
        <w:rPr>
          <w:rFonts w:eastAsia="Calibri" w:cs="Times New Roman"/>
          <w:i/>
          <w:sz w:val="20"/>
          <w:szCs w:val="20"/>
        </w:rPr>
        <w:t>Mining and the Extractive Industries Transparency Initiative. A review of international and in-country experiences of the EITI from the perspective of supporting mining companies.</w:t>
      </w:r>
      <w:r w:rsidRPr="005760BD">
        <w:rPr>
          <w:rFonts w:eastAsia="Calibri" w:cs="Times New Roman"/>
          <w:sz w:val="20"/>
          <w:szCs w:val="20"/>
        </w:rPr>
        <w:t xml:space="preserve"> Report commissioned by the ICMM President. </w:t>
      </w:r>
      <w:hyperlink r:id="rId53" w:history="1">
        <w:r w:rsidRPr="005760BD">
          <w:rPr>
            <w:rFonts w:eastAsia="Calibri" w:cs="Times New Roman"/>
            <w:color w:val="0563C1"/>
            <w:sz w:val="20"/>
            <w:szCs w:val="20"/>
            <w:u w:val="single"/>
          </w:rPr>
          <w:t>https://eiti.org/sites/default/files/migrated_files/eiti_review_report_v10_-_final.pdf</w:t>
        </w:r>
      </w:hyperlink>
    </w:p>
    <w:p w14:paraId="5795C6BF"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lang w:val="nb-NO"/>
        </w:rPr>
        <w:t xml:space="preserve">Carbonnier, G., Brugger, F., &amp; Krause, J. (2011). </w:t>
      </w:r>
      <w:r w:rsidRPr="005760BD">
        <w:rPr>
          <w:rFonts w:eastAsia="Calibri" w:cs="Times New Roman"/>
          <w:sz w:val="20"/>
          <w:szCs w:val="20"/>
        </w:rPr>
        <w:t xml:space="preserve">Global and local policy responses to the resource trap. </w:t>
      </w:r>
      <w:r w:rsidRPr="005760BD">
        <w:rPr>
          <w:rFonts w:eastAsia="Calibri" w:cs="Times New Roman"/>
          <w:i/>
          <w:iCs/>
          <w:sz w:val="20"/>
          <w:szCs w:val="20"/>
        </w:rPr>
        <w:t>Global Governance</w:t>
      </w:r>
      <w:r w:rsidRPr="005760BD">
        <w:rPr>
          <w:rFonts w:eastAsia="Calibri" w:cs="Times New Roman"/>
          <w:sz w:val="20"/>
          <w:szCs w:val="20"/>
        </w:rPr>
        <w:t xml:space="preserve">. </w:t>
      </w:r>
      <w:r w:rsidRPr="005760BD">
        <w:rPr>
          <w:rFonts w:eastAsia="Calibri" w:cs="Times New Roman"/>
          <w:iCs/>
          <w:sz w:val="20"/>
          <w:szCs w:val="20"/>
        </w:rPr>
        <w:t>17</w:t>
      </w:r>
      <w:r w:rsidRPr="005760BD">
        <w:rPr>
          <w:rFonts w:eastAsia="Calibri" w:cs="Times New Roman"/>
          <w:sz w:val="20"/>
          <w:szCs w:val="20"/>
        </w:rPr>
        <w:t>: 247–264.</w:t>
      </w:r>
    </w:p>
    <w:p w14:paraId="27F67996"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Corrigan, C. (2014). Breaking the resource curse: Transparency in the natural resource sector and the extractive industry transparency initiative. </w:t>
      </w:r>
      <w:r w:rsidRPr="005760BD">
        <w:rPr>
          <w:rFonts w:eastAsia="Calibri" w:cs="Times New Roman"/>
          <w:i/>
          <w:sz w:val="20"/>
          <w:szCs w:val="20"/>
        </w:rPr>
        <w:t>Resources Policy</w:t>
      </w:r>
      <w:r w:rsidRPr="005760BD">
        <w:rPr>
          <w:rFonts w:eastAsia="Calibri" w:cs="Times New Roman"/>
          <w:sz w:val="20"/>
          <w:szCs w:val="20"/>
        </w:rPr>
        <w:t>. 40: 17–30.</w:t>
      </w:r>
    </w:p>
    <w:p w14:paraId="35A32E0F"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David-Barrett, E. and K. Okamura (2016). </w:t>
      </w:r>
      <w:r w:rsidRPr="005760BD">
        <w:rPr>
          <w:rFonts w:eastAsia="Calibri" w:cs="Times New Roman"/>
          <w:iCs/>
          <w:sz w:val="20"/>
          <w:szCs w:val="20"/>
        </w:rPr>
        <w:t>Norm diffusion and reputation: the rise of the extractive industries transparency initiative.</w:t>
      </w:r>
      <w:r w:rsidRPr="005760BD">
        <w:rPr>
          <w:rFonts w:eastAsia="Calibri" w:cs="Times New Roman"/>
          <w:sz w:val="20"/>
          <w:szCs w:val="20"/>
        </w:rPr>
        <w:t xml:space="preserve"> </w:t>
      </w:r>
      <w:r w:rsidRPr="005760BD">
        <w:rPr>
          <w:rFonts w:eastAsia="Calibri" w:cs="Times New Roman"/>
          <w:i/>
          <w:sz w:val="20"/>
          <w:szCs w:val="20"/>
        </w:rPr>
        <w:t>Governance.</w:t>
      </w:r>
      <w:r w:rsidRPr="005760BD">
        <w:rPr>
          <w:rFonts w:eastAsia="Calibri" w:cs="Times New Roman"/>
          <w:sz w:val="20"/>
          <w:szCs w:val="20"/>
        </w:rPr>
        <w:t xml:space="preserve"> 29: 227–246. </w:t>
      </w:r>
    </w:p>
    <w:p w14:paraId="502AC2A0"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Dykstra, Page (2011). Learning from Success and Challenges. Revenue Watch Briefing. </w:t>
      </w:r>
      <w:hyperlink r:id="rId54" w:history="1">
        <w:r w:rsidRPr="005760BD">
          <w:rPr>
            <w:rFonts w:eastAsia="Calibri" w:cs="Times New Roman"/>
            <w:color w:val="0563C1"/>
            <w:sz w:val="20"/>
            <w:szCs w:val="20"/>
            <w:u w:val="single"/>
          </w:rPr>
          <w:t>http://www.resourcegovernance.org/sites/default/files/EITI_lessons_2011-02-23.pdf</w:t>
        </w:r>
      </w:hyperlink>
      <w:r w:rsidRPr="005760BD">
        <w:rPr>
          <w:rFonts w:eastAsia="Calibri" w:cs="Times New Roman"/>
          <w:sz w:val="20"/>
          <w:szCs w:val="20"/>
        </w:rPr>
        <w:t xml:space="preserve"> </w:t>
      </w:r>
    </w:p>
    <w:p w14:paraId="1379516A"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lang w:val="nb-NO"/>
        </w:rPr>
      </w:pPr>
      <w:r w:rsidRPr="005760BD">
        <w:rPr>
          <w:rFonts w:eastAsia="Calibri" w:cs="Times New Roman"/>
          <w:sz w:val="20"/>
          <w:szCs w:val="20"/>
        </w:rPr>
        <w:t xml:space="preserve">EITI (2010). Impact of the EITI in Africa: Stories from the ground. </w:t>
      </w:r>
      <w:hyperlink r:id="rId55" w:history="1">
        <w:r w:rsidRPr="005760BD">
          <w:rPr>
            <w:rFonts w:eastAsia="Calibri" w:cs="Times New Roman"/>
            <w:sz w:val="20"/>
            <w:szCs w:val="20"/>
            <w:lang w:val="nb-NO"/>
          </w:rPr>
          <w:t>https://eiti.org/files/EITI%20Impact%20in%20Africa.pdf</w:t>
        </w:r>
      </w:hyperlink>
    </w:p>
    <w:p w14:paraId="30350874" w14:textId="77777777" w:rsidR="005760BD" w:rsidRPr="005760BD" w:rsidRDefault="005760BD" w:rsidP="005760BD">
      <w:pPr>
        <w:autoSpaceDE w:val="0"/>
        <w:autoSpaceDN w:val="0"/>
        <w:adjustRightInd w:val="0"/>
        <w:spacing w:line="240" w:lineRule="auto"/>
        <w:ind w:left="567" w:hanging="567"/>
        <w:jc w:val="left"/>
        <w:rPr>
          <w:rFonts w:eastAsia="Calibri" w:cs="Times New Roman"/>
          <w:color w:val="000000"/>
          <w:sz w:val="20"/>
          <w:szCs w:val="20"/>
        </w:rPr>
      </w:pPr>
      <w:r w:rsidRPr="005760BD">
        <w:rPr>
          <w:rFonts w:eastAsia="Calibri" w:cs="Times New Roman"/>
          <w:color w:val="000000"/>
          <w:sz w:val="20"/>
          <w:szCs w:val="20"/>
          <w:lang w:val="nb-NO"/>
        </w:rPr>
        <w:lastRenderedPageBreak/>
        <w:t xml:space="preserve">EITI MDTF (2014). </w:t>
      </w:r>
      <w:r w:rsidRPr="005760BD">
        <w:rPr>
          <w:rFonts w:eastAsia="Calibri" w:cs="Times New Roman"/>
          <w:color w:val="000000"/>
          <w:sz w:val="20"/>
          <w:szCs w:val="20"/>
        </w:rPr>
        <w:t>Annual Report 2014: Extractive Industries Transparency Initiative Multi-Donor Trust Fund</w:t>
      </w:r>
    </w:p>
    <w:p w14:paraId="7D9225C6" w14:textId="77777777" w:rsidR="005760BD" w:rsidRPr="007E1B00" w:rsidRDefault="005760BD" w:rsidP="005760BD">
      <w:pPr>
        <w:autoSpaceDE w:val="0"/>
        <w:autoSpaceDN w:val="0"/>
        <w:adjustRightInd w:val="0"/>
        <w:spacing w:line="240" w:lineRule="auto"/>
        <w:ind w:left="567" w:hanging="567"/>
        <w:jc w:val="left"/>
        <w:rPr>
          <w:rFonts w:eastAsia="Calibri" w:cs="Times New Roman"/>
          <w:color w:val="0563C1"/>
          <w:sz w:val="20"/>
          <w:szCs w:val="20"/>
          <w:u w:val="single"/>
        </w:rPr>
      </w:pPr>
      <w:r w:rsidRPr="005760BD">
        <w:rPr>
          <w:rFonts w:eastAsia="Calibri" w:cs="Times New Roman"/>
          <w:sz w:val="20"/>
          <w:szCs w:val="20"/>
        </w:rPr>
        <w:t xml:space="preserve">Etter, L. (2014). Can transparency reduce corruption? – Evidence from firms in Peru and Mali on the impact of the extractive industries transparency initiative (EITI) on corruption. Working paper presented at </w:t>
      </w:r>
      <w:r w:rsidRPr="005760BD">
        <w:rPr>
          <w:rFonts w:eastAsia="Calibri" w:cs="Times New Roman"/>
          <w:i/>
          <w:sz w:val="20"/>
          <w:szCs w:val="20"/>
        </w:rPr>
        <w:t>Doing Business Conference</w:t>
      </w:r>
      <w:r w:rsidRPr="005760BD">
        <w:rPr>
          <w:rFonts w:eastAsia="Calibri" w:cs="Times New Roman"/>
          <w:sz w:val="20"/>
          <w:szCs w:val="20"/>
        </w:rPr>
        <w:t xml:space="preserve"> at Georgetown University, Washington, DC, February 20-21, 2014. </w:t>
      </w:r>
      <w:hyperlink r:id="rId56" w:history="1">
        <w:r w:rsidRPr="007E1B00">
          <w:rPr>
            <w:rFonts w:eastAsia="Calibri" w:cs="Times New Roman"/>
            <w:color w:val="0563C1"/>
            <w:sz w:val="20"/>
            <w:szCs w:val="20"/>
            <w:u w:val="single"/>
          </w:rPr>
          <w:t>https://eiti.org/document/can-transparency-reduce-corruption</w:t>
        </w:r>
      </w:hyperlink>
    </w:p>
    <w:p w14:paraId="6AC022C0" w14:textId="77777777" w:rsidR="005760BD" w:rsidRPr="005760BD" w:rsidRDefault="005760BD" w:rsidP="005760BD">
      <w:pPr>
        <w:spacing w:line="240" w:lineRule="auto"/>
        <w:ind w:left="567" w:hanging="567"/>
        <w:jc w:val="left"/>
        <w:rPr>
          <w:rFonts w:eastAsia="Calibri" w:cs="Times New Roman"/>
          <w:i/>
          <w:sz w:val="20"/>
          <w:szCs w:val="20"/>
        </w:rPr>
      </w:pPr>
      <w:r w:rsidRPr="007E1B00">
        <w:rPr>
          <w:rFonts w:eastAsia="Calibri" w:cs="Times New Roman"/>
          <w:sz w:val="20"/>
          <w:szCs w:val="20"/>
        </w:rPr>
        <w:t xml:space="preserve">Finneberg, R., A. (2014). </w:t>
      </w:r>
      <w:r w:rsidRPr="005760BD">
        <w:rPr>
          <w:rFonts w:eastAsia="Calibri" w:cs="Times New Roman"/>
          <w:sz w:val="20"/>
          <w:szCs w:val="20"/>
        </w:rPr>
        <w:t xml:space="preserve">The United States joins EITI: a case study in theory and practice. </w:t>
      </w:r>
      <w:r w:rsidRPr="005760BD">
        <w:rPr>
          <w:rFonts w:eastAsia="Calibri" w:cs="Times New Roman"/>
          <w:i/>
          <w:sz w:val="20"/>
          <w:szCs w:val="20"/>
        </w:rPr>
        <w:t>Journal of World Energy Law and Business</w:t>
      </w:r>
      <w:r w:rsidRPr="005760BD">
        <w:rPr>
          <w:rFonts w:eastAsia="Calibri" w:cs="Times New Roman"/>
          <w:sz w:val="20"/>
          <w:szCs w:val="20"/>
        </w:rPr>
        <w:t xml:space="preserve">. 1: 46–62. </w:t>
      </w:r>
    </w:p>
    <w:p w14:paraId="68020979" w14:textId="77777777" w:rsidR="005760BD" w:rsidRPr="005760BD" w:rsidRDefault="005760BD" w:rsidP="005760BD">
      <w:pPr>
        <w:spacing w:line="240" w:lineRule="auto"/>
        <w:ind w:left="567" w:hanging="567"/>
        <w:jc w:val="left"/>
        <w:rPr>
          <w:rFonts w:eastAsia="Calibri" w:cs="Times New Roman"/>
          <w:sz w:val="20"/>
          <w:szCs w:val="20"/>
        </w:rPr>
      </w:pPr>
      <w:r w:rsidRPr="005760BD">
        <w:rPr>
          <w:rFonts w:eastAsia="Calibri" w:cs="Times New Roman"/>
          <w:sz w:val="20"/>
          <w:szCs w:val="20"/>
        </w:rPr>
        <w:t xml:space="preserve">Furstenberg, S. (2015). Consolidating global governance in nondemocratic countries: Critical reflections on the Extractive Industries Transparency Initiative (EITI) in Kyrgyzstan. </w:t>
      </w:r>
      <w:r w:rsidRPr="005760BD">
        <w:rPr>
          <w:rFonts w:eastAsia="Calibri" w:cs="Times New Roman"/>
          <w:i/>
          <w:iCs/>
          <w:sz w:val="20"/>
          <w:szCs w:val="20"/>
        </w:rPr>
        <w:t>The Extractive Industries and Society</w:t>
      </w:r>
      <w:r w:rsidRPr="005760BD">
        <w:rPr>
          <w:rFonts w:eastAsia="Calibri" w:cs="Times New Roman"/>
          <w:sz w:val="20"/>
          <w:szCs w:val="20"/>
        </w:rPr>
        <w:t xml:space="preserve">. </w:t>
      </w:r>
      <w:r w:rsidRPr="005760BD">
        <w:rPr>
          <w:rFonts w:eastAsia="Calibri" w:cs="Times New Roman"/>
          <w:i/>
          <w:iCs/>
          <w:sz w:val="20"/>
          <w:szCs w:val="20"/>
        </w:rPr>
        <w:t>2</w:t>
      </w:r>
      <w:r w:rsidRPr="005760BD">
        <w:rPr>
          <w:rFonts w:eastAsia="Calibri" w:cs="Times New Roman"/>
          <w:sz w:val="20"/>
          <w:szCs w:val="20"/>
        </w:rPr>
        <w:t>: 462–471.</w:t>
      </w:r>
    </w:p>
    <w:p w14:paraId="31324C1D" w14:textId="77777777" w:rsidR="005760BD" w:rsidRPr="005760BD" w:rsidRDefault="005760BD" w:rsidP="005760BD">
      <w:pPr>
        <w:autoSpaceDE w:val="0"/>
        <w:autoSpaceDN w:val="0"/>
        <w:adjustRightInd w:val="0"/>
        <w:spacing w:line="240" w:lineRule="auto"/>
        <w:ind w:left="567" w:hanging="567"/>
        <w:jc w:val="left"/>
        <w:rPr>
          <w:rFonts w:eastAsia="Calibri" w:cs="Times New Roman"/>
          <w:color w:val="000000"/>
          <w:sz w:val="20"/>
          <w:szCs w:val="20"/>
        </w:rPr>
      </w:pPr>
      <w:r w:rsidRPr="005760BD">
        <w:rPr>
          <w:rFonts w:eastAsia="Calibri" w:cs="Times New Roman"/>
          <w:color w:val="000000"/>
          <w:sz w:val="20"/>
          <w:szCs w:val="20"/>
        </w:rPr>
        <w:t xml:space="preserve">Gillies, A. and A. Heuty (2011). Does Transparency Work? The Challenges of Measurement and Effectiveness in Resource-Rich Countries. </w:t>
      </w:r>
      <w:r w:rsidRPr="005760BD">
        <w:rPr>
          <w:rFonts w:eastAsia="Calibri" w:cs="Times New Roman"/>
          <w:i/>
          <w:color w:val="000000"/>
          <w:sz w:val="20"/>
          <w:szCs w:val="20"/>
        </w:rPr>
        <w:t>Yale Journal of International Affairs</w:t>
      </w:r>
      <w:r w:rsidRPr="005760BD">
        <w:rPr>
          <w:rFonts w:eastAsia="Calibri" w:cs="Times New Roman"/>
          <w:color w:val="000000"/>
          <w:sz w:val="20"/>
          <w:szCs w:val="20"/>
        </w:rPr>
        <w:t>. 6: 26–42.</w:t>
      </w:r>
    </w:p>
    <w:p w14:paraId="719EB040" w14:textId="77777777" w:rsidR="005760BD" w:rsidRPr="005760BD" w:rsidRDefault="005760BD" w:rsidP="005760BD">
      <w:pPr>
        <w:autoSpaceDE w:val="0"/>
        <w:autoSpaceDN w:val="0"/>
        <w:adjustRightInd w:val="0"/>
        <w:spacing w:line="240" w:lineRule="auto"/>
        <w:ind w:left="567" w:hanging="567"/>
        <w:jc w:val="left"/>
        <w:rPr>
          <w:rFonts w:eastAsia="Calibri" w:cs="Times New Roman"/>
          <w:color w:val="000000"/>
          <w:sz w:val="20"/>
          <w:szCs w:val="20"/>
        </w:rPr>
      </w:pPr>
      <w:r w:rsidRPr="005760BD">
        <w:rPr>
          <w:rFonts w:eastAsia="Calibri" w:cs="Times New Roman"/>
          <w:sz w:val="20"/>
          <w:szCs w:val="20"/>
        </w:rPr>
        <w:t xml:space="preserve">Haufler, V. (2010). </w:t>
      </w:r>
      <w:r w:rsidRPr="005760BD">
        <w:rPr>
          <w:rFonts w:eastAsia="Calibri" w:cs="Times New Roman"/>
          <w:color w:val="000000"/>
          <w:sz w:val="20"/>
          <w:szCs w:val="20"/>
        </w:rPr>
        <w:t xml:space="preserve">Disclosure as Governance: The Extractive Industries Transparency Initiative and Resource Management in the Developing World. </w:t>
      </w:r>
      <w:r w:rsidRPr="005760BD">
        <w:rPr>
          <w:rFonts w:eastAsia="Calibri" w:cs="Times New Roman"/>
          <w:i/>
          <w:color w:val="000000"/>
          <w:sz w:val="20"/>
          <w:szCs w:val="20"/>
        </w:rPr>
        <w:t>Global Environmental Politics</w:t>
      </w:r>
      <w:r w:rsidRPr="005760BD">
        <w:rPr>
          <w:rFonts w:eastAsia="Calibri" w:cs="Times New Roman"/>
          <w:color w:val="000000"/>
          <w:sz w:val="20"/>
          <w:szCs w:val="20"/>
        </w:rPr>
        <w:t>. 10: 53-73</w:t>
      </w:r>
    </w:p>
    <w:p w14:paraId="6FDC7E89"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Hilson, G., and R. Maconachie (2009). “Good Governance” and the extractive industries in Sub-Saharan Africa. </w:t>
      </w:r>
      <w:r w:rsidRPr="005760BD">
        <w:rPr>
          <w:rFonts w:eastAsia="Calibri" w:cs="Times New Roman"/>
          <w:i/>
          <w:sz w:val="20"/>
          <w:szCs w:val="20"/>
        </w:rPr>
        <w:t>Mineral Processing &amp; Extractive Metall. Rev</w:t>
      </w:r>
      <w:r w:rsidRPr="005760BD">
        <w:rPr>
          <w:rFonts w:eastAsia="Calibri" w:cs="Times New Roman"/>
          <w:sz w:val="20"/>
          <w:szCs w:val="20"/>
        </w:rPr>
        <w:t>. 30: 52–100.</w:t>
      </w:r>
    </w:p>
    <w:p w14:paraId="78EF2E33"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Ihugba, U., B. (2014). A critical analysis of the auditing and reporting functions of Nigeria Extractive Industry Transparency Initiative (NEITI) Act 2007. </w:t>
      </w:r>
      <w:r w:rsidRPr="005760BD">
        <w:rPr>
          <w:rFonts w:eastAsia="Calibri" w:cs="Times New Roman"/>
          <w:i/>
          <w:sz w:val="20"/>
          <w:szCs w:val="20"/>
        </w:rPr>
        <w:t>Journal of International Trade Law and Policy</w:t>
      </w:r>
      <w:r w:rsidRPr="005760BD">
        <w:rPr>
          <w:rFonts w:eastAsia="Calibri" w:cs="Times New Roman"/>
          <w:sz w:val="20"/>
          <w:szCs w:val="20"/>
        </w:rPr>
        <w:t>. 13: 232–245</w:t>
      </w:r>
    </w:p>
    <w:p w14:paraId="0ACC520B"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Kasekende, E., C. Abuka and M. Sarr (2016). Extractive Industries and corruption: Investigating the effectiveness of EITI as scrutiny mechanism. </w:t>
      </w:r>
      <w:r w:rsidRPr="005760BD">
        <w:rPr>
          <w:rFonts w:eastAsia="Calibri" w:cs="Times New Roman"/>
          <w:i/>
          <w:sz w:val="20"/>
          <w:szCs w:val="20"/>
        </w:rPr>
        <w:t>Resources Policy</w:t>
      </w:r>
      <w:r w:rsidRPr="005760BD">
        <w:rPr>
          <w:rFonts w:eastAsia="Calibri" w:cs="Times New Roman"/>
          <w:sz w:val="20"/>
          <w:szCs w:val="20"/>
        </w:rPr>
        <w:t>. 48: 117–128.</w:t>
      </w:r>
    </w:p>
    <w:p w14:paraId="5B7418AE" w14:textId="77777777" w:rsidR="005760BD" w:rsidRPr="005760BD" w:rsidRDefault="005760BD" w:rsidP="005760BD">
      <w:pPr>
        <w:autoSpaceDE w:val="0"/>
        <w:autoSpaceDN w:val="0"/>
        <w:adjustRightInd w:val="0"/>
        <w:spacing w:line="240" w:lineRule="auto"/>
        <w:ind w:left="567" w:hanging="567"/>
        <w:jc w:val="left"/>
        <w:rPr>
          <w:rFonts w:eastAsia="Calibri" w:cs="Times New Roman"/>
          <w:color w:val="0563C1"/>
          <w:sz w:val="20"/>
          <w:szCs w:val="20"/>
          <w:u w:val="single"/>
        </w:rPr>
      </w:pPr>
      <w:r w:rsidRPr="005760BD">
        <w:rPr>
          <w:rFonts w:eastAsia="Calibri" w:cs="Times New Roman"/>
          <w:sz w:val="20"/>
          <w:szCs w:val="20"/>
        </w:rPr>
        <w:t xml:space="preserve">Keblusek, M. (2010). Is EITI really helping to improve global good governance? Examining the Resource Curse, Corruption and Nigeria’s EITI implementation Experience. </w:t>
      </w:r>
      <w:r w:rsidRPr="005760BD">
        <w:rPr>
          <w:rFonts w:eastAsia="Calibri" w:cs="Times New Roman"/>
          <w:i/>
          <w:sz w:val="20"/>
          <w:szCs w:val="20"/>
        </w:rPr>
        <w:t>Niger Delta Professionals for Development</w:t>
      </w:r>
      <w:r w:rsidRPr="005760BD">
        <w:rPr>
          <w:rFonts w:eastAsia="Calibri" w:cs="Times New Roman"/>
          <w:sz w:val="20"/>
          <w:szCs w:val="20"/>
        </w:rPr>
        <w:t xml:space="preserve">. </w:t>
      </w:r>
      <w:hyperlink r:id="rId57" w:history="1">
        <w:r w:rsidRPr="005760BD">
          <w:rPr>
            <w:rFonts w:eastAsia="Calibri" w:cs="Times New Roman"/>
            <w:color w:val="0563C1"/>
            <w:sz w:val="20"/>
            <w:szCs w:val="20"/>
            <w:u w:val="single"/>
          </w:rPr>
          <w:t>http://nidprodev.org/EITI%20-%20Nigeria%20Analysis.pdf</w:t>
        </w:r>
      </w:hyperlink>
    </w:p>
    <w:p w14:paraId="0FE3BD41"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Lujala, P., and L. Epremian (2016). Transparency and natural resource revenue management: Empowering the public with information? In: </w:t>
      </w:r>
      <w:r w:rsidRPr="005760BD">
        <w:rPr>
          <w:rFonts w:eastAsia="Calibri" w:cs="Times New Roman"/>
          <w:i/>
          <w:sz w:val="20"/>
          <w:szCs w:val="20"/>
        </w:rPr>
        <w:t>Corruption, natural resources and development</w:t>
      </w:r>
      <w:r w:rsidRPr="005760BD">
        <w:rPr>
          <w:rFonts w:eastAsia="Calibri" w:cs="Times New Roman"/>
          <w:sz w:val="20"/>
          <w:szCs w:val="20"/>
        </w:rPr>
        <w:t>, A. Williams &amp; P. Le Billon. Edward Elgar Publishing.</w:t>
      </w:r>
    </w:p>
    <w:p w14:paraId="2EE02BA0"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Neumann, L., S. Silvestrini, T. Strauss, H. Harnack, R. Dion, S. Darby, C. von Haldenwang and N. Roloff (2016). Assessing the Effectiveness and Impact of the Extractive Industries Transparency Initiative (EITI). Deutsche Gesellschaft für Internationale Zusammenarbeit (GIZ).</w:t>
      </w:r>
    </w:p>
    <w:p w14:paraId="68F657C3"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Ofori, J.J.Y. &amp; P. Lujala (2015). Illusionary transparency? Oil revenues, information disclosure, and transparency. </w:t>
      </w:r>
      <w:r w:rsidRPr="005760BD">
        <w:rPr>
          <w:rFonts w:eastAsia="Calibri" w:cs="Times New Roman"/>
          <w:i/>
          <w:sz w:val="20"/>
          <w:szCs w:val="20"/>
        </w:rPr>
        <w:t>Society &amp; Natural Resources</w:t>
      </w:r>
      <w:r w:rsidRPr="005760BD">
        <w:rPr>
          <w:rFonts w:eastAsia="Calibri" w:cs="Times New Roman"/>
          <w:sz w:val="20"/>
          <w:szCs w:val="20"/>
        </w:rPr>
        <w:t>. 28:1187–1202.</w:t>
      </w:r>
    </w:p>
    <w:p w14:paraId="4D91CE59"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Öge, K. (2014). The Limits of Transparency Promotion in Azerbaijan: External Remedies to “Reverse the Curse”. </w:t>
      </w:r>
      <w:r w:rsidRPr="005760BD">
        <w:rPr>
          <w:rFonts w:eastAsia="Calibri" w:cs="Times New Roman"/>
          <w:i/>
          <w:sz w:val="20"/>
          <w:szCs w:val="20"/>
        </w:rPr>
        <w:t>Europe-Asia Studies.</w:t>
      </w:r>
      <w:r w:rsidRPr="005760BD">
        <w:rPr>
          <w:rFonts w:eastAsia="Calibri" w:cs="Times New Roman"/>
          <w:sz w:val="20"/>
          <w:szCs w:val="20"/>
        </w:rPr>
        <w:t xml:space="preserve"> 66: 1482–1500.</w:t>
      </w:r>
    </w:p>
    <w:p w14:paraId="6DA6057F"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Öge, K. (2016a). Which transparency matters? Compliance with anti-corruption efforts in extractive industries. </w:t>
      </w:r>
      <w:r w:rsidRPr="005760BD">
        <w:rPr>
          <w:rFonts w:eastAsia="Calibri" w:cs="Times New Roman"/>
          <w:i/>
          <w:sz w:val="20"/>
          <w:szCs w:val="20"/>
        </w:rPr>
        <w:t>Resources Policy</w:t>
      </w:r>
      <w:r w:rsidRPr="005760BD">
        <w:rPr>
          <w:rFonts w:eastAsia="Calibri" w:cs="Times New Roman"/>
          <w:sz w:val="20"/>
          <w:szCs w:val="20"/>
        </w:rPr>
        <w:t>. 49: 41–50.</w:t>
      </w:r>
    </w:p>
    <w:p w14:paraId="152DB8D3"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Öge, K. (2016b). To disclose or not to disclose: How global competition for foreign direct investment influences transparency reforms in extractive industries</w:t>
      </w:r>
      <w:r w:rsidRPr="005760BD">
        <w:rPr>
          <w:rFonts w:eastAsia="Calibri" w:cs="Times New Roman"/>
          <w:i/>
          <w:sz w:val="20"/>
          <w:szCs w:val="20"/>
        </w:rPr>
        <w:t>. Energy Policy</w:t>
      </w:r>
      <w:r w:rsidRPr="005760BD">
        <w:rPr>
          <w:rFonts w:eastAsia="Calibri" w:cs="Times New Roman"/>
          <w:sz w:val="20"/>
          <w:szCs w:val="20"/>
        </w:rPr>
        <w:t>. 98: 133–141</w:t>
      </w:r>
    </w:p>
    <w:p w14:paraId="1618287C"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Ölcer, D. (2009). Extracting the Maximum from the EITI. Working Paper No. 276. Paris: </w:t>
      </w:r>
      <w:r w:rsidRPr="005760BD">
        <w:rPr>
          <w:rFonts w:eastAsia="Calibri" w:cs="Times New Roman"/>
          <w:i/>
          <w:sz w:val="20"/>
          <w:szCs w:val="20"/>
        </w:rPr>
        <w:t>OECD Development Centre</w:t>
      </w:r>
      <w:r w:rsidRPr="005760BD">
        <w:rPr>
          <w:rFonts w:eastAsia="Calibri" w:cs="Times New Roman"/>
          <w:sz w:val="20"/>
          <w:szCs w:val="20"/>
        </w:rPr>
        <w:t xml:space="preserve">. </w:t>
      </w:r>
      <w:hyperlink r:id="rId58" w:history="1">
        <w:r w:rsidRPr="005760BD">
          <w:rPr>
            <w:rFonts w:eastAsia="Calibri" w:cs="Times New Roman"/>
            <w:color w:val="0563C1"/>
            <w:sz w:val="20"/>
            <w:szCs w:val="20"/>
            <w:u w:val="single"/>
          </w:rPr>
          <w:t>http://www.oecd.org/dataoecd/56/60/42342311.pdf</w:t>
        </w:r>
      </w:hyperlink>
      <w:r w:rsidRPr="005760BD">
        <w:rPr>
          <w:rFonts w:eastAsia="Calibri" w:cs="Times New Roman"/>
          <w:sz w:val="20"/>
          <w:szCs w:val="20"/>
        </w:rPr>
        <w:t xml:space="preserve"> </w:t>
      </w:r>
    </w:p>
    <w:p w14:paraId="37D5C882"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Papyrakis, E., M. Riger and E. Gilberthorpe (2016). Corruption and the Extractive Industry Transparency Initiative. </w:t>
      </w:r>
      <w:r w:rsidRPr="005760BD">
        <w:rPr>
          <w:rFonts w:eastAsia="Calibri" w:cs="Times New Roman"/>
          <w:i/>
          <w:sz w:val="20"/>
          <w:szCs w:val="20"/>
        </w:rPr>
        <w:t>The Journal of Development Studies</w:t>
      </w:r>
      <w:r w:rsidRPr="005760BD">
        <w:rPr>
          <w:rFonts w:eastAsia="Calibri" w:cs="Times New Roman"/>
          <w:sz w:val="20"/>
          <w:szCs w:val="20"/>
        </w:rPr>
        <w:t>. In press</w:t>
      </w:r>
    </w:p>
    <w:p w14:paraId="1F79E431" w14:textId="77777777" w:rsidR="005760BD" w:rsidRPr="005760BD" w:rsidRDefault="005760BD" w:rsidP="005760BD">
      <w:pPr>
        <w:autoSpaceDE w:val="0"/>
        <w:autoSpaceDN w:val="0"/>
        <w:adjustRightInd w:val="0"/>
        <w:spacing w:line="240" w:lineRule="auto"/>
        <w:ind w:left="567" w:hanging="567"/>
        <w:jc w:val="left"/>
        <w:rPr>
          <w:rFonts w:eastAsia="Calibri" w:cs="Times New Roman"/>
          <w:color w:val="000000"/>
          <w:sz w:val="20"/>
          <w:szCs w:val="20"/>
        </w:rPr>
      </w:pPr>
      <w:r w:rsidRPr="005760BD">
        <w:rPr>
          <w:rFonts w:eastAsia="Calibri" w:cs="Times New Roman"/>
          <w:color w:val="000000"/>
          <w:sz w:val="20"/>
          <w:szCs w:val="20"/>
        </w:rPr>
        <w:t xml:space="preserve">Phillips, J. and K. Whiting (2016). A geocybernetic analysis of the principles of the Extractive Industries Transparency Initiative (EITI). </w:t>
      </w:r>
      <w:r w:rsidRPr="005760BD">
        <w:rPr>
          <w:rFonts w:eastAsia="Calibri" w:cs="Times New Roman"/>
          <w:i/>
          <w:color w:val="000000"/>
          <w:sz w:val="20"/>
          <w:szCs w:val="20"/>
        </w:rPr>
        <w:t>Resources Policy</w:t>
      </w:r>
      <w:r w:rsidRPr="005760BD">
        <w:rPr>
          <w:rFonts w:eastAsia="Calibri" w:cs="Times New Roman"/>
          <w:color w:val="000000"/>
          <w:sz w:val="20"/>
          <w:szCs w:val="20"/>
        </w:rPr>
        <w:t>. 49: 248–265.</w:t>
      </w:r>
    </w:p>
    <w:p w14:paraId="2233F1C9" w14:textId="77777777" w:rsidR="005760BD" w:rsidRPr="005760BD" w:rsidRDefault="005760BD" w:rsidP="005760BD">
      <w:pPr>
        <w:autoSpaceDE w:val="0"/>
        <w:autoSpaceDN w:val="0"/>
        <w:adjustRightInd w:val="0"/>
        <w:spacing w:line="240" w:lineRule="auto"/>
        <w:ind w:left="567" w:hanging="567"/>
        <w:jc w:val="left"/>
        <w:rPr>
          <w:rFonts w:eastAsia="Calibri" w:cs="Times New Roman"/>
          <w:color w:val="000000"/>
          <w:sz w:val="20"/>
          <w:szCs w:val="20"/>
        </w:rPr>
      </w:pPr>
      <w:r w:rsidRPr="005760BD">
        <w:rPr>
          <w:rFonts w:eastAsia="Calibri" w:cs="Times New Roman"/>
          <w:color w:val="000000"/>
          <w:sz w:val="20"/>
          <w:szCs w:val="20"/>
        </w:rPr>
        <w:t xml:space="preserve">Poretti, P. (2015). Transparency of government revenues from the sale of natural resources: pursuing the international course through EITI. </w:t>
      </w:r>
      <w:r w:rsidRPr="005760BD">
        <w:rPr>
          <w:rFonts w:eastAsia="Calibri" w:cs="Times New Roman"/>
          <w:i/>
          <w:color w:val="000000"/>
          <w:sz w:val="20"/>
          <w:szCs w:val="20"/>
        </w:rPr>
        <w:t>The Journal of World Energy Law &amp; Business</w:t>
      </w:r>
      <w:r w:rsidRPr="005760BD">
        <w:rPr>
          <w:rFonts w:eastAsia="Calibri" w:cs="Times New Roman"/>
          <w:color w:val="000000"/>
          <w:sz w:val="20"/>
          <w:szCs w:val="20"/>
        </w:rPr>
        <w:t>. In press.</w:t>
      </w:r>
    </w:p>
    <w:p w14:paraId="3DCF7886" w14:textId="77777777" w:rsidR="005760BD" w:rsidRPr="005760BD" w:rsidRDefault="005760BD" w:rsidP="005760BD">
      <w:pPr>
        <w:autoSpaceDE w:val="0"/>
        <w:autoSpaceDN w:val="0"/>
        <w:adjustRightInd w:val="0"/>
        <w:spacing w:line="240" w:lineRule="auto"/>
        <w:ind w:left="567" w:hanging="567"/>
        <w:jc w:val="left"/>
        <w:rPr>
          <w:rFonts w:eastAsia="Calibri" w:cs="Times New Roman"/>
          <w:i/>
          <w:color w:val="000000"/>
          <w:sz w:val="20"/>
          <w:szCs w:val="20"/>
        </w:rPr>
      </w:pPr>
      <w:r w:rsidRPr="005760BD">
        <w:rPr>
          <w:rFonts w:eastAsia="Calibri" w:cs="Times New Roman"/>
          <w:color w:val="000000"/>
          <w:sz w:val="20"/>
          <w:szCs w:val="20"/>
        </w:rPr>
        <w:t>Rainbow insight (2009). Evaluating the EITI’s Impact on the Transparency of Natural Resource Revenues</w:t>
      </w:r>
      <w:r w:rsidRPr="005760BD">
        <w:rPr>
          <w:rFonts w:eastAsia="Calibri" w:cs="Times New Roman"/>
          <w:i/>
          <w:color w:val="000000"/>
          <w:sz w:val="20"/>
          <w:szCs w:val="20"/>
        </w:rPr>
        <w:t xml:space="preserve">, </w:t>
      </w:r>
      <w:r w:rsidRPr="005760BD">
        <w:rPr>
          <w:rFonts w:eastAsia="Calibri" w:cs="Times New Roman"/>
          <w:color w:val="000000"/>
          <w:sz w:val="20"/>
          <w:szCs w:val="20"/>
        </w:rPr>
        <w:t xml:space="preserve">commissioned by the EITI International Secretariat. </w:t>
      </w:r>
      <w:hyperlink r:id="rId59" w:history="1">
        <w:r w:rsidRPr="005760BD">
          <w:rPr>
            <w:rFonts w:eastAsia="Calibri" w:cs="Times New Roman"/>
            <w:color w:val="0563C1"/>
            <w:sz w:val="20"/>
            <w:szCs w:val="20"/>
            <w:u w:val="single"/>
          </w:rPr>
          <w:t>https://eiti.org/sites/default/files/documents/Rainbow%20Insight%20Report.pdf</w:t>
        </w:r>
      </w:hyperlink>
    </w:p>
    <w:p w14:paraId="5B4F719D" w14:textId="77777777" w:rsidR="005760BD" w:rsidRPr="005760BD" w:rsidRDefault="005760BD" w:rsidP="005760BD">
      <w:pPr>
        <w:autoSpaceDE w:val="0"/>
        <w:autoSpaceDN w:val="0"/>
        <w:adjustRightInd w:val="0"/>
        <w:spacing w:line="240" w:lineRule="auto"/>
        <w:ind w:left="567" w:hanging="567"/>
        <w:jc w:val="left"/>
        <w:rPr>
          <w:rFonts w:eastAsia="Calibri" w:cs="Times New Roman"/>
          <w:color w:val="000000"/>
          <w:sz w:val="20"/>
          <w:szCs w:val="20"/>
        </w:rPr>
      </w:pPr>
      <w:r w:rsidRPr="005760BD">
        <w:rPr>
          <w:rFonts w:eastAsia="Calibri" w:cs="Times New Roman"/>
          <w:color w:val="000000"/>
          <w:sz w:val="20"/>
          <w:szCs w:val="20"/>
        </w:rPr>
        <w:t xml:space="preserve">Randall, L. and K. Blamo (2009). Bridging the disconnect: Why communication is crucial to promoting extractive transparency? Liberia Media Center and Liberia EITI. </w:t>
      </w:r>
      <w:hyperlink r:id="rId60" w:history="1">
        <w:r w:rsidRPr="005760BD">
          <w:rPr>
            <w:rFonts w:eastAsia="Calibri" w:cs="Times New Roman"/>
            <w:color w:val="0563C1"/>
            <w:sz w:val="20"/>
            <w:szCs w:val="20"/>
            <w:u w:val="single"/>
          </w:rPr>
          <w:t>http://www.leiti.org.lr/uploads/2/1/5/6/21569928/leiti_perception_survey_report.pdf</w:t>
        </w:r>
      </w:hyperlink>
    </w:p>
    <w:p w14:paraId="11C67213"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Rich, E. and J Moberg (2015). </w:t>
      </w:r>
      <w:r w:rsidRPr="005760BD">
        <w:rPr>
          <w:rFonts w:eastAsia="Calibri" w:cs="Times New Roman"/>
          <w:i/>
          <w:sz w:val="20"/>
          <w:szCs w:val="20"/>
        </w:rPr>
        <w:t>Beyond Governments: Making Collective Governance Work. Lessons from the Extractive Industry Transparency Initiative</w:t>
      </w:r>
      <w:r w:rsidRPr="005760BD">
        <w:rPr>
          <w:rFonts w:eastAsia="Calibri" w:cs="Times New Roman"/>
          <w:sz w:val="20"/>
          <w:szCs w:val="20"/>
        </w:rPr>
        <w:t>. Sheffield: Greenleaf Publishing.</w:t>
      </w:r>
    </w:p>
    <w:p w14:paraId="0512F4CF"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Rich, E., and T.N. Warner (2012). Addressing the roots of Liberia’s conflict through the Extractive Industries Transparency Initiative. In </w:t>
      </w:r>
      <w:r w:rsidRPr="005760BD">
        <w:rPr>
          <w:rFonts w:eastAsia="Calibri" w:cs="Times New Roman"/>
          <w:i/>
          <w:sz w:val="20"/>
          <w:szCs w:val="20"/>
        </w:rPr>
        <w:t>High-Value Natural Resources and Peacebuilding</w:t>
      </w:r>
      <w:r w:rsidRPr="005760BD">
        <w:rPr>
          <w:rFonts w:eastAsia="Calibri" w:cs="Times New Roman"/>
          <w:sz w:val="20"/>
          <w:szCs w:val="20"/>
        </w:rPr>
        <w:t>, P. Lujala and S.A. Rustad, Editors. London: Routledge.</w:t>
      </w:r>
    </w:p>
    <w:p w14:paraId="43465BA0"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lastRenderedPageBreak/>
        <w:t xml:space="preserve">Russell, B. (2014). USA commits to greater transparency with implementation of EITI. </w:t>
      </w:r>
      <w:r w:rsidRPr="005760BD">
        <w:rPr>
          <w:rFonts w:eastAsia="Calibri" w:cs="Times New Roman"/>
          <w:i/>
          <w:sz w:val="20"/>
          <w:szCs w:val="20"/>
        </w:rPr>
        <w:t>Journal of World Energy Law and Business.</w:t>
      </w:r>
      <w:r w:rsidRPr="005760BD">
        <w:rPr>
          <w:rFonts w:eastAsia="Calibri" w:cs="Times New Roman"/>
          <w:sz w:val="20"/>
          <w:szCs w:val="20"/>
        </w:rPr>
        <w:t xml:space="preserve"> 1:30–35.</w:t>
      </w:r>
    </w:p>
    <w:p w14:paraId="7D35EC54" w14:textId="77777777" w:rsidR="005760BD" w:rsidRPr="005760BD" w:rsidRDefault="005760BD" w:rsidP="005760BD">
      <w:pPr>
        <w:autoSpaceDE w:val="0"/>
        <w:autoSpaceDN w:val="0"/>
        <w:adjustRightInd w:val="0"/>
        <w:spacing w:line="240" w:lineRule="auto"/>
        <w:ind w:left="567" w:hanging="567"/>
        <w:jc w:val="left"/>
        <w:rPr>
          <w:rFonts w:eastAsia="Calibri" w:cs="Times New Roman"/>
          <w:color w:val="0563C1"/>
          <w:sz w:val="20"/>
          <w:szCs w:val="20"/>
          <w:u w:val="single"/>
          <w:lang w:val="nb-NO"/>
        </w:rPr>
      </w:pPr>
      <w:r w:rsidRPr="005760BD">
        <w:rPr>
          <w:rFonts w:eastAsia="Calibri" w:cs="Times New Roman"/>
          <w:sz w:val="20"/>
          <w:szCs w:val="20"/>
        </w:rPr>
        <w:t xml:space="preserve">Scanteam (2011). Achievements and Strategic Options: Evaluation of the Extractive Industry Transparency Initiative. </w:t>
      </w:r>
      <w:r w:rsidRPr="005760BD">
        <w:rPr>
          <w:rFonts w:eastAsia="Calibri" w:cs="Times New Roman"/>
          <w:sz w:val="20"/>
          <w:szCs w:val="20"/>
          <w:lang w:val="nb-NO"/>
        </w:rPr>
        <w:t xml:space="preserve">Oslo. </w:t>
      </w:r>
      <w:hyperlink r:id="rId61" w:history="1">
        <w:r w:rsidRPr="005760BD">
          <w:rPr>
            <w:rFonts w:eastAsia="Calibri" w:cs="Times New Roman"/>
            <w:color w:val="0563C1"/>
            <w:sz w:val="20"/>
            <w:szCs w:val="20"/>
            <w:u w:val="single"/>
            <w:lang w:val="nb-NO"/>
          </w:rPr>
          <w:t>https://eiti.org/files/2011-EITI-evaluation-report.pdf</w:t>
        </w:r>
      </w:hyperlink>
    </w:p>
    <w:p w14:paraId="18B83F3D"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lang w:val="nb-NO"/>
        </w:rPr>
        <w:t xml:space="preserve">Schmaljohann, M. (2013). </w:t>
      </w:r>
      <w:r w:rsidRPr="005760BD">
        <w:rPr>
          <w:rFonts w:eastAsia="Calibri" w:cs="Times New Roman"/>
          <w:sz w:val="20"/>
          <w:szCs w:val="20"/>
        </w:rPr>
        <w:t xml:space="preserve">Enhancing Foreign Direct Investment via Transparency? Evaluating the Effects of the EITI on FDI. University of Heidelberg. </w:t>
      </w:r>
      <w:r w:rsidRPr="005760BD">
        <w:rPr>
          <w:rFonts w:eastAsia="Calibri" w:cs="Times New Roman"/>
          <w:i/>
          <w:sz w:val="20"/>
          <w:szCs w:val="20"/>
        </w:rPr>
        <w:t>Discussion Paper Series</w:t>
      </w:r>
      <w:r w:rsidRPr="005760BD">
        <w:rPr>
          <w:rFonts w:eastAsia="Calibri" w:cs="Times New Roman"/>
          <w:sz w:val="20"/>
          <w:szCs w:val="20"/>
        </w:rPr>
        <w:t xml:space="preserve"> No. 538. </w:t>
      </w:r>
      <w:hyperlink r:id="rId62" w:history="1">
        <w:r w:rsidRPr="005760BD">
          <w:rPr>
            <w:rFonts w:eastAsia="Calibri" w:cs="Times New Roman"/>
            <w:color w:val="0563C1"/>
            <w:sz w:val="20"/>
            <w:szCs w:val="20"/>
            <w:u w:val="single"/>
          </w:rPr>
          <w:t>https://eiti.org/files/Schmaljohann_2013_dp538.pdf</w:t>
        </w:r>
      </w:hyperlink>
    </w:p>
    <w:p w14:paraId="6F5ED036" w14:textId="77777777" w:rsidR="005760BD" w:rsidRPr="005760BD" w:rsidRDefault="005760BD" w:rsidP="005760BD">
      <w:pPr>
        <w:autoSpaceDE w:val="0"/>
        <w:autoSpaceDN w:val="0"/>
        <w:adjustRightInd w:val="0"/>
        <w:spacing w:line="240" w:lineRule="auto"/>
        <w:ind w:left="567" w:hanging="567"/>
        <w:jc w:val="left"/>
        <w:rPr>
          <w:rFonts w:eastAsia="Calibri" w:cs="Times New Roman"/>
          <w:color w:val="0563C1"/>
          <w:sz w:val="20"/>
          <w:szCs w:val="20"/>
          <w:u w:val="single"/>
        </w:rPr>
      </w:pPr>
      <w:r w:rsidRPr="005760BD">
        <w:rPr>
          <w:rFonts w:eastAsia="Calibri" w:cs="Times New Roman"/>
          <w:sz w:val="20"/>
          <w:szCs w:val="20"/>
        </w:rPr>
        <w:t xml:space="preserve">Shaxson, N. (2009). Nigeria’s Extractive Industry Transparency Initiative. Just a Glorious Audit? Chatham House Report. </w:t>
      </w:r>
      <w:hyperlink r:id="rId63" w:history="1">
        <w:r w:rsidRPr="005760BD">
          <w:rPr>
            <w:rFonts w:eastAsia="Calibri" w:cs="Times New Roman"/>
            <w:color w:val="0563C1"/>
            <w:sz w:val="20"/>
            <w:szCs w:val="20"/>
            <w:u w:val="single"/>
          </w:rPr>
          <w:t>https://eiti.org/document/shaxson-neiti-glorious-audit</w:t>
        </w:r>
      </w:hyperlink>
    </w:p>
    <w:p w14:paraId="2366ABA5"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Short, C. (2014). The development of the Extractive Industries Transparency Initiative. </w:t>
      </w:r>
      <w:r w:rsidRPr="005760BD">
        <w:rPr>
          <w:rFonts w:eastAsia="Calibri" w:cs="Times New Roman"/>
          <w:i/>
          <w:sz w:val="20"/>
          <w:szCs w:val="20"/>
        </w:rPr>
        <w:t>Journal of World Energy Law Business.</w:t>
      </w:r>
      <w:r w:rsidRPr="005760BD">
        <w:rPr>
          <w:rFonts w:eastAsia="Calibri" w:cs="Times New Roman"/>
          <w:sz w:val="20"/>
          <w:szCs w:val="20"/>
        </w:rPr>
        <w:t xml:space="preserve"> 1: 8–15.</w:t>
      </w:r>
    </w:p>
    <w:p w14:paraId="34D38E84"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Smith, S.M., D. Shepherd and P. Dorward (2012). Perspectives on community representation within the Extractive Industries Transparency Initiative: Experiences from south-east Madagascar. </w:t>
      </w:r>
      <w:r w:rsidRPr="005760BD">
        <w:rPr>
          <w:rFonts w:eastAsia="Calibri" w:cs="Times New Roman"/>
          <w:i/>
          <w:sz w:val="20"/>
          <w:szCs w:val="20"/>
        </w:rPr>
        <w:t>Resources Policy</w:t>
      </w:r>
      <w:r w:rsidRPr="005760BD">
        <w:rPr>
          <w:rFonts w:eastAsia="Calibri" w:cs="Times New Roman"/>
          <w:sz w:val="20"/>
          <w:szCs w:val="20"/>
        </w:rPr>
        <w:t>. 37: 241–250</w:t>
      </w:r>
    </w:p>
    <w:p w14:paraId="330F32EC"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Søreide, T. and R. Truex (2013). Multi-stakeholder Groups for Better Sector Performance: A Key to Fighting Corruption in Natural-Resource Governance?  </w:t>
      </w:r>
      <w:r w:rsidRPr="005760BD">
        <w:rPr>
          <w:rFonts w:eastAsia="Calibri" w:cs="Times New Roman"/>
          <w:i/>
          <w:sz w:val="20"/>
          <w:szCs w:val="20"/>
        </w:rPr>
        <w:t>Development Policy Review</w:t>
      </w:r>
      <w:r w:rsidRPr="005760BD">
        <w:rPr>
          <w:rFonts w:eastAsia="Calibri" w:cs="Times New Roman"/>
          <w:sz w:val="20"/>
          <w:szCs w:val="20"/>
        </w:rPr>
        <w:t>. 31: 203–217.</w:t>
      </w:r>
    </w:p>
    <w:p w14:paraId="692160D2"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Sovacool B., N. Andrews (2015). Does transparency matter? Evaluating the governance impacts of the Extractive Industries Transparency Initiative (EITI) in Azerbaijan and Liberia </w:t>
      </w:r>
      <w:r w:rsidRPr="005760BD">
        <w:rPr>
          <w:rFonts w:eastAsia="Calibri" w:cs="Times New Roman"/>
          <w:i/>
          <w:sz w:val="20"/>
          <w:szCs w:val="20"/>
        </w:rPr>
        <w:t>Resources Policy</w:t>
      </w:r>
      <w:r w:rsidRPr="005760BD">
        <w:rPr>
          <w:rFonts w:eastAsia="Calibri" w:cs="Times New Roman"/>
          <w:sz w:val="20"/>
          <w:szCs w:val="20"/>
        </w:rPr>
        <w:t>. 45: 183–192.</w:t>
      </w:r>
    </w:p>
    <w:p w14:paraId="408C575E"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Sovacool, B. K., G. Walter, T. Van de Graaf and N. Andrews (2016). Energy Governance, Transnational Rules, and the Resource Curse: Exploring the Effectiveness of the Extractive Industries Transparency Initiative (EITI). </w:t>
      </w:r>
      <w:r w:rsidRPr="005760BD">
        <w:rPr>
          <w:rFonts w:eastAsia="Calibri" w:cs="Times New Roman"/>
          <w:i/>
          <w:iCs/>
          <w:sz w:val="20"/>
          <w:szCs w:val="20"/>
        </w:rPr>
        <w:t>World Development</w:t>
      </w:r>
      <w:r w:rsidRPr="005760BD">
        <w:rPr>
          <w:rFonts w:eastAsia="Calibri" w:cs="Times New Roman"/>
          <w:sz w:val="20"/>
          <w:szCs w:val="20"/>
        </w:rPr>
        <w:t xml:space="preserve">. 83: 179–192. </w:t>
      </w:r>
    </w:p>
    <w:p w14:paraId="63008D62"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 xml:space="preserve">Sturesson, A. and T. Zobel (2015). The Extractive Industries Transparency Initiative (EITI) in Uganda: Who will take the lead when the government falters? </w:t>
      </w:r>
      <w:r w:rsidRPr="005760BD">
        <w:rPr>
          <w:rFonts w:eastAsia="Calibri" w:cs="Times New Roman"/>
          <w:i/>
          <w:iCs/>
          <w:sz w:val="20"/>
          <w:szCs w:val="20"/>
        </w:rPr>
        <w:t>The Extractive Industries and Society</w:t>
      </w:r>
      <w:r w:rsidRPr="005760BD">
        <w:rPr>
          <w:rFonts w:eastAsia="Calibri" w:cs="Times New Roman"/>
          <w:iCs/>
          <w:sz w:val="20"/>
          <w:szCs w:val="20"/>
        </w:rPr>
        <w:t>.</w:t>
      </w:r>
      <w:r w:rsidRPr="005760BD">
        <w:rPr>
          <w:rFonts w:eastAsia="Calibri" w:cs="Times New Roman"/>
          <w:sz w:val="20"/>
          <w:szCs w:val="20"/>
        </w:rPr>
        <w:t xml:space="preserve"> 2: 33–45.</w:t>
      </w:r>
    </w:p>
    <w:p w14:paraId="273CD972" w14:textId="77777777" w:rsidR="005760BD" w:rsidRPr="005760BD" w:rsidRDefault="005760BD" w:rsidP="005760BD">
      <w:pPr>
        <w:autoSpaceDE w:val="0"/>
        <w:autoSpaceDN w:val="0"/>
        <w:adjustRightInd w:val="0"/>
        <w:spacing w:line="240" w:lineRule="auto"/>
        <w:ind w:left="567" w:hanging="567"/>
        <w:jc w:val="left"/>
        <w:rPr>
          <w:rFonts w:eastAsia="Calibri" w:cs="Times New Roman"/>
          <w:sz w:val="20"/>
          <w:szCs w:val="20"/>
        </w:rPr>
      </w:pPr>
      <w:r w:rsidRPr="005760BD">
        <w:rPr>
          <w:rFonts w:eastAsia="Calibri" w:cs="Times New Roman"/>
          <w:sz w:val="20"/>
          <w:szCs w:val="20"/>
        </w:rPr>
        <w:t>Westenberg, E. and M. George-Wagner (2015). From reporting to reform. Eleven opportunities for increasing EITI impacts</w:t>
      </w:r>
      <w:r w:rsidRPr="005760BD">
        <w:rPr>
          <w:rFonts w:eastAsia="Calibri" w:cs="Times New Roman"/>
          <w:i/>
          <w:sz w:val="20"/>
          <w:szCs w:val="20"/>
        </w:rPr>
        <w:t>.</w:t>
      </w:r>
      <w:r w:rsidRPr="005760BD">
        <w:rPr>
          <w:rFonts w:eastAsia="Calibri" w:cs="Times New Roman"/>
          <w:sz w:val="20"/>
          <w:szCs w:val="20"/>
        </w:rPr>
        <w:t xml:space="preserve"> EITI Briefing. National Resource Governance Institute. </w:t>
      </w:r>
      <w:hyperlink r:id="rId64" w:history="1">
        <w:r w:rsidRPr="005760BD">
          <w:rPr>
            <w:rFonts w:eastAsia="Calibri" w:cs="Times New Roman"/>
            <w:color w:val="0563C1"/>
            <w:sz w:val="20"/>
            <w:szCs w:val="20"/>
            <w:u w:val="single"/>
          </w:rPr>
          <w:t>http://www.resourcegovernance.org/sites/default/files/documents/nrgi_fromreportingtoreform.pdf</w:t>
        </w:r>
      </w:hyperlink>
    </w:p>
    <w:p w14:paraId="646EB305" w14:textId="77777777" w:rsidR="005760BD" w:rsidRPr="005760BD" w:rsidRDefault="005760BD" w:rsidP="005760BD">
      <w:pPr>
        <w:autoSpaceDE w:val="0"/>
        <w:autoSpaceDN w:val="0"/>
        <w:adjustRightInd w:val="0"/>
        <w:spacing w:line="240" w:lineRule="auto"/>
        <w:ind w:left="567" w:hanging="567"/>
        <w:jc w:val="left"/>
        <w:rPr>
          <w:rFonts w:eastAsia="Calibri" w:cs="Times New Roman"/>
          <w:color w:val="0563C1"/>
          <w:sz w:val="20"/>
          <w:szCs w:val="20"/>
          <w:u w:val="single"/>
        </w:rPr>
      </w:pPr>
      <w:r w:rsidRPr="005760BD">
        <w:rPr>
          <w:rFonts w:eastAsia="Calibri" w:cs="Times New Roman"/>
          <w:sz w:val="20"/>
          <w:szCs w:val="20"/>
        </w:rPr>
        <w:t xml:space="preserve">Wilson, E. and J. Van Alestine (2014). Localizing Transparency: Exploring EITI’s contribution to sustainable development. Shaping Sustainable Markets. University of Leeds. </w:t>
      </w:r>
      <w:hyperlink r:id="rId65" w:history="1">
        <w:r w:rsidRPr="005760BD">
          <w:rPr>
            <w:rFonts w:eastAsia="Calibri" w:cs="Times New Roman"/>
            <w:color w:val="0563C1"/>
            <w:sz w:val="20"/>
            <w:szCs w:val="20"/>
            <w:u w:val="single"/>
          </w:rPr>
          <w:t>http://pubs.iied.org/pdfs/16555IIED.pdf</w:t>
        </w:r>
      </w:hyperlink>
    </w:p>
    <w:p w14:paraId="56E73AF3" w14:textId="701B9002" w:rsidR="00383D8B" w:rsidRPr="00383D8B" w:rsidRDefault="00383D8B" w:rsidP="00383D8B">
      <w:pPr>
        <w:spacing w:line="288" w:lineRule="auto"/>
        <w:rPr>
          <w:i/>
        </w:rPr>
      </w:pPr>
    </w:p>
    <w:sectPr w:rsidR="00383D8B" w:rsidRPr="00383D8B" w:rsidSect="00472D15">
      <w:type w:val="continuous"/>
      <w:pgSz w:w="16838" w:h="11906" w:orient="landscape"/>
      <w:pgMar w:top="1134" w:right="1417" w:bottom="1417" w:left="1417" w:header="708" w:footer="2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5F0F6" w14:textId="77777777" w:rsidR="00E17EE4" w:rsidRDefault="00E17EE4" w:rsidP="00847BA8">
      <w:pPr>
        <w:spacing w:line="240" w:lineRule="auto"/>
      </w:pPr>
      <w:r>
        <w:separator/>
      </w:r>
    </w:p>
  </w:endnote>
  <w:endnote w:type="continuationSeparator" w:id="0">
    <w:p w14:paraId="1BA4ACAB" w14:textId="77777777" w:rsidR="00E17EE4" w:rsidRDefault="00E17EE4" w:rsidP="00847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cala Offc Pro">
    <w:altName w:val="Times New Roman"/>
    <w:charset w:val="00"/>
    <w:family w:val="auto"/>
    <w:pitch w:val="variable"/>
    <w:sig w:usb0="00000001" w:usb1="4000E04A" w:usb2="00000000" w:usb3="00000000" w:csb0="00000093" w:csb1="00000000"/>
  </w:font>
  <w:font w:name="MS Mincho">
    <w:altName w:val="Yu Gothic UI"/>
    <w:panose1 w:val="02020609040205080304"/>
    <w:charset w:val="4E"/>
    <w:family w:val="auto"/>
    <w:pitch w:val="variable"/>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E3BD0" w14:textId="332DAD8F" w:rsidR="00D82CB2" w:rsidRDefault="00E17EE4">
    <w:pPr>
      <w:pStyle w:val="Footer"/>
      <w:jc w:val="center"/>
    </w:pPr>
    <w:sdt>
      <w:sdtPr>
        <w:id w:val="1312525581"/>
        <w:docPartObj>
          <w:docPartGallery w:val="Page Numbers (Bottom of Page)"/>
          <w:docPartUnique/>
        </w:docPartObj>
      </w:sdtPr>
      <w:sdtEndPr>
        <w:rPr>
          <w:noProof/>
        </w:rPr>
      </w:sdtEndPr>
      <w:sdtContent>
        <w:r w:rsidR="00D82CB2">
          <w:fldChar w:fldCharType="begin"/>
        </w:r>
        <w:r w:rsidR="00D82CB2">
          <w:instrText xml:space="preserve"> PAGE   \* MERGEFORMAT </w:instrText>
        </w:r>
        <w:r w:rsidR="00D82CB2">
          <w:fldChar w:fldCharType="separate"/>
        </w:r>
        <w:r w:rsidR="006744B5">
          <w:rPr>
            <w:noProof/>
          </w:rPr>
          <w:t>28</w:t>
        </w:r>
        <w:r w:rsidR="00D82CB2">
          <w:rPr>
            <w:noProof/>
          </w:rPr>
          <w:fldChar w:fldCharType="end"/>
        </w:r>
      </w:sdtContent>
    </w:sdt>
  </w:p>
  <w:p w14:paraId="72A95D8C" w14:textId="77777777" w:rsidR="00D82CB2" w:rsidRDefault="00D82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28D49" w14:textId="79609624" w:rsidR="00D82CB2" w:rsidRDefault="00E17EE4">
    <w:pPr>
      <w:pStyle w:val="Footer"/>
      <w:jc w:val="center"/>
    </w:pPr>
    <w:sdt>
      <w:sdtPr>
        <w:id w:val="-1281498000"/>
        <w:docPartObj>
          <w:docPartGallery w:val="Page Numbers (Bottom of Page)"/>
          <w:docPartUnique/>
        </w:docPartObj>
      </w:sdtPr>
      <w:sdtEndPr>
        <w:rPr>
          <w:noProof/>
        </w:rPr>
      </w:sdtEndPr>
      <w:sdtContent>
        <w:r w:rsidR="00D82CB2">
          <w:fldChar w:fldCharType="begin"/>
        </w:r>
        <w:r w:rsidR="00D82CB2">
          <w:instrText xml:space="preserve"> PAGE   \* MERGEFORMAT </w:instrText>
        </w:r>
        <w:r w:rsidR="00D82CB2">
          <w:fldChar w:fldCharType="separate"/>
        </w:r>
        <w:r w:rsidR="006744B5">
          <w:rPr>
            <w:noProof/>
          </w:rPr>
          <w:t>30</w:t>
        </w:r>
        <w:r w:rsidR="00D82CB2">
          <w:rPr>
            <w:noProof/>
          </w:rPr>
          <w:fldChar w:fldCharType="end"/>
        </w:r>
      </w:sdtContent>
    </w:sdt>
  </w:p>
  <w:p w14:paraId="73E2E8AE" w14:textId="77777777" w:rsidR="00D82CB2" w:rsidRDefault="00D82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96D6E" w14:textId="77777777" w:rsidR="00E17EE4" w:rsidRDefault="00E17EE4" w:rsidP="00847BA8">
      <w:pPr>
        <w:spacing w:line="240" w:lineRule="auto"/>
      </w:pPr>
      <w:r>
        <w:separator/>
      </w:r>
    </w:p>
  </w:footnote>
  <w:footnote w:type="continuationSeparator" w:id="0">
    <w:p w14:paraId="0D5E9241" w14:textId="77777777" w:rsidR="00E17EE4" w:rsidRDefault="00E17EE4" w:rsidP="00847BA8">
      <w:pPr>
        <w:spacing w:line="240" w:lineRule="auto"/>
      </w:pPr>
      <w:r>
        <w:continuationSeparator/>
      </w:r>
    </w:p>
  </w:footnote>
  <w:footnote w:id="1">
    <w:p w14:paraId="2ED05A0D" w14:textId="6A57CE8D" w:rsidR="00D82CB2" w:rsidRPr="00ED4973" w:rsidRDefault="00D82CB2">
      <w:pPr>
        <w:pStyle w:val="FootnoteText"/>
        <w:rPr>
          <w:lang w:val="en-CA"/>
        </w:rPr>
      </w:pPr>
      <w:r>
        <w:rPr>
          <w:rStyle w:val="FootnoteReference"/>
        </w:rPr>
        <w:footnoteRef/>
      </w:r>
      <w:r>
        <w:t xml:space="preserve"> </w:t>
      </w:r>
      <w:r>
        <w:rPr>
          <w:lang w:val="en-CA"/>
        </w:rPr>
        <w:t>We use the term 'organization' here in the broad sense of an '</w:t>
      </w:r>
      <w:r w:rsidRPr="006F4218">
        <w:t>organized body of people with a particular purpose</w:t>
      </w:r>
      <w:r>
        <w:t>'. The EITI currently defines itself as "</w:t>
      </w:r>
      <w:r w:rsidRPr="006F4218">
        <w:t>a</w:t>
      </w:r>
      <w:r w:rsidRPr="006F4218">
        <w:rPr>
          <w:b/>
          <w:bCs/>
        </w:rPr>
        <w:t> </w:t>
      </w:r>
      <w:r w:rsidRPr="00ED4973">
        <w:rPr>
          <w:bCs/>
        </w:rPr>
        <w:t>global Standard</w:t>
      </w:r>
      <w:r w:rsidRPr="00E16E69">
        <w:t> </w:t>
      </w:r>
      <w:r w:rsidRPr="006F4218">
        <w:t xml:space="preserve">to promote the open and accountable </w:t>
      </w:r>
      <w:r>
        <w:t xml:space="preserve">management of natural resources", rather than as an organization pursuing such goal (see </w:t>
      </w:r>
      <w:r w:rsidRPr="006F4218">
        <w:t>https://eiti.org/about/who-we-are</w:t>
      </w:r>
      <w:r>
        <w:t xml:space="preserve">, accessed 11 October 2016). </w:t>
      </w:r>
    </w:p>
  </w:footnote>
  <w:footnote w:id="2">
    <w:p w14:paraId="39D867BA" w14:textId="691B1F69" w:rsidR="00D82CB2" w:rsidRPr="00903C7A" w:rsidRDefault="00D82CB2">
      <w:pPr>
        <w:pStyle w:val="FootnoteText"/>
      </w:pPr>
      <w:r>
        <w:rPr>
          <w:rStyle w:val="FootnoteReference"/>
        </w:rPr>
        <w:footnoteRef/>
      </w:r>
      <w:r>
        <w:t xml:space="preserve"> Often a ‘m</w:t>
      </w:r>
      <w:r w:rsidRPr="00903C7A">
        <w:t>i</w:t>
      </w:r>
      <w:r>
        <w:t>ssion s</w:t>
      </w:r>
      <w:r w:rsidRPr="00903C7A">
        <w:t>tatement</w:t>
      </w:r>
      <w:r>
        <w:t>’</w:t>
      </w:r>
      <w:r w:rsidRPr="00903C7A">
        <w:t xml:space="preserve"> </w:t>
      </w:r>
      <w:r>
        <w:t xml:space="preserve">states </w:t>
      </w:r>
      <w:r w:rsidRPr="00903C7A">
        <w:t xml:space="preserve">the organization’s overarching </w:t>
      </w:r>
      <w:r>
        <w:t>‘</w:t>
      </w:r>
      <w:r w:rsidRPr="00903C7A">
        <w:t>guiding principle</w:t>
      </w:r>
      <w:r>
        <w:t>s’</w:t>
      </w:r>
      <w:r w:rsidRPr="00903C7A">
        <w:t xml:space="preserve">, </w:t>
      </w:r>
      <w:r>
        <w:t>‘g</w:t>
      </w:r>
      <w:r w:rsidRPr="00903C7A">
        <w:t>oals</w:t>
      </w:r>
      <w:r>
        <w:t>’</w:t>
      </w:r>
      <w:r w:rsidRPr="00903C7A">
        <w:t xml:space="preserve"> and </w:t>
      </w:r>
      <w:r>
        <w:t>‘o</w:t>
      </w:r>
      <w:r w:rsidRPr="00903C7A">
        <w:t>bjectives</w:t>
      </w:r>
      <w:r>
        <w:t>’</w:t>
      </w:r>
      <w:r w:rsidRPr="00903C7A">
        <w:t xml:space="preserve"> describe the intended purposes and expected results of the organization’s activities, and </w:t>
      </w:r>
      <w:r>
        <w:t>‘o</w:t>
      </w:r>
      <w:r w:rsidRPr="00903C7A">
        <w:t>utcomes</w:t>
      </w:r>
      <w:r>
        <w:t>’</w:t>
      </w:r>
      <w:r w:rsidRPr="00903C7A">
        <w:t xml:space="preserve"> state the desired, tangible result, for example, the quarterly production target</w:t>
      </w:r>
      <w:r>
        <w:t xml:space="preserve">. </w:t>
      </w:r>
    </w:p>
  </w:footnote>
  <w:footnote w:id="3">
    <w:p w14:paraId="4D694BA3" w14:textId="77777777" w:rsidR="00D82CB2" w:rsidRPr="005977E3" w:rsidRDefault="00D82CB2" w:rsidP="00847BA8">
      <w:pPr>
        <w:pStyle w:val="FootnoteText"/>
      </w:pPr>
      <w:r>
        <w:rPr>
          <w:rStyle w:val="FootnoteReference"/>
        </w:rPr>
        <w:footnoteRef/>
      </w:r>
      <w:r>
        <w:t xml:space="preserve"> </w:t>
      </w:r>
      <w:r w:rsidRPr="005977E3">
        <w:t>Countries that are either EITI candidates or EITI compliant are considered as implementing coun</w:t>
      </w:r>
      <w:r>
        <w:t>t</w:t>
      </w:r>
      <w:r w:rsidRPr="005977E3">
        <w:t xml:space="preserve">ries. </w:t>
      </w:r>
    </w:p>
  </w:footnote>
  <w:footnote w:id="4">
    <w:p w14:paraId="5B879A22" w14:textId="1E7D6F9D" w:rsidR="00D82CB2" w:rsidRPr="00E1668E" w:rsidRDefault="00D82CB2" w:rsidP="00847BA8">
      <w:pPr>
        <w:pStyle w:val="FootnoteText"/>
        <w:rPr>
          <w:lang w:val="en-CA"/>
        </w:rPr>
      </w:pPr>
      <w:r>
        <w:rPr>
          <w:rStyle w:val="FootnoteReference"/>
        </w:rPr>
        <w:footnoteRef/>
      </w:r>
      <w:r>
        <w:t xml:space="preserve"> A senior officer of </w:t>
      </w:r>
      <w:r>
        <w:rPr>
          <w:lang w:val="en-CA"/>
        </w:rPr>
        <w:t>the EITI International Secretariat, however, specifies that the goal is to promote transparency as a norm, but not specifically an EITI transparency norm. Interview with the authors, Lima, February 2016.</w:t>
      </w:r>
    </w:p>
  </w:footnote>
  <w:footnote w:id="5">
    <w:p w14:paraId="0C5857CF" w14:textId="2BA0284E" w:rsidR="00D82CB2" w:rsidRPr="00934620" w:rsidRDefault="00D82CB2">
      <w:pPr>
        <w:pStyle w:val="FootnoteText"/>
      </w:pPr>
      <w:r>
        <w:rPr>
          <w:rStyle w:val="FootnoteReference"/>
        </w:rPr>
        <w:footnoteRef/>
      </w:r>
      <w:r>
        <w:t xml:space="preserve"> Supporting governments are not implementing the EITI, but endorse the EITI and its objectives as well as provide it with funding or other forms of assistance. </w:t>
      </w:r>
    </w:p>
  </w:footnote>
  <w:footnote w:id="6">
    <w:p w14:paraId="7C30F618" w14:textId="0A9C30BF" w:rsidR="00D82CB2" w:rsidRPr="00F979EF" w:rsidRDefault="00D82CB2" w:rsidP="00847BA8">
      <w:pPr>
        <w:pStyle w:val="FootnoteText"/>
      </w:pPr>
      <w:r>
        <w:rPr>
          <w:rStyle w:val="FootnoteReference"/>
        </w:rPr>
        <w:footnoteRef/>
      </w:r>
      <w:r>
        <w:t xml:space="preserve"> It should be noted, however, that EITI stipulations on civil society’s space, freedom, and ability to express themselves and participate refer only to debates about natural resource governance, but not to other issues that civil society may wish to promote, such as human rights.</w:t>
      </w:r>
    </w:p>
  </w:footnote>
  <w:footnote w:id="7">
    <w:p w14:paraId="6D0A71F8" w14:textId="2BD29C76" w:rsidR="00D82CB2" w:rsidRPr="00D36B87" w:rsidRDefault="00D82CB2">
      <w:pPr>
        <w:pStyle w:val="FootnoteText"/>
      </w:pPr>
      <w:r>
        <w:rPr>
          <w:rStyle w:val="FootnoteReference"/>
        </w:rPr>
        <w:footnoteRef/>
      </w:r>
      <w:r>
        <w:t xml:space="preserve"> The literature review is based on literature search in Google Scholar, Web of Science, and Scopus using EITI and Extractive Industry Transparency Initiative as the search words. Further literature was identified through these articles’ reference lists. The annual EITI progress reports provide crucial information on a series of 'key performance indicators' related to 'agency effectiveness' (e.g. level and allocation of budget, number of meetings) and 'attributable outcomes' (e.g. number of published EITI country reports); yet they are not counted here as specific </w:t>
      </w:r>
      <w:r w:rsidRPr="002120E4">
        <w:rPr>
          <w:i/>
        </w:rPr>
        <w:t>evaluation</w:t>
      </w:r>
      <w:r>
        <w:t xml:space="preserve"> exercises since they report rather than evaluate, and do not seem to observe 'failures' (a review of a third of the reports yielded only two 'mixed results', the rest being described as 'successes'): the large number of annual reports would thus have brought a positive bias into this meta-study. In contrast, the two specific evaluation studies commissioned by the EITI (Rainbow Evaluation 2009; Scanteam 2011) are included in the sample. As we mention in the conclusion, further research could tap into the often-detailed country-level EITI reports, which occasionally include assessments of relative successes </w:t>
      </w:r>
      <w:r w:rsidRPr="0012248B">
        <w:rPr>
          <w:i/>
        </w:rPr>
        <w:t>and</w:t>
      </w:r>
      <w:r>
        <w:t xml:space="preserve"> failures, and consider some of their potential causes.</w:t>
      </w:r>
    </w:p>
  </w:footnote>
  <w:footnote w:id="8">
    <w:p w14:paraId="372067A5" w14:textId="7F0B8B0D" w:rsidR="00D82CB2" w:rsidRPr="00B93C68" w:rsidRDefault="00D82CB2">
      <w:pPr>
        <w:pStyle w:val="FootnoteText"/>
      </w:pPr>
      <w:r>
        <w:rPr>
          <w:rStyle w:val="FootnoteReference"/>
        </w:rPr>
        <w:footnoteRef/>
      </w:r>
      <w:r>
        <w:t xml:space="preserve"> </w:t>
      </w:r>
      <w:r w:rsidRPr="009B08D6">
        <w:rPr>
          <w:rFonts w:cs="Times New Roman"/>
        </w:rPr>
        <w:t xml:space="preserve">The 2013 peak relates in part to the </w:t>
      </w:r>
      <w:r w:rsidRPr="001662E7">
        <w:rPr>
          <w:rFonts w:cs="Times New Roman"/>
        </w:rPr>
        <w:t>2013</w:t>
      </w:r>
      <w:r>
        <w:rPr>
          <w:rFonts w:cs="Times New Roman"/>
          <w:b/>
        </w:rPr>
        <w:t xml:space="preserve"> </w:t>
      </w:r>
      <w:r w:rsidRPr="009B08D6">
        <w:rPr>
          <w:rFonts w:cs="Times New Roman"/>
        </w:rPr>
        <w:t xml:space="preserve">EITI Global Conference in Sydney and </w:t>
      </w:r>
      <w:r>
        <w:rPr>
          <w:rFonts w:cs="Times New Roman"/>
        </w:rPr>
        <w:t xml:space="preserve">the </w:t>
      </w:r>
      <w:r w:rsidRPr="009B08D6">
        <w:rPr>
          <w:rFonts w:cs="Times New Roman"/>
        </w:rPr>
        <w:t>US and UK</w:t>
      </w:r>
      <w:r>
        <w:rPr>
          <w:rFonts w:cs="Times New Roman"/>
        </w:rPr>
        <w:t xml:space="preserve"> joining the EITI as implementing countries</w:t>
      </w:r>
      <w:r w:rsidRPr="009B08D6">
        <w:rPr>
          <w:rFonts w:cs="Times New Roman"/>
        </w:rPr>
        <w:t>.</w:t>
      </w:r>
    </w:p>
  </w:footnote>
  <w:footnote w:id="9">
    <w:p w14:paraId="3D8A4098" w14:textId="121A85E2" w:rsidR="00D82CB2" w:rsidRPr="000F32A3" w:rsidRDefault="00D82CB2" w:rsidP="00265504">
      <w:pPr>
        <w:pStyle w:val="FootnoteText"/>
        <w:rPr>
          <w:lang w:val="en-CA"/>
        </w:rPr>
      </w:pPr>
      <w:r>
        <w:rPr>
          <w:rStyle w:val="FootnoteReference"/>
        </w:rPr>
        <w:footnoteRef/>
      </w:r>
      <w:r>
        <w:t xml:space="preserve"> A snapshot based on data for 2013 confirms that among countries with resource dependence over 20% of GDP, 60% of those with per capita resource rents below $1000 were EITI members, in contrast to only 33% among those above this resource abundance threshold. </w:t>
      </w:r>
      <w:r>
        <w:rPr>
          <w:lang w:val="en-CA"/>
        </w:rPr>
        <w:t xml:space="preserve">Authors' calculation, based on the World Bank Indicators and EITI country profiles. For evidence of the negative effects of point resource export revenues on transparency, see (Williams 2011). </w:t>
      </w:r>
    </w:p>
  </w:footnote>
  <w:footnote w:id="10">
    <w:p w14:paraId="1B77247B" w14:textId="77777777" w:rsidR="00D82CB2" w:rsidRPr="003F6F7F" w:rsidRDefault="00D82CB2" w:rsidP="007C3A69">
      <w:pPr>
        <w:pStyle w:val="FootnoteText"/>
        <w:rPr>
          <w:lang w:val="en-CA"/>
        </w:rPr>
      </w:pPr>
      <w:r>
        <w:rPr>
          <w:rStyle w:val="FootnoteReference"/>
        </w:rPr>
        <w:footnoteRef/>
      </w:r>
      <w:r>
        <w:t xml:space="preserve"> The 2011-14 budgets were covered for about 62% by supporting governments and development agencies, 25% by oil and gas companies, 12% by mining companies, and 1% by investors and non-extractive companies, see </w:t>
      </w:r>
      <w:r w:rsidRPr="00EF2358">
        <w:t>https://eiti.org/document/accounts</w:t>
      </w:r>
      <w:r>
        <w:t>.</w:t>
      </w:r>
    </w:p>
  </w:footnote>
  <w:footnote w:id="11">
    <w:p w14:paraId="7D5DFE8F" w14:textId="77777777" w:rsidR="00D82CB2" w:rsidRPr="00A30224" w:rsidRDefault="00D82CB2" w:rsidP="00847BA8">
      <w:pPr>
        <w:pStyle w:val="FootnoteText"/>
      </w:pPr>
      <w:r>
        <w:rPr>
          <w:rStyle w:val="FootnoteReference"/>
        </w:rPr>
        <w:footnoteRef/>
      </w:r>
      <w:r>
        <w:t xml:space="preserve"> Beneficial ownership requirement is to be implemented in the implementing countries by 2020. It requires that a public register with the identities (name, nationality, country of residence) of the persons who ultimately own the benefiting companies is set up. For publicly listed companies, the register needs to disclose the name of the stock exchange (EITI 2016, p. 20).  </w:t>
      </w:r>
    </w:p>
  </w:footnote>
  <w:footnote w:id="12">
    <w:p w14:paraId="008BB730" w14:textId="62E8751D" w:rsidR="00D82CB2" w:rsidRPr="0035485B" w:rsidRDefault="00D82CB2">
      <w:pPr>
        <w:pStyle w:val="FootnoteText"/>
      </w:pPr>
      <w:r>
        <w:rPr>
          <w:rStyle w:val="FootnoteReference"/>
        </w:rPr>
        <w:footnoteRef/>
      </w:r>
      <w:r>
        <w:t xml:space="preserve"> </w:t>
      </w:r>
      <w:r w:rsidRPr="0035485B">
        <w:t>Central Africa Republic</w:t>
      </w:r>
      <w:r>
        <w:t xml:space="preserve"> </w:t>
      </w:r>
      <w:r w:rsidRPr="0035485B">
        <w:t>and Yemen</w:t>
      </w:r>
      <w:r>
        <w:t xml:space="preserve"> are currently suspended from the EITI. </w:t>
      </w:r>
    </w:p>
  </w:footnote>
  <w:footnote w:id="13">
    <w:p w14:paraId="2BDDF48A" w14:textId="384FBC12" w:rsidR="00D82CB2" w:rsidRPr="00710545" w:rsidRDefault="00D82CB2">
      <w:pPr>
        <w:pStyle w:val="FootnoteText"/>
        <w:rPr>
          <w:lang w:val="en-CA"/>
        </w:rPr>
      </w:pPr>
      <w:r>
        <w:rPr>
          <w:rStyle w:val="FootnoteReference"/>
        </w:rPr>
        <w:footnoteRef/>
      </w:r>
      <w:r>
        <w:t xml:space="preserve"> Using data from the World Bank ‘Doing Business project’,</w:t>
      </w:r>
      <w:r>
        <w:rPr>
          <w:lang w:val="en-CA"/>
        </w:rPr>
        <w:t xml:space="preserve"> </w:t>
      </w:r>
      <w:r>
        <w:t xml:space="preserve">Neumann et al. (2016) observe that companies operating within </w:t>
      </w:r>
      <w:r w:rsidRPr="003A6103">
        <w:t xml:space="preserve">EITI </w:t>
      </w:r>
      <w:r>
        <w:t xml:space="preserve">member countries, whether </w:t>
      </w:r>
      <w:r w:rsidRPr="003A6103">
        <w:t>candid</w:t>
      </w:r>
      <w:r>
        <w:t>ate or compliant, tend to spend more “time to prepare and pay taxes”, than in other jurisdictions. This likely relates to EITI reporting requirements, but its effects on the level of revenue received by the government, notably through a reduction of tax avoidance by companies, is not yet determined.</w:t>
      </w:r>
    </w:p>
  </w:footnote>
  <w:footnote w:id="14">
    <w:p w14:paraId="19FBC04B" w14:textId="2B31E138" w:rsidR="00D82CB2" w:rsidRPr="00946502" w:rsidRDefault="00D82CB2" w:rsidP="00847BA8">
      <w:pPr>
        <w:pStyle w:val="FootnoteText"/>
      </w:pPr>
      <w:r>
        <w:rPr>
          <w:rStyle w:val="FootnoteReference"/>
        </w:rPr>
        <w:footnoteRef/>
      </w:r>
      <w:r w:rsidRPr="00946502">
        <w:t xml:space="preserve"> </w:t>
      </w:r>
      <w:hyperlink r:id="rId1" w:history="1">
        <w:r w:rsidRPr="00946502">
          <w:rPr>
            <w:rStyle w:val="Hyperlink"/>
            <w:rFonts w:cs="Times New Roman"/>
          </w:rPr>
          <w:t>https://ieg.worldbankgroup.org/event/resource-rich-countries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5C6F7" w14:textId="4A5135C5" w:rsidR="00D82CB2" w:rsidRPr="006744B5" w:rsidRDefault="00D82CB2" w:rsidP="00674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95A"/>
    <w:multiLevelType w:val="hybridMultilevel"/>
    <w:tmpl w:val="CD72047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5411AF5"/>
    <w:multiLevelType w:val="hybridMultilevel"/>
    <w:tmpl w:val="D6AC3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B5D7B"/>
    <w:multiLevelType w:val="hybridMultilevel"/>
    <w:tmpl w:val="FE06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01DB9"/>
    <w:multiLevelType w:val="hybridMultilevel"/>
    <w:tmpl w:val="D3EA5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33CE9"/>
    <w:multiLevelType w:val="hybridMultilevel"/>
    <w:tmpl w:val="D5D4BEB0"/>
    <w:lvl w:ilvl="0" w:tplc="F7E6F1E6">
      <w:start w:val="1"/>
      <w:numFmt w:val="decimal"/>
      <w:pStyle w:val="Heading1"/>
      <w:lvlText w:val="%1."/>
      <w:lvlJc w:val="left"/>
      <w:pPr>
        <w:ind w:left="720" w:hanging="360"/>
      </w:pPr>
      <w:rPr>
        <w:rFonts w:hint="default"/>
        <w:b w:val="0"/>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35F76F4"/>
    <w:multiLevelType w:val="hybridMultilevel"/>
    <w:tmpl w:val="80909A5A"/>
    <w:lvl w:ilvl="0" w:tplc="50983390">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E086E28"/>
    <w:multiLevelType w:val="hybridMultilevel"/>
    <w:tmpl w:val="66AAF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C63EF8"/>
    <w:multiLevelType w:val="multilevel"/>
    <w:tmpl w:val="D8B6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C32170"/>
    <w:multiLevelType w:val="hybridMultilevel"/>
    <w:tmpl w:val="8902B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230D3F"/>
    <w:multiLevelType w:val="hybridMultilevel"/>
    <w:tmpl w:val="8902B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272641"/>
    <w:multiLevelType w:val="hybridMultilevel"/>
    <w:tmpl w:val="912CEAF2"/>
    <w:lvl w:ilvl="0" w:tplc="14A084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45537"/>
    <w:multiLevelType w:val="multilevel"/>
    <w:tmpl w:val="E570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944BDA"/>
    <w:multiLevelType w:val="hybridMultilevel"/>
    <w:tmpl w:val="3C04F542"/>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3" w15:restartNumberingAfterBreak="0">
    <w:nsid w:val="79AB6757"/>
    <w:multiLevelType w:val="hybridMultilevel"/>
    <w:tmpl w:val="8902B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10"/>
  </w:num>
  <w:num w:numId="5">
    <w:abstractNumId w:val="2"/>
  </w:num>
  <w:num w:numId="6">
    <w:abstractNumId w:val="8"/>
  </w:num>
  <w:num w:numId="7">
    <w:abstractNumId w:val="9"/>
  </w:num>
  <w:num w:numId="8">
    <w:abstractNumId w:val="13"/>
  </w:num>
  <w:num w:numId="9">
    <w:abstractNumId w:val="12"/>
  </w:num>
  <w:num w:numId="10">
    <w:abstractNumId w:val="7"/>
  </w:num>
  <w:num w:numId="11">
    <w:abstractNumId w:val="11"/>
  </w:num>
  <w:num w:numId="12">
    <w:abstractNumId w:val="4"/>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A8"/>
    <w:rsid w:val="0000787B"/>
    <w:rsid w:val="00011A51"/>
    <w:rsid w:val="00016248"/>
    <w:rsid w:val="000265CA"/>
    <w:rsid w:val="00037572"/>
    <w:rsid w:val="00040532"/>
    <w:rsid w:val="00050236"/>
    <w:rsid w:val="000512A8"/>
    <w:rsid w:val="0005734D"/>
    <w:rsid w:val="00057B98"/>
    <w:rsid w:val="0006016A"/>
    <w:rsid w:val="000604FB"/>
    <w:rsid w:val="000679F4"/>
    <w:rsid w:val="000833F5"/>
    <w:rsid w:val="0008367E"/>
    <w:rsid w:val="0008709E"/>
    <w:rsid w:val="00092308"/>
    <w:rsid w:val="000A4BDC"/>
    <w:rsid w:val="000B18DD"/>
    <w:rsid w:val="000B5DEF"/>
    <w:rsid w:val="000B6A06"/>
    <w:rsid w:val="000C13FF"/>
    <w:rsid w:val="000C4A2E"/>
    <w:rsid w:val="000C7474"/>
    <w:rsid w:val="000E23C0"/>
    <w:rsid w:val="000E541D"/>
    <w:rsid w:val="000F02F2"/>
    <w:rsid w:val="000F5373"/>
    <w:rsid w:val="000F7CD5"/>
    <w:rsid w:val="00101782"/>
    <w:rsid w:val="00111A71"/>
    <w:rsid w:val="00121A7D"/>
    <w:rsid w:val="0012248B"/>
    <w:rsid w:val="0013237E"/>
    <w:rsid w:val="001416CE"/>
    <w:rsid w:val="00146B0B"/>
    <w:rsid w:val="0016159A"/>
    <w:rsid w:val="001662E7"/>
    <w:rsid w:val="00166EE5"/>
    <w:rsid w:val="001A6B5A"/>
    <w:rsid w:val="001B01EB"/>
    <w:rsid w:val="001B1C2E"/>
    <w:rsid w:val="001B40A9"/>
    <w:rsid w:val="001C293F"/>
    <w:rsid w:val="001C4167"/>
    <w:rsid w:val="001C6F3B"/>
    <w:rsid w:val="001D5E9D"/>
    <w:rsid w:val="001E1C45"/>
    <w:rsid w:val="001F2382"/>
    <w:rsid w:val="001F4AC4"/>
    <w:rsid w:val="001F540A"/>
    <w:rsid w:val="001F5DF6"/>
    <w:rsid w:val="001F7DD6"/>
    <w:rsid w:val="00204A1B"/>
    <w:rsid w:val="00205612"/>
    <w:rsid w:val="002060D0"/>
    <w:rsid w:val="002120E4"/>
    <w:rsid w:val="00212FE0"/>
    <w:rsid w:val="002164D0"/>
    <w:rsid w:val="00222F11"/>
    <w:rsid w:val="002234AE"/>
    <w:rsid w:val="002247FA"/>
    <w:rsid w:val="00226974"/>
    <w:rsid w:val="0023035A"/>
    <w:rsid w:val="0023738F"/>
    <w:rsid w:val="00244386"/>
    <w:rsid w:val="00250BFB"/>
    <w:rsid w:val="00251DC6"/>
    <w:rsid w:val="0025703F"/>
    <w:rsid w:val="00265504"/>
    <w:rsid w:val="002664A9"/>
    <w:rsid w:val="00273C32"/>
    <w:rsid w:val="002850A7"/>
    <w:rsid w:val="00290B76"/>
    <w:rsid w:val="002934AD"/>
    <w:rsid w:val="0029500A"/>
    <w:rsid w:val="0029603C"/>
    <w:rsid w:val="002A0907"/>
    <w:rsid w:val="002A37FE"/>
    <w:rsid w:val="002A6D42"/>
    <w:rsid w:val="002A7D59"/>
    <w:rsid w:val="002B45A4"/>
    <w:rsid w:val="002B45FE"/>
    <w:rsid w:val="002B6C48"/>
    <w:rsid w:val="002B7EBD"/>
    <w:rsid w:val="002C279D"/>
    <w:rsid w:val="002C3ECC"/>
    <w:rsid w:val="002C51FC"/>
    <w:rsid w:val="002C6C73"/>
    <w:rsid w:val="002D6178"/>
    <w:rsid w:val="002D6CF0"/>
    <w:rsid w:val="002E0D34"/>
    <w:rsid w:val="002F027E"/>
    <w:rsid w:val="002F2F7C"/>
    <w:rsid w:val="00313A2E"/>
    <w:rsid w:val="00316A7A"/>
    <w:rsid w:val="003269F0"/>
    <w:rsid w:val="00347C60"/>
    <w:rsid w:val="0035485B"/>
    <w:rsid w:val="00371582"/>
    <w:rsid w:val="00383D8B"/>
    <w:rsid w:val="00387159"/>
    <w:rsid w:val="003900C0"/>
    <w:rsid w:val="00394788"/>
    <w:rsid w:val="003A6103"/>
    <w:rsid w:val="003C77FB"/>
    <w:rsid w:val="003D0F73"/>
    <w:rsid w:val="003D59A3"/>
    <w:rsid w:val="003E09F4"/>
    <w:rsid w:val="003E7030"/>
    <w:rsid w:val="003F64C0"/>
    <w:rsid w:val="003F6F7F"/>
    <w:rsid w:val="003F708F"/>
    <w:rsid w:val="003F7927"/>
    <w:rsid w:val="004109F0"/>
    <w:rsid w:val="004203E7"/>
    <w:rsid w:val="0042180B"/>
    <w:rsid w:val="0043387A"/>
    <w:rsid w:val="004364F1"/>
    <w:rsid w:val="004415CE"/>
    <w:rsid w:val="004429CA"/>
    <w:rsid w:val="004454E9"/>
    <w:rsid w:val="00454B94"/>
    <w:rsid w:val="0046095F"/>
    <w:rsid w:val="00466748"/>
    <w:rsid w:val="00470326"/>
    <w:rsid w:val="00472D15"/>
    <w:rsid w:val="00473512"/>
    <w:rsid w:val="00482619"/>
    <w:rsid w:val="00483643"/>
    <w:rsid w:val="004837D1"/>
    <w:rsid w:val="0049073C"/>
    <w:rsid w:val="00496E4E"/>
    <w:rsid w:val="004973E9"/>
    <w:rsid w:val="004A1F22"/>
    <w:rsid w:val="004C3DDD"/>
    <w:rsid w:val="004C4C34"/>
    <w:rsid w:val="004D3A65"/>
    <w:rsid w:val="004F06BB"/>
    <w:rsid w:val="004F1B99"/>
    <w:rsid w:val="004F2215"/>
    <w:rsid w:val="00502A2D"/>
    <w:rsid w:val="00507C97"/>
    <w:rsid w:val="00510044"/>
    <w:rsid w:val="005100F0"/>
    <w:rsid w:val="005140DF"/>
    <w:rsid w:val="00515E41"/>
    <w:rsid w:val="005235C6"/>
    <w:rsid w:val="00527B19"/>
    <w:rsid w:val="0053328F"/>
    <w:rsid w:val="005411FA"/>
    <w:rsid w:val="005426F7"/>
    <w:rsid w:val="00551F95"/>
    <w:rsid w:val="00555AE7"/>
    <w:rsid w:val="00572659"/>
    <w:rsid w:val="005760BD"/>
    <w:rsid w:val="00576414"/>
    <w:rsid w:val="005764AE"/>
    <w:rsid w:val="00583508"/>
    <w:rsid w:val="00587799"/>
    <w:rsid w:val="0059130C"/>
    <w:rsid w:val="00592CB2"/>
    <w:rsid w:val="005975D8"/>
    <w:rsid w:val="005A2519"/>
    <w:rsid w:val="005A412B"/>
    <w:rsid w:val="005A4AF1"/>
    <w:rsid w:val="005B7604"/>
    <w:rsid w:val="005D2EBB"/>
    <w:rsid w:val="005D46C4"/>
    <w:rsid w:val="005E58DA"/>
    <w:rsid w:val="005F2859"/>
    <w:rsid w:val="005F58FE"/>
    <w:rsid w:val="00603298"/>
    <w:rsid w:val="006040BF"/>
    <w:rsid w:val="0061165C"/>
    <w:rsid w:val="006178A3"/>
    <w:rsid w:val="00617DE0"/>
    <w:rsid w:val="00630164"/>
    <w:rsid w:val="006410E8"/>
    <w:rsid w:val="0064443D"/>
    <w:rsid w:val="00644C56"/>
    <w:rsid w:val="006513DA"/>
    <w:rsid w:val="00651987"/>
    <w:rsid w:val="00654142"/>
    <w:rsid w:val="006600DA"/>
    <w:rsid w:val="00664BC0"/>
    <w:rsid w:val="006744B5"/>
    <w:rsid w:val="00683F3F"/>
    <w:rsid w:val="00687BE7"/>
    <w:rsid w:val="006963E3"/>
    <w:rsid w:val="006A0F30"/>
    <w:rsid w:val="006A305C"/>
    <w:rsid w:val="006A326E"/>
    <w:rsid w:val="006B0BE5"/>
    <w:rsid w:val="006B5980"/>
    <w:rsid w:val="006B635B"/>
    <w:rsid w:val="006C0A5E"/>
    <w:rsid w:val="006C30E0"/>
    <w:rsid w:val="006D0A90"/>
    <w:rsid w:val="006D1178"/>
    <w:rsid w:val="006E0410"/>
    <w:rsid w:val="006F0EAE"/>
    <w:rsid w:val="006F26E3"/>
    <w:rsid w:val="006F4218"/>
    <w:rsid w:val="006F6A1E"/>
    <w:rsid w:val="0070214F"/>
    <w:rsid w:val="00702941"/>
    <w:rsid w:val="0070496E"/>
    <w:rsid w:val="00710545"/>
    <w:rsid w:val="007112AA"/>
    <w:rsid w:val="0071296A"/>
    <w:rsid w:val="0071582D"/>
    <w:rsid w:val="0072230A"/>
    <w:rsid w:val="00722FB6"/>
    <w:rsid w:val="00730C97"/>
    <w:rsid w:val="0073545C"/>
    <w:rsid w:val="0074461B"/>
    <w:rsid w:val="007565CF"/>
    <w:rsid w:val="0076709D"/>
    <w:rsid w:val="007705B7"/>
    <w:rsid w:val="00774E03"/>
    <w:rsid w:val="00775E38"/>
    <w:rsid w:val="00783B2B"/>
    <w:rsid w:val="007849BF"/>
    <w:rsid w:val="00786574"/>
    <w:rsid w:val="00792F58"/>
    <w:rsid w:val="00797676"/>
    <w:rsid w:val="007B5DC2"/>
    <w:rsid w:val="007B5E1F"/>
    <w:rsid w:val="007C0A8E"/>
    <w:rsid w:val="007C3A69"/>
    <w:rsid w:val="007C6096"/>
    <w:rsid w:val="007D3483"/>
    <w:rsid w:val="007D40A0"/>
    <w:rsid w:val="007D7BAB"/>
    <w:rsid w:val="007E1B00"/>
    <w:rsid w:val="007F6A7F"/>
    <w:rsid w:val="0080006E"/>
    <w:rsid w:val="0080236F"/>
    <w:rsid w:val="008258D8"/>
    <w:rsid w:val="00830139"/>
    <w:rsid w:val="00830A11"/>
    <w:rsid w:val="00847BA8"/>
    <w:rsid w:val="00851FA2"/>
    <w:rsid w:val="00852176"/>
    <w:rsid w:val="008533AE"/>
    <w:rsid w:val="0085489A"/>
    <w:rsid w:val="00855DFA"/>
    <w:rsid w:val="0087450C"/>
    <w:rsid w:val="00876112"/>
    <w:rsid w:val="00876EC2"/>
    <w:rsid w:val="0088220F"/>
    <w:rsid w:val="00885047"/>
    <w:rsid w:val="00885C14"/>
    <w:rsid w:val="008864C6"/>
    <w:rsid w:val="008868C6"/>
    <w:rsid w:val="00891DD7"/>
    <w:rsid w:val="008A0B90"/>
    <w:rsid w:val="008A1C45"/>
    <w:rsid w:val="008A34AE"/>
    <w:rsid w:val="008A4767"/>
    <w:rsid w:val="008A638B"/>
    <w:rsid w:val="008B21FA"/>
    <w:rsid w:val="008B619C"/>
    <w:rsid w:val="008B737F"/>
    <w:rsid w:val="008C604E"/>
    <w:rsid w:val="008F0A3E"/>
    <w:rsid w:val="008F39AD"/>
    <w:rsid w:val="00903581"/>
    <w:rsid w:val="00903C7A"/>
    <w:rsid w:val="00904CC1"/>
    <w:rsid w:val="009117F4"/>
    <w:rsid w:val="00913B55"/>
    <w:rsid w:val="00914997"/>
    <w:rsid w:val="00917305"/>
    <w:rsid w:val="009217F4"/>
    <w:rsid w:val="009278C1"/>
    <w:rsid w:val="00930879"/>
    <w:rsid w:val="00934620"/>
    <w:rsid w:val="00947370"/>
    <w:rsid w:val="00954022"/>
    <w:rsid w:val="009550F9"/>
    <w:rsid w:val="00957137"/>
    <w:rsid w:val="009621E1"/>
    <w:rsid w:val="00963074"/>
    <w:rsid w:val="009630A1"/>
    <w:rsid w:val="00965729"/>
    <w:rsid w:val="00967737"/>
    <w:rsid w:val="0097576C"/>
    <w:rsid w:val="009807DC"/>
    <w:rsid w:val="00993596"/>
    <w:rsid w:val="00993DC8"/>
    <w:rsid w:val="0099783D"/>
    <w:rsid w:val="009A3077"/>
    <w:rsid w:val="009A4010"/>
    <w:rsid w:val="009A6A31"/>
    <w:rsid w:val="009B3DAC"/>
    <w:rsid w:val="009B51BE"/>
    <w:rsid w:val="009C16F4"/>
    <w:rsid w:val="009C40B6"/>
    <w:rsid w:val="009D61DD"/>
    <w:rsid w:val="009E5837"/>
    <w:rsid w:val="009F26B5"/>
    <w:rsid w:val="009F4D3F"/>
    <w:rsid w:val="009F7688"/>
    <w:rsid w:val="00A030DB"/>
    <w:rsid w:val="00A13E4A"/>
    <w:rsid w:val="00A23F8A"/>
    <w:rsid w:val="00A27A0B"/>
    <w:rsid w:val="00A30393"/>
    <w:rsid w:val="00A31199"/>
    <w:rsid w:val="00A33622"/>
    <w:rsid w:val="00A3518C"/>
    <w:rsid w:val="00A35C95"/>
    <w:rsid w:val="00A40C7A"/>
    <w:rsid w:val="00A43F4B"/>
    <w:rsid w:val="00A44E8F"/>
    <w:rsid w:val="00A45D8D"/>
    <w:rsid w:val="00A47495"/>
    <w:rsid w:val="00A65FB5"/>
    <w:rsid w:val="00A75522"/>
    <w:rsid w:val="00A8121D"/>
    <w:rsid w:val="00A835F8"/>
    <w:rsid w:val="00AA74D6"/>
    <w:rsid w:val="00AB0C3A"/>
    <w:rsid w:val="00AB56C7"/>
    <w:rsid w:val="00AB7A47"/>
    <w:rsid w:val="00AC103F"/>
    <w:rsid w:val="00AD49DF"/>
    <w:rsid w:val="00AE2CA9"/>
    <w:rsid w:val="00AE7CE4"/>
    <w:rsid w:val="00AF1249"/>
    <w:rsid w:val="00AF4E04"/>
    <w:rsid w:val="00AF515E"/>
    <w:rsid w:val="00AF638B"/>
    <w:rsid w:val="00AF6555"/>
    <w:rsid w:val="00B01BC6"/>
    <w:rsid w:val="00B06334"/>
    <w:rsid w:val="00B079A3"/>
    <w:rsid w:val="00B1119D"/>
    <w:rsid w:val="00B16D2E"/>
    <w:rsid w:val="00B257D0"/>
    <w:rsid w:val="00B302F9"/>
    <w:rsid w:val="00B436D9"/>
    <w:rsid w:val="00B454E4"/>
    <w:rsid w:val="00B64EA1"/>
    <w:rsid w:val="00B73FC3"/>
    <w:rsid w:val="00B93C68"/>
    <w:rsid w:val="00B9412E"/>
    <w:rsid w:val="00B9744D"/>
    <w:rsid w:val="00BA5D32"/>
    <w:rsid w:val="00BA69B9"/>
    <w:rsid w:val="00BB3336"/>
    <w:rsid w:val="00BC6484"/>
    <w:rsid w:val="00BC6EE8"/>
    <w:rsid w:val="00BD4AFE"/>
    <w:rsid w:val="00BE4C1F"/>
    <w:rsid w:val="00BF0A7D"/>
    <w:rsid w:val="00C161BD"/>
    <w:rsid w:val="00C163B4"/>
    <w:rsid w:val="00C36B27"/>
    <w:rsid w:val="00C36D7F"/>
    <w:rsid w:val="00C403DF"/>
    <w:rsid w:val="00C42C0B"/>
    <w:rsid w:val="00C4469F"/>
    <w:rsid w:val="00C44F02"/>
    <w:rsid w:val="00C47CF8"/>
    <w:rsid w:val="00C527BB"/>
    <w:rsid w:val="00C531EE"/>
    <w:rsid w:val="00C56D18"/>
    <w:rsid w:val="00C75059"/>
    <w:rsid w:val="00C865BA"/>
    <w:rsid w:val="00C9028C"/>
    <w:rsid w:val="00C95839"/>
    <w:rsid w:val="00CA0CD7"/>
    <w:rsid w:val="00CA1613"/>
    <w:rsid w:val="00CB06B9"/>
    <w:rsid w:val="00CD1877"/>
    <w:rsid w:val="00CE09EF"/>
    <w:rsid w:val="00CE1440"/>
    <w:rsid w:val="00CE7C52"/>
    <w:rsid w:val="00CF0B2B"/>
    <w:rsid w:val="00CF7523"/>
    <w:rsid w:val="00D07666"/>
    <w:rsid w:val="00D11431"/>
    <w:rsid w:val="00D13300"/>
    <w:rsid w:val="00D24560"/>
    <w:rsid w:val="00D30A64"/>
    <w:rsid w:val="00D34751"/>
    <w:rsid w:val="00D36B87"/>
    <w:rsid w:val="00D44C67"/>
    <w:rsid w:val="00D549A3"/>
    <w:rsid w:val="00D55965"/>
    <w:rsid w:val="00D65062"/>
    <w:rsid w:val="00D65C17"/>
    <w:rsid w:val="00D82CB2"/>
    <w:rsid w:val="00D86991"/>
    <w:rsid w:val="00D97BFB"/>
    <w:rsid w:val="00DB2BC9"/>
    <w:rsid w:val="00DC3194"/>
    <w:rsid w:val="00DC4448"/>
    <w:rsid w:val="00DC464D"/>
    <w:rsid w:val="00DD0C61"/>
    <w:rsid w:val="00DD3F85"/>
    <w:rsid w:val="00DD5024"/>
    <w:rsid w:val="00DD5254"/>
    <w:rsid w:val="00DD6B80"/>
    <w:rsid w:val="00DE7D51"/>
    <w:rsid w:val="00DF1F72"/>
    <w:rsid w:val="00E050E8"/>
    <w:rsid w:val="00E05C14"/>
    <w:rsid w:val="00E06B11"/>
    <w:rsid w:val="00E12BE2"/>
    <w:rsid w:val="00E14D9F"/>
    <w:rsid w:val="00E16E69"/>
    <w:rsid w:val="00E17EE4"/>
    <w:rsid w:val="00E27CEE"/>
    <w:rsid w:val="00E32D58"/>
    <w:rsid w:val="00E354C1"/>
    <w:rsid w:val="00E47CC9"/>
    <w:rsid w:val="00E47DCE"/>
    <w:rsid w:val="00E52500"/>
    <w:rsid w:val="00E55523"/>
    <w:rsid w:val="00E56640"/>
    <w:rsid w:val="00E7198B"/>
    <w:rsid w:val="00E727E3"/>
    <w:rsid w:val="00E8080D"/>
    <w:rsid w:val="00E83CA8"/>
    <w:rsid w:val="00E849E5"/>
    <w:rsid w:val="00E91F66"/>
    <w:rsid w:val="00E94D93"/>
    <w:rsid w:val="00E94FC0"/>
    <w:rsid w:val="00E974AF"/>
    <w:rsid w:val="00EA2985"/>
    <w:rsid w:val="00EB22EF"/>
    <w:rsid w:val="00EB3B09"/>
    <w:rsid w:val="00EB6AEA"/>
    <w:rsid w:val="00EC1B1F"/>
    <w:rsid w:val="00EC47DF"/>
    <w:rsid w:val="00EC586C"/>
    <w:rsid w:val="00EC5D53"/>
    <w:rsid w:val="00ED4973"/>
    <w:rsid w:val="00ED55B9"/>
    <w:rsid w:val="00EE5EC9"/>
    <w:rsid w:val="00EF0751"/>
    <w:rsid w:val="00EF2367"/>
    <w:rsid w:val="00EF3BF5"/>
    <w:rsid w:val="00EF5E15"/>
    <w:rsid w:val="00F04EAE"/>
    <w:rsid w:val="00F17DD9"/>
    <w:rsid w:val="00F22EEC"/>
    <w:rsid w:val="00F23F5C"/>
    <w:rsid w:val="00F24F9C"/>
    <w:rsid w:val="00F3172D"/>
    <w:rsid w:val="00F36EE5"/>
    <w:rsid w:val="00F432B0"/>
    <w:rsid w:val="00F43F86"/>
    <w:rsid w:val="00F45822"/>
    <w:rsid w:val="00F5619E"/>
    <w:rsid w:val="00F667AF"/>
    <w:rsid w:val="00F73201"/>
    <w:rsid w:val="00F7584E"/>
    <w:rsid w:val="00F77346"/>
    <w:rsid w:val="00F82B62"/>
    <w:rsid w:val="00F901FF"/>
    <w:rsid w:val="00F91809"/>
    <w:rsid w:val="00F93600"/>
    <w:rsid w:val="00FA3FF6"/>
    <w:rsid w:val="00FA6ABC"/>
    <w:rsid w:val="00FB6333"/>
    <w:rsid w:val="00FC1FB6"/>
    <w:rsid w:val="00FC5B4F"/>
    <w:rsid w:val="00FC75D4"/>
    <w:rsid w:val="00FD1EE3"/>
    <w:rsid w:val="00FD798B"/>
    <w:rsid w:val="00FE043F"/>
    <w:rsid w:val="00FE2EDA"/>
    <w:rsid w:val="00FE6538"/>
    <w:rsid w:val="00FF4C0D"/>
    <w:rsid w:val="00FF5D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497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79D"/>
    <w:pPr>
      <w:spacing w:after="0" w:line="276" w:lineRule="auto"/>
      <w:ind w:firstLine="170"/>
      <w:jc w:val="both"/>
    </w:pPr>
    <w:rPr>
      <w:rFonts w:ascii="Times New Roman" w:hAnsi="Times New Roman"/>
      <w:sz w:val="24"/>
      <w:lang w:val="en-US"/>
    </w:rPr>
  </w:style>
  <w:style w:type="paragraph" w:styleId="Heading1">
    <w:name w:val="heading 1"/>
    <w:basedOn w:val="Normal"/>
    <w:next w:val="Firstparagrpah"/>
    <w:link w:val="Heading1Char"/>
    <w:uiPriority w:val="9"/>
    <w:qFormat/>
    <w:rsid w:val="00C865BA"/>
    <w:pPr>
      <w:keepNext/>
      <w:keepLines/>
      <w:numPr>
        <w:numId w:val="12"/>
      </w:numPr>
      <w:spacing w:before="480" w:after="60"/>
      <w:ind w:left="284" w:hanging="284"/>
      <w:outlineLvl w:val="0"/>
    </w:pPr>
    <w:rPr>
      <w:rFonts w:eastAsiaTheme="majorEastAsia" w:cstheme="majorBidi"/>
      <w:b/>
      <w:smallCaps/>
      <w:color w:val="000000" w:themeColor="text1"/>
      <w:sz w:val="28"/>
      <w:szCs w:val="32"/>
    </w:rPr>
  </w:style>
  <w:style w:type="paragraph" w:styleId="Heading2">
    <w:name w:val="heading 2"/>
    <w:basedOn w:val="Normal"/>
    <w:next w:val="Firstparagrpah"/>
    <w:link w:val="Heading2Char"/>
    <w:uiPriority w:val="9"/>
    <w:unhideWhenUsed/>
    <w:qFormat/>
    <w:rsid w:val="00C865BA"/>
    <w:pPr>
      <w:spacing w:before="360"/>
      <w:ind w:firstLine="0"/>
      <w:jc w:val="left"/>
      <w:outlineLvl w:val="1"/>
    </w:pPr>
    <w:rPr>
      <w:rFonts w:cs="Times New Roman"/>
      <w:b/>
    </w:rPr>
  </w:style>
  <w:style w:type="paragraph" w:styleId="Heading3">
    <w:name w:val="heading 3"/>
    <w:basedOn w:val="Normal"/>
    <w:next w:val="Normal"/>
    <w:link w:val="Heading3Char"/>
    <w:uiPriority w:val="9"/>
    <w:unhideWhenUsed/>
    <w:qFormat/>
    <w:rsid w:val="00847BA8"/>
    <w:pPr>
      <w:keepNext/>
      <w:keepLines/>
      <w:spacing w:before="240"/>
      <w:ind w:firstLine="0"/>
      <w:outlineLvl w:val="2"/>
    </w:pPr>
    <w:rPr>
      <w:rFonts w:eastAsiaTheme="majorEastAsia" w:cstheme="majorBidi"/>
      <w:i/>
      <w:color w:val="000000" w:themeColor="text1"/>
      <w:szCs w:val="24"/>
      <w:u w:val="words"/>
    </w:rPr>
  </w:style>
  <w:style w:type="paragraph" w:styleId="Heading4">
    <w:name w:val="heading 4"/>
    <w:basedOn w:val="Normal"/>
    <w:next w:val="Normal"/>
    <w:link w:val="Heading4Char"/>
    <w:uiPriority w:val="9"/>
    <w:unhideWhenUsed/>
    <w:qFormat/>
    <w:rsid w:val="00847BA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5BA"/>
    <w:rPr>
      <w:rFonts w:ascii="Times New Roman" w:eastAsiaTheme="majorEastAsia" w:hAnsi="Times New Roman" w:cstheme="majorBidi"/>
      <w:b/>
      <w:smallCaps/>
      <w:color w:val="000000" w:themeColor="text1"/>
      <w:sz w:val="28"/>
      <w:szCs w:val="32"/>
      <w:lang w:val="en-US"/>
    </w:rPr>
  </w:style>
  <w:style w:type="character" w:customStyle="1" w:styleId="Heading2Char">
    <w:name w:val="Heading 2 Char"/>
    <w:basedOn w:val="DefaultParagraphFont"/>
    <w:link w:val="Heading2"/>
    <w:uiPriority w:val="9"/>
    <w:rsid w:val="003F6F7F"/>
    <w:rPr>
      <w:rFonts w:ascii="Times New Roman" w:hAnsi="Times New Roman" w:cs="Times New Roman"/>
      <w:b/>
      <w:sz w:val="24"/>
      <w:lang w:val="en-US"/>
    </w:rPr>
  </w:style>
  <w:style w:type="character" w:customStyle="1" w:styleId="Heading3Char">
    <w:name w:val="Heading 3 Char"/>
    <w:basedOn w:val="DefaultParagraphFont"/>
    <w:link w:val="Heading3"/>
    <w:uiPriority w:val="9"/>
    <w:rsid w:val="00847BA8"/>
    <w:rPr>
      <w:rFonts w:ascii="Times New Roman" w:eastAsiaTheme="majorEastAsia" w:hAnsi="Times New Roman" w:cstheme="majorBidi"/>
      <w:i/>
      <w:color w:val="000000" w:themeColor="text1"/>
      <w:sz w:val="24"/>
      <w:szCs w:val="24"/>
      <w:u w:val="words"/>
      <w:lang w:val="en-US"/>
    </w:rPr>
  </w:style>
  <w:style w:type="character" w:customStyle="1" w:styleId="Heading4Char">
    <w:name w:val="Heading 4 Char"/>
    <w:basedOn w:val="DefaultParagraphFont"/>
    <w:link w:val="Heading4"/>
    <w:uiPriority w:val="9"/>
    <w:rsid w:val="00847BA8"/>
    <w:rPr>
      <w:rFonts w:asciiTheme="majorHAnsi" w:eastAsiaTheme="majorEastAsia" w:hAnsiTheme="majorHAnsi" w:cstheme="majorBidi"/>
      <w:i/>
      <w:iCs/>
      <w:color w:val="2E74B5" w:themeColor="accent1" w:themeShade="BF"/>
      <w:sz w:val="24"/>
      <w:lang w:val="en-US"/>
    </w:rPr>
  </w:style>
  <w:style w:type="paragraph" w:styleId="ListParagraph">
    <w:name w:val="List Paragraph"/>
    <w:basedOn w:val="Normal"/>
    <w:uiPriority w:val="34"/>
    <w:qFormat/>
    <w:rsid w:val="00847BA8"/>
    <w:pPr>
      <w:ind w:left="720"/>
      <w:contextualSpacing/>
      <w:jc w:val="left"/>
    </w:pPr>
    <w:rPr>
      <w:rFonts w:asciiTheme="minorHAnsi" w:eastAsiaTheme="minorEastAsia" w:hAnsiTheme="minorHAnsi"/>
      <w:szCs w:val="24"/>
      <w:lang w:val="en-CA"/>
    </w:rPr>
  </w:style>
  <w:style w:type="paragraph" w:styleId="FootnoteText">
    <w:name w:val="footnote text"/>
    <w:basedOn w:val="Normal"/>
    <w:link w:val="FootnoteTextChar"/>
    <w:uiPriority w:val="99"/>
    <w:unhideWhenUsed/>
    <w:rsid w:val="00847BA8"/>
    <w:rPr>
      <w:sz w:val="20"/>
      <w:szCs w:val="20"/>
    </w:rPr>
  </w:style>
  <w:style w:type="character" w:customStyle="1" w:styleId="FootnoteTextChar">
    <w:name w:val="Footnote Text Char"/>
    <w:basedOn w:val="DefaultParagraphFont"/>
    <w:link w:val="FootnoteText"/>
    <w:uiPriority w:val="99"/>
    <w:rsid w:val="00847BA8"/>
    <w:rPr>
      <w:rFonts w:ascii="Times New Roman" w:hAnsi="Times New Roman"/>
      <w:sz w:val="20"/>
      <w:szCs w:val="20"/>
      <w:lang w:val="en-US"/>
    </w:rPr>
  </w:style>
  <w:style w:type="character" w:styleId="FootnoteReference">
    <w:name w:val="footnote reference"/>
    <w:basedOn w:val="DefaultParagraphFont"/>
    <w:uiPriority w:val="99"/>
    <w:unhideWhenUsed/>
    <w:rsid w:val="00847BA8"/>
    <w:rPr>
      <w:vertAlign w:val="superscript"/>
    </w:rPr>
  </w:style>
  <w:style w:type="character" w:customStyle="1" w:styleId="stand">
    <w:name w:val="stand"/>
    <w:basedOn w:val="DefaultParagraphFont"/>
    <w:rsid w:val="00847BA8"/>
  </w:style>
  <w:style w:type="character" w:styleId="Strong">
    <w:name w:val="Strong"/>
    <w:basedOn w:val="DefaultParagraphFont"/>
    <w:uiPriority w:val="22"/>
    <w:qFormat/>
    <w:rsid w:val="00847BA8"/>
    <w:rPr>
      <w:b/>
      <w:bCs/>
    </w:rPr>
  </w:style>
  <w:style w:type="paragraph" w:styleId="NoSpacing">
    <w:name w:val="No Spacing"/>
    <w:uiPriority w:val="1"/>
    <w:qFormat/>
    <w:rsid w:val="00847BA8"/>
    <w:pPr>
      <w:spacing w:after="0" w:line="240" w:lineRule="auto"/>
    </w:pPr>
  </w:style>
  <w:style w:type="paragraph" w:styleId="BalloonText">
    <w:name w:val="Balloon Text"/>
    <w:basedOn w:val="Normal"/>
    <w:link w:val="BalloonTextChar"/>
    <w:uiPriority w:val="99"/>
    <w:semiHidden/>
    <w:unhideWhenUsed/>
    <w:rsid w:val="00847BA8"/>
    <w:rPr>
      <w:rFonts w:ascii="Tahoma" w:hAnsi="Tahoma" w:cs="Tahoma"/>
      <w:sz w:val="16"/>
      <w:szCs w:val="16"/>
    </w:rPr>
  </w:style>
  <w:style w:type="character" w:customStyle="1" w:styleId="BalloonTextChar">
    <w:name w:val="Balloon Text Char"/>
    <w:basedOn w:val="DefaultParagraphFont"/>
    <w:link w:val="BalloonText"/>
    <w:uiPriority w:val="99"/>
    <w:semiHidden/>
    <w:rsid w:val="00847BA8"/>
    <w:rPr>
      <w:rFonts w:ascii="Tahoma" w:hAnsi="Tahoma" w:cs="Tahoma"/>
      <w:sz w:val="16"/>
      <w:szCs w:val="16"/>
      <w:lang w:val="en-US"/>
    </w:rPr>
  </w:style>
  <w:style w:type="paragraph" w:styleId="Header">
    <w:name w:val="header"/>
    <w:basedOn w:val="Normal"/>
    <w:link w:val="HeaderChar"/>
    <w:uiPriority w:val="99"/>
    <w:unhideWhenUsed/>
    <w:rsid w:val="00847BA8"/>
    <w:pPr>
      <w:tabs>
        <w:tab w:val="center" w:pos="4680"/>
        <w:tab w:val="right" w:pos="9360"/>
      </w:tabs>
    </w:pPr>
  </w:style>
  <w:style w:type="character" w:customStyle="1" w:styleId="HeaderChar">
    <w:name w:val="Header Char"/>
    <w:basedOn w:val="DefaultParagraphFont"/>
    <w:link w:val="Header"/>
    <w:uiPriority w:val="99"/>
    <w:rsid w:val="00847BA8"/>
    <w:rPr>
      <w:rFonts w:ascii="Times New Roman" w:hAnsi="Times New Roman"/>
      <w:sz w:val="24"/>
      <w:lang w:val="en-US"/>
    </w:rPr>
  </w:style>
  <w:style w:type="paragraph" w:styleId="Footer">
    <w:name w:val="footer"/>
    <w:basedOn w:val="Normal"/>
    <w:link w:val="FooterChar"/>
    <w:uiPriority w:val="99"/>
    <w:unhideWhenUsed/>
    <w:rsid w:val="00847BA8"/>
    <w:pPr>
      <w:tabs>
        <w:tab w:val="center" w:pos="4680"/>
        <w:tab w:val="right" w:pos="9360"/>
      </w:tabs>
    </w:pPr>
  </w:style>
  <w:style w:type="character" w:customStyle="1" w:styleId="FooterChar">
    <w:name w:val="Footer Char"/>
    <w:basedOn w:val="DefaultParagraphFont"/>
    <w:link w:val="Footer"/>
    <w:uiPriority w:val="99"/>
    <w:rsid w:val="00847BA8"/>
    <w:rPr>
      <w:rFonts w:ascii="Times New Roman" w:hAnsi="Times New Roman"/>
      <w:sz w:val="24"/>
      <w:lang w:val="en-US"/>
    </w:rPr>
  </w:style>
  <w:style w:type="character" w:styleId="Hyperlink">
    <w:name w:val="Hyperlink"/>
    <w:basedOn w:val="DefaultParagraphFont"/>
    <w:uiPriority w:val="99"/>
    <w:unhideWhenUsed/>
    <w:rsid w:val="00847BA8"/>
    <w:rPr>
      <w:color w:val="0563C1" w:themeColor="hyperlink"/>
      <w:u w:val="single"/>
    </w:rPr>
  </w:style>
  <w:style w:type="character" w:customStyle="1" w:styleId="A8">
    <w:name w:val="A8"/>
    <w:uiPriority w:val="99"/>
    <w:rsid w:val="00847BA8"/>
    <w:rPr>
      <w:rFonts w:cs="Calibri"/>
      <w:color w:val="000000"/>
      <w:sz w:val="14"/>
      <w:szCs w:val="14"/>
    </w:rPr>
  </w:style>
  <w:style w:type="paragraph" w:customStyle="1" w:styleId="Default">
    <w:name w:val="Default"/>
    <w:rsid w:val="00847BA8"/>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847BA8"/>
    <w:pPr>
      <w:spacing w:after="0" w:line="240" w:lineRule="auto"/>
      <w:ind w:left="431" w:hanging="431"/>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47BA8"/>
    <w:pPr>
      <w:spacing w:before="100" w:beforeAutospacing="1" w:after="100" w:afterAutospacing="1"/>
      <w:jc w:val="left"/>
    </w:pPr>
    <w:rPr>
      <w:rFonts w:cs="Times New Roman"/>
      <w:szCs w:val="24"/>
    </w:rPr>
  </w:style>
  <w:style w:type="character" w:styleId="CommentReference">
    <w:name w:val="annotation reference"/>
    <w:basedOn w:val="DefaultParagraphFont"/>
    <w:uiPriority w:val="99"/>
    <w:semiHidden/>
    <w:unhideWhenUsed/>
    <w:rsid w:val="00847BA8"/>
    <w:rPr>
      <w:sz w:val="18"/>
      <w:szCs w:val="18"/>
    </w:rPr>
  </w:style>
  <w:style w:type="paragraph" w:styleId="CommentText">
    <w:name w:val="annotation text"/>
    <w:basedOn w:val="Normal"/>
    <w:link w:val="CommentTextChar"/>
    <w:uiPriority w:val="99"/>
    <w:unhideWhenUsed/>
    <w:rsid w:val="00847BA8"/>
    <w:rPr>
      <w:szCs w:val="24"/>
    </w:rPr>
  </w:style>
  <w:style w:type="character" w:customStyle="1" w:styleId="CommentTextChar">
    <w:name w:val="Comment Text Char"/>
    <w:basedOn w:val="DefaultParagraphFont"/>
    <w:link w:val="CommentText"/>
    <w:uiPriority w:val="99"/>
    <w:rsid w:val="00847BA8"/>
    <w:rPr>
      <w:rFonts w:ascii="Times New Roman" w:hAnsi="Times New Roman"/>
      <w:sz w:val="24"/>
      <w:szCs w:val="24"/>
      <w:lang w:val="en-US"/>
    </w:rPr>
  </w:style>
  <w:style w:type="paragraph" w:styleId="CommentSubject">
    <w:name w:val="annotation subject"/>
    <w:basedOn w:val="CommentText"/>
    <w:next w:val="CommentText"/>
    <w:link w:val="CommentSubjectChar"/>
    <w:uiPriority w:val="99"/>
    <w:semiHidden/>
    <w:unhideWhenUsed/>
    <w:rsid w:val="00847BA8"/>
    <w:rPr>
      <w:b/>
      <w:bCs/>
      <w:sz w:val="20"/>
      <w:szCs w:val="20"/>
    </w:rPr>
  </w:style>
  <w:style w:type="character" w:customStyle="1" w:styleId="CommentSubjectChar">
    <w:name w:val="Comment Subject Char"/>
    <w:basedOn w:val="CommentTextChar"/>
    <w:link w:val="CommentSubject"/>
    <w:uiPriority w:val="99"/>
    <w:semiHidden/>
    <w:rsid w:val="00847BA8"/>
    <w:rPr>
      <w:rFonts w:ascii="Times New Roman" w:hAnsi="Times New Roman"/>
      <w:b/>
      <w:bCs/>
      <w:sz w:val="20"/>
      <w:szCs w:val="20"/>
      <w:lang w:val="en-US"/>
    </w:rPr>
  </w:style>
  <w:style w:type="paragraph" w:styleId="Revision">
    <w:name w:val="Revision"/>
    <w:hidden/>
    <w:uiPriority w:val="99"/>
    <w:semiHidden/>
    <w:rsid w:val="00847BA8"/>
    <w:pPr>
      <w:spacing w:after="0" w:line="240" w:lineRule="auto"/>
    </w:pPr>
    <w:rPr>
      <w:rFonts w:ascii="Scala Offc Pro" w:hAnsi="Scala Offc Pro"/>
      <w:sz w:val="24"/>
      <w:lang w:val="en-US"/>
    </w:rPr>
  </w:style>
  <w:style w:type="paragraph" w:customStyle="1" w:styleId="Firstparagrpah">
    <w:name w:val="First paragrpah"/>
    <w:basedOn w:val="Normal"/>
    <w:next w:val="Normal"/>
    <w:qFormat/>
    <w:rsid w:val="00847BA8"/>
    <w:pPr>
      <w:ind w:firstLine="0"/>
    </w:pPr>
  </w:style>
  <w:style w:type="paragraph" w:styleId="Caption">
    <w:name w:val="caption"/>
    <w:basedOn w:val="Normal"/>
    <w:next w:val="Normal"/>
    <w:uiPriority w:val="35"/>
    <w:unhideWhenUsed/>
    <w:qFormat/>
    <w:rsid w:val="00847BA8"/>
    <w:pPr>
      <w:spacing w:before="60" w:after="60" w:line="240" w:lineRule="auto"/>
      <w:ind w:firstLine="0"/>
    </w:pPr>
    <w:rPr>
      <w:b/>
      <w:iCs/>
      <w:color w:val="000000" w:themeColor="text1"/>
      <w:sz w:val="22"/>
      <w:szCs w:val="18"/>
    </w:rPr>
  </w:style>
  <w:style w:type="character" w:customStyle="1" w:styleId="tgc">
    <w:name w:val="_tgc"/>
    <w:basedOn w:val="DefaultParagraphFont"/>
    <w:rsid w:val="00847BA8"/>
  </w:style>
  <w:style w:type="character" w:styleId="Emphasis">
    <w:name w:val="Emphasis"/>
    <w:basedOn w:val="DefaultParagraphFont"/>
    <w:uiPriority w:val="20"/>
    <w:qFormat/>
    <w:rsid w:val="00847BA8"/>
    <w:rPr>
      <w:i/>
      <w:iCs/>
    </w:rPr>
  </w:style>
  <w:style w:type="paragraph" w:customStyle="1" w:styleId="EndNoteBibliography">
    <w:name w:val="EndNote Bibliography"/>
    <w:basedOn w:val="Normal"/>
    <w:link w:val="EndNoteBibliographyChar"/>
    <w:rsid w:val="00847BA8"/>
    <w:pPr>
      <w:spacing w:line="240" w:lineRule="auto"/>
      <w:ind w:firstLine="397"/>
    </w:pPr>
    <w:rPr>
      <w:rFonts w:eastAsia="MS Mincho" w:cs="Times New Roman"/>
      <w:noProof/>
      <w:sz w:val="20"/>
      <w:szCs w:val="20"/>
      <w:lang w:eastAsia="ja-JP"/>
    </w:rPr>
  </w:style>
  <w:style w:type="character" w:customStyle="1" w:styleId="EndNoteBibliographyChar">
    <w:name w:val="EndNote Bibliography Char"/>
    <w:link w:val="EndNoteBibliography"/>
    <w:rsid w:val="00847BA8"/>
    <w:rPr>
      <w:rFonts w:ascii="Times New Roman" w:eastAsia="MS Mincho" w:hAnsi="Times New Roman" w:cs="Times New Roman"/>
      <w:noProof/>
      <w:sz w:val="20"/>
      <w:szCs w:val="20"/>
      <w:lang w:val="en-US" w:eastAsia="ja-JP"/>
    </w:rPr>
  </w:style>
  <w:style w:type="table" w:customStyle="1" w:styleId="TableGrid1">
    <w:name w:val="Table Grid1"/>
    <w:basedOn w:val="TableNormal"/>
    <w:next w:val="TableGrid"/>
    <w:uiPriority w:val="39"/>
    <w:rsid w:val="00383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75059"/>
  </w:style>
  <w:style w:type="numbering" w:customStyle="1" w:styleId="NoList1">
    <w:name w:val="No List1"/>
    <w:next w:val="NoList"/>
    <w:uiPriority w:val="99"/>
    <w:semiHidden/>
    <w:unhideWhenUsed/>
    <w:rsid w:val="005760BD"/>
  </w:style>
  <w:style w:type="character" w:styleId="FollowedHyperlink">
    <w:name w:val="FollowedHyperlink"/>
    <w:basedOn w:val="DefaultParagraphFont"/>
    <w:uiPriority w:val="99"/>
    <w:semiHidden/>
    <w:unhideWhenUsed/>
    <w:rsid w:val="005760BD"/>
    <w:rPr>
      <w:color w:val="954F72"/>
      <w:u w:val="single"/>
    </w:rPr>
  </w:style>
  <w:style w:type="paragraph" w:customStyle="1" w:styleId="xl65">
    <w:name w:val="xl65"/>
    <w:basedOn w:val="Normal"/>
    <w:rsid w:val="005760BD"/>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nb-NO" w:eastAsia="nb-NO"/>
    </w:rPr>
  </w:style>
  <w:style w:type="paragraph" w:customStyle="1" w:styleId="xl66">
    <w:name w:val="xl66"/>
    <w:basedOn w:val="Normal"/>
    <w:rsid w:val="005760BD"/>
    <w:pPr>
      <w:pBdr>
        <w:left w:val="single" w:sz="12" w:space="0" w:color="auto"/>
        <w:bottom w:val="single" w:sz="12"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nb-NO" w:eastAsia="nb-NO"/>
    </w:rPr>
  </w:style>
  <w:style w:type="paragraph" w:customStyle="1" w:styleId="xl67">
    <w:name w:val="xl67"/>
    <w:basedOn w:val="Normal"/>
    <w:rsid w:val="005760BD"/>
    <w:pPr>
      <w:pBdr>
        <w:left w:val="single" w:sz="12" w:space="0" w:color="auto"/>
        <w:bottom w:val="single" w:sz="12"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nb-NO" w:eastAsia="nb-NO"/>
    </w:rPr>
  </w:style>
  <w:style w:type="paragraph" w:customStyle="1" w:styleId="xl68">
    <w:name w:val="xl68"/>
    <w:basedOn w:val="Normal"/>
    <w:rsid w:val="005760BD"/>
    <w:pPr>
      <w:pBdr>
        <w:top w:val="single" w:sz="8" w:space="0" w:color="auto"/>
        <w:left w:val="single" w:sz="12" w:space="0" w:color="auto"/>
        <w:bottom w:val="single" w:sz="12"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nb-NO" w:eastAsia="nb-NO"/>
    </w:rPr>
  </w:style>
  <w:style w:type="paragraph" w:customStyle="1" w:styleId="xl69">
    <w:name w:val="xl69"/>
    <w:basedOn w:val="Normal"/>
    <w:rsid w:val="005760BD"/>
    <w:pPr>
      <w:pBdr>
        <w:top w:val="single" w:sz="8" w:space="0" w:color="auto"/>
        <w:bottom w:val="single" w:sz="12"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nb-NO" w:eastAsia="nb-NO"/>
    </w:rPr>
  </w:style>
  <w:style w:type="paragraph" w:customStyle="1" w:styleId="xl70">
    <w:name w:val="xl70"/>
    <w:basedOn w:val="Normal"/>
    <w:rsid w:val="005760BD"/>
    <w:pPr>
      <w:pBdr>
        <w:top w:val="single" w:sz="8" w:space="0" w:color="auto"/>
        <w:bottom w:val="single" w:sz="12"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nb-NO" w:eastAsia="nb-NO"/>
    </w:rPr>
  </w:style>
  <w:style w:type="paragraph" w:customStyle="1" w:styleId="xl71">
    <w:name w:val="xl71"/>
    <w:basedOn w:val="Normal"/>
    <w:rsid w:val="005760BD"/>
    <w:pPr>
      <w:spacing w:before="100" w:beforeAutospacing="1" w:after="100" w:afterAutospacing="1" w:line="240" w:lineRule="auto"/>
      <w:ind w:firstLine="0"/>
      <w:jc w:val="left"/>
    </w:pPr>
    <w:rPr>
      <w:rFonts w:eastAsia="Times New Roman" w:cs="Times New Roman"/>
      <w:szCs w:val="24"/>
      <w:lang w:val="nb-NO" w:eastAsia="nb-NO"/>
    </w:rPr>
  </w:style>
  <w:style w:type="paragraph" w:customStyle="1" w:styleId="xl72">
    <w:name w:val="xl72"/>
    <w:basedOn w:val="Normal"/>
    <w:rsid w:val="005760BD"/>
    <w:pPr>
      <w:pBdr>
        <w:left w:val="single" w:sz="8" w:space="0" w:color="auto"/>
        <w:bottom w:val="single" w:sz="8" w:space="0" w:color="auto"/>
        <w:right w:val="single" w:sz="12" w:space="0" w:color="auto"/>
      </w:pBdr>
      <w:spacing w:before="100" w:beforeAutospacing="1" w:after="100" w:afterAutospacing="1" w:line="240" w:lineRule="auto"/>
      <w:ind w:firstLine="0"/>
      <w:jc w:val="left"/>
      <w:textAlignment w:val="center"/>
    </w:pPr>
    <w:rPr>
      <w:rFonts w:eastAsia="Times New Roman" w:cs="Times New Roman"/>
      <w:i/>
      <w:iCs/>
      <w:sz w:val="20"/>
      <w:szCs w:val="20"/>
      <w:lang w:val="nb-NO" w:eastAsia="nb-NO"/>
    </w:rPr>
  </w:style>
  <w:style w:type="paragraph" w:customStyle="1" w:styleId="xl73">
    <w:name w:val="xl73"/>
    <w:basedOn w:val="Normal"/>
    <w:rsid w:val="005760BD"/>
    <w:pPr>
      <w:pBdr>
        <w:top w:val="single" w:sz="12" w:space="0" w:color="auto"/>
        <w:left w:val="single" w:sz="12" w:space="0" w:color="auto"/>
        <w:bottom w:val="single" w:sz="8"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i/>
      <w:iCs/>
      <w:sz w:val="20"/>
      <w:szCs w:val="20"/>
      <w:lang w:val="nb-NO" w:eastAsia="nb-NO"/>
    </w:rPr>
  </w:style>
  <w:style w:type="paragraph" w:customStyle="1" w:styleId="xl74">
    <w:name w:val="xl74"/>
    <w:basedOn w:val="Normal"/>
    <w:rsid w:val="005760BD"/>
    <w:pPr>
      <w:spacing w:before="100" w:beforeAutospacing="1" w:after="100" w:afterAutospacing="1" w:line="240" w:lineRule="auto"/>
      <w:ind w:firstLine="0"/>
      <w:jc w:val="center"/>
    </w:pPr>
    <w:rPr>
      <w:rFonts w:eastAsia="Times New Roman" w:cs="Times New Roman"/>
      <w:szCs w:val="24"/>
      <w:lang w:val="nb-NO" w:eastAsia="nb-NO"/>
    </w:rPr>
  </w:style>
  <w:style w:type="paragraph" w:customStyle="1" w:styleId="xl75">
    <w:name w:val="xl75"/>
    <w:basedOn w:val="Normal"/>
    <w:rsid w:val="005760BD"/>
    <w:pPr>
      <w:pBdr>
        <w:bottom w:val="single" w:sz="8"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i/>
      <w:iCs/>
      <w:sz w:val="20"/>
      <w:szCs w:val="20"/>
      <w:lang w:val="nb-NO" w:eastAsia="nb-NO"/>
    </w:rPr>
  </w:style>
  <w:style w:type="paragraph" w:customStyle="1" w:styleId="xl76">
    <w:name w:val="xl76"/>
    <w:basedOn w:val="Normal"/>
    <w:rsid w:val="005760BD"/>
    <w:pPr>
      <w:pBdr>
        <w:top w:val="single" w:sz="8" w:space="0" w:color="auto"/>
        <w:left w:val="single" w:sz="8" w:space="0" w:color="auto"/>
        <w:right w:val="single" w:sz="12" w:space="0" w:color="auto"/>
      </w:pBdr>
      <w:spacing w:before="100" w:beforeAutospacing="1" w:after="100" w:afterAutospacing="1" w:line="240" w:lineRule="auto"/>
      <w:ind w:firstLine="0"/>
      <w:jc w:val="left"/>
      <w:textAlignment w:val="center"/>
    </w:pPr>
    <w:rPr>
      <w:rFonts w:eastAsia="Times New Roman" w:cs="Times New Roman"/>
      <w:sz w:val="20"/>
      <w:szCs w:val="20"/>
      <w:lang w:val="nb-NO" w:eastAsia="nb-NO"/>
    </w:rPr>
  </w:style>
  <w:style w:type="paragraph" w:customStyle="1" w:styleId="xl77">
    <w:name w:val="xl77"/>
    <w:basedOn w:val="Normal"/>
    <w:rsid w:val="005760BD"/>
    <w:pPr>
      <w:pBdr>
        <w:top w:val="single" w:sz="8" w:space="0" w:color="auto"/>
        <w:left w:val="single" w:sz="12"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78">
    <w:name w:val="xl78"/>
    <w:basedOn w:val="Normal"/>
    <w:rsid w:val="005760BD"/>
    <w:pPr>
      <w:pBdr>
        <w:top w:val="single" w:sz="8" w:space="0" w:color="auto"/>
        <w:left w:val="single" w:sz="12"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79">
    <w:name w:val="xl79"/>
    <w:basedOn w:val="Normal"/>
    <w:rsid w:val="005760B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80">
    <w:name w:val="xl80"/>
    <w:basedOn w:val="Normal"/>
    <w:rsid w:val="005760BD"/>
    <w:pPr>
      <w:pBdr>
        <w:top w:val="single" w:sz="8" w:space="0" w:color="auto"/>
        <w:left w:val="single" w:sz="8"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81">
    <w:name w:val="xl81"/>
    <w:basedOn w:val="Normal"/>
    <w:rsid w:val="005760BD"/>
    <w:pPr>
      <w:pBdr>
        <w:left w:val="single" w:sz="8" w:space="0" w:color="auto"/>
        <w:bottom w:val="single" w:sz="8" w:space="0" w:color="auto"/>
        <w:right w:val="single" w:sz="12" w:space="0" w:color="auto"/>
      </w:pBdr>
      <w:spacing w:before="100" w:beforeAutospacing="1" w:after="100" w:afterAutospacing="1" w:line="240" w:lineRule="auto"/>
      <w:ind w:firstLine="0"/>
      <w:jc w:val="left"/>
      <w:textAlignment w:val="center"/>
    </w:pPr>
    <w:rPr>
      <w:rFonts w:eastAsia="Times New Roman" w:cs="Times New Roman"/>
      <w:sz w:val="20"/>
      <w:szCs w:val="20"/>
      <w:lang w:val="nb-NO" w:eastAsia="nb-NO"/>
    </w:rPr>
  </w:style>
  <w:style w:type="paragraph" w:customStyle="1" w:styleId="xl82">
    <w:name w:val="xl82"/>
    <w:basedOn w:val="Normal"/>
    <w:rsid w:val="005760BD"/>
    <w:pPr>
      <w:pBdr>
        <w:left w:val="single" w:sz="12" w:space="0" w:color="auto"/>
        <w:bottom w:val="single" w:sz="8"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83">
    <w:name w:val="xl83"/>
    <w:basedOn w:val="Normal"/>
    <w:rsid w:val="005760BD"/>
    <w:pPr>
      <w:pBdr>
        <w:left w:val="single" w:sz="12"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84">
    <w:name w:val="xl84"/>
    <w:basedOn w:val="Normal"/>
    <w:rsid w:val="005760B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85">
    <w:name w:val="xl85"/>
    <w:basedOn w:val="Normal"/>
    <w:rsid w:val="005760BD"/>
    <w:pPr>
      <w:pBdr>
        <w:left w:val="single" w:sz="8" w:space="0" w:color="auto"/>
        <w:bottom w:val="single" w:sz="8"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86">
    <w:name w:val="xl86"/>
    <w:basedOn w:val="Normal"/>
    <w:rsid w:val="005760BD"/>
    <w:pPr>
      <w:pBdr>
        <w:left w:val="single" w:sz="8" w:space="0" w:color="auto"/>
        <w:right w:val="single" w:sz="12" w:space="0" w:color="auto"/>
      </w:pBdr>
      <w:spacing w:before="100" w:beforeAutospacing="1" w:after="100" w:afterAutospacing="1" w:line="240" w:lineRule="auto"/>
      <w:ind w:firstLine="0"/>
      <w:jc w:val="left"/>
      <w:textAlignment w:val="center"/>
    </w:pPr>
    <w:rPr>
      <w:rFonts w:eastAsia="Times New Roman" w:cs="Times New Roman"/>
      <w:sz w:val="20"/>
      <w:szCs w:val="20"/>
      <w:lang w:val="nb-NO" w:eastAsia="nb-NO"/>
    </w:rPr>
  </w:style>
  <w:style w:type="paragraph" w:customStyle="1" w:styleId="xl87">
    <w:name w:val="xl87"/>
    <w:basedOn w:val="Normal"/>
    <w:rsid w:val="005760BD"/>
    <w:pPr>
      <w:pBdr>
        <w:top w:val="single" w:sz="8" w:space="0" w:color="auto"/>
        <w:left w:val="single" w:sz="12" w:space="0" w:color="auto"/>
        <w:bottom w:val="single" w:sz="8"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88">
    <w:name w:val="xl88"/>
    <w:basedOn w:val="Normal"/>
    <w:rsid w:val="005760BD"/>
    <w:pPr>
      <w:pBdr>
        <w:right w:val="single" w:sz="12"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89">
    <w:name w:val="xl89"/>
    <w:basedOn w:val="Normal"/>
    <w:rsid w:val="005760BD"/>
    <w:pPr>
      <w:pBdr>
        <w:left w:val="single" w:sz="12"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90">
    <w:name w:val="xl90"/>
    <w:basedOn w:val="Normal"/>
    <w:rsid w:val="005760BD"/>
    <w:pPr>
      <w:pBdr>
        <w:left w:val="single" w:sz="12"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91">
    <w:name w:val="xl91"/>
    <w:basedOn w:val="Normal"/>
    <w:rsid w:val="005760BD"/>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92">
    <w:name w:val="xl92"/>
    <w:basedOn w:val="Normal"/>
    <w:rsid w:val="005760BD"/>
    <w:pPr>
      <w:pBdr>
        <w:left w:val="single" w:sz="8"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93">
    <w:name w:val="xl93"/>
    <w:basedOn w:val="Normal"/>
    <w:rsid w:val="005760BD"/>
    <w:pPr>
      <w:pBdr>
        <w:top w:val="single" w:sz="8" w:space="0" w:color="auto"/>
        <w:left w:val="single" w:sz="12"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94">
    <w:name w:val="xl94"/>
    <w:basedOn w:val="Normal"/>
    <w:rsid w:val="005760BD"/>
    <w:pPr>
      <w:pBdr>
        <w:left w:val="single" w:sz="12"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95">
    <w:name w:val="xl95"/>
    <w:basedOn w:val="Normal"/>
    <w:rsid w:val="005760BD"/>
    <w:pPr>
      <w:pBdr>
        <w:left w:val="single" w:sz="12" w:space="0" w:color="auto"/>
        <w:bottom w:val="single" w:sz="8"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96">
    <w:name w:val="xl96"/>
    <w:basedOn w:val="Normal"/>
    <w:rsid w:val="005760BD"/>
    <w:pPr>
      <w:pBdr>
        <w:top w:val="single" w:sz="8" w:space="0" w:color="auto"/>
        <w:bottom w:val="single" w:sz="8"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97">
    <w:name w:val="xl97"/>
    <w:basedOn w:val="Normal"/>
    <w:rsid w:val="005760B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98">
    <w:name w:val="xl98"/>
    <w:basedOn w:val="Normal"/>
    <w:rsid w:val="005760BD"/>
    <w:pPr>
      <w:pBdr>
        <w:top w:val="single" w:sz="8" w:space="0" w:color="auto"/>
        <w:left w:val="single" w:sz="8" w:space="0" w:color="auto"/>
        <w:bottom w:val="single" w:sz="8" w:space="0" w:color="auto"/>
        <w:right w:val="single" w:sz="12" w:space="0" w:color="auto"/>
      </w:pBdr>
      <w:spacing w:before="100" w:beforeAutospacing="1" w:after="100" w:afterAutospacing="1" w:line="240" w:lineRule="auto"/>
      <w:ind w:firstLine="0"/>
      <w:jc w:val="left"/>
      <w:textAlignment w:val="center"/>
    </w:pPr>
    <w:rPr>
      <w:rFonts w:eastAsia="Times New Roman" w:cs="Times New Roman"/>
      <w:sz w:val="20"/>
      <w:szCs w:val="20"/>
      <w:lang w:val="nb-NO" w:eastAsia="nb-NO"/>
    </w:rPr>
  </w:style>
  <w:style w:type="paragraph" w:customStyle="1" w:styleId="xl99">
    <w:name w:val="xl99"/>
    <w:basedOn w:val="Normal"/>
    <w:rsid w:val="005760BD"/>
    <w:pPr>
      <w:pBdr>
        <w:bottom w:val="single" w:sz="8"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100">
    <w:name w:val="xl100"/>
    <w:basedOn w:val="Normal"/>
    <w:rsid w:val="005760B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101">
    <w:name w:val="xl101"/>
    <w:basedOn w:val="Normal"/>
    <w:rsid w:val="005760BD"/>
    <w:pPr>
      <w:pBdr>
        <w:top w:val="single" w:sz="8" w:space="0" w:color="auto"/>
        <w:left w:val="single" w:sz="12"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102">
    <w:name w:val="xl102"/>
    <w:basedOn w:val="Normal"/>
    <w:rsid w:val="005760BD"/>
    <w:pPr>
      <w:pBdr>
        <w:left w:val="single" w:sz="12"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103">
    <w:name w:val="xl103"/>
    <w:basedOn w:val="Normal"/>
    <w:rsid w:val="005760BD"/>
    <w:pPr>
      <w:pBdr>
        <w:left w:val="single" w:sz="12" w:space="0" w:color="auto"/>
        <w:bottom w:val="single" w:sz="8"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104">
    <w:name w:val="xl104"/>
    <w:basedOn w:val="Normal"/>
    <w:rsid w:val="005760BD"/>
    <w:pPr>
      <w:pBdr>
        <w:top w:val="single" w:sz="8" w:space="0" w:color="auto"/>
        <w:bottom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105">
    <w:name w:val="xl105"/>
    <w:basedOn w:val="Normal"/>
    <w:rsid w:val="005760BD"/>
    <w:pPr>
      <w:pBdr>
        <w:top w:val="single" w:sz="8"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106">
    <w:name w:val="xl106"/>
    <w:basedOn w:val="Normal"/>
    <w:rsid w:val="005760BD"/>
    <w:pP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107">
    <w:name w:val="xl107"/>
    <w:basedOn w:val="Normal"/>
    <w:rsid w:val="005760BD"/>
    <w:pPr>
      <w:pBdr>
        <w:bottom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108">
    <w:name w:val="xl108"/>
    <w:basedOn w:val="Normal"/>
    <w:rsid w:val="005760BD"/>
    <w:pPr>
      <w:pBdr>
        <w:top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109">
    <w:name w:val="xl109"/>
    <w:basedOn w:val="Normal"/>
    <w:rsid w:val="005760BD"/>
    <w:pPr>
      <w:pBdr>
        <w:top w:val="single" w:sz="8" w:space="0" w:color="auto"/>
        <w:left w:val="single" w:sz="8" w:space="0" w:color="auto"/>
        <w:bottom w:val="single" w:sz="8" w:space="0" w:color="auto"/>
        <w:right w:val="single" w:sz="12" w:space="0" w:color="auto"/>
      </w:pBdr>
      <w:spacing w:before="100" w:beforeAutospacing="1" w:after="100" w:afterAutospacing="1" w:line="240" w:lineRule="auto"/>
      <w:ind w:firstLine="0"/>
      <w:jc w:val="left"/>
      <w:textAlignment w:val="center"/>
    </w:pPr>
    <w:rPr>
      <w:rFonts w:eastAsia="Times New Roman" w:cs="Times New Roman"/>
      <w:sz w:val="20"/>
      <w:szCs w:val="20"/>
      <w:lang w:val="nb-NO" w:eastAsia="nb-NO"/>
    </w:rPr>
  </w:style>
  <w:style w:type="paragraph" w:customStyle="1" w:styleId="xl110">
    <w:name w:val="xl110"/>
    <w:basedOn w:val="Normal"/>
    <w:rsid w:val="005760BD"/>
    <w:pPr>
      <w:pBdr>
        <w:top w:val="single" w:sz="8" w:space="0" w:color="auto"/>
        <w:left w:val="single" w:sz="12" w:space="0" w:color="auto"/>
        <w:bottom w:val="single" w:sz="8" w:space="0" w:color="auto"/>
        <w:right w:val="single" w:sz="12" w:space="0" w:color="auto"/>
      </w:pBdr>
      <w:spacing w:before="100" w:beforeAutospacing="1" w:after="100" w:afterAutospacing="1" w:line="240" w:lineRule="auto"/>
      <w:ind w:firstLine="0"/>
      <w:jc w:val="center"/>
    </w:pPr>
    <w:rPr>
      <w:rFonts w:eastAsia="Times New Roman" w:cs="Times New Roman"/>
      <w:sz w:val="20"/>
      <w:szCs w:val="20"/>
      <w:lang w:val="nb-NO" w:eastAsia="nb-NO"/>
    </w:rPr>
  </w:style>
  <w:style w:type="paragraph" w:customStyle="1" w:styleId="xl111">
    <w:name w:val="xl111"/>
    <w:basedOn w:val="Normal"/>
    <w:rsid w:val="005760BD"/>
    <w:pPr>
      <w:spacing w:before="100" w:beforeAutospacing="1" w:after="100" w:afterAutospacing="1" w:line="240" w:lineRule="auto"/>
      <w:ind w:firstLine="0"/>
      <w:jc w:val="left"/>
    </w:pPr>
    <w:rPr>
      <w:rFonts w:eastAsia="Times New Roman" w:cs="Times New Roman"/>
      <w:szCs w:val="24"/>
      <w:lang w:val="nb-NO" w:eastAsia="nb-NO"/>
    </w:rPr>
  </w:style>
  <w:style w:type="paragraph" w:customStyle="1" w:styleId="xl112">
    <w:name w:val="xl112"/>
    <w:basedOn w:val="Normal"/>
    <w:rsid w:val="00576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Cs w:val="24"/>
      <w:lang w:val="nb-NO" w:eastAsia="nb-NO"/>
    </w:rPr>
  </w:style>
  <w:style w:type="paragraph" w:customStyle="1" w:styleId="xl113">
    <w:name w:val="xl113"/>
    <w:basedOn w:val="Normal"/>
    <w:rsid w:val="005760BD"/>
    <w:pPr>
      <w:pBdr>
        <w:top w:val="single" w:sz="12" w:space="0" w:color="auto"/>
        <w:left w:val="single" w:sz="12"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i/>
      <w:iCs/>
      <w:sz w:val="20"/>
      <w:szCs w:val="20"/>
      <w:lang w:val="nb-NO" w:eastAsia="nb-NO"/>
    </w:rPr>
  </w:style>
  <w:style w:type="paragraph" w:customStyle="1" w:styleId="xl114">
    <w:name w:val="xl114"/>
    <w:basedOn w:val="Normal"/>
    <w:rsid w:val="005760B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i/>
      <w:iCs/>
      <w:sz w:val="20"/>
      <w:szCs w:val="20"/>
      <w:lang w:val="nb-NO" w:eastAsia="nb-NO"/>
    </w:rPr>
  </w:style>
  <w:style w:type="paragraph" w:customStyle="1" w:styleId="xl115">
    <w:name w:val="xl115"/>
    <w:basedOn w:val="Normal"/>
    <w:rsid w:val="005760BD"/>
    <w:pPr>
      <w:pBdr>
        <w:top w:val="single" w:sz="8" w:space="0" w:color="auto"/>
        <w:left w:val="single" w:sz="12"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116">
    <w:name w:val="xl116"/>
    <w:basedOn w:val="Normal"/>
    <w:rsid w:val="005760B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117">
    <w:name w:val="xl117"/>
    <w:basedOn w:val="Normal"/>
    <w:rsid w:val="005760BD"/>
    <w:pPr>
      <w:pBdr>
        <w:top w:val="single" w:sz="8" w:space="0" w:color="auto"/>
        <w:left w:val="single" w:sz="8" w:space="0" w:color="auto"/>
        <w:bottom w:val="single" w:sz="8"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118">
    <w:name w:val="xl118"/>
    <w:basedOn w:val="Normal"/>
    <w:rsid w:val="005760BD"/>
    <w:pPr>
      <w:pBdr>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nb-NO" w:eastAsia="nb-NO"/>
    </w:rPr>
  </w:style>
  <w:style w:type="paragraph" w:customStyle="1" w:styleId="xl119">
    <w:name w:val="xl119"/>
    <w:basedOn w:val="Normal"/>
    <w:rsid w:val="005760B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18"/>
      <w:szCs w:val="18"/>
      <w:lang w:val="nb-NO" w:eastAsia="nb-NO"/>
    </w:rPr>
  </w:style>
  <w:style w:type="paragraph" w:customStyle="1" w:styleId="xl120">
    <w:name w:val="xl120"/>
    <w:basedOn w:val="Normal"/>
    <w:rsid w:val="005760B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18"/>
      <w:szCs w:val="18"/>
      <w:lang w:val="nb-NO" w:eastAsia="nb-NO"/>
    </w:rPr>
  </w:style>
  <w:style w:type="paragraph" w:customStyle="1" w:styleId="xl121">
    <w:name w:val="xl121"/>
    <w:basedOn w:val="Normal"/>
    <w:rsid w:val="005760BD"/>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val="nb-NO" w:eastAsia="nb-NO"/>
    </w:rPr>
  </w:style>
  <w:style w:type="paragraph" w:customStyle="1" w:styleId="xl122">
    <w:name w:val="xl122"/>
    <w:basedOn w:val="Normal"/>
    <w:rsid w:val="005760BD"/>
    <w:pPr>
      <w:pBdr>
        <w:top w:val="single" w:sz="8" w:space="0" w:color="auto"/>
        <w:left w:val="single" w:sz="4" w:space="0" w:color="auto"/>
        <w:bottom w:val="single" w:sz="8" w:space="0" w:color="auto"/>
        <w:right w:val="single" w:sz="12" w:space="0" w:color="auto"/>
      </w:pBdr>
      <w:spacing w:before="100" w:beforeAutospacing="1" w:after="100" w:afterAutospacing="1" w:line="240" w:lineRule="auto"/>
      <w:ind w:firstLine="0"/>
      <w:jc w:val="center"/>
      <w:textAlignment w:val="center"/>
    </w:pPr>
    <w:rPr>
      <w:rFonts w:eastAsia="Times New Roman" w:cs="Times New Roman"/>
      <w:szCs w:val="24"/>
      <w:lang w:val="nb-NO" w:eastAsia="nb-NO"/>
    </w:rPr>
  </w:style>
  <w:style w:type="paragraph" w:customStyle="1" w:styleId="xl123">
    <w:name w:val="xl123"/>
    <w:basedOn w:val="Normal"/>
    <w:rsid w:val="005760BD"/>
    <w:pPr>
      <w:pBdr>
        <w:top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val="nb-NO" w:eastAsia="nb-NO"/>
    </w:rPr>
  </w:style>
  <w:style w:type="paragraph" w:customStyle="1" w:styleId="xl124">
    <w:name w:val="xl124"/>
    <w:basedOn w:val="Normal"/>
    <w:rsid w:val="005760BD"/>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51533">
      <w:bodyDiv w:val="1"/>
      <w:marLeft w:val="0"/>
      <w:marRight w:val="0"/>
      <w:marTop w:val="0"/>
      <w:marBottom w:val="0"/>
      <w:divBdr>
        <w:top w:val="none" w:sz="0" w:space="0" w:color="auto"/>
        <w:left w:val="none" w:sz="0" w:space="0" w:color="auto"/>
        <w:bottom w:val="none" w:sz="0" w:space="0" w:color="auto"/>
        <w:right w:val="none" w:sz="0" w:space="0" w:color="auto"/>
      </w:divBdr>
    </w:div>
    <w:div w:id="566495474">
      <w:bodyDiv w:val="1"/>
      <w:marLeft w:val="0"/>
      <w:marRight w:val="0"/>
      <w:marTop w:val="0"/>
      <w:marBottom w:val="0"/>
      <w:divBdr>
        <w:top w:val="none" w:sz="0" w:space="0" w:color="auto"/>
        <w:left w:val="none" w:sz="0" w:space="0" w:color="auto"/>
        <w:bottom w:val="none" w:sz="0" w:space="0" w:color="auto"/>
        <w:right w:val="none" w:sz="0" w:space="0" w:color="auto"/>
      </w:divBdr>
    </w:div>
    <w:div w:id="889876731">
      <w:bodyDiv w:val="1"/>
      <w:marLeft w:val="0"/>
      <w:marRight w:val="0"/>
      <w:marTop w:val="0"/>
      <w:marBottom w:val="0"/>
      <w:divBdr>
        <w:top w:val="none" w:sz="0" w:space="0" w:color="auto"/>
        <w:left w:val="none" w:sz="0" w:space="0" w:color="auto"/>
        <w:bottom w:val="none" w:sz="0" w:space="0" w:color="auto"/>
        <w:right w:val="none" w:sz="0" w:space="0" w:color="auto"/>
      </w:divBdr>
    </w:div>
    <w:div w:id="1182234154">
      <w:bodyDiv w:val="1"/>
      <w:marLeft w:val="0"/>
      <w:marRight w:val="0"/>
      <w:marTop w:val="0"/>
      <w:marBottom w:val="0"/>
      <w:divBdr>
        <w:top w:val="none" w:sz="0" w:space="0" w:color="auto"/>
        <w:left w:val="none" w:sz="0" w:space="0" w:color="auto"/>
        <w:bottom w:val="none" w:sz="0" w:space="0" w:color="auto"/>
        <w:right w:val="none" w:sz="0" w:space="0" w:color="auto"/>
      </w:divBdr>
    </w:div>
    <w:div w:id="1264845785">
      <w:bodyDiv w:val="1"/>
      <w:marLeft w:val="0"/>
      <w:marRight w:val="0"/>
      <w:marTop w:val="0"/>
      <w:marBottom w:val="0"/>
      <w:divBdr>
        <w:top w:val="none" w:sz="0" w:space="0" w:color="auto"/>
        <w:left w:val="none" w:sz="0" w:space="0" w:color="auto"/>
        <w:bottom w:val="none" w:sz="0" w:space="0" w:color="auto"/>
        <w:right w:val="none" w:sz="0" w:space="0" w:color="auto"/>
      </w:divBdr>
      <w:divsChild>
        <w:div w:id="1720472040">
          <w:marLeft w:val="0"/>
          <w:marRight w:val="0"/>
          <w:marTop w:val="0"/>
          <w:marBottom w:val="0"/>
          <w:divBdr>
            <w:top w:val="none" w:sz="0" w:space="0" w:color="auto"/>
            <w:left w:val="none" w:sz="0" w:space="0" w:color="auto"/>
            <w:bottom w:val="none" w:sz="0" w:space="0" w:color="auto"/>
            <w:right w:val="none" w:sz="0" w:space="0" w:color="auto"/>
          </w:divBdr>
          <w:divsChild>
            <w:div w:id="329718732">
              <w:marLeft w:val="0"/>
              <w:marRight w:val="0"/>
              <w:marTop w:val="0"/>
              <w:marBottom w:val="0"/>
              <w:divBdr>
                <w:top w:val="none" w:sz="0" w:space="0" w:color="auto"/>
                <w:left w:val="none" w:sz="0" w:space="0" w:color="auto"/>
                <w:bottom w:val="none" w:sz="0" w:space="0" w:color="auto"/>
                <w:right w:val="none" w:sz="0" w:space="0" w:color="auto"/>
              </w:divBdr>
              <w:divsChild>
                <w:div w:id="18117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1394">
      <w:bodyDiv w:val="1"/>
      <w:marLeft w:val="0"/>
      <w:marRight w:val="0"/>
      <w:marTop w:val="0"/>
      <w:marBottom w:val="0"/>
      <w:divBdr>
        <w:top w:val="none" w:sz="0" w:space="0" w:color="auto"/>
        <w:left w:val="none" w:sz="0" w:space="0" w:color="auto"/>
        <w:bottom w:val="none" w:sz="0" w:space="0" w:color="auto"/>
        <w:right w:val="none" w:sz="0" w:space="0" w:color="auto"/>
      </w:divBdr>
      <w:divsChild>
        <w:div w:id="1658727409">
          <w:marLeft w:val="0"/>
          <w:marRight w:val="0"/>
          <w:marTop w:val="0"/>
          <w:marBottom w:val="0"/>
          <w:divBdr>
            <w:top w:val="none" w:sz="0" w:space="0" w:color="auto"/>
            <w:left w:val="none" w:sz="0" w:space="0" w:color="auto"/>
            <w:bottom w:val="none" w:sz="0" w:space="0" w:color="auto"/>
            <w:right w:val="none" w:sz="0" w:space="0" w:color="auto"/>
          </w:divBdr>
        </w:div>
        <w:div w:id="1087648680">
          <w:marLeft w:val="0"/>
          <w:marRight w:val="0"/>
          <w:marTop w:val="0"/>
          <w:marBottom w:val="0"/>
          <w:divBdr>
            <w:top w:val="none" w:sz="0" w:space="0" w:color="auto"/>
            <w:left w:val="none" w:sz="0" w:space="0" w:color="auto"/>
            <w:bottom w:val="none" w:sz="0" w:space="0" w:color="auto"/>
            <w:right w:val="none" w:sz="0" w:space="0" w:color="auto"/>
          </w:divBdr>
        </w:div>
      </w:divsChild>
    </w:div>
    <w:div w:id="1798723375">
      <w:bodyDiv w:val="1"/>
      <w:marLeft w:val="0"/>
      <w:marRight w:val="0"/>
      <w:marTop w:val="0"/>
      <w:marBottom w:val="0"/>
      <w:divBdr>
        <w:top w:val="none" w:sz="0" w:space="0" w:color="auto"/>
        <w:left w:val="none" w:sz="0" w:space="0" w:color="auto"/>
        <w:bottom w:val="none" w:sz="0" w:space="0" w:color="auto"/>
        <w:right w:val="none" w:sz="0" w:space="0" w:color="auto"/>
      </w:divBdr>
    </w:div>
    <w:div w:id="1870675876">
      <w:bodyDiv w:val="1"/>
      <w:marLeft w:val="0"/>
      <w:marRight w:val="0"/>
      <w:marTop w:val="0"/>
      <w:marBottom w:val="0"/>
      <w:divBdr>
        <w:top w:val="none" w:sz="0" w:space="0" w:color="auto"/>
        <w:left w:val="none" w:sz="0" w:space="0" w:color="auto"/>
        <w:bottom w:val="none" w:sz="0" w:space="0" w:color="auto"/>
        <w:right w:val="none" w:sz="0" w:space="0" w:color="auto"/>
      </w:divBdr>
    </w:div>
    <w:div w:id="203484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dx.doi.org/10.1002/pad.588" TargetMode="External"/><Relationship Id="rId26" Type="http://schemas.openxmlformats.org/officeDocument/2006/relationships/hyperlink" Target="https://eiti.org/files/EITI%20Impact%20in%20Africa.pdf" TargetMode="External"/><Relationship Id="rId39" Type="http://schemas.openxmlformats.org/officeDocument/2006/relationships/hyperlink" Target="https://eiti.org/files/2011-EITI-evaluation-report.pdf" TargetMode="External"/><Relationship Id="rId21" Type="http://schemas.openxmlformats.org/officeDocument/2006/relationships/hyperlink" Target="https://eiti.org/sites/default/files/migrated_files/eiti_review_report_v10_-_final.pdf" TargetMode="External"/><Relationship Id="rId34" Type="http://schemas.openxmlformats.org/officeDocument/2006/relationships/hyperlink" Target="http://dx.doi.org/10.1080/08941920.2015.1024806" TargetMode="External"/><Relationship Id="rId42" Type="http://schemas.openxmlformats.org/officeDocument/2006/relationships/hyperlink" Target="http://dx.doi.org/10.1016/j.resourpol.2011.01.001" TargetMode="External"/><Relationship Id="rId47" Type="http://schemas.openxmlformats.org/officeDocument/2006/relationships/hyperlink" Target="http://dx.doi.org/10.1016/j.exis.2014.11.006" TargetMode="External"/><Relationship Id="rId50" Type="http://schemas.openxmlformats.org/officeDocument/2006/relationships/header" Target="header1.xml"/><Relationship Id="rId55" Type="http://schemas.openxmlformats.org/officeDocument/2006/relationships/hyperlink" Target="https://eiti.org/files/EITI%20Impact%20in%20Africa.pdf" TargetMode="External"/><Relationship Id="rId63" Type="http://schemas.openxmlformats.org/officeDocument/2006/relationships/hyperlink" Target="https://eiti.org/document/shaxson-neiti-glorious-audi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hyperlink" Target="http://dx.doi.org/10.1016/j.exis.2015.06.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dx.doi.org/10.1016/j.resourpol.2013.10.003" TargetMode="External"/><Relationship Id="rId32" Type="http://schemas.openxmlformats.org/officeDocument/2006/relationships/hyperlink" Target="http://nidprodev.org/EITI%20-%20Nigeria%20Analysis.pdf" TargetMode="External"/><Relationship Id="rId37" Type="http://schemas.openxmlformats.org/officeDocument/2006/relationships/hyperlink" Target="https://eiti.org/files/Rainbow%20Insight%20Report.pdf" TargetMode="External"/><Relationship Id="rId40" Type="http://schemas.openxmlformats.org/officeDocument/2006/relationships/hyperlink" Target="https://eiti.org/files/Schmaljohann_2013_dp538.pdf" TargetMode="External"/><Relationship Id="rId45" Type="http://schemas.openxmlformats.org/officeDocument/2006/relationships/hyperlink" Target="http://dx.doi.org/10.1016/j.worlddev.2016.01.021" TargetMode="External"/><Relationship Id="rId53" Type="http://schemas.openxmlformats.org/officeDocument/2006/relationships/hyperlink" Target="https://eiti.org/sites/default/files/migrated_files/eiti_review_report_v10_-_final.pdf" TargetMode="External"/><Relationship Id="rId58" Type="http://schemas.openxmlformats.org/officeDocument/2006/relationships/hyperlink" Target="http://www.oecd.org/dataoecd/56/60/42342311.pdf"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dx.doi.org/10.1111/j.1467-9701.2006.00755.x%20&#160;" TargetMode="External"/><Relationship Id="rId28" Type="http://schemas.openxmlformats.org/officeDocument/2006/relationships/hyperlink" Target="https://eiti.org/document/can-transparency-reduce-corruption" TargetMode="External"/><Relationship Id="rId36" Type="http://schemas.openxmlformats.org/officeDocument/2006/relationships/hyperlink" Target="http://dx.doi.org/10.1080/00220388.2016.1160065" TargetMode="External"/><Relationship Id="rId49" Type="http://schemas.openxmlformats.org/officeDocument/2006/relationships/footer" Target="footer1.xml"/><Relationship Id="rId57" Type="http://schemas.openxmlformats.org/officeDocument/2006/relationships/hyperlink" Target="http://nidprodev.org/EITI%20-%20Nigeria%20Analysis.pdf" TargetMode="External"/><Relationship Id="rId61" Type="http://schemas.openxmlformats.org/officeDocument/2006/relationships/hyperlink" Target="https://eiti.org/files/2011-EITI-evaluation-report.pdf" TargetMode="External"/><Relationship Id="rId10" Type="http://schemas.openxmlformats.org/officeDocument/2006/relationships/hyperlink" Target="mailto:paivi.lujala@svt.ntnu.no" TargetMode="External"/><Relationship Id="rId19" Type="http://schemas.openxmlformats.org/officeDocument/2006/relationships/hyperlink" Target="https://eiti.org/files/2014%20EITI%20Albania%20AAR%20English.pdf" TargetMode="External"/><Relationship Id="rId31" Type="http://schemas.openxmlformats.org/officeDocument/2006/relationships/hyperlink" Target="http://dx.doi.org/10.1016/j.resourpol.2016.03.002" TargetMode="External"/><Relationship Id="rId44" Type="http://schemas.openxmlformats.org/officeDocument/2006/relationships/hyperlink" Target="http://dx.doi.org/10.1016/j.resourpol.2015.04.003" TargetMode="External"/><Relationship Id="rId52" Type="http://schemas.openxmlformats.org/officeDocument/2006/relationships/hyperlink" Target="https://eiti.org/files/2014%20EITI%20Albania%20AAR%20English.pdf" TargetMode="External"/><Relationship Id="rId60" Type="http://schemas.openxmlformats.org/officeDocument/2006/relationships/hyperlink" Target="http://www.leiti.org.lr/uploads/2/1/5/6/21569928/leiti_perception_survey_report.pdf" TargetMode="External"/><Relationship Id="rId65" Type="http://schemas.openxmlformats.org/officeDocument/2006/relationships/hyperlink" Target="http://pubs.iied.org/pdfs/16555IIED.pdf" TargetMode="External"/><Relationship Id="rId4" Type="http://schemas.openxmlformats.org/officeDocument/2006/relationships/settings" Target="settings.xml"/><Relationship Id="rId9" Type="http://schemas.openxmlformats.org/officeDocument/2006/relationships/hyperlink" Target="mailto:philippe.lebillon@ubc.ca" TargetMode="External"/><Relationship Id="rId14" Type="http://schemas.openxmlformats.org/officeDocument/2006/relationships/image" Target="media/image1.tmp"/><Relationship Id="rId22" Type="http://schemas.openxmlformats.org/officeDocument/2006/relationships/hyperlink" Target="http://dx.doi.org/10.1002/pad.584%20" TargetMode="External"/><Relationship Id="rId27" Type="http://schemas.openxmlformats.org/officeDocument/2006/relationships/hyperlink" Target="https://eiti.org/document/standard" TargetMode="External"/><Relationship Id="rId30" Type="http://schemas.openxmlformats.org/officeDocument/2006/relationships/hyperlink" Target="http://dx.doi.org/10.1162/GLEP_a_00014" TargetMode="External"/><Relationship Id="rId35" Type="http://schemas.openxmlformats.org/officeDocument/2006/relationships/hyperlink" Target="http://dx.doi.org/10.1787/225520261678" TargetMode="External"/><Relationship Id="rId43" Type="http://schemas.openxmlformats.org/officeDocument/2006/relationships/hyperlink" Target="http://dx.doi.org/10.1111/dpr.12003" TargetMode="External"/><Relationship Id="rId48" Type="http://schemas.openxmlformats.org/officeDocument/2006/relationships/hyperlink" Target="http://pubs.iied.org/pdfs/16555IIED.pdf" TargetMode="External"/><Relationship Id="rId56" Type="http://schemas.openxmlformats.org/officeDocument/2006/relationships/hyperlink" Target="https://eiti.org/document/can-transparency-reduce-corruption" TargetMode="External"/><Relationship Id="rId64" Type="http://schemas.openxmlformats.org/officeDocument/2006/relationships/hyperlink" Target="http://www.resourcegovernance.org/sites/default/files/documents/nrgi_fromreportingtoreform.pdf" TargetMode="External"/><Relationship Id="rId8" Type="http://schemas.openxmlformats.org/officeDocument/2006/relationships/hyperlink" Target="mailto:sirir@prio.no"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https://eiti.org/summary-data" TargetMode="External"/><Relationship Id="rId25" Type="http://schemas.openxmlformats.org/officeDocument/2006/relationships/hyperlink" Target="http://dx.doi.org/10.1111/gove.12163" TargetMode="External"/><Relationship Id="rId33" Type="http://schemas.openxmlformats.org/officeDocument/2006/relationships/hyperlink" Target="http://dx.doi.org/10.1016/j.worlddev.2008.07.002" TargetMode="External"/><Relationship Id="rId38" Type="http://schemas.openxmlformats.org/officeDocument/2006/relationships/hyperlink" Target="http://www.leiti.org.lr/uploads/2/1/5/6/21569928/leiti_perception_survey_report.pdf" TargetMode="External"/><Relationship Id="rId46" Type="http://schemas.openxmlformats.org/officeDocument/2006/relationships/hyperlink" Target="http://r4d.dfid.gov.uk/pdf/outputs/JSRP/ToC_Lit_Review.pdf" TargetMode="External"/><Relationship Id="rId59" Type="http://schemas.openxmlformats.org/officeDocument/2006/relationships/hyperlink" Target="https://eiti.org/sites/default/files/documents/Rainbow%20Insight%20Report.pdf" TargetMode="External"/><Relationship Id="rId67" Type="http://schemas.openxmlformats.org/officeDocument/2006/relationships/theme" Target="theme/theme1.xml"/><Relationship Id="rId20" Type="http://schemas.openxmlformats.org/officeDocument/2006/relationships/hyperlink" Target="http://dx.doi.org/10.1111/basr.12081" TargetMode="External"/><Relationship Id="rId41" Type="http://schemas.openxmlformats.org/officeDocument/2006/relationships/hyperlink" Target="https://eiti.org/document/shaxson-neiti-glorious-audit" TargetMode="External"/><Relationship Id="rId54" Type="http://schemas.openxmlformats.org/officeDocument/2006/relationships/hyperlink" Target="http://www.resourcegovernance.org/sites/default/files/EITI_lessons_2011-02-23.pdf" TargetMode="External"/><Relationship Id="rId62" Type="http://schemas.openxmlformats.org/officeDocument/2006/relationships/hyperlink" Target="https://eiti.org/files/Schmaljohann_2013_dp538.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eg.worldbankgroup.org/event/resource-rich-countrie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localhost\Users\Phil\Documents\Documents\BACKUP\My%20Documents\Le%20BillonP\Articles\EITI%202015\EITI%20data%20on%20participation%20-%2028%20May%20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localhost\Users\Phil\Documents\Documents\BACKUP\My%20Documents\Le%20BillonP\Articles\EITI%202015\EITI%2520Gov%2520commitment%2520Candidate%2520Compliant%20Feb%202016.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sirir\Dropbox\Siri%20workspace\SIRIS%20STORE\Projects\From%20Curse%20to%20a%20Blessing_NRC\EITI%20paper\EITI%20data\EITI_reports_nov2016.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c:f>
              <c:strCache>
                <c:ptCount val="1"/>
                <c:pt idx="0">
                  <c:v>EITI</c:v>
                </c:pt>
              </c:strCache>
            </c:strRef>
          </c:tx>
          <c:spPr>
            <a:solidFill>
              <a:schemeClr val="bg1">
                <a:lumMod val="85000"/>
              </a:schemeClr>
            </a:solidFill>
            <a:ln>
              <a:solidFill>
                <a:srgbClr val="FFFFFF"/>
              </a:solidFill>
            </a:ln>
            <a:effectLst/>
          </c:spPr>
          <c:invertIfNegative val="0"/>
          <c:cat>
            <c:numRef>
              <c:f>Sheet2!$A$70:$A$77</c:f>
              <c:numCache>
                <c:formatCode>General</c:formatCode>
                <c:ptCount val="8"/>
                <c:pt idx="0">
                  <c:v>2009</c:v>
                </c:pt>
                <c:pt idx="1">
                  <c:v>2010</c:v>
                </c:pt>
                <c:pt idx="2">
                  <c:v>2011</c:v>
                </c:pt>
                <c:pt idx="3">
                  <c:v>2012</c:v>
                </c:pt>
                <c:pt idx="4">
                  <c:v>2013</c:v>
                </c:pt>
                <c:pt idx="5">
                  <c:v>2014</c:v>
                </c:pt>
                <c:pt idx="6">
                  <c:v>2015</c:v>
                </c:pt>
                <c:pt idx="7">
                  <c:v>2016</c:v>
                </c:pt>
              </c:numCache>
            </c:numRef>
          </c:cat>
          <c:val>
            <c:numRef>
              <c:f>Sheet2!$B$2:$B$9</c:f>
              <c:numCache>
                <c:formatCode>General</c:formatCode>
                <c:ptCount val="8"/>
                <c:pt idx="0">
                  <c:v>0</c:v>
                </c:pt>
                <c:pt idx="1">
                  <c:v>1</c:v>
                </c:pt>
                <c:pt idx="2">
                  <c:v>1</c:v>
                </c:pt>
                <c:pt idx="3">
                  <c:v>0</c:v>
                </c:pt>
                <c:pt idx="4">
                  <c:v>0</c:v>
                </c:pt>
                <c:pt idx="5">
                  <c:v>2</c:v>
                </c:pt>
                <c:pt idx="6">
                  <c:v>1</c:v>
                </c:pt>
                <c:pt idx="7">
                  <c:v>0</c:v>
                </c:pt>
              </c:numCache>
            </c:numRef>
          </c:val>
          <c:extLst>
            <c:ext xmlns:c16="http://schemas.microsoft.com/office/drawing/2014/chart" uri="{C3380CC4-5D6E-409C-BE32-E72D297353CC}">
              <c16:uniqueId val="{00000000-6EB3-4363-A64C-7EC464943974}"/>
            </c:ext>
          </c:extLst>
        </c:ser>
        <c:ser>
          <c:idx val="1"/>
          <c:order val="1"/>
          <c:tx>
            <c:strRef>
              <c:f>Sheet2!$C$1</c:f>
              <c:strCache>
                <c:ptCount val="1"/>
                <c:pt idx="0">
                  <c:v>Non-peer</c:v>
                </c:pt>
              </c:strCache>
            </c:strRef>
          </c:tx>
          <c:spPr>
            <a:solidFill>
              <a:schemeClr val="bg1">
                <a:lumMod val="50000"/>
              </a:schemeClr>
            </a:solidFill>
            <a:ln>
              <a:noFill/>
            </a:ln>
            <a:effectLst/>
          </c:spPr>
          <c:invertIfNegative val="0"/>
          <c:cat>
            <c:numRef>
              <c:f>Sheet2!$A$70:$A$77</c:f>
              <c:numCache>
                <c:formatCode>General</c:formatCode>
                <c:ptCount val="8"/>
                <c:pt idx="0">
                  <c:v>2009</c:v>
                </c:pt>
                <c:pt idx="1">
                  <c:v>2010</c:v>
                </c:pt>
                <c:pt idx="2">
                  <c:v>2011</c:v>
                </c:pt>
                <c:pt idx="3">
                  <c:v>2012</c:v>
                </c:pt>
                <c:pt idx="4">
                  <c:v>2013</c:v>
                </c:pt>
                <c:pt idx="5">
                  <c:v>2014</c:v>
                </c:pt>
                <c:pt idx="6">
                  <c:v>2015</c:v>
                </c:pt>
                <c:pt idx="7">
                  <c:v>2016</c:v>
                </c:pt>
              </c:numCache>
            </c:numRef>
          </c:cat>
          <c:val>
            <c:numRef>
              <c:f>Sheet2!$C$2:$C$9</c:f>
              <c:numCache>
                <c:formatCode>General</c:formatCode>
                <c:ptCount val="8"/>
                <c:pt idx="0">
                  <c:v>3</c:v>
                </c:pt>
                <c:pt idx="1">
                  <c:v>1</c:v>
                </c:pt>
                <c:pt idx="2">
                  <c:v>2</c:v>
                </c:pt>
                <c:pt idx="3">
                  <c:v>0</c:v>
                </c:pt>
                <c:pt idx="4">
                  <c:v>1</c:v>
                </c:pt>
                <c:pt idx="5">
                  <c:v>3</c:v>
                </c:pt>
                <c:pt idx="6">
                  <c:v>2</c:v>
                </c:pt>
                <c:pt idx="7">
                  <c:v>2</c:v>
                </c:pt>
              </c:numCache>
            </c:numRef>
          </c:val>
          <c:extLst>
            <c:ext xmlns:c16="http://schemas.microsoft.com/office/drawing/2014/chart" uri="{C3380CC4-5D6E-409C-BE32-E72D297353CC}">
              <c16:uniqueId val="{00000001-6EB3-4363-A64C-7EC464943974}"/>
            </c:ext>
          </c:extLst>
        </c:ser>
        <c:ser>
          <c:idx val="2"/>
          <c:order val="2"/>
          <c:tx>
            <c:strRef>
              <c:f>Sheet2!$D$1</c:f>
              <c:strCache>
                <c:ptCount val="1"/>
                <c:pt idx="0">
                  <c:v>Peer</c:v>
                </c:pt>
              </c:strCache>
            </c:strRef>
          </c:tx>
          <c:spPr>
            <a:solidFill>
              <a:schemeClr val="tx1"/>
            </a:solidFill>
            <a:ln>
              <a:noFill/>
            </a:ln>
            <a:effectLst/>
          </c:spPr>
          <c:invertIfNegative val="0"/>
          <c:cat>
            <c:numRef>
              <c:f>Sheet2!$A$70:$A$77</c:f>
              <c:numCache>
                <c:formatCode>General</c:formatCode>
                <c:ptCount val="8"/>
                <c:pt idx="0">
                  <c:v>2009</c:v>
                </c:pt>
                <c:pt idx="1">
                  <c:v>2010</c:v>
                </c:pt>
                <c:pt idx="2">
                  <c:v>2011</c:v>
                </c:pt>
                <c:pt idx="3">
                  <c:v>2012</c:v>
                </c:pt>
                <c:pt idx="4">
                  <c:v>2013</c:v>
                </c:pt>
                <c:pt idx="5">
                  <c:v>2014</c:v>
                </c:pt>
                <c:pt idx="6">
                  <c:v>2015</c:v>
                </c:pt>
                <c:pt idx="7">
                  <c:v>2016</c:v>
                </c:pt>
              </c:numCache>
            </c:numRef>
          </c:cat>
          <c:val>
            <c:numRef>
              <c:f>Sheet2!$D$2:$D$9</c:f>
              <c:numCache>
                <c:formatCode>General</c:formatCode>
                <c:ptCount val="8"/>
                <c:pt idx="0">
                  <c:v>1</c:v>
                </c:pt>
                <c:pt idx="1">
                  <c:v>1</c:v>
                </c:pt>
                <c:pt idx="2">
                  <c:v>3</c:v>
                </c:pt>
                <c:pt idx="3">
                  <c:v>2</c:v>
                </c:pt>
                <c:pt idx="4">
                  <c:v>1</c:v>
                </c:pt>
                <c:pt idx="5">
                  <c:v>7</c:v>
                </c:pt>
                <c:pt idx="6">
                  <c:v>4</c:v>
                </c:pt>
                <c:pt idx="7">
                  <c:v>8</c:v>
                </c:pt>
              </c:numCache>
            </c:numRef>
          </c:val>
          <c:extLst>
            <c:ext xmlns:c16="http://schemas.microsoft.com/office/drawing/2014/chart" uri="{C3380CC4-5D6E-409C-BE32-E72D297353CC}">
              <c16:uniqueId val="{00000002-6EB3-4363-A64C-7EC464943974}"/>
            </c:ext>
          </c:extLst>
        </c:ser>
        <c:dLbls>
          <c:showLegendKey val="0"/>
          <c:showVal val="0"/>
          <c:showCatName val="0"/>
          <c:showSerName val="0"/>
          <c:showPercent val="0"/>
          <c:showBubbleSize val="0"/>
        </c:dLbls>
        <c:gapWidth val="150"/>
        <c:axId val="-1526103120"/>
        <c:axId val="-1526099776"/>
      </c:barChart>
      <c:lineChart>
        <c:grouping val="standard"/>
        <c:varyColors val="0"/>
        <c:ser>
          <c:idx val="3"/>
          <c:order val="3"/>
          <c:tx>
            <c:strRef>
              <c:f>Sheet2!$F$69</c:f>
              <c:strCache>
                <c:ptCount val="1"/>
                <c:pt idx="0">
                  <c:v>Success (%)</c:v>
                </c:pt>
              </c:strCache>
            </c:strRef>
          </c:tx>
          <c:spPr>
            <a:ln w="28575" cap="rnd">
              <a:solidFill>
                <a:schemeClr val="tx1">
                  <a:lumMod val="65000"/>
                  <a:lumOff val="35000"/>
                </a:schemeClr>
              </a:solidFill>
              <a:round/>
            </a:ln>
            <a:effectLst/>
          </c:spPr>
          <c:marker>
            <c:symbol val="none"/>
          </c:marker>
          <c:cat>
            <c:numRef>
              <c:f>Sheet2!$A$70:$A$77</c:f>
              <c:numCache>
                <c:formatCode>General</c:formatCode>
                <c:ptCount val="8"/>
                <c:pt idx="0">
                  <c:v>2009</c:v>
                </c:pt>
                <c:pt idx="1">
                  <c:v>2010</c:v>
                </c:pt>
                <c:pt idx="2">
                  <c:v>2011</c:v>
                </c:pt>
                <c:pt idx="3">
                  <c:v>2012</c:v>
                </c:pt>
                <c:pt idx="4">
                  <c:v>2013</c:v>
                </c:pt>
                <c:pt idx="5">
                  <c:v>2014</c:v>
                </c:pt>
                <c:pt idx="6">
                  <c:v>2015</c:v>
                </c:pt>
                <c:pt idx="7">
                  <c:v>2016</c:v>
                </c:pt>
              </c:numCache>
            </c:numRef>
          </c:cat>
          <c:val>
            <c:numRef>
              <c:f>Sheet2!$F$70:$F$77</c:f>
              <c:numCache>
                <c:formatCode>General</c:formatCode>
                <c:ptCount val="8"/>
                <c:pt idx="0">
                  <c:v>29.411764705882359</c:v>
                </c:pt>
                <c:pt idx="1">
                  <c:v>60</c:v>
                </c:pt>
                <c:pt idx="2">
                  <c:v>52.380952380952401</c:v>
                </c:pt>
                <c:pt idx="3">
                  <c:v>50</c:v>
                </c:pt>
                <c:pt idx="4">
                  <c:v>66.666666666666643</c:v>
                </c:pt>
                <c:pt idx="5">
                  <c:v>60</c:v>
                </c:pt>
                <c:pt idx="6">
                  <c:v>35.294117647058862</c:v>
                </c:pt>
                <c:pt idx="7">
                  <c:v>57.142857142857139</c:v>
                </c:pt>
              </c:numCache>
            </c:numRef>
          </c:val>
          <c:smooth val="0"/>
          <c:extLst>
            <c:ext xmlns:c16="http://schemas.microsoft.com/office/drawing/2014/chart" uri="{C3380CC4-5D6E-409C-BE32-E72D297353CC}">
              <c16:uniqueId val="{00000003-6EB3-4363-A64C-7EC464943974}"/>
            </c:ext>
          </c:extLst>
        </c:ser>
        <c:ser>
          <c:idx val="4"/>
          <c:order val="4"/>
          <c:tx>
            <c:strRef>
              <c:f>Sheet2!$H$69</c:f>
              <c:strCache>
                <c:ptCount val="1"/>
                <c:pt idx="0">
                  <c:v>Failure (%)</c:v>
                </c:pt>
              </c:strCache>
            </c:strRef>
          </c:tx>
          <c:spPr>
            <a:ln w="28575" cap="rnd">
              <a:solidFill>
                <a:schemeClr val="bg1">
                  <a:lumMod val="65000"/>
                </a:schemeClr>
              </a:solidFill>
              <a:round/>
            </a:ln>
            <a:effectLst/>
          </c:spPr>
          <c:marker>
            <c:symbol val="none"/>
          </c:marker>
          <c:cat>
            <c:numRef>
              <c:f>Sheet2!$A$70:$A$77</c:f>
              <c:numCache>
                <c:formatCode>General</c:formatCode>
                <c:ptCount val="8"/>
                <c:pt idx="0">
                  <c:v>2009</c:v>
                </c:pt>
                <c:pt idx="1">
                  <c:v>2010</c:v>
                </c:pt>
                <c:pt idx="2">
                  <c:v>2011</c:v>
                </c:pt>
                <c:pt idx="3">
                  <c:v>2012</c:v>
                </c:pt>
                <c:pt idx="4">
                  <c:v>2013</c:v>
                </c:pt>
                <c:pt idx="5">
                  <c:v>2014</c:v>
                </c:pt>
                <c:pt idx="6">
                  <c:v>2015</c:v>
                </c:pt>
                <c:pt idx="7">
                  <c:v>2016</c:v>
                </c:pt>
              </c:numCache>
            </c:numRef>
          </c:cat>
          <c:val>
            <c:numRef>
              <c:f>Sheet2!$H$70:$H$77</c:f>
              <c:numCache>
                <c:formatCode>General</c:formatCode>
                <c:ptCount val="8"/>
                <c:pt idx="0">
                  <c:v>35.294117647058862</c:v>
                </c:pt>
                <c:pt idx="1">
                  <c:v>30</c:v>
                </c:pt>
                <c:pt idx="2">
                  <c:v>28.571428571428569</c:v>
                </c:pt>
                <c:pt idx="3">
                  <c:v>37.5</c:v>
                </c:pt>
                <c:pt idx="4">
                  <c:v>33.333333333333329</c:v>
                </c:pt>
                <c:pt idx="5">
                  <c:v>6.666666666666667</c:v>
                </c:pt>
                <c:pt idx="6">
                  <c:v>41.17647058823529</c:v>
                </c:pt>
                <c:pt idx="7">
                  <c:v>35.714285714285722</c:v>
                </c:pt>
              </c:numCache>
            </c:numRef>
          </c:val>
          <c:smooth val="0"/>
          <c:extLst>
            <c:ext xmlns:c16="http://schemas.microsoft.com/office/drawing/2014/chart" uri="{C3380CC4-5D6E-409C-BE32-E72D297353CC}">
              <c16:uniqueId val="{00000004-6EB3-4363-A64C-7EC464943974}"/>
            </c:ext>
          </c:extLst>
        </c:ser>
        <c:ser>
          <c:idx val="5"/>
          <c:order val="5"/>
          <c:tx>
            <c:strRef>
              <c:f>Sheet2!$G$69</c:f>
              <c:strCache>
                <c:ptCount val="1"/>
                <c:pt idx="0">
                  <c:v>Mixed (%)</c:v>
                </c:pt>
              </c:strCache>
            </c:strRef>
          </c:tx>
          <c:spPr>
            <a:ln w="28575" cap="rnd">
              <a:solidFill>
                <a:schemeClr val="bg1">
                  <a:lumMod val="85000"/>
                </a:schemeClr>
              </a:solidFill>
              <a:round/>
            </a:ln>
            <a:effectLst/>
          </c:spPr>
          <c:marker>
            <c:symbol val="none"/>
          </c:marker>
          <c:val>
            <c:numRef>
              <c:f>Sheet2!$G$70:$G$77</c:f>
              <c:numCache>
                <c:formatCode>General</c:formatCode>
                <c:ptCount val="8"/>
                <c:pt idx="0">
                  <c:v>35.294117647058862</c:v>
                </c:pt>
                <c:pt idx="1">
                  <c:v>10</c:v>
                </c:pt>
                <c:pt idx="2">
                  <c:v>19.04761904761904</c:v>
                </c:pt>
                <c:pt idx="3">
                  <c:v>12.5</c:v>
                </c:pt>
                <c:pt idx="4">
                  <c:v>0</c:v>
                </c:pt>
                <c:pt idx="5">
                  <c:v>33.333333333333329</c:v>
                </c:pt>
                <c:pt idx="6">
                  <c:v>23.52941176470588</c:v>
                </c:pt>
                <c:pt idx="7">
                  <c:v>7.1428571428571406</c:v>
                </c:pt>
              </c:numCache>
            </c:numRef>
          </c:val>
          <c:smooth val="0"/>
          <c:extLst>
            <c:ext xmlns:c16="http://schemas.microsoft.com/office/drawing/2014/chart" uri="{C3380CC4-5D6E-409C-BE32-E72D297353CC}">
              <c16:uniqueId val="{00000005-6EB3-4363-A64C-7EC464943974}"/>
            </c:ext>
          </c:extLst>
        </c:ser>
        <c:dLbls>
          <c:showLegendKey val="0"/>
          <c:showVal val="0"/>
          <c:showCatName val="0"/>
          <c:showSerName val="0"/>
          <c:showPercent val="0"/>
          <c:showBubbleSize val="0"/>
        </c:dLbls>
        <c:marker val="1"/>
        <c:smooth val="0"/>
        <c:axId val="-1526088752"/>
        <c:axId val="-1526094592"/>
      </c:lineChart>
      <c:catAx>
        <c:axId val="-152610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526099776"/>
        <c:crosses val="autoZero"/>
        <c:auto val="1"/>
        <c:lblAlgn val="ctr"/>
        <c:lblOffset val="100"/>
        <c:noMultiLvlLbl val="0"/>
      </c:catAx>
      <c:valAx>
        <c:axId val="-1526099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publications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b-NO"/>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526103120"/>
        <c:crosses val="autoZero"/>
        <c:crossBetween val="between"/>
      </c:valAx>
      <c:valAx>
        <c:axId val="-152609459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b-NO"/>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526088752"/>
        <c:crosses val="max"/>
        <c:crossBetween val="between"/>
      </c:valAx>
      <c:catAx>
        <c:axId val="-1526088752"/>
        <c:scaling>
          <c:orientation val="minMax"/>
        </c:scaling>
        <c:delete val="1"/>
        <c:axPos val="b"/>
        <c:numFmt formatCode="General" sourceLinked="1"/>
        <c:majorTickMark val="out"/>
        <c:minorTickMark val="none"/>
        <c:tickLblPos val="nextTo"/>
        <c:crossAx val="-1526094592"/>
        <c:crosses val="autoZero"/>
        <c:auto val="1"/>
        <c:lblAlgn val="ctr"/>
        <c:lblOffset val="100"/>
        <c:noMultiLvlLbl val="0"/>
      </c:catAx>
      <c:spPr>
        <a:noFill/>
        <a:ln>
          <a:noFill/>
        </a:ln>
        <a:effectLst/>
      </c:spPr>
    </c:plotArea>
    <c:legend>
      <c:legendPos val="r"/>
      <c:layout>
        <c:manualLayout>
          <c:xMode val="edge"/>
          <c:yMode val="edge"/>
          <c:x val="0.84125128576774"/>
          <c:y val="0.32304029475535601"/>
          <c:w val="0.15657184367052601"/>
          <c:h val="0.452681535158327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percentStacked"/>
        <c:varyColors val="0"/>
        <c:ser>
          <c:idx val="0"/>
          <c:order val="0"/>
          <c:tx>
            <c:strRef>
              <c:f>Tabelle1!$B$1</c:f>
              <c:strCache>
                <c:ptCount val="1"/>
                <c:pt idx="0">
                  <c:v>No Contribution</c:v>
                </c:pt>
              </c:strCache>
            </c:strRef>
          </c:tx>
          <c:spPr>
            <a:solidFill>
              <a:schemeClr val="bg1">
                <a:lumMod val="85000"/>
              </a:schemeClr>
            </a:solidFill>
          </c:spPr>
          <c:invertIfNegative val="0"/>
          <c:dLbls>
            <c:dLbl>
              <c:idx val="2"/>
              <c:layout>
                <c:manualLayout>
                  <c:x val="1.13899077525093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F10-495D-8AE2-149709EAE2C6}"/>
                </c:ext>
              </c:extLst>
            </c:dLbl>
            <c:dLbl>
              <c:idx val="3"/>
              <c:layout>
                <c:manualLayout>
                  <c:x val="9.111926202007460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10-495D-8AE2-149709EAE2C6}"/>
                </c:ext>
              </c:extLst>
            </c:dLbl>
            <c:dLbl>
              <c:idx val="4"/>
              <c:layout>
                <c:manualLayout>
                  <c:x val="9.111926202007500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F10-495D-8AE2-149709EAE2C6}"/>
                </c:ext>
              </c:extLst>
            </c:dLbl>
            <c:dLbl>
              <c:idx val="6"/>
              <c:delete val="1"/>
              <c:extLst>
                <c:ext xmlns:c15="http://schemas.microsoft.com/office/drawing/2012/chart" uri="{CE6537A1-D6FC-4f65-9D91-7224C49458BB}"/>
                <c:ext xmlns:c16="http://schemas.microsoft.com/office/drawing/2014/chart" uri="{C3380CC4-5D6E-409C-BE32-E72D297353CC}">
                  <c16:uniqueId val="{00000003-0F10-495D-8AE2-149709EAE2C6}"/>
                </c:ext>
              </c:extLst>
            </c:dLbl>
            <c:dLbl>
              <c:idx val="7"/>
              <c:delete val="1"/>
              <c:extLst>
                <c:ext xmlns:c15="http://schemas.microsoft.com/office/drawing/2012/chart" uri="{CE6537A1-D6FC-4f65-9D91-7224C49458BB}"/>
                <c:ext xmlns:c16="http://schemas.microsoft.com/office/drawing/2014/chart" uri="{C3380CC4-5D6E-409C-BE32-E72D297353CC}">
                  <c16:uniqueId val="{00000004-0F10-495D-8AE2-149709EAE2C6}"/>
                </c:ext>
              </c:extLst>
            </c:dLbl>
            <c:dLbl>
              <c:idx val="8"/>
              <c:delete val="1"/>
              <c:extLst>
                <c:ext xmlns:c15="http://schemas.microsoft.com/office/drawing/2012/chart" uri="{CE6537A1-D6FC-4f65-9D91-7224C49458BB}"/>
                <c:ext xmlns:c16="http://schemas.microsoft.com/office/drawing/2014/chart" uri="{C3380CC4-5D6E-409C-BE32-E72D297353CC}">
                  <c16:uniqueId val="{00000005-0F10-495D-8AE2-149709EAE2C6}"/>
                </c:ext>
              </c:extLst>
            </c:dLbl>
            <c:numFmt formatCode="0%" sourceLinked="0"/>
            <c:spPr>
              <a:noFill/>
              <a:ln>
                <a:noFill/>
              </a:ln>
              <a:effectLst/>
            </c:spPr>
            <c:txPr>
              <a:bodyPr/>
              <a:lstStyle/>
              <a:p>
                <a:pPr>
                  <a:defRPr sz="900"/>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Tabelle1!$A$2:$A$10</c:f>
              <c:strCache>
                <c:ptCount val="9"/>
                <c:pt idx="0">
                  <c:v>Better Management of Ecological Effects</c:v>
                </c:pt>
                <c:pt idx="1">
                  <c:v>Efficient Use of Revenues</c:v>
                </c:pt>
                <c:pt idx="2">
                  <c:v>Ease of Doing Business</c:v>
                </c:pt>
                <c:pt idx="3">
                  <c:v>Better Management of Social Tensions</c:v>
                </c:pt>
                <c:pt idx="4">
                  <c:v>Democratic Accountability of Governement</c:v>
                </c:pt>
                <c:pt idx="5">
                  <c:v>Increase of Government Revenues</c:v>
                </c:pt>
                <c:pt idx="6">
                  <c:v>Informed Public Debate</c:v>
                </c:pt>
                <c:pt idx="7">
                  <c:v>Improved Fiscal Transparency</c:v>
                </c:pt>
                <c:pt idx="8">
                  <c:v>Reconciliation of Payments</c:v>
                </c:pt>
              </c:strCache>
            </c:strRef>
          </c:cat>
          <c:val>
            <c:numRef>
              <c:f>Tabelle1!$B$2:$B$10</c:f>
              <c:numCache>
                <c:formatCode>0.0%</c:formatCode>
                <c:ptCount val="9"/>
                <c:pt idx="0">
                  <c:v>0.317</c:v>
                </c:pt>
                <c:pt idx="1">
                  <c:v>0.17100000000000001</c:v>
                </c:pt>
                <c:pt idx="2">
                  <c:v>0.128</c:v>
                </c:pt>
                <c:pt idx="3">
                  <c:v>9.5000000000000001E-2</c:v>
                </c:pt>
                <c:pt idx="4">
                  <c:v>0.106</c:v>
                </c:pt>
                <c:pt idx="5">
                  <c:v>0.20300000000000001</c:v>
                </c:pt>
                <c:pt idx="6">
                  <c:v>5.8999999999999997E-2</c:v>
                </c:pt>
                <c:pt idx="7">
                  <c:v>1.2E-2</c:v>
                </c:pt>
                <c:pt idx="8">
                  <c:v>1.2E-2</c:v>
                </c:pt>
              </c:numCache>
            </c:numRef>
          </c:val>
          <c:extLst>
            <c:ext xmlns:c16="http://schemas.microsoft.com/office/drawing/2014/chart" uri="{C3380CC4-5D6E-409C-BE32-E72D297353CC}">
              <c16:uniqueId val="{00000006-0F10-495D-8AE2-149709EAE2C6}"/>
            </c:ext>
          </c:extLst>
        </c:ser>
        <c:ser>
          <c:idx val="1"/>
          <c:order val="1"/>
          <c:tx>
            <c:strRef>
              <c:f>Tabelle1!$C$1</c:f>
              <c:strCache>
                <c:ptCount val="1"/>
                <c:pt idx="0">
                  <c:v>Small/medium contribution</c:v>
                </c:pt>
              </c:strCache>
            </c:strRef>
          </c:tx>
          <c:spPr>
            <a:solidFill>
              <a:schemeClr val="bg1">
                <a:lumMod val="75000"/>
              </a:schemeClr>
            </a:solidFill>
          </c:spPr>
          <c:invertIfNegative val="0"/>
          <c:dLbls>
            <c:dLbl>
              <c:idx val="8"/>
              <c:layout>
                <c:manualLayout>
                  <c:x val="6.854751412124350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F10-495D-8AE2-149709EAE2C6}"/>
                </c:ext>
              </c:extLst>
            </c:dLbl>
            <c:numFmt formatCode="0%" sourceLinked="0"/>
            <c:spPr>
              <a:noFill/>
              <a:ln>
                <a:noFill/>
              </a:ln>
              <a:effectLst/>
            </c:spPr>
            <c:txPr>
              <a:bodyPr/>
              <a:lstStyle/>
              <a:p>
                <a:pPr>
                  <a:defRPr sz="900"/>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Tabelle1!$A$2:$A$10</c:f>
              <c:strCache>
                <c:ptCount val="9"/>
                <c:pt idx="0">
                  <c:v>Better Management of Ecological Effects</c:v>
                </c:pt>
                <c:pt idx="1">
                  <c:v>Efficient Use of Revenues</c:v>
                </c:pt>
                <c:pt idx="2">
                  <c:v>Ease of Doing Business</c:v>
                </c:pt>
                <c:pt idx="3">
                  <c:v>Better Management of Social Tensions</c:v>
                </c:pt>
                <c:pt idx="4">
                  <c:v>Democratic Accountability of Governement</c:v>
                </c:pt>
                <c:pt idx="5">
                  <c:v>Increase of Government Revenues</c:v>
                </c:pt>
                <c:pt idx="6">
                  <c:v>Informed Public Debate</c:v>
                </c:pt>
                <c:pt idx="7">
                  <c:v>Improved Fiscal Transparency</c:v>
                </c:pt>
                <c:pt idx="8">
                  <c:v>Reconciliation of Payments</c:v>
                </c:pt>
              </c:strCache>
            </c:strRef>
          </c:cat>
          <c:val>
            <c:numRef>
              <c:f>Tabelle1!$C$2:$C$10</c:f>
              <c:numCache>
                <c:formatCode>0.0%</c:formatCode>
                <c:ptCount val="9"/>
                <c:pt idx="0">
                  <c:v>0.60899999999999999</c:v>
                </c:pt>
                <c:pt idx="1">
                  <c:v>0.63400000000000001</c:v>
                </c:pt>
                <c:pt idx="2">
                  <c:v>0.628</c:v>
                </c:pt>
                <c:pt idx="3">
                  <c:v>0.66600000000000004</c:v>
                </c:pt>
                <c:pt idx="4">
                  <c:v>0.57599999999999996</c:v>
                </c:pt>
                <c:pt idx="5">
                  <c:v>0.39200000000000002</c:v>
                </c:pt>
                <c:pt idx="6">
                  <c:v>0.42399999999999999</c:v>
                </c:pt>
                <c:pt idx="7">
                  <c:v>0.39100000000000001</c:v>
                </c:pt>
                <c:pt idx="8">
                  <c:v>0.13200000000000001</c:v>
                </c:pt>
              </c:numCache>
            </c:numRef>
          </c:val>
          <c:extLst>
            <c:ext xmlns:c16="http://schemas.microsoft.com/office/drawing/2014/chart" uri="{C3380CC4-5D6E-409C-BE32-E72D297353CC}">
              <c16:uniqueId val="{00000008-0F10-495D-8AE2-149709EAE2C6}"/>
            </c:ext>
          </c:extLst>
        </c:ser>
        <c:ser>
          <c:idx val="2"/>
          <c:order val="2"/>
          <c:tx>
            <c:strRef>
              <c:f>Tabelle1!$D$1</c:f>
              <c:strCache>
                <c:ptCount val="1"/>
                <c:pt idx="0">
                  <c:v>High contribution</c:v>
                </c:pt>
              </c:strCache>
            </c:strRef>
          </c:tx>
          <c:invertIfNegative val="0"/>
          <c:dLbls>
            <c:numFmt formatCode="0%" sourceLinked="0"/>
            <c:spPr>
              <a:noFill/>
              <a:ln>
                <a:noFill/>
              </a:ln>
              <a:effectLst/>
            </c:spPr>
            <c:txPr>
              <a:bodyPr/>
              <a:lstStyle/>
              <a:p>
                <a:pPr>
                  <a:defRPr sz="900"/>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Tabelle1!$A$2:$A$10</c:f>
              <c:strCache>
                <c:ptCount val="9"/>
                <c:pt idx="0">
                  <c:v>Better Management of Ecological Effects</c:v>
                </c:pt>
                <c:pt idx="1">
                  <c:v>Efficient Use of Revenues</c:v>
                </c:pt>
                <c:pt idx="2">
                  <c:v>Ease of Doing Business</c:v>
                </c:pt>
                <c:pt idx="3">
                  <c:v>Better Management of Social Tensions</c:v>
                </c:pt>
                <c:pt idx="4">
                  <c:v>Democratic Accountability of Governement</c:v>
                </c:pt>
                <c:pt idx="5">
                  <c:v>Increase of Government Revenues</c:v>
                </c:pt>
                <c:pt idx="6">
                  <c:v>Informed Public Debate</c:v>
                </c:pt>
                <c:pt idx="7">
                  <c:v>Improved Fiscal Transparency</c:v>
                </c:pt>
                <c:pt idx="8">
                  <c:v>Reconciliation of Payments</c:v>
                </c:pt>
              </c:strCache>
            </c:strRef>
          </c:cat>
          <c:val>
            <c:numRef>
              <c:f>Tabelle1!$D$2:$D$10</c:f>
              <c:numCache>
                <c:formatCode>0.0%</c:formatCode>
                <c:ptCount val="9"/>
                <c:pt idx="0">
                  <c:v>7.2999999999999995E-2</c:v>
                </c:pt>
                <c:pt idx="1">
                  <c:v>0.19500000000000001</c:v>
                </c:pt>
                <c:pt idx="2">
                  <c:v>0.24299999999999999</c:v>
                </c:pt>
                <c:pt idx="3">
                  <c:v>0.23799999999999999</c:v>
                </c:pt>
                <c:pt idx="4">
                  <c:v>0.318</c:v>
                </c:pt>
                <c:pt idx="5">
                  <c:v>0.40500000000000003</c:v>
                </c:pt>
                <c:pt idx="6">
                  <c:v>0.51700000000000002</c:v>
                </c:pt>
                <c:pt idx="7">
                  <c:v>0.59799999999999998</c:v>
                </c:pt>
                <c:pt idx="8">
                  <c:v>0.876</c:v>
                </c:pt>
              </c:numCache>
            </c:numRef>
          </c:val>
          <c:extLst>
            <c:ext xmlns:c16="http://schemas.microsoft.com/office/drawing/2014/chart" uri="{C3380CC4-5D6E-409C-BE32-E72D297353CC}">
              <c16:uniqueId val="{00000009-0F10-495D-8AE2-149709EAE2C6}"/>
            </c:ext>
          </c:extLst>
        </c:ser>
        <c:dLbls>
          <c:showLegendKey val="0"/>
          <c:showVal val="0"/>
          <c:showCatName val="0"/>
          <c:showSerName val="0"/>
          <c:showPercent val="0"/>
          <c:showBubbleSize val="0"/>
        </c:dLbls>
        <c:gapWidth val="150"/>
        <c:overlap val="100"/>
        <c:axId val="-1575739120"/>
        <c:axId val="-1538359104"/>
      </c:barChart>
      <c:catAx>
        <c:axId val="-1575739120"/>
        <c:scaling>
          <c:orientation val="minMax"/>
        </c:scaling>
        <c:delete val="0"/>
        <c:axPos val="l"/>
        <c:numFmt formatCode="General" sourceLinked="0"/>
        <c:majorTickMark val="out"/>
        <c:minorTickMark val="none"/>
        <c:tickLblPos val="nextTo"/>
        <c:txPr>
          <a:bodyPr/>
          <a:lstStyle/>
          <a:p>
            <a:pPr>
              <a:defRPr sz="900"/>
            </a:pPr>
            <a:endParaRPr lang="nb-NO"/>
          </a:p>
        </c:txPr>
        <c:crossAx val="-1538359104"/>
        <c:crosses val="autoZero"/>
        <c:auto val="1"/>
        <c:lblAlgn val="ctr"/>
        <c:lblOffset val="100"/>
        <c:noMultiLvlLbl val="0"/>
      </c:catAx>
      <c:valAx>
        <c:axId val="-1538359104"/>
        <c:scaling>
          <c:orientation val="minMax"/>
        </c:scaling>
        <c:delete val="0"/>
        <c:axPos val="b"/>
        <c:majorGridlines/>
        <c:numFmt formatCode="0%" sourceLinked="1"/>
        <c:majorTickMark val="out"/>
        <c:minorTickMark val="none"/>
        <c:tickLblPos val="nextTo"/>
        <c:crossAx val="-15757391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spPr>
            <a:solidFill>
              <a:schemeClr val="bg1">
                <a:lumMod val="50000"/>
              </a:schemeClr>
            </a:solidFill>
            <a:ln>
              <a:noFill/>
            </a:ln>
            <a:effectLst/>
          </c:spPr>
          <c:invertIfNegative val="0"/>
          <c:cat>
            <c:numRef>
              <c:f>'MEDIA REPORTS'!$B$3:$B$15</c:f>
              <c:numCache>
                <c:formatCode>General</c:formatCod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numCache>
            </c:numRef>
          </c:cat>
          <c:val>
            <c:numRef>
              <c:f>'MEDIA REPORTS'!$C$3:$C$15</c:f>
              <c:numCache>
                <c:formatCode>General</c:formatCode>
                <c:ptCount val="13"/>
                <c:pt idx="0">
                  <c:v>105</c:v>
                </c:pt>
                <c:pt idx="1">
                  <c:v>178</c:v>
                </c:pt>
                <c:pt idx="2">
                  <c:v>346</c:v>
                </c:pt>
                <c:pt idx="3">
                  <c:v>377</c:v>
                </c:pt>
                <c:pt idx="4">
                  <c:v>371</c:v>
                </c:pt>
                <c:pt idx="5">
                  <c:v>468</c:v>
                </c:pt>
                <c:pt idx="6">
                  <c:v>424</c:v>
                </c:pt>
                <c:pt idx="7">
                  <c:v>636</c:v>
                </c:pt>
                <c:pt idx="8">
                  <c:v>651</c:v>
                </c:pt>
                <c:pt idx="9">
                  <c:v>756</c:v>
                </c:pt>
                <c:pt idx="10">
                  <c:v>1010</c:v>
                </c:pt>
                <c:pt idx="11">
                  <c:v>792</c:v>
                </c:pt>
                <c:pt idx="12">
                  <c:v>800</c:v>
                </c:pt>
              </c:numCache>
            </c:numRef>
          </c:val>
          <c:extLst>
            <c:ext xmlns:c16="http://schemas.microsoft.com/office/drawing/2014/chart" uri="{C3380CC4-5D6E-409C-BE32-E72D297353CC}">
              <c16:uniqueId val="{00000000-345F-4393-9505-2921A70B5D2B}"/>
            </c:ext>
          </c:extLst>
        </c:ser>
        <c:dLbls>
          <c:showLegendKey val="0"/>
          <c:showVal val="0"/>
          <c:showCatName val="0"/>
          <c:showSerName val="0"/>
          <c:showPercent val="0"/>
          <c:showBubbleSize val="0"/>
        </c:dLbls>
        <c:gapWidth val="219"/>
        <c:overlap val="-27"/>
        <c:axId val="-1538610816"/>
        <c:axId val="-1555081440"/>
      </c:barChart>
      <c:catAx>
        <c:axId val="-153861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555081440"/>
        <c:crosses val="autoZero"/>
        <c:auto val="1"/>
        <c:lblAlgn val="ctr"/>
        <c:lblOffset val="100"/>
        <c:noMultiLvlLbl val="0"/>
      </c:catAx>
      <c:valAx>
        <c:axId val="-1555081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538610816"/>
        <c:crosses val="autoZero"/>
        <c:crossBetween val="between"/>
      </c:valAx>
      <c:spPr>
        <a:noFill/>
        <a:ln>
          <a:noFill/>
        </a:ln>
        <a:effectLst/>
      </c:spPr>
    </c:plotArea>
    <c:plotVisOnly val="1"/>
    <c:dispBlanksAs val="gap"/>
    <c:showDLblsOverMax val="0"/>
  </c:chart>
  <c:spPr>
    <a:solidFill>
      <a:schemeClr val="bg1"/>
    </a:solidFill>
    <a:ln w="3175" cap="flat" cmpd="sng" algn="ctr">
      <a:solidFill>
        <a:schemeClr val="tx1"/>
      </a:solidFill>
      <a:round/>
    </a:ln>
    <a:effectLst/>
  </c:spPr>
  <c:txPr>
    <a:bodyPr/>
    <a:lstStyle/>
    <a:p>
      <a:pPr>
        <a:defRPr/>
      </a:pPr>
      <a:endParaRPr lang="nb-N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720758247344202E-2"/>
          <c:y val="5.1534317170297501E-2"/>
          <c:w val="0.91215992499807197"/>
          <c:h val="0.732614730256399"/>
        </c:manualLayout>
      </c:layout>
      <c:barChart>
        <c:barDir val="col"/>
        <c:grouping val="stacked"/>
        <c:varyColors val="0"/>
        <c:ser>
          <c:idx val="0"/>
          <c:order val="0"/>
          <c:tx>
            <c:strRef>
              <c:f>Sheet2!$B$57</c:f>
              <c:strCache>
                <c:ptCount val="1"/>
                <c:pt idx="0">
                  <c:v>Commited </c:v>
                </c:pt>
              </c:strCache>
            </c:strRef>
          </c:tx>
          <c:spPr>
            <a:solidFill>
              <a:schemeClr val="bg1">
                <a:lumMod val="85000"/>
              </a:schemeClr>
            </a:solidFill>
            <a:ln>
              <a:noFill/>
            </a:ln>
            <a:effectLst/>
          </c:spPr>
          <c:invertIfNegative val="0"/>
          <c:cat>
            <c:numRef>
              <c:f>Sheet2!$A$58:$A$70</c:f>
              <c:numCache>
                <c:formatCode>General</c:formatCod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numCache>
            </c:numRef>
          </c:cat>
          <c:val>
            <c:numRef>
              <c:f>Sheet2!$B$58:$B$70</c:f>
              <c:numCache>
                <c:formatCode>General</c:formatCode>
                <c:ptCount val="13"/>
                <c:pt idx="0">
                  <c:v>3</c:v>
                </c:pt>
                <c:pt idx="1">
                  <c:v>5</c:v>
                </c:pt>
                <c:pt idx="2">
                  <c:v>12</c:v>
                </c:pt>
                <c:pt idx="3">
                  <c:v>15</c:v>
                </c:pt>
                <c:pt idx="4">
                  <c:v>10</c:v>
                </c:pt>
                <c:pt idx="5">
                  <c:v>9</c:v>
                </c:pt>
                <c:pt idx="6">
                  <c:v>9</c:v>
                </c:pt>
                <c:pt idx="7">
                  <c:v>6</c:v>
                </c:pt>
                <c:pt idx="8">
                  <c:v>6</c:v>
                </c:pt>
                <c:pt idx="9">
                  <c:v>10</c:v>
                </c:pt>
                <c:pt idx="10">
                  <c:v>8</c:v>
                </c:pt>
                <c:pt idx="11">
                  <c:v>5</c:v>
                </c:pt>
                <c:pt idx="12">
                  <c:v>6</c:v>
                </c:pt>
              </c:numCache>
            </c:numRef>
          </c:val>
          <c:extLst>
            <c:ext xmlns:c16="http://schemas.microsoft.com/office/drawing/2014/chart" uri="{C3380CC4-5D6E-409C-BE32-E72D297353CC}">
              <c16:uniqueId val="{00000000-FDEB-44AF-B7B6-B0453EDAA6B7}"/>
            </c:ext>
          </c:extLst>
        </c:ser>
        <c:ser>
          <c:idx val="1"/>
          <c:order val="1"/>
          <c:tx>
            <c:strRef>
              <c:f>Sheet2!$C$57</c:f>
              <c:strCache>
                <c:ptCount val="1"/>
                <c:pt idx="0">
                  <c:v>Candidate</c:v>
                </c:pt>
              </c:strCache>
            </c:strRef>
          </c:tx>
          <c:spPr>
            <a:solidFill>
              <a:schemeClr val="bg1">
                <a:lumMod val="65000"/>
              </a:schemeClr>
            </a:solidFill>
            <a:ln>
              <a:noFill/>
            </a:ln>
            <a:effectLst/>
          </c:spPr>
          <c:invertIfNegative val="0"/>
          <c:cat>
            <c:numRef>
              <c:f>Sheet2!$A$58:$A$70</c:f>
              <c:numCache>
                <c:formatCode>General</c:formatCod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numCache>
            </c:numRef>
          </c:cat>
          <c:val>
            <c:numRef>
              <c:f>Sheet2!$C$58:$C$70</c:f>
              <c:numCache>
                <c:formatCode>General</c:formatCode>
                <c:ptCount val="13"/>
                <c:pt idx="4">
                  <c:v>13</c:v>
                </c:pt>
                <c:pt idx="5">
                  <c:v>20</c:v>
                </c:pt>
                <c:pt idx="6">
                  <c:v>24</c:v>
                </c:pt>
                <c:pt idx="7">
                  <c:v>27</c:v>
                </c:pt>
                <c:pt idx="8">
                  <c:v>22</c:v>
                </c:pt>
                <c:pt idx="9">
                  <c:v>17</c:v>
                </c:pt>
                <c:pt idx="10">
                  <c:v>15</c:v>
                </c:pt>
                <c:pt idx="11">
                  <c:v>15</c:v>
                </c:pt>
                <c:pt idx="12">
                  <c:v>15</c:v>
                </c:pt>
              </c:numCache>
            </c:numRef>
          </c:val>
          <c:extLst>
            <c:ext xmlns:c16="http://schemas.microsoft.com/office/drawing/2014/chart" uri="{C3380CC4-5D6E-409C-BE32-E72D297353CC}">
              <c16:uniqueId val="{00000001-FDEB-44AF-B7B6-B0453EDAA6B7}"/>
            </c:ext>
          </c:extLst>
        </c:ser>
        <c:ser>
          <c:idx val="2"/>
          <c:order val="2"/>
          <c:tx>
            <c:strRef>
              <c:f>Sheet2!$D$57</c:f>
              <c:strCache>
                <c:ptCount val="1"/>
                <c:pt idx="0">
                  <c:v>Compliant</c:v>
                </c:pt>
              </c:strCache>
            </c:strRef>
          </c:tx>
          <c:spPr>
            <a:solidFill>
              <a:schemeClr val="tx1">
                <a:lumMod val="65000"/>
                <a:lumOff val="35000"/>
              </a:schemeClr>
            </a:solidFill>
            <a:ln>
              <a:noFill/>
            </a:ln>
            <a:effectLst/>
          </c:spPr>
          <c:invertIfNegative val="0"/>
          <c:cat>
            <c:numRef>
              <c:f>Sheet2!$A$58:$A$70</c:f>
              <c:numCache>
                <c:formatCode>General</c:formatCod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numCache>
            </c:numRef>
          </c:cat>
          <c:val>
            <c:numRef>
              <c:f>Sheet2!$D$58:$D$70</c:f>
              <c:numCache>
                <c:formatCode>General</c:formatCode>
                <c:ptCount val="13"/>
                <c:pt idx="6">
                  <c:v>2</c:v>
                </c:pt>
                <c:pt idx="7">
                  <c:v>5</c:v>
                </c:pt>
                <c:pt idx="8">
                  <c:v>12</c:v>
                </c:pt>
                <c:pt idx="9">
                  <c:v>18</c:v>
                </c:pt>
                <c:pt idx="10">
                  <c:v>25</c:v>
                </c:pt>
                <c:pt idx="11">
                  <c:v>31</c:v>
                </c:pt>
                <c:pt idx="12">
                  <c:v>32</c:v>
                </c:pt>
              </c:numCache>
            </c:numRef>
          </c:val>
          <c:extLst>
            <c:ext xmlns:c16="http://schemas.microsoft.com/office/drawing/2014/chart" uri="{C3380CC4-5D6E-409C-BE32-E72D297353CC}">
              <c16:uniqueId val="{00000002-FDEB-44AF-B7B6-B0453EDAA6B7}"/>
            </c:ext>
          </c:extLst>
        </c:ser>
        <c:dLbls>
          <c:showLegendKey val="0"/>
          <c:showVal val="0"/>
          <c:showCatName val="0"/>
          <c:showSerName val="0"/>
          <c:showPercent val="0"/>
          <c:showBubbleSize val="0"/>
        </c:dLbls>
        <c:gapWidth val="150"/>
        <c:overlap val="100"/>
        <c:axId val="-1614636816"/>
        <c:axId val="-1575823264"/>
      </c:barChart>
      <c:catAx>
        <c:axId val="-161463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575823264"/>
        <c:crosses val="autoZero"/>
        <c:auto val="1"/>
        <c:lblAlgn val="ctr"/>
        <c:lblOffset val="100"/>
        <c:noMultiLvlLbl val="0"/>
      </c:catAx>
      <c:valAx>
        <c:axId val="-157582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614636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3175" cap="flat" cmpd="sng" algn="ctr">
      <a:solidFill>
        <a:schemeClr val="tx1"/>
      </a:solidFill>
      <a:round/>
    </a:ln>
    <a:effectLst/>
  </c:spPr>
  <c:txPr>
    <a:bodyPr/>
    <a:lstStyle/>
    <a:p>
      <a:pPr>
        <a:defRPr/>
      </a:pPr>
      <a:endParaRPr lang="nb-N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Sheet1!$AU$1</c:f>
              <c:strCache>
                <c:ptCount val="1"/>
                <c:pt idx="0">
                  <c:v>Reported years</c:v>
                </c:pt>
              </c:strCache>
            </c:strRef>
          </c:tx>
          <c:spPr>
            <a:ln w="28575" cap="rnd">
              <a:solidFill>
                <a:schemeClr val="bg1">
                  <a:lumMod val="65000"/>
                </a:schemeClr>
              </a:solidFill>
              <a:round/>
            </a:ln>
            <a:effectLst/>
          </c:spPr>
          <c:marker>
            <c:symbol val="none"/>
          </c:marker>
          <c:cat>
            <c:numRef>
              <c:f>Sheet1!$A$6:$A$16</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Sheet1!$AU$6:$AU$16</c:f>
              <c:numCache>
                <c:formatCode>General</c:formatCode>
                <c:ptCount val="11"/>
                <c:pt idx="0">
                  <c:v>4</c:v>
                </c:pt>
                <c:pt idx="1">
                  <c:v>8</c:v>
                </c:pt>
                <c:pt idx="2">
                  <c:v>14</c:v>
                </c:pt>
                <c:pt idx="3">
                  <c:v>18</c:v>
                </c:pt>
                <c:pt idx="4">
                  <c:v>21</c:v>
                </c:pt>
                <c:pt idx="5">
                  <c:v>27</c:v>
                </c:pt>
                <c:pt idx="6">
                  <c:v>32</c:v>
                </c:pt>
                <c:pt idx="7">
                  <c:v>35</c:v>
                </c:pt>
                <c:pt idx="8">
                  <c:v>34</c:v>
                </c:pt>
                <c:pt idx="9">
                  <c:v>31</c:v>
                </c:pt>
                <c:pt idx="10">
                  <c:v>34</c:v>
                </c:pt>
              </c:numCache>
            </c:numRef>
          </c:val>
          <c:smooth val="0"/>
          <c:extLst>
            <c:ext xmlns:c16="http://schemas.microsoft.com/office/drawing/2014/chart" uri="{C3380CC4-5D6E-409C-BE32-E72D297353CC}">
              <c16:uniqueId val="{00000000-EAE4-4A3B-B509-54F8F246D472}"/>
            </c:ext>
          </c:extLst>
        </c:ser>
        <c:dLbls>
          <c:showLegendKey val="0"/>
          <c:showVal val="0"/>
          <c:showCatName val="0"/>
          <c:showSerName val="0"/>
          <c:showPercent val="0"/>
          <c:showBubbleSize val="0"/>
        </c:dLbls>
        <c:smooth val="0"/>
        <c:axId val="-1526047440"/>
        <c:axId val="-1526043856"/>
      </c:lineChart>
      <c:catAx>
        <c:axId val="-152604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526043856"/>
        <c:crosses val="autoZero"/>
        <c:auto val="1"/>
        <c:lblAlgn val="ctr"/>
        <c:lblOffset val="100"/>
        <c:noMultiLvlLbl val="0"/>
      </c:catAx>
      <c:valAx>
        <c:axId val="-152604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526047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1DF23-A66E-4429-B521-19F8D635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14380</Words>
  <Characters>76214</Characters>
  <Application>Microsoft Office Word</Application>
  <DocSecurity>0</DocSecurity>
  <Lines>635</Lines>
  <Paragraphs>180</Paragraphs>
  <ScaleCrop>false</ScaleCrop>
  <HeadingPairs>
    <vt:vector size="2" baseType="variant">
      <vt:variant>
        <vt:lpstr>Title</vt:lpstr>
      </vt:variant>
      <vt:variant>
        <vt:i4>1</vt:i4>
      </vt:variant>
    </vt:vector>
  </HeadingPairs>
  <TitlesOfParts>
    <vt:vector size="1" baseType="lpstr">
      <vt:lpstr/>
    </vt:vector>
  </TitlesOfParts>
  <Company>PRIO</Company>
  <LinksUpToDate>false</LinksUpToDate>
  <CharactersWithSpaces>90414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 Aas Rustad</dc:creator>
  <cp:lastModifiedBy>Päivi Lujala</cp:lastModifiedBy>
  <cp:revision>15</cp:revision>
  <cp:lastPrinted>2016-07-01T06:18:00Z</cp:lastPrinted>
  <dcterms:created xsi:type="dcterms:W3CDTF">2016-11-04T16:23:00Z</dcterms:created>
  <dcterms:modified xsi:type="dcterms:W3CDTF">2016-12-07T23:50:00Z</dcterms:modified>
</cp:coreProperties>
</file>