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6875" w14:textId="77777777" w:rsidR="002A63F6" w:rsidRPr="00907907" w:rsidRDefault="002A63F6" w:rsidP="00236B6E">
      <w:pPr>
        <w:rPr>
          <w:rFonts w:cs="Times New Roman"/>
          <w:b/>
          <w:sz w:val="28"/>
          <w:szCs w:val="28"/>
          <w:lang w:val="en-GB"/>
        </w:rPr>
      </w:pPr>
      <w:bookmarkStart w:id="0" w:name="_GoBack"/>
      <w:bookmarkEnd w:id="0"/>
      <w:r w:rsidRPr="00907907">
        <w:rPr>
          <w:rFonts w:cs="Times New Roman"/>
          <w:b/>
          <w:sz w:val="28"/>
          <w:szCs w:val="28"/>
          <w:lang w:val="en-GB"/>
        </w:rPr>
        <w:t xml:space="preserve">Typical fallacies regarding potentially vacated protected buildings </w:t>
      </w:r>
    </w:p>
    <w:p w14:paraId="3C3B3C07" w14:textId="77777777" w:rsidR="002A63F6" w:rsidRPr="00907907" w:rsidRDefault="002A63F6" w:rsidP="00236B6E">
      <w:pPr>
        <w:outlineLvl w:val="0"/>
        <w:rPr>
          <w:rFonts w:cs="Times New Roman"/>
          <w:lang w:val="en-GB"/>
        </w:rPr>
      </w:pPr>
    </w:p>
    <w:p w14:paraId="477AA51F" w14:textId="77777777" w:rsidR="002A63F6" w:rsidRPr="00907907" w:rsidRDefault="002A63F6" w:rsidP="00236B6E">
      <w:pPr>
        <w:shd w:val="clear" w:color="auto" w:fill="FFFFFF"/>
        <w:rPr>
          <w:rFonts w:cs="Times New Roman"/>
          <w:lang w:val="en-GB"/>
        </w:rPr>
      </w:pPr>
      <w:r w:rsidRPr="00907907">
        <w:rPr>
          <w:rFonts w:cs="Times New Roman"/>
          <w:lang w:val="en-GB"/>
        </w:rPr>
        <w:t xml:space="preserve">Authors: </w:t>
      </w:r>
    </w:p>
    <w:p w14:paraId="471D622A" w14:textId="77777777" w:rsidR="002A63F6" w:rsidRPr="00907907" w:rsidRDefault="002A63F6" w:rsidP="00236B6E">
      <w:pPr>
        <w:shd w:val="clear" w:color="auto" w:fill="FFFFFF"/>
        <w:rPr>
          <w:rFonts w:cs="Times New Roman"/>
          <w:lang w:val="en-GB"/>
        </w:rPr>
      </w:pPr>
      <w:r w:rsidRPr="00907907">
        <w:rPr>
          <w:rFonts w:cs="Times New Roman"/>
          <w:lang w:val="en-GB"/>
        </w:rPr>
        <w:t xml:space="preserve">PhD Candidate Mari Oline Giske Stendebakken </w:t>
      </w:r>
    </w:p>
    <w:p w14:paraId="4D4BBF2C" w14:textId="77777777" w:rsidR="002A63F6" w:rsidRPr="00907907" w:rsidRDefault="002A63F6" w:rsidP="00236B6E">
      <w:pPr>
        <w:shd w:val="clear" w:color="auto" w:fill="FFFFFF"/>
        <w:rPr>
          <w:rFonts w:cs="Times New Roman"/>
          <w:lang w:val="en-GB"/>
        </w:rPr>
      </w:pPr>
      <w:r w:rsidRPr="00907907">
        <w:rPr>
          <w:rFonts w:cs="Times New Roman"/>
          <w:lang w:val="en-GB"/>
        </w:rPr>
        <w:t>Department of Architecture and Planning: Faculty of Architecture and Design</w:t>
      </w:r>
    </w:p>
    <w:p w14:paraId="6DF1D39F" w14:textId="77777777" w:rsidR="002A63F6" w:rsidRPr="00907907" w:rsidRDefault="002A63F6" w:rsidP="00236B6E">
      <w:pPr>
        <w:shd w:val="clear" w:color="auto" w:fill="FFFFFF"/>
        <w:rPr>
          <w:rFonts w:cs="Times New Roman"/>
          <w:lang w:val="en-GB"/>
        </w:rPr>
      </w:pPr>
      <w:r w:rsidRPr="00907907">
        <w:rPr>
          <w:rFonts w:cs="Times New Roman"/>
          <w:lang w:val="en-GB"/>
        </w:rPr>
        <w:t>Norwegian University of Science and Technology</w:t>
      </w:r>
    </w:p>
    <w:p w14:paraId="71507664" w14:textId="77777777" w:rsidR="002A63F6" w:rsidRPr="00907907" w:rsidRDefault="002A63F6" w:rsidP="00236B6E">
      <w:pPr>
        <w:shd w:val="clear" w:color="auto" w:fill="FFFFFF"/>
        <w:rPr>
          <w:rFonts w:cs="Times New Roman"/>
          <w:lang w:val="en-GB"/>
        </w:rPr>
      </w:pPr>
    </w:p>
    <w:p w14:paraId="36DACF71" w14:textId="77777777" w:rsidR="002A63F6" w:rsidRPr="00907907" w:rsidRDefault="002A63F6" w:rsidP="00236B6E">
      <w:pPr>
        <w:shd w:val="clear" w:color="auto" w:fill="FFFFFF"/>
        <w:rPr>
          <w:rFonts w:cs="Times New Roman"/>
          <w:lang w:val="en-GB"/>
        </w:rPr>
      </w:pPr>
      <w:r w:rsidRPr="00907907">
        <w:rPr>
          <w:rFonts w:cs="Times New Roman"/>
          <w:lang w:val="en-GB"/>
        </w:rPr>
        <w:t>Professor Nils O. E. Olsson</w:t>
      </w:r>
    </w:p>
    <w:p w14:paraId="0354F84C" w14:textId="77777777" w:rsidR="002A63F6" w:rsidRPr="00907907" w:rsidRDefault="002A63F6" w:rsidP="00236B6E">
      <w:pPr>
        <w:shd w:val="clear" w:color="auto" w:fill="FFFFFF"/>
        <w:rPr>
          <w:rFonts w:cs="Times New Roman"/>
          <w:lang w:val="en-GB"/>
        </w:rPr>
      </w:pPr>
      <w:r w:rsidRPr="00907907">
        <w:rPr>
          <w:rFonts w:cs="Times New Roman"/>
          <w:lang w:val="en-GB"/>
        </w:rPr>
        <w:t>Department of Mechanical and Industrial Engineering: Faculty of Engineering</w:t>
      </w:r>
    </w:p>
    <w:p w14:paraId="6DC631B5" w14:textId="77777777" w:rsidR="002A63F6" w:rsidRPr="00907907" w:rsidRDefault="002A63F6" w:rsidP="00236B6E">
      <w:pPr>
        <w:shd w:val="clear" w:color="auto" w:fill="FFFFFF"/>
        <w:rPr>
          <w:rFonts w:cs="Times New Roman"/>
          <w:lang w:val="en-GB"/>
        </w:rPr>
      </w:pPr>
      <w:r w:rsidRPr="00907907">
        <w:rPr>
          <w:rFonts w:cs="Times New Roman"/>
          <w:lang w:val="en-GB"/>
        </w:rPr>
        <w:t>Norwegian University of Science and Technology</w:t>
      </w:r>
    </w:p>
    <w:p w14:paraId="676DCC23" w14:textId="77777777" w:rsidR="002A63F6" w:rsidRPr="00907907" w:rsidRDefault="002A63F6" w:rsidP="00236B6E">
      <w:pPr>
        <w:shd w:val="clear" w:color="auto" w:fill="FFFFFF"/>
        <w:rPr>
          <w:rFonts w:cs="Times New Roman"/>
          <w:lang w:val="en-GB"/>
        </w:rPr>
      </w:pPr>
    </w:p>
    <w:p w14:paraId="7A3D5452" w14:textId="77777777" w:rsidR="002A63F6" w:rsidRPr="00907907" w:rsidRDefault="002A63F6" w:rsidP="00236B6E">
      <w:pPr>
        <w:shd w:val="clear" w:color="auto" w:fill="FFFFFF"/>
        <w:rPr>
          <w:rFonts w:cs="Times New Roman"/>
          <w:lang w:val="en-GB"/>
        </w:rPr>
      </w:pPr>
      <w:r w:rsidRPr="00907907">
        <w:rPr>
          <w:rFonts w:cs="Times New Roman"/>
          <w:lang w:val="en-GB"/>
        </w:rPr>
        <w:t xml:space="preserve">Corresponding author: Mari Oline Giske Stendebakken </w:t>
      </w:r>
    </w:p>
    <w:p w14:paraId="1DD8C66D" w14:textId="77777777" w:rsidR="002A63F6" w:rsidRPr="00907907" w:rsidRDefault="002A63F6" w:rsidP="00236B6E">
      <w:pPr>
        <w:shd w:val="clear" w:color="auto" w:fill="FFFFFF"/>
        <w:rPr>
          <w:rFonts w:cs="Times New Roman"/>
          <w:lang w:val="en-GB"/>
        </w:rPr>
      </w:pPr>
      <w:r w:rsidRPr="00907907">
        <w:rPr>
          <w:rFonts w:cs="Times New Roman"/>
          <w:lang w:val="en-GB"/>
        </w:rPr>
        <w:t>Email: oline.stendebakken@ntnu.no</w:t>
      </w:r>
    </w:p>
    <w:p w14:paraId="63735A87" w14:textId="77777777" w:rsidR="00D51956" w:rsidRPr="00907907" w:rsidRDefault="00D51956" w:rsidP="00907907">
      <w:pPr>
        <w:pStyle w:val="Heading1"/>
      </w:pPr>
      <w:r w:rsidRPr="00907907">
        <w:t>Abstract</w:t>
      </w:r>
    </w:p>
    <w:p w14:paraId="79E2C816" w14:textId="5BF1E740" w:rsidR="002A63F6" w:rsidRPr="00907907" w:rsidRDefault="002A63F6" w:rsidP="00236B6E">
      <w:pPr>
        <w:outlineLvl w:val="0"/>
        <w:rPr>
          <w:rFonts w:cs="Times New Roman"/>
          <w:lang w:val="en-GB"/>
        </w:rPr>
      </w:pPr>
      <w:r w:rsidRPr="00907907">
        <w:rPr>
          <w:rFonts w:cs="Times New Roman"/>
          <w:lang w:val="en-GB"/>
        </w:rPr>
        <w:t>A significant number of institutions in Norway are moving from protected buildings—key architectural works—into new buildings. This affects ten buildings in Oslo alone, including the Ministry of Foreign Affairs, the Nation</w:t>
      </w:r>
      <w:r w:rsidR="00520812">
        <w:rPr>
          <w:rFonts w:cs="Times New Roman"/>
          <w:lang w:val="en-GB"/>
        </w:rPr>
        <w:t>al Gallery and the Munch Museum</w:t>
      </w:r>
      <w:r w:rsidR="00FB3C6A" w:rsidRPr="00907907">
        <w:rPr>
          <w:rFonts w:cs="Times New Roman"/>
          <w:lang w:val="en-GB"/>
        </w:rPr>
        <w:t xml:space="preserve">. </w:t>
      </w:r>
      <w:r w:rsidRPr="00907907">
        <w:rPr>
          <w:rFonts w:cs="Times New Roman"/>
          <w:lang w:val="en-GB"/>
        </w:rPr>
        <w:t xml:space="preserve">Several factors lead to the abandonment of such structures; one of them is </w:t>
      </w:r>
      <w:r w:rsidR="00245CD0" w:rsidRPr="00907907">
        <w:rPr>
          <w:rFonts w:cs="Times New Roman"/>
          <w:lang w:val="en-GB"/>
        </w:rPr>
        <w:t xml:space="preserve">a </w:t>
      </w:r>
      <w:r w:rsidRPr="00907907">
        <w:rPr>
          <w:rFonts w:cs="Times New Roman"/>
          <w:lang w:val="en-GB"/>
        </w:rPr>
        <w:t xml:space="preserve">prejudice </w:t>
      </w:r>
      <w:r w:rsidR="00245CD0" w:rsidRPr="00907907">
        <w:rPr>
          <w:rFonts w:cs="Times New Roman"/>
          <w:lang w:val="en-GB"/>
        </w:rPr>
        <w:t xml:space="preserve">toward </w:t>
      </w:r>
      <w:r w:rsidRPr="00907907">
        <w:rPr>
          <w:rFonts w:cs="Times New Roman"/>
          <w:lang w:val="en-GB"/>
        </w:rPr>
        <w:t>older buildings.</w:t>
      </w:r>
    </w:p>
    <w:p w14:paraId="0C22E0DE" w14:textId="64DAE2DC" w:rsidR="002A63F6" w:rsidRPr="00907907" w:rsidRDefault="002A63F6" w:rsidP="00236B6E">
      <w:pPr>
        <w:outlineLvl w:val="0"/>
        <w:rPr>
          <w:rFonts w:cs="Times New Roman"/>
          <w:lang w:val="en-GB"/>
        </w:rPr>
      </w:pPr>
      <w:r w:rsidRPr="00907907">
        <w:rPr>
          <w:rFonts w:cs="Times New Roman"/>
          <w:lang w:val="en-GB"/>
        </w:rPr>
        <w:t>This article lists typical examples of such prejudice</w:t>
      </w:r>
      <w:r w:rsidR="00A223F2" w:rsidRPr="00907907">
        <w:rPr>
          <w:rFonts w:cs="Times New Roman"/>
          <w:lang w:val="en-GB"/>
        </w:rPr>
        <w:t xml:space="preserve"> </w:t>
      </w:r>
      <w:r w:rsidR="00245CD0" w:rsidRPr="00907907">
        <w:rPr>
          <w:rFonts w:cs="Times New Roman"/>
          <w:lang w:val="en-GB"/>
        </w:rPr>
        <w:t>that</w:t>
      </w:r>
      <w:r w:rsidRPr="00907907">
        <w:rPr>
          <w:rFonts w:cs="Times New Roman"/>
          <w:lang w:val="en-GB"/>
        </w:rPr>
        <w:t xml:space="preserve"> were found in Norwegian public documents preparing decisions regarding protected buildings. When an institution has needs that are not being met in the institution’s existing premises, the</w:t>
      </w:r>
      <w:r w:rsidR="00B22DF2" w:rsidRPr="00907907">
        <w:rPr>
          <w:rFonts w:cs="Times New Roman"/>
          <w:lang w:val="en-GB"/>
        </w:rPr>
        <w:t xml:space="preserve">y must choose </w:t>
      </w:r>
      <w:r w:rsidRPr="00907907">
        <w:rPr>
          <w:rFonts w:cs="Times New Roman"/>
          <w:lang w:val="en-GB"/>
        </w:rPr>
        <w:t xml:space="preserve">between rehabilitation for continued use or a new build. For larger building projects, the decision is made by the government, and </w:t>
      </w:r>
      <w:r w:rsidR="007D1080" w:rsidRPr="00907907">
        <w:rPr>
          <w:rFonts w:cs="Times New Roman"/>
          <w:lang w:val="en-GB"/>
        </w:rPr>
        <w:t>quality assurance (</w:t>
      </w:r>
      <w:r w:rsidRPr="00907907">
        <w:rPr>
          <w:rFonts w:cs="Times New Roman"/>
          <w:lang w:val="en-GB"/>
        </w:rPr>
        <w:t>QA</w:t>
      </w:r>
      <w:r w:rsidR="007D1080" w:rsidRPr="00907907">
        <w:rPr>
          <w:rFonts w:cs="Times New Roman"/>
          <w:lang w:val="en-GB"/>
        </w:rPr>
        <w:t>)</w:t>
      </w:r>
      <w:r w:rsidRPr="00907907">
        <w:rPr>
          <w:rFonts w:cs="Times New Roman"/>
          <w:lang w:val="en-GB"/>
        </w:rPr>
        <w:t xml:space="preserve">1-documents </w:t>
      </w:r>
      <w:r w:rsidR="00B22DF2" w:rsidRPr="00907907">
        <w:rPr>
          <w:rFonts w:cs="Times New Roman"/>
          <w:lang w:val="en-GB"/>
        </w:rPr>
        <w:t xml:space="preserve">provide a </w:t>
      </w:r>
      <w:r w:rsidRPr="00907907">
        <w:rPr>
          <w:rFonts w:cs="Times New Roman"/>
          <w:lang w:val="en-GB"/>
        </w:rPr>
        <w:t>basis for the government’s decision.</w:t>
      </w:r>
    </w:p>
    <w:p w14:paraId="52A28F39" w14:textId="20867682" w:rsidR="00C06E06" w:rsidRPr="00907907" w:rsidRDefault="002A63F6" w:rsidP="00236B6E">
      <w:pPr>
        <w:outlineLvl w:val="0"/>
        <w:rPr>
          <w:rFonts w:cs="Times New Roman"/>
          <w:lang w:val="en-GB"/>
        </w:rPr>
      </w:pPr>
      <w:r w:rsidRPr="00907907">
        <w:rPr>
          <w:rFonts w:cs="Times New Roman"/>
          <w:lang w:val="en-GB"/>
        </w:rPr>
        <w:t xml:space="preserve">The </w:t>
      </w:r>
      <w:r w:rsidR="00E2338A" w:rsidRPr="00907907">
        <w:rPr>
          <w:rFonts w:cs="Times New Roman"/>
          <w:lang w:val="en-GB"/>
        </w:rPr>
        <w:t>examined QA1-</w:t>
      </w:r>
      <w:r w:rsidRPr="00907907">
        <w:rPr>
          <w:rFonts w:cs="Times New Roman"/>
          <w:lang w:val="en-GB"/>
        </w:rPr>
        <w:t>document</w:t>
      </w:r>
      <w:r w:rsidR="00E2338A" w:rsidRPr="00907907">
        <w:rPr>
          <w:rFonts w:cs="Times New Roman"/>
          <w:lang w:val="en-GB"/>
        </w:rPr>
        <w:t>ation</w:t>
      </w:r>
      <w:r w:rsidRPr="00907907">
        <w:rPr>
          <w:rFonts w:cs="Times New Roman"/>
          <w:lang w:val="en-GB"/>
        </w:rPr>
        <w:t xml:space="preserve"> </w:t>
      </w:r>
      <w:r w:rsidR="0049389E" w:rsidRPr="00907907">
        <w:rPr>
          <w:rFonts w:cs="Times New Roman"/>
          <w:lang w:val="en-GB"/>
        </w:rPr>
        <w:t>demonstrates</w:t>
      </w:r>
      <w:r w:rsidRPr="00907907">
        <w:rPr>
          <w:rFonts w:cs="Times New Roman"/>
          <w:lang w:val="en-GB"/>
        </w:rPr>
        <w:t xml:space="preserve"> a lack of appreciation for architectural and historical quality. The findings reveal that consultants </w:t>
      </w:r>
      <w:r w:rsidR="00D504E0" w:rsidRPr="00907907">
        <w:rPr>
          <w:rFonts w:cs="Times New Roman"/>
          <w:lang w:val="en-GB"/>
        </w:rPr>
        <w:t xml:space="preserve">fail to </w:t>
      </w:r>
      <w:r w:rsidR="00C85D34" w:rsidRPr="00907907">
        <w:rPr>
          <w:rFonts w:cs="Times New Roman"/>
          <w:lang w:val="en-GB"/>
        </w:rPr>
        <w:t xml:space="preserve">include </w:t>
      </w:r>
      <w:r w:rsidR="00D504E0" w:rsidRPr="00907907">
        <w:rPr>
          <w:rFonts w:cs="Times New Roman"/>
          <w:lang w:val="en-GB"/>
        </w:rPr>
        <w:t>all the necessary information</w:t>
      </w:r>
      <w:r w:rsidRPr="00907907">
        <w:rPr>
          <w:rFonts w:cs="Times New Roman"/>
          <w:lang w:val="en-GB"/>
        </w:rPr>
        <w:t xml:space="preserve"> </w:t>
      </w:r>
      <w:r w:rsidR="00C85D34" w:rsidRPr="00907907">
        <w:rPr>
          <w:rFonts w:cs="Times New Roman"/>
          <w:lang w:val="en-GB"/>
        </w:rPr>
        <w:t xml:space="preserve">in QA1-documentation </w:t>
      </w:r>
      <w:r w:rsidRPr="00907907">
        <w:rPr>
          <w:rFonts w:cs="Times New Roman"/>
          <w:lang w:val="en-GB"/>
        </w:rPr>
        <w:t xml:space="preserve">when they use </w:t>
      </w:r>
      <w:r w:rsidR="0049389E" w:rsidRPr="00907907">
        <w:rPr>
          <w:rFonts w:cs="Times New Roman"/>
          <w:lang w:val="en-GB"/>
        </w:rPr>
        <w:t>fallacies regarding protected buildings</w:t>
      </w:r>
      <w:r w:rsidRPr="00907907">
        <w:rPr>
          <w:rFonts w:cs="Times New Roman"/>
          <w:lang w:val="en-GB"/>
        </w:rPr>
        <w:t xml:space="preserve"> as a basis for the government’s choice of concepts. </w:t>
      </w:r>
    </w:p>
    <w:p w14:paraId="36BA9319" w14:textId="192E7B18" w:rsidR="00C06E06" w:rsidRPr="00907907" w:rsidRDefault="00C06E06" w:rsidP="00C06E06">
      <w:pPr>
        <w:outlineLvl w:val="0"/>
        <w:rPr>
          <w:rFonts w:cs="Times New Roman"/>
          <w:lang w:val="en-GB"/>
        </w:rPr>
      </w:pPr>
      <w:r w:rsidRPr="00907907">
        <w:rPr>
          <w:rFonts w:cs="Times New Roman"/>
          <w:lang w:val="en-GB"/>
        </w:rPr>
        <w:t xml:space="preserve">Regrettably, such </w:t>
      </w:r>
      <w:r w:rsidR="006F1410" w:rsidRPr="00907907">
        <w:rPr>
          <w:rFonts w:cs="Times New Roman"/>
          <w:lang w:val="en-GB"/>
        </w:rPr>
        <w:t>fallacies occur</w:t>
      </w:r>
      <w:r w:rsidRPr="00907907">
        <w:rPr>
          <w:rFonts w:cs="Times New Roman"/>
          <w:lang w:val="en-GB"/>
        </w:rPr>
        <w:t xml:space="preserve"> frequently throughout society. The findings in this paper should be useful to everyone working in the cultural heritage field that seeks a knowledge-based management of our most important historical buildings, both nationally and internationally.</w:t>
      </w:r>
    </w:p>
    <w:p w14:paraId="1A36A628" w14:textId="27350D07" w:rsidR="002A63F6" w:rsidRPr="00907907" w:rsidRDefault="002A63F6" w:rsidP="00236B6E">
      <w:pPr>
        <w:outlineLvl w:val="0"/>
        <w:rPr>
          <w:rFonts w:cs="Times New Roman"/>
          <w:lang w:val="en-GB"/>
        </w:rPr>
      </w:pPr>
    </w:p>
    <w:p w14:paraId="009A28CE" w14:textId="77777777" w:rsidR="002A63F6" w:rsidRPr="00907907" w:rsidRDefault="002A63F6" w:rsidP="00236B6E">
      <w:pPr>
        <w:shd w:val="clear" w:color="auto" w:fill="FFFFFF"/>
        <w:rPr>
          <w:rFonts w:cs="Times New Roman"/>
          <w:lang w:val="en-GB"/>
        </w:rPr>
      </w:pPr>
      <w:r w:rsidRPr="00907907">
        <w:rPr>
          <w:rFonts w:cs="Times New Roman"/>
          <w:lang w:val="en-GB"/>
        </w:rPr>
        <w:t>Key words:</w:t>
      </w:r>
    </w:p>
    <w:p w14:paraId="351C1C30" w14:textId="525FB4C2" w:rsidR="002A63F6" w:rsidRPr="00907907" w:rsidRDefault="00966582" w:rsidP="00236B6E">
      <w:pPr>
        <w:rPr>
          <w:rFonts w:cs="Times New Roman"/>
          <w:lang w:val="en-GB"/>
        </w:rPr>
      </w:pPr>
      <w:r w:rsidRPr="00907907">
        <w:rPr>
          <w:rFonts w:cs="Times New Roman"/>
          <w:lang w:val="en-GB"/>
        </w:rPr>
        <w:t>Architectural quality, C</w:t>
      </w:r>
      <w:r w:rsidR="002A63F6" w:rsidRPr="00907907">
        <w:rPr>
          <w:rFonts w:cs="Times New Roman"/>
          <w:lang w:val="en-GB"/>
        </w:rPr>
        <w:t>ultural heritage, QA,</w:t>
      </w:r>
      <w:r w:rsidR="00651DD3" w:rsidRPr="00907907">
        <w:rPr>
          <w:rFonts w:cs="Times New Roman"/>
          <w:lang w:val="en-GB"/>
        </w:rPr>
        <w:t xml:space="preserve"> </w:t>
      </w:r>
      <w:r w:rsidRPr="00907907">
        <w:rPr>
          <w:rFonts w:cs="Times New Roman"/>
          <w:lang w:val="en-GB"/>
        </w:rPr>
        <w:t>U</w:t>
      </w:r>
      <w:r w:rsidR="002A63F6" w:rsidRPr="00907907">
        <w:rPr>
          <w:rFonts w:cs="Times New Roman"/>
          <w:lang w:val="en-GB"/>
        </w:rPr>
        <w:t>sability</w:t>
      </w:r>
    </w:p>
    <w:p w14:paraId="3C736463" w14:textId="77777777" w:rsidR="00E4232A" w:rsidRPr="00907907" w:rsidRDefault="00E4232A" w:rsidP="00907907">
      <w:pPr>
        <w:pStyle w:val="Heading1"/>
      </w:pPr>
      <w:r w:rsidRPr="00907907">
        <w:t>Introduction</w:t>
      </w:r>
    </w:p>
    <w:p w14:paraId="7CABFB39" w14:textId="4179D780" w:rsidR="00FB3C6A" w:rsidRPr="00907907" w:rsidRDefault="00A450AC" w:rsidP="00907907">
      <w:pPr>
        <w:rPr>
          <w:rFonts w:cs="Times New Roman"/>
        </w:rPr>
      </w:pPr>
      <w:r w:rsidRPr="00907907">
        <w:rPr>
          <w:lang w:val="en-GB"/>
        </w:rPr>
        <w:t xml:space="preserve">Norway has seen a series of vacated national monuments in the last decade. Several of the affected buildings are recognised national monuments, and there are no plans for their future use. The reactivation of these buildings is likely to come with a significant price tag. Norwegian authorities have put themselves into this situation through the persistent trend of vacating historical buildings in favour of new builds. </w:t>
      </w:r>
      <w:r w:rsidR="00D504E0" w:rsidRPr="00907907">
        <w:rPr>
          <w:rFonts w:cs="Times New Roman"/>
          <w:lang w:val="en-GB"/>
        </w:rPr>
        <w:t>Currently</w:t>
      </w:r>
      <w:r w:rsidR="008C60A6" w:rsidRPr="00907907">
        <w:rPr>
          <w:rFonts w:cs="Times New Roman"/>
          <w:lang w:val="en-GB"/>
        </w:rPr>
        <w:t>, c</w:t>
      </w:r>
      <w:r w:rsidR="004D773F" w:rsidRPr="00907907">
        <w:rPr>
          <w:rFonts w:cs="Times New Roman"/>
          <w:lang w:val="en-GB"/>
        </w:rPr>
        <w:t xml:space="preserve">ultural heritage sites are </w:t>
      </w:r>
      <w:r w:rsidR="008C60A6" w:rsidRPr="00907907">
        <w:rPr>
          <w:rFonts w:cs="Times New Roman"/>
          <w:lang w:val="en-GB"/>
        </w:rPr>
        <w:t>required to undergo</w:t>
      </w:r>
      <w:r w:rsidR="004D773F" w:rsidRPr="00907907">
        <w:rPr>
          <w:rFonts w:cs="Times New Roman"/>
          <w:lang w:val="en-GB"/>
        </w:rPr>
        <w:t xml:space="preserve"> economic analysis in public quality assurance. </w:t>
      </w:r>
      <w:r w:rsidR="00AD2048" w:rsidRPr="00907907">
        <w:rPr>
          <w:rFonts w:cs="Times New Roman"/>
          <w:lang w:val="en-GB"/>
        </w:rPr>
        <w:t xml:space="preserve">The challenge is a matter of both method and professional knowledge: to be </w:t>
      </w:r>
      <w:r w:rsidR="007D1080" w:rsidRPr="00907907">
        <w:rPr>
          <w:rFonts w:cs="Times New Roman"/>
          <w:lang w:val="en-GB"/>
        </w:rPr>
        <w:t>useful,</w:t>
      </w:r>
      <w:r w:rsidR="004D773F" w:rsidRPr="00907907">
        <w:rPr>
          <w:rFonts w:cs="Times New Roman"/>
          <w:lang w:val="en-GB"/>
        </w:rPr>
        <w:t xml:space="preserve"> economic analysis</w:t>
      </w:r>
      <w:r w:rsidR="006248C2" w:rsidRPr="00907907">
        <w:rPr>
          <w:rFonts w:cs="Times New Roman"/>
          <w:lang w:val="en-GB"/>
        </w:rPr>
        <w:t xml:space="preserve"> </w:t>
      </w:r>
      <w:r w:rsidR="00AD2048" w:rsidRPr="00907907">
        <w:rPr>
          <w:rFonts w:cs="Times New Roman"/>
          <w:lang w:val="en-GB"/>
        </w:rPr>
        <w:t xml:space="preserve">must be </w:t>
      </w:r>
      <w:r w:rsidR="00E32555" w:rsidRPr="00907907">
        <w:rPr>
          <w:rFonts w:cs="Times New Roman"/>
          <w:lang w:val="en-GB"/>
        </w:rPr>
        <w:t>capable</w:t>
      </w:r>
      <w:r w:rsidR="004D773F" w:rsidRPr="00907907">
        <w:rPr>
          <w:rFonts w:cs="Times New Roman"/>
          <w:lang w:val="en-GB"/>
        </w:rPr>
        <w:t xml:space="preserve"> </w:t>
      </w:r>
      <w:r w:rsidR="008C60A6" w:rsidRPr="00907907">
        <w:rPr>
          <w:rFonts w:cs="Times New Roman"/>
          <w:lang w:val="en-GB"/>
        </w:rPr>
        <w:t xml:space="preserve">of </w:t>
      </w:r>
      <w:r w:rsidR="004D773F" w:rsidRPr="00907907">
        <w:rPr>
          <w:rFonts w:cs="Times New Roman"/>
          <w:lang w:val="en-GB"/>
        </w:rPr>
        <w:t>evaluating the cultural heritage site</w:t>
      </w:r>
      <w:r w:rsidR="00D504E0" w:rsidRPr="00907907">
        <w:rPr>
          <w:rFonts w:cs="Times New Roman"/>
          <w:lang w:val="en-GB"/>
        </w:rPr>
        <w:t>’</w:t>
      </w:r>
      <w:r w:rsidR="004D773F" w:rsidRPr="00907907">
        <w:rPr>
          <w:rFonts w:cs="Times New Roman"/>
          <w:lang w:val="en-GB"/>
        </w:rPr>
        <w:t>s inherent value, and the consultants</w:t>
      </w:r>
      <w:r w:rsidR="00B24882" w:rsidRPr="00907907">
        <w:rPr>
          <w:rFonts w:cs="Times New Roman"/>
          <w:lang w:val="en-GB"/>
        </w:rPr>
        <w:t xml:space="preserve"> performing the analysis </w:t>
      </w:r>
      <w:r w:rsidR="00AD2048" w:rsidRPr="00907907">
        <w:rPr>
          <w:rFonts w:cs="Times New Roman"/>
          <w:lang w:val="en-GB"/>
        </w:rPr>
        <w:t>must understand</w:t>
      </w:r>
      <w:r w:rsidR="008C60A6" w:rsidRPr="00907907">
        <w:rPr>
          <w:rFonts w:cs="Times New Roman"/>
          <w:lang w:val="en-GB"/>
        </w:rPr>
        <w:t xml:space="preserve"> </w:t>
      </w:r>
      <w:r w:rsidR="00B24882" w:rsidRPr="00907907">
        <w:rPr>
          <w:rFonts w:cs="Times New Roman"/>
          <w:lang w:val="en-GB"/>
        </w:rPr>
        <w:t xml:space="preserve">the </w:t>
      </w:r>
      <w:r w:rsidR="00AD2048" w:rsidRPr="00907907">
        <w:rPr>
          <w:rFonts w:cs="Times New Roman"/>
          <w:lang w:val="en-GB"/>
        </w:rPr>
        <w:t xml:space="preserve">qualities and usability of the </w:t>
      </w:r>
      <w:r w:rsidR="00B24882" w:rsidRPr="00907907">
        <w:rPr>
          <w:rFonts w:cs="Times New Roman"/>
          <w:lang w:val="en-GB"/>
        </w:rPr>
        <w:t xml:space="preserve">cultural heritage sites. </w:t>
      </w:r>
      <w:r w:rsidR="009A2F8F" w:rsidRPr="00907907">
        <w:rPr>
          <w:rFonts w:cs="Times New Roman"/>
          <w:lang w:val="en-GB"/>
        </w:rPr>
        <w:t>This paper concerns the latter of the two and discusses fallacies</w:t>
      </w:r>
      <w:r w:rsidR="001946C6" w:rsidRPr="00907907">
        <w:rPr>
          <w:rFonts w:cs="Times New Roman"/>
          <w:lang w:val="en-GB"/>
        </w:rPr>
        <w:t xml:space="preserve"> found</w:t>
      </w:r>
      <w:r w:rsidR="009A2F8F" w:rsidRPr="00907907">
        <w:rPr>
          <w:rFonts w:cs="Times New Roman"/>
          <w:lang w:val="en-GB"/>
        </w:rPr>
        <w:t xml:space="preserve"> in </w:t>
      </w:r>
      <w:r w:rsidR="00D504E0" w:rsidRPr="00907907">
        <w:rPr>
          <w:rFonts w:cs="Times New Roman"/>
          <w:lang w:val="en-GB"/>
        </w:rPr>
        <w:t xml:space="preserve">the </w:t>
      </w:r>
      <w:r w:rsidR="001946C6" w:rsidRPr="00907907">
        <w:rPr>
          <w:rFonts w:cs="Times New Roman"/>
          <w:lang w:val="en-GB"/>
        </w:rPr>
        <w:t xml:space="preserve">economic analysis </w:t>
      </w:r>
      <w:r w:rsidR="00D504E0" w:rsidRPr="00907907">
        <w:rPr>
          <w:rFonts w:cs="Times New Roman"/>
          <w:lang w:val="en-GB"/>
        </w:rPr>
        <w:t>of</w:t>
      </w:r>
      <w:r w:rsidR="001946C6" w:rsidRPr="00907907">
        <w:rPr>
          <w:rFonts w:cs="Times New Roman"/>
          <w:lang w:val="en-GB"/>
        </w:rPr>
        <w:t xml:space="preserve"> </w:t>
      </w:r>
      <w:r w:rsidR="00390182" w:rsidRPr="00907907">
        <w:rPr>
          <w:rFonts w:cs="Times New Roman"/>
          <w:lang w:val="en-GB"/>
        </w:rPr>
        <w:t xml:space="preserve">larger public buildings projects affecting protected buildings in the existing situation. </w:t>
      </w:r>
      <w:r w:rsidR="001946C6" w:rsidRPr="00907907">
        <w:rPr>
          <w:rFonts w:cs="Times New Roman"/>
          <w:lang w:val="en-GB"/>
        </w:rPr>
        <w:t xml:space="preserve"> </w:t>
      </w:r>
      <w:r w:rsidR="002310C0" w:rsidRPr="00907907">
        <w:rPr>
          <w:rFonts w:cs="Times New Roman"/>
          <w:lang w:val="en-GB"/>
        </w:rPr>
        <w:t xml:space="preserve">This research </w:t>
      </w:r>
      <w:r w:rsidR="007D1080" w:rsidRPr="00907907">
        <w:rPr>
          <w:rFonts w:cs="Times New Roman"/>
          <w:lang w:val="en-GB"/>
        </w:rPr>
        <w:t xml:space="preserve">gets </w:t>
      </w:r>
      <w:r w:rsidR="002310C0" w:rsidRPr="00907907">
        <w:rPr>
          <w:rFonts w:cs="Times New Roman"/>
          <w:lang w:val="en-GB"/>
        </w:rPr>
        <w:t>its empirical data from</w:t>
      </w:r>
      <w:r w:rsidR="00DB1537" w:rsidRPr="00907907">
        <w:rPr>
          <w:rFonts w:cs="Times New Roman"/>
          <w:lang w:val="en-GB"/>
        </w:rPr>
        <w:t xml:space="preserve"> the Norwegian </w:t>
      </w:r>
      <w:r w:rsidR="0063712C" w:rsidRPr="00907907">
        <w:rPr>
          <w:rFonts w:cs="Times New Roman"/>
          <w:lang w:val="en-GB"/>
        </w:rPr>
        <w:t>QA-</w:t>
      </w:r>
      <w:r w:rsidR="002310C0" w:rsidRPr="00907907">
        <w:rPr>
          <w:rFonts w:cs="Times New Roman"/>
          <w:lang w:val="en-GB"/>
        </w:rPr>
        <w:t>scheme</w:t>
      </w:r>
      <w:r w:rsidR="007D1080" w:rsidRPr="00907907">
        <w:rPr>
          <w:rFonts w:cs="Times New Roman"/>
          <w:lang w:val="en-GB"/>
        </w:rPr>
        <w:t xml:space="preserve"> that</w:t>
      </w:r>
      <w:r w:rsidR="00DB1537" w:rsidRPr="00907907">
        <w:rPr>
          <w:rFonts w:cs="Times New Roman"/>
          <w:lang w:val="en-GB"/>
        </w:rPr>
        <w:t xml:space="preserve"> covers most large public investments on shore.</w:t>
      </w:r>
      <w:r w:rsidR="0030594B" w:rsidRPr="00907907">
        <w:rPr>
          <w:rFonts w:cs="Times New Roman"/>
          <w:lang w:val="en-GB"/>
        </w:rPr>
        <w:t xml:space="preserve"> </w:t>
      </w:r>
      <w:r w:rsidR="007D1080" w:rsidRPr="00907907">
        <w:rPr>
          <w:rFonts w:cs="Times New Roman"/>
          <w:lang w:val="en-GB"/>
        </w:rPr>
        <w:t>I</w:t>
      </w:r>
      <w:r w:rsidR="0030594B" w:rsidRPr="00907907">
        <w:rPr>
          <w:rFonts w:cs="Times New Roman"/>
          <w:lang w:val="en-GB"/>
        </w:rPr>
        <w:t>n this context</w:t>
      </w:r>
      <w:r w:rsidR="007D1080" w:rsidRPr="00907907">
        <w:rPr>
          <w:rFonts w:cs="Times New Roman"/>
          <w:lang w:val="en-GB"/>
        </w:rPr>
        <w:t>,</w:t>
      </w:r>
      <w:r w:rsidR="0030594B" w:rsidRPr="00907907">
        <w:rPr>
          <w:rFonts w:cs="Times New Roman"/>
          <w:lang w:val="en-GB"/>
        </w:rPr>
        <w:t xml:space="preserve"> </w:t>
      </w:r>
      <w:r w:rsidR="007D1080" w:rsidRPr="00907907">
        <w:rPr>
          <w:rFonts w:cs="Times New Roman"/>
          <w:lang w:val="en-GB"/>
        </w:rPr>
        <w:t xml:space="preserve">larger refers to </w:t>
      </w:r>
      <w:r w:rsidR="0030594B" w:rsidRPr="00907907">
        <w:rPr>
          <w:rFonts w:cs="Times New Roman"/>
          <w:lang w:val="en-GB"/>
        </w:rPr>
        <w:t xml:space="preserve">investments </w:t>
      </w:r>
      <w:r w:rsidR="007D1080" w:rsidRPr="00907907">
        <w:rPr>
          <w:rFonts w:cs="Times New Roman"/>
          <w:lang w:val="en-GB"/>
        </w:rPr>
        <w:t>costing</w:t>
      </w:r>
      <w:r w:rsidR="0030594B" w:rsidRPr="00907907">
        <w:rPr>
          <w:rFonts w:cs="Times New Roman"/>
          <w:lang w:val="en-GB"/>
        </w:rPr>
        <w:t xml:space="preserve"> over 82 </w:t>
      </w:r>
      <w:r w:rsidR="00D504E0" w:rsidRPr="00907907">
        <w:rPr>
          <w:rFonts w:cs="Times New Roman"/>
          <w:lang w:val="en-GB"/>
        </w:rPr>
        <w:t xml:space="preserve">million </w:t>
      </w:r>
      <w:r w:rsidR="0030594B" w:rsidRPr="00907907">
        <w:rPr>
          <w:rFonts w:cs="Times New Roman"/>
          <w:lang w:val="en-GB"/>
        </w:rPr>
        <w:t>Euro</w:t>
      </w:r>
      <w:r w:rsidR="00D504E0" w:rsidRPr="00907907">
        <w:rPr>
          <w:rFonts w:cs="Times New Roman"/>
          <w:lang w:val="en-GB"/>
        </w:rPr>
        <w:t xml:space="preserve"> that are</w:t>
      </w:r>
      <w:r w:rsidR="00B46E2C" w:rsidRPr="00907907">
        <w:rPr>
          <w:rFonts w:cs="Times New Roman"/>
          <w:lang w:val="en-GB"/>
        </w:rPr>
        <w:t xml:space="preserve"> typically infrastructure, defence and larger building projects for key </w:t>
      </w:r>
      <w:r w:rsidR="007D1080" w:rsidRPr="00907907">
        <w:rPr>
          <w:rFonts w:cs="Times New Roman"/>
          <w:lang w:val="en-GB"/>
        </w:rPr>
        <w:t xml:space="preserve">public </w:t>
      </w:r>
      <w:r w:rsidR="00B46E2C" w:rsidRPr="00907907">
        <w:rPr>
          <w:rFonts w:cs="Times New Roman"/>
          <w:lang w:val="en-GB"/>
        </w:rPr>
        <w:t>institutions.  The QA-scheme</w:t>
      </w:r>
      <w:r w:rsidR="00F7644E" w:rsidRPr="00907907">
        <w:rPr>
          <w:rFonts w:cs="Times New Roman"/>
          <w:lang w:val="en-GB"/>
        </w:rPr>
        <w:t xml:space="preserve"> that</w:t>
      </w:r>
      <w:r w:rsidR="00B46E2C" w:rsidRPr="00907907">
        <w:rPr>
          <w:rFonts w:cs="Times New Roman"/>
          <w:lang w:val="en-GB"/>
        </w:rPr>
        <w:t xml:space="preserve"> </w:t>
      </w:r>
      <w:r w:rsidR="00F7644E" w:rsidRPr="00907907">
        <w:rPr>
          <w:rFonts w:cs="Times New Roman"/>
          <w:lang w:val="en-GB"/>
        </w:rPr>
        <w:t xml:space="preserve">provides a basis for the politicians’ decisions </w:t>
      </w:r>
      <w:r w:rsidR="00B46E2C" w:rsidRPr="00907907">
        <w:rPr>
          <w:rFonts w:cs="Times New Roman"/>
          <w:lang w:val="en-GB"/>
        </w:rPr>
        <w:t>has two main steps</w:t>
      </w:r>
      <w:r w:rsidR="00F7644E" w:rsidRPr="00907907">
        <w:rPr>
          <w:rFonts w:cs="Times New Roman"/>
          <w:lang w:val="en-GB"/>
        </w:rPr>
        <w:t xml:space="preserve">: </w:t>
      </w:r>
      <w:r w:rsidR="00B46E2C" w:rsidRPr="00907907">
        <w:rPr>
          <w:rFonts w:cs="Times New Roman"/>
          <w:lang w:val="en-GB"/>
        </w:rPr>
        <w:t>QA1 and QA2</w:t>
      </w:r>
      <w:r w:rsidR="007D1080" w:rsidRPr="00907907">
        <w:rPr>
          <w:rFonts w:cs="Times New Roman"/>
          <w:lang w:val="en-GB"/>
        </w:rPr>
        <w:t xml:space="preserve">. </w:t>
      </w:r>
      <w:r w:rsidR="00B6061C" w:rsidRPr="00907907">
        <w:rPr>
          <w:rFonts w:cs="Times New Roman"/>
          <w:lang w:val="en-GB"/>
        </w:rPr>
        <w:t>QA1</w:t>
      </w:r>
      <w:r w:rsidR="00B46E2C" w:rsidRPr="00907907">
        <w:rPr>
          <w:rFonts w:cs="Times New Roman"/>
          <w:lang w:val="en-GB"/>
        </w:rPr>
        <w:t xml:space="preserve"> </w:t>
      </w:r>
      <w:r w:rsidR="00891BC8" w:rsidRPr="00907907">
        <w:rPr>
          <w:rFonts w:cs="Times New Roman"/>
          <w:lang w:val="en-GB"/>
        </w:rPr>
        <w:t>focuses</w:t>
      </w:r>
      <w:r w:rsidR="007D1080" w:rsidRPr="00907907">
        <w:rPr>
          <w:rFonts w:cs="Times New Roman"/>
          <w:lang w:val="en-GB"/>
        </w:rPr>
        <w:t xml:space="preserve"> </w:t>
      </w:r>
      <w:r w:rsidR="00B6061C" w:rsidRPr="00907907">
        <w:rPr>
          <w:rFonts w:cs="Times New Roman"/>
          <w:lang w:val="en-GB"/>
        </w:rPr>
        <w:t>on the</w:t>
      </w:r>
      <w:r w:rsidR="00B46E2C" w:rsidRPr="00907907">
        <w:rPr>
          <w:rFonts w:cs="Times New Roman"/>
          <w:lang w:val="en-GB"/>
        </w:rPr>
        <w:t xml:space="preserve"> </w:t>
      </w:r>
      <w:r w:rsidR="00B6061C" w:rsidRPr="00907907">
        <w:rPr>
          <w:rFonts w:cs="Times New Roman"/>
          <w:lang w:val="en-GB"/>
        </w:rPr>
        <w:t>choice of concept and QA2</w:t>
      </w:r>
      <w:r w:rsidR="00F7644E" w:rsidRPr="00907907">
        <w:rPr>
          <w:rFonts w:cs="Times New Roman"/>
          <w:lang w:val="en-GB"/>
        </w:rPr>
        <w:t xml:space="preserve"> </w:t>
      </w:r>
      <w:r w:rsidR="00891BC8" w:rsidRPr="00907907">
        <w:rPr>
          <w:rFonts w:cs="Times New Roman"/>
          <w:lang w:val="en-GB"/>
        </w:rPr>
        <w:t>focuses</w:t>
      </w:r>
      <w:r w:rsidR="00B6061C" w:rsidRPr="00907907">
        <w:rPr>
          <w:rFonts w:cs="Times New Roman"/>
          <w:lang w:val="en-GB"/>
        </w:rPr>
        <w:t xml:space="preserve"> </w:t>
      </w:r>
      <w:r w:rsidR="00B46E2C" w:rsidRPr="00907907">
        <w:rPr>
          <w:rFonts w:cs="Times New Roman"/>
          <w:lang w:val="en-GB"/>
        </w:rPr>
        <w:t xml:space="preserve">on the </w:t>
      </w:r>
      <w:r w:rsidR="00B6061C" w:rsidRPr="00907907">
        <w:rPr>
          <w:rFonts w:cs="Times New Roman"/>
          <w:lang w:val="en-GB"/>
        </w:rPr>
        <w:t xml:space="preserve">choice of </w:t>
      </w:r>
      <w:r w:rsidR="00B46E2C" w:rsidRPr="00907907">
        <w:rPr>
          <w:rFonts w:cs="Times New Roman"/>
          <w:lang w:val="en-GB"/>
        </w:rPr>
        <w:t>project completion model.</w:t>
      </w:r>
      <w:r w:rsidR="00364096" w:rsidRPr="00907907">
        <w:rPr>
          <w:rStyle w:val="EndnoteReference"/>
          <w:rFonts w:cs="Times New Roman"/>
          <w:lang w:val="en-GB"/>
        </w:rPr>
        <w:endnoteReference w:id="1"/>
      </w:r>
      <w:r w:rsidR="00B46E2C" w:rsidRPr="00907907">
        <w:rPr>
          <w:rFonts w:cs="Times New Roman"/>
          <w:lang w:val="en-GB"/>
        </w:rPr>
        <w:t xml:space="preserve"> </w:t>
      </w:r>
      <w:r w:rsidR="007D1080" w:rsidRPr="00907907">
        <w:rPr>
          <w:rFonts w:cs="Times New Roman"/>
          <w:lang w:val="en-GB"/>
        </w:rPr>
        <w:t xml:space="preserve">Since </w:t>
      </w:r>
      <w:r w:rsidR="00B46E2C" w:rsidRPr="00907907">
        <w:rPr>
          <w:rFonts w:cs="Times New Roman"/>
          <w:lang w:val="en-GB"/>
        </w:rPr>
        <w:t xml:space="preserve">choice </w:t>
      </w:r>
      <w:r w:rsidR="00C30C0B" w:rsidRPr="00907907">
        <w:rPr>
          <w:rFonts w:cs="Times New Roman"/>
          <w:lang w:val="en-GB"/>
        </w:rPr>
        <w:t xml:space="preserve">of concept typically </w:t>
      </w:r>
      <w:r w:rsidR="00F7644E" w:rsidRPr="00907907">
        <w:rPr>
          <w:rFonts w:cs="Times New Roman"/>
          <w:lang w:val="en-GB"/>
        </w:rPr>
        <w:t>determines whether</w:t>
      </w:r>
      <w:r w:rsidR="00C30C0B" w:rsidRPr="00907907">
        <w:rPr>
          <w:rFonts w:cs="Times New Roman"/>
          <w:lang w:val="en-GB"/>
        </w:rPr>
        <w:t xml:space="preserve"> </w:t>
      </w:r>
      <w:r w:rsidR="00B46E2C" w:rsidRPr="00907907">
        <w:rPr>
          <w:rFonts w:cs="Times New Roman"/>
          <w:lang w:val="en-GB"/>
        </w:rPr>
        <w:t>protected building</w:t>
      </w:r>
      <w:r w:rsidR="00C30C0B" w:rsidRPr="00907907">
        <w:rPr>
          <w:rFonts w:cs="Times New Roman"/>
          <w:lang w:val="en-GB"/>
        </w:rPr>
        <w:t>s</w:t>
      </w:r>
      <w:r w:rsidR="00B46E2C" w:rsidRPr="00907907">
        <w:rPr>
          <w:rFonts w:cs="Times New Roman"/>
          <w:lang w:val="en-GB"/>
        </w:rPr>
        <w:t xml:space="preserve"> </w:t>
      </w:r>
      <w:r w:rsidR="00F7644E" w:rsidRPr="00907907">
        <w:rPr>
          <w:rFonts w:cs="Times New Roman"/>
          <w:lang w:val="en-GB"/>
        </w:rPr>
        <w:t xml:space="preserve">should be </w:t>
      </w:r>
      <w:r w:rsidR="00B46E2C" w:rsidRPr="00907907">
        <w:rPr>
          <w:rFonts w:cs="Times New Roman"/>
          <w:lang w:val="en-GB"/>
        </w:rPr>
        <w:t xml:space="preserve">vacated or kept in </w:t>
      </w:r>
      <w:r w:rsidR="00B46E2C" w:rsidRPr="00907907">
        <w:rPr>
          <w:rFonts w:cs="Times New Roman"/>
          <w:lang w:val="en-GB"/>
        </w:rPr>
        <w:lastRenderedPageBreak/>
        <w:t>continued use, we have studied</w:t>
      </w:r>
      <w:r w:rsidR="00F7644E" w:rsidRPr="00907907">
        <w:rPr>
          <w:rFonts w:cs="Times New Roman"/>
          <w:lang w:val="en-GB"/>
        </w:rPr>
        <w:t xml:space="preserve"> the</w:t>
      </w:r>
      <w:r w:rsidR="00B46E2C" w:rsidRPr="00907907">
        <w:rPr>
          <w:rFonts w:cs="Times New Roman"/>
          <w:lang w:val="en-GB"/>
        </w:rPr>
        <w:t xml:space="preserve"> QA1-documentation</w:t>
      </w:r>
      <w:r w:rsidR="00F7644E" w:rsidRPr="00907907">
        <w:rPr>
          <w:rFonts w:cs="Times New Roman"/>
          <w:lang w:val="en-GB"/>
        </w:rPr>
        <w:t xml:space="preserve"> </w:t>
      </w:r>
      <w:r w:rsidR="00B46E2C" w:rsidRPr="00907907">
        <w:rPr>
          <w:rFonts w:cs="Times New Roman"/>
          <w:lang w:val="en-GB"/>
        </w:rPr>
        <w:t>for projects concerning buildings</w:t>
      </w:r>
      <w:r w:rsidR="00C30C0B" w:rsidRPr="00907907">
        <w:rPr>
          <w:rFonts w:cs="Times New Roman"/>
          <w:lang w:val="en-GB"/>
        </w:rPr>
        <w:t xml:space="preserve"> that are protected under the cultural heritage act</w:t>
      </w:r>
      <w:r w:rsidR="00B46E2C" w:rsidRPr="00907907">
        <w:rPr>
          <w:rFonts w:cs="Times New Roman"/>
          <w:lang w:val="en-GB"/>
        </w:rPr>
        <w:t>.</w:t>
      </w:r>
      <w:r w:rsidR="00166617" w:rsidRPr="00907907">
        <w:rPr>
          <w:rStyle w:val="EndnoteReference"/>
          <w:rFonts w:cs="Times New Roman"/>
          <w:lang w:val="en-GB"/>
        </w:rPr>
        <w:endnoteReference w:id="2"/>
      </w:r>
      <w:r w:rsidR="00B46E2C" w:rsidRPr="00907907">
        <w:rPr>
          <w:rFonts w:cs="Times New Roman"/>
          <w:lang w:val="en-GB"/>
        </w:rPr>
        <w:t xml:space="preserve"> </w:t>
      </w:r>
      <w:r w:rsidR="00F7644E" w:rsidRPr="00907907">
        <w:rPr>
          <w:rFonts w:cs="Times New Roman"/>
          <w:lang w:val="en-GB"/>
        </w:rPr>
        <w:t xml:space="preserve">The </w:t>
      </w:r>
      <w:r w:rsidR="000D697A" w:rsidRPr="00907907">
        <w:rPr>
          <w:rFonts w:cs="Times New Roman"/>
          <w:lang w:val="en-GB"/>
        </w:rPr>
        <w:t>QA1</w:t>
      </w:r>
      <w:r w:rsidR="005B5D59" w:rsidRPr="00907907">
        <w:rPr>
          <w:rFonts w:cs="Times New Roman"/>
          <w:lang w:val="en-GB"/>
        </w:rPr>
        <w:t xml:space="preserve">-documentation </w:t>
      </w:r>
      <w:r w:rsidR="00B21DE1" w:rsidRPr="00907907">
        <w:rPr>
          <w:rFonts w:cs="Times New Roman"/>
          <w:lang w:val="en-GB"/>
        </w:rPr>
        <w:t>has two main parts: first</w:t>
      </w:r>
      <w:r w:rsidR="00F7644E" w:rsidRPr="00907907">
        <w:rPr>
          <w:rFonts w:cs="Times New Roman"/>
          <w:lang w:val="en-GB"/>
        </w:rPr>
        <w:t>, the</w:t>
      </w:r>
      <w:r w:rsidR="00B21DE1" w:rsidRPr="00907907">
        <w:rPr>
          <w:rFonts w:cs="Times New Roman"/>
          <w:lang w:val="en-GB"/>
        </w:rPr>
        <w:t xml:space="preserve"> </w:t>
      </w:r>
      <w:r w:rsidR="004D1ADB" w:rsidRPr="00907907">
        <w:rPr>
          <w:rFonts w:cs="Times New Roman"/>
          <w:lang w:val="en-GB"/>
        </w:rPr>
        <w:t>Concept Evaluation</w:t>
      </w:r>
      <w:r w:rsidR="009F43CF" w:rsidRPr="00907907">
        <w:rPr>
          <w:rFonts w:cs="Times New Roman"/>
          <w:lang w:val="en-GB"/>
        </w:rPr>
        <w:t xml:space="preserve"> (KVU) </w:t>
      </w:r>
      <w:r w:rsidR="004D1ADB" w:rsidRPr="00907907">
        <w:rPr>
          <w:rFonts w:cs="Times New Roman"/>
          <w:lang w:val="en-GB"/>
        </w:rPr>
        <w:t xml:space="preserve">report </w:t>
      </w:r>
      <w:r w:rsidR="009F43CF" w:rsidRPr="00907907">
        <w:rPr>
          <w:rFonts w:cs="Times New Roman"/>
          <w:lang w:val="en-GB"/>
        </w:rPr>
        <w:t>, which</w:t>
      </w:r>
      <w:r w:rsidR="00B21DE1" w:rsidRPr="00907907">
        <w:rPr>
          <w:rFonts w:cs="Times New Roman"/>
          <w:lang w:val="en-GB"/>
        </w:rPr>
        <w:t xml:space="preserve"> is typically made or commissioned in-house, and </w:t>
      </w:r>
      <w:r w:rsidR="00F7644E" w:rsidRPr="00907907">
        <w:rPr>
          <w:rFonts w:cs="Times New Roman"/>
          <w:lang w:val="en-GB"/>
        </w:rPr>
        <w:t xml:space="preserve">then the </w:t>
      </w:r>
      <w:r w:rsidR="00B21DE1" w:rsidRPr="00907907">
        <w:rPr>
          <w:rFonts w:cs="Times New Roman"/>
          <w:lang w:val="en-GB"/>
        </w:rPr>
        <w:t>QA1</w:t>
      </w:r>
      <w:r w:rsidR="00FB3DCD" w:rsidRPr="00907907">
        <w:rPr>
          <w:rFonts w:cs="Times New Roman"/>
          <w:lang w:val="en-GB"/>
        </w:rPr>
        <w:t>-report</w:t>
      </w:r>
      <w:r w:rsidR="00B21DE1" w:rsidRPr="00907907">
        <w:rPr>
          <w:rFonts w:cs="Times New Roman"/>
          <w:lang w:val="en-GB"/>
        </w:rPr>
        <w:t>, where external consultants quality-assure the KVU-</w:t>
      </w:r>
      <w:r w:rsidR="000E648C" w:rsidRPr="00907907">
        <w:rPr>
          <w:rFonts w:cs="Times New Roman"/>
          <w:lang w:val="en-GB"/>
        </w:rPr>
        <w:t>report</w:t>
      </w:r>
      <w:r w:rsidR="00B21DE1" w:rsidRPr="00907907">
        <w:rPr>
          <w:rFonts w:cs="Times New Roman"/>
          <w:lang w:val="en-GB"/>
        </w:rPr>
        <w:t xml:space="preserve">. </w:t>
      </w:r>
      <w:r w:rsidR="00AE314B" w:rsidRPr="00907907">
        <w:rPr>
          <w:rFonts w:cs="Times New Roman"/>
          <w:lang w:val="en-GB"/>
        </w:rPr>
        <w:t xml:space="preserve">We wish to </w:t>
      </w:r>
      <w:r w:rsidR="005927B8" w:rsidRPr="00907907">
        <w:rPr>
          <w:rFonts w:cs="Times New Roman"/>
          <w:lang w:val="en-GB"/>
        </w:rPr>
        <w:t xml:space="preserve">emphasize </w:t>
      </w:r>
      <w:r w:rsidR="00AE314B" w:rsidRPr="00907907">
        <w:rPr>
          <w:rFonts w:cs="Times New Roman"/>
          <w:lang w:val="en-GB"/>
        </w:rPr>
        <w:t>that although these fallacies are illustrated with examples from existing QA1-documentation, these fallacies are</w:t>
      </w:r>
      <w:r w:rsidR="005927B8" w:rsidRPr="00907907">
        <w:rPr>
          <w:rFonts w:cs="Times New Roman"/>
          <w:lang w:val="en-GB"/>
        </w:rPr>
        <w:t xml:space="preserve"> not</w:t>
      </w:r>
      <w:r w:rsidR="00AE314B" w:rsidRPr="00907907">
        <w:rPr>
          <w:rFonts w:cs="Times New Roman"/>
          <w:lang w:val="en-GB"/>
        </w:rPr>
        <w:t xml:space="preserve"> limited to the QA-scheme.</w:t>
      </w:r>
      <w:r w:rsidR="00B43F86" w:rsidRPr="00907907">
        <w:rPr>
          <w:rStyle w:val="EndnoteReference"/>
          <w:rFonts w:cs="Times New Roman"/>
          <w:lang w:val="en-GB"/>
        </w:rPr>
        <w:endnoteReference w:id="3"/>
      </w:r>
      <w:r w:rsidR="00AE314B" w:rsidRPr="00907907">
        <w:rPr>
          <w:rFonts w:cs="Times New Roman"/>
          <w:lang w:val="en-GB"/>
        </w:rPr>
        <w:t xml:space="preserve"> On the contrary</w:t>
      </w:r>
      <w:r w:rsidR="005927B8" w:rsidRPr="00907907">
        <w:rPr>
          <w:rFonts w:cs="Times New Roman"/>
          <w:lang w:val="en-GB"/>
        </w:rPr>
        <w:t xml:space="preserve">, </w:t>
      </w:r>
      <w:r w:rsidR="00AE314B" w:rsidRPr="00907907">
        <w:rPr>
          <w:rFonts w:cs="Times New Roman"/>
          <w:lang w:val="en-GB"/>
        </w:rPr>
        <w:t xml:space="preserve">the same or comparable fallacies surface in a number of debates regarding protected buildings. However, </w:t>
      </w:r>
      <w:r w:rsidR="005927B8" w:rsidRPr="00907907">
        <w:rPr>
          <w:rFonts w:cs="Times New Roman"/>
          <w:lang w:val="en-GB"/>
        </w:rPr>
        <w:t xml:space="preserve">since </w:t>
      </w:r>
      <w:r w:rsidR="00AE314B" w:rsidRPr="00907907">
        <w:rPr>
          <w:rFonts w:cs="Times New Roman"/>
          <w:lang w:val="en-GB"/>
        </w:rPr>
        <w:t>the QA</w:t>
      </w:r>
      <w:r w:rsidR="00F855F3" w:rsidRPr="00907907">
        <w:rPr>
          <w:rFonts w:cs="Times New Roman"/>
          <w:lang w:val="en-GB"/>
        </w:rPr>
        <w:t>1</w:t>
      </w:r>
      <w:r w:rsidR="00AE314B" w:rsidRPr="00907907">
        <w:rPr>
          <w:rFonts w:cs="Times New Roman"/>
          <w:lang w:val="en-GB"/>
        </w:rPr>
        <w:t xml:space="preserve">-documentation is </w:t>
      </w:r>
      <w:r w:rsidR="005927B8" w:rsidRPr="00907907">
        <w:rPr>
          <w:rFonts w:cs="Times New Roman"/>
          <w:lang w:val="en-GB"/>
        </w:rPr>
        <w:t xml:space="preserve">highly </w:t>
      </w:r>
      <w:r w:rsidR="00AE314B" w:rsidRPr="00907907">
        <w:rPr>
          <w:rFonts w:cs="Times New Roman"/>
          <w:lang w:val="en-GB"/>
        </w:rPr>
        <w:t>formalized</w:t>
      </w:r>
      <w:r w:rsidR="005927B8" w:rsidRPr="00907907">
        <w:rPr>
          <w:rFonts w:cs="Times New Roman"/>
          <w:lang w:val="en-GB"/>
        </w:rPr>
        <w:t>,</w:t>
      </w:r>
      <w:r w:rsidR="00AE314B" w:rsidRPr="00907907">
        <w:rPr>
          <w:rFonts w:cs="Times New Roman"/>
          <w:lang w:val="en-GB"/>
        </w:rPr>
        <w:t xml:space="preserve"> these documents present a</w:t>
      </w:r>
      <w:r w:rsidR="005927B8" w:rsidRPr="00907907">
        <w:rPr>
          <w:rFonts w:cs="Times New Roman"/>
          <w:lang w:val="en-GB"/>
        </w:rPr>
        <w:t>n</w:t>
      </w:r>
      <w:r w:rsidR="00AE314B" w:rsidRPr="00907907">
        <w:rPr>
          <w:rFonts w:cs="Times New Roman"/>
          <w:lang w:val="en-GB"/>
        </w:rPr>
        <w:t xml:space="preserve"> </w:t>
      </w:r>
      <w:r w:rsidR="005927B8" w:rsidRPr="00907907">
        <w:rPr>
          <w:rFonts w:cs="Times New Roman"/>
          <w:lang w:val="en-GB"/>
        </w:rPr>
        <w:t xml:space="preserve">opportunity </w:t>
      </w:r>
      <w:r w:rsidR="00AE314B" w:rsidRPr="00907907">
        <w:rPr>
          <w:rFonts w:cs="Times New Roman"/>
          <w:lang w:val="en-GB"/>
        </w:rPr>
        <w:t>to discuss and improve</w:t>
      </w:r>
      <w:r w:rsidR="005927B8" w:rsidRPr="00907907">
        <w:rPr>
          <w:rFonts w:cs="Times New Roman"/>
          <w:lang w:val="en-GB"/>
        </w:rPr>
        <w:t xml:space="preserve"> the</w:t>
      </w:r>
      <w:r w:rsidR="00AE314B" w:rsidRPr="00907907">
        <w:rPr>
          <w:rFonts w:cs="Times New Roman"/>
          <w:lang w:val="en-GB"/>
        </w:rPr>
        <w:t xml:space="preserve"> practise. Our intention is not necessarily to </w:t>
      </w:r>
      <w:r w:rsidR="005927B8" w:rsidRPr="00907907">
        <w:rPr>
          <w:rFonts w:cs="Times New Roman"/>
          <w:lang w:val="en-GB"/>
        </w:rPr>
        <w:t xml:space="preserve">devalue </w:t>
      </w:r>
      <w:r w:rsidR="00B229C3" w:rsidRPr="00907907">
        <w:rPr>
          <w:rFonts w:cs="Times New Roman"/>
          <w:lang w:val="en-GB"/>
        </w:rPr>
        <w:t xml:space="preserve">the </w:t>
      </w:r>
      <w:r w:rsidR="00AE314B" w:rsidRPr="00907907">
        <w:rPr>
          <w:rFonts w:cs="Times New Roman"/>
          <w:lang w:val="en-GB"/>
        </w:rPr>
        <w:t>conclusions</w:t>
      </w:r>
      <w:r w:rsidR="00B229C3" w:rsidRPr="00907907">
        <w:rPr>
          <w:rFonts w:cs="Times New Roman"/>
          <w:lang w:val="en-GB"/>
        </w:rPr>
        <w:t xml:space="preserve"> drawn</w:t>
      </w:r>
      <w:r w:rsidR="00AE314B" w:rsidRPr="00907907">
        <w:rPr>
          <w:rFonts w:cs="Times New Roman"/>
          <w:lang w:val="en-GB"/>
        </w:rPr>
        <w:t xml:space="preserve">. </w:t>
      </w:r>
      <w:r w:rsidR="005927B8" w:rsidRPr="00907907">
        <w:rPr>
          <w:rFonts w:cs="Times New Roman"/>
          <w:lang w:val="en-GB"/>
        </w:rPr>
        <w:t>F</w:t>
      </w:r>
      <w:r w:rsidR="00AE314B" w:rsidRPr="00907907">
        <w:rPr>
          <w:rFonts w:cs="Times New Roman"/>
          <w:lang w:val="en-GB"/>
        </w:rPr>
        <w:t xml:space="preserve">allacies in </w:t>
      </w:r>
      <w:r w:rsidR="00C30C0B" w:rsidRPr="00907907">
        <w:rPr>
          <w:rFonts w:cs="Times New Roman"/>
          <w:lang w:val="en-GB"/>
        </w:rPr>
        <w:t xml:space="preserve">the initial </w:t>
      </w:r>
      <w:r w:rsidR="00AE314B" w:rsidRPr="00907907">
        <w:rPr>
          <w:rFonts w:cs="Times New Roman"/>
          <w:lang w:val="en-GB"/>
        </w:rPr>
        <w:t>KVU-</w:t>
      </w:r>
      <w:r w:rsidR="00F855F3" w:rsidRPr="00907907">
        <w:rPr>
          <w:rFonts w:cs="Times New Roman"/>
          <w:lang w:val="en-GB"/>
        </w:rPr>
        <w:t xml:space="preserve">report </w:t>
      </w:r>
      <w:r w:rsidR="00AE314B" w:rsidRPr="00907907">
        <w:rPr>
          <w:rFonts w:cs="Times New Roman"/>
          <w:lang w:val="en-GB"/>
        </w:rPr>
        <w:t xml:space="preserve">can be addressed in </w:t>
      </w:r>
      <w:r w:rsidR="008D1CA3" w:rsidRPr="00907907">
        <w:rPr>
          <w:rFonts w:cs="Times New Roman"/>
          <w:lang w:val="en-GB"/>
        </w:rPr>
        <w:t xml:space="preserve">the </w:t>
      </w:r>
      <w:r w:rsidR="00AE314B" w:rsidRPr="00907907">
        <w:rPr>
          <w:rFonts w:cs="Times New Roman"/>
          <w:lang w:val="en-GB"/>
        </w:rPr>
        <w:t>QA1-</w:t>
      </w:r>
      <w:r w:rsidR="00497A90" w:rsidRPr="00907907">
        <w:rPr>
          <w:rFonts w:cs="Times New Roman"/>
          <w:lang w:val="en-GB"/>
        </w:rPr>
        <w:t>report</w:t>
      </w:r>
      <w:r w:rsidR="00AE314B" w:rsidRPr="00907907">
        <w:rPr>
          <w:rFonts w:cs="Times New Roman"/>
          <w:lang w:val="en-GB"/>
        </w:rPr>
        <w:t xml:space="preserve">, and recommendations </w:t>
      </w:r>
      <w:r w:rsidR="005927B8" w:rsidRPr="00907907">
        <w:rPr>
          <w:rFonts w:cs="Times New Roman"/>
          <w:lang w:val="en-GB"/>
        </w:rPr>
        <w:t xml:space="preserve">can be </w:t>
      </w:r>
      <w:r w:rsidR="00AE314B" w:rsidRPr="00907907">
        <w:rPr>
          <w:rFonts w:cs="Times New Roman"/>
          <w:lang w:val="en-GB"/>
        </w:rPr>
        <w:t>adjusted. The noted fallacies do</w:t>
      </w:r>
      <w:r w:rsidR="005927B8" w:rsidRPr="00907907">
        <w:rPr>
          <w:rFonts w:cs="Times New Roman"/>
          <w:lang w:val="en-GB"/>
        </w:rPr>
        <w:t>,</w:t>
      </w:r>
      <w:r w:rsidR="00AE314B" w:rsidRPr="00907907">
        <w:rPr>
          <w:rFonts w:cs="Times New Roman"/>
          <w:lang w:val="en-GB"/>
        </w:rPr>
        <w:t xml:space="preserve"> however</w:t>
      </w:r>
      <w:r w:rsidR="005927B8" w:rsidRPr="00907907">
        <w:rPr>
          <w:rFonts w:cs="Times New Roman"/>
          <w:lang w:val="en-GB"/>
        </w:rPr>
        <w:t>,</w:t>
      </w:r>
      <w:r w:rsidR="00AE314B" w:rsidRPr="00907907">
        <w:rPr>
          <w:rFonts w:cs="Times New Roman"/>
          <w:lang w:val="en-GB"/>
        </w:rPr>
        <w:t xml:space="preserve"> seem to be part of a larger, structural problem</w:t>
      </w:r>
      <w:r w:rsidR="005927B8" w:rsidRPr="00907907">
        <w:rPr>
          <w:rFonts w:cs="Times New Roman"/>
          <w:lang w:val="en-GB"/>
        </w:rPr>
        <w:t xml:space="preserve"> that</w:t>
      </w:r>
      <w:r w:rsidR="00AE314B" w:rsidRPr="00907907">
        <w:rPr>
          <w:rFonts w:cs="Times New Roman"/>
          <w:lang w:val="en-GB"/>
        </w:rPr>
        <w:t xml:space="preserve"> we wish to remedy, and the examples serve to illustrate this. </w:t>
      </w:r>
      <w:r w:rsidR="005927B8" w:rsidRPr="00907907">
        <w:rPr>
          <w:rFonts w:cs="Times New Roman"/>
          <w:lang w:val="en-GB"/>
        </w:rPr>
        <w:t xml:space="preserve">In </w:t>
      </w:r>
      <w:r w:rsidR="00AE314B" w:rsidRPr="00907907">
        <w:rPr>
          <w:rFonts w:cs="Times New Roman"/>
          <w:lang w:val="en-GB"/>
        </w:rPr>
        <w:t>the following</w:t>
      </w:r>
      <w:r w:rsidR="005927B8" w:rsidRPr="00907907">
        <w:rPr>
          <w:rFonts w:cs="Times New Roman"/>
          <w:lang w:val="en-GB"/>
        </w:rPr>
        <w:t xml:space="preserve"> paper</w:t>
      </w:r>
      <w:r w:rsidR="00AE314B" w:rsidRPr="00907907">
        <w:rPr>
          <w:rFonts w:cs="Times New Roman"/>
          <w:lang w:val="en-GB"/>
        </w:rPr>
        <w:t xml:space="preserve">, </w:t>
      </w:r>
      <w:r w:rsidR="005927B8" w:rsidRPr="00907907">
        <w:rPr>
          <w:rFonts w:cs="Times New Roman"/>
          <w:lang w:val="en-GB"/>
        </w:rPr>
        <w:t xml:space="preserve">we will </w:t>
      </w:r>
      <w:r w:rsidR="00AE314B" w:rsidRPr="00907907">
        <w:rPr>
          <w:rFonts w:cs="Times New Roman"/>
          <w:lang w:val="en-GB"/>
        </w:rPr>
        <w:t>show concrete example</w:t>
      </w:r>
      <w:r w:rsidR="00C30C0B" w:rsidRPr="00907907">
        <w:rPr>
          <w:rFonts w:cs="Times New Roman"/>
          <w:lang w:val="en-GB"/>
        </w:rPr>
        <w:t>s</w:t>
      </w:r>
      <w:r w:rsidR="00AE314B" w:rsidRPr="00907907">
        <w:rPr>
          <w:rFonts w:cs="Times New Roman"/>
          <w:lang w:val="en-GB"/>
        </w:rPr>
        <w:t xml:space="preserve"> of </w:t>
      </w:r>
      <w:r w:rsidR="00C30C0B" w:rsidRPr="00907907">
        <w:rPr>
          <w:rFonts w:cs="Times New Roman"/>
          <w:lang w:val="en-GB"/>
        </w:rPr>
        <w:t>such</w:t>
      </w:r>
      <w:r w:rsidR="00AE314B" w:rsidRPr="00907907">
        <w:rPr>
          <w:rFonts w:cs="Times New Roman"/>
          <w:lang w:val="en-GB"/>
        </w:rPr>
        <w:t xml:space="preserve"> fallac</w:t>
      </w:r>
      <w:r w:rsidR="00C30C0B" w:rsidRPr="00907907">
        <w:rPr>
          <w:rFonts w:cs="Times New Roman"/>
          <w:lang w:val="en-GB"/>
        </w:rPr>
        <w:t>ies</w:t>
      </w:r>
      <w:r w:rsidR="00AE314B" w:rsidRPr="00907907">
        <w:rPr>
          <w:rFonts w:cs="Times New Roman"/>
          <w:lang w:val="en-GB"/>
        </w:rPr>
        <w:t xml:space="preserve"> and </w:t>
      </w:r>
      <w:r w:rsidR="005927B8" w:rsidRPr="00907907">
        <w:rPr>
          <w:rFonts w:cs="Times New Roman"/>
          <w:lang w:val="en-GB"/>
        </w:rPr>
        <w:t xml:space="preserve">we will explain </w:t>
      </w:r>
      <w:r w:rsidR="00AE314B" w:rsidRPr="00907907">
        <w:rPr>
          <w:rFonts w:cs="Times New Roman"/>
          <w:lang w:val="en-GB"/>
        </w:rPr>
        <w:t xml:space="preserve">why we deem </w:t>
      </w:r>
      <w:r w:rsidR="005927B8" w:rsidRPr="00907907">
        <w:rPr>
          <w:rFonts w:cs="Times New Roman"/>
          <w:lang w:val="en-GB"/>
        </w:rPr>
        <w:t>them</w:t>
      </w:r>
      <w:r w:rsidR="000433B1" w:rsidRPr="00907907">
        <w:rPr>
          <w:rFonts w:cs="Times New Roman"/>
          <w:lang w:val="en-GB"/>
        </w:rPr>
        <w:t xml:space="preserve"> to be incorrect</w:t>
      </w:r>
      <w:r w:rsidR="00AE314B" w:rsidRPr="00907907">
        <w:rPr>
          <w:rFonts w:cs="Times New Roman"/>
          <w:lang w:val="en-GB"/>
        </w:rPr>
        <w:t>.</w:t>
      </w:r>
      <w:r w:rsidR="000433B1" w:rsidRPr="00907907">
        <w:rPr>
          <w:rFonts w:cs="Times New Roman"/>
          <w:lang w:val="en-GB"/>
        </w:rPr>
        <w:t xml:space="preserve"> </w:t>
      </w:r>
      <w:r w:rsidR="00FB3C6A" w:rsidRPr="00907907">
        <w:rPr>
          <w:rFonts w:cs="Times New Roman"/>
          <w:lang w:val="en-GB"/>
        </w:rPr>
        <w:t xml:space="preserve">There are several typical reasons for choosing a new building over renovating the old. There is the belief that a new building will have a lower environmental impact than the existing building. There is also the possibility that the protected building (such as the National Gallery) can be sold to the highest bidder, bringing in revenue and discarding any connections with the public. It has also been proposed that older buildings have dramatically inefficient indoor climates, characterized as a massive, unsolvable problem. Finally, there are claims that historical buildings of significant age have a short expected life span when compared to new buildings. Some of the documentation even blame cultural heritage </w:t>
      </w:r>
      <w:r w:rsidR="00FB3C6A" w:rsidRPr="00907907">
        <w:rPr>
          <w:rFonts w:cs="Times New Roman"/>
        </w:rPr>
        <w:t>authorities for blocking continued use of the building, but they lack any documented dialogue with the aforementioned authorities.</w:t>
      </w:r>
    </w:p>
    <w:p w14:paraId="20714450" w14:textId="08C5D168" w:rsidR="001A5D01" w:rsidRPr="00907907" w:rsidRDefault="000433B1" w:rsidP="00907907">
      <w:pPr>
        <w:rPr>
          <w:rFonts w:cs="Times New Roman"/>
          <w:lang w:val="en-GB"/>
        </w:rPr>
      </w:pPr>
      <w:r w:rsidRPr="00907907">
        <w:rPr>
          <w:rFonts w:cs="Times New Roman"/>
        </w:rPr>
        <w:t>The studied QA1</w:t>
      </w:r>
      <w:r w:rsidR="00AE314B" w:rsidRPr="00907907">
        <w:rPr>
          <w:rFonts w:cs="Times New Roman"/>
        </w:rPr>
        <w:t>-documentation</w:t>
      </w:r>
      <w:r w:rsidR="009F7721" w:rsidRPr="00907907">
        <w:rPr>
          <w:rFonts w:cs="Times New Roman"/>
        </w:rPr>
        <w:t xml:space="preserve"> and Norwegian legislation</w:t>
      </w:r>
      <w:r w:rsidR="00AE314B" w:rsidRPr="00907907">
        <w:rPr>
          <w:rFonts w:cs="Times New Roman"/>
        </w:rPr>
        <w:t xml:space="preserve"> </w:t>
      </w:r>
      <w:r w:rsidR="009F7721" w:rsidRPr="00907907">
        <w:rPr>
          <w:rFonts w:cs="Times New Roman"/>
        </w:rPr>
        <w:t xml:space="preserve">are </w:t>
      </w:r>
      <w:r w:rsidR="00AE314B" w:rsidRPr="00907907">
        <w:rPr>
          <w:rFonts w:cs="Times New Roman"/>
        </w:rPr>
        <w:t>originally</w:t>
      </w:r>
      <w:r w:rsidRPr="00907907">
        <w:rPr>
          <w:rFonts w:cs="Times New Roman"/>
        </w:rPr>
        <w:t xml:space="preserve"> written</w:t>
      </w:r>
      <w:r w:rsidR="00AE314B" w:rsidRPr="00907907">
        <w:rPr>
          <w:rFonts w:cs="Times New Roman"/>
        </w:rPr>
        <w:t xml:space="preserve"> in Norwegian, and</w:t>
      </w:r>
      <w:r w:rsidR="00AE314B" w:rsidRPr="00907907">
        <w:rPr>
          <w:rFonts w:cs="Times New Roman"/>
          <w:lang w:val="en-GB"/>
        </w:rPr>
        <w:t xml:space="preserve"> </w:t>
      </w:r>
      <w:r w:rsidR="005043EE" w:rsidRPr="00907907">
        <w:rPr>
          <w:rFonts w:cs="Times New Roman"/>
          <w:lang w:val="en-GB"/>
        </w:rPr>
        <w:t xml:space="preserve">all </w:t>
      </w:r>
      <w:r w:rsidRPr="00907907">
        <w:rPr>
          <w:rFonts w:cs="Times New Roman"/>
          <w:lang w:val="en-GB"/>
        </w:rPr>
        <w:t xml:space="preserve">quotes </w:t>
      </w:r>
      <w:r w:rsidR="009F7721" w:rsidRPr="00907907">
        <w:rPr>
          <w:rFonts w:cs="Times New Roman"/>
          <w:lang w:val="en-GB"/>
        </w:rPr>
        <w:t xml:space="preserve">are </w:t>
      </w:r>
      <w:r w:rsidR="00AE314B" w:rsidRPr="00907907">
        <w:rPr>
          <w:rFonts w:cs="Times New Roman"/>
          <w:lang w:val="en-GB"/>
        </w:rPr>
        <w:t xml:space="preserve">translated to English </w:t>
      </w:r>
      <w:r w:rsidR="005927B8" w:rsidRPr="00907907">
        <w:rPr>
          <w:rFonts w:cs="Times New Roman"/>
          <w:lang w:val="en-GB"/>
        </w:rPr>
        <w:t xml:space="preserve">by the authors </w:t>
      </w:r>
      <w:r w:rsidR="00AE314B" w:rsidRPr="00907907">
        <w:rPr>
          <w:rFonts w:cs="Times New Roman"/>
          <w:lang w:val="en-GB"/>
        </w:rPr>
        <w:t xml:space="preserve">for the purpose of this </w:t>
      </w:r>
      <w:r w:rsidR="00280318" w:rsidRPr="00907907">
        <w:rPr>
          <w:rFonts w:cs="Times New Roman"/>
          <w:lang w:val="en-GB"/>
        </w:rPr>
        <w:t>paper</w:t>
      </w:r>
      <w:r w:rsidR="00AE314B" w:rsidRPr="00907907">
        <w:rPr>
          <w:rFonts w:cs="Times New Roman"/>
          <w:lang w:val="en-GB"/>
        </w:rPr>
        <w:t>.</w:t>
      </w:r>
    </w:p>
    <w:p w14:paraId="503DAE90" w14:textId="77777777" w:rsidR="00E4232A" w:rsidRPr="003436AC" w:rsidRDefault="00E4232A" w:rsidP="00DF44A4">
      <w:pPr>
        <w:pStyle w:val="Heading2"/>
        <w:rPr>
          <w:rFonts w:cs="Times New Roman"/>
          <w:sz w:val="24"/>
          <w:szCs w:val="24"/>
          <w:lang w:val="en-GB"/>
        </w:rPr>
      </w:pPr>
      <w:r w:rsidRPr="003436AC">
        <w:rPr>
          <w:rFonts w:cs="Times New Roman"/>
          <w:sz w:val="24"/>
          <w:szCs w:val="24"/>
          <w:lang w:val="en-GB"/>
        </w:rPr>
        <w:t>Method</w:t>
      </w:r>
    </w:p>
    <w:p w14:paraId="2FBA6586" w14:textId="0DE8A28F" w:rsidR="008A6729" w:rsidRDefault="00C22AF4" w:rsidP="00E40F16">
      <w:pPr>
        <w:rPr>
          <w:rFonts w:cs="Times New Roman"/>
          <w:lang w:val="en-GB"/>
        </w:rPr>
      </w:pPr>
      <w:r>
        <w:rPr>
          <w:rFonts w:cs="Times New Roman"/>
          <w:lang w:val="en-GB"/>
        </w:rPr>
        <w:t xml:space="preserve">The method for this research is document analysis. We have collected and examined QA1-documentation for </w:t>
      </w:r>
      <w:r w:rsidR="00E40F16">
        <w:rPr>
          <w:rFonts w:cs="Times New Roman"/>
          <w:lang w:val="en-GB"/>
        </w:rPr>
        <w:t xml:space="preserve">all </w:t>
      </w:r>
      <w:r>
        <w:rPr>
          <w:rFonts w:cs="Times New Roman"/>
          <w:lang w:val="en-GB"/>
        </w:rPr>
        <w:t xml:space="preserve">QA1-projects with protected buildings in the existing situation. </w:t>
      </w:r>
      <w:r w:rsidR="00FE2D3F" w:rsidRPr="00907907">
        <w:rPr>
          <w:rFonts w:cs="Times New Roman"/>
          <w:lang w:val="en-GB"/>
        </w:rPr>
        <w:t>The research program Concept is dedicated to research on the Norwegian QA-scheme.</w:t>
      </w:r>
      <w:r w:rsidR="00591790" w:rsidRPr="00907907">
        <w:rPr>
          <w:rFonts w:cs="Times New Roman"/>
          <w:lang w:val="en-GB"/>
        </w:rPr>
        <w:t xml:space="preserve"> The research program´s </w:t>
      </w:r>
      <w:r w:rsidR="00FE2D3F" w:rsidRPr="00907907">
        <w:rPr>
          <w:rFonts w:cs="Times New Roman"/>
          <w:lang w:val="en-GB"/>
        </w:rPr>
        <w:t>database</w:t>
      </w:r>
      <w:r w:rsidR="005927B8" w:rsidRPr="00907907">
        <w:rPr>
          <w:rFonts w:cs="Times New Roman"/>
          <w:lang w:val="en-GB"/>
        </w:rPr>
        <w:t>,</w:t>
      </w:r>
      <w:r w:rsidR="00591790" w:rsidRPr="00907907">
        <w:rPr>
          <w:rFonts w:cs="Times New Roman"/>
          <w:lang w:val="en-GB"/>
        </w:rPr>
        <w:t xml:space="preserve"> </w:t>
      </w:r>
      <w:r w:rsidR="00B229C3" w:rsidRPr="00907907">
        <w:rPr>
          <w:rFonts w:cs="Times New Roman"/>
          <w:lang w:val="en-GB"/>
        </w:rPr>
        <w:t>‘</w:t>
      </w:r>
      <w:r w:rsidR="00591790" w:rsidRPr="00907907">
        <w:rPr>
          <w:rFonts w:cs="Times New Roman"/>
          <w:lang w:val="en-GB"/>
        </w:rPr>
        <w:t>Trailbase</w:t>
      </w:r>
      <w:r w:rsidR="00B229C3" w:rsidRPr="00907907">
        <w:rPr>
          <w:rFonts w:cs="Times New Roman"/>
          <w:lang w:val="en-GB"/>
        </w:rPr>
        <w:t xml:space="preserve">’, </w:t>
      </w:r>
      <w:r w:rsidR="00591790" w:rsidRPr="00907907">
        <w:rPr>
          <w:rFonts w:cs="Times New Roman"/>
          <w:lang w:val="en-GB"/>
        </w:rPr>
        <w:t>collects the performed QA-</w:t>
      </w:r>
      <w:r w:rsidR="00D23E9F" w:rsidRPr="00907907">
        <w:rPr>
          <w:rFonts w:cs="Times New Roman"/>
          <w:lang w:val="en-GB"/>
        </w:rPr>
        <w:t xml:space="preserve">documentation </w:t>
      </w:r>
      <w:r w:rsidR="00591790" w:rsidRPr="00907907">
        <w:rPr>
          <w:rFonts w:cs="Times New Roman"/>
          <w:lang w:val="en-GB"/>
        </w:rPr>
        <w:t xml:space="preserve">and associated documents and </w:t>
      </w:r>
      <w:r w:rsidR="00221FA2" w:rsidRPr="00907907">
        <w:rPr>
          <w:rFonts w:cs="Times New Roman"/>
          <w:lang w:val="en-GB"/>
        </w:rPr>
        <w:t xml:space="preserve">has </w:t>
      </w:r>
      <w:r w:rsidR="00591790" w:rsidRPr="00907907">
        <w:rPr>
          <w:rFonts w:cs="Times New Roman"/>
          <w:lang w:val="en-GB"/>
        </w:rPr>
        <w:t>provide</w:t>
      </w:r>
      <w:r w:rsidR="00B229C3" w:rsidRPr="00907907">
        <w:rPr>
          <w:rFonts w:cs="Times New Roman"/>
          <w:lang w:val="en-GB"/>
        </w:rPr>
        <w:t>d</w:t>
      </w:r>
      <w:r w:rsidR="00591790" w:rsidRPr="00907907">
        <w:rPr>
          <w:rFonts w:cs="Times New Roman"/>
          <w:lang w:val="en-GB"/>
        </w:rPr>
        <w:t xml:space="preserve"> </w:t>
      </w:r>
      <w:r w:rsidR="00B229C3" w:rsidRPr="00907907">
        <w:rPr>
          <w:rFonts w:cs="Times New Roman"/>
          <w:lang w:val="en-GB"/>
        </w:rPr>
        <w:t xml:space="preserve">important </w:t>
      </w:r>
      <w:r w:rsidR="00591790" w:rsidRPr="00907907">
        <w:rPr>
          <w:rFonts w:cs="Times New Roman"/>
          <w:lang w:val="en-GB"/>
        </w:rPr>
        <w:t>information for this research.</w:t>
      </w:r>
      <w:r w:rsidR="00A73A87" w:rsidRPr="00E40F16">
        <w:endnoteReference w:id="4"/>
      </w:r>
      <w:r w:rsidR="00591790" w:rsidRPr="00907907">
        <w:rPr>
          <w:rFonts w:cs="Times New Roman"/>
          <w:lang w:val="en-GB"/>
        </w:rPr>
        <w:t xml:space="preserve"> </w:t>
      </w:r>
      <w:r w:rsidR="00193497" w:rsidRPr="00907907">
        <w:rPr>
          <w:rFonts w:cs="Times New Roman"/>
          <w:lang w:val="en-GB"/>
        </w:rPr>
        <w:t xml:space="preserve">The dataset consists of all </w:t>
      </w:r>
      <w:r w:rsidR="008D2991" w:rsidRPr="00907907">
        <w:rPr>
          <w:rFonts w:cs="Times New Roman"/>
          <w:lang w:val="en-GB"/>
        </w:rPr>
        <w:t>KVU/</w:t>
      </w:r>
      <w:r w:rsidR="00193497" w:rsidRPr="00907907">
        <w:rPr>
          <w:rFonts w:cs="Times New Roman"/>
          <w:lang w:val="en-GB"/>
        </w:rPr>
        <w:t xml:space="preserve">QA1-reports regarding building projects </w:t>
      </w:r>
      <w:r w:rsidR="00E40F16">
        <w:rPr>
          <w:rFonts w:cs="Times New Roman"/>
          <w:lang w:val="en-GB"/>
        </w:rPr>
        <w:t xml:space="preserve">in Trailbase </w:t>
      </w:r>
      <w:r w:rsidR="00221FA2" w:rsidRPr="00907907">
        <w:rPr>
          <w:rFonts w:cs="Times New Roman"/>
          <w:lang w:val="en-GB"/>
        </w:rPr>
        <w:t xml:space="preserve">with </w:t>
      </w:r>
      <w:r w:rsidR="00193497" w:rsidRPr="00907907">
        <w:rPr>
          <w:rFonts w:cs="Times New Roman"/>
          <w:lang w:val="en-GB"/>
        </w:rPr>
        <w:t>buildings protected as cultural heritage</w:t>
      </w:r>
      <w:r w:rsidR="00221FA2" w:rsidRPr="00907907">
        <w:rPr>
          <w:rFonts w:cs="Times New Roman"/>
          <w:lang w:val="en-GB"/>
        </w:rPr>
        <w:t xml:space="preserve"> in the </w:t>
      </w:r>
      <w:r w:rsidR="007B0690" w:rsidRPr="00907907">
        <w:rPr>
          <w:rFonts w:cs="Times New Roman"/>
          <w:lang w:val="en-GB"/>
        </w:rPr>
        <w:t>existing situation</w:t>
      </w:r>
      <w:r w:rsidR="008A6729" w:rsidRPr="00907907">
        <w:rPr>
          <w:rFonts w:cs="Times New Roman"/>
          <w:lang w:val="en-GB"/>
        </w:rPr>
        <w:t>, listed in the table below</w:t>
      </w:r>
      <w:r w:rsidR="00E40F16">
        <w:rPr>
          <w:rFonts w:cs="Times New Roman"/>
          <w:lang w:val="en-GB"/>
        </w:rPr>
        <w:t xml:space="preserve">. </w:t>
      </w:r>
    </w:p>
    <w:p w14:paraId="61EE4C0E" w14:textId="2B7BCF7B" w:rsidR="00E40F16" w:rsidRPr="00907907" w:rsidRDefault="00E40F16" w:rsidP="00E40F16">
      <w:pPr>
        <w:rPr>
          <w:rFonts w:cs="Times New Roman"/>
          <w:lang w:val="en-GB"/>
        </w:rPr>
      </w:pPr>
      <w:r>
        <w:rPr>
          <w:rFonts w:cs="Times New Roman"/>
          <w:lang w:val="en-GB"/>
        </w:rPr>
        <w:t>The collected documentation has been examined for judgement regarding potentially vacated protected buildings</w:t>
      </w:r>
      <w:r w:rsidR="00355D55">
        <w:rPr>
          <w:rFonts w:cs="Times New Roman"/>
          <w:lang w:val="en-GB"/>
        </w:rPr>
        <w:t xml:space="preserve"> qualities, values and potential</w:t>
      </w:r>
      <w:r>
        <w:rPr>
          <w:rFonts w:cs="Times New Roman"/>
          <w:lang w:val="en-GB"/>
        </w:rPr>
        <w:t>.</w:t>
      </w:r>
      <w:r w:rsidR="00355D55">
        <w:rPr>
          <w:rFonts w:cs="Times New Roman"/>
          <w:lang w:val="en-GB"/>
        </w:rPr>
        <w:t xml:space="preserve"> The validity of these </w:t>
      </w:r>
      <w:r w:rsidR="00055B80">
        <w:rPr>
          <w:rFonts w:cs="Times New Roman"/>
          <w:lang w:val="en-GB"/>
        </w:rPr>
        <w:t>assessments</w:t>
      </w:r>
      <w:r w:rsidR="00355D55">
        <w:rPr>
          <w:rFonts w:cs="Times New Roman"/>
          <w:lang w:val="en-GB"/>
        </w:rPr>
        <w:t xml:space="preserve"> has been discussed, and those </w:t>
      </w:r>
      <w:r w:rsidR="00055B80">
        <w:rPr>
          <w:rFonts w:cs="Times New Roman"/>
          <w:lang w:val="en-GB"/>
        </w:rPr>
        <w:t>conclusions</w:t>
      </w:r>
      <w:r w:rsidR="00355D55">
        <w:rPr>
          <w:rFonts w:cs="Times New Roman"/>
          <w:lang w:val="en-GB"/>
        </w:rPr>
        <w:t xml:space="preserve"> that c</w:t>
      </w:r>
      <w:r w:rsidR="00055B80">
        <w:rPr>
          <w:rFonts w:cs="Times New Roman"/>
          <w:lang w:val="en-GB"/>
        </w:rPr>
        <w:t>ould</w:t>
      </w:r>
      <w:r w:rsidR="00355D55">
        <w:rPr>
          <w:rFonts w:cs="Times New Roman"/>
          <w:lang w:val="en-GB"/>
        </w:rPr>
        <w:t xml:space="preserve"> be </w:t>
      </w:r>
      <w:r w:rsidR="00055B80">
        <w:rPr>
          <w:rFonts w:cs="Times New Roman"/>
          <w:lang w:val="en-GB"/>
        </w:rPr>
        <w:t xml:space="preserve">disputed and </w:t>
      </w:r>
      <w:r w:rsidR="00355D55">
        <w:rPr>
          <w:rFonts w:cs="Times New Roman"/>
          <w:lang w:val="en-GB"/>
        </w:rPr>
        <w:t xml:space="preserve">categorized as fallacies, are </w:t>
      </w:r>
      <w:r w:rsidR="00055B80">
        <w:rPr>
          <w:rFonts w:cs="Times New Roman"/>
          <w:lang w:val="en-GB"/>
        </w:rPr>
        <w:t>discussed in this paper.</w:t>
      </w:r>
    </w:p>
    <w:p w14:paraId="3262E59D" w14:textId="77777777" w:rsidR="00E32555" w:rsidRDefault="00E32555">
      <w:pPr>
        <w:rPr>
          <w:rFonts w:cs="Times New Roman"/>
          <w:b/>
          <w:sz w:val="24"/>
          <w:szCs w:val="24"/>
          <w:lang w:val="en-GB"/>
        </w:rPr>
      </w:pPr>
      <w:r>
        <w:rPr>
          <w:rFonts w:cs="Times New Roman"/>
          <w:bCs/>
          <w:sz w:val="24"/>
          <w:szCs w:val="24"/>
          <w:lang w:val="en-GB"/>
        </w:rPr>
        <w:br w:type="page"/>
      </w:r>
    </w:p>
    <w:p w14:paraId="466E2B1A" w14:textId="6EC5B94E" w:rsidR="00D51956" w:rsidRPr="00907907" w:rsidRDefault="00D51956" w:rsidP="00D51956">
      <w:pPr>
        <w:pStyle w:val="Caption"/>
        <w:keepNext/>
        <w:rPr>
          <w:color w:val="auto"/>
          <w:sz w:val="22"/>
          <w:szCs w:val="22"/>
        </w:rPr>
      </w:pPr>
      <w:r w:rsidRPr="00907907">
        <w:rPr>
          <w:color w:val="auto"/>
          <w:sz w:val="22"/>
          <w:szCs w:val="22"/>
        </w:rPr>
        <w:t xml:space="preserve">Table </w:t>
      </w:r>
      <w:r w:rsidRPr="00907907">
        <w:rPr>
          <w:color w:val="auto"/>
          <w:sz w:val="22"/>
          <w:szCs w:val="22"/>
        </w:rPr>
        <w:fldChar w:fldCharType="begin"/>
      </w:r>
      <w:r w:rsidRPr="00907907">
        <w:rPr>
          <w:color w:val="auto"/>
          <w:sz w:val="22"/>
          <w:szCs w:val="22"/>
        </w:rPr>
        <w:instrText xml:space="preserve"> SEQ Table \* ARABIC </w:instrText>
      </w:r>
      <w:r w:rsidRPr="00907907">
        <w:rPr>
          <w:color w:val="auto"/>
          <w:sz w:val="22"/>
          <w:szCs w:val="22"/>
        </w:rPr>
        <w:fldChar w:fldCharType="separate"/>
      </w:r>
      <w:r w:rsidRPr="00907907">
        <w:rPr>
          <w:noProof/>
          <w:color w:val="auto"/>
          <w:sz w:val="22"/>
          <w:szCs w:val="22"/>
        </w:rPr>
        <w:t>1</w:t>
      </w:r>
      <w:r w:rsidRPr="00907907">
        <w:rPr>
          <w:color w:val="auto"/>
          <w:sz w:val="22"/>
          <w:szCs w:val="22"/>
        </w:rPr>
        <w:fldChar w:fldCharType="end"/>
      </w:r>
      <w:r w:rsidRPr="00907907">
        <w:rPr>
          <w:rFonts w:cs="Times New Roman"/>
          <w:bCs w:val="0"/>
          <w:color w:val="auto"/>
          <w:sz w:val="22"/>
          <w:szCs w:val="22"/>
          <w:lang w:val="en-GB"/>
        </w:rPr>
        <w:t xml:space="preserve"> </w:t>
      </w:r>
      <w:r w:rsidRPr="00907907">
        <w:rPr>
          <w:color w:val="auto"/>
          <w:sz w:val="22"/>
          <w:szCs w:val="22"/>
          <w:lang w:val="en-GB"/>
        </w:rPr>
        <w:t>Dataset: QA1-reports regarding building projects with buildings protected as cultural heritage in the existing situation</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208"/>
        <w:gridCol w:w="6926"/>
      </w:tblGrid>
      <w:tr w:rsidR="00B436D8" w:rsidRPr="000D697A" w14:paraId="2D01EEBB" w14:textId="77777777" w:rsidTr="003436AC">
        <w:tc>
          <w:tcPr>
            <w:tcW w:w="0" w:type="auto"/>
            <w:tcBorders>
              <w:right w:val="nil"/>
            </w:tcBorders>
          </w:tcPr>
          <w:p w14:paraId="13BC5312" w14:textId="77777777" w:rsidR="00B436D8" w:rsidRPr="003925F0" w:rsidRDefault="00B436D8" w:rsidP="003436AC">
            <w:pPr>
              <w:pStyle w:val="tabledense"/>
              <w:keepNext/>
              <w:keepLines/>
              <w:spacing w:before="200"/>
              <w:outlineLvl w:val="4"/>
              <w:rPr>
                <w:b/>
                <w:sz w:val="22"/>
                <w:szCs w:val="22"/>
                <w:lang w:val="en-GB"/>
              </w:rPr>
            </w:pPr>
            <w:r w:rsidRPr="003925F0">
              <w:rPr>
                <w:b/>
                <w:sz w:val="22"/>
                <w:szCs w:val="22"/>
                <w:lang w:val="en-GB"/>
              </w:rPr>
              <w:t>Project</w:t>
            </w:r>
          </w:p>
        </w:tc>
        <w:tc>
          <w:tcPr>
            <w:tcW w:w="0" w:type="auto"/>
            <w:tcBorders>
              <w:left w:val="nil"/>
            </w:tcBorders>
          </w:tcPr>
          <w:p w14:paraId="3ACB86DF" w14:textId="77777777" w:rsidR="00B436D8" w:rsidRPr="003925F0" w:rsidRDefault="00B436D8" w:rsidP="00DF44A4">
            <w:pPr>
              <w:pStyle w:val="tabledense"/>
              <w:keepNext/>
              <w:keepLines/>
              <w:spacing w:before="200"/>
              <w:outlineLvl w:val="4"/>
              <w:rPr>
                <w:b/>
                <w:sz w:val="22"/>
                <w:szCs w:val="22"/>
                <w:lang w:val="en-GB"/>
              </w:rPr>
            </w:pPr>
            <w:r w:rsidRPr="003925F0">
              <w:rPr>
                <w:b/>
                <w:sz w:val="22"/>
                <w:szCs w:val="22"/>
                <w:lang w:val="en-GB"/>
              </w:rPr>
              <w:t>Buildings in the existing situation with juridical protection as cultural heritage</w:t>
            </w:r>
          </w:p>
        </w:tc>
      </w:tr>
      <w:tr w:rsidR="00B436D8" w:rsidRPr="000D697A" w14:paraId="3C34BB2D" w14:textId="77777777" w:rsidTr="003436AC">
        <w:tc>
          <w:tcPr>
            <w:tcW w:w="0" w:type="auto"/>
            <w:tcBorders>
              <w:right w:val="nil"/>
            </w:tcBorders>
          </w:tcPr>
          <w:p w14:paraId="3E304DFB" w14:textId="77777777" w:rsidR="00B436D8" w:rsidRPr="003925F0" w:rsidRDefault="00B436D8" w:rsidP="003436AC">
            <w:pPr>
              <w:pStyle w:val="tabledense"/>
              <w:rPr>
                <w:sz w:val="22"/>
                <w:szCs w:val="22"/>
                <w:lang w:val="en-GB"/>
              </w:rPr>
            </w:pPr>
            <w:r w:rsidRPr="003925F0">
              <w:rPr>
                <w:sz w:val="22"/>
                <w:szCs w:val="22"/>
                <w:lang w:val="en-GB"/>
              </w:rPr>
              <w:t>National museum</w:t>
            </w:r>
          </w:p>
        </w:tc>
        <w:tc>
          <w:tcPr>
            <w:tcW w:w="0" w:type="auto"/>
            <w:tcBorders>
              <w:left w:val="nil"/>
            </w:tcBorders>
          </w:tcPr>
          <w:p w14:paraId="5E2C6C0D" w14:textId="77777777" w:rsidR="00B436D8" w:rsidRPr="003925F0" w:rsidRDefault="00B436D8" w:rsidP="003436AC">
            <w:pPr>
              <w:pStyle w:val="tabledense"/>
              <w:rPr>
                <w:sz w:val="22"/>
                <w:szCs w:val="22"/>
                <w:lang w:val="en-GB"/>
              </w:rPr>
            </w:pPr>
            <w:r w:rsidRPr="003925F0">
              <w:rPr>
                <w:sz w:val="22"/>
                <w:szCs w:val="22"/>
                <w:lang w:val="en-GB"/>
              </w:rPr>
              <w:t xml:space="preserve">National Gallery </w:t>
            </w:r>
          </w:p>
          <w:p w14:paraId="693A0EB4" w14:textId="77777777" w:rsidR="00B436D8" w:rsidRPr="003925F0" w:rsidRDefault="00B436D8" w:rsidP="003436AC">
            <w:pPr>
              <w:pStyle w:val="tabledense"/>
              <w:rPr>
                <w:bCs/>
                <w:sz w:val="22"/>
                <w:szCs w:val="22"/>
                <w:lang w:val="en-GB"/>
              </w:rPr>
            </w:pPr>
            <w:r w:rsidRPr="003925F0">
              <w:rPr>
                <w:bCs/>
                <w:sz w:val="22"/>
                <w:szCs w:val="22"/>
                <w:lang w:val="en-GB"/>
              </w:rPr>
              <w:t>The Museum of Decorative Arts and Design</w:t>
            </w:r>
          </w:p>
          <w:p w14:paraId="73530360" w14:textId="77777777" w:rsidR="00B436D8" w:rsidRPr="003925F0" w:rsidRDefault="00B436D8" w:rsidP="003436AC">
            <w:pPr>
              <w:pStyle w:val="tabledense"/>
              <w:rPr>
                <w:bCs/>
                <w:sz w:val="22"/>
                <w:szCs w:val="22"/>
                <w:lang w:val="en-GB"/>
              </w:rPr>
            </w:pPr>
            <w:r w:rsidRPr="003925F0">
              <w:rPr>
                <w:bCs/>
                <w:sz w:val="22"/>
                <w:szCs w:val="22"/>
                <w:lang w:val="en-GB"/>
              </w:rPr>
              <w:t>The Museum of Contemporary Art</w:t>
            </w:r>
          </w:p>
          <w:p w14:paraId="52B580F8" w14:textId="77777777" w:rsidR="00B436D8" w:rsidRPr="003925F0" w:rsidRDefault="00B436D8" w:rsidP="003436AC">
            <w:pPr>
              <w:pStyle w:val="tabledense"/>
              <w:rPr>
                <w:sz w:val="22"/>
                <w:szCs w:val="22"/>
                <w:lang w:val="en-GB"/>
              </w:rPr>
            </w:pPr>
            <w:r w:rsidRPr="003925F0">
              <w:rPr>
                <w:sz w:val="22"/>
                <w:szCs w:val="22"/>
                <w:lang w:val="en-GB"/>
              </w:rPr>
              <w:t xml:space="preserve"> (The central bank of Norway´s second building)</w:t>
            </w:r>
          </w:p>
          <w:p w14:paraId="1821971E" w14:textId="77777777" w:rsidR="00B436D8" w:rsidRPr="003925F0" w:rsidRDefault="00B436D8" w:rsidP="003436AC">
            <w:pPr>
              <w:pStyle w:val="tabledense"/>
              <w:rPr>
                <w:bCs/>
                <w:sz w:val="22"/>
                <w:szCs w:val="22"/>
                <w:lang w:val="en-GB"/>
              </w:rPr>
            </w:pPr>
            <w:r w:rsidRPr="003925F0">
              <w:rPr>
                <w:bCs/>
                <w:sz w:val="22"/>
                <w:szCs w:val="22"/>
                <w:lang w:val="en-GB"/>
              </w:rPr>
              <w:t>The National Museum – Architecture</w:t>
            </w:r>
          </w:p>
          <w:p w14:paraId="5BAF1863" w14:textId="77777777" w:rsidR="00B436D8" w:rsidRPr="003925F0" w:rsidRDefault="00B436D8" w:rsidP="003436AC">
            <w:pPr>
              <w:pStyle w:val="tabledense"/>
              <w:rPr>
                <w:sz w:val="22"/>
                <w:szCs w:val="22"/>
                <w:lang w:val="en-GB"/>
              </w:rPr>
            </w:pPr>
            <w:r w:rsidRPr="003925F0">
              <w:rPr>
                <w:sz w:val="22"/>
                <w:szCs w:val="22"/>
                <w:lang w:val="en-GB"/>
              </w:rPr>
              <w:t>(The central bank of Norway´s original building) with</w:t>
            </w:r>
          </w:p>
          <w:p w14:paraId="67477A89" w14:textId="77777777" w:rsidR="00B436D8" w:rsidRPr="003925F0" w:rsidRDefault="00B436D8" w:rsidP="003436AC">
            <w:pPr>
              <w:pStyle w:val="tabledense"/>
              <w:rPr>
                <w:sz w:val="22"/>
                <w:szCs w:val="22"/>
                <w:lang w:val="en-GB"/>
              </w:rPr>
            </w:pPr>
            <w:r w:rsidRPr="003925F0">
              <w:rPr>
                <w:sz w:val="22"/>
                <w:szCs w:val="22"/>
                <w:lang w:val="en-GB"/>
              </w:rPr>
              <w:t xml:space="preserve">Jens Ulltveit-Moe´s pavilion, by Pritzker Architecture Prize laureate  Sverre Fehn </w:t>
            </w:r>
          </w:p>
        </w:tc>
      </w:tr>
      <w:tr w:rsidR="00B436D8" w:rsidRPr="000D697A" w14:paraId="0E6D31FB" w14:textId="77777777" w:rsidTr="003436AC">
        <w:tc>
          <w:tcPr>
            <w:tcW w:w="0" w:type="auto"/>
            <w:tcBorders>
              <w:right w:val="nil"/>
            </w:tcBorders>
          </w:tcPr>
          <w:p w14:paraId="12FB8551" w14:textId="5EA16AB8" w:rsidR="00B436D8" w:rsidRPr="003925F0" w:rsidRDefault="00B436D8" w:rsidP="003436AC">
            <w:pPr>
              <w:pStyle w:val="tabledense"/>
              <w:rPr>
                <w:sz w:val="22"/>
                <w:szCs w:val="22"/>
                <w:lang w:val="en-GB"/>
              </w:rPr>
            </w:pPr>
            <w:r w:rsidRPr="003925F0">
              <w:rPr>
                <w:sz w:val="22"/>
                <w:szCs w:val="22"/>
                <w:lang w:val="en-GB"/>
              </w:rPr>
              <w:t>Norwegian School of Veterinary Science</w:t>
            </w:r>
          </w:p>
        </w:tc>
        <w:tc>
          <w:tcPr>
            <w:tcW w:w="0" w:type="auto"/>
            <w:tcBorders>
              <w:left w:val="nil"/>
            </w:tcBorders>
          </w:tcPr>
          <w:p w14:paraId="7A93AD53" w14:textId="467DD340" w:rsidR="00B436D8" w:rsidRPr="003925F0" w:rsidRDefault="00B436D8" w:rsidP="00907907">
            <w:pPr>
              <w:pStyle w:val="tabledense"/>
              <w:rPr>
                <w:sz w:val="22"/>
                <w:szCs w:val="22"/>
                <w:lang w:val="en-GB"/>
              </w:rPr>
            </w:pPr>
            <w:r w:rsidRPr="003925F0">
              <w:rPr>
                <w:sz w:val="22"/>
                <w:szCs w:val="22"/>
                <w:lang w:val="en-GB"/>
              </w:rPr>
              <w:t>10 buildings at Campus Adamstuen</w:t>
            </w:r>
          </w:p>
        </w:tc>
      </w:tr>
      <w:tr w:rsidR="00B436D8" w:rsidRPr="000D697A" w14:paraId="3036A425" w14:textId="77777777" w:rsidTr="003436AC">
        <w:tc>
          <w:tcPr>
            <w:tcW w:w="0" w:type="auto"/>
            <w:tcBorders>
              <w:right w:val="nil"/>
            </w:tcBorders>
          </w:tcPr>
          <w:p w14:paraId="0E232229" w14:textId="77777777" w:rsidR="00B436D8" w:rsidRPr="003925F0" w:rsidRDefault="00B436D8" w:rsidP="003436AC">
            <w:pPr>
              <w:pStyle w:val="tabledense"/>
              <w:rPr>
                <w:sz w:val="22"/>
                <w:szCs w:val="22"/>
                <w:lang w:val="en-GB"/>
              </w:rPr>
            </w:pPr>
            <w:r w:rsidRPr="003925F0">
              <w:rPr>
                <w:sz w:val="22"/>
                <w:szCs w:val="22"/>
                <w:lang w:val="en-GB"/>
              </w:rPr>
              <w:t>Museum of Cultural History</w:t>
            </w:r>
          </w:p>
        </w:tc>
        <w:tc>
          <w:tcPr>
            <w:tcW w:w="0" w:type="auto"/>
            <w:tcBorders>
              <w:left w:val="nil"/>
            </w:tcBorders>
          </w:tcPr>
          <w:p w14:paraId="74E2264E" w14:textId="77777777" w:rsidR="00B436D8" w:rsidRPr="003925F0" w:rsidRDefault="00B436D8" w:rsidP="003436AC">
            <w:pPr>
              <w:pStyle w:val="tabledense"/>
              <w:rPr>
                <w:sz w:val="22"/>
                <w:szCs w:val="22"/>
                <w:lang w:val="en-GB"/>
              </w:rPr>
            </w:pPr>
            <w:r w:rsidRPr="003925F0">
              <w:rPr>
                <w:sz w:val="22"/>
                <w:szCs w:val="22"/>
                <w:lang w:val="en-GB"/>
              </w:rPr>
              <w:t>The Viking Ship Museum</w:t>
            </w:r>
          </w:p>
          <w:p w14:paraId="22E46D02" w14:textId="77777777" w:rsidR="00B436D8" w:rsidRPr="003925F0" w:rsidRDefault="00B436D8" w:rsidP="003436AC">
            <w:pPr>
              <w:pStyle w:val="tabledense"/>
              <w:rPr>
                <w:sz w:val="22"/>
                <w:szCs w:val="22"/>
                <w:lang w:val="en-GB"/>
              </w:rPr>
            </w:pPr>
            <w:r w:rsidRPr="003925F0">
              <w:rPr>
                <w:sz w:val="22"/>
                <w:szCs w:val="22"/>
                <w:lang w:val="en-GB"/>
              </w:rPr>
              <w:t>The Historical Museum </w:t>
            </w:r>
          </w:p>
        </w:tc>
      </w:tr>
      <w:tr w:rsidR="00B436D8" w:rsidRPr="000D697A" w14:paraId="06509739" w14:textId="77777777" w:rsidTr="003436AC">
        <w:tc>
          <w:tcPr>
            <w:tcW w:w="0" w:type="auto"/>
            <w:tcBorders>
              <w:right w:val="nil"/>
            </w:tcBorders>
          </w:tcPr>
          <w:p w14:paraId="3B43DEAE" w14:textId="77777777" w:rsidR="00B436D8" w:rsidRPr="003925F0" w:rsidRDefault="00B436D8" w:rsidP="003436AC">
            <w:pPr>
              <w:pStyle w:val="tabledense"/>
              <w:rPr>
                <w:sz w:val="22"/>
                <w:szCs w:val="22"/>
                <w:lang w:val="en-GB"/>
              </w:rPr>
            </w:pPr>
            <w:r w:rsidRPr="003925F0">
              <w:rPr>
                <w:sz w:val="22"/>
                <w:szCs w:val="22"/>
                <w:lang w:val="en-GB"/>
              </w:rPr>
              <w:t>New Government Quarters</w:t>
            </w:r>
          </w:p>
        </w:tc>
        <w:tc>
          <w:tcPr>
            <w:tcW w:w="0" w:type="auto"/>
            <w:tcBorders>
              <w:left w:val="nil"/>
            </w:tcBorders>
          </w:tcPr>
          <w:p w14:paraId="35C29EBD" w14:textId="77777777" w:rsidR="00B436D8" w:rsidRPr="003925F0" w:rsidRDefault="00B436D8" w:rsidP="003436AC">
            <w:pPr>
              <w:pStyle w:val="tabledense"/>
              <w:rPr>
                <w:sz w:val="22"/>
                <w:szCs w:val="22"/>
                <w:lang w:val="en-GB"/>
              </w:rPr>
            </w:pPr>
            <w:r w:rsidRPr="003925F0">
              <w:rPr>
                <w:sz w:val="22"/>
                <w:szCs w:val="22"/>
                <w:lang w:val="en-GB"/>
              </w:rPr>
              <w:t>13 buildings and 1 outdoor area, including two buildings with Picasso murals</w:t>
            </w:r>
          </w:p>
        </w:tc>
      </w:tr>
      <w:tr w:rsidR="00B436D8" w:rsidRPr="000D697A" w14:paraId="64A26971" w14:textId="77777777" w:rsidTr="003436AC">
        <w:tc>
          <w:tcPr>
            <w:tcW w:w="0" w:type="auto"/>
            <w:tcBorders>
              <w:right w:val="nil"/>
            </w:tcBorders>
          </w:tcPr>
          <w:p w14:paraId="5CC62206" w14:textId="77777777" w:rsidR="00B436D8" w:rsidRPr="003925F0" w:rsidRDefault="00B436D8" w:rsidP="003436AC">
            <w:pPr>
              <w:pStyle w:val="tabledense"/>
              <w:rPr>
                <w:sz w:val="22"/>
                <w:szCs w:val="22"/>
                <w:lang w:val="en-GB"/>
              </w:rPr>
            </w:pPr>
            <w:r w:rsidRPr="003925F0">
              <w:rPr>
                <w:sz w:val="22"/>
                <w:szCs w:val="22"/>
                <w:lang w:val="en-GB"/>
              </w:rPr>
              <w:t>Future location of Campus NTNU</w:t>
            </w:r>
          </w:p>
        </w:tc>
        <w:tc>
          <w:tcPr>
            <w:tcW w:w="0" w:type="auto"/>
            <w:tcBorders>
              <w:left w:val="nil"/>
            </w:tcBorders>
          </w:tcPr>
          <w:p w14:paraId="3814227D" w14:textId="77777777" w:rsidR="00B436D8" w:rsidRPr="003925F0" w:rsidRDefault="00B436D8" w:rsidP="003436AC">
            <w:pPr>
              <w:pStyle w:val="tabledense"/>
              <w:rPr>
                <w:sz w:val="22"/>
                <w:szCs w:val="22"/>
                <w:lang w:val="en-GB"/>
              </w:rPr>
            </w:pPr>
            <w:r w:rsidRPr="003925F0">
              <w:rPr>
                <w:sz w:val="22"/>
                <w:szCs w:val="22"/>
                <w:lang w:val="en-GB"/>
              </w:rPr>
              <w:t xml:space="preserve">9 buildings and 2 outdoor areas </w:t>
            </w:r>
          </w:p>
          <w:p w14:paraId="777BD4DF" w14:textId="77777777" w:rsidR="00B436D8" w:rsidRPr="003925F0" w:rsidRDefault="00B436D8" w:rsidP="003436AC">
            <w:pPr>
              <w:pStyle w:val="tabledense"/>
              <w:spacing w:beforeAutospacing="1" w:after="100" w:afterAutospacing="1"/>
              <w:rPr>
                <w:sz w:val="22"/>
                <w:szCs w:val="22"/>
                <w:lang w:val="en-GB"/>
              </w:rPr>
            </w:pPr>
          </w:p>
        </w:tc>
      </w:tr>
      <w:tr w:rsidR="00B436D8" w:rsidRPr="000D697A" w14:paraId="264ADDDE" w14:textId="77777777" w:rsidTr="003436AC">
        <w:tc>
          <w:tcPr>
            <w:tcW w:w="0" w:type="auto"/>
            <w:tcBorders>
              <w:right w:val="nil"/>
            </w:tcBorders>
          </w:tcPr>
          <w:p w14:paraId="45B40CC3" w14:textId="77777777" w:rsidR="00B436D8" w:rsidRPr="003925F0" w:rsidRDefault="00B436D8" w:rsidP="003436AC">
            <w:pPr>
              <w:pStyle w:val="tabledense"/>
              <w:rPr>
                <w:sz w:val="22"/>
                <w:szCs w:val="22"/>
                <w:lang w:val="en-GB"/>
              </w:rPr>
            </w:pPr>
            <w:r w:rsidRPr="003925F0">
              <w:rPr>
                <w:sz w:val="22"/>
                <w:szCs w:val="22"/>
                <w:lang w:val="en-GB"/>
              </w:rPr>
              <w:t>National Theatre</w:t>
            </w:r>
          </w:p>
        </w:tc>
        <w:tc>
          <w:tcPr>
            <w:tcW w:w="0" w:type="auto"/>
            <w:tcBorders>
              <w:left w:val="nil"/>
            </w:tcBorders>
          </w:tcPr>
          <w:p w14:paraId="275A6038" w14:textId="77777777" w:rsidR="00B436D8" w:rsidRPr="003925F0" w:rsidRDefault="00B436D8" w:rsidP="003436AC">
            <w:pPr>
              <w:pStyle w:val="tabledense"/>
              <w:rPr>
                <w:sz w:val="22"/>
                <w:szCs w:val="22"/>
                <w:lang w:val="en-GB"/>
              </w:rPr>
            </w:pPr>
            <w:r w:rsidRPr="003925F0">
              <w:rPr>
                <w:sz w:val="22"/>
                <w:szCs w:val="22"/>
                <w:lang w:val="en-GB"/>
              </w:rPr>
              <w:t>The National Theatre</w:t>
            </w:r>
          </w:p>
          <w:p w14:paraId="512A13D8" w14:textId="77777777" w:rsidR="00B436D8" w:rsidRPr="003925F0" w:rsidRDefault="00B436D8" w:rsidP="003436AC">
            <w:pPr>
              <w:pStyle w:val="tabledense"/>
              <w:rPr>
                <w:sz w:val="22"/>
                <w:szCs w:val="22"/>
                <w:lang w:val="en-GB"/>
              </w:rPr>
            </w:pPr>
            <w:r w:rsidRPr="003925F0">
              <w:rPr>
                <w:sz w:val="22"/>
                <w:szCs w:val="22"/>
                <w:lang w:val="en-GB"/>
              </w:rPr>
              <w:t>The Torshov Theatre</w:t>
            </w:r>
          </w:p>
          <w:p w14:paraId="56481498" w14:textId="77777777" w:rsidR="00B436D8" w:rsidRPr="003925F0" w:rsidRDefault="00B436D8" w:rsidP="003436AC">
            <w:pPr>
              <w:pStyle w:val="tabledense"/>
              <w:rPr>
                <w:sz w:val="22"/>
                <w:szCs w:val="22"/>
                <w:lang w:val="en-GB"/>
              </w:rPr>
            </w:pPr>
            <w:r w:rsidRPr="003925F0">
              <w:rPr>
                <w:sz w:val="22"/>
                <w:szCs w:val="22"/>
                <w:lang w:val="en-GB"/>
              </w:rPr>
              <w:t>The outdoor area known as "Studenterlunden"</w:t>
            </w:r>
          </w:p>
        </w:tc>
      </w:tr>
      <w:tr w:rsidR="00B436D8" w:rsidRPr="000D697A" w14:paraId="1AB19586" w14:textId="77777777" w:rsidTr="003436AC">
        <w:tc>
          <w:tcPr>
            <w:tcW w:w="0" w:type="auto"/>
            <w:tcBorders>
              <w:right w:val="nil"/>
            </w:tcBorders>
          </w:tcPr>
          <w:p w14:paraId="212E4E8A" w14:textId="77777777" w:rsidR="00B436D8" w:rsidRPr="003925F0" w:rsidRDefault="00B436D8" w:rsidP="003436AC">
            <w:pPr>
              <w:pStyle w:val="tabledense"/>
              <w:rPr>
                <w:sz w:val="22"/>
                <w:szCs w:val="22"/>
                <w:lang w:val="en-GB"/>
              </w:rPr>
            </w:pPr>
            <w:r w:rsidRPr="003925F0">
              <w:rPr>
                <w:sz w:val="22"/>
                <w:szCs w:val="22"/>
                <w:lang w:val="en-GB"/>
              </w:rPr>
              <w:t>The National Stage</w:t>
            </w:r>
          </w:p>
        </w:tc>
        <w:tc>
          <w:tcPr>
            <w:tcW w:w="0" w:type="auto"/>
            <w:tcBorders>
              <w:left w:val="nil"/>
            </w:tcBorders>
          </w:tcPr>
          <w:p w14:paraId="0887C327" w14:textId="77777777" w:rsidR="00B436D8" w:rsidRPr="003925F0" w:rsidRDefault="00B436D8" w:rsidP="003436AC">
            <w:pPr>
              <w:pStyle w:val="tabledense"/>
              <w:rPr>
                <w:sz w:val="22"/>
                <w:szCs w:val="22"/>
                <w:lang w:val="en-GB"/>
              </w:rPr>
            </w:pPr>
            <w:r w:rsidRPr="003925F0">
              <w:rPr>
                <w:sz w:val="22"/>
                <w:szCs w:val="22"/>
                <w:lang w:val="en-GB"/>
              </w:rPr>
              <w:t xml:space="preserve">The theatre building with surrounding park, </w:t>
            </w:r>
          </w:p>
          <w:p w14:paraId="5B56596D" w14:textId="77777777" w:rsidR="00B436D8" w:rsidRPr="003925F0" w:rsidRDefault="00B436D8" w:rsidP="003436AC">
            <w:pPr>
              <w:pStyle w:val="tabledense"/>
              <w:rPr>
                <w:sz w:val="22"/>
                <w:szCs w:val="22"/>
                <w:lang w:val="en-GB"/>
              </w:rPr>
            </w:pPr>
            <w:r w:rsidRPr="003925F0">
              <w:rPr>
                <w:sz w:val="22"/>
                <w:szCs w:val="22"/>
                <w:lang w:val="en-GB"/>
              </w:rPr>
              <w:t>situated on protected ground from the medieval period</w:t>
            </w:r>
          </w:p>
        </w:tc>
      </w:tr>
      <w:tr w:rsidR="00B436D8" w:rsidRPr="000D697A" w14:paraId="6029675C" w14:textId="77777777" w:rsidTr="003436AC">
        <w:tc>
          <w:tcPr>
            <w:tcW w:w="0" w:type="auto"/>
            <w:tcBorders>
              <w:right w:val="nil"/>
            </w:tcBorders>
          </w:tcPr>
          <w:p w14:paraId="29C1F0E0" w14:textId="77777777" w:rsidR="00B436D8" w:rsidRPr="003925F0" w:rsidRDefault="00B436D8" w:rsidP="00DF44A4">
            <w:pPr>
              <w:pStyle w:val="tabledense"/>
              <w:keepNext/>
              <w:keepLines/>
              <w:spacing w:before="200"/>
              <w:outlineLvl w:val="3"/>
              <w:rPr>
                <w:sz w:val="22"/>
                <w:szCs w:val="22"/>
                <w:lang w:val="en-GB"/>
              </w:rPr>
            </w:pPr>
            <w:r w:rsidRPr="003925F0">
              <w:rPr>
                <w:sz w:val="22"/>
                <w:szCs w:val="22"/>
                <w:lang w:val="en-GB"/>
              </w:rPr>
              <w:t>2Tullinløkka Area</w:t>
            </w:r>
          </w:p>
        </w:tc>
        <w:tc>
          <w:tcPr>
            <w:tcW w:w="0" w:type="auto"/>
            <w:tcBorders>
              <w:left w:val="nil"/>
            </w:tcBorders>
          </w:tcPr>
          <w:p w14:paraId="104287E3" w14:textId="77777777" w:rsidR="00B436D8" w:rsidRPr="003925F0" w:rsidRDefault="00B436D8" w:rsidP="003436AC">
            <w:pPr>
              <w:pStyle w:val="tabledense"/>
              <w:rPr>
                <w:sz w:val="22"/>
                <w:szCs w:val="22"/>
                <w:lang w:val="en-GB"/>
              </w:rPr>
            </w:pPr>
            <w:r w:rsidRPr="003925F0">
              <w:rPr>
                <w:sz w:val="22"/>
                <w:szCs w:val="22"/>
                <w:lang w:val="en-GB"/>
              </w:rPr>
              <w:t xml:space="preserve">The National Gallery </w:t>
            </w:r>
          </w:p>
          <w:p w14:paraId="6363C004" w14:textId="77777777" w:rsidR="00B436D8" w:rsidRPr="003925F0" w:rsidRDefault="00B436D8" w:rsidP="003436AC">
            <w:pPr>
              <w:pStyle w:val="tabledense"/>
              <w:rPr>
                <w:sz w:val="22"/>
                <w:szCs w:val="22"/>
                <w:lang w:val="en-GB"/>
              </w:rPr>
            </w:pPr>
            <w:r w:rsidRPr="003925F0">
              <w:rPr>
                <w:sz w:val="22"/>
                <w:szCs w:val="22"/>
                <w:lang w:val="en-GB"/>
              </w:rPr>
              <w:t>St. Olavsgate 32, former The Norwegian Mapping Authority and Oslo National Academy of the Arts, including outdoor area with obelisk that used to be Norway´s standard datum plane.</w:t>
            </w:r>
          </w:p>
          <w:p w14:paraId="04CA4E45" w14:textId="77777777" w:rsidR="00B436D8" w:rsidRPr="003925F0" w:rsidRDefault="00B436D8" w:rsidP="003436AC">
            <w:pPr>
              <w:pStyle w:val="tabledense"/>
              <w:rPr>
                <w:sz w:val="22"/>
                <w:szCs w:val="22"/>
                <w:lang w:val="en-GB"/>
              </w:rPr>
            </w:pPr>
            <w:r w:rsidRPr="003925F0">
              <w:rPr>
                <w:sz w:val="22"/>
                <w:szCs w:val="22"/>
                <w:lang w:val="en-GB"/>
              </w:rPr>
              <w:t xml:space="preserve"> The University in Oslo has two buildings in the area: Frederiks gate 2 (the Historical Museum) and Frederiks gate 3. </w:t>
            </w:r>
          </w:p>
        </w:tc>
      </w:tr>
      <w:tr w:rsidR="00B436D8" w:rsidRPr="000D697A" w14:paraId="4D1A38C4" w14:textId="77777777" w:rsidTr="003436AC">
        <w:tc>
          <w:tcPr>
            <w:tcW w:w="0" w:type="auto"/>
            <w:tcBorders>
              <w:right w:val="nil"/>
            </w:tcBorders>
          </w:tcPr>
          <w:p w14:paraId="2F6F1A67" w14:textId="77777777" w:rsidR="00B436D8" w:rsidRPr="003925F0" w:rsidRDefault="00B436D8" w:rsidP="003436AC">
            <w:pPr>
              <w:pStyle w:val="tabledense"/>
              <w:rPr>
                <w:sz w:val="22"/>
                <w:szCs w:val="22"/>
                <w:lang w:val="en-GB"/>
              </w:rPr>
            </w:pPr>
            <w:r w:rsidRPr="003925F0">
              <w:rPr>
                <w:sz w:val="22"/>
                <w:szCs w:val="22"/>
                <w:lang w:val="en-GB"/>
              </w:rPr>
              <w:t>New Courthouse in Bergen</w:t>
            </w:r>
          </w:p>
        </w:tc>
        <w:tc>
          <w:tcPr>
            <w:tcW w:w="0" w:type="auto"/>
            <w:tcBorders>
              <w:left w:val="nil"/>
            </w:tcBorders>
          </w:tcPr>
          <w:p w14:paraId="54549D0F" w14:textId="77777777" w:rsidR="00B436D8" w:rsidRPr="003925F0" w:rsidRDefault="00B436D8" w:rsidP="003436AC">
            <w:pPr>
              <w:pStyle w:val="tabledense"/>
              <w:rPr>
                <w:sz w:val="22"/>
                <w:szCs w:val="22"/>
                <w:lang w:val="en-GB"/>
              </w:rPr>
            </w:pPr>
            <w:r w:rsidRPr="003925F0">
              <w:rPr>
                <w:sz w:val="22"/>
                <w:szCs w:val="22"/>
                <w:lang w:val="en-GB"/>
              </w:rPr>
              <w:t>The existing town courthouse, situated on protected ground from the medieval period</w:t>
            </w:r>
          </w:p>
        </w:tc>
      </w:tr>
    </w:tbl>
    <w:p w14:paraId="641E098D" w14:textId="77777777" w:rsidR="00907907" w:rsidRDefault="00907907" w:rsidP="00907907">
      <w:pPr>
        <w:rPr>
          <w:rFonts w:cs="Times New Roman"/>
          <w:lang w:val="en-GB"/>
        </w:rPr>
      </w:pPr>
    </w:p>
    <w:p w14:paraId="6E52DC56" w14:textId="77777777" w:rsidR="0060040B" w:rsidRPr="00907907" w:rsidRDefault="0060040B" w:rsidP="00907907">
      <w:pPr>
        <w:rPr>
          <w:rFonts w:cs="Times New Roman"/>
          <w:lang w:val="en-GB"/>
        </w:rPr>
      </w:pPr>
    </w:p>
    <w:p w14:paraId="5AE5B3E0" w14:textId="643EF1F3" w:rsidR="00B436D8" w:rsidRDefault="00B62AD8" w:rsidP="00907907">
      <w:pPr>
        <w:rPr>
          <w:rFonts w:cs="Times New Roman"/>
        </w:rPr>
      </w:pPr>
      <w:r w:rsidRPr="00907907">
        <w:rPr>
          <w:rFonts w:cs="Times New Roman"/>
          <w:lang w:val="en-GB"/>
        </w:rPr>
        <w:t xml:space="preserve">According to the Norwegian Cultural Heritage Act, there is a strong connection between juridical protection and architectural quality, as the Cultural Heritage Act </w:t>
      </w:r>
      <w:r w:rsidR="00ED208E" w:rsidRPr="00907907">
        <w:rPr>
          <w:rFonts w:cs="Times New Roman"/>
          <w:lang w:val="en-GB"/>
        </w:rPr>
        <w:t>juxtapose</w:t>
      </w:r>
      <w:r w:rsidR="00B229C3" w:rsidRPr="00907907">
        <w:rPr>
          <w:rFonts w:cs="Times New Roman"/>
          <w:lang w:val="en-GB"/>
        </w:rPr>
        <w:t>s</w:t>
      </w:r>
      <w:r w:rsidR="00ED208E" w:rsidRPr="00907907">
        <w:rPr>
          <w:rFonts w:cs="Times New Roman"/>
          <w:lang w:val="en-GB"/>
        </w:rPr>
        <w:t xml:space="preserve"> historical and </w:t>
      </w:r>
      <w:r w:rsidR="00ED208E" w:rsidRPr="00907907">
        <w:rPr>
          <w:rFonts w:cs="Times New Roman"/>
        </w:rPr>
        <w:t>architectural qualities as grounds for juridical protection.</w:t>
      </w:r>
      <w:r w:rsidR="00BD4830" w:rsidRPr="00C22AF4">
        <w:rPr>
          <w:vertAlign w:val="superscript"/>
        </w:rPr>
        <w:endnoteReference w:id="5"/>
      </w:r>
    </w:p>
    <w:p w14:paraId="52C43CCC" w14:textId="77777777" w:rsidR="00C22AF4" w:rsidRDefault="00C22AF4" w:rsidP="00907907">
      <w:pPr>
        <w:rPr>
          <w:rFonts w:cs="Times New Roman"/>
        </w:rPr>
      </w:pPr>
    </w:p>
    <w:p w14:paraId="4D5D40A4" w14:textId="0D85A7F3" w:rsidR="00C22AF4" w:rsidRPr="00907907" w:rsidRDefault="00C22AF4" w:rsidP="00C22AF4">
      <w:pPr>
        <w:pStyle w:val="Heading1"/>
      </w:pPr>
      <w:r>
        <w:t>Findings</w:t>
      </w:r>
    </w:p>
    <w:p w14:paraId="036408B2" w14:textId="44B23559" w:rsidR="00317B35" w:rsidRPr="00907907" w:rsidRDefault="00FF3BDD" w:rsidP="00907907">
      <w:pPr>
        <w:rPr>
          <w:rFonts w:cs="Times New Roman"/>
        </w:rPr>
      </w:pPr>
      <w:r w:rsidRPr="00907907">
        <w:rPr>
          <w:rFonts w:cs="Times New Roman"/>
        </w:rPr>
        <w:t xml:space="preserve">Searching </w:t>
      </w:r>
      <w:r w:rsidR="005867EF" w:rsidRPr="00907907">
        <w:rPr>
          <w:rFonts w:cs="Times New Roman"/>
        </w:rPr>
        <w:t>through</w:t>
      </w:r>
      <w:r w:rsidRPr="00907907">
        <w:rPr>
          <w:rFonts w:cs="Times New Roman"/>
        </w:rPr>
        <w:t xml:space="preserve"> </w:t>
      </w:r>
      <w:r w:rsidR="001637C3" w:rsidRPr="00907907">
        <w:rPr>
          <w:rFonts w:cs="Times New Roman"/>
        </w:rPr>
        <w:t xml:space="preserve">the collected </w:t>
      </w:r>
      <w:r w:rsidR="00637E4E" w:rsidRPr="00907907">
        <w:rPr>
          <w:rFonts w:cs="Times New Roman"/>
        </w:rPr>
        <w:t>QA1-</w:t>
      </w:r>
      <w:r w:rsidRPr="00907907">
        <w:rPr>
          <w:rFonts w:cs="Times New Roman"/>
        </w:rPr>
        <w:t xml:space="preserve">documents, we found a series of unfounded fallacies connected to the </w:t>
      </w:r>
      <w:r w:rsidR="008302FD" w:rsidRPr="00907907">
        <w:rPr>
          <w:rFonts w:cs="Times New Roman"/>
        </w:rPr>
        <w:t>economic</w:t>
      </w:r>
      <w:r w:rsidRPr="00907907">
        <w:rPr>
          <w:rFonts w:cs="Times New Roman"/>
          <w:lang w:val="en-GB"/>
        </w:rPr>
        <w:t xml:space="preserve"> </w:t>
      </w:r>
      <w:r w:rsidR="000340C9" w:rsidRPr="00907907">
        <w:rPr>
          <w:rFonts w:cs="Times New Roman"/>
          <w:lang w:val="en-GB"/>
        </w:rPr>
        <w:t>analysis’ evaluation</w:t>
      </w:r>
      <w:r w:rsidRPr="00907907">
        <w:rPr>
          <w:rFonts w:cs="Times New Roman"/>
          <w:lang w:val="en-GB"/>
        </w:rPr>
        <w:t xml:space="preserve"> of </w:t>
      </w:r>
      <w:r w:rsidR="00A9544C" w:rsidRPr="00907907">
        <w:rPr>
          <w:rFonts w:cs="Times New Roman"/>
          <w:lang w:val="en-GB"/>
        </w:rPr>
        <w:t>protected</w:t>
      </w:r>
      <w:r w:rsidR="00B229C3" w:rsidRPr="00907907">
        <w:rPr>
          <w:rFonts w:cs="Times New Roman"/>
          <w:lang w:val="en-GB"/>
        </w:rPr>
        <w:t xml:space="preserve"> buildings</w:t>
      </w:r>
      <w:r w:rsidRPr="00907907">
        <w:rPr>
          <w:rFonts w:cs="Times New Roman"/>
          <w:lang w:val="en-GB"/>
        </w:rPr>
        <w:t xml:space="preserve"> and </w:t>
      </w:r>
      <w:r w:rsidR="00B229C3" w:rsidRPr="00907907">
        <w:rPr>
          <w:rFonts w:cs="Times New Roman"/>
          <w:lang w:val="en-GB"/>
        </w:rPr>
        <w:t xml:space="preserve">their </w:t>
      </w:r>
      <w:r w:rsidRPr="00907907">
        <w:rPr>
          <w:rFonts w:cs="Times New Roman"/>
          <w:lang w:val="en-GB"/>
        </w:rPr>
        <w:t>potential for use. The total</w:t>
      </w:r>
      <w:r w:rsidR="00B229C3" w:rsidRPr="00907907">
        <w:rPr>
          <w:rFonts w:cs="Times New Roman"/>
          <w:lang w:val="en-GB"/>
        </w:rPr>
        <w:t>ity</w:t>
      </w:r>
      <w:r w:rsidRPr="00907907">
        <w:rPr>
          <w:rFonts w:cs="Times New Roman"/>
          <w:lang w:val="en-GB"/>
        </w:rPr>
        <w:t xml:space="preserve"> of these fallacies does not </w:t>
      </w:r>
      <w:r w:rsidR="001972FF" w:rsidRPr="00907907">
        <w:rPr>
          <w:rFonts w:cs="Times New Roman"/>
          <w:lang w:val="en-GB"/>
        </w:rPr>
        <w:t xml:space="preserve">bode well for </w:t>
      </w:r>
      <w:r w:rsidR="00F642B9" w:rsidRPr="00907907">
        <w:rPr>
          <w:rFonts w:cs="Times New Roman"/>
          <w:lang w:val="en-GB"/>
        </w:rPr>
        <w:t xml:space="preserve">the standing of </w:t>
      </w:r>
      <w:r w:rsidR="001972FF" w:rsidRPr="00907907">
        <w:rPr>
          <w:rFonts w:cs="Times New Roman"/>
          <w:lang w:val="en-GB"/>
        </w:rPr>
        <w:t xml:space="preserve">cultural heritage </w:t>
      </w:r>
      <w:r w:rsidR="00F642B9" w:rsidRPr="00907907">
        <w:rPr>
          <w:rFonts w:cs="Times New Roman"/>
          <w:lang w:val="en-GB"/>
        </w:rPr>
        <w:t>under</w:t>
      </w:r>
      <w:r w:rsidRPr="00907907">
        <w:rPr>
          <w:rFonts w:cs="Times New Roman"/>
          <w:lang w:val="en-GB"/>
        </w:rPr>
        <w:t xml:space="preserve"> economic analysis. To shed light on this </w:t>
      </w:r>
      <w:r w:rsidR="00960927" w:rsidRPr="00907907">
        <w:rPr>
          <w:rFonts w:cs="Times New Roman"/>
          <w:lang w:val="en-GB"/>
        </w:rPr>
        <w:t>shortcoming</w:t>
      </w:r>
      <w:r w:rsidRPr="00907907">
        <w:rPr>
          <w:rFonts w:cs="Times New Roman"/>
          <w:lang w:val="en-GB"/>
        </w:rPr>
        <w:t xml:space="preserve"> and to avoid further misunderstandings, this article will address a selection</w:t>
      </w:r>
      <w:r w:rsidR="00960927" w:rsidRPr="00907907">
        <w:rPr>
          <w:rFonts w:cs="Times New Roman"/>
          <w:lang w:val="en-GB"/>
        </w:rPr>
        <w:t xml:space="preserve"> of fallacies</w:t>
      </w:r>
      <w:r w:rsidRPr="00907907">
        <w:rPr>
          <w:rFonts w:cs="Times New Roman"/>
          <w:lang w:val="en-GB"/>
        </w:rPr>
        <w:t>, with examples.</w:t>
      </w:r>
      <w:r w:rsidR="00EE5B3C" w:rsidRPr="00907907">
        <w:rPr>
          <w:rFonts w:cs="Times New Roman"/>
          <w:lang w:val="en-GB"/>
        </w:rPr>
        <w:t xml:space="preserve"> </w:t>
      </w:r>
      <w:r w:rsidR="00266CEC" w:rsidRPr="00907907">
        <w:rPr>
          <w:rFonts w:cs="Times New Roman"/>
          <w:lang w:val="en-GB"/>
        </w:rPr>
        <w:t xml:space="preserve">By referring to existing knowledge and research, we </w:t>
      </w:r>
      <w:r w:rsidR="00EE5B3C" w:rsidRPr="00907907">
        <w:rPr>
          <w:rFonts w:cs="Times New Roman"/>
          <w:lang w:val="en-GB"/>
        </w:rPr>
        <w:t>will show that these fallacies are either overtly simplifie</w:t>
      </w:r>
      <w:r w:rsidR="001A5D01" w:rsidRPr="00907907">
        <w:rPr>
          <w:rFonts w:cs="Times New Roman"/>
          <w:lang w:val="en-GB"/>
        </w:rPr>
        <w:t>d</w:t>
      </w:r>
      <w:r w:rsidR="00EE5B3C" w:rsidRPr="00907907">
        <w:rPr>
          <w:rFonts w:cs="Times New Roman"/>
          <w:lang w:val="en-GB"/>
        </w:rPr>
        <w:t xml:space="preserve"> or </w:t>
      </w:r>
      <w:r w:rsidR="00266CEC" w:rsidRPr="00907907">
        <w:rPr>
          <w:rFonts w:cs="Times New Roman"/>
          <w:lang w:val="en-GB"/>
        </w:rPr>
        <w:t xml:space="preserve">outright </w:t>
      </w:r>
      <w:r w:rsidR="00EE5B3C" w:rsidRPr="00907907">
        <w:rPr>
          <w:rFonts w:cs="Times New Roman"/>
          <w:lang w:val="en-GB"/>
        </w:rPr>
        <w:t>wrong</w:t>
      </w:r>
      <w:r w:rsidR="00960927" w:rsidRPr="00907907">
        <w:rPr>
          <w:rFonts w:cs="Times New Roman"/>
          <w:lang w:val="en-GB"/>
        </w:rPr>
        <w:t xml:space="preserve">. </w:t>
      </w:r>
      <w:r w:rsidR="00EE5B3C" w:rsidRPr="00907907">
        <w:rPr>
          <w:rFonts w:cs="Times New Roman"/>
          <w:lang w:val="en-GB"/>
        </w:rPr>
        <w:t xml:space="preserve">The statements we address need not be </w:t>
      </w:r>
      <w:r w:rsidR="008302FD" w:rsidRPr="00907907">
        <w:rPr>
          <w:rFonts w:cs="Times New Roman"/>
          <w:lang w:val="en-GB"/>
        </w:rPr>
        <w:t>indisputably</w:t>
      </w:r>
      <w:r w:rsidR="00EE5B3C" w:rsidRPr="00907907">
        <w:rPr>
          <w:rFonts w:cs="Times New Roman"/>
          <w:lang w:val="en-GB"/>
        </w:rPr>
        <w:t xml:space="preserve"> wrong</w:t>
      </w:r>
      <w:r w:rsidR="00F642B9" w:rsidRPr="00907907">
        <w:rPr>
          <w:rFonts w:cs="Times New Roman"/>
          <w:lang w:val="en-GB"/>
        </w:rPr>
        <w:t xml:space="preserve"> as</w:t>
      </w:r>
      <w:r w:rsidR="001A5D01" w:rsidRPr="00907907">
        <w:rPr>
          <w:rFonts w:cs="Times New Roman"/>
          <w:lang w:val="en-GB"/>
        </w:rPr>
        <w:t xml:space="preserve"> </w:t>
      </w:r>
      <w:r w:rsidR="00EE5B3C" w:rsidRPr="00907907">
        <w:rPr>
          <w:rFonts w:cs="Times New Roman"/>
          <w:lang w:val="en-GB"/>
        </w:rPr>
        <w:t xml:space="preserve">the answer to </w:t>
      </w:r>
      <w:r w:rsidR="008302FD" w:rsidRPr="00907907">
        <w:rPr>
          <w:rFonts w:cs="Times New Roman"/>
          <w:lang w:val="en-GB"/>
        </w:rPr>
        <w:t>difficult</w:t>
      </w:r>
      <w:r w:rsidR="00EE5B3C" w:rsidRPr="00907907">
        <w:rPr>
          <w:rFonts w:cs="Times New Roman"/>
          <w:lang w:val="en-GB"/>
        </w:rPr>
        <w:t xml:space="preserve"> questions can </w:t>
      </w:r>
      <w:r w:rsidR="00F642B9" w:rsidRPr="00907907">
        <w:rPr>
          <w:rFonts w:cs="Times New Roman"/>
          <w:lang w:val="en-GB"/>
        </w:rPr>
        <w:t xml:space="preserve">consist of </w:t>
      </w:r>
      <w:r w:rsidR="00EE5B3C" w:rsidRPr="00907907">
        <w:rPr>
          <w:rFonts w:cs="Times New Roman"/>
          <w:lang w:val="en-GB"/>
        </w:rPr>
        <w:t xml:space="preserve">a broad array of nuances. </w:t>
      </w:r>
      <w:r w:rsidR="00220AFC" w:rsidRPr="00907907">
        <w:rPr>
          <w:rFonts w:cs="Times New Roman"/>
          <w:lang w:val="en-GB"/>
        </w:rPr>
        <w:t>These</w:t>
      </w:r>
      <w:r w:rsidR="00EE5B3C" w:rsidRPr="00907907">
        <w:rPr>
          <w:rFonts w:cs="Times New Roman"/>
          <w:lang w:val="en-GB"/>
        </w:rPr>
        <w:t xml:space="preserve"> nuances can go amiss if a field is evaluated by non-specialist and when</w:t>
      </w:r>
      <w:r w:rsidR="00F642B9" w:rsidRPr="00907907">
        <w:rPr>
          <w:rFonts w:cs="Times New Roman"/>
          <w:lang w:val="en-GB"/>
        </w:rPr>
        <w:t xml:space="preserve"> the</w:t>
      </w:r>
      <w:r w:rsidR="00EE5B3C" w:rsidRPr="00907907">
        <w:rPr>
          <w:rFonts w:cs="Times New Roman"/>
          <w:lang w:val="en-GB"/>
        </w:rPr>
        <w:t xml:space="preserve"> different </w:t>
      </w:r>
      <w:r w:rsidR="00613F09" w:rsidRPr="00907907">
        <w:rPr>
          <w:rFonts w:cs="Times New Roman"/>
          <w:lang w:val="en-GB"/>
        </w:rPr>
        <w:t>professional</w:t>
      </w:r>
      <w:r w:rsidR="00EE5B3C" w:rsidRPr="00907907">
        <w:rPr>
          <w:rFonts w:cs="Times New Roman"/>
          <w:lang w:val="en-GB"/>
        </w:rPr>
        <w:t xml:space="preserve"> groups </w:t>
      </w:r>
      <w:r w:rsidR="00F642B9" w:rsidRPr="00907907">
        <w:rPr>
          <w:rFonts w:cs="Times New Roman"/>
          <w:lang w:val="en-GB"/>
        </w:rPr>
        <w:t>involved are</w:t>
      </w:r>
      <w:r w:rsidR="00EE5B3C" w:rsidRPr="00907907">
        <w:rPr>
          <w:rFonts w:cs="Times New Roman"/>
          <w:lang w:val="en-GB"/>
        </w:rPr>
        <w:t xml:space="preserve"> </w:t>
      </w:r>
      <w:r w:rsidR="00F642B9" w:rsidRPr="00907907">
        <w:rPr>
          <w:rFonts w:cs="Times New Roman"/>
          <w:lang w:val="en-GB"/>
        </w:rPr>
        <w:t>working</w:t>
      </w:r>
      <w:r w:rsidR="00EE5B3C" w:rsidRPr="00907907">
        <w:rPr>
          <w:rFonts w:cs="Times New Roman"/>
          <w:lang w:val="en-GB"/>
        </w:rPr>
        <w:t xml:space="preserve"> without</w:t>
      </w:r>
      <w:r w:rsidR="00F642B9" w:rsidRPr="00907907">
        <w:rPr>
          <w:rFonts w:cs="Times New Roman"/>
          <w:lang w:val="en-GB"/>
        </w:rPr>
        <w:t xml:space="preserve"> a</w:t>
      </w:r>
      <w:r w:rsidR="00EE5B3C" w:rsidRPr="00907907">
        <w:rPr>
          <w:rFonts w:cs="Times New Roman"/>
          <w:lang w:val="en-GB"/>
        </w:rPr>
        <w:t xml:space="preserve"> common, professional language.</w:t>
      </w:r>
      <w:r w:rsidR="00364096" w:rsidRPr="00907907">
        <w:rPr>
          <w:rStyle w:val="EndnoteReference"/>
          <w:rFonts w:cs="Times New Roman"/>
          <w:lang w:val="en-GB"/>
        </w:rPr>
        <w:endnoteReference w:id="6"/>
      </w:r>
      <w:r w:rsidR="00EE5B3C" w:rsidRPr="00907907">
        <w:rPr>
          <w:rFonts w:cs="Times New Roman"/>
          <w:lang w:val="en-GB"/>
        </w:rPr>
        <w:t xml:space="preserve"> </w:t>
      </w:r>
      <w:r w:rsidR="00613F09" w:rsidRPr="00907907">
        <w:rPr>
          <w:rFonts w:cs="Times New Roman"/>
          <w:lang w:val="en-GB"/>
        </w:rPr>
        <w:t xml:space="preserve">The </w:t>
      </w:r>
      <w:r w:rsidR="00266CEC" w:rsidRPr="00907907">
        <w:rPr>
          <w:rFonts w:cs="Times New Roman"/>
          <w:lang w:val="en-GB"/>
        </w:rPr>
        <w:t xml:space="preserve">complete </w:t>
      </w:r>
      <w:r w:rsidR="00613F09" w:rsidRPr="00907907">
        <w:rPr>
          <w:rFonts w:cs="Times New Roman"/>
          <w:lang w:val="en-GB"/>
        </w:rPr>
        <w:t xml:space="preserve">list of fallacies is quite long and to </w:t>
      </w:r>
      <w:r w:rsidR="00F642B9" w:rsidRPr="00907907">
        <w:rPr>
          <w:rFonts w:cs="Times New Roman"/>
          <w:lang w:val="en-GB"/>
        </w:rPr>
        <w:t>cover them all here</w:t>
      </w:r>
      <w:r w:rsidR="00613F09" w:rsidRPr="00907907">
        <w:rPr>
          <w:rFonts w:cs="Times New Roman"/>
          <w:lang w:val="en-GB"/>
        </w:rPr>
        <w:t xml:space="preserve"> would be </w:t>
      </w:r>
      <w:r w:rsidR="00F642B9" w:rsidRPr="00907907">
        <w:rPr>
          <w:rFonts w:cs="Times New Roman"/>
          <w:lang w:val="en-GB"/>
        </w:rPr>
        <w:t>impossible</w:t>
      </w:r>
      <w:r w:rsidR="00613F09" w:rsidRPr="00907907">
        <w:rPr>
          <w:rFonts w:cs="Times New Roman"/>
          <w:lang w:val="en-GB"/>
        </w:rPr>
        <w:t>.</w:t>
      </w:r>
      <w:r w:rsidR="004D7198" w:rsidRPr="00907907">
        <w:rPr>
          <w:rFonts w:cs="Times New Roman"/>
          <w:lang w:val="en-GB"/>
        </w:rPr>
        <w:t xml:space="preserve"> </w:t>
      </w:r>
      <w:r w:rsidR="00F642B9" w:rsidRPr="00907907">
        <w:rPr>
          <w:rFonts w:cs="Times New Roman"/>
          <w:lang w:val="en-GB"/>
        </w:rPr>
        <w:t xml:space="preserve">Instead, </w:t>
      </w:r>
      <w:r w:rsidR="00317B35" w:rsidRPr="00907907">
        <w:rPr>
          <w:rFonts w:cs="Times New Roman"/>
        </w:rPr>
        <w:t xml:space="preserve">our intention is to question the validity of relying on these fallacies for making decisions.  </w:t>
      </w:r>
    </w:p>
    <w:p w14:paraId="58588D52" w14:textId="442EE45E" w:rsidR="00384225" w:rsidRDefault="004D7198" w:rsidP="003436AC">
      <w:pPr>
        <w:spacing w:after="336"/>
        <w:rPr>
          <w:rFonts w:cs="Times New Roman"/>
          <w:lang w:val="en-GB"/>
        </w:rPr>
      </w:pPr>
      <w:r w:rsidRPr="00907907">
        <w:rPr>
          <w:rFonts w:cs="Times New Roman"/>
          <w:lang w:val="en-GB"/>
        </w:rPr>
        <w:t xml:space="preserve">. </w:t>
      </w:r>
      <w:r w:rsidR="00613F09" w:rsidRPr="00907907">
        <w:rPr>
          <w:rFonts w:cs="Times New Roman"/>
          <w:lang w:val="en-GB"/>
        </w:rPr>
        <w:t xml:space="preserve">In the following, we will </w:t>
      </w:r>
      <w:r w:rsidR="00EC6CBC" w:rsidRPr="00907907">
        <w:rPr>
          <w:rFonts w:cs="Times New Roman"/>
          <w:lang w:val="en-GB"/>
        </w:rPr>
        <w:t>discuss</w:t>
      </w:r>
      <w:r w:rsidR="00613F09" w:rsidRPr="00907907">
        <w:rPr>
          <w:rFonts w:cs="Times New Roman"/>
          <w:lang w:val="en-GB"/>
        </w:rPr>
        <w:t xml:space="preserve"> the fallacies </w:t>
      </w:r>
      <w:r w:rsidR="00266CEC" w:rsidRPr="00907907">
        <w:rPr>
          <w:rFonts w:cs="Times New Roman"/>
          <w:lang w:val="en-GB"/>
        </w:rPr>
        <w:t xml:space="preserve">tabularized </w:t>
      </w:r>
      <w:r w:rsidR="00613F09" w:rsidRPr="00907907">
        <w:rPr>
          <w:rFonts w:cs="Times New Roman"/>
          <w:lang w:val="en-GB"/>
        </w:rPr>
        <w:t>below:</w:t>
      </w:r>
    </w:p>
    <w:p w14:paraId="123D362E" w14:textId="1D0D8EFD" w:rsidR="00EE350E" w:rsidRPr="00907907" w:rsidRDefault="00C43710" w:rsidP="00DF44A4">
      <w:pPr>
        <w:rPr>
          <w:rFonts w:cs="Times New Roman"/>
          <w:b/>
          <w:lang w:val="en-GB"/>
        </w:rPr>
      </w:pPr>
      <w:r w:rsidRPr="00907907">
        <w:rPr>
          <w:rFonts w:cs="Times New Roman"/>
          <w:b/>
          <w:lang w:val="en-GB"/>
        </w:rPr>
        <w:t xml:space="preserve">Table </w:t>
      </w:r>
      <w:r w:rsidR="008D2991" w:rsidRPr="00907907">
        <w:rPr>
          <w:rFonts w:cs="Times New Roman"/>
          <w:b/>
          <w:lang w:val="en-GB"/>
        </w:rPr>
        <w:t>2</w:t>
      </w:r>
      <w:r w:rsidRPr="00907907">
        <w:rPr>
          <w:rFonts w:cs="Times New Roman"/>
          <w:b/>
          <w:lang w:val="en-GB"/>
        </w:rPr>
        <w:t xml:space="preserve">: </w:t>
      </w:r>
      <w:r w:rsidR="001A5D01" w:rsidRPr="00907907">
        <w:rPr>
          <w:rFonts w:cs="Times New Roman"/>
          <w:b/>
          <w:lang w:val="en-GB"/>
        </w:rPr>
        <w:t>Observed</w:t>
      </w:r>
      <w:r w:rsidR="008B579B" w:rsidRPr="00907907">
        <w:rPr>
          <w:rFonts w:cs="Times New Roman"/>
          <w:b/>
          <w:lang w:val="en-GB"/>
        </w:rPr>
        <w:t xml:space="preserve"> fallacies regarding potentia</w:t>
      </w:r>
      <w:r w:rsidRPr="00907907">
        <w:rPr>
          <w:rFonts w:cs="Times New Roman"/>
          <w:b/>
          <w:lang w:val="en-GB"/>
        </w:rPr>
        <w:t xml:space="preserve">lly vacated protected buildings </w:t>
      </w:r>
      <w:r w:rsidR="004B2456" w:rsidRPr="00907907">
        <w:rPr>
          <w:rFonts w:cs="Times New Roman"/>
          <w:b/>
          <w:lang w:val="en-GB"/>
        </w:rPr>
        <w:t>coded into main gro</w:t>
      </w:r>
      <w:r w:rsidRPr="00907907">
        <w:rPr>
          <w:rFonts w:cs="Times New Roman"/>
          <w:b/>
          <w:lang w:val="en-GB"/>
        </w:rPr>
        <w:t>ups based on concurrent themes</w:t>
      </w:r>
    </w:p>
    <w:tbl>
      <w:tblPr>
        <w:tblStyle w:val="TableGrid"/>
        <w:tblW w:w="0" w:type="dxa"/>
        <w:tblBorders>
          <w:left w:val="none" w:sz="0" w:space="0" w:color="auto"/>
          <w:right w:val="none" w:sz="0" w:space="0" w:color="auto"/>
        </w:tblBorders>
        <w:tblLook w:val="04A0" w:firstRow="1" w:lastRow="0" w:firstColumn="1" w:lastColumn="0" w:noHBand="0" w:noVBand="1"/>
      </w:tblPr>
      <w:tblGrid>
        <w:gridCol w:w="4593"/>
        <w:gridCol w:w="4593"/>
      </w:tblGrid>
      <w:tr w:rsidR="00AA3BE7" w:rsidRPr="00907907" w14:paraId="3EF1A938" w14:textId="4BE78D14" w:rsidTr="003436AC">
        <w:tc>
          <w:tcPr>
            <w:tcW w:w="4593" w:type="dxa"/>
            <w:tcBorders>
              <w:right w:val="nil"/>
            </w:tcBorders>
          </w:tcPr>
          <w:p w14:paraId="00650807" w14:textId="5A3BD121" w:rsidR="00AA3BE7" w:rsidRPr="00907907" w:rsidRDefault="00AA3BE7" w:rsidP="003436AC">
            <w:pPr>
              <w:spacing w:after="336"/>
              <w:rPr>
                <w:rFonts w:cs="Times New Roman"/>
                <w:b/>
                <w:lang w:val="en-GB"/>
              </w:rPr>
            </w:pPr>
            <w:r w:rsidRPr="00907907">
              <w:rPr>
                <w:rFonts w:cs="Times New Roman"/>
                <w:b/>
                <w:lang w:val="en-GB"/>
              </w:rPr>
              <w:t>Main theme</w:t>
            </w:r>
          </w:p>
        </w:tc>
        <w:tc>
          <w:tcPr>
            <w:tcW w:w="4593" w:type="dxa"/>
            <w:tcBorders>
              <w:left w:val="nil"/>
            </w:tcBorders>
          </w:tcPr>
          <w:p w14:paraId="66304250" w14:textId="177C7886" w:rsidR="00AA3BE7" w:rsidRPr="00907907" w:rsidRDefault="00AA3BE7" w:rsidP="003436AC">
            <w:pPr>
              <w:spacing w:after="336"/>
              <w:rPr>
                <w:rFonts w:cs="Times New Roman"/>
                <w:b/>
                <w:lang w:val="en-GB"/>
              </w:rPr>
            </w:pPr>
            <w:r w:rsidRPr="00907907">
              <w:rPr>
                <w:rFonts w:cs="Times New Roman"/>
                <w:b/>
                <w:lang w:val="en-GB"/>
              </w:rPr>
              <w:t>Fallacy</w:t>
            </w:r>
          </w:p>
        </w:tc>
      </w:tr>
      <w:tr w:rsidR="00AA3BE7" w:rsidRPr="00907907" w14:paraId="4B35561C" w14:textId="121F1A92" w:rsidTr="003436AC">
        <w:tc>
          <w:tcPr>
            <w:tcW w:w="4593" w:type="dxa"/>
            <w:vMerge w:val="restart"/>
            <w:tcBorders>
              <w:right w:val="nil"/>
            </w:tcBorders>
          </w:tcPr>
          <w:p w14:paraId="03BED671" w14:textId="14A8BD18" w:rsidR="00AA3BE7" w:rsidRPr="00907907" w:rsidRDefault="00AA3BE7" w:rsidP="003436AC">
            <w:pPr>
              <w:spacing w:after="336"/>
              <w:rPr>
                <w:rFonts w:cs="Times New Roman"/>
                <w:b/>
                <w:lang w:val="en-GB"/>
              </w:rPr>
            </w:pPr>
            <w:r w:rsidRPr="00907907">
              <w:rPr>
                <w:rFonts w:cs="Times New Roman"/>
                <w:b/>
                <w:lang w:val="en-GB"/>
              </w:rPr>
              <w:t>Lacking regard for cultural heritage values</w:t>
            </w:r>
          </w:p>
        </w:tc>
        <w:tc>
          <w:tcPr>
            <w:tcW w:w="4593" w:type="dxa"/>
            <w:tcBorders>
              <w:left w:val="nil"/>
            </w:tcBorders>
          </w:tcPr>
          <w:p w14:paraId="4145D52C" w14:textId="04A8DA49" w:rsidR="00AA3BE7" w:rsidRPr="00907907" w:rsidRDefault="00AA3BE7" w:rsidP="003436AC">
            <w:pPr>
              <w:spacing w:after="336"/>
              <w:rPr>
                <w:rFonts w:cs="Times New Roman"/>
                <w:lang w:val="en-GB"/>
              </w:rPr>
            </w:pPr>
            <w:r w:rsidRPr="00907907">
              <w:rPr>
                <w:rFonts w:cs="Times New Roman"/>
                <w:lang w:val="en-GB"/>
              </w:rPr>
              <w:t>Cultural heritage protection is not included under normative needs</w:t>
            </w:r>
            <w:r w:rsidR="00A707EE" w:rsidRPr="00907907">
              <w:rPr>
                <w:rFonts w:cs="Times New Roman"/>
                <w:lang w:val="en-GB"/>
              </w:rPr>
              <w:t>.</w:t>
            </w:r>
          </w:p>
        </w:tc>
      </w:tr>
      <w:tr w:rsidR="00AA3BE7" w:rsidRPr="00907907" w14:paraId="1A770A0E" w14:textId="2E7176E6" w:rsidTr="003436AC">
        <w:tc>
          <w:tcPr>
            <w:tcW w:w="4593" w:type="dxa"/>
            <w:vMerge/>
            <w:tcBorders>
              <w:right w:val="nil"/>
            </w:tcBorders>
          </w:tcPr>
          <w:p w14:paraId="127E8312" w14:textId="77777777" w:rsidR="00AA3BE7" w:rsidRPr="00907907" w:rsidRDefault="00AA3BE7" w:rsidP="003436AC">
            <w:pPr>
              <w:spacing w:after="336"/>
              <w:rPr>
                <w:rFonts w:cs="Times New Roman"/>
                <w:b/>
                <w:lang w:val="en-GB"/>
              </w:rPr>
            </w:pPr>
          </w:p>
        </w:tc>
        <w:tc>
          <w:tcPr>
            <w:tcW w:w="4593" w:type="dxa"/>
            <w:tcBorders>
              <w:left w:val="nil"/>
            </w:tcBorders>
          </w:tcPr>
          <w:p w14:paraId="0BAD8A9F" w14:textId="4FF0B3DC" w:rsidR="00AA3BE7" w:rsidRPr="00907907" w:rsidRDefault="00AA3BE7" w:rsidP="003436AC">
            <w:pPr>
              <w:spacing w:after="336"/>
              <w:rPr>
                <w:rFonts w:cs="Times New Roman"/>
                <w:lang w:val="en-GB"/>
              </w:rPr>
            </w:pPr>
            <w:r w:rsidRPr="00907907">
              <w:rPr>
                <w:rFonts w:cs="Times New Roman"/>
                <w:lang w:val="en-GB"/>
              </w:rPr>
              <w:t>The core concept of protection of cultural heritage is questioned</w:t>
            </w:r>
            <w:r w:rsidR="00A707EE" w:rsidRPr="00907907">
              <w:rPr>
                <w:rFonts w:cs="Times New Roman"/>
                <w:lang w:val="en-GB"/>
              </w:rPr>
              <w:t>.</w:t>
            </w:r>
          </w:p>
        </w:tc>
      </w:tr>
      <w:tr w:rsidR="00AA3BE7" w:rsidRPr="00907907" w14:paraId="4855CFF6" w14:textId="799A60FF" w:rsidTr="003436AC">
        <w:tc>
          <w:tcPr>
            <w:tcW w:w="4593" w:type="dxa"/>
            <w:vMerge/>
            <w:tcBorders>
              <w:right w:val="nil"/>
            </w:tcBorders>
          </w:tcPr>
          <w:p w14:paraId="43E521FD" w14:textId="77777777" w:rsidR="00AA3BE7" w:rsidRPr="00907907" w:rsidRDefault="00AA3BE7" w:rsidP="003436AC">
            <w:pPr>
              <w:spacing w:after="336"/>
              <w:rPr>
                <w:rFonts w:cs="Times New Roman"/>
                <w:b/>
                <w:lang w:val="en-GB"/>
              </w:rPr>
            </w:pPr>
          </w:p>
        </w:tc>
        <w:tc>
          <w:tcPr>
            <w:tcW w:w="4593" w:type="dxa"/>
            <w:tcBorders>
              <w:left w:val="nil"/>
            </w:tcBorders>
          </w:tcPr>
          <w:p w14:paraId="268AB82D" w14:textId="2C334BAA" w:rsidR="00AA3BE7" w:rsidRPr="00907907" w:rsidRDefault="00AA3BE7" w:rsidP="003436AC">
            <w:pPr>
              <w:spacing w:after="336"/>
              <w:rPr>
                <w:rFonts w:cs="Times New Roman"/>
                <w:lang w:val="en-GB"/>
              </w:rPr>
            </w:pPr>
            <w:r w:rsidRPr="00907907">
              <w:rPr>
                <w:rFonts w:cs="Times New Roman"/>
                <w:lang w:val="en-GB"/>
              </w:rPr>
              <w:t xml:space="preserve">Cultural heritage values are put under pressure as </w:t>
            </w:r>
            <w:r w:rsidR="00626DDA" w:rsidRPr="00907907">
              <w:rPr>
                <w:rFonts w:cs="Times New Roman"/>
                <w:lang w:val="en-GB"/>
              </w:rPr>
              <w:t>especially</w:t>
            </w:r>
            <w:r w:rsidRPr="00907907">
              <w:rPr>
                <w:rFonts w:cs="Times New Roman"/>
                <w:lang w:val="en-GB"/>
              </w:rPr>
              <w:t xml:space="preserve"> unquantifiable</w:t>
            </w:r>
            <w:r w:rsidR="00A707EE" w:rsidRPr="00907907">
              <w:rPr>
                <w:rFonts w:cs="Times New Roman"/>
                <w:lang w:val="en-GB"/>
              </w:rPr>
              <w:t>.</w:t>
            </w:r>
          </w:p>
        </w:tc>
      </w:tr>
      <w:tr w:rsidR="00AA3BE7" w:rsidRPr="00907907" w14:paraId="3A339883" w14:textId="470201A4" w:rsidTr="003436AC">
        <w:tc>
          <w:tcPr>
            <w:tcW w:w="4593" w:type="dxa"/>
            <w:vMerge/>
            <w:tcBorders>
              <w:right w:val="nil"/>
            </w:tcBorders>
          </w:tcPr>
          <w:p w14:paraId="718C9B6D" w14:textId="77777777" w:rsidR="00AA3BE7" w:rsidRPr="00907907" w:rsidRDefault="00AA3BE7" w:rsidP="003436AC">
            <w:pPr>
              <w:spacing w:after="336"/>
              <w:rPr>
                <w:rFonts w:cs="Times New Roman"/>
                <w:b/>
                <w:lang w:val="en-GB"/>
              </w:rPr>
            </w:pPr>
          </w:p>
        </w:tc>
        <w:tc>
          <w:tcPr>
            <w:tcW w:w="4593" w:type="dxa"/>
            <w:tcBorders>
              <w:left w:val="nil"/>
            </w:tcBorders>
          </w:tcPr>
          <w:p w14:paraId="49EA2822" w14:textId="4D2F200E" w:rsidR="00AA3BE7" w:rsidRPr="00907907" w:rsidRDefault="00AA3BE7" w:rsidP="003436AC">
            <w:pPr>
              <w:spacing w:after="336"/>
              <w:rPr>
                <w:rFonts w:cs="Times New Roman"/>
                <w:lang w:val="en-GB"/>
              </w:rPr>
            </w:pPr>
            <w:r w:rsidRPr="00907907">
              <w:rPr>
                <w:rFonts w:cs="Times New Roman"/>
                <w:lang w:val="en-GB"/>
              </w:rPr>
              <w:t>Architectural and historical qualities, identity and tradition are ignored</w:t>
            </w:r>
            <w:r w:rsidR="00A707EE" w:rsidRPr="00907907">
              <w:rPr>
                <w:rFonts w:cs="Times New Roman"/>
                <w:lang w:val="en-GB"/>
              </w:rPr>
              <w:t>.</w:t>
            </w:r>
          </w:p>
        </w:tc>
      </w:tr>
      <w:tr w:rsidR="00AA3BE7" w:rsidRPr="00907907" w14:paraId="1449A43E" w14:textId="32C1C454" w:rsidTr="003436AC">
        <w:tc>
          <w:tcPr>
            <w:tcW w:w="4593" w:type="dxa"/>
            <w:vMerge/>
            <w:tcBorders>
              <w:right w:val="nil"/>
            </w:tcBorders>
          </w:tcPr>
          <w:p w14:paraId="79E654A1" w14:textId="77777777" w:rsidR="00AA3BE7" w:rsidRPr="00907907" w:rsidRDefault="00AA3BE7" w:rsidP="003436AC">
            <w:pPr>
              <w:spacing w:after="336"/>
              <w:rPr>
                <w:rFonts w:cs="Times New Roman"/>
                <w:b/>
                <w:lang w:val="en-GB"/>
              </w:rPr>
            </w:pPr>
          </w:p>
        </w:tc>
        <w:tc>
          <w:tcPr>
            <w:tcW w:w="4593" w:type="dxa"/>
            <w:tcBorders>
              <w:left w:val="nil"/>
            </w:tcBorders>
          </w:tcPr>
          <w:p w14:paraId="5B147967" w14:textId="55FBBE11" w:rsidR="00AA3BE7" w:rsidRPr="00907907" w:rsidRDefault="00AA3BE7" w:rsidP="003E3E7F">
            <w:pPr>
              <w:spacing w:after="336"/>
              <w:rPr>
                <w:rFonts w:cs="Times New Roman"/>
                <w:lang w:val="en-GB"/>
              </w:rPr>
            </w:pPr>
            <w:r w:rsidRPr="00907907">
              <w:rPr>
                <w:rFonts w:cs="Times New Roman"/>
                <w:lang w:val="en-GB"/>
              </w:rPr>
              <w:t xml:space="preserve">The cultural heritage authorities are treated as </w:t>
            </w:r>
            <w:r w:rsidR="00626DDA" w:rsidRPr="00907907">
              <w:rPr>
                <w:rFonts w:cs="Times New Roman"/>
                <w:lang w:val="en-GB"/>
              </w:rPr>
              <w:t>caseworkers</w:t>
            </w:r>
            <w:r w:rsidR="00A707EE" w:rsidRPr="00907907">
              <w:rPr>
                <w:rFonts w:cs="Times New Roman"/>
                <w:lang w:val="en-GB"/>
              </w:rPr>
              <w:t>, not specialist.</w:t>
            </w:r>
          </w:p>
        </w:tc>
      </w:tr>
      <w:tr w:rsidR="00AA3BE7" w:rsidRPr="00907907" w14:paraId="28A743BC" w14:textId="2D5A92A6" w:rsidTr="003436AC">
        <w:tc>
          <w:tcPr>
            <w:tcW w:w="4593" w:type="dxa"/>
            <w:vMerge/>
            <w:tcBorders>
              <w:right w:val="nil"/>
            </w:tcBorders>
          </w:tcPr>
          <w:p w14:paraId="61A8ED5F" w14:textId="77777777" w:rsidR="00AA3BE7" w:rsidRPr="00907907" w:rsidRDefault="00AA3BE7" w:rsidP="003436AC">
            <w:pPr>
              <w:spacing w:after="336"/>
              <w:rPr>
                <w:rFonts w:cs="Times New Roman"/>
                <w:b/>
                <w:lang w:val="en-GB"/>
              </w:rPr>
            </w:pPr>
          </w:p>
        </w:tc>
        <w:tc>
          <w:tcPr>
            <w:tcW w:w="4593" w:type="dxa"/>
            <w:tcBorders>
              <w:left w:val="nil"/>
            </w:tcBorders>
          </w:tcPr>
          <w:p w14:paraId="1027E9CE" w14:textId="1435E959" w:rsidR="00AA3BE7" w:rsidRPr="00907907" w:rsidRDefault="00AA3BE7" w:rsidP="003436AC">
            <w:pPr>
              <w:spacing w:after="336"/>
              <w:rPr>
                <w:rFonts w:cs="Times New Roman"/>
                <w:lang w:val="en-GB"/>
              </w:rPr>
            </w:pPr>
            <w:r w:rsidRPr="00907907">
              <w:rPr>
                <w:rFonts w:cs="Times New Roman"/>
                <w:lang w:val="en-GB"/>
              </w:rPr>
              <w:t xml:space="preserve">The critical level of changes that can be made </w:t>
            </w:r>
            <w:r w:rsidR="00626DDA" w:rsidRPr="00907907">
              <w:rPr>
                <w:rFonts w:cs="Times New Roman"/>
                <w:lang w:val="en-GB"/>
              </w:rPr>
              <w:t xml:space="preserve">to </w:t>
            </w:r>
            <w:r w:rsidRPr="00907907">
              <w:rPr>
                <w:rFonts w:cs="Times New Roman"/>
                <w:lang w:val="en-GB"/>
              </w:rPr>
              <w:t xml:space="preserve">a protected building is not based on contact with cultural heritage authorities, but </w:t>
            </w:r>
            <w:r w:rsidR="00626DDA" w:rsidRPr="00907907">
              <w:rPr>
                <w:rFonts w:cs="Times New Roman"/>
                <w:lang w:val="en-GB"/>
              </w:rPr>
              <w:t xml:space="preserve">rather </w:t>
            </w:r>
            <w:r w:rsidRPr="00907907">
              <w:rPr>
                <w:rFonts w:cs="Times New Roman"/>
                <w:lang w:val="en-GB"/>
              </w:rPr>
              <w:t>on consultant</w:t>
            </w:r>
            <w:r w:rsidR="00626DDA" w:rsidRPr="00907907">
              <w:rPr>
                <w:rFonts w:cs="Times New Roman"/>
                <w:lang w:val="en-GB"/>
              </w:rPr>
              <w:t>’</w:t>
            </w:r>
            <w:r w:rsidRPr="00907907">
              <w:rPr>
                <w:rFonts w:cs="Times New Roman"/>
                <w:lang w:val="en-GB"/>
              </w:rPr>
              <w:t xml:space="preserve">s gut-feeling. </w:t>
            </w:r>
          </w:p>
        </w:tc>
      </w:tr>
      <w:tr w:rsidR="00AA3BE7" w:rsidRPr="000D697A" w14:paraId="32084204" w14:textId="43C2F3E4" w:rsidTr="003436AC">
        <w:tc>
          <w:tcPr>
            <w:tcW w:w="4593" w:type="dxa"/>
            <w:vMerge w:val="restart"/>
            <w:tcBorders>
              <w:right w:val="nil"/>
            </w:tcBorders>
          </w:tcPr>
          <w:p w14:paraId="5453E86B" w14:textId="7345AEF4" w:rsidR="00AA3BE7" w:rsidRPr="00907907" w:rsidRDefault="00AA3BE7" w:rsidP="003436AC">
            <w:pPr>
              <w:spacing w:after="336"/>
              <w:rPr>
                <w:rFonts w:cs="Times New Roman"/>
                <w:b/>
                <w:lang w:val="en-GB"/>
              </w:rPr>
            </w:pPr>
            <w:r w:rsidRPr="00907907">
              <w:rPr>
                <w:rFonts w:cs="Times New Roman"/>
                <w:b/>
                <w:lang w:val="en-GB"/>
              </w:rPr>
              <w:t xml:space="preserve">A </w:t>
            </w:r>
            <w:r w:rsidR="00266CEC" w:rsidRPr="00907907">
              <w:rPr>
                <w:rFonts w:cs="Times New Roman"/>
                <w:b/>
                <w:lang w:val="en-GB"/>
              </w:rPr>
              <w:t xml:space="preserve">lack </w:t>
            </w:r>
            <w:r w:rsidR="000B2BB6" w:rsidRPr="00907907">
              <w:rPr>
                <w:rFonts w:cs="Times New Roman"/>
                <w:b/>
                <w:lang w:val="en-GB"/>
              </w:rPr>
              <w:t>of</w:t>
            </w:r>
            <w:r w:rsidR="007C0990" w:rsidRPr="00907907">
              <w:rPr>
                <w:rFonts w:cs="Times New Roman"/>
                <w:b/>
                <w:lang w:val="en-GB"/>
              </w:rPr>
              <w:t xml:space="preserve"> </w:t>
            </w:r>
            <w:r w:rsidRPr="00907907">
              <w:rPr>
                <w:rFonts w:cs="Times New Roman"/>
                <w:b/>
                <w:lang w:val="en-GB"/>
              </w:rPr>
              <w:t>understanding of historical buildings</w:t>
            </w:r>
          </w:p>
        </w:tc>
        <w:tc>
          <w:tcPr>
            <w:tcW w:w="4593" w:type="dxa"/>
            <w:tcBorders>
              <w:left w:val="nil"/>
            </w:tcBorders>
          </w:tcPr>
          <w:p w14:paraId="6FE53EDE" w14:textId="5355CC9D" w:rsidR="00AA3BE7" w:rsidRPr="00907907" w:rsidRDefault="004843FF" w:rsidP="003436AC">
            <w:pPr>
              <w:spacing w:after="336"/>
              <w:rPr>
                <w:rFonts w:cs="Times New Roman"/>
                <w:lang w:val="en-GB"/>
              </w:rPr>
            </w:pPr>
            <w:r w:rsidRPr="00907907">
              <w:rPr>
                <w:rFonts w:cs="Times New Roman"/>
                <w:lang w:val="en-GB"/>
              </w:rPr>
              <w:t>New buildings are perceived to be more environmental-friendly than existing buildings</w:t>
            </w:r>
            <w:r w:rsidR="00A707EE" w:rsidRPr="00907907">
              <w:rPr>
                <w:rFonts w:cs="Times New Roman"/>
                <w:lang w:val="en-GB"/>
              </w:rPr>
              <w:t>.</w:t>
            </w:r>
          </w:p>
        </w:tc>
      </w:tr>
      <w:tr w:rsidR="00AA3BE7" w:rsidRPr="000D697A" w14:paraId="20C07F2C" w14:textId="3A1FB2D2" w:rsidTr="003436AC">
        <w:tc>
          <w:tcPr>
            <w:tcW w:w="4593" w:type="dxa"/>
            <w:vMerge/>
            <w:tcBorders>
              <w:right w:val="nil"/>
            </w:tcBorders>
          </w:tcPr>
          <w:p w14:paraId="63AA8BC2" w14:textId="77777777" w:rsidR="00AA3BE7" w:rsidRPr="00907907" w:rsidRDefault="00AA3BE7" w:rsidP="003436AC">
            <w:pPr>
              <w:spacing w:after="336"/>
              <w:rPr>
                <w:rFonts w:cs="Times New Roman"/>
                <w:b/>
                <w:lang w:val="en-GB"/>
              </w:rPr>
            </w:pPr>
          </w:p>
        </w:tc>
        <w:tc>
          <w:tcPr>
            <w:tcW w:w="4593" w:type="dxa"/>
            <w:tcBorders>
              <w:left w:val="nil"/>
            </w:tcBorders>
          </w:tcPr>
          <w:p w14:paraId="34A42145" w14:textId="7C2EFD6E" w:rsidR="00AA3BE7" w:rsidRPr="00907907" w:rsidRDefault="004843FF" w:rsidP="003436AC">
            <w:pPr>
              <w:spacing w:after="336"/>
              <w:rPr>
                <w:rFonts w:cs="Times New Roman"/>
                <w:lang w:val="en-GB"/>
              </w:rPr>
            </w:pPr>
            <w:r w:rsidRPr="00907907">
              <w:rPr>
                <w:rFonts w:cs="Times New Roman"/>
                <w:lang w:val="en-GB"/>
              </w:rPr>
              <w:t xml:space="preserve">Older buildings </w:t>
            </w:r>
            <w:r w:rsidR="00626DDA" w:rsidRPr="00907907">
              <w:rPr>
                <w:rFonts w:cs="Times New Roman"/>
                <w:lang w:val="en-GB"/>
              </w:rPr>
              <w:t xml:space="preserve">are </w:t>
            </w:r>
            <w:r w:rsidRPr="00907907">
              <w:rPr>
                <w:rFonts w:cs="Times New Roman"/>
                <w:lang w:val="en-GB"/>
              </w:rPr>
              <w:t xml:space="preserve">deemed dramatically ineffective </w:t>
            </w:r>
            <w:r w:rsidR="00626DDA" w:rsidRPr="00907907">
              <w:rPr>
                <w:rFonts w:cs="Times New Roman"/>
                <w:lang w:val="en-GB"/>
              </w:rPr>
              <w:t>area-</w:t>
            </w:r>
            <w:r w:rsidRPr="00907907">
              <w:rPr>
                <w:rFonts w:cs="Times New Roman"/>
                <w:lang w:val="en-GB"/>
              </w:rPr>
              <w:t>wise.</w:t>
            </w:r>
            <w:r w:rsidR="00A707EE" w:rsidRPr="00907907">
              <w:rPr>
                <w:rFonts w:cs="Times New Roman"/>
                <w:lang w:val="en-GB"/>
              </w:rPr>
              <w:t xml:space="preserve"> </w:t>
            </w:r>
          </w:p>
        </w:tc>
      </w:tr>
      <w:tr w:rsidR="00AA3BE7" w:rsidRPr="000D697A" w14:paraId="72380D32" w14:textId="343EFF41" w:rsidTr="003436AC">
        <w:tc>
          <w:tcPr>
            <w:tcW w:w="4593" w:type="dxa"/>
            <w:vMerge/>
            <w:tcBorders>
              <w:right w:val="nil"/>
            </w:tcBorders>
          </w:tcPr>
          <w:p w14:paraId="4FB8739C" w14:textId="77777777" w:rsidR="00AA3BE7" w:rsidRPr="00907907" w:rsidRDefault="00AA3BE7" w:rsidP="003436AC">
            <w:pPr>
              <w:spacing w:after="336"/>
              <w:rPr>
                <w:rFonts w:cs="Times New Roman"/>
                <w:b/>
                <w:lang w:val="en-GB"/>
              </w:rPr>
            </w:pPr>
          </w:p>
        </w:tc>
        <w:tc>
          <w:tcPr>
            <w:tcW w:w="4593" w:type="dxa"/>
            <w:tcBorders>
              <w:left w:val="nil"/>
            </w:tcBorders>
          </w:tcPr>
          <w:p w14:paraId="048F481A" w14:textId="53CC30C6" w:rsidR="00AA3BE7" w:rsidRPr="00907907" w:rsidRDefault="004843FF" w:rsidP="003436AC">
            <w:pPr>
              <w:spacing w:after="336"/>
              <w:rPr>
                <w:rFonts w:cs="Times New Roman"/>
                <w:lang w:val="en-GB"/>
              </w:rPr>
            </w:pPr>
            <w:r w:rsidRPr="00907907">
              <w:rPr>
                <w:rFonts w:cs="Times New Roman"/>
                <w:lang w:val="en-GB"/>
              </w:rPr>
              <w:t xml:space="preserve">Indoor climate in older buildings is characterized as </w:t>
            </w:r>
            <w:r w:rsidR="00266CEC" w:rsidRPr="00907907">
              <w:rPr>
                <w:rFonts w:cs="Times New Roman"/>
                <w:lang w:val="en-GB"/>
              </w:rPr>
              <w:t xml:space="preserve">a large </w:t>
            </w:r>
            <w:r w:rsidRPr="00907907">
              <w:rPr>
                <w:rFonts w:cs="Times New Roman"/>
                <w:lang w:val="en-GB"/>
              </w:rPr>
              <w:t xml:space="preserve">and </w:t>
            </w:r>
            <w:r w:rsidR="00922CED" w:rsidRPr="00907907">
              <w:rPr>
                <w:rFonts w:cs="Times New Roman"/>
                <w:lang w:val="en-GB"/>
              </w:rPr>
              <w:t>insol</w:t>
            </w:r>
            <w:r w:rsidR="00266CEC" w:rsidRPr="00907907">
              <w:rPr>
                <w:rFonts w:cs="Times New Roman"/>
                <w:lang w:val="en-GB"/>
              </w:rPr>
              <w:t>va</w:t>
            </w:r>
            <w:r w:rsidR="00922CED" w:rsidRPr="00907907">
              <w:rPr>
                <w:rFonts w:cs="Times New Roman"/>
                <w:lang w:val="en-GB"/>
              </w:rPr>
              <w:t xml:space="preserve">ble </w:t>
            </w:r>
            <w:r w:rsidRPr="00907907">
              <w:rPr>
                <w:rFonts w:cs="Times New Roman"/>
                <w:lang w:val="en-GB"/>
              </w:rPr>
              <w:t>problem.</w:t>
            </w:r>
            <w:r w:rsidR="00A707EE" w:rsidRPr="00907907">
              <w:rPr>
                <w:rFonts w:cs="Times New Roman"/>
                <w:lang w:val="en-GB"/>
              </w:rPr>
              <w:t xml:space="preserve"> </w:t>
            </w:r>
          </w:p>
        </w:tc>
      </w:tr>
      <w:tr w:rsidR="00AA3BE7" w:rsidRPr="000D697A" w14:paraId="198B5EFC" w14:textId="1EE645C3" w:rsidTr="003436AC">
        <w:tc>
          <w:tcPr>
            <w:tcW w:w="4593" w:type="dxa"/>
            <w:vMerge/>
            <w:tcBorders>
              <w:right w:val="nil"/>
            </w:tcBorders>
          </w:tcPr>
          <w:p w14:paraId="091C30DE" w14:textId="77777777" w:rsidR="00AA3BE7" w:rsidRPr="00907907" w:rsidRDefault="00AA3BE7" w:rsidP="003436AC">
            <w:pPr>
              <w:spacing w:after="336"/>
              <w:rPr>
                <w:rFonts w:cs="Times New Roman"/>
                <w:b/>
                <w:lang w:val="en-GB"/>
              </w:rPr>
            </w:pPr>
          </w:p>
        </w:tc>
        <w:tc>
          <w:tcPr>
            <w:tcW w:w="4593" w:type="dxa"/>
            <w:tcBorders>
              <w:left w:val="nil"/>
            </w:tcBorders>
          </w:tcPr>
          <w:p w14:paraId="7D20FBE0" w14:textId="50561E34" w:rsidR="00AA3BE7" w:rsidRPr="00907907" w:rsidRDefault="004843FF" w:rsidP="003436AC">
            <w:pPr>
              <w:spacing w:after="336"/>
              <w:rPr>
                <w:rFonts w:cs="Times New Roman"/>
                <w:lang w:val="en-GB"/>
              </w:rPr>
            </w:pPr>
            <w:r w:rsidRPr="00907907">
              <w:rPr>
                <w:rFonts w:cs="Times New Roman"/>
                <w:lang w:val="en-GB"/>
              </w:rPr>
              <w:t xml:space="preserve">The monetary value of existing protected buildings is </w:t>
            </w:r>
            <w:r w:rsidR="00922CED" w:rsidRPr="00907907">
              <w:rPr>
                <w:rFonts w:cs="Times New Roman"/>
                <w:lang w:val="en-GB"/>
              </w:rPr>
              <w:t>determined to be</w:t>
            </w:r>
            <w:r w:rsidRPr="00907907">
              <w:rPr>
                <w:rFonts w:cs="Times New Roman"/>
                <w:lang w:val="en-GB"/>
              </w:rPr>
              <w:t xml:space="preserve"> zero.</w:t>
            </w:r>
            <w:r w:rsidR="00A707EE" w:rsidRPr="00907907">
              <w:rPr>
                <w:rFonts w:cs="Times New Roman"/>
                <w:lang w:val="en-GB"/>
              </w:rPr>
              <w:t xml:space="preserve"> </w:t>
            </w:r>
          </w:p>
        </w:tc>
      </w:tr>
      <w:tr w:rsidR="00AA3BE7" w:rsidRPr="000D697A" w14:paraId="48E6F81E" w14:textId="096D4FEE" w:rsidTr="003436AC">
        <w:tc>
          <w:tcPr>
            <w:tcW w:w="4593" w:type="dxa"/>
            <w:vMerge w:val="restart"/>
            <w:tcBorders>
              <w:right w:val="nil"/>
            </w:tcBorders>
          </w:tcPr>
          <w:p w14:paraId="7D628DCD" w14:textId="09E6CF14" w:rsidR="00AA3BE7" w:rsidRPr="00907907" w:rsidRDefault="00AA3BE7" w:rsidP="003436AC">
            <w:pPr>
              <w:spacing w:after="336"/>
              <w:rPr>
                <w:rFonts w:cs="Times New Roman"/>
                <w:b/>
                <w:lang w:val="en-GB"/>
              </w:rPr>
            </w:pPr>
            <w:r w:rsidRPr="00907907">
              <w:rPr>
                <w:rFonts w:cs="Times New Roman"/>
                <w:b/>
                <w:lang w:val="en-GB"/>
              </w:rPr>
              <w:t xml:space="preserve">A </w:t>
            </w:r>
            <w:r w:rsidR="00922CED" w:rsidRPr="00907907">
              <w:rPr>
                <w:rFonts w:cs="Times New Roman"/>
                <w:b/>
                <w:lang w:val="en-GB"/>
              </w:rPr>
              <w:t xml:space="preserve">lack </w:t>
            </w:r>
            <w:r w:rsidR="000B2BB6" w:rsidRPr="00907907">
              <w:rPr>
                <w:rFonts w:cs="Times New Roman"/>
                <w:b/>
                <w:lang w:val="en-GB"/>
              </w:rPr>
              <w:t>of</w:t>
            </w:r>
            <w:r w:rsidR="007C0990" w:rsidRPr="00907907">
              <w:rPr>
                <w:rFonts w:cs="Times New Roman"/>
                <w:b/>
                <w:lang w:val="en-GB"/>
              </w:rPr>
              <w:t xml:space="preserve"> </w:t>
            </w:r>
            <w:r w:rsidRPr="00907907">
              <w:rPr>
                <w:rFonts w:cs="Times New Roman"/>
                <w:b/>
                <w:lang w:val="en-GB"/>
              </w:rPr>
              <w:t>understanding of buildability</w:t>
            </w:r>
          </w:p>
        </w:tc>
        <w:tc>
          <w:tcPr>
            <w:tcW w:w="4593" w:type="dxa"/>
            <w:tcBorders>
              <w:left w:val="nil"/>
            </w:tcBorders>
          </w:tcPr>
          <w:p w14:paraId="4071AED4" w14:textId="5B3B8A28" w:rsidR="00AA3BE7" w:rsidRPr="00907907" w:rsidRDefault="00694420" w:rsidP="003436AC">
            <w:pPr>
              <w:keepNext/>
              <w:keepLines/>
              <w:spacing w:before="200" w:after="336"/>
              <w:outlineLvl w:val="5"/>
              <w:rPr>
                <w:rFonts w:cs="Times New Roman"/>
                <w:lang w:val="en-GB"/>
              </w:rPr>
            </w:pPr>
            <w:r w:rsidRPr="00907907">
              <w:rPr>
                <w:rFonts w:cs="Times New Roman"/>
                <w:lang w:val="en-GB"/>
              </w:rPr>
              <w:t>A</w:t>
            </w:r>
            <w:r w:rsidR="008863BB" w:rsidRPr="00907907">
              <w:rPr>
                <w:rFonts w:cs="Times New Roman"/>
                <w:lang w:val="en-GB"/>
              </w:rPr>
              <w:t xml:space="preserve"> lack</w:t>
            </w:r>
            <w:r w:rsidR="00922CED" w:rsidRPr="00907907">
              <w:rPr>
                <w:rFonts w:cs="Times New Roman"/>
                <w:lang w:val="en-GB"/>
              </w:rPr>
              <w:t xml:space="preserve"> in</w:t>
            </w:r>
            <w:r w:rsidR="008863BB" w:rsidRPr="00907907">
              <w:rPr>
                <w:rFonts w:cs="Times New Roman"/>
                <w:lang w:val="en-GB"/>
              </w:rPr>
              <w:t xml:space="preserve"> understanding of how constructions come to exist and function, and how these can be altered in an expedient manner.</w:t>
            </w:r>
            <w:r w:rsidR="00A707EE" w:rsidRPr="00907907">
              <w:rPr>
                <w:rFonts w:cs="Times New Roman"/>
                <w:lang w:val="en-GB"/>
              </w:rPr>
              <w:t xml:space="preserve"> </w:t>
            </w:r>
          </w:p>
        </w:tc>
      </w:tr>
      <w:tr w:rsidR="00AA3BE7" w:rsidRPr="000D697A" w14:paraId="7E360F7C" w14:textId="0908A9DA" w:rsidTr="003436AC">
        <w:tc>
          <w:tcPr>
            <w:tcW w:w="4593" w:type="dxa"/>
            <w:vMerge/>
            <w:tcBorders>
              <w:right w:val="nil"/>
            </w:tcBorders>
          </w:tcPr>
          <w:p w14:paraId="1190E1E0" w14:textId="77777777" w:rsidR="00AA3BE7" w:rsidRPr="00907907" w:rsidRDefault="00AA3BE7" w:rsidP="003436AC">
            <w:pPr>
              <w:spacing w:after="336"/>
              <w:rPr>
                <w:rFonts w:cs="Times New Roman"/>
                <w:lang w:val="en-GB"/>
              </w:rPr>
            </w:pPr>
          </w:p>
        </w:tc>
        <w:tc>
          <w:tcPr>
            <w:tcW w:w="4593" w:type="dxa"/>
            <w:tcBorders>
              <w:left w:val="nil"/>
            </w:tcBorders>
          </w:tcPr>
          <w:p w14:paraId="7141363B" w14:textId="162FF787" w:rsidR="00AA3BE7" w:rsidRPr="00907907" w:rsidRDefault="008863BB" w:rsidP="00694420">
            <w:pPr>
              <w:spacing w:after="336"/>
              <w:rPr>
                <w:rFonts w:cs="Times New Roman"/>
                <w:lang w:val="en-GB"/>
              </w:rPr>
            </w:pPr>
            <w:r w:rsidRPr="00907907">
              <w:rPr>
                <w:rFonts w:cs="Times New Roman"/>
                <w:lang w:val="en-GB"/>
              </w:rPr>
              <w:t xml:space="preserve">Building large areas below ground level in connection to protected buildings is </w:t>
            </w:r>
            <w:r w:rsidR="00694420" w:rsidRPr="00907907">
              <w:rPr>
                <w:rFonts w:cs="Times New Roman"/>
                <w:lang w:val="en-GB"/>
              </w:rPr>
              <w:t>difficult</w:t>
            </w:r>
            <w:r w:rsidRPr="00907907">
              <w:rPr>
                <w:rFonts w:cs="Times New Roman"/>
                <w:lang w:val="en-GB"/>
              </w:rPr>
              <w:t>, but is still repeatedly recommended</w:t>
            </w:r>
            <w:r w:rsidR="00A707EE" w:rsidRPr="00907907">
              <w:rPr>
                <w:rFonts w:cs="Times New Roman"/>
                <w:lang w:val="en-GB"/>
              </w:rPr>
              <w:t>.</w:t>
            </w:r>
          </w:p>
        </w:tc>
      </w:tr>
      <w:tr w:rsidR="00AA3BE7" w:rsidRPr="000D697A" w14:paraId="459ADABA" w14:textId="75366889" w:rsidTr="003436AC">
        <w:tc>
          <w:tcPr>
            <w:tcW w:w="4593" w:type="dxa"/>
            <w:vMerge w:val="restart"/>
            <w:tcBorders>
              <w:right w:val="nil"/>
            </w:tcBorders>
          </w:tcPr>
          <w:p w14:paraId="14B3824F" w14:textId="39DEC2FE" w:rsidR="00AA3BE7" w:rsidRPr="00907907" w:rsidRDefault="00AA3BE7" w:rsidP="003436AC">
            <w:pPr>
              <w:spacing w:after="336"/>
              <w:rPr>
                <w:rFonts w:cs="Times New Roman"/>
                <w:b/>
                <w:lang w:val="en-GB"/>
              </w:rPr>
            </w:pPr>
            <w:r w:rsidRPr="00907907">
              <w:rPr>
                <w:rFonts w:cs="Times New Roman"/>
                <w:b/>
                <w:lang w:val="en-GB"/>
              </w:rPr>
              <w:t xml:space="preserve">The assessments are intended for new builds with </w:t>
            </w:r>
            <w:r w:rsidR="005867EF" w:rsidRPr="00907907">
              <w:rPr>
                <w:rFonts w:cs="Times New Roman"/>
                <w:b/>
                <w:lang w:val="en-GB"/>
              </w:rPr>
              <w:t>an</w:t>
            </w:r>
            <w:r w:rsidRPr="00907907">
              <w:rPr>
                <w:rFonts w:cs="Times New Roman"/>
                <w:b/>
                <w:lang w:val="en-GB"/>
              </w:rPr>
              <w:t xml:space="preserve"> expected life span of </w:t>
            </w:r>
            <w:r w:rsidR="00266CEC" w:rsidRPr="00907907">
              <w:rPr>
                <w:rFonts w:cs="Times New Roman"/>
                <w:b/>
                <w:lang w:val="en-GB"/>
              </w:rPr>
              <w:t xml:space="preserve">a </w:t>
            </w:r>
            <w:r w:rsidRPr="00907907">
              <w:rPr>
                <w:rFonts w:cs="Times New Roman"/>
                <w:b/>
                <w:lang w:val="en-GB"/>
              </w:rPr>
              <w:t xml:space="preserve">few decades. This works badly with buildings that are much older and intended to be </w:t>
            </w:r>
            <w:r w:rsidR="00266CEC" w:rsidRPr="00907907">
              <w:rPr>
                <w:rFonts w:cs="Times New Roman"/>
                <w:b/>
                <w:lang w:val="en-GB"/>
              </w:rPr>
              <w:t xml:space="preserve">preserved </w:t>
            </w:r>
            <w:r w:rsidRPr="00907907">
              <w:rPr>
                <w:rFonts w:cs="Times New Roman"/>
                <w:b/>
                <w:lang w:val="en-GB"/>
              </w:rPr>
              <w:t>for future generations.</w:t>
            </w:r>
          </w:p>
        </w:tc>
        <w:tc>
          <w:tcPr>
            <w:tcW w:w="4593" w:type="dxa"/>
            <w:tcBorders>
              <w:left w:val="nil"/>
            </w:tcBorders>
          </w:tcPr>
          <w:p w14:paraId="07E5246F" w14:textId="2CA372C5" w:rsidR="00AA3BE7" w:rsidRPr="00907907" w:rsidRDefault="008863BB" w:rsidP="003436AC">
            <w:pPr>
              <w:spacing w:after="336"/>
              <w:rPr>
                <w:rFonts w:cs="Times New Roman"/>
                <w:lang w:val="en-GB"/>
              </w:rPr>
            </w:pPr>
            <w:r w:rsidRPr="00907907">
              <w:rPr>
                <w:rFonts w:cs="Times New Roman"/>
                <w:lang w:val="en-GB"/>
              </w:rPr>
              <w:t>Protected buildings are not granted residual</w:t>
            </w:r>
            <w:r w:rsidR="00266CEC" w:rsidRPr="00907907">
              <w:rPr>
                <w:rFonts w:cs="Times New Roman"/>
                <w:lang w:val="en-GB"/>
              </w:rPr>
              <w:t xml:space="preserve"> value</w:t>
            </w:r>
            <w:r w:rsidRPr="00907907">
              <w:rPr>
                <w:rFonts w:cs="Times New Roman"/>
                <w:lang w:val="en-GB"/>
              </w:rPr>
              <w:t xml:space="preserve"> </w:t>
            </w:r>
            <w:r w:rsidR="00266CEC" w:rsidRPr="00907907">
              <w:rPr>
                <w:rFonts w:cs="Times New Roman"/>
                <w:lang w:val="en-GB"/>
              </w:rPr>
              <w:t xml:space="preserve">when compared with </w:t>
            </w:r>
            <w:r w:rsidRPr="00907907">
              <w:rPr>
                <w:rFonts w:cs="Times New Roman"/>
                <w:lang w:val="en-GB"/>
              </w:rPr>
              <w:t xml:space="preserve">the expected </w:t>
            </w:r>
            <w:r w:rsidR="00922CED" w:rsidRPr="00907907">
              <w:rPr>
                <w:rFonts w:cs="Times New Roman"/>
                <w:lang w:val="en-GB"/>
              </w:rPr>
              <w:t>life span</w:t>
            </w:r>
            <w:r w:rsidRPr="00907907">
              <w:rPr>
                <w:rFonts w:cs="Times New Roman"/>
                <w:lang w:val="en-GB"/>
              </w:rPr>
              <w:t xml:space="preserve"> of a new build</w:t>
            </w:r>
            <w:r w:rsidR="00A707EE" w:rsidRPr="00907907">
              <w:rPr>
                <w:rFonts w:cs="Times New Roman"/>
                <w:lang w:val="en-GB"/>
              </w:rPr>
              <w:t>.</w:t>
            </w:r>
          </w:p>
        </w:tc>
      </w:tr>
      <w:tr w:rsidR="00AA3BE7" w:rsidRPr="000D697A" w14:paraId="59874981" w14:textId="260A933F" w:rsidTr="003436AC">
        <w:tc>
          <w:tcPr>
            <w:tcW w:w="4593" w:type="dxa"/>
            <w:vMerge/>
            <w:tcBorders>
              <w:right w:val="nil"/>
            </w:tcBorders>
          </w:tcPr>
          <w:p w14:paraId="57D9CC81" w14:textId="77777777" w:rsidR="00AA3BE7" w:rsidRPr="00907907" w:rsidRDefault="00AA3BE7" w:rsidP="003436AC">
            <w:pPr>
              <w:spacing w:after="336"/>
              <w:rPr>
                <w:rFonts w:cs="Times New Roman"/>
                <w:b/>
                <w:lang w:val="en-GB"/>
              </w:rPr>
            </w:pPr>
          </w:p>
        </w:tc>
        <w:tc>
          <w:tcPr>
            <w:tcW w:w="4593" w:type="dxa"/>
            <w:tcBorders>
              <w:left w:val="nil"/>
            </w:tcBorders>
          </w:tcPr>
          <w:p w14:paraId="0C9AD05E" w14:textId="1576CC08" w:rsidR="00AA3BE7" w:rsidRPr="00907907" w:rsidRDefault="008863BB" w:rsidP="003436AC">
            <w:pPr>
              <w:spacing w:after="336"/>
              <w:rPr>
                <w:rFonts w:cs="Times New Roman"/>
                <w:lang w:val="en-GB"/>
              </w:rPr>
            </w:pPr>
            <w:r w:rsidRPr="00907907">
              <w:rPr>
                <w:rFonts w:cs="Times New Roman"/>
                <w:lang w:val="en-GB"/>
              </w:rPr>
              <w:t>The difference between a building</w:t>
            </w:r>
            <w:r w:rsidR="00922CED" w:rsidRPr="00907907">
              <w:rPr>
                <w:rFonts w:cs="Times New Roman"/>
                <w:lang w:val="en-GB"/>
              </w:rPr>
              <w:t>’</w:t>
            </w:r>
            <w:r w:rsidRPr="00907907">
              <w:rPr>
                <w:rFonts w:cs="Times New Roman"/>
                <w:lang w:val="en-GB"/>
              </w:rPr>
              <w:t xml:space="preserve">s </w:t>
            </w:r>
            <w:r w:rsidR="00922CED" w:rsidRPr="00907907">
              <w:rPr>
                <w:rFonts w:cs="Times New Roman"/>
                <w:lang w:val="en-GB"/>
              </w:rPr>
              <w:t>life span</w:t>
            </w:r>
            <w:r w:rsidRPr="00907907">
              <w:rPr>
                <w:rFonts w:cs="Times New Roman"/>
                <w:lang w:val="en-GB"/>
              </w:rPr>
              <w:t xml:space="preserve"> and the life span of investments made in the building is unclear or confused.</w:t>
            </w:r>
            <w:r w:rsidR="00A707EE" w:rsidRPr="00907907">
              <w:rPr>
                <w:rFonts w:cs="Times New Roman"/>
                <w:lang w:val="en-GB"/>
              </w:rPr>
              <w:t xml:space="preserve"> </w:t>
            </w:r>
          </w:p>
        </w:tc>
      </w:tr>
      <w:tr w:rsidR="00AA3BE7" w:rsidRPr="000D697A" w14:paraId="0E6C1F25" w14:textId="5B5FF7E1" w:rsidTr="003436AC">
        <w:tc>
          <w:tcPr>
            <w:tcW w:w="4593" w:type="dxa"/>
            <w:vMerge/>
            <w:tcBorders>
              <w:right w:val="nil"/>
            </w:tcBorders>
          </w:tcPr>
          <w:p w14:paraId="4D4941BF" w14:textId="77777777" w:rsidR="00AA3BE7" w:rsidRPr="00907907" w:rsidRDefault="00AA3BE7" w:rsidP="003436AC">
            <w:pPr>
              <w:spacing w:after="336"/>
              <w:rPr>
                <w:rFonts w:cs="Times New Roman"/>
                <w:b/>
                <w:lang w:val="en-GB"/>
              </w:rPr>
            </w:pPr>
          </w:p>
        </w:tc>
        <w:tc>
          <w:tcPr>
            <w:tcW w:w="4593" w:type="dxa"/>
            <w:tcBorders>
              <w:left w:val="nil"/>
            </w:tcBorders>
          </w:tcPr>
          <w:p w14:paraId="514004DD" w14:textId="097E07EE" w:rsidR="00AA3BE7" w:rsidRPr="00907907" w:rsidRDefault="008863BB" w:rsidP="003436AC">
            <w:pPr>
              <w:spacing w:after="336"/>
              <w:rPr>
                <w:rFonts w:cs="Times New Roman"/>
                <w:lang w:val="en-GB"/>
              </w:rPr>
            </w:pPr>
            <w:r w:rsidRPr="00907907">
              <w:rPr>
                <w:rFonts w:cs="Times New Roman"/>
                <w:lang w:val="en-GB"/>
              </w:rPr>
              <w:t>The possibility that</w:t>
            </w:r>
            <w:r w:rsidR="00922CED" w:rsidRPr="00907907">
              <w:rPr>
                <w:rFonts w:cs="Times New Roman"/>
                <w:lang w:val="en-GB"/>
              </w:rPr>
              <w:t xml:space="preserve"> the</w:t>
            </w:r>
            <w:r w:rsidRPr="00907907">
              <w:rPr>
                <w:rFonts w:cs="Times New Roman"/>
                <w:lang w:val="en-GB"/>
              </w:rPr>
              <w:t xml:space="preserve"> </w:t>
            </w:r>
            <w:r w:rsidR="00922CED" w:rsidRPr="00907907">
              <w:rPr>
                <w:rFonts w:cs="Times New Roman"/>
                <w:lang w:val="en-GB"/>
              </w:rPr>
              <w:t xml:space="preserve">value of </w:t>
            </w:r>
            <w:r w:rsidRPr="00907907">
              <w:rPr>
                <w:rFonts w:cs="Times New Roman"/>
                <w:lang w:val="en-GB"/>
              </w:rPr>
              <w:t>cultural heritage may increase over the coming decades is typically not considered.</w:t>
            </w:r>
            <w:r w:rsidR="00A707EE" w:rsidRPr="00907907">
              <w:rPr>
                <w:rFonts w:cs="Times New Roman"/>
                <w:lang w:val="en-GB"/>
              </w:rPr>
              <w:t xml:space="preserve"> </w:t>
            </w:r>
          </w:p>
        </w:tc>
      </w:tr>
      <w:tr w:rsidR="00AA3BE7" w:rsidRPr="000D697A" w14:paraId="7EB2AF82" w14:textId="6A9361E2" w:rsidTr="003436AC">
        <w:tc>
          <w:tcPr>
            <w:tcW w:w="4593" w:type="dxa"/>
            <w:vMerge w:val="restart"/>
            <w:tcBorders>
              <w:right w:val="nil"/>
            </w:tcBorders>
          </w:tcPr>
          <w:p w14:paraId="7004AECC" w14:textId="06E34D69" w:rsidR="00AA3BE7" w:rsidRPr="00907907" w:rsidRDefault="00AA3BE7" w:rsidP="003436AC">
            <w:pPr>
              <w:spacing w:after="336"/>
              <w:rPr>
                <w:rFonts w:cs="Times New Roman"/>
                <w:b/>
                <w:lang w:val="en-GB"/>
              </w:rPr>
            </w:pPr>
            <w:r w:rsidRPr="00907907">
              <w:rPr>
                <w:rFonts w:cs="Times New Roman"/>
                <w:b/>
                <w:lang w:val="en-GB"/>
              </w:rPr>
              <w:t>Unintended results of complex, political processes</w:t>
            </w:r>
          </w:p>
        </w:tc>
        <w:tc>
          <w:tcPr>
            <w:tcW w:w="4593" w:type="dxa"/>
            <w:tcBorders>
              <w:left w:val="nil"/>
            </w:tcBorders>
          </w:tcPr>
          <w:p w14:paraId="568FA786" w14:textId="7A550684" w:rsidR="00AA3BE7" w:rsidRPr="00907907" w:rsidRDefault="008863BB" w:rsidP="003436AC">
            <w:pPr>
              <w:spacing w:after="336"/>
              <w:rPr>
                <w:rFonts w:cs="Times New Roman"/>
                <w:lang w:val="en-GB"/>
              </w:rPr>
            </w:pPr>
            <w:r w:rsidRPr="00907907">
              <w:rPr>
                <w:rFonts w:cs="Times New Roman"/>
                <w:lang w:val="en-GB"/>
              </w:rPr>
              <w:t xml:space="preserve">The buildings are deemed too small because the institutions are getting bigger in </w:t>
            </w:r>
            <w:r w:rsidR="00D40A8D" w:rsidRPr="00907907">
              <w:rPr>
                <w:rFonts w:cs="Times New Roman"/>
                <w:lang w:val="en-GB"/>
              </w:rPr>
              <w:t xml:space="preserve">pursuit of </w:t>
            </w:r>
            <w:r w:rsidRPr="00907907">
              <w:rPr>
                <w:rFonts w:cs="Times New Roman"/>
                <w:lang w:val="en-GB"/>
              </w:rPr>
              <w:t xml:space="preserve"> efficiency.</w:t>
            </w:r>
            <w:r w:rsidR="00A707EE" w:rsidRPr="00907907">
              <w:rPr>
                <w:rFonts w:cs="Times New Roman"/>
                <w:lang w:val="en-GB"/>
              </w:rPr>
              <w:t xml:space="preserve"> </w:t>
            </w:r>
          </w:p>
        </w:tc>
      </w:tr>
      <w:tr w:rsidR="00AA3BE7" w:rsidRPr="000D697A" w14:paraId="1270D1EC" w14:textId="7BB05209" w:rsidTr="003436AC">
        <w:tc>
          <w:tcPr>
            <w:tcW w:w="4593" w:type="dxa"/>
            <w:vMerge/>
            <w:tcBorders>
              <w:right w:val="nil"/>
            </w:tcBorders>
          </w:tcPr>
          <w:p w14:paraId="3CBBF9F4" w14:textId="77777777" w:rsidR="00AA3BE7" w:rsidRPr="00907907" w:rsidRDefault="00AA3BE7" w:rsidP="003436AC">
            <w:pPr>
              <w:spacing w:after="336"/>
              <w:rPr>
                <w:rFonts w:cs="Times New Roman"/>
                <w:b/>
                <w:lang w:val="en-GB"/>
              </w:rPr>
            </w:pPr>
          </w:p>
        </w:tc>
        <w:tc>
          <w:tcPr>
            <w:tcW w:w="4593" w:type="dxa"/>
            <w:tcBorders>
              <w:left w:val="nil"/>
            </w:tcBorders>
          </w:tcPr>
          <w:p w14:paraId="7660E1EB" w14:textId="3165F136" w:rsidR="00AA3BE7" w:rsidRPr="00907907" w:rsidRDefault="00AA3BE7" w:rsidP="003436AC">
            <w:pPr>
              <w:spacing w:after="336"/>
              <w:rPr>
                <w:rFonts w:cs="Times New Roman"/>
                <w:lang w:val="en-GB"/>
              </w:rPr>
            </w:pPr>
            <w:r w:rsidRPr="00907907">
              <w:rPr>
                <w:rFonts w:cs="Times New Roman"/>
                <w:lang w:val="en-GB"/>
              </w:rPr>
              <w:t>The connections between established institutions and their t</w:t>
            </w:r>
            <w:r w:rsidR="00A707EE" w:rsidRPr="00907907">
              <w:rPr>
                <w:rFonts w:cs="Times New Roman"/>
                <w:lang w:val="en-GB"/>
              </w:rPr>
              <w:t>raditional buildings are ignored.</w:t>
            </w:r>
          </w:p>
        </w:tc>
      </w:tr>
      <w:tr w:rsidR="00AA3BE7" w:rsidRPr="000D697A" w14:paraId="0265FC4E" w14:textId="38047986" w:rsidTr="003436AC">
        <w:tc>
          <w:tcPr>
            <w:tcW w:w="4593" w:type="dxa"/>
            <w:vMerge/>
            <w:tcBorders>
              <w:right w:val="nil"/>
            </w:tcBorders>
          </w:tcPr>
          <w:p w14:paraId="516DF53D" w14:textId="77777777" w:rsidR="00AA3BE7" w:rsidRPr="00907907" w:rsidRDefault="00AA3BE7" w:rsidP="003436AC">
            <w:pPr>
              <w:spacing w:after="336"/>
              <w:rPr>
                <w:rFonts w:cs="Times New Roman"/>
                <w:b/>
                <w:lang w:val="en-GB"/>
              </w:rPr>
            </w:pPr>
          </w:p>
        </w:tc>
        <w:tc>
          <w:tcPr>
            <w:tcW w:w="4593" w:type="dxa"/>
            <w:tcBorders>
              <w:left w:val="nil"/>
            </w:tcBorders>
          </w:tcPr>
          <w:p w14:paraId="7971CEFE" w14:textId="1EEF78E3" w:rsidR="00AA3BE7" w:rsidRPr="00907907" w:rsidRDefault="00AA3BE7" w:rsidP="003436AC">
            <w:pPr>
              <w:spacing w:after="336"/>
              <w:rPr>
                <w:rFonts w:cs="Times New Roman"/>
                <w:lang w:val="en-GB"/>
              </w:rPr>
            </w:pPr>
            <w:r w:rsidRPr="00907907">
              <w:rPr>
                <w:rFonts w:cs="Times New Roman"/>
                <w:lang w:val="en-GB"/>
              </w:rPr>
              <w:t xml:space="preserve">Political decisions are </w:t>
            </w:r>
            <w:r w:rsidR="00D40A8D" w:rsidRPr="00907907">
              <w:rPr>
                <w:rFonts w:cs="Times New Roman"/>
                <w:lang w:val="en-GB"/>
              </w:rPr>
              <w:t xml:space="preserve">disregarded </w:t>
            </w:r>
            <w:r w:rsidRPr="00907907">
              <w:rPr>
                <w:rFonts w:cs="Times New Roman"/>
                <w:lang w:val="en-GB"/>
              </w:rPr>
              <w:t>based on informal political signals.</w:t>
            </w:r>
          </w:p>
        </w:tc>
      </w:tr>
      <w:tr w:rsidR="00AA3BE7" w:rsidRPr="000D697A" w14:paraId="47A8064E" w14:textId="62933073" w:rsidTr="003436AC">
        <w:tc>
          <w:tcPr>
            <w:tcW w:w="4593" w:type="dxa"/>
            <w:vMerge/>
            <w:tcBorders>
              <w:right w:val="nil"/>
            </w:tcBorders>
          </w:tcPr>
          <w:p w14:paraId="4445DFD0" w14:textId="77777777" w:rsidR="00AA3BE7" w:rsidRPr="00907907" w:rsidRDefault="00AA3BE7" w:rsidP="003436AC">
            <w:pPr>
              <w:spacing w:after="336"/>
              <w:rPr>
                <w:rFonts w:cs="Times New Roman"/>
                <w:b/>
                <w:lang w:val="en-GB"/>
              </w:rPr>
            </w:pPr>
          </w:p>
        </w:tc>
        <w:tc>
          <w:tcPr>
            <w:tcW w:w="4593" w:type="dxa"/>
            <w:tcBorders>
              <w:left w:val="nil"/>
            </w:tcBorders>
          </w:tcPr>
          <w:p w14:paraId="2276E854" w14:textId="080C9285" w:rsidR="00AA3BE7" w:rsidRPr="00907907" w:rsidRDefault="00AA3BE7" w:rsidP="003436AC">
            <w:pPr>
              <w:spacing w:after="336"/>
              <w:rPr>
                <w:rFonts w:cs="Times New Roman"/>
                <w:lang w:val="en-GB"/>
              </w:rPr>
            </w:pPr>
            <w:r w:rsidRPr="00907907">
              <w:rPr>
                <w:rFonts w:cs="Times New Roman"/>
                <w:lang w:val="en-GB"/>
              </w:rPr>
              <w:t>Political feasibility is overestimated</w:t>
            </w:r>
            <w:r w:rsidR="00A707EE" w:rsidRPr="00907907">
              <w:rPr>
                <w:rFonts w:cs="Times New Roman"/>
                <w:lang w:val="en-GB"/>
              </w:rPr>
              <w:t>.</w:t>
            </w:r>
          </w:p>
        </w:tc>
      </w:tr>
      <w:tr w:rsidR="00AA3BE7" w:rsidRPr="000D697A" w14:paraId="6D367203" w14:textId="2C699AAE" w:rsidTr="003436AC">
        <w:tc>
          <w:tcPr>
            <w:tcW w:w="4593" w:type="dxa"/>
            <w:tcBorders>
              <w:right w:val="nil"/>
            </w:tcBorders>
          </w:tcPr>
          <w:p w14:paraId="60E9322A" w14:textId="0627D9AB" w:rsidR="00AA3BE7" w:rsidRPr="00907907" w:rsidRDefault="00AA3BE7" w:rsidP="003436AC">
            <w:pPr>
              <w:spacing w:after="336"/>
              <w:rPr>
                <w:rFonts w:cs="Times New Roman"/>
                <w:b/>
                <w:lang w:val="en-GB"/>
              </w:rPr>
            </w:pPr>
            <w:r w:rsidRPr="00907907">
              <w:rPr>
                <w:rFonts w:cs="Times New Roman"/>
                <w:b/>
                <w:lang w:val="en-GB"/>
              </w:rPr>
              <w:t>Smaller concerns gain greater impact</w:t>
            </w:r>
          </w:p>
        </w:tc>
        <w:tc>
          <w:tcPr>
            <w:tcW w:w="4593" w:type="dxa"/>
            <w:tcBorders>
              <w:left w:val="nil"/>
            </w:tcBorders>
          </w:tcPr>
          <w:p w14:paraId="2712D578" w14:textId="5B4698EE" w:rsidR="00AA3BE7" w:rsidRPr="00907907" w:rsidRDefault="00AF2F73" w:rsidP="003436AC">
            <w:pPr>
              <w:spacing w:after="336"/>
              <w:rPr>
                <w:rFonts w:cs="Times New Roman"/>
                <w:lang w:val="en-GB"/>
              </w:rPr>
            </w:pPr>
            <w:r w:rsidRPr="00907907">
              <w:rPr>
                <w:rFonts w:cs="Times New Roman"/>
                <w:lang w:val="en-GB"/>
              </w:rPr>
              <w:t>Biased weighting of significance</w:t>
            </w:r>
            <w:r w:rsidR="00D40A8D" w:rsidRPr="00907907">
              <w:rPr>
                <w:rFonts w:cs="Times New Roman"/>
                <w:lang w:val="en-GB"/>
              </w:rPr>
              <w:t>.</w:t>
            </w:r>
          </w:p>
        </w:tc>
      </w:tr>
      <w:tr w:rsidR="00AA3BE7" w:rsidRPr="000D697A" w14:paraId="7C9C7375" w14:textId="0E4183B2" w:rsidTr="003436AC">
        <w:tc>
          <w:tcPr>
            <w:tcW w:w="4593" w:type="dxa"/>
            <w:vMerge w:val="restart"/>
            <w:tcBorders>
              <w:right w:val="nil"/>
            </w:tcBorders>
          </w:tcPr>
          <w:p w14:paraId="745BB0D9" w14:textId="6E9B3FEE" w:rsidR="00AA3BE7" w:rsidRPr="00907907" w:rsidRDefault="00AA3BE7" w:rsidP="003436AC">
            <w:pPr>
              <w:spacing w:after="336"/>
              <w:rPr>
                <w:rFonts w:cs="Times New Roman"/>
                <w:b/>
                <w:lang w:val="en-GB"/>
              </w:rPr>
            </w:pPr>
            <w:r w:rsidRPr="00907907">
              <w:rPr>
                <w:rFonts w:cs="Times New Roman"/>
                <w:b/>
                <w:lang w:val="en-GB"/>
              </w:rPr>
              <w:t>Problematic and incongruent demarcation of projects costs</w:t>
            </w:r>
          </w:p>
        </w:tc>
        <w:tc>
          <w:tcPr>
            <w:tcW w:w="4593" w:type="dxa"/>
            <w:tcBorders>
              <w:left w:val="nil"/>
            </w:tcBorders>
          </w:tcPr>
          <w:p w14:paraId="07F93D83" w14:textId="63FD4F1D" w:rsidR="00AA3BE7" w:rsidRPr="00907907" w:rsidRDefault="008863BB" w:rsidP="003436AC">
            <w:pPr>
              <w:spacing w:after="336"/>
              <w:rPr>
                <w:rFonts w:cs="Times New Roman"/>
                <w:lang w:val="en-GB"/>
              </w:rPr>
            </w:pPr>
            <w:r w:rsidRPr="00907907">
              <w:rPr>
                <w:rFonts w:cs="Times New Roman"/>
                <w:lang w:val="en-GB"/>
              </w:rPr>
              <w:t>Costs related to vacated, protected buildings are typically not considered.</w:t>
            </w:r>
          </w:p>
        </w:tc>
      </w:tr>
      <w:tr w:rsidR="00AA3BE7" w:rsidRPr="000D697A" w14:paraId="202F7BD6" w14:textId="330CC81B" w:rsidTr="003436AC">
        <w:tc>
          <w:tcPr>
            <w:tcW w:w="4593" w:type="dxa"/>
            <w:vMerge/>
            <w:tcBorders>
              <w:right w:val="nil"/>
            </w:tcBorders>
          </w:tcPr>
          <w:p w14:paraId="47C9B4F2" w14:textId="77777777" w:rsidR="00AA3BE7" w:rsidRPr="00907907" w:rsidRDefault="00AA3BE7" w:rsidP="003436AC">
            <w:pPr>
              <w:spacing w:after="336"/>
              <w:rPr>
                <w:rFonts w:cs="Times New Roman"/>
                <w:b/>
                <w:lang w:val="en-GB"/>
              </w:rPr>
            </w:pPr>
          </w:p>
        </w:tc>
        <w:tc>
          <w:tcPr>
            <w:tcW w:w="4593" w:type="dxa"/>
            <w:tcBorders>
              <w:left w:val="nil"/>
            </w:tcBorders>
          </w:tcPr>
          <w:p w14:paraId="078E21BA" w14:textId="655DAF50" w:rsidR="00AA3BE7" w:rsidRPr="00907907" w:rsidRDefault="008863BB" w:rsidP="003436AC">
            <w:pPr>
              <w:spacing w:after="336"/>
              <w:rPr>
                <w:rFonts w:cs="Times New Roman"/>
                <w:lang w:val="en-GB"/>
              </w:rPr>
            </w:pPr>
            <w:r w:rsidRPr="00907907">
              <w:rPr>
                <w:rFonts w:cs="Times New Roman"/>
                <w:lang w:val="en-GB"/>
              </w:rPr>
              <w:t xml:space="preserve">Claims that vacated, protected buildings can be sold. </w:t>
            </w:r>
          </w:p>
        </w:tc>
      </w:tr>
      <w:tr w:rsidR="00AA3BE7" w:rsidRPr="000D697A" w14:paraId="67402B12" w14:textId="09D7056E" w:rsidTr="003436AC">
        <w:tc>
          <w:tcPr>
            <w:tcW w:w="4593" w:type="dxa"/>
            <w:vMerge/>
            <w:tcBorders>
              <w:right w:val="nil"/>
            </w:tcBorders>
          </w:tcPr>
          <w:p w14:paraId="294F6E1E" w14:textId="77777777" w:rsidR="00AA3BE7" w:rsidRPr="00907907" w:rsidRDefault="00AA3BE7" w:rsidP="003436AC">
            <w:pPr>
              <w:spacing w:after="336"/>
              <w:rPr>
                <w:rFonts w:cs="Times New Roman"/>
                <w:b/>
                <w:lang w:val="en-GB"/>
              </w:rPr>
            </w:pPr>
          </w:p>
        </w:tc>
        <w:tc>
          <w:tcPr>
            <w:tcW w:w="4593" w:type="dxa"/>
            <w:tcBorders>
              <w:left w:val="nil"/>
            </w:tcBorders>
          </w:tcPr>
          <w:p w14:paraId="79737AF6" w14:textId="7697BF1E" w:rsidR="00AA3BE7" w:rsidRPr="00907907" w:rsidRDefault="008863BB" w:rsidP="003436AC">
            <w:pPr>
              <w:spacing w:after="336"/>
              <w:rPr>
                <w:rFonts w:cs="Times New Roman"/>
                <w:lang w:val="en-GB"/>
              </w:rPr>
            </w:pPr>
            <w:r w:rsidRPr="00907907">
              <w:rPr>
                <w:rFonts w:cs="Times New Roman"/>
                <w:lang w:val="en-GB"/>
              </w:rPr>
              <w:t>Claims that vacated, protected buildings can be sold for market price.</w:t>
            </w:r>
            <w:r w:rsidR="00A707EE" w:rsidRPr="00907907">
              <w:rPr>
                <w:rFonts w:cs="Times New Roman"/>
                <w:lang w:val="en-GB"/>
              </w:rPr>
              <w:t xml:space="preserve"> </w:t>
            </w:r>
          </w:p>
        </w:tc>
      </w:tr>
      <w:tr w:rsidR="00AA3BE7" w:rsidRPr="000D697A" w14:paraId="11093E84" w14:textId="2DDCBFDC" w:rsidTr="003436AC">
        <w:tc>
          <w:tcPr>
            <w:tcW w:w="4593" w:type="dxa"/>
            <w:vMerge/>
            <w:tcBorders>
              <w:right w:val="nil"/>
            </w:tcBorders>
          </w:tcPr>
          <w:p w14:paraId="66922E5B" w14:textId="77777777" w:rsidR="00AA3BE7" w:rsidRPr="00907907" w:rsidRDefault="00AA3BE7" w:rsidP="003436AC">
            <w:pPr>
              <w:spacing w:after="336"/>
              <w:rPr>
                <w:rFonts w:cs="Times New Roman"/>
                <w:b/>
                <w:lang w:val="en-GB"/>
              </w:rPr>
            </w:pPr>
          </w:p>
        </w:tc>
        <w:tc>
          <w:tcPr>
            <w:tcW w:w="4593" w:type="dxa"/>
            <w:tcBorders>
              <w:left w:val="nil"/>
            </w:tcBorders>
          </w:tcPr>
          <w:p w14:paraId="0443D761" w14:textId="3053C6D9" w:rsidR="00AA3BE7" w:rsidRPr="00907907" w:rsidRDefault="008863BB" w:rsidP="003436AC">
            <w:pPr>
              <w:spacing w:after="336"/>
              <w:rPr>
                <w:rFonts w:cs="Times New Roman"/>
                <w:lang w:val="en-GB"/>
              </w:rPr>
            </w:pPr>
            <w:r w:rsidRPr="00907907">
              <w:rPr>
                <w:rFonts w:cs="Times New Roman"/>
                <w:lang w:val="en-GB"/>
              </w:rPr>
              <w:t>Sales of cultural heritage buildings can diminish the cost of a new building, albeit incorrectly</w:t>
            </w:r>
            <w:r w:rsidR="00A707EE" w:rsidRPr="00907907">
              <w:rPr>
                <w:rFonts w:cs="Times New Roman"/>
                <w:lang w:val="en-GB"/>
              </w:rPr>
              <w:t>.</w:t>
            </w:r>
          </w:p>
        </w:tc>
      </w:tr>
      <w:tr w:rsidR="00AA3BE7" w:rsidRPr="000D697A" w14:paraId="387F7E6F" w14:textId="7A2FAB2A" w:rsidTr="003436AC">
        <w:tc>
          <w:tcPr>
            <w:tcW w:w="4593" w:type="dxa"/>
            <w:vMerge/>
            <w:tcBorders>
              <w:right w:val="nil"/>
            </w:tcBorders>
          </w:tcPr>
          <w:p w14:paraId="1F73CCAB" w14:textId="77777777" w:rsidR="00AA3BE7" w:rsidRPr="00907907" w:rsidRDefault="00AA3BE7" w:rsidP="003436AC">
            <w:pPr>
              <w:spacing w:after="336"/>
              <w:rPr>
                <w:rFonts w:cs="Times New Roman"/>
                <w:b/>
                <w:lang w:val="en-GB"/>
              </w:rPr>
            </w:pPr>
          </w:p>
        </w:tc>
        <w:tc>
          <w:tcPr>
            <w:tcW w:w="4593" w:type="dxa"/>
            <w:tcBorders>
              <w:left w:val="nil"/>
            </w:tcBorders>
          </w:tcPr>
          <w:p w14:paraId="55AF07C4" w14:textId="3BEFA114" w:rsidR="00AA3BE7" w:rsidRPr="00907907" w:rsidRDefault="006B0843" w:rsidP="003436AC">
            <w:pPr>
              <w:spacing w:after="336"/>
              <w:rPr>
                <w:rFonts w:cs="Times New Roman"/>
                <w:lang w:val="en-GB"/>
              </w:rPr>
            </w:pPr>
            <w:r w:rsidRPr="00907907">
              <w:rPr>
                <w:rFonts w:cs="Times New Roman"/>
                <w:lang w:val="en-GB"/>
              </w:rPr>
              <w:t>S</w:t>
            </w:r>
            <w:r w:rsidR="008863BB" w:rsidRPr="00907907">
              <w:rPr>
                <w:rFonts w:cs="Times New Roman"/>
                <w:lang w:val="en-GB"/>
              </w:rPr>
              <w:t xml:space="preserve">tate owned real estate is </w:t>
            </w:r>
            <w:r w:rsidRPr="00907907">
              <w:rPr>
                <w:rFonts w:cs="Times New Roman"/>
                <w:lang w:val="en-GB"/>
              </w:rPr>
              <w:t>mislabelled ‘</w:t>
            </w:r>
            <w:r w:rsidR="008863BB" w:rsidRPr="00907907">
              <w:rPr>
                <w:rFonts w:cs="Times New Roman"/>
                <w:lang w:val="en-GB"/>
              </w:rPr>
              <w:t>free</w:t>
            </w:r>
            <w:r w:rsidRPr="00907907">
              <w:rPr>
                <w:rFonts w:cs="Times New Roman"/>
                <w:lang w:val="en-GB"/>
              </w:rPr>
              <w:t>’</w:t>
            </w:r>
            <w:r w:rsidR="008863BB" w:rsidRPr="00907907">
              <w:rPr>
                <w:rFonts w:cs="Times New Roman"/>
                <w:lang w:val="en-GB"/>
              </w:rPr>
              <w:t xml:space="preserve"> for public building projects.</w:t>
            </w:r>
            <w:r w:rsidR="00A707EE" w:rsidRPr="00907907">
              <w:rPr>
                <w:rFonts w:cs="Times New Roman"/>
                <w:lang w:val="en-GB"/>
              </w:rPr>
              <w:t xml:space="preserve"> </w:t>
            </w:r>
          </w:p>
        </w:tc>
      </w:tr>
      <w:tr w:rsidR="00AA3BE7" w:rsidRPr="000D697A" w14:paraId="7360611F" w14:textId="2B1DC768" w:rsidTr="003436AC">
        <w:tc>
          <w:tcPr>
            <w:tcW w:w="4593" w:type="dxa"/>
            <w:vMerge/>
            <w:tcBorders>
              <w:right w:val="nil"/>
            </w:tcBorders>
          </w:tcPr>
          <w:p w14:paraId="3E4B8CAB" w14:textId="77777777" w:rsidR="00AA3BE7" w:rsidRPr="00907907" w:rsidRDefault="00AA3BE7" w:rsidP="003436AC">
            <w:pPr>
              <w:spacing w:after="336"/>
              <w:rPr>
                <w:rFonts w:cs="Times New Roman"/>
                <w:b/>
                <w:lang w:val="en-GB"/>
              </w:rPr>
            </w:pPr>
          </w:p>
        </w:tc>
        <w:tc>
          <w:tcPr>
            <w:tcW w:w="4593" w:type="dxa"/>
            <w:tcBorders>
              <w:left w:val="nil"/>
            </w:tcBorders>
          </w:tcPr>
          <w:p w14:paraId="762D8342" w14:textId="73034877" w:rsidR="00AA3BE7" w:rsidRPr="00907907" w:rsidRDefault="008863BB" w:rsidP="003436AC">
            <w:pPr>
              <w:spacing w:after="336"/>
              <w:rPr>
                <w:rFonts w:cs="Times New Roman"/>
                <w:lang w:val="en-GB"/>
              </w:rPr>
            </w:pPr>
            <w:r w:rsidRPr="00907907">
              <w:rPr>
                <w:rFonts w:cs="Times New Roman"/>
                <w:lang w:val="en-GB"/>
              </w:rPr>
              <w:t xml:space="preserve">Maintenance lag </w:t>
            </w:r>
            <w:r w:rsidR="006B0843" w:rsidRPr="00907907">
              <w:rPr>
                <w:rFonts w:cs="Times New Roman"/>
                <w:lang w:val="en-GB"/>
              </w:rPr>
              <w:t xml:space="preserve">is </w:t>
            </w:r>
            <w:r w:rsidRPr="00907907">
              <w:rPr>
                <w:rFonts w:cs="Times New Roman"/>
                <w:lang w:val="en-GB"/>
              </w:rPr>
              <w:t>mistakenly included in project costs calculations</w:t>
            </w:r>
            <w:r w:rsidR="00A707EE" w:rsidRPr="00907907">
              <w:rPr>
                <w:rFonts w:cs="Times New Roman"/>
                <w:lang w:val="en-GB"/>
              </w:rPr>
              <w:t>.</w:t>
            </w:r>
          </w:p>
        </w:tc>
      </w:tr>
      <w:tr w:rsidR="00AA3BE7" w:rsidRPr="000D697A" w14:paraId="679217EF" w14:textId="3E4BC341" w:rsidTr="003436AC">
        <w:tc>
          <w:tcPr>
            <w:tcW w:w="4593" w:type="dxa"/>
            <w:vMerge w:val="restart"/>
            <w:tcBorders>
              <w:right w:val="nil"/>
            </w:tcBorders>
          </w:tcPr>
          <w:p w14:paraId="5F1C9BCE" w14:textId="05164E3B" w:rsidR="00AA3BE7" w:rsidRPr="00907907" w:rsidRDefault="00AA3BE7" w:rsidP="003436AC">
            <w:pPr>
              <w:spacing w:after="336"/>
              <w:rPr>
                <w:rFonts w:cs="Times New Roman"/>
                <w:b/>
                <w:lang w:val="en-GB"/>
              </w:rPr>
            </w:pPr>
            <w:r w:rsidRPr="00907907">
              <w:rPr>
                <w:rFonts w:cs="Times New Roman"/>
                <w:b/>
                <w:lang w:val="en-GB"/>
              </w:rPr>
              <w:t>The evaluation  can appear to be biased, possibly tailored for a preferred result</w:t>
            </w:r>
          </w:p>
        </w:tc>
        <w:tc>
          <w:tcPr>
            <w:tcW w:w="4593" w:type="dxa"/>
            <w:tcBorders>
              <w:left w:val="nil"/>
            </w:tcBorders>
          </w:tcPr>
          <w:p w14:paraId="78B80524" w14:textId="57523C7F" w:rsidR="00AA3BE7" w:rsidRPr="00907907" w:rsidRDefault="00AA3BE7" w:rsidP="003436AC">
            <w:pPr>
              <w:spacing w:after="336"/>
              <w:rPr>
                <w:rFonts w:cs="Times New Roman"/>
                <w:lang w:val="en-GB"/>
              </w:rPr>
            </w:pPr>
            <w:r w:rsidRPr="00907907">
              <w:rPr>
                <w:rFonts w:cs="Times New Roman"/>
                <w:lang w:val="en-GB"/>
              </w:rPr>
              <w:t>Internal dissension amongst key stakeholders is ignored.</w:t>
            </w:r>
          </w:p>
        </w:tc>
      </w:tr>
      <w:tr w:rsidR="00AA3BE7" w:rsidRPr="000D697A" w14:paraId="2D4D85FB" w14:textId="2CFF242B" w:rsidTr="003436AC">
        <w:trPr>
          <w:trHeight w:val="360"/>
        </w:trPr>
        <w:tc>
          <w:tcPr>
            <w:tcW w:w="4593" w:type="dxa"/>
            <w:vMerge/>
            <w:tcBorders>
              <w:right w:val="nil"/>
            </w:tcBorders>
          </w:tcPr>
          <w:p w14:paraId="0BEA0EFC" w14:textId="77777777" w:rsidR="00AA3BE7" w:rsidRPr="003436AC" w:rsidRDefault="00AA3BE7" w:rsidP="003436AC">
            <w:pPr>
              <w:spacing w:after="336"/>
              <w:rPr>
                <w:rFonts w:cs="Times New Roman"/>
                <w:sz w:val="24"/>
                <w:szCs w:val="24"/>
                <w:lang w:val="en-GB"/>
              </w:rPr>
            </w:pPr>
          </w:p>
        </w:tc>
        <w:tc>
          <w:tcPr>
            <w:tcW w:w="4593" w:type="dxa"/>
            <w:tcBorders>
              <w:left w:val="nil"/>
            </w:tcBorders>
          </w:tcPr>
          <w:p w14:paraId="0B1C580B" w14:textId="43E0715E" w:rsidR="00AA3BE7" w:rsidRPr="00907907" w:rsidRDefault="00AA3BE7" w:rsidP="003436AC">
            <w:pPr>
              <w:spacing w:after="336"/>
              <w:rPr>
                <w:rFonts w:cs="Times New Roman"/>
                <w:lang w:val="en-GB"/>
              </w:rPr>
            </w:pPr>
            <w:r w:rsidRPr="00907907">
              <w:rPr>
                <w:rFonts w:cs="Times New Roman"/>
                <w:lang w:val="en-GB"/>
              </w:rPr>
              <w:t>Evaluations can appear to be biased</w:t>
            </w:r>
            <w:r w:rsidR="00A707EE" w:rsidRPr="00907907">
              <w:rPr>
                <w:rFonts w:cs="Times New Roman"/>
                <w:lang w:val="en-GB"/>
              </w:rPr>
              <w:t>.</w:t>
            </w:r>
          </w:p>
        </w:tc>
      </w:tr>
      <w:tr w:rsidR="00AA3BE7" w:rsidRPr="000D697A" w14:paraId="629590BE" w14:textId="1C3F6C8F" w:rsidTr="003436AC">
        <w:trPr>
          <w:trHeight w:val="360"/>
        </w:trPr>
        <w:tc>
          <w:tcPr>
            <w:tcW w:w="4593" w:type="dxa"/>
            <w:vMerge/>
            <w:tcBorders>
              <w:right w:val="nil"/>
            </w:tcBorders>
          </w:tcPr>
          <w:p w14:paraId="03BF726E" w14:textId="77777777" w:rsidR="00AA3BE7" w:rsidRPr="003436AC" w:rsidRDefault="00AA3BE7" w:rsidP="003436AC">
            <w:pPr>
              <w:spacing w:after="336"/>
              <w:rPr>
                <w:rFonts w:cs="Times New Roman"/>
                <w:sz w:val="24"/>
                <w:szCs w:val="24"/>
                <w:lang w:val="en-GB"/>
              </w:rPr>
            </w:pPr>
          </w:p>
        </w:tc>
        <w:tc>
          <w:tcPr>
            <w:tcW w:w="4593" w:type="dxa"/>
            <w:tcBorders>
              <w:left w:val="nil"/>
            </w:tcBorders>
          </w:tcPr>
          <w:p w14:paraId="5D4611D4" w14:textId="00395ABD" w:rsidR="00AA3BE7" w:rsidRPr="00907907" w:rsidRDefault="00894051" w:rsidP="003436AC">
            <w:pPr>
              <w:spacing w:after="336"/>
              <w:rPr>
                <w:rFonts w:cs="Times New Roman"/>
                <w:lang w:val="en-GB"/>
              </w:rPr>
            </w:pPr>
            <w:r w:rsidRPr="00907907">
              <w:rPr>
                <w:rFonts w:cs="Times New Roman"/>
                <w:lang w:val="en-GB"/>
              </w:rPr>
              <w:t xml:space="preserve">Older buildings weaknesses are </w:t>
            </w:r>
            <w:r w:rsidR="00D40A8D" w:rsidRPr="00907907">
              <w:rPr>
                <w:rFonts w:cs="Times New Roman"/>
                <w:lang w:val="en-GB"/>
              </w:rPr>
              <w:t>emphasized</w:t>
            </w:r>
            <w:r w:rsidRPr="00907907">
              <w:rPr>
                <w:rFonts w:cs="Times New Roman"/>
                <w:lang w:val="en-GB"/>
              </w:rPr>
              <w:t xml:space="preserve"> without commenting </w:t>
            </w:r>
            <w:r w:rsidR="00D40A8D" w:rsidRPr="00907907">
              <w:rPr>
                <w:rFonts w:cs="Times New Roman"/>
                <w:lang w:val="en-GB"/>
              </w:rPr>
              <w:t xml:space="preserve">on </w:t>
            </w:r>
            <w:r w:rsidRPr="00907907">
              <w:rPr>
                <w:rFonts w:cs="Times New Roman"/>
                <w:lang w:val="en-GB"/>
              </w:rPr>
              <w:t xml:space="preserve">the buildings </w:t>
            </w:r>
            <w:r w:rsidR="00D40A8D" w:rsidRPr="00907907">
              <w:rPr>
                <w:rFonts w:cs="Times New Roman"/>
                <w:lang w:val="en-GB"/>
              </w:rPr>
              <w:t>positive</w:t>
            </w:r>
            <w:r w:rsidRPr="00907907">
              <w:rPr>
                <w:rFonts w:cs="Times New Roman"/>
                <w:lang w:val="en-GB"/>
              </w:rPr>
              <w:t xml:space="preserve"> qualities, </w:t>
            </w:r>
            <w:r w:rsidR="001158D7" w:rsidRPr="00907907">
              <w:rPr>
                <w:rFonts w:cs="Times New Roman"/>
                <w:lang w:val="en-GB"/>
              </w:rPr>
              <w:t xml:space="preserve">which should be done </w:t>
            </w:r>
            <w:r w:rsidRPr="00907907">
              <w:rPr>
                <w:rFonts w:cs="Times New Roman"/>
                <w:lang w:val="en-GB"/>
              </w:rPr>
              <w:t xml:space="preserve">for a </w:t>
            </w:r>
            <w:r w:rsidR="001158D7" w:rsidRPr="00907907">
              <w:rPr>
                <w:rFonts w:cs="Times New Roman"/>
                <w:lang w:val="en-GB"/>
              </w:rPr>
              <w:t xml:space="preserve">genuine </w:t>
            </w:r>
            <w:r w:rsidRPr="00907907">
              <w:rPr>
                <w:rFonts w:cs="Times New Roman"/>
                <w:lang w:val="en-GB"/>
              </w:rPr>
              <w:t>balanced rendering.</w:t>
            </w:r>
          </w:p>
        </w:tc>
      </w:tr>
    </w:tbl>
    <w:p w14:paraId="2BC63A8B" w14:textId="6EC0B1CC" w:rsidR="000C6F26" w:rsidRPr="003436AC" w:rsidRDefault="000C6F26" w:rsidP="0060040B">
      <w:pPr>
        <w:pStyle w:val="Heading2"/>
      </w:pPr>
      <w:r w:rsidRPr="003436AC">
        <w:t>Lacking regard for cultural heritage values</w:t>
      </w:r>
    </w:p>
    <w:p w14:paraId="7171CE00" w14:textId="54ABDE3D" w:rsidR="000C6F26" w:rsidRPr="00907907" w:rsidRDefault="000F40C7" w:rsidP="0050048D">
      <w:pPr>
        <w:spacing w:after="336"/>
        <w:rPr>
          <w:rFonts w:cs="Times New Roman"/>
        </w:rPr>
      </w:pPr>
      <w:r w:rsidRPr="00907907">
        <w:rPr>
          <w:rFonts w:cs="Times New Roman"/>
          <w:lang w:val="en-GB"/>
        </w:rPr>
        <w:t>We repeatedly see that</w:t>
      </w:r>
      <w:r w:rsidR="00D40A8D" w:rsidRPr="00907907">
        <w:rPr>
          <w:rFonts w:cs="Times New Roman"/>
          <w:lang w:val="en-GB"/>
        </w:rPr>
        <w:t xml:space="preserve"> the</w:t>
      </w:r>
      <w:r w:rsidRPr="00907907">
        <w:rPr>
          <w:rFonts w:cs="Times New Roman"/>
          <w:lang w:val="en-GB"/>
        </w:rPr>
        <w:t xml:space="preserve"> </w:t>
      </w:r>
      <w:r w:rsidR="00D40A8D" w:rsidRPr="00907907">
        <w:rPr>
          <w:rFonts w:cs="Times New Roman"/>
          <w:lang w:val="en-GB"/>
        </w:rPr>
        <w:t xml:space="preserve">protection of </w:t>
      </w:r>
      <w:r w:rsidRPr="00907907">
        <w:rPr>
          <w:rFonts w:cs="Times New Roman"/>
          <w:lang w:val="en-GB"/>
        </w:rPr>
        <w:t>c</w:t>
      </w:r>
      <w:r w:rsidR="000C6F26" w:rsidRPr="00907907">
        <w:rPr>
          <w:rFonts w:cs="Times New Roman"/>
          <w:lang w:val="en-GB"/>
        </w:rPr>
        <w:t xml:space="preserve">ultural heritage is not </w:t>
      </w:r>
      <w:r w:rsidR="005867EF" w:rsidRPr="00907907">
        <w:rPr>
          <w:rFonts w:cs="Times New Roman"/>
          <w:lang w:val="en-GB"/>
        </w:rPr>
        <w:t>emphasized</w:t>
      </w:r>
      <w:r w:rsidR="00183480" w:rsidRPr="00907907">
        <w:rPr>
          <w:rFonts w:cs="Times New Roman"/>
          <w:lang w:val="en-GB"/>
        </w:rPr>
        <w:t xml:space="preserve"> </w:t>
      </w:r>
      <w:r w:rsidR="000C6F26" w:rsidRPr="00907907">
        <w:rPr>
          <w:rFonts w:cs="Times New Roman"/>
          <w:lang w:val="en-GB"/>
        </w:rPr>
        <w:t xml:space="preserve">under normative needs, where </w:t>
      </w:r>
      <w:r w:rsidR="00183480" w:rsidRPr="00907907">
        <w:rPr>
          <w:rFonts w:cs="Times New Roman"/>
          <w:lang w:val="en-GB"/>
        </w:rPr>
        <w:t xml:space="preserve">QA1-documentation </w:t>
      </w:r>
      <w:r w:rsidR="00D40A8D" w:rsidRPr="00907907">
        <w:rPr>
          <w:rFonts w:cs="Times New Roman"/>
          <w:lang w:val="en-GB"/>
        </w:rPr>
        <w:t>should consider</w:t>
      </w:r>
      <w:r w:rsidR="000C6F26" w:rsidRPr="00907907">
        <w:rPr>
          <w:rFonts w:cs="Times New Roman"/>
          <w:lang w:val="en-GB"/>
        </w:rPr>
        <w:t xml:space="preserve"> laws relevant </w:t>
      </w:r>
      <w:r w:rsidR="00D40A8D" w:rsidRPr="00907907">
        <w:rPr>
          <w:rFonts w:cs="Times New Roman"/>
          <w:lang w:val="en-GB"/>
        </w:rPr>
        <w:t xml:space="preserve">to </w:t>
      </w:r>
      <w:r w:rsidR="000C6F26" w:rsidRPr="00907907">
        <w:rPr>
          <w:rFonts w:cs="Times New Roman"/>
          <w:lang w:val="en-GB"/>
        </w:rPr>
        <w:t>the project at hand.</w:t>
      </w:r>
      <w:r w:rsidR="0020720C" w:rsidRPr="00907907">
        <w:rPr>
          <w:rStyle w:val="EndnoteReference"/>
          <w:rFonts w:cs="Times New Roman"/>
          <w:lang w:val="en-GB"/>
        </w:rPr>
        <w:endnoteReference w:id="7"/>
      </w:r>
      <w:r w:rsidR="000C6F26" w:rsidRPr="00907907">
        <w:rPr>
          <w:rFonts w:cs="Times New Roman"/>
          <w:lang w:val="en-GB"/>
        </w:rPr>
        <w:t xml:space="preserve"> </w:t>
      </w:r>
      <w:r w:rsidR="00183480" w:rsidRPr="00907907">
        <w:rPr>
          <w:rFonts w:cs="Times New Roman"/>
          <w:lang w:val="en-GB"/>
        </w:rPr>
        <w:t>If one is considering changing the conditions for key cultural heritage, a mentioning of the cultural heritage act under normative need</w:t>
      </w:r>
      <w:r w:rsidR="007E2C08" w:rsidRPr="00907907">
        <w:rPr>
          <w:rFonts w:cs="Times New Roman"/>
          <w:lang w:val="en-GB"/>
        </w:rPr>
        <w:t>s</w:t>
      </w:r>
      <w:r w:rsidR="00183480" w:rsidRPr="00907907">
        <w:rPr>
          <w:rFonts w:cs="Times New Roman"/>
          <w:lang w:val="en-GB"/>
        </w:rPr>
        <w:t xml:space="preserve"> should be expected. </w:t>
      </w:r>
      <w:r w:rsidR="000C6F26" w:rsidRPr="00907907">
        <w:rPr>
          <w:rFonts w:cs="Times New Roman"/>
          <w:lang w:val="en-GB"/>
        </w:rPr>
        <w:t>This is</w:t>
      </w:r>
      <w:r w:rsidR="00D40A8D" w:rsidRPr="00907907">
        <w:rPr>
          <w:rFonts w:cs="Times New Roman"/>
          <w:lang w:val="en-GB"/>
        </w:rPr>
        <w:t>,</w:t>
      </w:r>
      <w:r w:rsidR="000C6F26" w:rsidRPr="00907907">
        <w:rPr>
          <w:rFonts w:cs="Times New Roman"/>
          <w:lang w:val="en-GB"/>
        </w:rPr>
        <w:t xml:space="preserve"> however</w:t>
      </w:r>
      <w:r w:rsidR="00D40A8D" w:rsidRPr="00907907">
        <w:rPr>
          <w:rFonts w:cs="Times New Roman"/>
          <w:lang w:val="en-GB"/>
        </w:rPr>
        <w:t>,</w:t>
      </w:r>
      <w:r w:rsidR="000C6F26" w:rsidRPr="00907907">
        <w:rPr>
          <w:rFonts w:cs="Times New Roman"/>
          <w:lang w:val="en-GB"/>
        </w:rPr>
        <w:t xml:space="preserve"> </w:t>
      </w:r>
      <w:r w:rsidR="00DA5171" w:rsidRPr="00907907">
        <w:rPr>
          <w:rFonts w:cs="Times New Roman"/>
          <w:lang w:val="en-GB"/>
        </w:rPr>
        <w:t>not</w:t>
      </w:r>
      <w:r w:rsidR="00DC6736" w:rsidRPr="00907907">
        <w:rPr>
          <w:rFonts w:cs="Times New Roman"/>
          <w:lang w:val="en-GB"/>
        </w:rPr>
        <w:t xml:space="preserve"> always the case, as seen with</w:t>
      </w:r>
      <w:r w:rsidR="00183480" w:rsidRPr="00907907">
        <w:rPr>
          <w:rFonts w:cs="Times New Roman"/>
          <w:lang w:val="en-GB"/>
        </w:rPr>
        <w:t xml:space="preserve"> the Campus </w:t>
      </w:r>
      <w:r w:rsidR="00937980" w:rsidRPr="00907907">
        <w:rPr>
          <w:rFonts w:cs="Times New Roman"/>
          <w:lang w:val="en-GB"/>
        </w:rPr>
        <w:t xml:space="preserve">for </w:t>
      </w:r>
      <w:r w:rsidR="0050048D" w:rsidRPr="00907907">
        <w:rPr>
          <w:rFonts w:cs="Times New Roman"/>
          <w:lang w:val="en-GB"/>
        </w:rPr>
        <w:t xml:space="preserve">the </w:t>
      </w:r>
      <w:r w:rsidR="0050048D" w:rsidRPr="00907907">
        <w:rPr>
          <w:rFonts w:cs="Times New Roman"/>
        </w:rPr>
        <w:t xml:space="preserve">Norwegian University of Science and Technology </w:t>
      </w:r>
      <w:r w:rsidR="0050048D" w:rsidRPr="00907907">
        <w:rPr>
          <w:rFonts w:cs="Times New Roman"/>
          <w:lang w:val="en-GB"/>
        </w:rPr>
        <w:t>(</w:t>
      </w:r>
      <w:r w:rsidR="00183480" w:rsidRPr="00907907">
        <w:rPr>
          <w:rFonts w:cs="Times New Roman"/>
          <w:lang w:val="en-GB"/>
        </w:rPr>
        <w:t>NTNU</w:t>
      </w:r>
      <w:r w:rsidR="0050048D" w:rsidRPr="00907907">
        <w:rPr>
          <w:rFonts w:cs="Times New Roman"/>
          <w:lang w:val="en-GB"/>
        </w:rPr>
        <w:t>)</w:t>
      </w:r>
      <w:r w:rsidR="00183480" w:rsidRPr="00907907">
        <w:rPr>
          <w:rFonts w:cs="Times New Roman"/>
          <w:lang w:val="en-GB"/>
        </w:rPr>
        <w:t xml:space="preserve"> project where the focus was on normative needs regarding the University´s mandate</w:t>
      </w:r>
      <w:r w:rsidR="00DC6736" w:rsidRPr="00907907">
        <w:rPr>
          <w:rFonts w:cs="Times New Roman"/>
          <w:lang w:val="en-GB"/>
        </w:rPr>
        <w:t>.</w:t>
      </w:r>
      <w:r w:rsidR="008E3B7C" w:rsidRPr="00907907">
        <w:rPr>
          <w:rStyle w:val="EndnoteReference"/>
          <w:rFonts w:cs="Times New Roman"/>
          <w:lang w:val="en-GB"/>
        </w:rPr>
        <w:endnoteReference w:id="8"/>
      </w:r>
      <w:r w:rsidR="00A223F2" w:rsidRPr="00907907">
        <w:rPr>
          <w:rFonts w:cs="Times New Roman"/>
          <w:vertAlign w:val="superscript"/>
          <w:lang w:val="en-GB"/>
        </w:rPr>
        <w:t>,</w:t>
      </w:r>
      <w:r w:rsidR="006B0843" w:rsidRPr="00907907">
        <w:rPr>
          <w:rFonts w:cs="Times New Roman"/>
          <w:vertAlign w:val="superscript"/>
          <w:lang w:val="en-GB"/>
        </w:rPr>
        <w:t xml:space="preserve"> </w:t>
      </w:r>
      <w:r w:rsidR="00BB7DAC" w:rsidRPr="00907907">
        <w:rPr>
          <w:rStyle w:val="EndnoteReference"/>
          <w:rFonts w:cs="Times New Roman"/>
          <w:lang w:val="en-GB"/>
        </w:rPr>
        <w:endnoteReference w:id="9"/>
      </w:r>
      <w:r w:rsidR="00A223F2" w:rsidRPr="00907907">
        <w:rPr>
          <w:rFonts w:cs="Times New Roman"/>
          <w:lang w:val="en-GB"/>
        </w:rPr>
        <w:t xml:space="preserve"> </w:t>
      </w:r>
      <w:r w:rsidR="005867EF" w:rsidRPr="00907907">
        <w:rPr>
          <w:rFonts w:cs="Times New Roman"/>
          <w:lang w:val="en-GB"/>
        </w:rPr>
        <w:t>For</w:t>
      </w:r>
      <w:r w:rsidR="00DA5171" w:rsidRPr="00907907">
        <w:rPr>
          <w:rFonts w:cs="Times New Roman"/>
          <w:lang w:val="en-GB"/>
        </w:rPr>
        <w:t xml:space="preserve"> some reason, the cultural heritage act seems to be overlooked more easily than other laws</w:t>
      </w:r>
      <w:r w:rsidR="00092B11" w:rsidRPr="00907907">
        <w:rPr>
          <w:rFonts w:cs="Times New Roman"/>
          <w:lang w:val="en-GB"/>
        </w:rPr>
        <w:t>, regulations and political guidelines</w:t>
      </w:r>
      <w:r w:rsidR="001C0C23" w:rsidRPr="00907907">
        <w:rPr>
          <w:rFonts w:cs="Times New Roman"/>
          <w:lang w:val="en-GB"/>
        </w:rPr>
        <w:t xml:space="preserve">, such as requirements for energy </w:t>
      </w:r>
      <w:r w:rsidR="005867EF" w:rsidRPr="00907907">
        <w:rPr>
          <w:rFonts w:cs="Times New Roman"/>
          <w:lang w:val="en-GB"/>
        </w:rPr>
        <w:t>efficiencies</w:t>
      </w:r>
      <w:r w:rsidR="001C0C23" w:rsidRPr="00907907">
        <w:rPr>
          <w:rFonts w:cs="Times New Roman"/>
          <w:lang w:val="en-GB"/>
        </w:rPr>
        <w:t xml:space="preserve"> in buildings</w:t>
      </w:r>
      <w:r w:rsidR="00092B11" w:rsidRPr="00907907">
        <w:rPr>
          <w:rFonts w:cs="Times New Roman"/>
          <w:lang w:val="en-GB"/>
        </w:rPr>
        <w:t xml:space="preserve">. </w:t>
      </w:r>
      <w:r w:rsidR="00B20979" w:rsidRPr="00907907">
        <w:rPr>
          <w:rFonts w:cs="Times New Roman"/>
          <w:lang w:val="en-GB"/>
        </w:rPr>
        <w:t>As the</w:t>
      </w:r>
      <w:r w:rsidR="00DA5171" w:rsidRPr="00907907">
        <w:rPr>
          <w:rFonts w:cs="Times New Roman"/>
          <w:lang w:val="en-GB"/>
        </w:rPr>
        <w:t xml:space="preserve"> </w:t>
      </w:r>
      <w:r w:rsidR="001C0C23" w:rsidRPr="00907907">
        <w:rPr>
          <w:rFonts w:cs="Times New Roman"/>
          <w:lang w:val="en-GB"/>
        </w:rPr>
        <w:t xml:space="preserve">Cultural Heritage Act </w:t>
      </w:r>
      <w:r w:rsidR="00DA5171" w:rsidRPr="00907907">
        <w:rPr>
          <w:rFonts w:cs="Times New Roman"/>
          <w:lang w:val="en-GB"/>
        </w:rPr>
        <w:t xml:space="preserve">itself states, </w:t>
      </w:r>
      <w:r w:rsidR="00B20979" w:rsidRPr="00907907">
        <w:rPr>
          <w:rFonts w:cs="Times New Roman"/>
          <w:lang w:val="en-GB"/>
        </w:rPr>
        <w:t>this should not be the case</w:t>
      </w:r>
      <w:r w:rsidR="00DA5171" w:rsidRPr="00907907">
        <w:rPr>
          <w:rFonts w:cs="Times New Roman"/>
          <w:lang w:val="en-GB"/>
        </w:rPr>
        <w:t xml:space="preserve">: </w:t>
      </w:r>
    </w:p>
    <w:p w14:paraId="2666FF1D" w14:textId="16C7298F" w:rsidR="00C12CE4" w:rsidRPr="00907907" w:rsidRDefault="00C12CE4" w:rsidP="00DF44A4">
      <w:pPr>
        <w:pStyle w:val="Quote"/>
        <w:ind w:left="851"/>
        <w:rPr>
          <w:rFonts w:cs="Times New Roman"/>
        </w:rPr>
      </w:pPr>
      <w:r w:rsidRPr="00907907">
        <w:rPr>
          <w:rFonts w:cs="Times New Roman"/>
          <w:shd w:val="clear" w:color="auto" w:fill="FFFFFF"/>
        </w:rPr>
        <w:t>§ 1 (...)</w:t>
      </w:r>
    </w:p>
    <w:p w14:paraId="0D21A70F" w14:textId="414750F9" w:rsidR="001C0C23" w:rsidRPr="00907907" w:rsidRDefault="001C0C23" w:rsidP="00236B6E">
      <w:pPr>
        <w:pStyle w:val="Quote"/>
        <w:ind w:left="851"/>
        <w:rPr>
          <w:rFonts w:cs="Times New Roman"/>
          <w:shd w:val="clear" w:color="auto" w:fill="FFFFFF"/>
        </w:rPr>
      </w:pPr>
      <w:r w:rsidRPr="00907907">
        <w:rPr>
          <w:rFonts w:cs="Times New Roman"/>
          <w:shd w:val="clear" w:color="auto" w:fill="FFFFFF"/>
        </w:rPr>
        <w:t>When, according to another law, decisions are made that affect the cultural heritage resources, emphasis shall be placed on the purpose of this act.</w:t>
      </w:r>
      <w:r w:rsidR="003776C4" w:rsidRPr="00907907">
        <w:rPr>
          <w:rStyle w:val="EndnoteReference"/>
          <w:rFonts w:cs="Times New Roman"/>
          <w:shd w:val="clear" w:color="auto" w:fill="FFFFFF"/>
        </w:rPr>
        <w:endnoteReference w:id="10"/>
      </w:r>
    </w:p>
    <w:p w14:paraId="21CB7EAB" w14:textId="20D91D2F" w:rsidR="00C12CE4" w:rsidRPr="00907907" w:rsidRDefault="00C12CE4" w:rsidP="00236B6E">
      <w:pPr>
        <w:pStyle w:val="Quote"/>
        <w:ind w:left="851"/>
        <w:rPr>
          <w:rFonts w:cs="Times New Roman"/>
        </w:rPr>
      </w:pPr>
    </w:p>
    <w:p w14:paraId="4C46A01E" w14:textId="13B06FC1" w:rsidR="00A76161" w:rsidRPr="0060040B" w:rsidRDefault="00E74CCA" w:rsidP="003436AC">
      <w:pPr>
        <w:spacing w:after="336"/>
        <w:rPr>
          <w:rFonts w:cs="Times New Roman"/>
          <w:lang w:val="en-GB"/>
        </w:rPr>
      </w:pPr>
      <w:r w:rsidRPr="0060040B">
        <w:rPr>
          <w:rFonts w:cs="Times New Roman"/>
          <w:lang w:val="en-GB"/>
        </w:rPr>
        <w:t>The quote above means that if</w:t>
      </w:r>
      <w:r w:rsidR="00070FE6" w:rsidRPr="0060040B">
        <w:rPr>
          <w:rFonts w:cs="Times New Roman"/>
          <w:lang w:val="en-GB"/>
        </w:rPr>
        <w:t xml:space="preserve"> there </w:t>
      </w:r>
      <w:r w:rsidRPr="0060040B">
        <w:rPr>
          <w:rFonts w:cs="Times New Roman"/>
          <w:lang w:val="en-GB"/>
        </w:rPr>
        <w:t>are conflicting interests</w:t>
      </w:r>
      <w:r w:rsidR="00070FE6" w:rsidRPr="0060040B">
        <w:rPr>
          <w:rFonts w:cs="Times New Roman"/>
          <w:lang w:val="en-GB"/>
        </w:rPr>
        <w:t xml:space="preserve"> between the Cultural Heritage Act and other laws, the </w:t>
      </w:r>
      <w:r w:rsidR="00B0006F" w:rsidRPr="0060040B">
        <w:rPr>
          <w:rFonts w:cs="Times New Roman"/>
          <w:lang w:val="en-GB"/>
        </w:rPr>
        <w:t xml:space="preserve">Cultural Heritage Act </w:t>
      </w:r>
      <w:r w:rsidR="007A4D78" w:rsidRPr="0060040B">
        <w:rPr>
          <w:rFonts w:cs="Times New Roman"/>
          <w:lang w:val="en-GB"/>
        </w:rPr>
        <w:t>is to be prioritized</w:t>
      </w:r>
      <w:r w:rsidR="0010524B" w:rsidRPr="0060040B">
        <w:rPr>
          <w:rFonts w:cs="Times New Roman"/>
          <w:lang w:val="en-GB"/>
        </w:rPr>
        <w:t>:</w:t>
      </w:r>
      <w:r w:rsidR="007A4D78" w:rsidRPr="0060040B">
        <w:rPr>
          <w:rFonts w:cs="Times New Roman"/>
          <w:lang w:val="en-GB"/>
        </w:rPr>
        <w:t xml:space="preserve"> </w:t>
      </w:r>
      <w:r w:rsidR="0010524B" w:rsidRPr="0060040B">
        <w:rPr>
          <w:rFonts w:cs="Times New Roman"/>
          <w:lang w:val="en-GB"/>
        </w:rPr>
        <w:t xml:space="preserve">the Cultural Heritage Act </w:t>
      </w:r>
      <w:r w:rsidRPr="0060040B">
        <w:rPr>
          <w:rFonts w:cs="Times New Roman"/>
          <w:lang w:val="en-GB"/>
        </w:rPr>
        <w:t xml:space="preserve">can pull rank. </w:t>
      </w:r>
      <w:r w:rsidR="007A4D78" w:rsidRPr="0060040B">
        <w:rPr>
          <w:rFonts w:cs="Times New Roman"/>
          <w:lang w:val="en-GB"/>
        </w:rPr>
        <w:t>Still, t</w:t>
      </w:r>
      <w:r w:rsidR="00C12CE4" w:rsidRPr="0060040B">
        <w:rPr>
          <w:rFonts w:cs="Times New Roman"/>
          <w:lang w:val="en-GB"/>
        </w:rPr>
        <w:t>he legal protection of cultural heritage</w:t>
      </w:r>
      <w:r w:rsidR="00325750" w:rsidRPr="0060040B">
        <w:rPr>
          <w:rFonts w:cs="Times New Roman"/>
          <w:lang w:val="en-GB"/>
        </w:rPr>
        <w:t xml:space="preserve"> </w:t>
      </w:r>
      <w:r w:rsidR="00C12CE4" w:rsidRPr="0060040B">
        <w:rPr>
          <w:rFonts w:cs="Times New Roman"/>
          <w:lang w:val="en-GB"/>
        </w:rPr>
        <w:t xml:space="preserve">is </w:t>
      </w:r>
      <w:r w:rsidR="00325750" w:rsidRPr="0060040B">
        <w:rPr>
          <w:rFonts w:cs="Times New Roman"/>
          <w:lang w:val="en-GB"/>
        </w:rPr>
        <w:t xml:space="preserve">repeatedly challenged or </w:t>
      </w:r>
      <w:r w:rsidR="00C12CE4" w:rsidRPr="0060040B">
        <w:rPr>
          <w:rFonts w:cs="Times New Roman"/>
          <w:lang w:val="en-GB"/>
        </w:rPr>
        <w:t>problematized</w:t>
      </w:r>
      <w:r w:rsidR="00B20979" w:rsidRPr="0060040B">
        <w:rPr>
          <w:rFonts w:cs="Times New Roman"/>
          <w:lang w:val="en-GB"/>
        </w:rPr>
        <w:t xml:space="preserve">, as can be seen </w:t>
      </w:r>
      <w:r w:rsidR="009C1C02" w:rsidRPr="0060040B">
        <w:rPr>
          <w:rFonts w:cs="Times New Roman"/>
          <w:lang w:val="en-GB"/>
        </w:rPr>
        <w:t>in the KVU</w:t>
      </w:r>
      <w:r w:rsidR="002311B2" w:rsidRPr="0060040B">
        <w:rPr>
          <w:rFonts w:cs="Times New Roman"/>
          <w:lang w:val="en-GB"/>
        </w:rPr>
        <w:t>-report</w:t>
      </w:r>
      <w:r w:rsidR="009C1C02" w:rsidRPr="0060040B">
        <w:rPr>
          <w:rFonts w:cs="Times New Roman"/>
          <w:lang w:val="en-GB"/>
        </w:rPr>
        <w:t xml:space="preserve"> for </w:t>
      </w:r>
      <w:r w:rsidR="008302FD" w:rsidRPr="0060040B">
        <w:rPr>
          <w:rFonts w:cs="Times New Roman"/>
          <w:lang w:val="en-GB"/>
        </w:rPr>
        <w:t xml:space="preserve">the </w:t>
      </w:r>
      <w:r w:rsidR="009C1C02" w:rsidRPr="0060040B">
        <w:rPr>
          <w:rFonts w:cs="Times New Roman"/>
          <w:lang w:val="en-GB"/>
        </w:rPr>
        <w:t>Tullinløkka</w:t>
      </w:r>
      <w:r w:rsidR="002334C7" w:rsidRPr="0060040B">
        <w:rPr>
          <w:rFonts w:cs="Times New Roman"/>
          <w:lang w:val="en-GB"/>
        </w:rPr>
        <w:t xml:space="preserve"> area</w:t>
      </w:r>
      <w:r w:rsidR="008302FD" w:rsidRPr="0060040B">
        <w:rPr>
          <w:rFonts w:cs="Times New Roman"/>
          <w:lang w:val="en-GB"/>
        </w:rPr>
        <w:t xml:space="preserve"> project</w:t>
      </w:r>
      <w:r w:rsidR="009C1C02" w:rsidRPr="0060040B">
        <w:rPr>
          <w:rFonts w:cs="Times New Roman"/>
          <w:lang w:val="en-GB"/>
        </w:rPr>
        <w:t>:</w:t>
      </w:r>
    </w:p>
    <w:p w14:paraId="37A5A70C" w14:textId="229F62E3" w:rsidR="009C1C02" w:rsidRPr="002E6066" w:rsidRDefault="00FC78F5" w:rsidP="002E6066">
      <w:pPr>
        <w:pStyle w:val="Quote"/>
      </w:pPr>
      <w:r w:rsidRPr="002E6066">
        <w:t>All options that are investigated involve extensive protection of historical buildings and outdoor areas. This protection has a very high alternative cost because the uses are limited. For example, a development of the entire site Akademihagen to hotels, residences or commercial buildings with a larger building height could provide significant financial gains for the state and very attractive and environmentally friendly buildings with a large capacity near a public transport hub. The costs associated with protection are only made visible to a limited extent in this investigation.</w:t>
      </w:r>
      <w:r w:rsidR="009C1C02" w:rsidRPr="002E6066">
        <w:t>.</w:t>
      </w:r>
      <w:r w:rsidR="004D1610" w:rsidRPr="002E6066">
        <w:rPr>
          <w:rStyle w:val="EndnoteReference"/>
          <w:vertAlign w:val="baseline"/>
        </w:rPr>
        <w:endnoteReference w:id="11"/>
      </w:r>
    </w:p>
    <w:p w14:paraId="57381AD6" w14:textId="77777777" w:rsidR="002E6066" w:rsidRPr="002E6066" w:rsidRDefault="002E6066" w:rsidP="002E6066"/>
    <w:p w14:paraId="5FEBB502" w14:textId="72BBF762" w:rsidR="00325750" w:rsidRPr="00907907" w:rsidRDefault="00533096" w:rsidP="00907907">
      <w:pPr>
        <w:rPr>
          <w:rFonts w:cs="Times New Roman"/>
        </w:rPr>
      </w:pPr>
      <w:r w:rsidRPr="00907907">
        <w:rPr>
          <w:rFonts w:cs="Times New Roman"/>
        </w:rPr>
        <w:t>The QA1-documentation</w:t>
      </w:r>
      <w:r w:rsidR="00325750" w:rsidRPr="00907907">
        <w:rPr>
          <w:rFonts w:cs="Times New Roman"/>
        </w:rPr>
        <w:t xml:space="preserve"> </w:t>
      </w:r>
      <w:r w:rsidR="00185ABF" w:rsidRPr="00907907">
        <w:rPr>
          <w:rFonts w:cs="Times New Roman"/>
        </w:rPr>
        <w:t>has</w:t>
      </w:r>
      <w:r w:rsidR="00325750" w:rsidRPr="00907907">
        <w:rPr>
          <w:rFonts w:cs="Times New Roman"/>
        </w:rPr>
        <w:t xml:space="preserve"> wisely avoided </w:t>
      </w:r>
      <w:r w:rsidR="00F379B1" w:rsidRPr="00907907">
        <w:rPr>
          <w:rFonts w:cs="Times New Roman"/>
        </w:rPr>
        <w:t xml:space="preserve">a </w:t>
      </w:r>
      <w:r w:rsidR="00B20979" w:rsidRPr="00907907">
        <w:rPr>
          <w:rFonts w:cs="Times New Roman"/>
        </w:rPr>
        <w:t xml:space="preserve">similarly problematic </w:t>
      </w:r>
      <w:r w:rsidR="00F379B1" w:rsidRPr="00907907">
        <w:rPr>
          <w:rFonts w:cs="Times New Roman"/>
        </w:rPr>
        <w:t>attitude towards other value-based legal conditions</w:t>
      </w:r>
      <w:r w:rsidR="00B20979" w:rsidRPr="00907907">
        <w:rPr>
          <w:rFonts w:cs="Times New Roman"/>
        </w:rPr>
        <w:t>,</w:t>
      </w:r>
      <w:r w:rsidR="00F379B1" w:rsidRPr="00907907">
        <w:rPr>
          <w:rFonts w:cs="Times New Roman"/>
        </w:rPr>
        <w:t xml:space="preserve"> such as</w:t>
      </w:r>
      <w:r w:rsidR="00325750" w:rsidRPr="00907907">
        <w:rPr>
          <w:rFonts w:cs="Times New Roman"/>
        </w:rPr>
        <w:t xml:space="preserve"> accessibility</w:t>
      </w:r>
      <w:r w:rsidR="00F379B1" w:rsidRPr="00907907">
        <w:rPr>
          <w:rFonts w:cs="Times New Roman"/>
        </w:rPr>
        <w:t xml:space="preserve"> and </w:t>
      </w:r>
      <w:r w:rsidR="00325750" w:rsidRPr="00907907">
        <w:rPr>
          <w:rFonts w:cs="Times New Roman"/>
        </w:rPr>
        <w:t>equality.</w:t>
      </w:r>
      <w:r w:rsidR="00185ABF" w:rsidRPr="00907907">
        <w:rPr>
          <w:rFonts w:cs="Times New Roman"/>
        </w:rPr>
        <w:t xml:space="preserve"> </w:t>
      </w:r>
      <w:r w:rsidR="00C55F26" w:rsidRPr="00907907">
        <w:rPr>
          <w:rFonts w:cs="Times New Roman"/>
        </w:rPr>
        <w:t>Sadly,</w:t>
      </w:r>
      <w:r w:rsidR="00185ABF" w:rsidRPr="00907907">
        <w:rPr>
          <w:rFonts w:cs="Times New Roman"/>
        </w:rPr>
        <w:t xml:space="preserve"> cultural heritage is not </w:t>
      </w:r>
      <w:r w:rsidR="00C55F26" w:rsidRPr="00907907">
        <w:rPr>
          <w:rFonts w:cs="Times New Roman"/>
        </w:rPr>
        <w:t xml:space="preserve">always </w:t>
      </w:r>
      <w:r w:rsidR="00185ABF" w:rsidRPr="00907907">
        <w:rPr>
          <w:rFonts w:cs="Times New Roman"/>
        </w:rPr>
        <w:t>shown the same regard.</w:t>
      </w:r>
    </w:p>
    <w:p w14:paraId="7DE47B41" w14:textId="42EDBD45" w:rsidR="00655E5B" w:rsidRPr="00907907" w:rsidRDefault="009C1C02" w:rsidP="00907907">
      <w:pPr>
        <w:rPr>
          <w:rFonts w:cs="Times New Roman"/>
          <w:lang w:val="en-GB"/>
        </w:rPr>
      </w:pPr>
      <w:r w:rsidRPr="00907907">
        <w:rPr>
          <w:rFonts w:cs="Times New Roman"/>
        </w:rPr>
        <w:t xml:space="preserve">It is questionable if one can claim alternative costs in this situation, where the alternative costs </w:t>
      </w:r>
      <w:r w:rsidR="00B20979" w:rsidRPr="00907907">
        <w:rPr>
          <w:rFonts w:cs="Times New Roman"/>
        </w:rPr>
        <w:t xml:space="preserve">are </w:t>
      </w:r>
      <w:r w:rsidRPr="00907907">
        <w:rPr>
          <w:rFonts w:cs="Times New Roman"/>
        </w:rPr>
        <w:t xml:space="preserve">connected not to </w:t>
      </w:r>
      <w:r w:rsidR="00B20979" w:rsidRPr="00907907">
        <w:rPr>
          <w:rFonts w:cs="Times New Roman"/>
        </w:rPr>
        <w:t xml:space="preserve">the </w:t>
      </w:r>
      <w:r w:rsidRPr="00907907">
        <w:rPr>
          <w:rFonts w:cs="Times New Roman"/>
        </w:rPr>
        <w:t xml:space="preserve">use of the funds to maintain protected buildings, but </w:t>
      </w:r>
      <w:r w:rsidR="00B20979" w:rsidRPr="00907907">
        <w:rPr>
          <w:rFonts w:cs="Times New Roman"/>
        </w:rPr>
        <w:t xml:space="preserve">to the </w:t>
      </w:r>
      <w:r w:rsidRPr="00907907">
        <w:rPr>
          <w:rFonts w:cs="Times New Roman"/>
        </w:rPr>
        <w:t xml:space="preserve">use of the very site </w:t>
      </w:r>
      <w:r w:rsidR="006B0843" w:rsidRPr="00907907">
        <w:rPr>
          <w:rFonts w:cs="Times New Roman"/>
        </w:rPr>
        <w:t xml:space="preserve">that </w:t>
      </w:r>
      <w:r w:rsidRPr="00907907">
        <w:rPr>
          <w:rFonts w:cs="Times New Roman"/>
        </w:rPr>
        <w:t>the protected building</w:t>
      </w:r>
      <w:r w:rsidR="008B5648" w:rsidRPr="00907907">
        <w:rPr>
          <w:rFonts w:cs="Times New Roman"/>
        </w:rPr>
        <w:t>s</w:t>
      </w:r>
      <w:r w:rsidRPr="00907907">
        <w:rPr>
          <w:rFonts w:cs="Times New Roman"/>
        </w:rPr>
        <w:t xml:space="preserve"> </w:t>
      </w:r>
      <w:r w:rsidR="008B5648" w:rsidRPr="00907907">
        <w:rPr>
          <w:rFonts w:cs="Times New Roman"/>
        </w:rPr>
        <w:t xml:space="preserve">are </w:t>
      </w:r>
      <w:r w:rsidRPr="00907907">
        <w:rPr>
          <w:rFonts w:cs="Times New Roman"/>
        </w:rPr>
        <w:t xml:space="preserve">dependent upon for </w:t>
      </w:r>
      <w:r w:rsidR="008B5648" w:rsidRPr="00907907">
        <w:rPr>
          <w:rFonts w:cs="Times New Roman"/>
        </w:rPr>
        <w:t xml:space="preserve">their </w:t>
      </w:r>
      <w:r w:rsidRPr="00907907">
        <w:rPr>
          <w:rFonts w:cs="Times New Roman"/>
        </w:rPr>
        <w:t>existence</w:t>
      </w:r>
      <w:r w:rsidR="00C55F26" w:rsidRPr="00907907">
        <w:rPr>
          <w:rFonts w:cs="Times New Roman"/>
        </w:rPr>
        <w:t xml:space="preserve">. Alternative cost is normally </w:t>
      </w:r>
      <w:r w:rsidR="00533E5A" w:rsidRPr="00907907">
        <w:rPr>
          <w:rFonts w:cs="Times New Roman"/>
        </w:rPr>
        <w:t xml:space="preserve">connected to </w:t>
      </w:r>
      <w:r w:rsidR="00C55F26" w:rsidRPr="00907907">
        <w:rPr>
          <w:rFonts w:cs="Times New Roman"/>
        </w:rPr>
        <w:t xml:space="preserve">the gain one could get from investing funds in </w:t>
      </w:r>
      <w:r w:rsidR="00533E5A" w:rsidRPr="00907907">
        <w:rPr>
          <w:rFonts w:cs="Times New Roman"/>
        </w:rPr>
        <w:t>a</w:t>
      </w:r>
      <w:r w:rsidR="00C55F26" w:rsidRPr="00907907">
        <w:rPr>
          <w:rFonts w:cs="Times New Roman"/>
        </w:rPr>
        <w:t xml:space="preserve"> manner that gives greater </w:t>
      </w:r>
      <w:r w:rsidR="00D91A03" w:rsidRPr="00907907">
        <w:rPr>
          <w:rFonts w:cs="Times New Roman"/>
        </w:rPr>
        <w:t>economic benefit</w:t>
      </w:r>
      <w:r w:rsidR="00533E5A" w:rsidRPr="00907907">
        <w:rPr>
          <w:rFonts w:cs="Times New Roman"/>
        </w:rPr>
        <w:t xml:space="preserve"> </w:t>
      </w:r>
      <w:r w:rsidR="00C55F26" w:rsidRPr="00907907">
        <w:rPr>
          <w:rFonts w:cs="Times New Roman"/>
        </w:rPr>
        <w:t>than the protection of cultural heritage</w:t>
      </w:r>
      <w:r w:rsidR="00533E5A" w:rsidRPr="00907907">
        <w:rPr>
          <w:rFonts w:cs="Times New Roman"/>
        </w:rPr>
        <w:t xml:space="preserve">. The difference </w:t>
      </w:r>
      <w:r w:rsidR="00D91A03" w:rsidRPr="00907907">
        <w:rPr>
          <w:rFonts w:cs="Times New Roman"/>
        </w:rPr>
        <w:t>between best possible investment and conservation can be regarded as a loss, deemed alternative</w:t>
      </w:r>
      <w:r w:rsidR="00D91A03" w:rsidRPr="00907907">
        <w:rPr>
          <w:rFonts w:cs="Times New Roman"/>
          <w:lang w:val="en-GB"/>
        </w:rPr>
        <w:t xml:space="preserve"> cost, which one </w:t>
      </w:r>
      <w:r w:rsidR="00533E5A" w:rsidRPr="00907907">
        <w:rPr>
          <w:rFonts w:cs="Times New Roman"/>
          <w:lang w:val="en-GB"/>
        </w:rPr>
        <w:t>theoretically loose by financing preservation</w:t>
      </w:r>
      <w:r w:rsidR="00C55F26" w:rsidRPr="00907907">
        <w:rPr>
          <w:rFonts w:cs="Times New Roman"/>
          <w:lang w:val="en-GB"/>
        </w:rPr>
        <w:t xml:space="preserve">. </w:t>
      </w:r>
      <w:r w:rsidR="00510BCB" w:rsidRPr="00907907">
        <w:rPr>
          <w:rFonts w:cs="Times New Roman"/>
          <w:lang w:val="en-GB"/>
        </w:rPr>
        <w:t xml:space="preserve">Also, the </w:t>
      </w:r>
      <w:r w:rsidR="00C068B8" w:rsidRPr="00907907">
        <w:rPr>
          <w:rFonts w:cs="Times New Roman"/>
          <w:lang w:val="en-GB"/>
        </w:rPr>
        <w:t xml:space="preserve">site is valuable because </w:t>
      </w:r>
      <w:r w:rsidR="00B20979" w:rsidRPr="00907907">
        <w:rPr>
          <w:rFonts w:cs="Times New Roman"/>
          <w:lang w:val="en-GB"/>
        </w:rPr>
        <w:t xml:space="preserve">it is a part </w:t>
      </w:r>
      <w:r w:rsidR="00C068B8" w:rsidRPr="00907907">
        <w:rPr>
          <w:rFonts w:cs="Times New Roman"/>
          <w:lang w:val="en-GB"/>
        </w:rPr>
        <w:t xml:space="preserve">of the </w:t>
      </w:r>
      <w:r w:rsidR="00B20979" w:rsidRPr="00907907">
        <w:rPr>
          <w:rFonts w:cs="Times New Roman"/>
          <w:lang w:val="en-GB"/>
        </w:rPr>
        <w:t xml:space="preserve">history </w:t>
      </w:r>
      <w:r w:rsidR="00C068B8" w:rsidRPr="00907907">
        <w:rPr>
          <w:rFonts w:cs="Times New Roman"/>
          <w:lang w:val="en-GB"/>
        </w:rPr>
        <w:t xml:space="preserve">of Oslo, with the Royal Castle, the Parliament building, the </w:t>
      </w:r>
      <w:r w:rsidR="008E7AD5" w:rsidRPr="00907907">
        <w:rPr>
          <w:rFonts w:cs="Times New Roman"/>
          <w:lang w:val="en-GB"/>
        </w:rPr>
        <w:t xml:space="preserve">newly closed </w:t>
      </w:r>
      <w:r w:rsidR="00C068B8" w:rsidRPr="00907907">
        <w:rPr>
          <w:rFonts w:cs="Times New Roman"/>
          <w:lang w:val="en-GB"/>
        </w:rPr>
        <w:t xml:space="preserve">National Gallery </w:t>
      </w:r>
      <w:r w:rsidR="008E7AD5" w:rsidRPr="00907907">
        <w:rPr>
          <w:rFonts w:cs="Times New Roman"/>
          <w:lang w:val="en-GB"/>
        </w:rPr>
        <w:t>building</w:t>
      </w:r>
      <w:r w:rsidR="00C068B8" w:rsidRPr="00907907">
        <w:rPr>
          <w:rFonts w:cs="Times New Roman"/>
          <w:lang w:val="en-GB"/>
        </w:rPr>
        <w:t xml:space="preserve">, the National </w:t>
      </w:r>
      <w:r w:rsidR="008B5648" w:rsidRPr="00907907">
        <w:rPr>
          <w:rFonts w:cs="Times New Roman"/>
          <w:lang w:val="en-GB"/>
        </w:rPr>
        <w:t>T</w:t>
      </w:r>
      <w:r w:rsidR="008302FD" w:rsidRPr="00907907">
        <w:rPr>
          <w:rFonts w:cs="Times New Roman"/>
          <w:lang w:val="en-GB"/>
        </w:rPr>
        <w:t>heatre</w:t>
      </w:r>
      <w:r w:rsidR="00C068B8" w:rsidRPr="00907907">
        <w:rPr>
          <w:rFonts w:cs="Times New Roman"/>
          <w:lang w:val="en-GB"/>
        </w:rPr>
        <w:t xml:space="preserve"> and several other buildings and institutions that were instrumental in </w:t>
      </w:r>
      <w:r w:rsidR="008302FD" w:rsidRPr="00907907">
        <w:rPr>
          <w:rFonts w:cs="Times New Roman"/>
          <w:lang w:val="en-GB"/>
        </w:rPr>
        <w:t>Norway’s</w:t>
      </w:r>
      <w:r w:rsidR="00C068B8" w:rsidRPr="00907907">
        <w:rPr>
          <w:rFonts w:cs="Times New Roman"/>
          <w:lang w:val="en-GB"/>
        </w:rPr>
        <w:t xml:space="preserve"> independence and recognition</w:t>
      </w:r>
      <w:r w:rsidR="008E7AD5" w:rsidRPr="00907907">
        <w:rPr>
          <w:rFonts w:cs="Times New Roman"/>
          <w:lang w:val="en-GB"/>
        </w:rPr>
        <w:t xml:space="preserve"> as a</w:t>
      </w:r>
      <w:r w:rsidR="00F12813" w:rsidRPr="00907907">
        <w:rPr>
          <w:rFonts w:cs="Times New Roman"/>
          <w:lang w:val="en-GB"/>
        </w:rPr>
        <w:t xml:space="preserve"> sovereign country</w:t>
      </w:r>
      <w:r w:rsidR="00C068B8" w:rsidRPr="00907907">
        <w:rPr>
          <w:rFonts w:cs="Times New Roman"/>
          <w:lang w:val="en-GB"/>
        </w:rPr>
        <w:t>.</w:t>
      </w:r>
      <w:r w:rsidR="00E21B89" w:rsidRPr="00907907">
        <w:rPr>
          <w:rFonts w:cs="Times New Roman"/>
          <w:lang w:val="en-GB"/>
        </w:rPr>
        <w:t xml:space="preserve"> </w:t>
      </w:r>
      <w:r w:rsidR="00BD5EC2" w:rsidRPr="00907907">
        <w:rPr>
          <w:rFonts w:cs="Times New Roman"/>
          <w:lang w:val="en-GB"/>
        </w:rPr>
        <w:t>The site</w:t>
      </w:r>
      <w:r w:rsidR="00DD147A" w:rsidRPr="00907907">
        <w:rPr>
          <w:rFonts w:cs="Times New Roman"/>
          <w:lang w:val="en-GB"/>
        </w:rPr>
        <w:t xml:space="preserve"> Akademihagen</w:t>
      </w:r>
      <w:r w:rsidR="00211EE8" w:rsidRPr="00907907">
        <w:rPr>
          <w:rFonts w:cs="Times New Roman"/>
          <w:lang w:val="en-GB"/>
        </w:rPr>
        <w:t xml:space="preserve"> with its buildings</w:t>
      </w:r>
      <w:r w:rsidR="00DD147A" w:rsidRPr="00907907">
        <w:rPr>
          <w:rFonts w:cs="Times New Roman"/>
          <w:lang w:val="en-GB"/>
        </w:rPr>
        <w:t xml:space="preserve"> </w:t>
      </w:r>
      <w:r w:rsidR="00211EE8" w:rsidRPr="00907907">
        <w:rPr>
          <w:rFonts w:cs="Times New Roman"/>
          <w:lang w:val="en-GB"/>
        </w:rPr>
        <w:t>is part of this historical context</w:t>
      </w:r>
      <w:r w:rsidR="00FF62DF" w:rsidRPr="00907907">
        <w:rPr>
          <w:rFonts w:cs="Times New Roman"/>
          <w:lang w:val="en-GB"/>
        </w:rPr>
        <w:t xml:space="preserve">, and </w:t>
      </w:r>
      <w:r w:rsidR="00D91200" w:rsidRPr="00907907">
        <w:rPr>
          <w:rFonts w:cs="Times New Roman"/>
          <w:lang w:val="en-GB"/>
        </w:rPr>
        <w:t>one of the reasons for the</w:t>
      </w:r>
      <w:r w:rsidR="00C01D6D" w:rsidRPr="00907907">
        <w:rPr>
          <w:rFonts w:cs="Times New Roman"/>
          <w:lang w:val="en-GB"/>
        </w:rPr>
        <w:t xml:space="preserve"> area</w:t>
      </w:r>
      <w:r w:rsidR="00224E41" w:rsidRPr="00907907">
        <w:rPr>
          <w:rFonts w:cs="Times New Roman"/>
          <w:lang w:val="en-GB"/>
        </w:rPr>
        <w:t>´</w:t>
      </w:r>
      <w:r w:rsidR="00C01D6D" w:rsidRPr="00907907">
        <w:rPr>
          <w:rFonts w:cs="Times New Roman"/>
          <w:lang w:val="en-GB"/>
        </w:rPr>
        <w:t xml:space="preserve">s </w:t>
      </w:r>
      <w:r w:rsidR="00EB2F92" w:rsidRPr="00907907">
        <w:rPr>
          <w:rFonts w:cs="Times New Roman"/>
          <w:lang w:val="en-GB"/>
        </w:rPr>
        <w:t>appeal</w:t>
      </w:r>
      <w:r w:rsidR="00655E5B" w:rsidRPr="00907907">
        <w:rPr>
          <w:rFonts w:cs="Times New Roman"/>
          <w:lang w:val="en-GB"/>
        </w:rPr>
        <w:t xml:space="preserve">. </w:t>
      </w:r>
    </w:p>
    <w:p w14:paraId="6218F38C" w14:textId="324F49E4" w:rsidR="00321217" w:rsidRPr="00907907" w:rsidRDefault="00E21B89" w:rsidP="003436AC">
      <w:pPr>
        <w:spacing w:after="336"/>
        <w:rPr>
          <w:rFonts w:cs="Times New Roman"/>
          <w:lang w:val="en-GB"/>
        </w:rPr>
      </w:pPr>
      <w:r w:rsidRPr="00907907">
        <w:rPr>
          <w:rFonts w:cs="Times New Roman"/>
          <w:lang w:val="en-GB"/>
        </w:rPr>
        <w:t>Part of th</w:t>
      </w:r>
      <w:r w:rsidR="00154431" w:rsidRPr="00907907">
        <w:rPr>
          <w:rFonts w:cs="Times New Roman"/>
          <w:lang w:val="en-GB"/>
        </w:rPr>
        <w:t xml:space="preserve">e difficulty of discussing the value of </w:t>
      </w:r>
      <w:r w:rsidRPr="00907907">
        <w:rPr>
          <w:rFonts w:cs="Times New Roman"/>
          <w:lang w:val="en-GB"/>
        </w:rPr>
        <w:t>cultural</w:t>
      </w:r>
      <w:r w:rsidR="00154431" w:rsidRPr="00907907">
        <w:rPr>
          <w:rFonts w:cs="Times New Roman"/>
          <w:lang w:val="en-GB"/>
        </w:rPr>
        <w:t xml:space="preserve"> heritage</w:t>
      </w:r>
      <w:r w:rsidRPr="00907907">
        <w:rPr>
          <w:rFonts w:cs="Times New Roman"/>
          <w:lang w:val="en-GB"/>
        </w:rPr>
        <w:t xml:space="preserve"> </w:t>
      </w:r>
      <w:r w:rsidR="00154431" w:rsidRPr="00907907">
        <w:rPr>
          <w:rFonts w:cs="Times New Roman"/>
          <w:lang w:val="en-GB"/>
        </w:rPr>
        <w:t xml:space="preserve">is the need for </w:t>
      </w:r>
      <w:r w:rsidR="008302FD" w:rsidRPr="00907907">
        <w:rPr>
          <w:rFonts w:cs="Times New Roman"/>
          <w:lang w:val="en-GB"/>
        </w:rPr>
        <w:t>quantifiable</w:t>
      </w:r>
      <w:r w:rsidRPr="00907907">
        <w:rPr>
          <w:rFonts w:cs="Times New Roman"/>
          <w:lang w:val="en-GB"/>
        </w:rPr>
        <w:t xml:space="preserve"> measures. The cultural heritage field </w:t>
      </w:r>
      <w:r w:rsidR="00154431" w:rsidRPr="00907907">
        <w:rPr>
          <w:rFonts w:cs="Times New Roman"/>
          <w:lang w:val="en-GB"/>
        </w:rPr>
        <w:t xml:space="preserve">is built </w:t>
      </w:r>
      <w:r w:rsidRPr="00907907">
        <w:rPr>
          <w:rFonts w:cs="Times New Roman"/>
          <w:lang w:val="en-GB"/>
        </w:rPr>
        <w:t xml:space="preserve">upon a qualitative understanding and argumentation, a multi-faceted understanding of value, and </w:t>
      </w:r>
      <w:r w:rsidR="00154431" w:rsidRPr="00907907">
        <w:rPr>
          <w:rFonts w:cs="Times New Roman"/>
          <w:lang w:val="en-GB"/>
        </w:rPr>
        <w:t xml:space="preserve">the </w:t>
      </w:r>
      <w:r w:rsidRPr="00907907">
        <w:rPr>
          <w:rFonts w:cs="Times New Roman"/>
          <w:lang w:val="en-GB"/>
        </w:rPr>
        <w:t xml:space="preserve">selection of </w:t>
      </w:r>
      <w:r w:rsidR="00154431" w:rsidRPr="00907907">
        <w:rPr>
          <w:rFonts w:cs="Times New Roman"/>
          <w:lang w:val="en-GB"/>
        </w:rPr>
        <w:t xml:space="preserve">trusted experts </w:t>
      </w:r>
      <w:r w:rsidR="006B0843" w:rsidRPr="00907907">
        <w:rPr>
          <w:rFonts w:cs="Times New Roman"/>
          <w:lang w:val="en-GB"/>
        </w:rPr>
        <w:t>to determine the</w:t>
      </w:r>
      <w:r w:rsidR="00154431" w:rsidRPr="00907907">
        <w:rPr>
          <w:rFonts w:cs="Times New Roman"/>
          <w:lang w:val="en-GB"/>
        </w:rPr>
        <w:t xml:space="preserve"> </w:t>
      </w:r>
      <w:r w:rsidRPr="00907907">
        <w:rPr>
          <w:rFonts w:cs="Times New Roman"/>
          <w:lang w:val="en-GB"/>
        </w:rPr>
        <w:t xml:space="preserve">cultural heritage </w:t>
      </w:r>
      <w:r w:rsidR="00154431" w:rsidRPr="00907907">
        <w:rPr>
          <w:rFonts w:cs="Times New Roman"/>
          <w:lang w:val="en-GB"/>
        </w:rPr>
        <w:t xml:space="preserve">worthy of </w:t>
      </w:r>
      <w:r w:rsidRPr="00907907">
        <w:rPr>
          <w:rFonts w:cs="Times New Roman"/>
          <w:lang w:val="en-GB"/>
        </w:rPr>
        <w:t xml:space="preserve">legal protection. </w:t>
      </w:r>
      <w:r w:rsidR="008C6090" w:rsidRPr="00907907">
        <w:rPr>
          <w:rFonts w:cs="Times New Roman"/>
          <w:lang w:val="en-GB"/>
        </w:rPr>
        <w:t>T</w:t>
      </w:r>
      <w:r w:rsidR="009862D9" w:rsidRPr="00907907">
        <w:rPr>
          <w:rFonts w:cs="Times New Roman"/>
          <w:lang w:val="en-GB"/>
        </w:rPr>
        <w:t xml:space="preserve">here are ways to enhance cross-disciplinary dialogue, such as boundary tools, </w:t>
      </w:r>
      <w:r w:rsidR="008C6090" w:rsidRPr="00907907">
        <w:rPr>
          <w:rFonts w:cs="Times New Roman"/>
          <w:lang w:val="en-GB"/>
        </w:rPr>
        <w:t xml:space="preserve">which is objects that can support dialogue and understanding, such as architectural models. However, </w:t>
      </w:r>
      <w:r w:rsidR="009862D9" w:rsidRPr="00907907">
        <w:rPr>
          <w:rFonts w:cs="Times New Roman"/>
          <w:lang w:val="en-GB"/>
        </w:rPr>
        <w:t xml:space="preserve">an actual functioning converter translating multi-faceted qualitative evaluations </w:t>
      </w:r>
      <w:r w:rsidR="008C6090" w:rsidRPr="00907907">
        <w:rPr>
          <w:rFonts w:cs="Times New Roman"/>
          <w:lang w:val="en-GB"/>
        </w:rPr>
        <w:t xml:space="preserve">from the cultural heritage field </w:t>
      </w:r>
      <w:r w:rsidR="009862D9" w:rsidRPr="00907907">
        <w:rPr>
          <w:rFonts w:cs="Times New Roman"/>
          <w:lang w:val="en-GB"/>
        </w:rPr>
        <w:t xml:space="preserve">to quantified </w:t>
      </w:r>
      <w:r w:rsidR="008C6090" w:rsidRPr="00907907">
        <w:rPr>
          <w:rFonts w:cs="Times New Roman"/>
          <w:lang w:val="en-GB"/>
        </w:rPr>
        <w:t xml:space="preserve">value tailored for economic analyses </w:t>
      </w:r>
      <w:r w:rsidR="009862D9" w:rsidRPr="00907907">
        <w:rPr>
          <w:rFonts w:cs="Times New Roman"/>
          <w:lang w:val="en-GB"/>
        </w:rPr>
        <w:t>does not exist.</w:t>
      </w:r>
      <w:r w:rsidR="00270631" w:rsidRPr="00907907">
        <w:rPr>
          <w:rStyle w:val="EndnoteReference"/>
          <w:rFonts w:cs="Times New Roman"/>
          <w:lang w:val="en-GB"/>
        </w:rPr>
        <w:endnoteReference w:id="12"/>
      </w:r>
      <w:r w:rsidR="00A223F2" w:rsidRPr="00907907">
        <w:rPr>
          <w:rFonts w:cs="Times New Roman"/>
          <w:vertAlign w:val="superscript"/>
          <w:lang w:val="en-GB"/>
        </w:rPr>
        <w:t>,</w:t>
      </w:r>
      <w:r w:rsidR="006B0843" w:rsidRPr="00907907">
        <w:rPr>
          <w:rFonts w:cs="Times New Roman"/>
          <w:vertAlign w:val="superscript"/>
          <w:lang w:val="en-GB"/>
        </w:rPr>
        <w:t xml:space="preserve"> </w:t>
      </w:r>
      <w:r w:rsidR="00270631" w:rsidRPr="00907907">
        <w:rPr>
          <w:rStyle w:val="EndnoteReference"/>
          <w:rFonts w:cs="Times New Roman"/>
          <w:lang w:val="en-GB"/>
        </w:rPr>
        <w:endnoteReference w:id="13"/>
      </w:r>
      <w:r w:rsidR="00A223F2" w:rsidRPr="00907907">
        <w:rPr>
          <w:rFonts w:cs="Times New Roman"/>
          <w:vertAlign w:val="superscript"/>
          <w:lang w:val="en-GB"/>
        </w:rPr>
        <w:t xml:space="preserve"> </w:t>
      </w:r>
      <w:r w:rsidRPr="00907907">
        <w:rPr>
          <w:rFonts w:cs="Times New Roman"/>
          <w:lang w:val="en-GB"/>
        </w:rPr>
        <w:t xml:space="preserve">The pressure for </w:t>
      </w:r>
      <w:r w:rsidR="008302FD" w:rsidRPr="00907907">
        <w:rPr>
          <w:rFonts w:cs="Times New Roman"/>
          <w:lang w:val="en-GB"/>
        </w:rPr>
        <w:t>quantifiable</w:t>
      </w:r>
      <w:r w:rsidRPr="00907907">
        <w:rPr>
          <w:rFonts w:cs="Times New Roman"/>
          <w:lang w:val="en-GB"/>
        </w:rPr>
        <w:t xml:space="preserve"> measures of</w:t>
      </w:r>
      <w:r w:rsidR="00154431" w:rsidRPr="00907907">
        <w:rPr>
          <w:rFonts w:cs="Times New Roman"/>
          <w:lang w:val="en-GB"/>
        </w:rPr>
        <w:t xml:space="preserve"> the</w:t>
      </w:r>
      <w:r w:rsidRPr="00907907">
        <w:rPr>
          <w:rFonts w:cs="Times New Roman"/>
          <w:lang w:val="en-GB"/>
        </w:rPr>
        <w:t xml:space="preserve"> </w:t>
      </w:r>
      <w:r w:rsidR="00154431" w:rsidRPr="00907907">
        <w:rPr>
          <w:rFonts w:cs="Times New Roman"/>
          <w:lang w:val="en-GB"/>
        </w:rPr>
        <w:t xml:space="preserve">value of </w:t>
      </w:r>
      <w:r w:rsidRPr="00907907">
        <w:rPr>
          <w:rFonts w:cs="Times New Roman"/>
          <w:lang w:val="en-GB"/>
        </w:rPr>
        <w:t xml:space="preserve">cultural heritage </w:t>
      </w:r>
      <w:r w:rsidR="00617945" w:rsidRPr="00907907">
        <w:rPr>
          <w:rFonts w:cs="Times New Roman"/>
          <w:lang w:val="en-GB"/>
        </w:rPr>
        <w:t xml:space="preserve">leaves </w:t>
      </w:r>
      <w:r w:rsidRPr="00907907">
        <w:rPr>
          <w:rFonts w:cs="Times New Roman"/>
          <w:lang w:val="en-GB"/>
        </w:rPr>
        <w:t xml:space="preserve">experts dumbfounded and </w:t>
      </w:r>
      <w:r w:rsidR="005867EF" w:rsidRPr="00907907">
        <w:rPr>
          <w:rFonts w:cs="Times New Roman"/>
          <w:lang w:val="en-GB"/>
        </w:rPr>
        <w:t>simultaneously</w:t>
      </w:r>
      <w:r w:rsidR="00617945" w:rsidRPr="00907907">
        <w:rPr>
          <w:rFonts w:cs="Times New Roman"/>
          <w:lang w:val="en-GB"/>
        </w:rPr>
        <w:t xml:space="preserve"> </w:t>
      </w:r>
      <w:r w:rsidRPr="00907907">
        <w:rPr>
          <w:rFonts w:cs="Times New Roman"/>
          <w:lang w:val="en-GB"/>
        </w:rPr>
        <w:t xml:space="preserve">demonstrates a </w:t>
      </w:r>
      <w:r w:rsidR="00154431" w:rsidRPr="00907907">
        <w:rPr>
          <w:rFonts w:cs="Times New Roman"/>
          <w:lang w:val="en-GB"/>
        </w:rPr>
        <w:t xml:space="preserve">lack of </w:t>
      </w:r>
      <w:r w:rsidRPr="00907907">
        <w:rPr>
          <w:rFonts w:cs="Times New Roman"/>
          <w:lang w:val="en-GB"/>
        </w:rPr>
        <w:t xml:space="preserve">regard for the </w:t>
      </w:r>
      <w:r w:rsidR="00E832E4" w:rsidRPr="00907907">
        <w:rPr>
          <w:rFonts w:cs="Times New Roman"/>
          <w:lang w:val="en-GB"/>
        </w:rPr>
        <w:t xml:space="preserve">prevailing </w:t>
      </w:r>
      <w:r w:rsidRPr="00907907">
        <w:rPr>
          <w:rFonts w:cs="Times New Roman"/>
          <w:lang w:val="en-GB"/>
        </w:rPr>
        <w:t>legal protection</w:t>
      </w:r>
      <w:r w:rsidR="00154431" w:rsidRPr="00907907">
        <w:rPr>
          <w:rFonts w:cs="Times New Roman"/>
          <w:lang w:val="en-GB"/>
        </w:rPr>
        <w:t xml:space="preserve"> that</w:t>
      </w:r>
      <w:r w:rsidRPr="00907907">
        <w:rPr>
          <w:rFonts w:cs="Times New Roman"/>
          <w:lang w:val="en-GB"/>
        </w:rPr>
        <w:t xml:space="preserve"> is based on thorough professional evaluations.</w:t>
      </w:r>
      <w:r w:rsidR="00865E03" w:rsidRPr="00907907">
        <w:rPr>
          <w:rFonts w:cs="Times New Roman"/>
          <w:lang w:val="en-GB"/>
        </w:rPr>
        <w:t xml:space="preserve"> It is inconsistent </w:t>
      </w:r>
      <w:r w:rsidR="00782C43" w:rsidRPr="00907907">
        <w:rPr>
          <w:rFonts w:cs="Times New Roman"/>
          <w:lang w:val="en-GB"/>
        </w:rPr>
        <w:t xml:space="preserve">and illogical </w:t>
      </w:r>
      <w:r w:rsidR="00865E03" w:rsidRPr="00907907">
        <w:rPr>
          <w:rFonts w:cs="Times New Roman"/>
          <w:lang w:val="en-GB"/>
        </w:rPr>
        <w:t xml:space="preserve">to demand </w:t>
      </w:r>
      <w:r w:rsidR="00321217" w:rsidRPr="00907907">
        <w:rPr>
          <w:rFonts w:cs="Times New Roman"/>
          <w:lang w:val="en-GB"/>
        </w:rPr>
        <w:t>quantifiable</w:t>
      </w:r>
      <w:r w:rsidR="00865E03" w:rsidRPr="00907907">
        <w:rPr>
          <w:rFonts w:cs="Times New Roman"/>
          <w:lang w:val="en-GB"/>
        </w:rPr>
        <w:t xml:space="preserve"> measures for cultural </w:t>
      </w:r>
      <w:r w:rsidR="00321217" w:rsidRPr="00907907">
        <w:rPr>
          <w:rFonts w:cs="Times New Roman"/>
          <w:lang w:val="en-GB"/>
        </w:rPr>
        <w:t>heritage</w:t>
      </w:r>
      <w:r w:rsidR="00865E03" w:rsidRPr="00907907">
        <w:rPr>
          <w:rFonts w:cs="Times New Roman"/>
          <w:lang w:val="en-GB"/>
        </w:rPr>
        <w:t xml:space="preserve"> values in projects that are </w:t>
      </w:r>
      <w:r w:rsidR="00321217" w:rsidRPr="00907907">
        <w:rPr>
          <w:rFonts w:cs="Times New Roman"/>
          <w:lang w:val="en-GB"/>
        </w:rPr>
        <w:t>of public utility and</w:t>
      </w:r>
      <w:r w:rsidR="00154431" w:rsidRPr="00907907">
        <w:rPr>
          <w:rFonts w:cs="Times New Roman"/>
          <w:lang w:val="en-GB"/>
        </w:rPr>
        <w:t>,</w:t>
      </w:r>
      <w:r w:rsidR="00321217" w:rsidRPr="00907907">
        <w:rPr>
          <w:rFonts w:cs="Times New Roman"/>
          <w:lang w:val="en-GB"/>
        </w:rPr>
        <w:t xml:space="preserve"> roughly speaking</w:t>
      </w:r>
      <w:r w:rsidR="00154431" w:rsidRPr="00907907">
        <w:rPr>
          <w:rFonts w:cs="Times New Roman"/>
          <w:lang w:val="en-GB"/>
        </w:rPr>
        <w:t>,</w:t>
      </w:r>
      <w:r w:rsidR="00321217" w:rsidRPr="00907907">
        <w:rPr>
          <w:rFonts w:cs="Times New Roman"/>
          <w:lang w:val="en-GB"/>
        </w:rPr>
        <w:t xml:space="preserve"> have a quantifiable downside </w:t>
      </w:r>
      <w:r w:rsidR="00154431" w:rsidRPr="00907907">
        <w:rPr>
          <w:rFonts w:cs="Times New Roman"/>
          <w:lang w:val="en-GB"/>
        </w:rPr>
        <w:t>(</w:t>
      </w:r>
      <w:r w:rsidR="00321217" w:rsidRPr="00907907">
        <w:rPr>
          <w:rFonts w:cs="Times New Roman"/>
          <w:lang w:val="en-GB"/>
        </w:rPr>
        <w:t>costs</w:t>
      </w:r>
      <w:r w:rsidR="00154431" w:rsidRPr="00907907">
        <w:rPr>
          <w:rFonts w:cs="Times New Roman"/>
          <w:lang w:val="en-GB"/>
        </w:rPr>
        <w:t>)</w:t>
      </w:r>
      <w:r w:rsidR="00321217" w:rsidRPr="00907907">
        <w:rPr>
          <w:rFonts w:cs="Times New Roman"/>
          <w:lang w:val="en-GB"/>
        </w:rPr>
        <w:t>, and a qualitative up-side</w:t>
      </w:r>
      <w:r w:rsidR="00154431" w:rsidRPr="00907907">
        <w:rPr>
          <w:rFonts w:cs="Times New Roman"/>
          <w:lang w:val="en-GB"/>
        </w:rPr>
        <w:t xml:space="preserve"> </w:t>
      </w:r>
      <w:r w:rsidR="00D77BAD" w:rsidRPr="00907907">
        <w:rPr>
          <w:rFonts w:cs="Times New Roman"/>
          <w:lang w:val="en-GB"/>
        </w:rPr>
        <w:t xml:space="preserve">(the benefit to </w:t>
      </w:r>
      <w:r w:rsidR="00321217" w:rsidRPr="00907907">
        <w:rPr>
          <w:rFonts w:cs="Times New Roman"/>
          <w:lang w:val="en-GB"/>
        </w:rPr>
        <w:t>society, whether it be health, education, research, democratic institutions, museums, art galleries or</w:t>
      </w:r>
      <w:r w:rsidR="00D77BAD" w:rsidRPr="00907907">
        <w:rPr>
          <w:rFonts w:cs="Times New Roman"/>
          <w:lang w:val="en-GB"/>
        </w:rPr>
        <w:t xml:space="preserve"> the</w:t>
      </w:r>
      <w:r w:rsidR="00321217" w:rsidRPr="00907907">
        <w:rPr>
          <w:rFonts w:cs="Times New Roman"/>
          <w:lang w:val="en-GB"/>
        </w:rPr>
        <w:t xml:space="preserve"> imprisonment and rehabilitation of convicts</w:t>
      </w:r>
      <w:r w:rsidR="006B0843" w:rsidRPr="00907907">
        <w:rPr>
          <w:rFonts w:cs="Times New Roman"/>
          <w:lang w:val="en-GB"/>
        </w:rPr>
        <w:t>)</w:t>
      </w:r>
      <w:r w:rsidR="00321217" w:rsidRPr="00907907">
        <w:rPr>
          <w:rFonts w:cs="Times New Roman"/>
          <w:lang w:val="en-GB"/>
        </w:rPr>
        <w:t>. If society´s need for such institutions</w:t>
      </w:r>
      <w:r w:rsidR="00D77BAD" w:rsidRPr="00907907">
        <w:rPr>
          <w:rFonts w:cs="Times New Roman"/>
          <w:lang w:val="en-GB"/>
        </w:rPr>
        <w:t xml:space="preserve"> is </w:t>
      </w:r>
      <w:r w:rsidR="0027771D" w:rsidRPr="00907907">
        <w:rPr>
          <w:rFonts w:cs="Times New Roman"/>
          <w:lang w:val="en-GB"/>
        </w:rPr>
        <w:t>temporarily set</w:t>
      </w:r>
      <w:r w:rsidR="00D77BAD" w:rsidRPr="00907907">
        <w:rPr>
          <w:rFonts w:cs="Times New Roman"/>
          <w:lang w:val="en-GB"/>
        </w:rPr>
        <w:t xml:space="preserve"> aside</w:t>
      </w:r>
      <w:r w:rsidR="00321217" w:rsidRPr="00907907">
        <w:rPr>
          <w:rFonts w:cs="Times New Roman"/>
          <w:lang w:val="en-GB"/>
        </w:rPr>
        <w:t>, these projects</w:t>
      </w:r>
      <w:r w:rsidR="00D77BAD" w:rsidRPr="00907907">
        <w:rPr>
          <w:rFonts w:cs="Times New Roman"/>
          <w:lang w:val="en-GB"/>
        </w:rPr>
        <w:t xml:space="preserve"> still </w:t>
      </w:r>
      <w:r w:rsidR="00321217" w:rsidRPr="00907907">
        <w:rPr>
          <w:rFonts w:cs="Times New Roman"/>
          <w:lang w:val="en-GB"/>
        </w:rPr>
        <w:t>do not make sense from an economic viewpoint</w:t>
      </w:r>
      <w:r w:rsidR="00D77BAD" w:rsidRPr="00907907">
        <w:rPr>
          <w:rFonts w:cs="Times New Roman"/>
          <w:lang w:val="en-GB"/>
        </w:rPr>
        <w:t>. T</w:t>
      </w:r>
      <w:r w:rsidR="00321217" w:rsidRPr="00907907">
        <w:rPr>
          <w:rFonts w:cs="Times New Roman"/>
          <w:lang w:val="en-GB"/>
        </w:rPr>
        <w:t>he balance, both strictly economically speaking (as in a budget) and in a wider, socio-economic perspective</w:t>
      </w:r>
      <w:r w:rsidR="002D39ED" w:rsidRPr="00907907">
        <w:rPr>
          <w:rFonts w:cs="Times New Roman"/>
          <w:lang w:val="en-GB"/>
        </w:rPr>
        <w:t xml:space="preserve"> where more factors are taken into consideration</w:t>
      </w:r>
      <w:r w:rsidR="00321217" w:rsidRPr="00907907">
        <w:rPr>
          <w:rFonts w:cs="Times New Roman"/>
          <w:lang w:val="en-GB"/>
        </w:rPr>
        <w:t xml:space="preserve">, can </w:t>
      </w:r>
      <w:r w:rsidR="005867EF" w:rsidRPr="00907907">
        <w:rPr>
          <w:rFonts w:cs="Times New Roman"/>
          <w:lang w:val="en-GB"/>
        </w:rPr>
        <w:t>literally</w:t>
      </w:r>
      <w:r w:rsidR="002D39ED" w:rsidRPr="00907907">
        <w:rPr>
          <w:rFonts w:cs="Times New Roman"/>
          <w:lang w:val="en-GB"/>
        </w:rPr>
        <w:t xml:space="preserve"> </w:t>
      </w:r>
      <w:r w:rsidR="00321217" w:rsidRPr="00907907">
        <w:rPr>
          <w:rFonts w:cs="Times New Roman"/>
          <w:lang w:val="en-GB"/>
        </w:rPr>
        <w:t xml:space="preserve">be </w:t>
      </w:r>
      <w:r w:rsidR="005867EF" w:rsidRPr="00907907">
        <w:rPr>
          <w:rFonts w:cs="Times New Roman"/>
          <w:lang w:val="en-GB"/>
        </w:rPr>
        <w:t>thousands</w:t>
      </w:r>
      <w:r w:rsidR="00321217" w:rsidRPr="00907907">
        <w:rPr>
          <w:rFonts w:cs="Times New Roman"/>
          <w:lang w:val="en-GB"/>
        </w:rPr>
        <w:t xml:space="preserve"> of millions</w:t>
      </w:r>
      <w:r w:rsidR="00D77BAD" w:rsidRPr="00907907">
        <w:rPr>
          <w:rFonts w:cs="Times New Roman"/>
          <w:lang w:val="en-GB"/>
        </w:rPr>
        <w:t xml:space="preserve"> of</w:t>
      </w:r>
      <w:r w:rsidR="002D39ED" w:rsidRPr="00907907">
        <w:rPr>
          <w:rFonts w:cs="Times New Roman"/>
          <w:lang w:val="en-GB"/>
        </w:rPr>
        <w:t xml:space="preserve"> NOK (</w:t>
      </w:r>
      <w:r w:rsidR="0027771D" w:rsidRPr="00907907">
        <w:rPr>
          <w:rFonts w:cs="Times New Roman"/>
          <w:lang w:val="en-GB"/>
        </w:rPr>
        <w:t xml:space="preserve">hundreds </w:t>
      </w:r>
      <w:r w:rsidR="002D39ED" w:rsidRPr="00907907">
        <w:rPr>
          <w:rFonts w:cs="Times New Roman"/>
          <w:lang w:val="en-GB"/>
        </w:rPr>
        <w:t>or even thousands of millions Euros)</w:t>
      </w:r>
      <w:r w:rsidR="00DD1722" w:rsidRPr="00907907">
        <w:rPr>
          <w:rFonts w:cs="Times New Roman"/>
          <w:lang w:val="en-GB"/>
        </w:rPr>
        <w:t xml:space="preserve"> in </w:t>
      </w:r>
      <w:r w:rsidR="00D77BAD" w:rsidRPr="00907907">
        <w:rPr>
          <w:rFonts w:cs="Times New Roman"/>
          <w:lang w:val="en-GB"/>
        </w:rPr>
        <w:t xml:space="preserve">the </w:t>
      </w:r>
      <w:r w:rsidR="00DD1722" w:rsidRPr="00907907">
        <w:rPr>
          <w:rFonts w:cs="Times New Roman"/>
          <w:lang w:val="en-GB"/>
        </w:rPr>
        <w:t xml:space="preserve">negative. For example, the quantified </w:t>
      </w:r>
      <w:r w:rsidR="00966B3E" w:rsidRPr="00907907">
        <w:rPr>
          <w:rFonts w:cs="Times New Roman"/>
          <w:lang w:val="en-GB"/>
        </w:rPr>
        <w:t xml:space="preserve">prized benefits </w:t>
      </w:r>
      <w:r w:rsidR="00DD1722" w:rsidRPr="00907907">
        <w:rPr>
          <w:rFonts w:cs="Times New Roman"/>
          <w:lang w:val="en-GB"/>
        </w:rPr>
        <w:t xml:space="preserve">for the </w:t>
      </w:r>
      <w:r w:rsidR="008302FD" w:rsidRPr="00907907">
        <w:rPr>
          <w:rFonts w:cs="Times New Roman"/>
          <w:lang w:val="en-GB"/>
        </w:rPr>
        <w:t>Museum of</w:t>
      </w:r>
      <w:r w:rsidR="00966B3E" w:rsidRPr="00907907">
        <w:rPr>
          <w:rFonts w:cs="Times New Roman"/>
          <w:lang w:val="en-GB"/>
        </w:rPr>
        <w:t xml:space="preserve"> Cultural History project</w:t>
      </w:r>
      <w:r w:rsidR="00C55767" w:rsidRPr="00907907">
        <w:rPr>
          <w:rFonts w:cs="Times New Roman"/>
          <w:lang w:val="en-GB"/>
        </w:rPr>
        <w:t xml:space="preserve"> </w:t>
      </w:r>
      <w:r w:rsidR="00C55767" w:rsidRPr="00907907">
        <w:rPr>
          <w:rFonts w:cs="Times New Roman"/>
          <w:iCs/>
          <w:lang w:val="en-GB"/>
        </w:rPr>
        <w:t>was merely the income from sales of tickets and the museum shop/cafe, totalling 50 and</w:t>
      </w:r>
      <w:r w:rsidR="00DC6BCB" w:rsidRPr="00907907">
        <w:rPr>
          <w:rFonts w:cs="Times New Roman"/>
          <w:iCs/>
          <w:lang w:val="en-GB"/>
        </w:rPr>
        <w:t xml:space="preserve"> ≤</w:t>
      </w:r>
      <w:r w:rsidR="00C55767" w:rsidRPr="00907907">
        <w:rPr>
          <w:rFonts w:cs="Times New Roman"/>
          <w:iCs/>
          <w:lang w:val="en-GB"/>
        </w:rPr>
        <w:t>14 NOK</w:t>
      </w:r>
      <w:r w:rsidR="00224E41" w:rsidRPr="00907907">
        <w:rPr>
          <w:rFonts w:cs="Times New Roman"/>
          <w:iCs/>
          <w:lang w:val="en-GB"/>
        </w:rPr>
        <w:t>,</w:t>
      </w:r>
      <w:r w:rsidR="00E37207" w:rsidRPr="00907907">
        <w:rPr>
          <w:rFonts w:cs="Times New Roman"/>
          <w:iCs/>
          <w:lang w:val="en-GB"/>
        </w:rPr>
        <w:t xml:space="preserve">(5,5 and 1,5 </w:t>
      </w:r>
      <w:r w:rsidR="00660A34" w:rsidRPr="00907907">
        <w:rPr>
          <w:rFonts w:cs="Times New Roman"/>
          <w:iCs/>
          <w:lang w:val="en-GB"/>
        </w:rPr>
        <w:t>Euros</w:t>
      </w:r>
      <w:r w:rsidR="00E37207" w:rsidRPr="00907907">
        <w:rPr>
          <w:rFonts w:cs="Times New Roman"/>
          <w:iCs/>
          <w:lang w:val="en-GB"/>
        </w:rPr>
        <w:t>)</w:t>
      </w:r>
      <w:r w:rsidR="00C55767" w:rsidRPr="00907907">
        <w:rPr>
          <w:rFonts w:cs="Times New Roman"/>
          <w:iCs/>
          <w:lang w:val="en-GB"/>
        </w:rPr>
        <w:t xml:space="preserve"> respectively</w:t>
      </w:r>
      <w:r w:rsidR="003758DE" w:rsidRPr="00907907">
        <w:rPr>
          <w:rFonts w:cs="Times New Roman"/>
          <w:iCs/>
          <w:lang w:val="en-GB"/>
        </w:rPr>
        <w:t xml:space="preserve">, per </w:t>
      </w:r>
      <w:r w:rsidR="001A6CB7" w:rsidRPr="00907907">
        <w:rPr>
          <w:rFonts w:cs="Times New Roman"/>
          <w:iCs/>
          <w:lang w:val="en-GB"/>
        </w:rPr>
        <w:t>visitor</w:t>
      </w:r>
      <w:r w:rsidR="00C55767" w:rsidRPr="00907907">
        <w:rPr>
          <w:rFonts w:cs="Times New Roman"/>
          <w:iCs/>
          <w:lang w:val="en-GB"/>
        </w:rPr>
        <w:t>.</w:t>
      </w:r>
      <w:r w:rsidR="00361CD3" w:rsidRPr="00907907">
        <w:rPr>
          <w:rStyle w:val="EndnoteReference"/>
          <w:rFonts w:cs="Times New Roman"/>
          <w:lang w:val="en-GB"/>
        </w:rPr>
        <w:endnoteReference w:id="14"/>
      </w:r>
      <w:r w:rsidR="00966B3E" w:rsidRPr="00907907">
        <w:rPr>
          <w:rFonts w:cs="Times New Roman"/>
          <w:lang w:val="en-GB"/>
        </w:rPr>
        <w:t xml:space="preserve"> </w:t>
      </w:r>
      <w:r w:rsidR="00966B3E" w:rsidRPr="00907907">
        <w:rPr>
          <w:rFonts w:cs="Times New Roman"/>
          <w:iCs/>
          <w:lang w:val="en-GB"/>
        </w:rPr>
        <w:t>The value of the museums main tasks</w:t>
      </w:r>
      <w:r w:rsidR="003758DE" w:rsidRPr="00907907">
        <w:rPr>
          <w:rFonts w:cs="Times New Roman"/>
          <w:iCs/>
          <w:lang w:val="en-GB"/>
        </w:rPr>
        <w:t xml:space="preserve"> and created value</w:t>
      </w:r>
      <w:r w:rsidR="00966B3E" w:rsidRPr="00907907">
        <w:rPr>
          <w:rFonts w:cs="Times New Roman"/>
          <w:iCs/>
          <w:lang w:val="en-GB"/>
        </w:rPr>
        <w:t xml:space="preserve">, namely preservation, research and teaching, </w:t>
      </w:r>
      <w:r w:rsidR="0027771D" w:rsidRPr="00907907">
        <w:rPr>
          <w:rFonts w:cs="Times New Roman"/>
          <w:iCs/>
          <w:lang w:val="en-GB"/>
        </w:rPr>
        <w:t>cannot be</w:t>
      </w:r>
      <w:r w:rsidR="00966B3E" w:rsidRPr="00907907">
        <w:rPr>
          <w:rFonts w:cs="Times New Roman"/>
          <w:iCs/>
          <w:lang w:val="en-GB"/>
        </w:rPr>
        <w:t xml:space="preserve"> pri</w:t>
      </w:r>
      <w:r w:rsidR="00783775" w:rsidRPr="00907907">
        <w:rPr>
          <w:rFonts w:cs="Times New Roman"/>
          <w:iCs/>
          <w:lang w:val="en-GB"/>
        </w:rPr>
        <w:t>c</w:t>
      </w:r>
      <w:r w:rsidR="00966B3E" w:rsidRPr="00907907">
        <w:rPr>
          <w:rFonts w:cs="Times New Roman"/>
          <w:iCs/>
          <w:lang w:val="en-GB"/>
        </w:rPr>
        <w:t>ed.</w:t>
      </w:r>
      <w:r w:rsidR="00D41437" w:rsidRPr="00907907">
        <w:rPr>
          <w:rFonts w:cs="Times New Roman"/>
          <w:iCs/>
          <w:lang w:val="en-GB"/>
        </w:rPr>
        <w:t xml:space="preserve"> </w:t>
      </w:r>
      <w:r w:rsidR="00943C30" w:rsidRPr="00907907">
        <w:rPr>
          <w:rFonts w:cs="Times New Roman"/>
          <w:iCs/>
          <w:lang w:val="en-GB"/>
        </w:rPr>
        <w:t xml:space="preserve">A </w:t>
      </w:r>
      <w:r w:rsidR="00956582" w:rsidRPr="00907907">
        <w:rPr>
          <w:rFonts w:cs="Times New Roman"/>
          <w:iCs/>
          <w:lang w:val="en-GB"/>
        </w:rPr>
        <w:t xml:space="preserve">lack of </w:t>
      </w:r>
      <w:r w:rsidR="00943C30" w:rsidRPr="00907907">
        <w:rPr>
          <w:rFonts w:cs="Times New Roman"/>
          <w:iCs/>
          <w:lang w:val="en-GB"/>
        </w:rPr>
        <w:t xml:space="preserve">recognition of </w:t>
      </w:r>
      <w:r w:rsidR="00956582" w:rsidRPr="00907907">
        <w:rPr>
          <w:rFonts w:cs="Times New Roman"/>
          <w:iCs/>
          <w:lang w:val="en-GB"/>
        </w:rPr>
        <w:t xml:space="preserve">the value of </w:t>
      </w:r>
      <w:r w:rsidR="00943C30" w:rsidRPr="00907907">
        <w:rPr>
          <w:rFonts w:cs="Times New Roman"/>
          <w:iCs/>
          <w:lang w:val="en-GB"/>
        </w:rPr>
        <w:t>cultural heritage is not necessarily wilful</w:t>
      </w:r>
      <w:r w:rsidR="00956582" w:rsidRPr="00907907">
        <w:rPr>
          <w:rFonts w:cs="Times New Roman"/>
          <w:iCs/>
          <w:lang w:val="en-GB"/>
        </w:rPr>
        <w:t>. It could be</w:t>
      </w:r>
      <w:r w:rsidR="00943C30" w:rsidRPr="00907907">
        <w:rPr>
          <w:rFonts w:cs="Times New Roman"/>
          <w:iCs/>
          <w:lang w:val="en-GB"/>
        </w:rPr>
        <w:t xml:space="preserve"> due to </w:t>
      </w:r>
      <w:r w:rsidR="00956582" w:rsidRPr="00907907">
        <w:rPr>
          <w:rFonts w:cs="Times New Roman"/>
          <w:iCs/>
          <w:lang w:val="en-GB"/>
        </w:rPr>
        <w:t>an in</w:t>
      </w:r>
      <w:r w:rsidR="00943C30" w:rsidRPr="00907907">
        <w:rPr>
          <w:rFonts w:cs="Times New Roman"/>
          <w:iCs/>
          <w:lang w:val="en-GB"/>
        </w:rPr>
        <w:t>abilit</w:t>
      </w:r>
      <w:r w:rsidR="00956582" w:rsidRPr="00907907">
        <w:rPr>
          <w:rFonts w:cs="Times New Roman"/>
          <w:iCs/>
          <w:lang w:val="en-GB"/>
        </w:rPr>
        <w:t>y</w:t>
      </w:r>
      <w:r w:rsidR="00943C30" w:rsidRPr="00907907">
        <w:rPr>
          <w:rFonts w:cs="Times New Roman"/>
          <w:iCs/>
          <w:lang w:val="en-GB"/>
        </w:rPr>
        <w:t xml:space="preserve"> to see and </w:t>
      </w:r>
      <w:r w:rsidR="00D044DF" w:rsidRPr="00907907">
        <w:rPr>
          <w:rFonts w:cs="Times New Roman"/>
          <w:iCs/>
          <w:lang w:val="en-GB"/>
        </w:rPr>
        <w:t>process such</w:t>
      </w:r>
      <w:r w:rsidR="00943C30" w:rsidRPr="00907907">
        <w:rPr>
          <w:rFonts w:cs="Times New Roman"/>
          <w:iCs/>
          <w:lang w:val="en-GB"/>
        </w:rPr>
        <w:t xml:space="preserve"> values. In the QA1-documentation, </w:t>
      </w:r>
      <w:r w:rsidR="00D123F7" w:rsidRPr="00907907">
        <w:rPr>
          <w:rFonts w:cs="Times New Roman"/>
          <w:iCs/>
          <w:lang w:val="en-GB"/>
        </w:rPr>
        <w:t xml:space="preserve">we have at times seen </w:t>
      </w:r>
      <w:r w:rsidR="00956582" w:rsidRPr="00907907">
        <w:rPr>
          <w:rFonts w:cs="Times New Roman"/>
          <w:iCs/>
          <w:lang w:val="en-GB"/>
        </w:rPr>
        <w:t xml:space="preserve">the </w:t>
      </w:r>
      <w:r w:rsidR="00D123F7" w:rsidRPr="00907907">
        <w:rPr>
          <w:rFonts w:cs="Times New Roman"/>
          <w:iCs/>
          <w:lang w:val="en-GB"/>
        </w:rPr>
        <w:t>protection of cultural heritage discussed without any adjoining discussion of the actual cultural heritage.</w:t>
      </w:r>
      <w:r w:rsidR="00716777" w:rsidRPr="00907907">
        <w:rPr>
          <w:rStyle w:val="EndnoteReference"/>
          <w:rFonts w:cs="Times New Roman"/>
          <w:iCs/>
          <w:lang w:val="en-GB"/>
        </w:rPr>
        <w:endnoteReference w:id="15"/>
      </w:r>
      <w:r w:rsidR="00D123F7" w:rsidRPr="00907907">
        <w:rPr>
          <w:rFonts w:cs="Times New Roman"/>
          <w:iCs/>
          <w:lang w:val="en-GB"/>
        </w:rPr>
        <w:t xml:space="preserve"> The link between juridical protection and the actual cultural heritage at hand is broken, </w:t>
      </w:r>
      <w:r w:rsidR="00783775" w:rsidRPr="00907907">
        <w:rPr>
          <w:rFonts w:cs="Times New Roman"/>
          <w:iCs/>
          <w:lang w:val="en-GB"/>
        </w:rPr>
        <w:t xml:space="preserve">seemingly because the values the law protects are not understood. </w:t>
      </w:r>
      <w:r w:rsidR="0022689C" w:rsidRPr="00907907">
        <w:rPr>
          <w:rFonts w:cs="Times New Roman"/>
          <w:iCs/>
          <w:lang w:val="en-GB"/>
        </w:rPr>
        <w:t xml:space="preserve">The legal protection is discussed, but without mentioning of the protected buildings significant historic and architectural qualities. </w:t>
      </w:r>
      <w:r w:rsidR="00104246" w:rsidRPr="00907907">
        <w:rPr>
          <w:rFonts w:cs="Times New Roman"/>
          <w:iCs/>
          <w:lang w:val="en-GB"/>
        </w:rPr>
        <w:t>The j</w:t>
      </w:r>
      <w:r w:rsidR="00EC34C4" w:rsidRPr="00907907">
        <w:rPr>
          <w:rFonts w:cs="Times New Roman"/>
          <w:iCs/>
          <w:lang w:val="en-GB"/>
        </w:rPr>
        <w:t xml:space="preserve">uridical </w:t>
      </w:r>
      <w:r w:rsidR="00D123F7" w:rsidRPr="00907907">
        <w:rPr>
          <w:rFonts w:cs="Times New Roman"/>
          <w:iCs/>
          <w:lang w:val="en-GB"/>
        </w:rPr>
        <w:t>protection</w:t>
      </w:r>
      <w:r w:rsidR="00104246" w:rsidRPr="00907907">
        <w:rPr>
          <w:rFonts w:cs="Times New Roman"/>
          <w:iCs/>
          <w:lang w:val="en-GB"/>
        </w:rPr>
        <w:t xml:space="preserve"> of cultural heritage is thus disconnected from the cultural heritage values, and risk being</w:t>
      </w:r>
      <w:r w:rsidR="00D123F7" w:rsidRPr="00907907">
        <w:rPr>
          <w:rFonts w:cs="Times New Roman"/>
          <w:iCs/>
          <w:lang w:val="en-GB"/>
        </w:rPr>
        <w:t xml:space="preserve"> reduced to</w:t>
      </w:r>
      <w:r w:rsidR="000F3E79" w:rsidRPr="00907907">
        <w:rPr>
          <w:rFonts w:cs="Times New Roman"/>
          <w:iCs/>
          <w:lang w:val="en-GB"/>
        </w:rPr>
        <w:t xml:space="preserve"> mere</w:t>
      </w:r>
      <w:r w:rsidR="00D123F7" w:rsidRPr="00907907">
        <w:rPr>
          <w:rFonts w:cs="Times New Roman"/>
          <w:iCs/>
          <w:lang w:val="en-GB"/>
        </w:rPr>
        <w:t xml:space="preserve"> </w:t>
      </w:r>
      <w:r w:rsidR="00104246" w:rsidRPr="00907907">
        <w:rPr>
          <w:rFonts w:cs="Times New Roman"/>
          <w:iCs/>
          <w:lang w:val="en-GB"/>
        </w:rPr>
        <w:t>juridical</w:t>
      </w:r>
      <w:r w:rsidR="000F3E79" w:rsidRPr="00907907">
        <w:rPr>
          <w:rFonts w:cs="Times New Roman"/>
          <w:iCs/>
          <w:lang w:val="en-GB"/>
        </w:rPr>
        <w:t xml:space="preserve"> obstacles</w:t>
      </w:r>
      <w:r w:rsidR="00974799" w:rsidRPr="00907907">
        <w:rPr>
          <w:rFonts w:cs="Times New Roman"/>
          <w:iCs/>
          <w:lang w:val="en-GB"/>
        </w:rPr>
        <w:t xml:space="preserve">. </w:t>
      </w:r>
      <w:r w:rsidR="00993DBC" w:rsidRPr="00907907">
        <w:rPr>
          <w:rFonts w:cs="Times New Roman"/>
          <w:iCs/>
          <w:lang w:val="en-GB"/>
        </w:rPr>
        <w:t>C</w:t>
      </w:r>
      <w:r w:rsidR="00FB283D" w:rsidRPr="00907907">
        <w:rPr>
          <w:rFonts w:cs="Times New Roman"/>
          <w:iCs/>
          <w:lang w:val="en-GB"/>
        </w:rPr>
        <w:t>onsequently, c</w:t>
      </w:r>
      <w:r w:rsidR="00993DBC" w:rsidRPr="00907907">
        <w:rPr>
          <w:rFonts w:cs="Times New Roman"/>
          <w:iCs/>
          <w:lang w:val="en-GB"/>
        </w:rPr>
        <w:t>omplying with the Cultural Heritage Act</w:t>
      </w:r>
      <w:r w:rsidR="00104246" w:rsidRPr="00907907">
        <w:rPr>
          <w:rFonts w:cs="Times New Roman"/>
          <w:iCs/>
          <w:lang w:val="en-GB"/>
        </w:rPr>
        <w:t xml:space="preserve"> </w:t>
      </w:r>
      <w:r w:rsidR="00993DBC" w:rsidRPr="00907907">
        <w:rPr>
          <w:rFonts w:cs="Times New Roman"/>
          <w:iCs/>
          <w:lang w:val="en-GB"/>
        </w:rPr>
        <w:t xml:space="preserve">might be reduced to </w:t>
      </w:r>
      <w:r w:rsidR="006517C3" w:rsidRPr="00907907">
        <w:rPr>
          <w:rFonts w:cs="Times New Roman"/>
          <w:iCs/>
          <w:lang w:val="en-GB"/>
        </w:rPr>
        <w:t xml:space="preserve">dreary </w:t>
      </w:r>
      <w:r w:rsidR="00D123F7" w:rsidRPr="00907907">
        <w:rPr>
          <w:rFonts w:cs="Times New Roman"/>
          <w:iCs/>
          <w:lang w:val="en-GB"/>
        </w:rPr>
        <w:t xml:space="preserve">law-abiding instead of </w:t>
      </w:r>
      <w:r w:rsidR="006517C3" w:rsidRPr="00907907">
        <w:rPr>
          <w:rFonts w:cs="Times New Roman"/>
          <w:iCs/>
          <w:lang w:val="en-GB"/>
        </w:rPr>
        <w:t xml:space="preserve">the important task of protecting cultural heritage values as </w:t>
      </w:r>
      <w:r w:rsidR="00D123F7" w:rsidRPr="00907907">
        <w:rPr>
          <w:rFonts w:cs="Times New Roman"/>
          <w:iCs/>
          <w:lang w:val="en-GB"/>
        </w:rPr>
        <w:t>an important public good</w:t>
      </w:r>
      <w:r w:rsidR="006A66CA" w:rsidRPr="00907907">
        <w:rPr>
          <w:rFonts w:cs="Times New Roman"/>
          <w:iCs/>
          <w:lang w:val="en-GB"/>
        </w:rPr>
        <w:t xml:space="preserve">. </w:t>
      </w:r>
      <w:r w:rsidR="00D123F7" w:rsidRPr="00907907">
        <w:rPr>
          <w:rFonts w:cs="Times New Roman"/>
          <w:iCs/>
          <w:lang w:val="en-GB"/>
        </w:rPr>
        <w:t>This is seen for Bergen</w:t>
      </w:r>
      <w:r w:rsidR="007C6FBE" w:rsidRPr="00907907">
        <w:rPr>
          <w:rFonts w:cs="Times New Roman"/>
          <w:iCs/>
          <w:lang w:val="en-GB"/>
        </w:rPr>
        <w:t xml:space="preserve"> District Courthouse, a distinctive stone building nicknamed "Gotham city" due to its neo-</w:t>
      </w:r>
      <w:r w:rsidR="008302FD" w:rsidRPr="00907907">
        <w:rPr>
          <w:rFonts w:cs="Times New Roman"/>
          <w:iCs/>
          <w:lang w:val="en-GB"/>
        </w:rPr>
        <w:t>gothic</w:t>
      </w:r>
      <w:r w:rsidR="007C6FBE" w:rsidRPr="00907907">
        <w:rPr>
          <w:rFonts w:cs="Times New Roman"/>
          <w:iCs/>
          <w:lang w:val="en-GB"/>
        </w:rPr>
        <w:t xml:space="preserve"> details.</w:t>
      </w:r>
      <w:r w:rsidR="00231352" w:rsidRPr="00907907">
        <w:rPr>
          <w:rStyle w:val="EndnoteReference"/>
          <w:rFonts w:cs="Times New Roman"/>
          <w:iCs/>
          <w:lang w:val="en-GB"/>
        </w:rPr>
        <w:endnoteReference w:id="16"/>
      </w:r>
      <w:r w:rsidR="007C6FBE" w:rsidRPr="00907907">
        <w:rPr>
          <w:rFonts w:cs="Times New Roman"/>
          <w:iCs/>
          <w:lang w:val="en-GB"/>
        </w:rPr>
        <w:t xml:space="preserve"> </w:t>
      </w:r>
      <w:r w:rsidR="00B25D90" w:rsidRPr="00907907">
        <w:rPr>
          <w:rFonts w:cs="Times New Roman"/>
          <w:iCs/>
          <w:lang w:val="en-GB"/>
        </w:rPr>
        <w:t>The KVU-</w:t>
      </w:r>
      <w:r w:rsidR="009D698F" w:rsidRPr="00907907">
        <w:rPr>
          <w:rFonts w:cs="Times New Roman"/>
          <w:iCs/>
          <w:lang w:val="en-GB"/>
        </w:rPr>
        <w:t xml:space="preserve">report </w:t>
      </w:r>
      <w:r w:rsidR="00B25D90" w:rsidRPr="00907907">
        <w:rPr>
          <w:rFonts w:cs="Times New Roman"/>
          <w:iCs/>
          <w:lang w:val="en-GB"/>
        </w:rPr>
        <w:t>claims that new buildings are cheaper and optimally shaped for the establishment´s functions</w:t>
      </w:r>
      <w:r w:rsidR="00956582" w:rsidRPr="00907907">
        <w:rPr>
          <w:rFonts w:cs="Times New Roman"/>
          <w:iCs/>
          <w:lang w:val="en-GB"/>
        </w:rPr>
        <w:t>—</w:t>
      </w:r>
      <w:r w:rsidR="00B25D90" w:rsidRPr="00907907">
        <w:rPr>
          <w:rFonts w:cs="Times New Roman"/>
          <w:iCs/>
          <w:lang w:val="en-GB"/>
        </w:rPr>
        <w:t xml:space="preserve">a clear </w:t>
      </w:r>
      <w:r w:rsidR="00D154A1" w:rsidRPr="00907907">
        <w:rPr>
          <w:rFonts w:cs="Times New Roman"/>
          <w:iCs/>
          <w:lang w:val="en-GB"/>
        </w:rPr>
        <w:t xml:space="preserve">adherence </w:t>
      </w:r>
      <w:r w:rsidR="00B25D90" w:rsidRPr="00907907">
        <w:rPr>
          <w:rFonts w:cs="Times New Roman"/>
          <w:iCs/>
          <w:lang w:val="en-GB"/>
        </w:rPr>
        <w:t xml:space="preserve">to the style functionalism and its motto </w:t>
      </w:r>
      <w:r w:rsidR="00D154A1" w:rsidRPr="00907907">
        <w:rPr>
          <w:rFonts w:cs="Times New Roman"/>
          <w:iCs/>
          <w:lang w:val="en-GB"/>
        </w:rPr>
        <w:t>‘</w:t>
      </w:r>
      <w:r w:rsidR="00B25D90" w:rsidRPr="00907907">
        <w:rPr>
          <w:rFonts w:cs="Times New Roman"/>
          <w:iCs/>
          <w:lang w:val="en-GB"/>
        </w:rPr>
        <w:t>form follows function</w:t>
      </w:r>
      <w:r w:rsidR="00D154A1" w:rsidRPr="00907907">
        <w:rPr>
          <w:rFonts w:cs="Times New Roman"/>
          <w:iCs/>
          <w:lang w:val="en-GB"/>
        </w:rPr>
        <w:t>’</w:t>
      </w:r>
      <w:r w:rsidR="00B25D90" w:rsidRPr="00907907">
        <w:rPr>
          <w:rFonts w:cs="Times New Roman"/>
          <w:iCs/>
          <w:lang w:val="en-GB"/>
        </w:rPr>
        <w:t>.</w:t>
      </w:r>
      <w:r w:rsidR="00A6215B" w:rsidRPr="00907907">
        <w:rPr>
          <w:rStyle w:val="EndnoteReference"/>
          <w:rFonts w:cs="Times New Roman"/>
          <w:iCs/>
          <w:lang w:val="en-GB"/>
        </w:rPr>
        <w:endnoteReference w:id="17"/>
      </w:r>
      <w:r w:rsidR="00B25D90" w:rsidRPr="00907907">
        <w:rPr>
          <w:rFonts w:cs="Times New Roman"/>
          <w:lang w:val="en-GB"/>
        </w:rPr>
        <w:t xml:space="preserve"> The documentation claims that the only factor (if any) that can justify higher costs and </w:t>
      </w:r>
      <w:r w:rsidR="0027771D" w:rsidRPr="00907907">
        <w:rPr>
          <w:rFonts w:cs="Times New Roman"/>
          <w:lang w:val="en-GB"/>
        </w:rPr>
        <w:t>‘</w:t>
      </w:r>
      <w:r w:rsidR="00B25D90" w:rsidRPr="00907907">
        <w:rPr>
          <w:rFonts w:cs="Times New Roman"/>
          <w:lang w:val="en-GB"/>
        </w:rPr>
        <w:t>worse functional solutions</w:t>
      </w:r>
      <w:r w:rsidR="0027771D" w:rsidRPr="00907907">
        <w:rPr>
          <w:rFonts w:cs="Times New Roman"/>
          <w:lang w:val="en-GB"/>
        </w:rPr>
        <w:t xml:space="preserve">’ </w:t>
      </w:r>
      <w:r w:rsidR="00B25D90" w:rsidRPr="00907907">
        <w:rPr>
          <w:rFonts w:cs="Times New Roman"/>
          <w:lang w:val="en-GB"/>
        </w:rPr>
        <w:t xml:space="preserve">is said to be legal protection. The building´s history, architectural qualities and ties to the institution and Bergen </w:t>
      </w:r>
      <w:r w:rsidR="007C5331" w:rsidRPr="00907907">
        <w:rPr>
          <w:rFonts w:cs="Times New Roman"/>
          <w:lang w:val="en-GB"/>
        </w:rPr>
        <w:t>are</w:t>
      </w:r>
      <w:r w:rsidR="00B25D90" w:rsidRPr="00907907">
        <w:rPr>
          <w:rFonts w:cs="Times New Roman"/>
          <w:lang w:val="en-GB"/>
        </w:rPr>
        <w:t xml:space="preserve"> not acknowledged. It is </w:t>
      </w:r>
      <w:r w:rsidR="00D154A1" w:rsidRPr="00907907">
        <w:rPr>
          <w:rFonts w:cs="Times New Roman"/>
          <w:lang w:val="en-GB"/>
        </w:rPr>
        <w:t>extra</w:t>
      </w:r>
      <w:r w:rsidR="00966954" w:rsidRPr="00907907">
        <w:rPr>
          <w:rFonts w:cs="Times New Roman"/>
          <w:lang w:val="en-GB"/>
        </w:rPr>
        <w:t xml:space="preserve"> </w:t>
      </w:r>
      <w:r w:rsidR="00D154A1" w:rsidRPr="00907907">
        <w:rPr>
          <w:rFonts w:cs="Times New Roman"/>
          <w:lang w:val="en-GB"/>
        </w:rPr>
        <w:t xml:space="preserve">challenging </w:t>
      </w:r>
      <w:r w:rsidR="00B25D90" w:rsidRPr="00907907">
        <w:rPr>
          <w:rFonts w:cs="Times New Roman"/>
          <w:lang w:val="en-GB"/>
        </w:rPr>
        <w:t xml:space="preserve">for </w:t>
      </w:r>
      <w:r w:rsidR="00966954" w:rsidRPr="00907907">
        <w:rPr>
          <w:rFonts w:cs="Times New Roman"/>
          <w:lang w:val="en-GB"/>
        </w:rPr>
        <w:t xml:space="preserve">the </w:t>
      </w:r>
      <w:r w:rsidR="00B25D90" w:rsidRPr="00907907">
        <w:rPr>
          <w:rFonts w:cs="Times New Roman"/>
          <w:lang w:val="en-GB"/>
        </w:rPr>
        <w:t xml:space="preserve">legal protection to justify </w:t>
      </w:r>
      <w:r w:rsidR="00966954" w:rsidRPr="00907907">
        <w:rPr>
          <w:rFonts w:cs="Times New Roman"/>
          <w:lang w:val="en-GB"/>
        </w:rPr>
        <w:t xml:space="preserve">both </w:t>
      </w:r>
      <w:r w:rsidR="007C5331" w:rsidRPr="00907907">
        <w:rPr>
          <w:rFonts w:cs="Times New Roman"/>
          <w:lang w:val="en-GB"/>
        </w:rPr>
        <w:t xml:space="preserve">higher costs </w:t>
      </w:r>
      <w:r w:rsidR="00966954" w:rsidRPr="00907907">
        <w:rPr>
          <w:rFonts w:cs="Times New Roman"/>
          <w:lang w:val="en-GB"/>
        </w:rPr>
        <w:t>and a</w:t>
      </w:r>
      <w:r w:rsidR="00912AF8" w:rsidRPr="00907907">
        <w:rPr>
          <w:rFonts w:cs="Times New Roman"/>
          <w:lang w:val="en-GB"/>
        </w:rPr>
        <w:t xml:space="preserve"> </w:t>
      </w:r>
      <w:r w:rsidR="00966954" w:rsidRPr="00907907">
        <w:rPr>
          <w:rFonts w:cs="Times New Roman"/>
          <w:lang w:val="en-GB"/>
        </w:rPr>
        <w:t>resulting</w:t>
      </w:r>
      <w:r w:rsidR="007C5331" w:rsidRPr="00907907">
        <w:rPr>
          <w:rFonts w:cs="Times New Roman"/>
          <w:lang w:val="en-GB"/>
        </w:rPr>
        <w:t xml:space="preserve"> </w:t>
      </w:r>
      <w:r w:rsidR="00B25D90" w:rsidRPr="00907907">
        <w:rPr>
          <w:rFonts w:cs="Times New Roman"/>
          <w:lang w:val="en-GB"/>
        </w:rPr>
        <w:t xml:space="preserve">lower </w:t>
      </w:r>
      <w:r w:rsidR="005B0347" w:rsidRPr="00907907">
        <w:rPr>
          <w:rFonts w:cs="Times New Roman"/>
          <w:lang w:val="en-GB"/>
        </w:rPr>
        <w:t xml:space="preserve">building </w:t>
      </w:r>
      <w:r w:rsidR="00B25D90" w:rsidRPr="00907907">
        <w:rPr>
          <w:rFonts w:cs="Times New Roman"/>
          <w:lang w:val="en-GB"/>
        </w:rPr>
        <w:t>quality</w:t>
      </w:r>
      <w:r w:rsidR="00D154A1" w:rsidRPr="00907907">
        <w:rPr>
          <w:rFonts w:cs="Times New Roman"/>
          <w:lang w:val="en-GB"/>
        </w:rPr>
        <w:t>. F</w:t>
      </w:r>
      <w:r w:rsidR="00B25D90" w:rsidRPr="00907907">
        <w:rPr>
          <w:rFonts w:cs="Times New Roman"/>
          <w:lang w:val="en-GB"/>
        </w:rPr>
        <w:t>ortunately, the</w:t>
      </w:r>
      <w:r w:rsidR="007C5331" w:rsidRPr="00907907">
        <w:rPr>
          <w:rFonts w:cs="Times New Roman"/>
          <w:lang w:val="en-GB"/>
        </w:rPr>
        <w:t>se</w:t>
      </w:r>
      <w:r w:rsidR="00B25D90" w:rsidRPr="00907907">
        <w:rPr>
          <w:rFonts w:cs="Times New Roman"/>
          <w:lang w:val="en-GB"/>
        </w:rPr>
        <w:t xml:space="preserve"> premises are </w:t>
      </w:r>
      <w:r w:rsidR="007C5331" w:rsidRPr="00907907">
        <w:rPr>
          <w:rFonts w:cs="Times New Roman"/>
          <w:lang w:val="en-GB"/>
        </w:rPr>
        <w:t>false</w:t>
      </w:r>
      <w:r w:rsidR="00B25D90" w:rsidRPr="00907907">
        <w:rPr>
          <w:rFonts w:cs="Times New Roman"/>
          <w:lang w:val="en-GB"/>
        </w:rPr>
        <w:t>.</w:t>
      </w:r>
      <w:r w:rsidR="007C5331" w:rsidRPr="00907907">
        <w:rPr>
          <w:rFonts w:cs="Times New Roman"/>
          <w:lang w:val="en-GB"/>
        </w:rPr>
        <w:t xml:space="preserve"> The legal protection must be considered together with the values that are protected. </w:t>
      </w:r>
      <w:r w:rsidR="0011143C" w:rsidRPr="00907907">
        <w:rPr>
          <w:rFonts w:cs="Times New Roman"/>
          <w:lang w:val="en-GB"/>
        </w:rPr>
        <w:t>H</w:t>
      </w:r>
      <w:r w:rsidR="005750C4" w:rsidRPr="00907907">
        <w:rPr>
          <w:rFonts w:cs="Times New Roman"/>
          <w:lang w:val="en-GB"/>
        </w:rPr>
        <w:t xml:space="preserve">istorical buildings </w:t>
      </w:r>
      <w:r w:rsidR="007A5B1A" w:rsidRPr="00907907">
        <w:rPr>
          <w:rFonts w:cs="Times New Roman"/>
          <w:lang w:val="en-GB"/>
        </w:rPr>
        <w:t xml:space="preserve">can </w:t>
      </w:r>
      <w:r w:rsidR="005750C4" w:rsidRPr="00907907">
        <w:rPr>
          <w:rFonts w:cs="Times New Roman"/>
          <w:lang w:val="en-GB"/>
        </w:rPr>
        <w:t>have qualities that are rarely found in new-builds</w:t>
      </w:r>
      <w:r w:rsidR="00C06F50" w:rsidRPr="00907907">
        <w:rPr>
          <w:rFonts w:cs="Times New Roman"/>
          <w:lang w:val="en-GB"/>
        </w:rPr>
        <w:t xml:space="preserve">, such as craftsmanship, traditional materials, historical architectural styles and </w:t>
      </w:r>
      <w:r w:rsidR="008E7542" w:rsidRPr="00907907">
        <w:rPr>
          <w:rFonts w:cs="Times New Roman"/>
          <w:lang w:val="en-GB"/>
        </w:rPr>
        <w:t xml:space="preserve">layers of symbolism. </w:t>
      </w:r>
      <w:r w:rsidR="009860CC" w:rsidRPr="00907907">
        <w:rPr>
          <w:rFonts w:cs="Times New Roman"/>
          <w:lang w:val="en-GB"/>
        </w:rPr>
        <w:t xml:space="preserve">The existing Bergen </w:t>
      </w:r>
      <w:r w:rsidR="00D154A1" w:rsidRPr="00907907">
        <w:rPr>
          <w:rFonts w:cs="Times New Roman"/>
          <w:lang w:val="en-GB"/>
        </w:rPr>
        <w:t>District Court</w:t>
      </w:r>
      <w:r w:rsidR="009860CC" w:rsidRPr="00907907">
        <w:rPr>
          <w:rFonts w:cs="Times New Roman"/>
          <w:lang w:val="en-GB"/>
        </w:rPr>
        <w:t>house is an example of such rare qualities.</w:t>
      </w:r>
      <w:r w:rsidR="000A3167" w:rsidRPr="00907907">
        <w:rPr>
          <w:rStyle w:val="EndnoteReference"/>
          <w:rFonts w:cs="Times New Roman"/>
          <w:lang w:val="en-GB"/>
        </w:rPr>
        <w:endnoteReference w:id="18"/>
      </w:r>
      <w:r w:rsidR="006B1034" w:rsidRPr="00907907">
        <w:rPr>
          <w:rFonts w:cs="Times New Roman"/>
          <w:lang w:val="en-GB"/>
        </w:rPr>
        <w:t xml:space="preserve"> </w:t>
      </w:r>
      <w:r w:rsidR="00475EC6" w:rsidRPr="00907907">
        <w:rPr>
          <w:rFonts w:cs="Times New Roman"/>
          <w:lang w:val="en-GB"/>
        </w:rPr>
        <w:t xml:space="preserve">In </w:t>
      </w:r>
      <w:r w:rsidR="00AA7D1A" w:rsidRPr="00907907">
        <w:rPr>
          <w:rFonts w:cs="Times New Roman"/>
          <w:lang w:val="en-GB"/>
        </w:rPr>
        <w:t>Table 2</w:t>
      </w:r>
      <w:r w:rsidR="00475EC6" w:rsidRPr="00907907">
        <w:rPr>
          <w:rFonts w:cs="Times New Roman"/>
          <w:lang w:val="en-GB"/>
        </w:rPr>
        <w:t xml:space="preserve">, we note that cultural heritage authorities </w:t>
      </w:r>
      <w:r w:rsidR="001571A8" w:rsidRPr="00907907">
        <w:rPr>
          <w:rFonts w:cs="Times New Roman"/>
          <w:lang w:val="en-GB"/>
        </w:rPr>
        <w:t xml:space="preserve">are treated </w:t>
      </w:r>
      <w:r w:rsidR="00475EC6" w:rsidRPr="00907907">
        <w:rPr>
          <w:rFonts w:cs="Times New Roman"/>
          <w:lang w:val="en-GB"/>
        </w:rPr>
        <w:t xml:space="preserve">as case workers </w:t>
      </w:r>
      <w:r w:rsidR="00AA7D1A" w:rsidRPr="00907907">
        <w:rPr>
          <w:rFonts w:cs="Times New Roman"/>
          <w:lang w:val="en-GB"/>
        </w:rPr>
        <w:t xml:space="preserve">and not </w:t>
      </w:r>
      <w:r w:rsidR="001571A8" w:rsidRPr="00907907">
        <w:rPr>
          <w:rFonts w:cs="Times New Roman"/>
          <w:lang w:val="en-GB"/>
        </w:rPr>
        <w:t>specialists in some of the examined QA1-documentation</w:t>
      </w:r>
      <w:r w:rsidR="00AA7D1A" w:rsidRPr="00907907">
        <w:rPr>
          <w:rFonts w:cs="Times New Roman"/>
          <w:lang w:val="en-GB"/>
        </w:rPr>
        <w:t xml:space="preserve">. </w:t>
      </w:r>
      <w:r w:rsidR="00D831BE" w:rsidRPr="00907907">
        <w:rPr>
          <w:rFonts w:cs="Times New Roman"/>
          <w:lang w:val="en-GB"/>
        </w:rPr>
        <w:t xml:space="preserve">In </w:t>
      </w:r>
      <w:r w:rsidR="00E603A2" w:rsidRPr="00907907">
        <w:rPr>
          <w:rFonts w:cs="Times New Roman"/>
          <w:lang w:val="en-GB"/>
        </w:rPr>
        <w:t xml:space="preserve">the </w:t>
      </w:r>
      <w:r w:rsidR="00D831BE" w:rsidRPr="00907907">
        <w:rPr>
          <w:rFonts w:cs="Times New Roman"/>
          <w:lang w:val="en-GB"/>
        </w:rPr>
        <w:t xml:space="preserve">QA1-documentation for the </w:t>
      </w:r>
      <w:r w:rsidR="00E603A2" w:rsidRPr="00907907">
        <w:rPr>
          <w:rFonts w:cs="Times New Roman"/>
          <w:lang w:val="en-GB"/>
        </w:rPr>
        <w:t xml:space="preserve">New </w:t>
      </w:r>
      <w:r w:rsidR="00D831BE" w:rsidRPr="00907907">
        <w:rPr>
          <w:rFonts w:cs="Times New Roman"/>
          <w:lang w:val="en-GB"/>
        </w:rPr>
        <w:t xml:space="preserve">National Museum, the Cultural Heritage Directorate´s connection to the project </w:t>
      </w:r>
      <w:r w:rsidR="00E603A2" w:rsidRPr="00907907">
        <w:rPr>
          <w:rFonts w:cs="Times New Roman"/>
          <w:lang w:val="en-GB"/>
        </w:rPr>
        <w:t xml:space="preserve">is </w:t>
      </w:r>
      <w:r w:rsidR="00D831BE" w:rsidRPr="00907907">
        <w:rPr>
          <w:rFonts w:cs="Times New Roman"/>
          <w:lang w:val="en-GB"/>
        </w:rPr>
        <w:t xml:space="preserve">described as </w:t>
      </w:r>
      <w:r w:rsidR="00C22AF4" w:rsidRPr="00907907">
        <w:rPr>
          <w:rFonts w:cs="Times New Roman"/>
          <w:lang w:val="en-GB"/>
        </w:rPr>
        <w:t>follows</w:t>
      </w:r>
      <w:r w:rsidR="00D831BE" w:rsidRPr="00907907">
        <w:rPr>
          <w:rFonts w:cs="Times New Roman"/>
          <w:lang w:val="en-GB"/>
        </w:rPr>
        <w:t>:</w:t>
      </w:r>
    </w:p>
    <w:p w14:paraId="18895E84" w14:textId="50E17FD6" w:rsidR="00D831BE" w:rsidRPr="00907907" w:rsidRDefault="00483200" w:rsidP="00DF44A4">
      <w:pPr>
        <w:pStyle w:val="Quote"/>
        <w:rPr>
          <w:rFonts w:cs="Times New Roman"/>
        </w:rPr>
      </w:pPr>
      <w:r w:rsidRPr="00907907">
        <w:rPr>
          <w:rFonts w:cs="Times New Roman"/>
        </w:rPr>
        <w:t xml:space="preserve">Positive influence: </w:t>
      </w:r>
      <w:r w:rsidR="00327C3F" w:rsidRPr="00907907">
        <w:rPr>
          <w:rFonts w:cs="Times New Roman"/>
        </w:rPr>
        <w:t xml:space="preserve">prompt </w:t>
      </w:r>
      <w:r w:rsidRPr="00907907">
        <w:rPr>
          <w:rFonts w:cs="Times New Roman"/>
        </w:rPr>
        <w:t xml:space="preserve">and constructive processing of zoning- and building plans. Negative influence: can </w:t>
      </w:r>
      <w:r w:rsidR="00DF1CC8" w:rsidRPr="00907907">
        <w:rPr>
          <w:rFonts w:cs="Times New Roman"/>
        </w:rPr>
        <w:t>set requirements that complicate</w:t>
      </w:r>
      <w:r w:rsidRPr="00907907">
        <w:rPr>
          <w:rFonts w:cs="Times New Roman"/>
        </w:rPr>
        <w:t xml:space="preserve"> a good build solution (Norwegian phrasing: god bygningsløsning)</w:t>
      </w:r>
      <w:r w:rsidR="006B1034" w:rsidRPr="00907907">
        <w:rPr>
          <w:rFonts w:cs="Times New Roman"/>
        </w:rPr>
        <w:t>.</w:t>
      </w:r>
      <w:r w:rsidR="0012575C" w:rsidRPr="00907907">
        <w:rPr>
          <w:rStyle w:val="EndnoteReference"/>
          <w:rFonts w:cs="Times New Roman"/>
        </w:rPr>
        <w:endnoteReference w:id="19"/>
      </w:r>
    </w:p>
    <w:p w14:paraId="12DDBAE2" w14:textId="77777777" w:rsidR="00483200" w:rsidRPr="00907907" w:rsidRDefault="00483200" w:rsidP="00236B6E">
      <w:pPr>
        <w:rPr>
          <w:rFonts w:cs="Times New Roman"/>
          <w:lang w:val="en-GB"/>
        </w:rPr>
      </w:pPr>
    </w:p>
    <w:p w14:paraId="41CDE571" w14:textId="170DCF44" w:rsidR="00935592" w:rsidRPr="00907907" w:rsidRDefault="008A3113" w:rsidP="003436AC">
      <w:pPr>
        <w:spacing w:after="336"/>
        <w:rPr>
          <w:rFonts w:cs="Times New Roman"/>
          <w:b/>
          <w:bCs/>
          <w:iCs/>
          <w:lang w:val="en-GB"/>
        </w:rPr>
      </w:pPr>
      <w:r w:rsidRPr="00907907">
        <w:rPr>
          <w:rFonts w:cs="Times New Roman"/>
          <w:iCs/>
          <w:lang w:val="en-GB"/>
        </w:rPr>
        <w:t xml:space="preserve">It is correct that the </w:t>
      </w:r>
      <w:r w:rsidR="004C6FD6" w:rsidRPr="00907907">
        <w:rPr>
          <w:rFonts w:cs="Times New Roman"/>
          <w:iCs/>
          <w:lang w:val="en-GB"/>
        </w:rPr>
        <w:t>Cultural Heritage Directorate</w:t>
      </w:r>
      <w:r w:rsidR="00476A1D" w:rsidRPr="00907907">
        <w:rPr>
          <w:rFonts w:cs="Times New Roman"/>
          <w:iCs/>
          <w:lang w:val="en-GB"/>
        </w:rPr>
        <w:t>´s role is that of the</w:t>
      </w:r>
      <w:r w:rsidR="004C6FD6" w:rsidRPr="00907907">
        <w:rPr>
          <w:rFonts w:cs="Times New Roman"/>
          <w:iCs/>
          <w:lang w:val="en-GB"/>
        </w:rPr>
        <w:t xml:space="preserve"> </w:t>
      </w:r>
      <w:r w:rsidR="00476A1D" w:rsidRPr="00907907">
        <w:rPr>
          <w:rFonts w:cs="Times New Roman"/>
          <w:iCs/>
          <w:lang w:val="en-GB"/>
        </w:rPr>
        <w:t>adviser, not hired consultant or designer</w:t>
      </w:r>
      <w:r w:rsidR="004C6FD6" w:rsidRPr="00907907">
        <w:rPr>
          <w:rFonts w:cs="Times New Roman"/>
          <w:iCs/>
          <w:lang w:val="en-GB"/>
        </w:rPr>
        <w:t xml:space="preserve">: they are to </w:t>
      </w:r>
      <w:r w:rsidR="00B13553" w:rsidRPr="00907907">
        <w:rPr>
          <w:rFonts w:cs="Times New Roman"/>
          <w:iCs/>
          <w:lang w:val="en-GB"/>
        </w:rPr>
        <w:t>process applications for alterations to protected buildings and should thus not be creating the proposals</w:t>
      </w:r>
      <w:r w:rsidR="00476A1D" w:rsidRPr="00907907">
        <w:rPr>
          <w:rFonts w:cs="Times New Roman"/>
          <w:iCs/>
          <w:lang w:val="en-GB"/>
        </w:rPr>
        <w:t xml:space="preserve"> for an unbiased judgement</w:t>
      </w:r>
      <w:r w:rsidR="00B13553" w:rsidRPr="00907907">
        <w:rPr>
          <w:rFonts w:cs="Times New Roman"/>
          <w:iCs/>
          <w:lang w:val="en-GB"/>
        </w:rPr>
        <w:t xml:space="preserve">. </w:t>
      </w:r>
      <w:r w:rsidR="00912AF8" w:rsidRPr="00907907">
        <w:rPr>
          <w:rFonts w:cs="Times New Roman"/>
          <w:iCs/>
          <w:lang w:val="en-GB"/>
        </w:rPr>
        <w:t>Still, o</w:t>
      </w:r>
      <w:r w:rsidR="00B13553" w:rsidRPr="00907907">
        <w:rPr>
          <w:rFonts w:cs="Times New Roman"/>
          <w:iCs/>
          <w:lang w:val="en-GB"/>
        </w:rPr>
        <w:t xml:space="preserve">ne of the country’s strongest and most </w:t>
      </w:r>
      <w:r w:rsidR="007C0990" w:rsidRPr="00907907">
        <w:rPr>
          <w:rFonts w:cs="Times New Roman"/>
          <w:iCs/>
          <w:lang w:val="en-GB"/>
        </w:rPr>
        <w:t xml:space="preserve">valuable source of </w:t>
      </w:r>
      <w:r w:rsidR="00B13553" w:rsidRPr="00907907">
        <w:rPr>
          <w:rFonts w:cs="Times New Roman"/>
          <w:iCs/>
          <w:lang w:val="en-GB"/>
        </w:rPr>
        <w:t xml:space="preserve">specialist </w:t>
      </w:r>
      <w:r w:rsidR="007C0990" w:rsidRPr="00907907">
        <w:rPr>
          <w:rFonts w:cs="Times New Roman"/>
          <w:iCs/>
          <w:lang w:val="en-GB"/>
        </w:rPr>
        <w:t xml:space="preserve">skills </w:t>
      </w:r>
      <w:r w:rsidR="00B13553" w:rsidRPr="00907907">
        <w:rPr>
          <w:rFonts w:cs="Times New Roman"/>
          <w:iCs/>
          <w:lang w:val="en-GB"/>
        </w:rPr>
        <w:t>regarding cultural heritage</w:t>
      </w:r>
      <w:r w:rsidR="008D2E54" w:rsidRPr="00907907">
        <w:rPr>
          <w:rFonts w:cs="Times New Roman"/>
          <w:iCs/>
          <w:lang w:val="en-GB"/>
        </w:rPr>
        <w:t xml:space="preserve"> </w:t>
      </w:r>
      <w:r w:rsidR="00B13553" w:rsidRPr="00907907">
        <w:rPr>
          <w:rFonts w:cs="Times New Roman"/>
          <w:iCs/>
          <w:lang w:val="en-GB"/>
        </w:rPr>
        <w:t xml:space="preserve">is clearly </w:t>
      </w:r>
      <w:r w:rsidR="007C0990" w:rsidRPr="00907907">
        <w:rPr>
          <w:rFonts w:cs="Times New Roman"/>
          <w:iCs/>
          <w:lang w:val="en-GB"/>
        </w:rPr>
        <w:t>ignored</w:t>
      </w:r>
      <w:r w:rsidR="00B13553" w:rsidRPr="00907907">
        <w:rPr>
          <w:rFonts w:cs="Times New Roman"/>
          <w:iCs/>
          <w:lang w:val="en-GB"/>
        </w:rPr>
        <w:t xml:space="preserve">, </w:t>
      </w:r>
      <w:r w:rsidR="007C0990" w:rsidRPr="00907907">
        <w:rPr>
          <w:rFonts w:cs="Times New Roman"/>
          <w:iCs/>
          <w:lang w:val="en-GB"/>
        </w:rPr>
        <w:t xml:space="preserve">and </w:t>
      </w:r>
      <w:r w:rsidR="00B13553" w:rsidRPr="00907907">
        <w:rPr>
          <w:rFonts w:cs="Times New Roman"/>
          <w:iCs/>
          <w:lang w:val="en-GB"/>
        </w:rPr>
        <w:t xml:space="preserve">their </w:t>
      </w:r>
      <w:r w:rsidRPr="00907907">
        <w:rPr>
          <w:rFonts w:cs="Times New Roman"/>
          <w:iCs/>
          <w:lang w:val="en-GB"/>
        </w:rPr>
        <w:t>expected positive contribution to</w:t>
      </w:r>
      <w:r w:rsidR="00B13553" w:rsidRPr="00907907">
        <w:rPr>
          <w:rFonts w:cs="Times New Roman"/>
          <w:iCs/>
          <w:lang w:val="en-GB"/>
        </w:rPr>
        <w:t xml:space="preserve"> such important projects is reduced to moving paper swiftly from one pile to another.</w:t>
      </w:r>
      <w:r w:rsidR="008077E5" w:rsidRPr="00907907">
        <w:rPr>
          <w:rFonts w:cs="Times New Roman"/>
          <w:iCs/>
          <w:lang w:val="en-GB"/>
        </w:rPr>
        <w:t xml:space="preserve"> As shown in the quote above, there </w:t>
      </w:r>
      <w:r w:rsidR="00257F50" w:rsidRPr="00907907">
        <w:rPr>
          <w:rFonts w:cs="Times New Roman"/>
          <w:iCs/>
          <w:lang w:val="en-GB"/>
        </w:rPr>
        <w:t xml:space="preserve">was </w:t>
      </w:r>
      <w:r w:rsidR="008077E5" w:rsidRPr="00907907">
        <w:rPr>
          <w:rFonts w:cs="Times New Roman"/>
          <w:iCs/>
          <w:lang w:val="en-GB"/>
        </w:rPr>
        <w:t xml:space="preserve">a fear </w:t>
      </w:r>
      <w:r w:rsidR="00257F50" w:rsidRPr="00907907">
        <w:rPr>
          <w:rFonts w:cs="Times New Roman"/>
          <w:iCs/>
          <w:lang w:val="en-GB"/>
        </w:rPr>
        <w:t xml:space="preserve">in the New National Museum project </w:t>
      </w:r>
      <w:r w:rsidR="008077E5" w:rsidRPr="00907907">
        <w:rPr>
          <w:rFonts w:cs="Times New Roman"/>
          <w:iCs/>
          <w:lang w:val="en-GB"/>
        </w:rPr>
        <w:t xml:space="preserve">that the Cultural Heritage Directorate </w:t>
      </w:r>
      <w:r w:rsidR="00257F50" w:rsidRPr="00907907">
        <w:rPr>
          <w:rFonts w:cs="Times New Roman"/>
          <w:iCs/>
          <w:lang w:val="en-GB"/>
        </w:rPr>
        <w:t xml:space="preserve">would </w:t>
      </w:r>
      <w:r w:rsidR="008077E5" w:rsidRPr="00907907">
        <w:rPr>
          <w:rFonts w:cs="Times New Roman"/>
          <w:iCs/>
          <w:lang w:val="en-GB"/>
        </w:rPr>
        <w:t xml:space="preserve">set unworkable requirements for </w:t>
      </w:r>
      <w:r w:rsidR="00257F50" w:rsidRPr="00907907">
        <w:rPr>
          <w:rFonts w:cs="Times New Roman"/>
          <w:iCs/>
          <w:lang w:val="en-GB"/>
        </w:rPr>
        <w:t xml:space="preserve">the </w:t>
      </w:r>
      <w:r w:rsidR="008077E5" w:rsidRPr="00907907">
        <w:rPr>
          <w:rFonts w:cs="Times New Roman"/>
          <w:iCs/>
          <w:lang w:val="en-GB"/>
        </w:rPr>
        <w:t>protected buildings</w:t>
      </w:r>
      <w:r w:rsidR="008D2E54" w:rsidRPr="00907907">
        <w:rPr>
          <w:rFonts w:cs="Times New Roman"/>
          <w:iCs/>
          <w:lang w:val="en-GB"/>
        </w:rPr>
        <w:t>, and this was</w:t>
      </w:r>
      <w:r w:rsidR="002D1101" w:rsidRPr="00907907">
        <w:rPr>
          <w:rFonts w:cs="Times New Roman"/>
          <w:iCs/>
          <w:lang w:val="en-GB"/>
        </w:rPr>
        <w:t xml:space="preserve"> not </w:t>
      </w:r>
      <w:r w:rsidR="00257F50" w:rsidRPr="00907907">
        <w:rPr>
          <w:rFonts w:cs="Times New Roman"/>
          <w:iCs/>
          <w:lang w:val="en-GB"/>
        </w:rPr>
        <w:t xml:space="preserve">an isolated case. </w:t>
      </w:r>
      <w:r w:rsidR="008D2E54" w:rsidRPr="00907907">
        <w:rPr>
          <w:rFonts w:cs="Times New Roman"/>
          <w:iCs/>
          <w:lang w:val="en-GB"/>
        </w:rPr>
        <w:t>The</w:t>
      </w:r>
      <w:r w:rsidR="002E4D83" w:rsidRPr="00907907">
        <w:rPr>
          <w:rFonts w:cs="Times New Roman"/>
          <w:iCs/>
          <w:lang w:val="en-GB"/>
        </w:rPr>
        <w:t xml:space="preserve"> </w:t>
      </w:r>
      <w:r w:rsidR="00FF0AE5" w:rsidRPr="00907907">
        <w:rPr>
          <w:rFonts w:cs="Times New Roman"/>
          <w:iCs/>
          <w:lang w:val="en-GB"/>
        </w:rPr>
        <w:t>Cultural Heritage D</w:t>
      </w:r>
      <w:r w:rsidR="002E4D83" w:rsidRPr="00907907">
        <w:rPr>
          <w:rFonts w:cs="Times New Roman"/>
          <w:iCs/>
          <w:lang w:val="en-GB"/>
        </w:rPr>
        <w:t>irectorate insist</w:t>
      </w:r>
      <w:r w:rsidR="008D2E54" w:rsidRPr="00907907">
        <w:rPr>
          <w:rFonts w:cs="Times New Roman"/>
          <w:iCs/>
          <w:lang w:val="en-GB"/>
        </w:rPr>
        <w:t>s</w:t>
      </w:r>
      <w:r w:rsidR="002E4D83" w:rsidRPr="00907907">
        <w:rPr>
          <w:rFonts w:cs="Times New Roman"/>
          <w:iCs/>
          <w:lang w:val="en-GB"/>
        </w:rPr>
        <w:t xml:space="preserve"> that for the majority of protected buildings in Norway today, use is the best basis for preservation.</w:t>
      </w:r>
      <w:r w:rsidR="003235BF" w:rsidRPr="00907907">
        <w:rPr>
          <w:rStyle w:val="EndnoteReference"/>
          <w:rFonts w:cs="Times New Roman"/>
          <w:iCs/>
          <w:lang w:val="en-GB"/>
        </w:rPr>
        <w:endnoteReference w:id="20"/>
      </w:r>
      <w:r w:rsidR="002E4D83" w:rsidRPr="00907907">
        <w:rPr>
          <w:rFonts w:cs="Times New Roman"/>
          <w:iCs/>
          <w:lang w:val="en-GB"/>
        </w:rPr>
        <w:t xml:space="preserve"> For </w:t>
      </w:r>
      <w:r w:rsidR="008D2E54" w:rsidRPr="00907907">
        <w:rPr>
          <w:rFonts w:cs="Times New Roman"/>
          <w:iCs/>
          <w:lang w:val="en-GB"/>
        </w:rPr>
        <w:t xml:space="preserve">the </w:t>
      </w:r>
      <w:r w:rsidR="002E4D83" w:rsidRPr="00907907">
        <w:rPr>
          <w:rFonts w:cs="Times New Roman"/>
          <w:iCs/>
          <w:lang w:val="en-GB"/>
        </w:rPr>
        <w:t>Bergen District Courthouse</w:t>
      </w:r>
      <w:r w:rsidR="004C45BF" w:rsidRPr="00907907">
        <w:rPr>
          <w:rFonts w:cs="Times New Roman"/>
          <w:iCs/>
          <w:lang w:val="en-GB"/>
        </w:rPr>
        <w:t xml:space="preserve">, </w:t>
      </w:r>
      <w:r w:rsidR="00345E99" w:rsidRPr="00907907">
        <w:rPr>
          <w:rFonts w:cs="Times New Roman"/>
          <w:iCs/>
          <w:lang w:val="en-GB"/>
        </w:rPr>
        <w:t xml:space="preserve">the </w:t>
      </w:r>
      <w:r w:rsidR="00185573" w:rsidRPr="00907907">
        <w:rPr>
          <w:rFonts w:cs="Times New Roman"/>
          <w:iCs/>
          <w:lang w:val="en-GB"/>
        </w:rPr>
        <w:t>KVU</w:t>
      </w:r>
      <w:r w:rsidR="001C4FA7" w:rsidRPr="00907907">
        <w:rPr>
          <w:rFonts w:cs="Times New Roman"/>
          <w:iCs/>
          <w:lang w:val="en-GB"/>
        </w:rPr>
        <w:t>-report</w:t>
      </w:r>
      <w:r w:rsidR="00185573" w:rsidRPr="00907907">
        <w:rPr>
          <w:rFonts w:cs="Times New Roman"/>
          <w:iCs/>
          <w:lang w:val="en-GB"/>
        </w:rPr>
        <w:t xml:space="preserve"> stressed that legal protection hindered an "optimal" solution.</w:t>
      </w:r>
      <w:r w:rsidR="00E7440B" w:rsidRPr="00907907">
        <w:rPr>
          <w:rStyle w:val="EndnoteReference"/>
          <w:rFonts w:cs="Times New Roman"/>
          <w:iCs/>
          <w:lang w:val="en-GB"/>
        </w:rPr>
        <w:endnoteReference w:id="21"/>
      </w:r>
      <w:r w:rsidR="00185573" w:rsidRPr="00907907">
        <w:rPr>
          <w:rFonts w:cs="Times New Roman"/>
          <w:iCs/>
          <w:lang w:val="en-GB"/>
        </w:rPr>
        <w:t xml:space="preserve"> Still, the consultants performing the QA1</w:t>
      </w:r>
      <w:r w:rsidR="001C4FA7" w:rsidRPr="00907907">
        <w:rPr>
          <w:rFonts w:cs="Times New Roman"/>
          <w:iCs/>
          <w:lang w:val="en-GB"/>
        </w:rPr>
        <w:t>-report</w:t>
      </w:r>
      <w:r w:rsidR="00185573" w:rsidRPr="00907907">
        <w:rPr>
          <w:rFonts w:cs="Times New Roman"/>
          <w:iCs/>
          <w:lang w:val="en-GB"/>
        </w:rPr>
        <w:t xml:space="preserve"> found no evidence of dialog</w:t>
      </w:r>
      <w:r w:rsidR="008D2E54" w:rsidRPr="00907907">
        <w:rPr>
          <w:rFonts w:cs="Times New Roman"/>
          <w:iCs/>
          <w:lang w:val="en-GB"/>
        </w:rPr>
        <w:t>ue</w:t>
      </w:r>
      <w:r w:rsidR="00185573" w:rsidRPr="00907907">
        <w:rPr>
          <w:rFonts w:cs="Times New Roman"/>
          <w:iCs/>
          <w:lang w:val="en-GB"/>
        </w:rPr>
        <w:t xml:space="preserve"> with cultural heritage authorities</w:t>
      </w:r>
      <w:r w:rsidR="0058483F" w:rsidRPr="00907907">
        <w:rPr>
          <w:rFonts w:cs="Times New Roman"/>
          <w:iCs/>
          <w:lang w:val="en-GB"/>
        </w:rPr>
        <w:t xml:space="preserve"> in the KVU-report</w:t>
      </w:r>
      <w:r w:rsidR="00185573" w:rsidRPr="00907907">
        <w:rPr>
          <w:rFonts w:cs="Times New Roman"/>
          <w:iCs/>
          <w:lang w:val="en-GB"/>
        </w:rPr>
        <w:t>.</w:t>
      </w:r>
      <w:r w:rsidR="00AF343F" w:rsidRPr="00907907">
        <w:rPr>
          <w:rStyle w:val="EndnoteReference"/>
          <w:rFonts w:cs="Times New Roman"/>
          <w:iCs/>
          <w:lang w:val="en-GB"/>
        </w:rPr>
        <w:endnoteReference w:id="22"/>
      </w:r>
      <w:r w:rsidR="00185573" w:rsidRPr="00907907">
        <w:rPr>
          <w:rFonts w:cs="Times New Roman"/>
          <w:iCs/>
          <w:lang w:val="en-GB"/>
        </w:rPr>
        <w:t xml:space="preserve"> </w:t>
      </w:r>
      <w:r w:rsidR="0058483F" w:rsidRPr="00907907">
        <w:rPr>
          <w:rFonts w:cs="Times New Roman"/>
          <w:iCs/>
        </w:rPr>
        <w:t xml:space="preserve">Subsequently, through such dialogue, </w:t>
      </w:r>
      <w:r w:rsidR="00185573" w:rsidRPr="00907907">
        <w:rPr>
          <w:rFonts w:cs="Times New Roman"/>
          <w:iCs/>
          <w:lang w:val="en-GB"/>
        </w:rPr>
        <w:t xml:space="preserve">the legal </w:t>
      </w:r>
      <w:r w:rsidR="00323B2E" w:rsidRPr="00907907">
        <w:rPr>
          <w:rFonts w:cs="Times New Roman"/>
          <w:iCs/>
          <w:lang w:val="en-GB"/>
        </w:rPr>
        <w:t>protections</w:t>
      </w:r>
      <w:r w:rsidR="0058483F" w:rsidRPr="00907907">
        <w:rPr>
          <w:rFonts w:cs="Times New Roman"/>
          <w:iCs/>
          <w:lang w:val="en-GB"/>
        </w:rPr>
        <w:t xml:space="preserve">´ </w:t>
      </w:r>
      <w:r w:rsidR="00323B2E" w:rsidRPr="00907907">
        <w:rPr>
          <w:rFonts w:cs="Times New Roman"/>
          <w:iCs/>
          <w:lang w:val="en-GB"/>
        </w:rPr>
        <w:t>limit</w:t>
      </w:r>
      <w:r w:rsidR="008D2E54" w:rsidRPr="00907907">
        <w:rPr>
          <w:rFonts w:cs="Times New Roman"/>
          <w:iCs/>
          <w:lang w:val="en-GB"/>
        </w:rPr>
        <w:t>s</w:t>
      </w:r>
      <w:r w:rsidR="00185573" w:rsidRPr="00907907">
        <w:rPr>
          <w:rFonts w:cs="Times New Roman"/>
          <w:iCs/>
          <w:lang w:val="en-GB"/>
        </w:rPr>
        <w:t xml:space="preserve"> of tolerance for alterations were tested</w:t>
      </w:r>
      <w:r w:rsidR="008D2E54" w:rsidRPr="00907907">
        <w:rPr>
          <w:rFonts w:cs="Times New Roman"/>
          <w:iCs/>
          <w:lang w:val="en-GB"/>
        </w:rPr>
        <w:t>,</w:t>
      </w:r>
      <w:r w:rsidR="00185573" w:rsidRPr="00907907">
        <w:rPr>
          <w:rFonts w:cs="Times New Roman"/>
          <w:iCs/>
          <w:lang w:val="en-GB"/>
        </w:rPr>
        <w:t xml:space="preserve"> </w:t>
      </w:r>
      <w:r w:rsidR="008D2E54" w:rsidRPr="00907907">
        <w:rPr>
          <w:rFonts w:cs="Times New Roman"/>
          <w:iCs/>
          <w:lang w:val="en-GB"/>
        </w:rPr>
        <w:t xml:space="preserve">and alternations purposed, enabling </w:t>
      </w:r>
      <w:r w:rsidR="00185573" w:rsidRPr="00907907">
        <w:rPr>
          <w:rFonts w:cs="Times New Roman"/>
          <w:iCs/>
          <w:lang w:val="en-GB"/>
        </w:rPr>
        <w:t>further use</w:t>
      </w:r>
      <w:r w:rsidR="008B5693" w:rsidRPr="00907907">
        <w:rPr>
          <w:rFonts w:cs="Times New Roman"/>
          <w:iCs/>
          <w:lang w:val="en-GB"/>
        </w:rPr>
        <w:t xml:space="preserve"> of the building as </w:t>
      </w:r>
      <w:r w:rsidR="008D2E54" w:rsidRPr="00907907">
        <w:rPr>
          <w:rFonts w:cs="Times New Roman"/>
          <w:iCs/>
          <w:lang w:val="en-GB"/>
        </w:rPr>
        <w:t xml:space="preserve">a </w:t>
      </w:r>
      <w:r w:rsidR="008B5693" w:rsidRPr="00907907">
        <w:rPr>
          <w:rFonts w:cs="Times New Roman"/>
          <w:iCs/>
          <w:lang w:val="en-GB"/>
        </w:rPr>
        <w:t>courthouse</w:t>
      </w:r>
      <w:r w:rsidR="00185573" w:rsidRPr="00907907">
        <w:rPr>
          <w:rFonts w:cs="Times New Roman"/>
          <w:iCs/>
          <w:lang w:val="en-GB"/>
        </w:rPr>
        <w:t>.</w:t>
      </w:r>
      <w:r w:rsidR="00385A4E" w:rsidRPr="00907907">
        <w:rPr>
          <w:rStyle w:val="EndnoteReference"/>
          <w:rFonts w:cs="Times New Roman"/>
          <w:iCs/>
          <w:lang w:val="en-GB"/>
        </w:rPr>
        <w:endnoteReference w:id="23"/>
      </w:r>
    </w:p>
    <w:p w14:paraId="18686078" w14:textId="60BE803E" w:rsidR="00483200" w:rsidRPr="0060040B" w:rsidRDefault="00CF381D" w:rsidP="0060040B">
      <w:pPr>
        <w:pStyle w:val="Heading2"/>
      </w:pPr>
      <w:r w:rsidRPr="0060040B">
        <w:t>A lack</w:t>
      </w:r>
      <w:r w:rsidR="00165AF8" w:rsidRPr="0060040B">
        <w:t xml:space="preserve"> </w:t>
      </w:r>
      <w:r w:rsidR="000B2BB6" w:rsidRPr="0060040B">
        <w:t>of</w:t>
      </w:r>
      <w:r w:rsidR="007C0990" w:rsidRPr="0060040B">
        <w:t xml:space="preserve"> </w:t>
      </w:r>
      <w:r w:rsidRPr="0060040B">
        <w:t>understanding of historical buildings</w:t>
      </w:r>
    </w:p>
    <w:p w14:paraId="0593DD48" w14:textId="0D5F66DE" w:rsidR="00485D92" w:rsidRPr="00907907" w:rsidRDefault="008B5693" w:rsidP="00907907">
      <w:r w:rsidRPr="00907907">
        <w:rPr>
          <w:iCs/>
          <w:lang w:val="en-GB"/>
        </w:rPr>
        <w:t xml:space="preserve">We have now gone </w:t>
      </w:r>
      <w:r w:rsidR="005867EF" w:rsidRPr="00907907">
        <w:rPr>
          <w:iCs/>
          <w:lang w:val="en-GB"/>
        </w:rPr>
        <w:t>through</w:t>
      </w:r>
      <w:r w:rsidRPr="00907907">
        <w:rPr>
          <w:iCs/>
          <w:lang w:val="en-GB"/>
        </w:rPr>
        <w:t xml:space="preserve"> a few typical fallacies connected to a </w:t>
      </w:r>
      <w:r w:rsidRPr="00907907">
        <w:rPr>
          <w:bCs/>
          <w:iCs/>
          <w:lang w:val="en-GB"/>
        </w:rPr>
        <w:t xml:space="preserve">lacking regard for </w:t>
      </w:r>
      <w:r w:rsidR="00165AF8" w:rsidRPr="00907907">
        <w:rPr>
          <w:bCs/>
          <w:iCs/>
          <w:lang w:val="en-GB"/>
        </w:rPr>
        <w:t xml:space="preserve">the value of </w:t>
      </w:r>
      <w:r w:rsidRPr="00907907">
        <w:rPr>
          <w:bCs/>
          <w:iCs/>
          <w:lang w:val="en-GB"/>
        </w:rPr>
        <w:t xml:space="preserve">cultural heritage </w:t>
      </w:r>
      <w:r w:rsidR="00F34F50" w:rsidRPr="00907907">
        <w:rPr>
          <w:bCs/>
          <w:iCs/>
          <w:lang w:val="en-GB"/>
        </w:rPr>
        <w:t>and the legal and administrative framework that are dedicated to the protection of such values</w:t>
      </w:r>
      <w:r w:rsidRPr="00907907">
        <w:rPr>
          <w:bCs/>
          <w:iCs/>
          <w:lang w:val="en-GB"/>
        </w:rPr>
        <w:t xml:space="preserve">. </w:t>
      </w:r>
      <w:r w:rsidR="00165AF8" w:rsidRPr="00907907">
        <w:rPr>
          <w:bCs/>
          <w:iCs/>
          <w:lang w:val="en-GB"/>
        </w:rPr>
        <w:t>Next</w:t>
      </w:r>
      <w:r w:rsidRPr="00907907">
        <w:rPr>
          <w:bCs/>
          <w:iCs/>
          <w:lang w:val="en-GB"/>
        </w:rPr>
        <w:t xml:space="preserve">, we will look at fallacies connected to </w:t>
      </w:r>
      <w:r w:rsidR="007D7CD6" w:rsidRPr="00907907">
        <w:rPr>
          <w:bCs/>
          <w:iCs/>
          <w:lang w:val="en-GB"/>
        </w:rPr>
        <w:t xml:space="preserve">a </w:t>
      </w:r>
      <w:r w:rsidR="00165AF8" w:rsidRPr="00907907">
        <w:rPr>
          <w:lang w:val="en-GB"/>
        </w:rPr>
        <w:t xml:space="preserve">lack of </w:t>
      </w:r>
      <w:r w:rsidRPr="00907907">
        <w:rPr>
          <w:lang w:val="en-GB"/>
        </w:rPr>
        <w:t xml:space="preserve">understanding of </w:t>
      </w:r>
      <w:r w:rsidR="007D7CD6" w:rsidRPr="00907907">
        <w:rPr>
          <w:lang w:val="en-GB"/>
        </w:rPr>
        <w:t xml:space="preserve">the actual </w:t>
      </w:r>
      <w:r w:rsidRPr="00907907">
        <w:rPr>
          <w:lang w:val="en-GB"/>
        </w:rPr>
        <w:t>historical buildings.</w:t>
      </w:r>
      <w:r w:rsidR="00F34F50" w:rsidRPr="00907907">
        <w:rPr>
          <w:lang w:val="en-GB"/>
        </w:rPr>
        <w:t xml:space="preserve"> </w:t>
      </w:r>
      <w:r w:rsidR="00CF381D" w:rsidRPr="00907907">
        <w:rPr>
          <w:iCs/>
          <w:lang w:val="en-GB"/>
        </w:rPr>
        <w:t xml:space="preserve">A typical challenge for consultants from economic analysis </w:t>
      </w:r>
      <w:r w:rsidR="00165AF8" w:rsidRPr="00907907">
        <w:rPr>
          <w:iCs/>
          <w:lang w:val="en-GB"/>
        </w:rPr>
        <w:t xml:space="preserve">backgrounds </w:t>
      </w:r>
      <w:r w:rsidR="00CF381D" w:rsidRPr="00907907">
        <w:rPr>
          <w:iCs/>
          <w:lang w:val="en-GB"/>
        </w:rPr>
        <w:t xml:space="preserve">working with historical </w:t>
      </w:r>
      <w:r w:rsidR="007D7CD6" w:rsidRPr="00907907">
        <w:rPr>
          <w:iCs/>
          <w:lang w:val="en-GB"/>
        </w:rPr>
        <w:t>buildings</w:t>
      </w:r>
      <w:r w:rsidR="00CF381D" w:rsidRPr="00907907">
        <w:rPr>
          <w:iCs/>
          <w:lang w:val="en-GB"/>
        </w:rPr>
        <w:t xml:space="preserve"> is that they do not have specialist knowledge regarding such buildings and </w:t>
      </w:r>
      <w:r w:rsidR="00165AF8" w:rsidRPr="00907907">
        <w:rPr>
          <w:iCs/>
          <w:lang w:val="en-GB"/>
        </w:rPr>
        <w:t xml:space="preserve">so </w:t>
      </w:r>
      <w:r w:rsidR="00F73766" w:rsidRPr="00907907">
        <w:rPr>
          <w:iCs/>
          <w:lang w:val="en-GB"/>
        </w:rPr>
        <w:t xml:space="preserve">do not have expertise on the </w:t>
      </w:r>
      <w:r w:rsidR="007D7CD6" w:rsidRPr="00907907">
        <w:rPr>
          <w:iCs/>
          <w:lang w:val="en-GB"/>
        </w:rPr>
        <w:t xml:space="preserve">matter </w:t>
      </w:r>
      <w:r w:rsidR="00F73766" w:rsidRPr="00907907">
        <w:rPr>
          <w:iCs/>
          <w:lang w:val="en-GB"/>
        </w:rPr>
        <w:t xml:space="preserve">they are evaluating. </w:t>
      </w:r>
      <w:r w:rsidR="00B46E50" w:rsidRPr="00907907">
        <w:rPr>
          <w:iCs/>
          <w:lang w:val="en-GB"/>
        </w:rPr>
        <w:t>It should come as no surprise that</w:t>
      </w:r>
      <w:r w:rsidR="00F73766" w:rsidRPr="00907907">
        <w:rPr>
          <w:iCs/>
          <w:lang w:val="en-GB"/>
        </w:rPr>
        <w:t xml:space="preserve"> we have found some fallacies connected to the understanding of historical buildings’ qualities.</w:t>
      </w:r>
      <w:r w:rsidR="00007DEE" w:rsidRPr="00907907">
        <w:rPr>
          <w:iCs/>
          <w:lang w:val="en-GB"/>
        </w:rPr>
        <w:t xml:space="preserve"> In KVU-documentation </w:t>
      </w:r>
      <w:r w:rsidR="00165AF8" w:rsidRPr="00907907">
        <w:rPr>
          <w:iCs/>
          <w:lang w:val="en-GB"/>
        </w:rPr>
        <w:t xml:space="preserve">for </w:t>
      </w:r>
      <w:r w:rsidR="00007DEE" w:rsidRPr="00907907">
        <w:rPr>
          <w:iCs/>
          <w:lang w:val="en-GB"/>
        </w:rPr>
        <w:t xml:space="preserve">the National </w:t>
      </w:r>
      <w:r w:rsidR="008302FD" w:rsidRPr="00907907">
        <w:rPr>
          <w:iCs/>
          <w:lang w:val="en-GB"/>
        </w:rPr>
        <w:t>Theatre</w:t>
      </w:r>
      <w:r w:rsidR="00233096" w:rsidRPr="00907907">
        <w:rPr>
          <w:iCs/>
          <w:lang w:val="en-GB"/>
        </w:rPr>
        <w:t xml:space="preserve">, </w:t>
      </w:r>
      <w:r w:rsidR="00D004EB" w:rsidRPr="00907907">
        <w:rPr>
          <w:iCs/>
          <w:lang w:val="en-GB"/>
        </w:rPr>
        <w:t>claims</w:t>
      </w:r>
      <w:r w:rsidR="00007DEE" w:rsidRPr="00907907">
        <w:rPr>
          <w:iCs/>
          <w:lang w:val="en-GB"/>
        </w:rPr>
        <w:t xml:space="preserve"> w</w:t>
      </w:r>
      <w:r w:rsidR="00D004EB" w:rsidRPr="00907907">
        <w:rPr>
          <w:iCs/>
          <w:lang w:val="en-GB"/>
        </w:rPr>
        <w:t xml:space="preserve">ere made </w:t>
      </w:r>
      <w:r w:rsidR="00F765D6" w:rsidRPr="00907907">
        <w:rPr>
          <w:iCs/>
          <w:lang w:val="en-GB"/>
        </w:rPr>
        <w:t>that a new build (</w:t>
      </w:r>
      <w:r w:rsidR="008D1644" w:rsidRPr="00907907">
        <w:rPr>
          <w:iCs/>
          <w:lang w:val="en-GB"/>
        </w:rPr>
        <w:t xml:space="preserve">larger </w:t>
      </w:r>
      <w:r w:rsidR="00F765D6" w:rsidRPr="00907907">
        <w:rPr>
          <w:iCs/>
          <w:lang w:val="en-GB"/>
        </w:rPr>
        <w:t xml:space="preserve">addition) would be much more environmental friendly than </w:t>
      </w:r>
      <w:r w:rsidR="008D1644" w:rsidRPr="00907907">
        <w:rPr>
          <w:iCs/>
          <w:lang w:val="en-GB"/>
        </w:rPr>
        <w:t xml:space="preserve">a smaller project for </w:t>
      </w:r>
      <w:r w:rsidR="00F765D6" w:rsidRPr="00907907">
        <w:rPr>
          <w:iCs/>
          <w:lang w:val="en-GB"/>
        </w:rPr>
        <w:t>continued use of the existing building.</w:t>
      </w:r>
      <w:r w:rsidR="006675E4" w:rsidRPr="00907907">
        <w:rPr>
          <w:rStyle w:val="EndnoteReference"/>
          <w:rFonts w:cs="Times New Roman"/>
          <w:iCs/>
          <w:lang w:val="en-GB"/>
        </w:rPr>
        <w:endnoteReference w:id="24"/>
      </w:r>
      <w:r w:rsidR="00F765D6" w:rsidRPr="00907907">
        <w:rPr>
          <w:iCs/>
          <w:lang w:val="en-GB"/>
        </w:rPr>
        <w:t xml:space="preserve"> This</w:t>
      </w:r>
      <w:r w:rsidR="0002264C" w:rsidRPr="00907907">
        <w:rPr>
          <w:iCs/>
          <w:lang w:val="en-GB"/>
        </w:rPr>
        <w:t xml:space="preserve"> fallacy</w:t>
      </w:r>
      <w:r w:rsidR="00F765D6" w:rsidRPr="00907907">
        <w:rPr>
          <w:iCs/>
          <w:lang w:val="en-GB"/>
        </w:rPr>
        <w:t xml:space="preserve"> is a common err</w:t>
      </w:r>
      <w:r w:rsidR="00165AF8" w:rsidRPr="00907907">
        <w:rPr>
          <w:iCs/>
          <w:lang w:val="en-GB"/>
        </w:rPr>
        <w:t>or</w:t>
      </w:r>
      <w:r w:rsidR="0002264C" w:rsidRPr="00907907">
        <w:rPr>
          <w:iCs/>
          <w:lang w:val="en-GB"/>
        </w:rPr>
        <w:t>:</w:t>
      </w:r>
      <w:r w:rsidR="00F765D6" w:rsidRPr="00907907">
        <w:rPr>
          <w:iCs/>
          <w:lang w:val="en-GB"/>
        </w:rPr>
        <w:t xml:space="preserve"> </w:t>
      </w:r>
      <w:r w:rsidR="00165AF8" w:rsidRPr="00907907">
        <w:rPr>
          <w:iCs/>
          <w:lang w:val="en-GB"/>
        </w:rPr>
        <w:t xml:space="preserve">as </w:t>
      </w:r>
      <w:r w:rsidR="00F765D6" w:rsidRPr="00907907">
        <w:rPr>
          <w:iCs/>
          <w:lang w:val="en-GB"/>
        </w:rPr>
        <w:t xml:space="preserve">the consultants </w:t>
      </w:r>
      <w:r w:rsidR="0002264C" w:rsidRPr="00907907">
        <w:rPr>
          <w:iCs/>
          <w:lang w:val="en-GB"/>
        </w:rPr>
        <w:t xml:space="preserve">performing </w:t>
      </w:r>
      <w:r w:rsidR="00F765D6" w:rsidRPr="00907907">
        <w:rPr>
          <w:iCs/>
          <w:lang w:val="en-GB"/>
        </w:rPr>
        <w:t xml:space="preserve">the </w:t>
      </w:r>
      <w:r w:rsidR="0002264C" w:rsidRPr="00907907">
        <w:rPr>
          <w:iCs/>
          <w:lang w:val="en-GB"/>
        </w:rPr>
        <w:t>QA1-</w:t>
      </w:r>
      <w:r w:rsidR="00F765D6" w:rsidRPr="00907907">
        <w:rPr>
          <w:iCs/>
          <w:lang w:val="en-GB"/>
        </w:rPr>
        <w:t xml:space="preserve">report expressed, </w:t>
      </w:r>
      <w:r w:rsidR="000975E8" w:rsidRPr="00907907">
        <w:rPr>
          <w:iCs/>
          <w:lang w:val="en-GB"/>
        </w:rPr>
        <w:t>building</w:t>
      </w:r>
      <w:r w:rsidR="00D777B3" w:rsidRPr="00907907">
        <w:rPr>
          <w:iCs/>
          <w:lang w:val="en-GB"/>
        </w:rPr>
        <w:t xml:space="preserve"> more areas</w:t>
      </w:r>
      <w:r w:rsidR="000975E8" w:rsidRPr="00907907">
        <w:rPr>
          <w:iCs/>
          <w:lang w:val="en-GB"/>
        </w:rPr>
        <w:t xml:space="preserve">, even if </w:t>
      </w:r>
      <w:r w:rsidR="00D777B3" w:rsidRPr="00907907">
        <w:t xml:space="preserve">the new build </w:t>
      </w:r>
      <w:r w:rsidR="000975E8" w:rsidRPr="00907907">
        <w:t xml:space="preserve">is environmental friendly in its design, will still be less </w:t>
      </w:r>
      <w:r w:rsidR="00F765D6" w:rsidRPr="00907907">
        <w:t>environmental</w:t>
      </w:r>
      <w:r w:rsidR="00165AF8" w:rsidRPr="00907907">
        <w:t>ly</w:t>
      </w:r>
      <w:r w:rsidR="00F765D6" w:rsidRPr="00907907">
        <w:t xml:space="preserve"> friendly </w:t>
      </w:r>
      <w:r w:rsidR="000975E8" w:rsidRPr="00907907">
        <w:t>than managing with</w:t>
      </w:r>
      <w:r w:rsidR="00F765D6" w:rsidRPr="00907907">
        <w:t xml:space="preserve"> the buildings we already have.</w:t>
      </w:r>
      <w:r w:rsidR="008F7B0D" w:rsidRPr="00907907">
        <w:endnoteReference w:id="25"/>
      </w:r>
    </w:p>
    <w:p w14:paraId="7559D0C2" w14:textId="029832E6" w:rsidR="00924353" w:rsidRPr="00907907" w:rsidRDefault="00F765D6" w:rsidP="00907907">
      <w:r w:rsidRPr="00907907">
        <w:t xml:space="preserve">It is also often claimed that older buildings </w:t>
      </w:r>
      <w:r w:rsidR="00165AF8" w:rsidRPr="00907907">
        <w:t xml:space="preserve">are </w:t>
      </w:r>
      <w:r w:rsidRPr="00907907">
        <w:t xml:space="preserve">dramatically ineffective </w:t>
      </w:r>
      <w:r w:rsidR="007C0990" w:rsidRPr="00907907">
        <w:t>area-</w:t>
      </w:r>
      <w:r w:rsidRPr="00907907">
        <w:t xml:space="preserve">wise. If </w:t>
      </w:r>
      <w:r w:rsidR="007A2503" w:rsidRPr="00907907">
        <w:t xml:space="preserve">this fallacy </w:t>
      </w:r>
      <w:r w:rsidRPr="00907907">
        <w:t>stand</w:t>
      </w:r>
      <w:r w:rsidR="00165AF8" w:rsidRPr="00907907">
        <w:t>s</w:t>
      </w:r>
      <w:r w:rsidRPr="00907907">
        <w:t xml:space="preserve"> unchallenged, it c</w:t>
      </w:r>
      <w:r w:rsidR="00165AF8" w:rsidRPr="00907907">
        <w:t>ould</w:t>
      </w:r>
      <w:r w:rsidRPr="00907907">
        <w:t xml:space="preserve"> </w:t>
      </w:r>
      <w:r w:rsidR="00165AF8" w:rsidRPr="00907907">
        <w:t xml:space="preserve">nullify the potential of </w:t>
      </w:r>
      <w:r w:rsidRPr="00907907">
        <w:t xml:space="preserve">historical buildings </w:t>
      </w:r>
      <w:r w:rsidR="00165AF8" w:rsidRPr="00907907">
        <w:t xml:space="preserve">in </w:t>
      </w:r>
      <w:r w:rsidRPr="00907907">
        <w:t xml:space="preserve">both </w:t>
      </w:r>
      <w:r w:rsidR="007A2503" w:rsidRPr="00907907">
        <w:t>usability</w:t>
      </w:r>
      <w:r w:rsidRPr="00907907">
        <w:t xml:space="preserve"> and cost. In </w:t>
      </w:r>
      <w:r w:rsidR="00D17EFF" w:rsidRPr="00907907">
        <w:t xml:space="preserve">the </w:t>
      </w:r>
      <w:r w:rsidRPr="00907907">
        <w:t>KVU for</w:t>
      </w:r>
      <w:r w:rsidR="00D17EFF" w:rsidRPr="00907907">
        <w:t xml:space="preserve"> the</w:t>
      </w:r>
      <w:r w:rsidRPr="00907907">
        <w:t xml:space="preserve"> Bergen District Courthouse, several thousand square meters </w:t>
      </w:r>
      <w:r w:rsidR="00924353" w:rsidRPr="00907907">
        <w:t xml:space="preserve">(19300 versus 16600) </w:t>
      </w:r>
      <w:r w:rsidRPr="00907907">
        <w:t xml:space="preserve">were added to the program for </w:t>
      </w:r>
      <w:r w:rsidR="007C0990" w:rsidRPr="00907907">
        <w:t xml:space="preserve">the </w:t>
      </w:r>
      <w:r w:rsidRPr="00907907">
        <w:t xml:space="preserve">continued use of the existing </w:t>
      </w:r>
      <w:r w:rsidR="00924353" w:rsidRPr="00907907">
        <w:t>courthouse</w:t>
      </w:r>
      <w:r w:rsidR="00CA4130" w:rsidRPr="00907907">
        <w:t xml:space="preserve"> compared to a new building,</w:t>
      </w:r>
      <w:r w:rsidRPr="00907907">
        <w:t xml:space="preserve">, </w:t>
      </w:r>
      <w:r w:rsidR="007A2503" w:rsidRPr="00907907">
        <w:t xml:space="preserve">representing </w:t>
      </w:r>
      <w:r w:rsidRPr="00907907">
        <w:t>a major cost driver in the calculations.</w:t>
      </w:r>
      <w:r w:rsidR="00BB72D8" w:rsidRPr="00907907">
        <w:endnoteReference w:id="26"/>
      </w:r>
      <w:r w:rsidRPr="00907907">
        <w:t xml:space="preserve"> This was seemingly done without actual </w:t>
      </w:r>
      <w:r w:rsidR="00924353" w:rsidRPr="00907907">
        <w:t xml:space="preserve">calculations of the building plan´s efficiency, </w:t>
      </w:r>
      <w:r w:rsidR="00D17EFF" w:rsidRPr="00907907">
        <w:t xml:space="preserve">even though </w:t>
      </w:r>
      <w:r w:rsidR="00924353" w:rsidRPr="00907907">
        <w:t xml:space="preserve">such calculations can be done </w:t>
      </w:r>
      <w:r w:rsidR="00D17EFF" w:rsidRPr="00907907">
        <w:t xml:space="preserve">quickly </w:t>
      </w:r>
      <w:r w:rsidR="00924353" w:rsidRPr="00907907">
        <w:t>based on floor plans.</w:t>
      </w:r>
      <w:r w:rsidR="0031245B" w:rsidRPr="00907907" w:rsidDel="0031245B">
        <w:t xml:space="preserve"> </w:t>
      </w:r>
    </w:p>
    <w:p w14:paraId="291C289E" w14:textId="46BA1B57" w:rsidR="00ED348E" w:rsidRPr="00907907" w:rsidRDefault="00924353" w:rsidP="00907907">
      <w:pPr>
        <w:rPr>
          <w:iCs/>
          <w:lang w:val="en-GB"/>
        </w:rPr>
      </w:pPr>
      <w:r w:rsidRPr="00907907">
        <w:t xml:space="preserve">For several of the studied projects, indoor climate in older buildings has been framed as a </w:t>
      </w:r>
      <w:r w:rsidR="00D17EFF" w:rsidRPr="00907907">
        <w:t xml:space="preserve">large </w:t>
      </w:r>
      <w:r w:rsidRPr="00907907">
        <w:t>and</w:t>
      </w:r>
      <w:r w:rsidRPr="00907907">
        <w:rPr>
          <w:lang w:val="en-GB"/>
        </w:rPr>
        <w:t xml:space="preserve"> insolvable problem. This applies both to the National Museum and </w:t>
      </w:r>
      <w:r w:rsidR="00D17EFF" w:rsidRPr="00907907">
        <w:rPr>
          <w:lang w:val="en-GB"/>
        </w:rPr>
        <w:t xml:space="preserve">the </w:t>
      </w:r>
      <w:r w:rsidRPr="00907907">
        <w:rPr>
          <w:lang w:val="en-GB"/>
        </w:rPr>
        <w:t>Bergen District Courthouse.</w:t>
      </w:r>
      <w:r w:rsidR="008A0B4B" w:rsidRPr="00907907">
        <w:rPr>
          <w:rStyle w:val="EndnoteReference"/>
          <w:rFonts w:cs="Times New Roman"/>
          <w:lang w:val="en-GB"/>
        </w:rPr>
        <w:endnoteReference w:id="27"/>
      </w:r>
      <w:r w:rsidR="006B1034" w:rsidRPr="00907907">
        <w:rPr>
          <w:vertAlign w:val="superscript"/>
          <w:lang w:val="en-GB"/>
        </w:rPr>
        <w:t xml:space="preserve">, </w:t>
      </w:r>
      <w:r w:rsidR="004D4CBB" w:rsidRPr="00907907">
        <w:rPr>
          <w:rStyle w:val="EndnoteReference"/>
          <w:rFonts w:cs="Times New Roman"/>
          <w:lang w:val="en-GB"/>
        </w:rPr>
        <w:endnoteReference w:id="28"/>
      </w:r>
      <w:r w:rsidR="007C0990" w:rsidRPr="00907907">
        <w:rPr>
          <w:lang w:val="en-GB"/>
        </w:rPr>
        <w:t xml:space="preserve"> </w:t>
      </w:r>
      <w:r w:rsidR="00A7531D" w:rsidRPr="00907907">
        <w:rPr>
          <w:lang w:val="en-GB"/>
        </w:rPr>
        <w:t>In 2010</w:t>
      </w:r>
      <w:r w:rsidR="00D17EFF" w:rsidRPr="00907907">
        <w:rPr>
          <w:lang w:val="en-GB"/>
        </w:rPr>
        <w:t>, the</w:t>
      </w:r>
      <w:r w:rsidR="00A7531D" w:rsidRPr="00907907">
        <w:rPr>
          <w:lang w:val="en-GB"/>
        </w:rPr>
        <w:t xml:space="preserve"> Bergen District Courthouse underwent a condition of state analysis by</w:t>
      </w:r>
      <w:r w:rsidR="00D17EFF" w:rsidRPr="00907907">
        <w:rPr>
          <w:lang w:val="en-GB"/>
        </w:rPr>
        <w:t xml:space="preserve"> the firm of</w:t>
      </w:r>
      <w:r w:rsidR="00A7531D" w:rsidRPr="00907907">
        <w:rPr>
          <w:lang w:val="en-GB"/>
        </w:rPr>
        <w:t xml:space="preserve"> </w:t>
      </w:r>
      <w:r w:rsidR="00A7531D" w:rsidRPr="00907907">
        <w:rPr>
          <w:iCs/>
          <w:lang w:val="en-GB"/>
        </w:rPr>
        <w:t xml:space="preserve">Dr.techn. Kristoffer Apeland AS. The esteemed firm found the building to be in quite good shape. </w:t>
      </w:r>
      <w:r w:rsidR="00D17EFF" w:rsidRPr="00907907">
        <w:rPr>
          <w:iCs/>
          <w:lang w:val="en-GB"/>
        </w:rPr>
        <w:t>I</w:t>
      </w:r>
      <w:r w:rsidR="00A7531D" w:rsidRPr="00907907">
        <w:rPr>
          <w:iCs/>
          <w:lang w:val="en-GB"/>
        </w:rPr>
        <w:t>n 2015, OPAK did another analysis of the building</w:t>
      </w:r>
      <w:r w:rsidR="00D17EFF" w:rsidRPr="00907907">
        <w:rPr>
          <w:iCs/>
          <w:lang w:val="en-GB"/>
        </w:rPr>
        <w:t xml:space="preserve"> and found </w:t>
      </w:r>
      <w:r w:rsidR="00A7531D" w:rsidRPr="00907907">
        <w:rPr>
          <w:iCs/>
          <w:lang w:val="en-GB"/>
        </w:rPr>
        <w:t>it to be almost unusable.</w:t>
      </w:r>
      <w:r w:rsidR="00416866" w:rsidRPr="00907907">
        <w:rPr>
          <w:rStyle w:val="EndnoteReference"/>
          <w:rFonts w:cs="Times New Roman"/>
          <w:iCs/>
          <w:lang w:val="en-GB"/>
        </w:rPr>
        <w:endnoteReference w:id="29"/>
      </w:r>
      <w:r w:rsidR="00A7531D" w:rsidRPr="00907907">
        <w:rPr>
          <w:iCs/>
          <w:lang w:val="en-GB"/>
        </w:rPr>
        <w:t xml:space="preserve"> Continued use for the next five years would require</w:t>
      </w:r>
      <w:r w:rsidR="00D17EFF" w:rsidRPr="00907907">
        <w:rPr>
          <w:iCs/>
          <w:lang w:val="en-GB"/>
        </w:rPr>
        <w:t xml:space="preserve"> an</w:t>
      </w:r>
      <w:r w:rsidR="00A7531D" w:rsidRPr="00907907">
        <w:rPr>
          <w:iCs/>
          <w:lang w:val="en-GB"/>
        </w:rPr>
        <w:t xml:space="preserve"> </w:t>
      </w:r>
      <w:r w:rsidR="00D272F8" w:rsidRPr="00907907">
        <w:rPr>
          <w:iCs/>
          <w:lang w:val="en-GB"/>
        </w:rPr>
        <w:t>investment</w:t>
      </w:r>
      <w:r w:rsidR="00A7531D" w:rsidRPr="00907907">
        <w:rPr>
          <w:iCs/>
          <w:lang w:val="en-GB"/>
        </w:rPr>
        <w:t xml:space="preserve"> of 6</w:t>
      </w:r>
      <w:r w:rsidR="008C4945" w:rsidRPr="00907907">
        <w:rPr>
          <w:iCs/>
          <w:lang w:val="en-GB"/>
        </w:rPr>
        <w:t xml:space="preserve"> million </w:t>
      </w:r>
      <w:r w:rsidR="00A7531D" w:rsidRPr="00907907">
        <w:rPr>
          <w:iCs/>
          <w:lang w:val="en-GB"/>
        </w:rPr>
        <w:t>NOK</w:t>
      </w:r>
      <w:r w:rsidR="00E10285" w:rsidRPr="00907907">
        <w:rPr>
          <w:iCs/>
          <w:lang w:val="en-GB"/>
        </w:rPr>
        <w:t xml:space="preserve"> (650 000 Euro)</w:t>
      </w:r>
      <w:r w:rsidR="00A7531D" w:rsidRPr="00907907">
        <w:rPr>
          <w:iCs/>
          <w:lang w:val="en-GB"/>
        </w:rPr>
        <w:t>, but for use</w:t>
      </w:r>
      <w:r w:rsidR="000F3B85" w:rsidRPr="00907907">
        <w:rPr>
          <w:iCs/>
          <w:lang w:val="en-GB"/>
        </w:rPr>
        <w:t xml:space="preserve"> beyond five years</w:t>
      </w:r>
      <w:r w:rsidR="00A7531D" w:rsidRPr="00907907">
        <w:rPr>
          <w:iCs/>
          <w:lang w:val="en-GB"/>
        </w:rPr>
        <w:t xml:space="preserve">, an investment </w:t>
      </w:r>
      <w:r w:rsidR="00D272F8" w:rsidRPr="00907907">
        <w:rPr>
          <w:iCs/>
          <w:lang w:val="en-GB"/>
        </w:rPr>
        <w:t>of a staggering 975</w:t>
      </w:r>
      <w:r w:rsidR="008C4945" w:rsidRPr="00907907">
        <w:rPr>
          <w:iCs/>
          <w:lang w:val="en-GB"/>
        </w:rPr>
        <w:t xml:space="preserve"> million </w:t>
      </w:r>
      <w:r w:rsidR="00E10285" w:rsidRPr="00907907">
        <w:rPr>
          <w:iCs/>
          <w:lang w:val="en-GB"/>
        </w:rPr>
        <w:t>NOK (106</w:t>
      </w:r>
      <w:r w:rsidR="008C4945" w:rsidRPr="00907907">
        <w:rPr>
          <w:iCs/>
          <w:lang w:val="en-GB"/>
        </w:rPr>
        <w:t xml:space="preserve"> million </w:t>
      </w:r>
      <w:r w:rsidR="00E10285" w:rsidRPr="00907907">
        <w:rPr>
          <w:iCs/>
          <w:lang w:val="en-GB"/>
        </w:rPr>
        <w:t xml:space="preserve">Euro) </w:t>
      </w:r>
      <w:r w:rsidR="00D272F8" w:rsidRPr="00907907">
        <w:rPr>
          <w:iCs/>
          <w:lang w:val="en-GB"/>
        </w:rPr>
        <w:t>was deemed necessary.</w:t>
      </w:r>
      <w:r w:rsidR="00C64A74" w:rsidRPr="00907907">
        <w:rPr>
          <w:rStyle w:val="EndnoteReference"/>
          <w:rFonts w:cs="Times New Roman"/>
          <w:iCs/>
          <w:lang w:val="en-GB"/>
        </w:rPr>
        <w:endnoteReference w:id="30"/>
      </w:r>
      <w:r w:rsidR="00D272F8" w:rsidRPr="00907907">
        <w:rPr>
          <w:iCs/>
          <w:lang w:val="en-GB"/>
        </w:rPr>
        <w:t xml:space="preserve"> </w:t>
      </w:r>
    </w:p>
    <w:p w14:paraId="368AA5B0" w14:textId="66533BA3" w:rsidR="00924353" w:rsidRPr="00907907" w:rsidRDefault="00D272F8" w:rsidP="003436AC">
      <w:pPr>
        <w:spacing w:after="336"/>
        <w:rPr>
          <w:rFonts w:cs="Times New Roman"/>
          <w:iCs/>
          <w:lang w:val="en-GB"/>
        </w:rPr>
      </w:pPr>
      <w:r w:rsidRPr="00907907">
        <w:rPr>
          <w:rFonts w:cs="Times New Roman"/>
          <w:iCs/>
          <w:lang w:val="en-GB"/>
        </w:rPr>
        <w:t xml:space="preserve">The monetary </w:t>
      </w:r>
      <w:r w:rsidR="00ED348E" w:rsidRPr="00907907">
        <w:rPr>
          <w:rFonts w:cs="Times New Roman"/>
          <w:iCs/>
          <w:lang w:val="en-GB"/>
        </w:rPr>
        <w:t>value of</w:t>
      </w:r>
      <w:r w:rsidRPr="00907907">
        <w:rPr>
          <w:rFonts w:cs="Times New Roman"/>
          <w:iCs/>
          <w:lang w:val="en-GB"/>
        </w:rPr>
        <w:t xml:space="preserve"> historical buildings is calculated in a number of ways. If the QA1-documentation recommends selling the historical building, it can typically be assigned a significant monetary value.</w:t>
      </w:r>
      <w:r w:rsidR="00802352" w:rsidRPr="00907907">
        <w:rPr>
          <w:rStyle w:val="EndnoteReference"/>
          <w:rFonts w:cs="Times New Roman"/>
          <w:iCs/>
          <w:lang w:val="en-GB"/>
        </w:rPr>
        <w:endnoteReference w:id="31"/>
      </w:r>
      <w:r w:rsidR="006B1034" w:rsidRPr="00907907">
        <w:rPr>
          <w:rFonts w:cs="Times New Roman"/>
          <w:iCs/>
          <w:vertAlign w:val="superscript"/>
          <w:lang w:val="en-GB"/>
        </w:rPr>
        <w:t xml:space="preserve">, </w:t>
      </w:r>
      <w:r w:rsidR="00F805C7" w:rsidRPr="00907907">
        <w:rPr>
          <w:rStyle w:val="EndnoteReference"/>
          <w:rFonts w:cs="Times New Roman"/>
          <w:iCs/>
          <w:lang w:val="en-GB"/>
        </w:rPr>
        <w:endnoteReference w:id="32"/>
      </w:r>
      <w:r w:rsidRPr="00907907">
        <w:rPr>
          <w:rFonts w:cs="Times New Roman"/>
          <w:iCs/>
          <w:lang w:val="en-GB"/>
        </w:rPr>
        <w:t xml:space="preserve"> However, to avoid distorting calculations and due to the notorious maintenance </w:t>
      </w:r>
      <w:r w:rsidR="00ED348E" w:rsidRPr="00907907">
        <w:rPr>
          <w:rFonts w:cs="Times New Roman"/>
          <w:iCs/>
          <w:lang w:val="en-GB"/>
        </w:rPr>
        <w:t>backlog</w:t>
      </w:r>
      <w:r w:rsidRPr="00907907">
        <w:rPr>
          <w:rFonts w:cs="Times New Roman"/>
          <w:iCs/>
          <w:lang w:val="en-GB"/>
        </w:rPr>
        <w:t xml:space="preserve">, </w:t>
      </w:r>
      <w:r w:rsidR="000F3B85" w:rsidRPr="00907907">
        <w:rPr>
          <w:rFonts w:cs="Times New Roman"/>
          <w:iCs/>
          <w:lang w:val="en-GB"/>
        </w:rPr>
        <w:t xml:space="preserve">the monetary value of </w:t>
      </w:r>
      <w:r w:rsidRPr="00907907">
        <w:rPr>
          <w:rFonts w:cs="Times New Roman"/>
          <w:iCs/>
          <w:lang w:val="en-GB"/>
        </w:rPr>
        <w:t xml:space="preserve">historical buildings </w:t>
      </w:r>
      <w:r w:rsidR="000F3B85" w:rsidRPr="00907907">
        <w:rPr>
          <w:rFonts w:cs="Times New Roman"/>
          <w:iCs/>
          <w:lang w:val="en-GB"/>
        </w:rPr>
        <w:t>is</w:t>
      </w:r>
      <w:r w:rsidRPr="00907907">
        <w:rPr>
          <w:rFonts w:cs="Times New Roman"/>
          <w:iCs/>
          <w:lang w:val="en-GB"/>
        </w:rPr>
        <w:t xml:space="preserve"> sometimes set to 0 NOK.</w:t>
      </w:r>
      <w:r w:rsidR="008F6665" w:rsidRPr="00907907">
        <w:rPr>
          <w:rStyle w:val="EndnoteReference"/>
          <w:rFonts w:cs="Times New Roman"/>
          <w:iCs/>
          <w:lang w:val="en-GB"/>
        </w:rPr>
        <w:endnoteReference w:id="33"/>
      </w:r>
      <w:r w:rsidRPr="00907907">
        <w:rPr>
          <w:rFonts w:cs="Times New Roman"/>
          <w:iCs/>
          <w:lang w:val="en-GB"/>
        </w:rPr>
        <w:t xml:space="preserve"> The motive to </w:t>
      </w:r>
      <w:r w:rsidR="005867EF" w:rsidRPr="00907907">
        <w:rPr>
          <w:rFonts w:cs="Times New Roman"/>
          <w:iCs/>
          <w:lang w:val="en-GB"/>
        </w:rPr>
        <w:t>assign</w:t>
      </w:r>
      <w:r w:rsidR="00D84D18" w:rsidRPr="00907907">
        <w:rPr>
          <w:rFonts w:cs="Times New Roman"/>
          <w:iCs/>
          <w:lang w:val="en-GB"/>
        </w:rPr>
        <w:t xml:space="preserve"> </w:t>
      </w:r>
      <w:r w:rsidR="005867EF" w:rsidRPr="00907907">
        <w:rPr>
          <w:rFonts w:cs="Times New Roman"/>
          <w:iCs/>
          <w:lang w:val="en-GB"/>
        </w:rPr>
        <w:t>nil</w:t>
      </w:r>
      <w:r w:rsidRPr="00907907">
        <w:rPr>
          <w:rFonts w:cs="Times New Roman"/>
          <w:iCs/>
          <w:lang w:val="en-GB"/>
        </w:rPr>
        <w:t xml:space="preserve"> </w:t>
      </w:r>
      <w:r w:rsidR="00D84D18" w:rsidRPr="00907907">
        <w:rPr>
          <w:rFonts w:cs="Times New Roman"/>
          <w:iCs/>
          <w:lang w:val="en-GB"/>
        </w:rPr>
        <w:t xml:space="preserve">as </w:t>
      </w:r>
      <w:r w:rsidR="000F3B85" w:rsidRPr="00907907">
        <w:rPr>
          <w:rFonts w:cs="Times New Roman"/>
          <w:iCs/>
          <w:lang w:val="en-GB"/>
        </w:rPr>
        <w:t xml:space="preserve">the </w:t>
      </w:r>
      <w:r w:rsidR="00D84D18" w:rsidRPr="00907907">
        <w:rPr>
          <w:rFonts w:cs="Times New Roman"/>
          <w:iCs/>
          <w:lang w:val="en-GB"/>
        </w:rPr>
        <w:t xml:space="preserve">value </w:t>
      </w:r>
      <w:r w:rsidRPr="00907907">
        <w:rPr>
          <w:rFonts w:cs="Times New Roman"/>
          <w:iCs/>
          <w:lang w:val="en-GB"/>
        </w:rPr>
        <w:t>can be understandable</w:t>
      </w:r>
      <w:r w:rsidR="00D84D18" w:rsidRPr="00907907">
        <w:rPr>
          <w:rFonts w:cs="Times New Roman"/>
          <w:iCs/>
          <w:lang w:val="en-GB"/>
        </w:rPr>
        <w:t xml:space="preserve"> from an economic viewpoint</w:t>
      </w:r>
      <w:r w:rsidR="000F3B85" w:rsidRPr="00907907">
        <w:rPr>
          <w:rFonts w:cs="Times New Roman"/>
          <w:iCs/>
          <w:lang w:val="en-GB"/>
        </w:rPr>
        <w:t>.</w:t>
      </w:r>
      <w:r w:rsidRPr="00907907">
        <w:rPr>
          <w:rFonts w:cs="Times New Roman"/>
          <w:iCs/>
          <w:lang w:val="en-GB"/>
        </w:rPr>
        <w:t xml:space="preserve"> </w:t>
      </w:r>
      <w:r w:rsidR="000F3B85" w:rsidRPr="00907907">
        <w:rPr>
          <w:rFonts w:cs="Times New Roman"/>
          <w:iCs/>
          <w:lang w:val="en-GB"/>
        </w:rPr>
        <w:t xml:space="preserve">It </w:t>
      </w:r>
      <w:r w:rsidRPr="00907907">
        <w:rPr>
          <w:rFonts w:cs="Times New Roman"/>
          <w:iCs/>
          <w:lang w:val="en-GB"/>
        </w:rPr>
        <w:t>is surprising</w:t>
      </w:r>
      <w:r w:rsidR="000F3B85" w:rsidRPr="00907907">
        <w:rPr>
          <w:rFonts w:cs="Times New Roman"/>
          <w:iCs/>
          <w:lang w:val="en-GB"/>
        </w:rPr>
        <w:t xml:space="preserve">, however, </w:t>
      </w:r>
      <w:r w:rsidRPr="00907907">
        <w:rPr>
          <w:rFonts w:cs="Times New Roman"/>
          <w:iCs/>
          <w:lang w:val="en-GB"/>
        </w:rPr>
        <w:t xml:space="preserve">to see </w:t>
      </w:r>
      <w:r w:rsidR="000F3B85" w:rsidRPr="00907907">
        <w:rPr>
          <w:rFonts w:cs="Times New Roman"/>
          <w:iCs/>
          <w:lang w:val="en-GB"/>
        </w:rPr>
        <w:t>well-known,</w:t>
      </w:r>
      <w:r w:rsidRPr="00907907">
        <w:rPr>
          <w:rFonts w:cs="Times New Roman"/>
          <w:iCs/>
          <w:lang w:val="en-GB"/>
        </w:rPr>
        <w:t xml:space="preserve"> </w:t>
      </w:r>
      <w:r w:rsidR="00471EEE" w:rsidRPr="00907907">
        <w:rPr>
          <w:rFonts w:cs="Times New Roman"/>
          <w:iCs/>
          <w:lang w:val="en-GB"/>
        </w:rPr>
        <w:t>historically important</w:t>
      </w:r>
      <w:r w:rsidR="000F3B85" w:rsidRPr="00907907">
        <w:rPr>
          <w:rFonts w:cs="Times New Roman"/>
          <w:iCs/>
          <w:lang w:val="en-GB"/>
        </w:rPr>
        <w:t xml:space="preserve"> and</w:t>
      </w:r>
      <w:r w:rsidR="00471EEE" w:rsidRPr="00907907">
        <w:rPr>
          <w:rFonts w:cs="Times New Roman"/>
          <w:iCs/>
          <w:lang w:val="en-GB"/>
        </w:rPr>
        <w:t xml:space="preserve"> </w:t>
      </w:r>
      <w:r w:rsidRPr="00907907">
        <w:rPr>
          <w:rFonts w:cs="Times New Roman"/>
          <w:iCs/>
          <w:lang w:val="en-GB"/>
        </w:rPr>
        <w:t xml:space="preserve">centrally located real estate of high </w:t>
      </w:r>
      <w:r w:rsidR="00471EEE" w:rsidRPr="00907907">
        <w:rPr>
          <w:rFonts w:cs="Times New Roman"/>
          <w:iCs/>
          <w:lang w:val="en-GB"/>
        </w:rPr>
        <w:t>architectural</w:t>
      </w:r>
      <w:r w:rsidRPr="00907907">
        <w:rPr>
          <w:rFonts w:cs="Times New Roman"/>
          <w:iCs/>
          <w:lang w:val="en-GB"/>
        </w:rPr>
        <w:t xml:space="preserve"> quality </w:t>
      </w:r>
      <w:r w:rsidR="006D68C2" w:rsidRPr="00907907">
        <w:rPr>
          <w:rFonts w:cs="Times New Roman"/>
          <w:iCs/>
          <w:lang w:val="en-GB"/>
        </w:rPr>
        <w:t xml:space="preserve">and with </w:t>
      </w:r>
      <w:r w:rsidRPr="00907907">
        <w:rPr>
          <w:rFonts w:cs="Times New Roman"/>
          <w:iCs/>
          <w:lang w:val="en-GB"/>
        </w:rPr>
        <w:t xml:space="preserve">outstanding </w:t>
      </w:r>
      <w:r w:rsidR="006D68C2" w:rsidRPr="00907907">
        <w:rPr>
          <w:rFonts w:cs="Times New Roman"/>
          <w:iCs/>
          <w:lang w:val="en-GB"/>
        </w:rPr>
        <w:t>craftsmanship</w:t>
      </w:r>
      <w:r w:rsidR="000F3B85" w:rsidRPr="00907907">
        <w:rPr>
          <w:rFonts w:cs="Times New Roman"/>
          <w:iCs/>
          <w:lang w:val="en-GB"/>
        </w:rPr>
        <w:t>,</w:t>
      </w:r>
      <w:r w:rsidR="006D68C2" w:rsidRPr="00907907">
        <w:rPr>
          <w:rFonts w:cs="Times New Roman"/>
          <w:iCs/>
          <w:lang w:val="en-GB"/>
        </w:rPr>
        <w:t xml:space="preserve"> evaluated to </w:t>
      </w:r>
      <w:r w:rsidR="000F3B85" w:rsidRPr="00907907">
        <w:rPr>
          <w:rFonts w:cs="Times New Roman"/>
          <w:iCs/>
          <w:lang w:val="en-GB"/>
        </w:rPr>
        <w:t>be worthless</w:t>
      </w:r>
      <w:r w:rsidR="006D68C2" w:rsidRPr="00907907">
        <w:rPr>
          <w:rFonts w:cs="Times New Roman"/>
          <w:iCs/>
          <w:lang w:val="en-GB"/>
        </w:rPr>
        <w:t xml:space="preserve">, as </w:t>
      </w:r>
      <w:r w:rsidR="000F3B85" w:rsidRPr="00907907">
        <w:rPr>
          <w:rFonts w:cs="Times New Roman"/>
          <w:iCs/>
          <w:lang w:val="en-GB"/>
        </w:rPr>
        <w:t xml:space="preserve">was </w:t>
      </w:r>
      <w:r w:rsidR="006D68C2" w:rsidRPr="00907907">
        <w:rPr>
          <w:rFonts w:cs="Times New Roman"/>
          <w:iCs/>
          <w:lang w:val="en-GB"/>
        </w:rPr>
        <w:t>the</w:t>
      </w:r>
      <w:r w:rsidR="00E356BF" w:rsidRPr="00907907">
        <w:rPr>
          <w:rFonts w:cs="Times New Roman"/>
          <w:iCs/>
          <w:lang w:val="en-GB"/>
        </w:rPr>
        <w:t xml:space="preserve"> case with the Historical Museum</w:t>
      </w:r>
      <w:r w:rsidR="00BE40E4" w:rsidRPr="00907907">
        <w:rPr>
          <w:rFonts w:cs="Times New Roman"/>
          <w:iCs/>
          <w:lang w:val="en-GB"/>
        </w:rPr>
        <w:t>, a key example of European art nouveau in Norway</w:t>
      </w:r>
      <w:r w:rsidR="00E356BF" w:rsidRPr="00907907">
        <w:rPr>
          <w:rFonts w:cs="Times New Roman"/>
          <w:iCs/>
          <w:lang w:val="en-GB"/>
        </w:rPr>
        <w:t>:</w:t>
      </w:r>
    </w:p>
    <w:p w14:paraId="4CD55CC1" w14:textId="49566732" w:rsidR="00D67A79" w:rsidRPr="00907907" w:rsidRDefault="00D67A79" w:rsidP="00DF44A4">
      <w:pPr>
        <w:pStyle w:val="Quote"/>
        <w:rPr>
          <w:rFonts w:cs="Times New Roman"/>
        </w:rPr>
      </w:pPr>
      <w:r w:rsidRPr="00907907">
        <w:rPr>
          <w:rFonts w:cs="Times New Roman"/>
        </w:rPr>
        <w:t xml:space="preserve">Item 2, Sites: "Fredriksgate (sic) 2 and 3 are freed. The areas are enclosed with requirements for protection and can be difficult to sell in the market. Substantial rehabilitation investments are also required before the building can be used for new purposes. The value of </w:t>
      </w:r>
      <w:r w:rsidR="00556976" w:rsidRPr="00907907">
        <w:rPr>
          <w:rFonts w:cs="Times New Roman"/>
        </w:rPr>
        <w:t xml:space="preserve">the Museum of Cultural History´s </w:t>
      </w:r>
      <w:r w:rsidRPr="00907907">
        <w:rPr>
          <w:rFonts w:cs="Times New Roman"/>
        </w:rPr>
        <w:t>premises at Tullinløkka is therefore set at NOK 0 million.</w:t>
      </w:r>
      <w:r w:rsidR="00433FC6" w:rsidRPr="00907907">
        <w:rPr>
          <w:rStyle w:val="EndnoteReference"/>
          <w:rFonts w:cs="Times New Roman"/>
        </w:rPr>
        <w:endnoteReference w:id="34"/>
      </w:r>
      <w:r w:rsidRPr="00907907">
        <w:rPr>
          <w:rFonts w:cs="Times New Roman"/>
        </w:rPr>
        <w:t xml:space="preserve"> </w:t>
      </w:r>
    </w:p>
    <w:p w14:paraId="4114353C" w14:textId="528160ED" w:rsidR="006629E2" w:rsidRPr="00907907" w:rsidRDefault="006629E2" w:rsidP="0060040B">
      <w:pPr>
        <w:pStyle w:val="Heading2"/>
      </w:pPr>
      <w:r w:rsidRPr="00907907">
        <w:t xml:space="preserve">A </w:t>
      </w:r>
      <w:r w:rsidR="000F3B85" w:rsidRPr="00907907">
        <w:t xml:space="preserve">lack of </w:t>
      </w:r>
      <w:r w:rsidRPr="00907907">
        <w:t>understanding of buildability</w:t>
      </w:r>
    </w:p>
    <w:p w14:paraId="1418548F" w14:textId="74D0C98D" w:rsidR="00DE6628" w:rsidRPr="00907907" w:rsidRDefault="006629E2" w:rsidP="003436AC">
      <w:pPr>
        <w:spacing w:after="336"/>
        <w:rPr>
          <w:rFonts w:cs="Times New Roman"/>
          <w:lang w:val="en-GB"/>
        </w:rPr>
      </w:pPr>
      <w:r w:rsidRPr="00907907">
        <w:rPr>
          <w:rFonts w:cs="Times New Roman"/>
          <w:iCs/>
          <w:lang w:val="en-GB"/>
        </w:rPr>
        <w:t xml:space="preserve">Above, we described </w:t>
      </w:r>
      <w:r w:rsidR="000F3B85" w:rsidRPr="00907907">
        <w:rPr>
          <w:rFonts w:cs="Times New Roman"/>
          <w:iCs/>
          <w:lang w:val="en-GB"/>
        </w:rPr>
        <w:t xml:space="preserve">how </w:t>
      </w:r>
      <w:r w:rsidRPr="00907907">
        <w:rPr>
          <w:rFonts w:cs="Times New Roman"/>
          <w:iCs/>
          <w:lang w:val="en-GB"/>
        </w:rPr>
        <w:t xml:space="preserve">the </w:t>
      </w:r>
      <w:r w:rsidR="000F3B85" w:rsidRPr="00907907">
        <w:rPr>
          <w:rFonts w:cs="Times New Roman"/>
          <w:iCs/>
          <w:lang w:val="en-GB"/>
        </w:rPr>
        <w:t xml:space="preserve">expertise of the </w:t>
      </w:r>
      <w:r w:rsidRPr="00907907">
        <w:rPr>
          <w:rFonts w:cs="Times New Roman"/>
          <w:iCs/>
          <w:lang w:val="en-GB"/>
        </w:rPr>
        <w:t xml:space="preserve">typical consultants </w:t>
      </w:r>
      <w:r w:rsidR="000F3B85" w:rsidRPr="00907907">
        <w:rPr>
          <w:rFonts w:cs="Times New Roman"/>
          <w:iCs/>
          <w:lang w:val="en-GB"/>
        </w:rPr>
        <w:t xml:space="preserve">employed to create the </w:t>
      </w:r>
      <w:r w:rsidR="007C0990" w:rsidRPr="00907907">
        <w:rPr>
          <w:rFonts w:cs="Times New Roman"/>
          <w:iCs/>
          <w:lang w:val="en-GB"/>
        </w:rPr>
        <w:t>QA1</w:t>
      </w:r>
      <w:r w:rsidR="002F515C" w:rsidRPr="00907907">
        <w:rPr>
          <w:rFonts w:cs="Times New Roman"/>
          <w:iCs/>
          <w:lang w:val="en-GB"/>
        </w:rPr>
        <w:t>-documentation</w:t>
      </w:r>
      <w:r w:rsidR="000F3B85" w:rsidRPr="00907907">
        <w:rPr>
          <w:rFonts w:cs="Times New Roman"/>
          <w:iCs/>
          <w:lang w:val="en-GB"/>
        </w:rPr>
        <w:t xml:space="preserve"> was</w:t>
      </w:r>
      <w:r w:rsidRPr="00907907">
        <w:rPr>
          <w:rFonts w:cs="Times New Roman"/>
          <w:iCs/>
          <w:lang w:val="en-GB"/>
        </w:rPr>
        <w:t xml:space="preserve"> from fields</w:t>
      </w:r>
      <w:r w:rsidR="000F3B85" w:rsidRPr="00907907">
        <w:rPr>
          <w:rFonts w:cs="Times New Roman"/>
          <w:iCs/>
          <w:lang w:val="en-GB"/>
        </w:rPr>
        <w:t xml:space="preserve"> other</w:t>
      </w:r>
      <w:r w:rsidRPr="00907907">
        <w:rPr>
          <w:rFonts w:cs="Times New Roman"/>
          <w:iCs/>
          <w:lang w:val="en-GB"/>
        </w:rPr>
        <w:t xml:space="preserve"> than the </w:t>
      </w:r>
      <w:r w:rsidR="00D716CF" w:rsidRPr="00907907">
        <w:rPr>
          <w:rFonts w:cs="Times New Roman"/>
          <w:iCs/>
          <w:lang w:val="en-GB"/>
        </w:rPr>
        <w:t xml:space="preserve">cultural heritage protection and </w:t>
      </w:r>
      <w:r w:rsidRPr="00907907">
        <w:rPr>
          <w:rFonts w:cs="Times New Roman"/>
          <w:iCs/>
          <w:lang w:val="en-GB"/>
        </w:rPr>
        <w:t xml:space="preserve">building industry, and how this affected the understanding of historical buildings. We suspect that the same </w:t>
      </w:r>
      <w:r w:rsidR="002F515C" w:rsidRPr="00907907">
        <w:rPr>
          <w:rFonts w:cs="Times New Roman"/>
          <w:iCs/>
          <w:lang w:val="en-GB"/>
        </w:rPr>
        <w:t xml:space="preserve">problem </w:t>
      </w:r>
      <w:r w:rsidRPr="00907907">
        <w:rPr>
          <w:rFonts w:cs="Times New Roman"/>
          <w:iCs/>
          <w:lang w:val="en-GB"/>
        </w:rPr>
        <w:t xml:space="preserve">has manifested in the considerations of buildability. </w:t>
      </w:r>
      <w:r w:rsidRPr="00907907">
        <w:rPr>
          <w:rFonts w:cs="Times New Roman"/>
          <w:lang w:val="en-GB"/>
        </w:rPr>
        <w:t xml:space="preserve">The </w:t>
      </w:r>
      <w:r w:rsidR="002F515C" w:rsidRPr="00907907">
        <w:rPr>
          <w:rFonts w:cs="Times New Roman"/>
          <w:lang w:val="en-GB"/>
        </w:rPr>
        <w:t xml:space="preserve">reports </w:t>
      </w:r>
      <w:r w:rsidRPr="00907907">
        <w:rPr>
          <w:rFonts w:cs="Times New Roman"/>
          <w:lang w:val="en-GB"/>
        </w:rPr>
        <w:t>studied show a lack</w:t>
      </w:r>
      <w:r w:rsidR="002F515C" w:rsidRPr="00907907">
        <w:rPr>
          <w:rFonts w:cs="Times New Roman"/>
          <w:lang w:val="en-GB"/>
        </w:rPr>
        <w:t xml:space="preserve"> in the</w:t>
      </w:r>
      <w:r w:rsidRPr="00907907">
        <w:rPr>
          <w:rFonts w:cs="Times New Roman"/>
          <w:lang w:val="en-GB"/>
        </w:rPr>
        <w:t xml:space="preserve"> understanding of how constructions come to exist and function, and how these can be altered in an expedient manner. This </w:t>
      </w:r>
      <w:r w:rsidR="002F515C" w:rsidRPr="00907907">
        <w:rPr>
          <w:rFonts w:cs="Times New Roman"/>
          <w:lang w:val="en-GB"/>
        </w:rPr>
        <w:t xml:space="preserve">particularly </w:t>
      </w:r>
      <w:r w:rsidRPr="00907907">
        <w:rPr>
          <w:rFonts w:cs="Times New Roman"/>
          <w:lang w:val="en-GB"/>
        </w:rPr>
        <w:t xml:space="preserve">applies to the </w:t>
      </w:r>
      <w:r w:rsidR="00453C0B" w:rsidRPr="00907907">
        <w:rPr>
          <w:rFonts w:cs="Times New Roman"/>
          <w:lang w:val="en-GB"/>
        </w:rPr>
        <w:t>alluring concept of building large, invisible</w:t>
      </w:r>
      <w:r w:rsidR="002F515C" w:rsidRPr="00907907">
        <w:rPr>
          <w:rFonts w:cs="Times New Roman"/>
          <w:lang w:val="en-GB"/>
        </w:rPr>
        <w:t>, underground</w:t>
      </w:r>
      <w:r w:rsidR="00453C0B" w:rsidRPr="00907907">
        <w:rPr>
          <w:rFonts w:cs="Times New Roman"/>
          <w:lang w:val="en-GB"/>
        </w:rPr>
        <w:t xml:space="preserve"> areas connect</w:t>
      </w:r>
      <w:r w:rsidR="002F515C" w:rsidRPr="00907907">
        <w:rPr>
          <w:rFonts w:cs="Times New Roman"/>
          <w:lang w:val="en-GB"/>
        </w:rPr>
        <w:t>ed</w:t>
      </w:r>
      <w:r w:rsidR="00453C0B" w:rsidRPr="00907907">
        <w:rPr>
          <w:rFonts w:cs="Times New Roman"/>
          <w:lang w:val="en-GB"/>
        </w:rPr>
        <w:t xml:space="preserve"> to historical buildings. </w:t>
      </w:r>
      <w:r w:rsidR="003949CF" w:rsidRPr="00907907">
        <w:rPr>
          <w:rFonts w:cs="Times New Roman"/>
          <w:lang w:val="en-GB"/>
        </w:rPr>
        <w:t>This was seen in the KVU-</w:t>
      </w:r>
      <w:r w:rsidR="005F6943" w:rsidRPr="00907907">
        <w:rPr>
          <w:rFonts w:cs="Times New Roman"/>
          <w:lang w:val="en-GB"/>
        </w:rPr>
        <w:t xml:space="preserve">report </w:t>
      </w:r>
      <w:r w:rsidR="003949CF" w:rsidRPr="00907907">
        <w:rPr>
          <w:rFonts w:cs="Times New Roman"/>
          <w:lang w:val="en-GB"/>
        </w:rPr>
        <w:t xml:space="preserve">for the National </w:t>
      </w:r>
      <w:r w:rsidR="008302FD" w:rsidRPr="00907907">
        <w:rPr>
          <w:rFonts w:cs="Times New Roman"/>
          <w:lang w:val="en-GB"/>
        </w:rPr>
        <w:t>Theatre</w:t>
      </w:r>
      <w:r w:rsidR="002F515C" w:rsidRPr="00907907">
        <w:rPr>
          <w:rFonts w:cs="Times New Roman"/>
          <w:lang w:val="en-GB"/>
        </w:rPr>
        <w:t>.</w:t>
      </w:r>
      <w:r w:rsidR="002F515C" w:rsidRPr="00907907">
        <w:rPr>
          <w:rStyle w:val="EndnoteReference"/>
          <w:rFonts w:cs="Times New Roman"/>
          <w:lang w:val="en-GB"/>
        </w:rPr>
        <w:endnoteReference w:id="35"/>
      </w:r>
      <w:r w:rsidR="002F515C" w:rsidRPr="00907907">
        <w:rPr>
          <w:rFonts w:cs="Times New Roman"/>
          <w:lang w:val="en-GB"/>
        </w:rPr>
        <w:t xml:space="preserve"> It was p</w:t>
      </w:r>
      <w:r w:rsidR="004F74DF" w:rsidRPr="00907907">
        <w:rPr>
          <w:rFonts w:cs="Times New Roman"/>
          <w:lang w:val="en-GB"/>
        </w:rPr>
        <w:t>ro</w:t>
      </w:r>
      <w:r w:rsidR="002F515C" w:rsidRPr="00907907">
        <w:rPr>
          <w:rFonts w:cs="Times New Roman"/>
          <w:lang w:val="en-GB"/>
        </w:rPr>
        <w:t xml:space="preserve">posed to </w:t>
      </w:r>
      <w:r w:rsidR="003949CF" w:rsidRPr="00907907">
        <w:rPr>
          <w:rFonts w:cs="Times New Roman"/>
          <w:lang w:val="en-GB"/>
        </w:rPr>
        <w:t xml:space="preserve">build large </w:t>
      </w:r>
      <w:r w:rsidR="002F515C" w:rsidRPr="00907907">
        <w:rPr>
          <w:rFonts w:cs="Times New Roman"/>
          <w:lang w:val="en-GB"/>
        </w:rPr>
        <w:t xml:space="preserve">underground </w:t>
      </w:r>
      <w:r w:rsidR="003949CF" w:rsidRPr="00907907">
        <w:rPr>
          <w:rFonts w:cs="Times New Roman"/>
          <w:lang w:val="en-GB"/>
        </w:rPr>
        <w:t>areas direct</w:t>
      </w:r>
      <w:r w:rsidR="002F515C" w:rsidRPr="00907907">
        <w:rPr>
          <w:rFonts w:cs="Times New Roman"/>
          <w:lang w:val="en-GB"/>
        </w:rPr>
        <w:t>ly</w:t>
      </w:r>
      <w:r w:rsidR="003949CF" w:rsidRPr="00907907">
        <w:rPr>
          <w:rFonts w:cs="Times New Roman"/>
          <w:lang w:val="en-GB"/>
        </w:rPr>
        <w:t xml:space="preserve"> </w:t>
      </w:r>
      <w:r w:rsidR="002F515C" w:rsidRPr="00907907">
        <w:rPr>
          <w:rFonts w:cs="Times New Roman"/>
          <w:lang w:val="en-GB"/>
        </w:rPr>
        <w:t xml:space="preserve">connected </w:t>
      </w:r>
      <w:r w:rsidR="003949CF" w:rsidRPr="00907907">
        <w:rPr>
          <w:rFonts w:cs="Times New Roman"/>
          <w:lang w:val="en-GB"/>
        </w:rPr>
        <w:t>to</w:t>
      </w:r>
      <w:r w:rsidR="002F515C" w:rsidRPr="00907907">
        <w:rPr>
          <w:rFonts w:cs="Times New Roman"/>
          <w:lang w:val="en-GB"/>
        </w:rPr>
        <w:t>,</w:t>
      </w:r>
      <w:r w:rsidR="003949CF" w:rsidRPr="00907907">
        <w:rPr>
          <w:rFonts w:cs="Times New Roman"/>
          <w:lang w:val="en-GB"/>
        </w:rPr>
        <w:t xml:space="preserve"> and in the immediate neighbourhood of</w:t>
      </w:r>
      <w:r w:rsidR="002F515C" w:rsidRPr="00907907">
        <w:rPr>
          <w:rFonts w:cs="Times New Roman"/>
          <w:lang w:val="en-GB"/>
        </w:rPr>
        <w:t>,</w:t>
      </w:r>
      <w:r w:rsidR="003949CF" w:rsidRPr="00907907">
        <w:rPr>
          <w:rFonts w:cs="Times New Roman"/>
          <w:lang w:val="en-GB"/>
        </w:rPr>
        <w:t xml:space="preserve"> historical mason buildings on </w:t>
      </w:r>
      <w:r w:rsidR="008302FD" w:rsidRPr="00907907">
        <w:rPr>
          <w:rFonts w:cs="Times New Roman"/>
          <w:lang w:val="en-GB"/>
        </w:rPr>
        <w:t>Norway’s</w:t>
      </w:r>
      <w:r w:rsidR="003949CF" w:rsidRPr="00907907">
        <w:rPr>
          <w:rFonts w:cs="Times New Roman"/>
          <w:lang w:val="en-GB"/>
        </w:rPr>
        <w:t xml:space="preserve"> parade street</w:t>
      </w:r>
      <w:r w:rsidR="002F515C" w:rsidRPr="00907907">
        <w:rPr>
          <w:rFonts w:cs="Times New Roman"/>
          <w:lang w:val="en-GB"/>
        </w:rPr>
        <w:t xml:space="preserve">. They would be built </w:t>
      </w:r>
      <w:r w:rsidR="003949CF" w:rsidRPr="00907907">
        <w:rPr>
          <w:rFonts w:cs="Times New Roman"/>
          <w:lang w:val="en-GB"/>
        </w:rPr>
        <w:t xml:space="preserve">on clay, by the harbour, in </w:t>
      </w:r>
      <w:r w:rsidR="005867EF" w:rsidRPr="00907907">
        <w:rPr>
          <w:rFonts w:cs="Times New Roman"/>
          <w:lang w:val="en-GB"/>
        </w:rPr>
        <w:t>an</w:t>
      </w:r>
      <w:r w:rsidR="003949CF" w:rsidRPr="00907907">
        <w:rPr>
          <w:rFonts w:cs="Times New Roman"/>
          <w:lang w:val="en-GB"/>
        </w:rPr>
        <w:t xml:space="preserve"> area</w:t>
      </w:r>
      <w:r w:rsidR="002F515C" w:rsidRPr="00907907">
        <w:rPr>
          <w:rFonts w:cs="Times New Roman"/>
          <w:lang w:val="en-GB"/>
        </w:rPr>
        <w:t xml:space="preserve"> with</w:t>
      </w:r>
      <w:r w:rsidR="003949CF" w:rsidRPr="00907907">
        <w:rPr>
          <w:rFonts w:cs="Times New Roman"/>
          <w:lang w:val="en-GB"/>
        </w:rPr>
        <w:t xml:space="preserve"> </w:t>
      </w:r>
      <w:r w:rsidR="002F515C" w:rsidRPr="00907907">
        <w:rPr>
          <w:rFonts w:cs="Times New Roman"/>
          <w:lang w:val="en-GB"/>
        </w:rPr>
        <w:t>heavy</w:t>
      </w:r>
      <w:r w:rsidR="003949CF" w:rsidRPr="00907907">
        <w:rPr>
          <w:rFonts w:cs="Times New Roman"/>
          <w:lang w:val="en-GB"/>
        </w:rPr>
        <w:t xml:space="preserve"> traffic at </w:t>
      </w:r>
      <w:r w:rsidR="002F515C" w:rsidRPr="00907907">
        <w:rPr>
          <w:rFonts w:cs="Times New Roman"/>
          <w:lang w:val="en-GB"/>
        </w:rPr>
        <w:t>al</w:t>
      </w:r>
      <w:r w:rsidR="003949CF" w:rsidRPr="00907907">
        <w:rPr>
          <w:rFonts w:cs="Times New Roman"/>
          <w:lang w:val="en-GB"/>
        </w:rPr>
        <w:t xml:space="preserve">most </w:t>
      </w:r>
      <w:r w:rsidR="002F515C" w:rsidRPr="00907907">
        <w:rPr>
          <w:rFonts w:cs="Times New Roman"/>
          <w:lang w:val="en-GB"/>
        </w:rPr>
        <w:t xml:space="preserve">all </w:t>
      </w:r>
      <w:r w:rsidR="003949CF" w:rsidRPr="00907907">
        <w:rPr>
          <w:rFonts w:cs="Times New Roman"/>
          <w:lang w:val="en-GB"/>
        </w:rPr>
        <w:t>hours</w:t>
      </w:r>
      <w:r w:rsidR="002F515C" w:rsidRPr="00907907">
        <w:rPr>
          <w:rFonts w:cs="Times New Roman"/>
          <w:lang w:val="en-GB"/>
        </w:rPr>
        <w:t>. I</w:t>
      </w:r>
      <w:r w:rsidR="003949CF" w:rsidRPr="00907907">
        <w:rPr>
          <w:rFonts w:cs="Times New Roman"/>
          <w:lang w:val="en-GB"/>
        </w:rPr>
        <w:t xml:space="preserve">f </w:t>
      </w:r>
      <w:r w:rsidR="002F515C" w:rsidRPr="00907907">
        <w:rPr>
          <w:rFonts w:cs="Times New Roman"/>
          <w:lang w:val="en-GB"/>
        </w:rPr>
        <w:t xml:space="preserve">seriously </w:t>
      </w:r>
      <w:r w:rsidR="003949CF" w:rsidRPr="00907907">
        <w:rPr>
          <w:rFonts w:cs="Times New Roman"/>
          <w:lang w:val="en-GB"/>
        </w:rPr>
        <w:t xml:space="preserve">considered, </w:t>
      </w:r>
      <w:r w:rsidR="005E0E82" w:rsidRPr="00907907">
        <w:rPr>
          <w:rFonts w:cs="Times New Roman"/>
          <w:lang w:val="en-GB"/>
        </w:rPr>
        <w:t xml:space="preserve">this build should </w:t>
      </w:r>
      <w:r w:rsidR="003949CF" w:rsidRPr="00907907">
        <w:rPr>
          <w:rFonts w:cs="Times New Roman"/>
          <w:lang w:val="en-GB"/>
        </w:rPr>
        <w:t xml:space="preserve">be discussed in </w:t>
      </w:r>
      <w:r w:rsidR="005E0E82" w:rsidRPr="00907907">
        <w:rPr>
          <w:rFonts w:cs="Times New Roman"/>
          <w:lang w:val="en-GB"/>
        </w:rPr>
        <w:t xml:space="preserve">more </w:t>
      </w:r>
      <w:r w:rsidR="003949CF" w:rsidRPr="00907907">
        <w:rPr>
          <w:rFonts w:cs="Times New Roman"/>
          <w:lang w:val="en-GB"/>
        </w:rPr>
        <w:t>detail than</w:t>
      </w:r>
      <w:r w:rsidR="005E0E82" w:rsidRPr="00907907">
        <w:rPr>
          <w:rFonts w:cs="Times New Roman"/>
          <w:lang w:val="en-GB"/>
        </w:rPr>
        <w:t xml:space="preserve"> simply</w:t>
      </w:r>
      <w:r w:rsidR="003949CF" w:rsidRPr="00907907">
        <w:rPr>
          <w:rFonts w:cs="Times New Roman"/>
          <w:lang w:val="en-GB"/>
        </w:rPr>
        <w:t xml:space="preserve"> </w:t>
      </w:r>
      <w:r w:rsidR="00D76579" w:rsidRPr="00907907">
        <w:rPr>
          <w:rFonts w:cs="Times New Roman"/>
          <w:lang w:val="en-GB"/>
        </w:rPr>
        <w:t>classifying</w:t>
      </w:r>
      <w:r w:rsidR="003949CF" w:rsidRPr="00907907">
        <w:rPr>
          <w:rFonts w:cs="Times New Roman"/>
          <w:lang w:val="en-GB"/>
        </w:rPr>
        <w:t xml:space="preserve"> it </w:t>
      </w:r>
      <w:r w:rsidR="00D76579" w:rsidRPr="00907907">
        <w:rPr>
          <w:rFonts w:cs="Times New Roman"/>
          <w:lang w:val="en-GB"/>
        </w:rPr>
        <w:t>as ‘</w:t>
      </w:r>
      <w:r w:rsidR="003949CF" w:rsidRPr="00907907">
        <w:rPr>
          <w:rFonts w:cs="Times New Roman"/>
          <w:lang w:val="en-GB"/>
        </w:rPr>
        <w:t>dangerous</w:t>
      </w:r>
      <w:r w:rsidR="00D76579" w:rsidRPr="00907907">
        <w:rPr>
          <w:rFonts w:cs="Times New Roman"/>
          <w:lang w:val="en-GB"/>
        </w:rPr>
        <w:t xml:space="preserve">’ </w:t>
      </w:r>
      <w:r w:rsidR="005E0E82" w:rsidRPr="00907907">
        <w:rPr>
          <w:rFonts w:cs="Times New Roman"/>
          <w:lang w:val="en-GB"/>
        </w:rPr>
        <w:t xml:space="preserve">and </w:t>
      </w:r>
      <w:r w:rsidR="003949CF" w:rsidRPr="00907907">
        <w:rPr>
          <w:rFonts w:cs="Times New Roman"/>
          <w:lang w:val="en-GB"/>
        </w:rPr>
        <w:t xml:space="preserve">with </w:t>
      </w:r>
      <w:r w:rsidR="00D76579" w:rsidRPr="00907907">
        <w:rPr>
          <w:rFonts w:cs="Times New Roman"/>
          <w:lang w:val="en-GB"/>
        </w:rPr>
        <w:t>‘</w:t>
      </w:r>
      <w:r w:rsidR="003949CF" w:rsidRPr="00907907">
        <w:rPr>
          <w:rFonts w:cs="Times New Roman"/>
          <w:lang w:val="en-GB"/>
        </w:rPr>
        <w:t xml:space="preserve">risk for </w:t>
      </w:r>
      <w:r w:rsidR="00313955" w:rsidRPr="00907907">
        <w:rPr>
          <w:rFonts w:cs="Times New Roman"/>
          <w:lang w:val="en-GB"/>
        </w:rPr>
        <w:t>high costs</w:t>
      </w:r>
      <w:r w:rsidR="00D76579" w:rsidRPr="00907907">
        <w:rPr>
          <w:rFonts w:cs="Times New Roman"/>
          <w:lang w:val="en-GB"/>
        </w:rPr>
        <w:t>’</w:t>
      </w:r>
      <w:r w:rsidR="00313955" w:rsidRPr="00907907">
        <w:rPr>
          <w:rFonts w:cs="Times New Roman"/>
          <w:lang w:val="en-GB"/>
        </w:rPr>
        <w:t>.</w:t>
      </w:r>
      <w:r w:rsidR="00681CE7" w:rsidRPr="00907907">
        <w:rPr>
          <w:rStyle w:val="EndnoteReference"/>
          <w:rFonts w:cs="Times New Roman"/>
          <w:lang w:val="en-GB"/>
        </w:rPr>
        <w:endnoteReference w:id="36"/>
      </w:r>
      <w:r w:rsidR="00313955" w:rsidRPr="00907907">
        <w:rPr>
          <w:rFonts w:cs="Times New Roman"/>
          <w:lang w:val="en-GB"/>
        </w:rPr>
        <w:t xml:space="preserve"> The Tullinløkka project </w:t>
      </w:r>
      <w:r w:rsidR="008302FD" w:rsidRPr="00907907">
        <w:rPr>
          <w:rFonts w:cs="Times New Roman"/>
          <w:lang w:val="en-GB"/>
        </w:rPr>
        <w:t>labelled</w:t>
      </w:r>
      <w:r w:rsidR="00313955" w:rsidRPr="00907907">
        <w:rPr>
          <w:rFonts w:cs="Times New Roman"/>
          <w:lang w:val="en-GB"/>
        </w:rPr>
        <w:t xml:space="preserve"> building underground as the most </w:t>
      </w:r>
      <w:r w:rsidR="00E848FF" w:rsidRPr="00907907">
        <w:rPr>
          <w:rFonts w:cs="Times New Roman"/>
          <w:lang w:val="en-GB"/>
        </w:rPr>
        <w:t>feasible from a building</w:t>
      </w:r>
      <w:r w:rsidR="005E0E82" w:rsidRPr="00907907">
        <w:rPr>
          <w:rFonts w:cs="Times New Roman"/>
          <w:lang w:val="en-GB"/>
        </w:rPr>
        <w:t>/</w:t>
      </w:r>
      <w:r w:rsidR="00E848FF" w:rsidRPr="00907907">
        <w:rPr>
          <w:rFonts w:cs="Times New Roman"/>
          <w:lang w:val="en-GB"/>
        </w:rPr>
        <w:t xml:space="preserve">technology </w:t>
      </w:r>
      <w:r w:rsidR="005E0E82" w:rsidRPr="00907907">
        <w:rPr>
          <w:rFonts w:cs="Times New Roman"/>
          <w:lang w:val="en-GB"/>
        </w:rPr>
        <w:t>point of view</w:t>
      </w:r>
      <w:r w:rsidR="006A6D35" w:rsidRPr="00907907">
        <w:rPr>
          <w:rFonts w:cs="Times New Roman"/>
          <w:lang w:val="en-GB"/>
        </w:rPr>
        <w:t>.</w:t>
      </w:r>
      <w:r w:rsidR="00A53D17" w:rsidRPr="00907907">
        <w:rPr>
          <w:rStyle w:val="EndnoteReference"/>
          <w:rFonts w:cs="Times New Roman"/>
          <w:lang w:val="en-GB"/>
        </w:rPr>
        <w:endnoteReference w:id="37"/>
      </w:r>
      <w:r w:rsidR="001024E8" w:rsidRPr="00907907">
        <w:rPr>
          <w:rFonts w:cs="Times New Roman"/>
          <w:lang w:val="en-GB"/>
        </w:rPr>
        <w:t xml:space="preserve"> This surprising </w:t>
      </w:r>
      <w:r w:rsidR="00541225" w:rsidRPr="00907907">
        <w:rPr>
          <w:rFonts w:cs="Times New Roman"/>
          <w:lang w:val="en-GB"/>
        </w:rPr>
        <w:t>judgement</w:t>
      </w:r>
      <w:r w:rsidR="007C5BA2" w:rsidRPr="00907907">
        <w:rPr>
          <w:rFonts w:cs="Times New Roman"/>
          <w:lang w:val="en-GB"/>
        </w:rPr>
        <w:t xml:space="preserve"> can not be characterized as evident</w:t>
      </w:r>
      <w:r w:rsidR="00541225" w:rsidRPr="00907907">
        <w:rPr>
          <w:rFonts w:cs="Times New Roman"/>
          <w:lang w:val="en-GB"/>
        </w:rPr>
        <w:t>,</w:t>
      </w:r>
      <w:r w:rsidR="00DD6865" w:rsidRPr="00907907">
        <w:rPr>
          <w:rFonts w:cs="Times New Roman"/>
          <w:lang w:val="en-GB"/>
        </w:rPr>
        <w:t xml:space="preserve"> </w:t>
      </w:r>
      <w:r w:rsidR="007C5BA2" w:rsidRPr="00907907">
        <w:rPr>
          <w:rFonts w:cs="Times New Roman"/>
          <w:lang w:val="en-GB"/>
        </w:rPr>
        <w:t xml:space="preserve">and </w:t>
      </w:r>
      <w:r w:rsidR="00541225" w:rsidRPr="00907907">
        <w:rPr>
          <w:rFonts w:cs="Times New Roman"/>
          <w:lang w:val="en-GB"/>
        </w:rPr>
        <w:t xml:space="preserve">should have been backed by convincing argumentation if it </w:t>
      </w:r>
      <w:r w:rsidR="007C5BA2" w:rsidRPr="00907907">
        <w:rPr>
          <w:rFonts w:cs="Times New Roman"/>
          <w:lang w:val="en-GB"/>
        </w:rPr>
        <w:t>were</w:t>
      </w:r>
      <w:r w:rsidR="00541225" w:rsidRPr="00907907">
        <w:rPr>
          <w:rFonts w:cs="Times New Roman"/>
          <w:lang w:val="en-GB"/>
        </w:rPr>
        <w:t xml:space="preserve"> to be </w:t>
      </w:r>
      <w:r w:rsidR="002E6066">
        <w:rPr>
          <w:rFonts w:cs="Times New Roman"/>
          <w:lang w:val="en-GB"/>
        </w:rPr>
        <w:t>accepted</w:t>
      </w:r>
      <w:r w:rsidR="00541225" w:rsidRPr="00907907">
        <w:rPr>
          <w:rFonts w:cs="Times New Roman"/>
          <w:lang w:val="en-GB"/>
        </w:rPr>
        <w:t>.</w:t>
      </w:r>
    </w:p>
    <w:p w14:paraId="384B3B26" w14:textId="6EAF066B" w:rsidR="007171D2" w:rsidRPr="0060040B" w:rsidRDefault="007171D2" w:rsidP="0060040B">
      <w:pPr>
        <w:pStyle w:val="Heading2"/>
      </w:pPr>
      <w:r w:rsidRPr="0060040B">
        <w:t>Assessments intended for new builds do not work for older buildings</w:t>
      </w:r>
      <w:r w:rsidR="00F93F9B" w:rsidRPr="0060040B">
        <w:t xml:space="preserve">  </w:t>
      </w:r>
    </w:p>
    <w:p w14:paraId="57F92E28" w14:textId="7320F782" w:rsidR="001B7E08" w:rsidRPr="00907907" w:rsidRDefault="002E10E1" w:rsidP="003436AC">
      <w:pPr>
        <w:spacing w:after="336"/>
        <w:rPr>
          <w:rFonts w:cs="Times New Roman"/>
          <w:b/>
          <w:bCs/>
          <w:lang w:val="en-GB"/>
        </w:rPr>
      </w:pPr>
      <w:r w:rsidRPr="00907907">
        <w:rPr>
          <w:rFonts w:cs="Times New Roman"/>
          <w:lang w:val="en-GB"/>
        </w:rPr>
        <w:t>H</w:t>
      </w:r>
      <w:r w:rsidR="00DE6628" w:rsidRPr="00907907">
        <w:rPr>
          <w:rFonts w:cs="Times New Roman"/>
          <w:lang w:val="en-GB"/>
        </w:rPr>
        <w:t xml:space="preserve">istorical buildings face some extra challenges </w:t>
      </w:r>
      <w:r w:rsidR="005E0E82" w:rsidRPr="00907907">
        <w:rPr>
          <w:rFonts w:cs="Times New Roman"/>
          <w:lang w:val="en-GB"/>
        </w:rPr>
        <w:t xml:space="preserve">when it comes </w:t>
      </w:r>
      <w:r w:rsidR="00DE6628" w:rsidRPr="00907907">
        <w:rPr>
          <w:rFonts w:cs="Times New Roman"/>
          <w:lang w:val="en-GB"/>
        </w:rPr>
        <w:t>to</w:t>
      </w:r>
      <w:r w:rsidR="005E0E82" w:rsidRPr="00907907">
        <w:rPr>
          <w:rFonts w:cs="Times New Roman"/>
          <w:lang w:val="en-GB"/>
        </w:rPr>
        <w:t xml:space="preserve"> </w:t>
      </w:r>
      <w:r w:rsidR="00DE6628" w:rsidRPr="00907907">
        <w:rPr>
          <w:rFonts w:cs="Times New Roman"/>
          <w:lang w:val="en-GB"/>
        </w:rPr>
        <w:t xml:space="preserve">expected life span. </w:t>
      </w:r>
      <w:r w:rsidR="007171D2" w:rsidRPr="00907907">
        <w:rPr>
          <w:rFonts w:cs="Times New Roman"/>
          <w:lang w:val="en-GB"/>
        </w:rPr>
        <w:t>The assessments are intended for new builds, with an expected life span of few decades. This short expected lifespan does not go well with buildings that are already much older, and are intended to be kept for future generations.</w:t>
      </w:r>
      <w:r w:rsidR="00F93F9B" w:rsidRPr="00907907">
        <w:rPr>
          <w:rFonts w:cs="Times New Roman"/>
          <w:lang w:val="en-GB"/>
        </w:rPr>
        <w:t xml:space="preserve"> </w:t>
      </w:r>
      <w:r w:rsidR="00DE6628" w:rsidRPr="00907907">
        <w:rPr>
          <w:rFonts w:cs="Times New Roman"/>
          <w:lang w:val="en-GB"/>
        </w:rPr>
        <w:t xml:space="preserve">Conveniently, the </w:t>
      </w:r>
      <w:r w:rsidR="00D76579" w:rsidRPr="00907907">
        <w:rPr>
          <w:rFonts w:cs="Times New Roman"/>
          <w:lang w:val="en-GB"/>
        </w:rPr>
        <w:t>expenses of</w:t>
      </w:r>
      <w:r w:rsidR="00DE6628" w:rsidRPr="00907907">
        <w:rPr>
          <w:rFonts w:cs="Times New Roman"/>
          <w:lang w:val="en-GB"/>
        </w:rPr>
        <w:t xml:space="preserve"> a new build will </w:t>
      </w:r>
      <w:r w:rsidR="005E0E82" w:rsidRPr="00907907">
        <w:rPr>
          <w:rFonts w:cs="Times New Roman"/>
          <w:lang w:val="en-GB"/>
        </w:rPr>
        <w:t>be spread out</w:t>
      </w:r>
      <w:r w:rsidR="00DE6628" w:rsidRPr="00907907">
        <w:rPr>
          <w:rFonts w:cs="Times New Roman"/>
          <w:lang w:val="en-GB"/>
        </w:rPr>
        <w:t xml:space="preserve"> over </w:t>
      </w:r>
      <w:r w:rsidR="005E0E82" w:rsidRPr="00907907">
        <w:rPr>
          <w:rFonts w:cs="Times New Roman"/>
          <w:lang w:val="en-GB"/>
        </w:rPr>
        <w:t xml:space="preserve">a </w:t>
      </w:r>
      <w:r w:rsidR="00DE6628" w:rsidRPr="00907907">
        <w:rPr>
          <w:rFonts w:cs="Times New Roman"/>
          <w:lang w:val="en-GB"/>
        </w:rPr>
        <w:t xml:space="preserve">few decades, which fits well with the </w:t>
      </w:r>
      <w:r w:rsidR="00091999" w:rsidRPr="00907907">
        <w:rPr>
          <w:rFonts w:cs="Times New Roman"/>
          <w:lang w:val="en-GB"/>
        </w:rPr>
        <w:t>life</w:t>
      </w:r>
      <w:r w:rsidR="00DE6628" w:rsidRPr="00907907">
        <w:rPr>
          <w:rFonts w:cs="Times New Roman"/>
          <w:lang w:val="en-GB"/>
        </w:rPr>
        <w:t xml:space="preserve">span </w:t>
      </w:r>
      <w:r w:rsidR="00091999" w:rsidRPr="00907907">
        <w:rPr>
          <w:rFonts w:cs="Times New Roman"/>
          <w:lang w:val="en-GB"/>
        </w:rPr>
        <w:t>of the building</w:t>
      </w:r>
      <w:r w:rsidR="00527D3B" w:rsidRPr="00907907">
        <w:rPr>
          <w:rFonts w:cs="Times New Roman"/>
          <w:lang w:val="en-GB"/>
        </w:rPr>
        <w:t xml:space="preserve"> </w:t>
      </w:r>
      <w:r w:rsidR="00091999" w:rsidRPr="00907907">
        <w:rPr>
          <w:rFonts w:cs="Times New Roman"/>
          <w:lang w:val="en-GB"/>
        </w:rPr>
        <w:t xml:space="preserve">and </w:t>
      </w:r>
      <w:r w:rsidR="00527D3B" w:rsidRPr="00907907">
        <w:rPr>
          <w:rFonts w:cs="Times New Roman"/>
          <w:lang w:val="en-GB"/>
        </w:rPr>
        <w:t xml:space="preserve">with the expected time period before it is necessary </w:t>
      </w:r>
      <w:r w:rsidR="00091999" w:rsidRPr="00907907">
        <w:rPr>
          <w:rFonts w:cs="Times New Roman"/>
          <w:lang w:val="en-GB"/>
        </w:rPr>
        <w:t>for</w:t>
      </w:r>
      <w:r w:rsidR="00527D3B" w:rsidRPr="00907907">
        <w:rPr>
          <w:rFonts w:cs="Times New Roman"/>
          <w:lang w:val="en-GB"/>
        </w:rPr>
        <w:t xml:space="preserve"> major investments </w:t>
      </w:r>
      <w:r w:rsidR="00091999" w:rsidRPr="00907907">
        <w:rPr>
          <w:rFonts w:cs="Times New Roman"/>
          <w:lang w:val="en-GB"/>
        </w:rPr>
        <w:t>in maintenance</w:t>
      </w:r>
      <w:r w:rsidR="00DE6628" w:rsidRPr="00907907">
        <w:rPr>
          <w:rFonts w:cs="Times New Roman"/>
          <w:lang w:val="en-GB"/>
        </w:rPr>
        <w:t>. Historical buildings</w:t>
      </w:r>
      <w:r w:rsidR="00091999" w:rsidRPr="00907907">
        <w:rPr>
          <w:rFonts w:cs="Times New Roman"/>
          <w:lang w:val="en-GB"/>
        </w:rPr>
        <w:t>,</w:t>
      </w:r>
      <w:r w:rsidR="00DE6628" w:rsidRPr="00907907">
        <w:rPr>
          <w:rFonts w:cs="Times New Roman"/>
          <w:lang w:val="en-GB"/>
        </w:rPr>
        <w:t xml:space="preserve"> however</w:t>
      </w:r>
      <w:r w:rsidR="00091999" w:rsidRPr="00907907">
        <w:rPr>
          <w:rFonts w:cs="Times New Roman"/>
          <w:lang w:val="en-GB"/>
        </w:rPr>
        <w:t>,</w:t>
      </w:r>
      <w:r w:rsidR="00DE6628" w:rsidRPr="00907907">
        <w:rPr>
          <w:rFonts w:cs="Times New Roman"/>
          <w:lang w:val="en-GB"/>
        </w:rPr>
        <w:t xml:space="preserve"> are often already much older</w:t>
      </w:r>
      <w:r w:rsidR="00527D3B" w:rsidRPr="00907907">
        <w:rPr>
          <w:rFonts w:cs="Times New Roman"/>
          <w:lang w:val="en-GB"/>
        </w:rPr>
        <w:t xml:space="preserve"> than this expected life span</w:t>
      </w:r>
      <w:r w:rsidR="00DE6628" w:rsidRPr="00907907">
        <w:rPr>
          <w:rFonts w:cs="Times New Roman"/>
          <w:lang w:val="en-GB"/>
        </w:rPr>
        <w:t xml:space="preserve">, </w:t>
      </w:r>
      <w:r w:rsidR="005867EF" w:rsidRPr="00907907">
        <w:rPr>
          <w:rFonts w:cs="Times New Roman"/>
          <w:lang w:val="en-GB"/>
        </w:rPr>
        <w:t>sometimes</w:t>
      </w:r>
      <w:r w:rsidR="00527D3B" w:rsidRPr="00907907">
        <w:rPr>
          <w:rFonts w:cs="Times New Roman"/>
          <w:lang w:val="en-GB"/>
        </w:rPr>
        <w:t xml:space="preserve"> </w:t>
      </w:r>
      <w:r w:rsidR="00DE6628" w:rsidRPr="00907907">
        <w:rPr>
          <w:rFonts w:cs="Times New Roman"/>
          <w:lang w:val="en-GB"/>
        </w:rPr>
        <w:t>by several hundred years</w:t>
      </w:r>
      <w:r w:rsidR="00350086" w:rsidRPr="00907907">
        <w:rPr>
          <w:rFonts w:cs="Times New Roman"/>
          <w:lang w:val="en-GB"/>
        </w:rPr>
        <w:t xml:space="preserve">. Since they </w:t>
      </w:r>
      <w:r w:rsidR="00DE6628" w:rsidRPr="00907907">
        <w:rPr>
          <w:rFonts w:cs="Times New Roman"/>
          <w:lang w:val="en-GB"/>
        </w:rPr>
        <w:t xml:space="preserve">are </w:t>
      </w:r>
      <w:r w:rsidR="00091999" w:rsidRPr="00907907">
        <w:rPr>
          <w:rFonts w:cs="Times New Roman"/>
          <w:lang w:val="en-GB"/>
        </w:rPr>
        <w:t xml:space="preserve">intended </w:t>
      </w:r>
      <w:r w:rsidR="00DE6628" w:rsidRPr="00907907">
        <w:rPr>
          <w:rFonts w:cs="Times New Roman"/>
          <w:lang w:val="en-GB"/>
        </w:rPr>
        <w:t xml:space="preserve">to be kept for future generations, </w:t>
      </w:r>
      <w:r w:rsidR="00350086" w:rsidRPr="00907907">
        <w:rPr>
          <w:rFonts w:cs="Times New Roman"/>
          <w:lang w:val="en-GB"/>
        </w:rPr>
        <w:t>the argument could be made that the cost could be spread out over a</w:t>
      </w:r>
      <w:r w:rsidR="00DE6628" w:rsidRPr="00907907">
        <w:rPr>
          <w:rFonts w:cs="Times New Roman"/>
          <w:lang w:val="en-GB"/>
        </w:rPr>
        <w:t xml:space="preserve"> longer time period</w:t>
      </w:r>
      <w:r w:rsidR="00350086" w:rsidRPr="00907907">
        <w:rPr>
          <w:rFonts w:cs="Times New Roman"/>
          <w:lang w:val="en-GB"/>
        </w:rPr>
        <w:t>. T</w:t>
      </w:r>
      <w:r w:rsidR="00DE6628" w:rsidRPr="00907907">
        <w:rPr>
          <w:rFonts w:cs="Times New Roman"/>
          <w:lang w:val="en-GB"/>
        </w:rPr>
        <w:t xml:space="preserve">his is not </w:t>
      </w:r>
      <w:r w:rsidR="00350086" w:rsidRPr="00907907">
        <w:rPr>
          <w:rFonts w:cs="Times New Roman"/>
          <w:lang w:val="en-GB"/>
        </w:rPr>
        <w:t xml:space="preserve">the </w:t>
      </w:r>
      <w:r w:rsidR="005355ED" w:rsidRPr="00907907">
        <w:rPr>
          <w:rFonts w:cs="Times New Roman"/>
          <w:lang w:val="en-GB"/>
        </w:rPr>
        <w:t>conventional</w:t>
      </w:r>
      <w:r w:rsidR="00350086" w:rsidRPr="00907907">
        <w:rPr>
          <w:rFonts w:cs="Times New Roman"/>
          <w:lang w:val="en-GB"/>
        </w:rPr>
        <w:t xml:space="preserve"> approach, however, </w:t>
      </w:r>
      <w:r w:rsidR="00152323" w:rsidRPr="00907907">
        <w:rPr>
          <w:rFonts w:cs="Times New Roman"/>
          <w:lang w:val="en-GB"/>
        </w:rPr>
        <w:t xml:space="preserve">despite </w:t>
      </w:r>
      <w:r w:rsidR="00350086" w:rsidRPr="00907907">
        <w:rPr>
          <w:rFonts w:cs="Times New Roman"/>
          <w:lang w:val="en-GB"/>
        </w:rPr>
        <w:t xml:space="preserve">requirements </w:t>
      </w:r>
      <w:r w:rsidR="00152323" w:rsidRPr="00907907">
        <w:rPr>
          <w:rFonts w:cs="Times New Roman"/>
          <w:lang w:val="en-GB"/>
        </w:rPr>
        <w:t xml:space="preserve">that </w:t>
      </w:r>
      <w:r w:rsidR="004D6755" w:rsidRPr="00907907">
        <w:rPr>
          <w:rFonts w:cs="Times New Roman"/>
          <w:lang w:val="en-GB"/>
        </w:rPr>
        <w:t xml:space="preserve">an economic analysis should contain all relevant </w:t>
      </w:r>
      <w:r w:rsidR="00D76579" w:rsidRPr="00907907">
        <w:rPr>
          <w:rFonts w:cs="Times New Roman"/>
          <w:lang w:val="en-GB"/>
        </w:rPr>
        <w:t xml:space="preserve">elements </w:t>
      </w:r>
      <w:r w:rsidR="004D6755" w:rsidRPr="00907907">
        <w:rPr>
          <w:rFonts w:cs="Times New Roman"/>
          <w:lang w:val="en-GB"/>
        </w:rPr>
        <w:t xml:space="preserve">in the life </w:t>
      </w:r>
      <w:r w:rsidR="005867EF" w:rsidRPr="00907907">
        <w:rPr>
          <w:rFonts w:cs="Times New Roman"/>
          <w:lang w:val="en-GB"/>
        </w:rPr>
        <w:t>span</w:t>
      </w:r>
      <w:r w:rsidR="004D6755" w:rsidRPr="00907907">
        <w:rPr>
          <w:rFonts w:cs="Times New Roman"/>
          <w:lang w:val="en-GB"/>
        </w:rPr>
        <w:t xml:space="preserve"> of a given action</w:t>
      </w:r>
      <w:r w:rsidR="00350086" w:rsidRPr="00907907">
        <w:rPr>
          <w:rFonts w:cs="Times New Roman"/>
          <w:lang w:val="en-GB"/>
        </w:rPr>
        <w:t xml:space="preserve"> and</w:t>
      </w:r>
      <w:r w:rsidR="00D76579" w:rsidRPr="00907907">
        <w:rPr>
          <w:rFonts w:cs="Times New Roman"/>
          <w:lang w:val="en-GB"/>
        </w:rPr>
        <w:t xml:space="preserve"> that</w:t>
      </w:r>
      <w:r w:rsidR="00350086" w:rsidRPr="00907907">
        <w:rPr>
          <w:rFonts w:cs="Times New Roman"/>
          <w:lang w:val="en-GB"/>
        </w:rPr>
        <w:t xml:space="preserve"> </w:t>
      </w:r>
      <w:r w:rsidR="004D6755" w:rsidRPr="00907907">
        <w:rPr>
          <w:rFonts w:cs="Times New Roman"/>
          <w:lang w:val="en-GB"/>
        </w:rPr>
        <w:t xml:space="preserve">the life </w:t>
      </w:r>
      <w:r w:rsidR="00130FF1" w:rsidRPr="00907907">
        <w:rPr>
          <w:rFonts w:cs="Times New Roman"/>
          <w:lang w:val="en-GB"/>
        </w:rPr>
        <w:t>span</w:t>
      </w:r>
      <w:r w:rsidR="004D6755" w:rsidRPr="00907907">
        <w:rPr>
          <w:rFonts w:cs="Times New Roman"/>
          <w:lang w:val="en-GB"/>
        </w:rPr>
        <w:t xml:space="preserve"> </w:t>
      </w:r>
      <w:r w:rsidR="00130FF1" w:rsidRPr="00907907">
        <w:rPr>
          <w:rFonts w:cs="Times New Roman"/>
          <w:lang w:val="en-GB"/>
        </w:rPr>
        <w:t>should reflect the time period</w:t>
      </w:r>
      <w:r w:rsidR="00006132" w:rsidRPr="00907907">
        <w:rPr>
          <w:rFonts w:cs="Times New Roman"/>
          <w:lang w:val="en-GB"/>
        </w:rPr>
        <w:t xml:space="preserve"> in which</w:t>
      </w:r>
      <w:r w:rsidR="00130FF1" w:rsidRPr="00907907">
        <w:rPr>
          <w:rFonts w:cs="Times New Roman"/>
          <w:lang w:val="en-GB"/>
        </w:rPr>
        <w:t xml:space="preserve"> </w:t>
      </w:r>
      <w:r w:rsidR="00006132" w:rsidRPr="00907907">
        <w:rPr>
          <w:rFonts w:cs="Times New Roman"/>
          <w:lang w:val="en-GB"/>
        </w:rPr>
        <w:t xml:space="preserve">that </w:t>
      </w:r>
      <w:r w:rsidR="00130FF1" w:rsidRPr="00907907">
        <w:rPr>
          <w:rFonts w:cs="Times New Roman"/>
          <w:lang w:val="en-GB"/>
        </w:rPr>
        <w:t>action will be in use or</w:t>
      </w:r>
      <w:r w:rsidR="00091999" w:rsidRPr="00907907">
        <w:rPr>
          <w:rFonts w:cs="Times New Roman"/>
          <w:lang w:val="en-GB"/>
        </w:rPr>
        <w:t xml:space="preserve"> in</w:t>
      </w:r>
      <w:r w:rsidR="00130FF1" w:rsidRPr="00907907">
        <w:rPr>
          <w:rFonts w:cs="Times New Roman"/>
          <w:lang w:val="en-GB"/>
        </w:rPr>
        <w:t xml:space="preserve"> public service. If this is not possible, </w:t>
      </w:r>
      <w:r w:rsidR="00091999" w:rsidRPr="00907907">
        <w:rPr>
          <w:rFonts w:cs="Times New Roman"/>
          <w:lang w:val="en-GB"/>
        </w:rPr>
        <w:t xml:space="preserve">the </w:t>
      </w:r>
      <w:r w:rsidR="00130FF1" w:rsidRPr="00907907">
        <w:rPr>
          <w:rFonts w:cs="Times New Roman"/>
          <w:lang w:val="en-GB"/>
        </w:rPr>
        <w:t>residual</w:t>
      </w:r>
      <w:r w:rsidR="00350086" w:rsidRPr="00907907">
        <w:rPr>
          <w:rFonts w:cs="Times New Roman"/>
          <w:lang w:val="en-GB"/>
        </w:rPr>
        <w:t xml:space="preserve"> value</w:t>
      </w:r>
      <w:r w:rsidR="00130FF1" w:rsidRPr="00907907">
        <w:rPr>
          <w:rFonts w:cs="Times New Roman"/>
          <w:lang w:val="en-GB"/>
        </w:rPr>
        <w:t xml:space="preserve"> should be calculated.</w:t>
      </w:r>
      <w:r w:rsidR="00EB615B" w:rsidRPr="00907907">
        <w:rPr>
          <w:rStyle w:val="EndnoteReference"/>
          <w:rFonts w:cs="Times New Roman"/>
          <w:lang w:val="en-GB"/>
        </w:rPr>
        <w:endnoteReference w:id="38"/>
      </w:r>
      <w:r w:rsidR="00006132" w:rsidRPr="00907907">
        <w:rPr>
          <w:rFonts w:cs="Times New Roman"/>
          <w:lang w:val="en-GB"/>
        </w:rPr>
        <w:t xml:space="preserve"> </w:t>
      </w:r>
      <w:r w:rsidR="00964D89" w:rsidRPr="00907907">
        <w:rPr>
          <w:rFonts w:cs="Times New Roman"/>
          <w:lang w:val="en-GB"/>
        </w:rPr>
        <w:t xml:space="preserve">Protected buildings have residual </w:t>
      </w:r>
      <w:r w:rsidR="00006132" w:rsidRPr="00907907">
        <w:rPr>
          <w:rFonts w:cs="Times New Roman"/>
          <w:lang w:val="en-GB"/>
        </w:rPr>
        <w:t xml:space="preserve">value </w:t>
      </w:r>
      <w:r w:rsidR="00D76579" w:rsidRPr="00907907">
        <w:rPr>
          <w:rFonts w:cs="Times New Roman"/>
          <w:lang w:val="en-GB"/>
        </w:rPr>
        <w:t xml:space="preserve">beyond that of </w:t>
      </w:r>
      <w:r w:rsidR="00964D89" w:rsidRPr="00907907">
        <w:rPr>
          <w:rFonts w:cs="Times New Roman"/>
          <w:lang w:val="en-GB"/>
        </w:rPr>
        <w:t xml:space="preserve">the expected </w:t>
      </w:r>
      <w:r w:rsidR="00006132" w:rsidRPr="00907907">
        <w:rPr>
          <w:rFonts w:cs="Times New Roman"/>
          <w:lang w:val="en-GB"/>
        </w:rPr>
        <w:t>life span</w:t>
      </w:r>
      <w:r w:rsidR="00964D89" w:rsidRPr="00907907">
        <w:rPr>
          <w:rFonts w:cs="Times New Roman"/>
          <w:lang w:val="en-GB"/>
        </w:rPr>
        <w:t xml:space="preserve"> of a new build, but this is </w:t>
      </w:r>
      <w:r w:rsidR="00F94EA0" w:rsidRPr="00907907">
        <w:rPr>
          <w:rFonts w:cs="Times New Roman"/>
          <w:lang w:val="en-GB"/>
        </w:rPr>
        <w:t>typically not displayed in economic analysis today</w:t>
      </w:r>
      <w:r w:rsidR="00AC0ADC" w:rsidRPr="00907907">
        <w:rPr>
          <w:rFonts w:cs="Times New Roman"/>
          <w:lang w:val="en-GB"/>
        </w:rPr>
        <w:t xml:space="preserve">. </w:t>
      </w:r>
      <w:r w:rsidR="00A15E3F" w:rsidRPr="00907907">
        <w:rPr>
          <w:rFonts w:cs="Times New Roman"/>
          <w:lang w:val="en-GB"/>
        </w:rPr>
        <w:t>It is often the opposite: that new builds are assigned</w:t>
      </w:r>
      <w:r w:rsidR="00006132" w:rsidRPr="00907907">
        <w:rPr>
          <w:rFonts w:cs="Times New Roman"/>
          <w:lang w:val="en-GB"/>
        </w:rPr>
        <w:t xml:space="preserve"> a</w:t>
      </w:r>
      <w:r w:rsidR="00A15E3F" w:rsidRPr="00907907">
        <w:rPr>
          <w:rFonts w:cs="Times New Roman"/>
          <w:lang w:val="en-GB"/>
        </w:rPr>
        <w:t xml:space="preserve"> higher residual</w:t>
      </w:r>
      <w:r w:rsidR="00006132" w:rsidRPr="00907907">
        <w:rPr>
          <w:rFonts w:cs="Times New Roman"/>
          <w:lang w:val="en-GB"/>
        </w:rPr>
        <w:t xml:space="preserve"> value</w:t>
      </w:r>
      <w:r w:rsidR="00A15E3F" w:rsidRPr="00907907">
        <w:rPr>
          <w:rFonts w:cs="Times New Roman"/>
          <w:lang w:val="en-GB"/>
        </w:rPr>
        <w:t>.</w:t>
      </w:r>
      <w:r w:rsidR="00AF6D08" w:rsidRPr="00907907">
        <w:rPr>
          <w:rFonts w:cs="Times New Roman"/>
          <w:lang w:val="en-GB"/>
        </w:rPr>
        <w:t xml:space="preserve"> For </w:t>
      </w:r>
      <w:r w:rsidR="00091999" w:rsidRPr="00907907">
        <w:rPr>
          <w:rFonts w:cs="Times New Roman"/>
          <w:lang w:val="en-GB"/>
        </w:rPr>
        <w:t xml:space="preserve">the </w:t>
      </w:r>
      <w:r w:rsidR="00AF6D08" w:rsidRPr="00907907">
        <w:rPr>
          <w:rFonts w:cs="Times New Roman"/>
          <w:lang w:val="en-GB"/>
        </w:rPr>
        <w:t xml:space="preserve">Bergen District Court, the consultants </w:t>
      </w:r>
      <w:r w:rsidR="00091999" w:rsidRPr="00907907">
        <w:rPr>
          <w:rFonts w:cs="Times New Roman"/>
          <w:lang w:val="en-GB"/>
        </w:rPr>
        <w:t>decided</w:t>
      </w:r>
      <w:r w:rsidR="00AF6D08" w:rsidRPr="00907907">
        <w:rPr>
          <w:rFonts w:cs="Times New Roman"/>
          <w:lang w:val="en-GB"/>
        </w:rPr>
        <w:t xml:space="preserve"> that historical buildings should have lower residual value as they are older.</w:t>
      </w:r>
      <w:r w:rsidR="00A15E3F" w:rsidRPr="00907907">
        <w:rPr>
          <w:rStyle w:val="EndnoteReference"/>
          <w:rFonts w:cs="Times New Roman"/>
          <w:lang w:val="en-GB"/>
        </w:rPr>
        <w:endnoteReference w:id="39"/>
      </w:r>
      <w:r w:rsidR="00AF6D08" w:rsidRPr="00907907">
        <w:rPr>
          <w:rFonts w:cs="Times New Roman"/>
          <w:lang w:val="en-GB"/>
        </w:rPr>
        <w:t xml:space="preserve"> For the </w:t>
      </w:r>
      <w:r w:rsidR="00AF6D08" w:rsidRPr="00907907">
        <w:rPr>
          <w:rFonts w:cs="Times New Roman"/>
          <w:bCs/>
          <w:lang w:val="en-GB"/>
        </w:rPr>
        <w:t>Norwegian School of Veterinary Science,</w:t>
      </w:r>
      <w:r w:rsidR="00AF6D08" w:rsidRPr="00907907">
        <w:rPr>
          <w:rFonts w:cs="Times New Roman"/>
          <w:lang w:val="en-GB"/>
        </w:rPr>
        <w:t xml:space="preserve"> </w:t>
      </w:r>
      <w:r w:rsidR="00362FBE" w:rsidRPr="00907907">
        <w:rPr>
          <w:rFonts w:cs="Times New Roman"/>
          <w:lang w:val="en-GB"/>
        </w:rPr>
        <w:t>NVH</w:t>
      </w:r>
      <w:r w:rsidR="00AF6D08" w:rsidRPr="00907907">
        <w:rPr>
          <w:rFonts w:cs="Times New Roman"/>
          <w:lang w:val="en-GB"/>
        </w:rPr>
        <w:t xml:space="preserve">, residual value was only </w:t>
      </w:r>
      <w:r w:rsidR="00006132" w:rsidRPr="00907907">
        <w:rPr>
          <w:rFonts w:cs="Times New Roman"/>
          <w:lang w:val="en-GB"/>
        </w:rPr>
        <w:t xml:space="preserve">considered and calculated </w:t>
      </w:r>
      <w:r w:rsidR="00AF6D08" w:rsidRPr="00907907">
        <w:rPr>
          <w:rFonts w:cs="Times New Roman"/>
          <w:lang w:val="en-GB"/>
        </w:rPr>
        <w:t>for new buildings.</w:t>
      </w:r>
      <w:r w:rsidR="00500AE1" w:rsidRPr="00907907">
        <w:rPr>
          <w:rStyle w:val="EndnoteReference"/>
          <w:rFonts w:cs="Times New Roman"/>
          <w:lang w:val="en-GB"/>
        </w:rPr>
        <w:endnoteReference w:id="40"/>
      </w:r>
      <w:r w:rsidR="00A15E3F" w:rsidRPr="00907907">
        <w:rPr>
          <w:rFonts w:cs="Times New Roman"/>
          <w:lang w:val="en-GB"/>
        </w:rPr>
        <w:t xml:space="preserve"> </w:t>
      </w:r>
      <w:r w:rsidR="00E267B0" w:rsidRPr="00907907">
        <w:rPr>
          <w:rFonts w:cs="Times New Roman"/>
          <w:lang w:val="en-GB"/>
        </w:rPr>
        <w:t>In the examined QA1-documentation, t</w:t>
      </w:r>
      <w:r w:rsidR="00F94EA0" w:rsidRPr="00907907">
        <w:rPr>
          <w:rFonts w:cs="Times New Roman"/>
          <w:lang w:val="en-GB"/>
        </w:rPr>
        <w:t xml:space="preserve">here </w:t>
      </w:r>
      <w:r w:rsidR="00AC0ADC" w:rsidRPr="00907907">
        <w:rPr>
          <w:rFonts w:cs="Times New Roman"/>
          <w:lang w:val="en-GB"/>
        </w:rPr>
        <w:t xml:space="preserve">is </w:t>
      </w:r>
      <w:r w:rsidR="00F94EA0" w:rsidRPr="00907907">
        <w:rPr>
          <w:rFonts w:cs="Times New Roman"/>
          <w:lang w:val="en-GB"/>
        </w:rPr>
        <w:t xml:space="preserve">often </w:t>
      </w:r>
      <w:r w:rsidR="00AC0ADC" w:rsidRPr="00907907">
        <w:rPr>
          <w:rFonts w:cs="Times New Roman"/>
          <w:lang w:val="en-GB"/>
        </w:rPr>
        <w:t>a sliding transition between a building</w:t>
      </w:r>
      <w:r w:rsidR="00E540D6" w:rsidRPr="00907907">
        <w:rPr>
          <w:rFonts w:cs="Times New Roman"/>
          <w:lang w:val="en-GB"/>
        </w:rPr>
        <w:t>’</w:t>
      </w:r>
      <w:r w:rsidR="00AC0ADC" w:rsidRPr="00907907">
        <w:rPr>
          <w:rFonts w:cs="Times New Roman"/>
          <w:lang w:val="en-GB"/>
        </w:rPr>
        <w:t>s life</w:t>
      </w:r>
      <w:r w:rsidR="00E540D6" w:rsidRPr="00907907">
        <w:rPr>
          <w:rFonts w:cs="Times New Roman"/>
          <w:lang w:val="en-GB"/>
        </w:rPr>
        <w:t xml:space="preserve"> </w:t>
      </w:r>
      <w:r w:rsidR="00AC0ADC" w:rsidRPr="00907907">
        <w:rPr>
          <w:rFonts w:cs="Times New Roman"/>
          <w:lang w:val="en-GB"/>
        </w:rPr>
        <w:t xml:space="preserve">span and the life span of investments made in the building. </w:t>
      </w:r>
      <w:r w:rsidR="00FC7D3D" w:rsidRPr="00907907">
        <w:rPr>
          <w:rFonts w:cs="Times New Roman"/>
          <w:lang w:val="en-GB"/>
        </w:rPr>
        <w:t xml:space="preserve">This seems to come from </w:t>
      </w:r>
      <w:r w:rsidR="00345831" w:rsidRPr="00907907">
        <w:rPr>
          <w:rFonts w:cs="Times New Roman"/>
          <w:lang w:val="en-GB"/>
        </w:rPr>
        <w:t>reasoning</w:t>
      </w:r>
      <w:r w:rsidR="00FC7D3D" w:rsidRPr="00907907">
        <w:rPr>
          <w:rFonts w:cs="Times New Roman"/>
          <w:lang w:val="en-GB"/>
        </w:rPr>
        <w:t xml:space="preserve"> that it costs more or less the same to demolish and build new, as to rehabilitate after </w:t>
      </w:r>
      <w:r w:rsidR="00345831" w:rsidRPr="00907907">
        <w:rPr>
          <w:rFonts w:cs="Times New Roman"/>
          <w:lang w:val="en-GB"/>
        </w:rPr>
        <w:t>a few decades</w:t>
      </w:r>
      <w:r w:rsidR="00252316" w:rsidRPr="00907907">
        <w:rPr>
          <w:rFonts w:cs="Times New Roman"/>
          <w:lang w:val="en-GB"/>
        </w:rPr>
        <w:t>, as the cost of a renovation weighs out the residual value of the building</w:t>
      </w:r>
      <w:r w:rsidR="00FC7D3D" w:rsidRPr="00907907">
        <w:rPr>
          <w:rFonts w:cs="Times New Roman"/>
          <w:lang w:val="en-GB"/>
        </w:rPr>
        <w:t xml:space="preserve">. </w:t>
      </w:r>
      <w:r w:rsidR="00252316" w:rsidRPr="00907907">
        <w:rPr>
          <w:rFonts w:cs="Times New Roman"/>
          <w:lang w:val="en-GB"/>
        </w:rPr>
        <w:t xml:space="preserve">This makes little sense for protected buildings. </w:t>
      </w:r>
      <w:r w:rsidR="00C22AF4" w:rsidRPr="00907907">
        <w:rPr>
          <w:rFonts w:cs="Times New Roman"/>
          <w:lang w:val="en-GB"/>
        </w:rPr>
        <w:t>Regardless</w:t>
      </w:r>
      <w:r w:rsidR="002E7A0F" w:rsidRPr="00907907">
        <w:rPr>
          <w:rFonts w:cs="Times New Roman"/>
          <w:lang w:val="en-GB"/>
        </w:rPr>
        <w:t xml:space="preserve">, a building’s life span and the life span of investments made in the building should be kept apart. </w:t>
      </w:r>
      <w:r w:rsidR="00E540D6" w:rsidRPr="00907907">
        <w:rPr>
          <w:rFonts w:cs="Times New Roman"/>
          <w:lang w:val="en-GB"/>
        </w:rPr>
        <w:t>E</w:t>
      </w:r>
      <w:r w:rsidR="00AC0ADC" w:rsidRPr="00907907">
        <w:rPr>
          <w:rFonts w:cs="Times New Roman"/>
          <w:lang w:val="en-GB"/>
        </w:rPr>
        <w:t xml:space="preserve">ven if </w:t>
      </w:r>
      <w:r w:rsidR="00E540D6" w:rsidRPr="00907907">
        <w:rPr>
          <w:rFonts w:cs="Times New Roman"/>
          <w:lang w:val="en-GB"/>
        </w:rPr>
        <w:t>it is necessary to</w:t>
      </w:r>
      <w:r w:rsidR="00AC0ADC" w:rsidRPr="00907907">
        <w:rPr>
          <w:rFonts w:cs="Times New Roman"/>
          <w:lang w:val="en-GB"/>
        </w:rPr>
        <w:t xml:space="preserve"> rehabilitate a historical building all over again after 40 years, this is not the same as the historical building </w:t>
      </w:r>
      <w:r w:rsidR="00DC3EEA" w:rsidRPr="00907907">
        <w:rPr>
          <w:rFonts w:cs="Times New Roman"/>
          <w:lang w:val="en-GB"/>
        </w:rPr>
        <w:t xml:space="preserve">then </w:t>
      </w:r>
      <w:r w:rsidR="00AC0ADC" w:rsidRPr="00907907">
        <w:rPr>
          <w:rFonts w:cs="Times New Roman"/>
          <w:lang w:val="en-GB"/>
        </w:rPr>
        <w:t xml:space="preserve">being worthless. </w:t>
      </w:r>
      <w:r w:rsidR="00265E1B" w:rsidRPr="00907907">
        <w:rPr>
          <w:rFonts w:cs="Times New Roman"/>
          <w:lang w:val="en-GB"/>
        </w:rPr>
        <w:t xml:space="preserve">It is </w:t>
      </w:r>
      <w:r w:rsidR="00E540D6" w:rsidRPr="00907907">
        <w:rPr>
          <w:rFonts w:cs="Times New Roman"/>
          <w:lang w:val="en-GB"/>
        </w:rPr>
        <w:t xml:space="preserve">actually </w:t>
      </w:r>
      <w:r w:rsidR="00265E1B" w:rsidRPr="00907907">
        <w:rPr>
          <w:rFonts w:cs="Times New Roman"/>
          <w:lang w:val="en-GB"/>
        </w:rPr>
        <w:t xml:space="preserve">the </w:t>
      </w:r>
      <w:r w:rsidR="00E540D6" w:rsidRPr="00907907">
        <w:rPr>
          <w:rFonts w:cs="Times New Roman"/>
          <w:lang w:val="en-GB"/>
        </w:rPr>
        <w:t>opposite</w:t>
      </w:r>
      <w:r w:rsidR="00265E1B" w:rsidRPr="00907907">
        <w:rPr>
          <w:rFonts w:cs="Times New Roman"/>
          <w:lang w:val="en-GB"/>
        </w:rPr>
        <w:t>, as</w:t>
      </w:r>
      <w:r w:rsidR="00AC0ADC" w:rsidRPr="00907907">
        <w:rPr>
          <w:rFonts w:cs="Times New Roman"/>
          <w:lang w:val="en-GB"/>
        </w:rPr>
        <w:t xml:space="preserve"> </w:t>
      </w:r>
      <w:r w:rsidR="00E540D6" w:rsidRPr="00907907">
        <w:rPr>
          <w:rFonts w:cs="Times New Roman"/>
          <w:lang w:val="en-GB"/>
        </w:rPr>
        <w:t xml:space="preserve">the value of </w:t>
      </w:r>
      <w:r w:rsidR="00AC0ADC" w:rsidRPr="00907907">
        <w:rPr>
          <w:rFonts w:cs="Times New Roman"/>
          <w:lang w:val="en-GB"/>
        </w:rPr>
        <w:t xml:space="preserve">cultural heritage </w:t>
      </w:r>
      <w:r w:rsidR="00265E1B" w:rsidRPr="00907907">
        <w:rPr>
          <w:rFonts w:cs="Times New Roman"/>
          <w:lang w:val="en-GB"/>
        </w:rPr>
        <w:t>can</w:t>
      </w:r>
      <w:r w:rsidR="00AC0ADC" w:rsidRPr="00907907">
        <w:rPr>
          <w:rFonts w:cs="Times New Roman"/>
          <w:lang w:val="en-GB"/>
        </w:rPr>
        <w:t xml:space="preserve"> </w:t>
      </w:r>
      <w:r w:rsidR="00893047" w:rsidRPr="00907907">
        <w:rPr>
          <w:rFonts w:cs="Times New Roman"/>
          <w:lang w:val="en-GB"/>
        </w:rPr>
        <w:t>increase</w:t>
      </w:r>
      <w:r w:rsidR="00DB5348" w:rsidRPr="00907907">
        <w:rPr>
          <w:rFonts w:cs="Times New Roman"/>
          <w:lang w:val="en-GB"/>
        </w:rPr>
        <w:t xml:space="preserve"> over time</w:t>
      </w:r>
      <w:r w:rsidR="00E540D6" w:rsidRPr="00907907">
        <w:rPr>
          <w:rFonts w:cs="Times New Roman"/>
          <w:lang w:val="en-GB"/>
        </w:rPr>
        <w:t xml:space="preserve"> and </w:t>
      </w:r>
      <w:r w:rsidR="00893047" w:rsidRPr="00907907">
        <w:rPr>
          <w:rFonts w:cs="Times New Roman"/>
          <w:lang w:val="en-GB"/>
        </w:rPr>
        <w:t>older buildings can</w:t>
      </w:r>
      <w:r w:rsidR="00E540D6" w:rsidRPr="00907907">
        <w:rPr>
          <w:rFonts w:cs="Times New Roman"/>
          <w:lang w:val="en-GB"/>
        </w:rPr>
        <w:t xml:space="preserve"> often</w:t>
      </w:r>
      <w:r w:rsidR="00893047" w:rsidRPr="00907907">
        <w:rPr>
          <w:rFonts w:cs="Times New Roman"/>
          <w:lang w:val="en-GB"/>
        </w:rPr>
        <w:t xml:space="preserve"> be more durable than new builds.</w:t>
      </w:r>
      <w:r w:rsidR="00644629" w:rsidRPr="00907907">
        <w:rPr>
          <w:rStyle w:val="EndnoteReference"/>
          <w:rFonts w:cs="Times New Roman"/>
          <w:lang w:val="en-GB"/>
        </w:rPr>
        <w:endnoteReference w:id="41"/>
      </w:r>
      <w:r w:rsidR="00893047" w:rsidRPr="00907907">
        <w:rPr>
          <w:rFonts w:cs="Times New Roman"/>
          <w:lang w:val="en-GB"/>
        </w:rPr>
        <w:t xml:space="preserve"> </w:t>
      </w:r>
      <w:r w:rsidR="00E540D6" w:rsidRPr="00907907">
        <w:rPr>
          <w:rFonts w:cs="Times New Roman"/>
          <w:lang w:val="en-GB"/>
        </w:rPr>
        <w:t>Unfortunately,</w:t>
      </w:r>
      <w:r w:rsidR="00893047" w:rsidRPr="00907907">
        <w:rPr>
          <w:rFonts w:cs="Times New Roman"/>
          <w:lang w:val="en-GB"/>
        </w:rPr>
        <w:t xml:space="preserve"> this is not always recognized. </w:t>
      </w:r>
    </w:p>
    <w:p w14:paraId="2509AA0E" w14:textId="22CA1499" w:rsidR="00DE6628" w:rsidRPr="00907907" w:rsidRDefault="00D9300A" w:rsidP="0060040B">
      <w:pPr>
        <w:pStyle w:val="Heading2"/>
      </w:pPr>
      <w:r w:rsidRPr="00907907">
        <w:t>Unintended results of complex, political processes</w:t>
      </w:r>
    </w:p>
    <w:p w14:paraId="32C219B6" w14:textId="1CC876C8" w:rsidR="00B90151" w:rsidRPr="00907907" w:rsidRDefault="00B90151" w:rsidP="003436AC">
      <w:pPr>
        <w:spacing w:after="336"/>
        <w:rPr>
          <w:rFonts w:cs="Times New Roman"/>
          <w:lang w:val="en-GB"/>
        </w:rPr>
      </w:pPr>
      <w:r w:rsidRPr="00907907">
        <w:rPr>
          <w:rFonts w:cs="Times New Roman"/>
          <w:lang w:val="en-GB"/>
        </w:rPr>
        <w:t>QA1</w:t>
      </w:r>
      <w:r w:rsidR="00B00E60" w:rsidRPr="00907907">
        <w:rPr>
          <w:rFonts w:cs="Times New Roman"/>
          <w:lang w:val="en-GB"/>
        </w:rPr>
        <w:t>-</w:t>
      </w:r>
      <w:r w:rsidRPr="00907907">
        <w:rPr>
          <w:rFonts w:cs="Times New Roman"/>
          <w:lang w:val="en-GB"/>
        </w:rPr>
        <w:t>documentation is integrated with political processes, and both the documentation itself and related subjects can be affected by political decisions. This is seen when</w:t>
      </w:r>
      <w:r w:rsidR="00E540D6" w:rsidRPr="00907907">
        <w:rPr>
          <w:rFonts w:cs="Times New Roman"/>
          <w:lang w:val="en-GB"/>
        </w:rPr>
        <w:t xml:space="preserve"> the</w:t>
      </w:r>
      <w:r w:rsidRPr="00907907">
        <w:rPr>
          <w:rFonts w:cs="Times New Roman"/>
          <w:lang w:val="en-GB"/>
        </w:rPr>
        <w:t xml:space="preserve"> historical buildings</w:t>
      </w:r>
      <w:r w:rsidR="00E540D6" w:rsidRPr="00907907">
        <w:rPr>
          <w:rFonts w:cs="Times New Roman"/>
          <w:lang w:val="en-GB"/>
        </w:rPr>
        <w:t xml:space="preserve"> of</w:t>
      </w:r>
      <w:r w:rsidRPr="00907907">
        <w:rPr>
          <w:rFonts w:cs="Times New Roman"/>
          <w:lang w:val="en-GB"/>
        </w:rPr>
        <w:t xml:space="preserve"> </w:t>
      </w:r>
      <w:r w:rsidR="00E540D6" w:rsidRPr="00907907">
        <w:rPr>
          <w:rFonts w:cs="Times New Roman"/>
          <w:lang w:val="en-GB"/>
        </w:rPr>
        <w:t xml:space="preserve">institutions </w:t>
      </w:r>
      <w:r w:rsidRPr="00907907">
        <w:rPr>
          <w:rFonts w:cs="Times New Roman"/>
          <w:lang w:val="en-GB"/>
        </w:rPr>
        <w:t xml:space="preserve">are </w:t>
      </w:r>
      <w:r w:rsidR="00D76579" w:rsidRPr="00907907">
        <w:rPr>
          <w:rFonts w:cs="Times New Roman"/>
          <w:lang w:val="en-GB"/>
        </w:rPr>
        <w:t xml:space="preserve">becoming </w:t>
      </w:r>
      <w:r w:rsidRPr="00907907">
        <w:rPr>
          <w:rFonts w:cs="Times New Roman"/>
          <w:lang w:val="en-GB"/>
        </w:rPr>
        <w:t>too small</w:t>
      </w:r>
      <w:r w:rsidR="00E540D6" w:rsidRPr="00907907">
        <w:rPr>
          <w:rFonts w:cs="Times New Roman"/>
          <w:lang w:val="en-GB"/>
        </w:rPr>
        <w:t>—</w:t>
      </w:r>
      <w:r w:rsidRPr="00907907">
        <w:rPr>
          <w:rFonts w:cs="Times New Roman"/>
          <w:lang w:val="en-GB"/>
        </w:rPr>
        <w:t xml:space="preserve">not because the </w:t>
      </w:r>
      <w:r w:rsidR="00395C36" w:rsidRPr="00907907">
        <w:rPr>
          <w:rFonts w:cs="Times New Roman"/>
          <w:lang w:val="en-GB"/>
        </w:rPr>
        <w:t xml:space="preserve">established </w:t>
      </w:r>
      <w:r w:rsidRPr="00907907">
        <w:rPr>
          <w:rFonts w:cs="Times New Roman"/>
          <w:lang w:val="en-GB"/>
        </w:rPr>
        <w:t xml:space="preserve">institution is </w:t>
      </w:r>
      <w:r w:rsidR="00395C36" w:rsidRPr="00907907">
        <w:rPr>
          <w:rFonts w:cs="Times New Roman"/>
          <w:lang w:val="en-GB"/>
        </w:rPr>
        <w:t>expanding</w:t>
      </w:r>
      <w:r w:rsidRPr="00907907">
        <w:rPr>
          <w:rFonts w:cs="Times New Roman"/>
          <w:lang w:val="en-GB"/>
        </w:rPr>
        <w:t xml:space="preserve">, but because </w:t>
      </w:r>
      <w:r w:rsidR="00A6607B" w:rsidRPr="00907907">
        <w:rPr>
          <w:rFonts w:cs="Times New Roman"/>
          <w:lang w:val="en-GB"/>
        </w:rPr>
        <w:t xml:space="preserve">several </w:t>
      </w:r>
      <w:r w:rsidRPr="00907907">
        <w:rPr>
          <w:rFonts w:cs="Times New Roman"/>
          <w:lang w:val="en-GB"/>
        </w:rPr>
        <w:t xml:space="preserve">institutions </w:t>
      </w:r>
      <w:r w:rsidR="00A6607B" w:rsidRPr="00907907">
        <w:rPr>
          <w:rFonts w:cs="Times New Roman"/>
          <w:lang w:val="en-GB"/>
        </w:rPr>
        <w:t xml:space="preserve">are </w:t>
      </w:r>
      <w:r w:rsidRPr="00907907">
        <w:rPr>
          <w:rFonts w:cs="Times New Roman"/>
          <w:lang w:val="en-GB"/>
        </w:rPr>
        <w:t>being merged, typically to reclaim scale economies. This was the case for</w:t>
      </w:r>
      <w:r w:rsidR="00E540D6" w:rsidRPr="00907907">
        <w:rPr>
          <w:rFonts w:cs="Times New Roman"/>
          <w:lang w:val="en-GB"/>
        </w:rPr>
        <w:t xml:space="preserve"> the</w:t>
      </w:r>
      <w:r w:rsidRPr="00907907">
        <w:rPr>
          <w:rFonts w:cs="Times New Roman"/>
          <w:lang w:val="en-GB"/>
        </w:rPr>
        <w:t xml:space="preserve"> Bergen District Courthouse</w:t>
      </w:r>
      <w:r w:rsidR="002F2530" w:rsidRPr="00907907">
        <w:rPr>
          <w:rFonts w:cs="Times New Roman"/>
          <w:lang w:val="en-GB"/>
        </w:rPr>
        <w:t xml:space="preserve"> </w:t>
      </w:r>
      <w:r w:rsidR="00E540D6" w:rsidRPr="00907907">
        <w:rPr>
          <w:rFonts w:cs="Times New Roman"/>
          <w:lang w:val="en-GB"/>
        </w:rPr>
        <w:t xml:space="preserve">that, </w:t>
      </w:r>
      <w:r w:rsidR="002F2530" w:rsidRPr="00907907">
        <w:rPr>
          <w:rFonts w:cs="Times New Roman"/>
          <w:lang w:val="en-GB"/>
        </w:rPr>
        <w:t xml:space="preserve">before </w:t>
      </w:r>
      <w:r w:rsidR="00E434D9" w:rsidRPr="00907907">
        <w:rPr>
          <w:rFonts w:cs="Times New Roman"/>
          <w:lang w:val="en-GB"/>
        </w:rPr>
        <w:t>such a merge</w:t>
      </w:r>
      <w:r w:rsidR="006B1034" w:rsidRPr="00907907">
        <w:rPr>
          <w:rFonts w:cs="Times New Roman"/>
          <w:lang w:val="en-GB"/>
        </w:rPr>
        <w:t>,</w:t>
      </w:r>
      <w:r w:rsidR="00E434D9" w:rsidRPr="00907907">
        <w:rPr>
          <w:rStyle w:val="EndnoteReference"/>
          <w:rFonts w:cs="Times New Roman"/>
          <w:lang w:val="en-GB"/>
        </w:rPr>
        <w:endnoteReference w:id="42"/>
      </w:r>
      <w:r w:rsidR="00E434D9" w:rsidRPr="00907907">
        <w:rPr>
          <w:rFonts w:cs="Times New Roman"/>
          <w:lang w:val="en-GB"/>
        </w:rPr>
        <w:t xml:space="preserve"> </w:t>
      </w:r>
      <w:r w:rsidR="002F2530" w:rsidRPr="00907907">
        <w:rPr>
          <w:rFonts w:cs="Times New Roman"/>
          <w:lang w:val="en-GB"/>
        </w:rPr>
        <w:t>had large empty areas, according to OPAK.</w:t>
      </w:r>
      <w:r w:rsidR="00626E3B" w:rsidRPr="00907907">
        <w:rPr>
          <w:rStyle w:val="EndnoteReference"/>
          <w:rFonts w:cs="Times New Roman"/>
          <w:lang w:val="en-GB"/>
        </w:rPr>
        <w:endnoteReference w:id="43"/>
      </w:r>
      <w:r w:rsidR="002F2530" w:rsidRPr="00907907">
        <w:rPr>
          <w:rFonts w:cs="Times New Roman"/>
          <w:lang w:val="en-GB"/>
        </w:rPr>
        <w:t xml:space="preserve"> When buildings are deemed too small because the institutions are getting bigger in </w:t>
      </w:r>
      <w:r w:rsidR="00E540D6" w:rsidRPr="00907907">
        <w:rPr>
          <w:rFonts w:cs="Times New Roman"/>
          <w:lang w:val="en-GB"/>
        </w:rPr>
        <w:t>the pursuit of</w:t>
      </w:r>
      <w:r w:rsidR="002F2530" w:rsidRPr="00907907">
        <w:rPr>
          <w:rFonts w:cs="Times New Roman"/>
          <w:lang w:val="en-GB"/>
        </w:rPr>
        <w:t xml:space="preserve"> efficiency, the connections between established institutions and their traditional buildings are sometimes ignored. For the </w:t>
      </w:r>
      <w:r w:rsidR="005867EF" w:rsidRPr="00907907">
        <w:rPr>
          <w:rFonts w:cs="Times New Roman"/>
          <w:lang w:val="en-GB"/>
        </w:rPr>
        <w:t>theatre</w:t>
      </w:r>
      <w:r w:rsidR="002F2530" w:rsidRPr="00907907">
        <w:rPr>
          <w:rFonts w:cs="Times New Roman"/>
          <w:lang w:val="en-GB"/>
        </w:rPr>
        <w:t xml:space="preserve"> in </w:t>
      </w:r>
      <w:r w:rsidR="00436A77" w:rsidRPr="00907907">
        <w:rPr>
          <w:rFonts w:cs="Times New Roman"/>
          <w:lang w:val="en-GB"/>
        </w:rPr>
        <w:t xml:space="preserve">Bergen, Den Nationale Scene, this connection was </w:t>
      </w:r>
      <w:r w:rsidR="00DC0ABC" w:rsidRPr="00907907">
        <w:rPr>
          <w:rFonts w:cs="Times New Roman"/>
          <w:lang w:val="en-GB"/>
        </w:rPr>
        <w:t>recognized:</w:t>
      </w:r>
      <w:r w:rsidR="00436A77" w:rsidRPr="00907907">
        <w:rPr>
          <w:rFonts w:cs="Times New Roman"/>
          <w:lang w:val="en-GB"/>
        </w:rPr>
        <w:t xml:space="preserve"> </w:t>
      </w:r>
    </w:p>
    <w:p w14:paraId="592732E9" w14:textId="712A1132" w:rsidR="00340EEA" w:rsidRPr="00907907" w:rsidRDefault="00340EEA" w:rsidP="00DF44A4">
      <w:pPr>
        <w:pStyle w:val="Quote"/>
        <w:rPr>
          <w:rFonts w:cs="Times New Roman"/>
        </w:rPr>
      </w:pPr>
      <w:r w:rsidRPr="00907907">
        <w:rPr>
          <w:rFonts w:cs="Times New Roman"/>
        </w:rPr>
        <w:t xml:space="preserve">Cultural heritage </w:t>
      </w:r>
      <w:r w:rsidR="00F56C9B" w:rsidRPr="00907907">
        <w:rPr>
          <w:rFonts w:cs="Times New Roman"/>
        </w:rPr>
        <w:t xml:space="preserve">protection </w:t>
      </w:r>
      <w:r w:rsidRPr="00907907">
        <w:rPr>
          <w:rFonts w:cs="Times New Roman"/>
        </w:rPr>
        <w:t xml:space="preserve">as a whole must include two inseparable parts, namely the building as well as the inherent </w:t>
      </w:r>
      <w:r w:rsidR="00366147" w:rsidRPr="00907907">
        <w:rPr>
          <w:rFonts w:cs="Times New Roman"/>
        </w:rPr>
        <w:t>theatre</w:t>
      </w:r>
      <w:r w:rsidRPr="00907907">
        <w:rPr>
          <w:rFonts w:cs="Times New Roman"/>
        </w:rPr>
        <w:t xml:space="preserve"> activity</w:t>
      </w:r>
      <w:r w:rsidR="006B1034" w:rsidRPr="00907907">
        <w:rPr>
          <w:rFonts w:cs="Times New Roman"/>
        </w:rPr>
        <w:t>.</w:t>
      </w:r>
      <w:r w:rsidR="005E296D" w:rsidRPr="00907907">
        <w:rPr>
          <w:rStyle w:val="EndnoteReference"/>
          <w:rFonts w:cs="Times New Roman"/>
        </w:rPr>
        <w:endnoteReference w:id="44"/>
      </w:r>
    </w:p>
    <w:p w14:paraId="7A71A5E7" w14:textId="77777777" w:rsidR="00963218" w:rsidRPr="00907907" w:rsidRDefault="00963218" w:rsidP="00236B6E">
      <w:pPr>
        <w:pStyle w:val="Quote"/>
        <w:rPr>
          <w:rFonts w:cs="Times New Roman"/>
        </w:rPr>
      </w:pPr>
    </w:p>
    <w:p w14:paraId="12077541" w14:textId="0FB8F63B" w:rsidR="00B90151" w:rsidRPr="00907907" w:rsidRDefault="00D02C49" w:rsidP="00236B6E">
      <w:pPr>
        <w:rPr>
          <w:rFonts w:cs="Times New Roman"/>
          <w:lang w:val="en-GB"/>
        </w:rPr>
      </w:pPr>
      <w:r w:rsidRPr="00907907">
        <w:rPr>
          <w:rFonts w:cs="Times New Roman"/>
          <w:lang w:val="en-GB"/>
        </w:rPr>
        <w:t xml:space="preserve">Sadly, this is not always the case. </w:t>
      </w:r>
      <w:r w:rsidR="0070423C" w:rsidRPr="00907907">
        <w:rPr>
          <w:rFonts w:cs="Times New Roman"/>
          <w:lang w:val="en-GB"/>
        </w:rPr>
        <w:t xml:space="preserve">Ignoring connections between institutions and their </w:t>
      </w:r>
      <w:r w:rsidR="00F56C9B" w:rsidRPr="00907907">
        <w:rPr>
          <w:rFonts w:cs="Times New Roman"/>
          <w:lang w:val="en-GB"/>
        </w:rPr>
        <w:t xml:space="preserve">historical buildings can </w:t>
      </w:r>
      <w:r w:rsidR="00E07310" w:rsidRPr="00907907">
        <w:rPr>
          <w:rFonts w:cs="Times New Roman"/>
          <w:lang w:val="en-GB"/>
        </w:rPr>
        <w:t xml:space="preserve">undermine the political feasibility of a measure, as seen with </w:t>
      </w:r>
      <w:r w:rsidR="00BB148A" w:rsidRPr="00907907">
        <w:rPr>
          <w:rFonts w:cs="Times New Roman"/>
          <w:lang w:val="en-GB"/>
        </w:rPr>
        <w:t xml:space="preserve">the National Gallery </w:t>
      </w:r>
      <w:r w:rsidR="008661DE" w:rsidRPr="00907907">
        <w:rPr>
          <w:rFonts w:cs="Times New Roman"/>
          <w:lang w:val="en-GB"/>
        </w:rPr>
        <w:t xml:space="preserve">building </w:t>
      </w:r>
      <w:r w:rsidR="00BB148A" w:rsidRPr="00907907">
        <w:rPr>
          <w:rFonts w:cs="Times New Roman"/>
          <w:lang w:val="en-GB"/>
        </w:rPr>
        <w:t>and the new Government Quarters project.</w:t>
      </w:r>
      <w:r w:rsidR="00BB2F25" w:rsidRPr="00907907">
        <w:rPr>
          <w:rStyle w:val="EndnoteReference"/>
          <w:rFonts w:cs="Times New Roman"/>
          <w:lang w:val="en-GB"/>
        </w:rPr>
        <w:endnoteReference w:id="45"/>
      </w:r>
      <w:r w:rsidR="00E540D6" w:rsidRPr="00907907">
        <w:rPr>
          <w:rFonts w:cs="Times New Roman"/>
          <w:vertAlign w:val="superscript"/>
          <w:lang w:val="en-GB"/>
        </w:rPr>
        <w:t xml:space="preserve">, </w:t>
      </w:r>
      <w:r w:rsidR="00185E26" w:rsidRPr="00907907">
        <w:rPr>
          <w:rStyle w:val="EndnoteReference"/>
          <w:rFonts w:cs="Times New Roman"/>
          <w:lang w:val="en-GB"/>
        </w:rPr>
        <w:endnoteReference w:id="46"/>
      </w:r>
      <w:r w:rsidR="00416451" w:rsidRPr="00907907">
        <w:rPr>
          <w:rFonts w:cs="Times New Roman"/>
          <w:lang w:val="en-GB"/>
        </w:rPr>
        <w:t xml:space="preserve"> </w:t>
      </w:r>
      <w:r w:rsidR="009800FB" w:rsidRPr="00907907">
        <w:rPr>
          <w:rFonts w:cs="Times New Roman"/>
          <w:lang w:val="en-GB"/>
        </w:rPr>
        <w:t xml:space="preserve">Political </w:t>
      </w:r>
      <w:r w:rsidR="005867EF" w:rsidRPr="00907907">
        <w:rPr>
          <w:rFonts w:cs="Times New Roman"/>
          <w:lang w:val="en-GB"/>
        </w:rPr>
        <w:t>feasibility</w:t>
      </w:r>
      <w:r w:rsidR="00B12BFF" w:rsidRPr="00907907">
        <w:rPr>
          <w:rFonts w:cs="Times New Roman"/>
          <w:lang w:val="en-GB"/>
        </w:rPr>
        <w:t xml:space="preserve"> was commented on in the Tullinløkka project</w:t>
      </w:r>
      <w:r w:rsidR="00E540D6" w:rsidRPr="00907907">
        <w:rPr>
          <w:rFonts w:cs="Times New Roman"/>
          <w:lang w:val="en-GB"/>
        </w:rPr>
        <w:t>,</w:t>
      </w:r>
      <w:r w:rsidR="009800FB" w:rsidRPr="00907907">
        <w:rPr>
          <w:rFonts w:cs="Times New Roman"/>
          <w:lang w:val="en-GB"/>
        </w:rPr>
        <w:t xml:space="preserve"> both regarding costs and the public ties to the historical buildings</w:t>
      </w:r>
      <w:r w:rsidR="00B12BFF" w:rsidRPr="00907907">
        <w:rPr>
          <w:rFonts w:cs="Times New Roman"/>
          <w:lang w:val="en-GB"/>
        </w:rPr>
        <w:t>.</w:t>
      </w:r>
      <w:r w:rsidR="009800FB" w:rsidRPr="00907907">
        <w:rPr>
          <w:rStyle w:val="EndnoteReference"/>
          <w:rFonts w:cs="Times New Roman"/>
          <w:lang w:val="en-GB"/>
        </w:rPr>
        <w:endnoteReference w:id="47"/>
      </w:r>
    </w:p>
    <w:p w14:paraId="3B0587CD" w14:textId="45550950" w:rsidR="00416451" w:rsidRPr="00907907" w:rsidRDefault="00416451" w:rsidP="00236B6E">
      <w:pPr>
        <w:rPr>
          <w:rFonts w:cs="Times New Roman"/>
          <w:lang w:val="en-GB"/>
        </w:rPr>
      </w:pPr>
      <w:r w:rsidRPr="00907907">
        <w:rPr>
          <w:rFonts w:cs="Times New Roman"/>
          <w:lang w:val="en-GB"/>
        </w:rPr>
        <w:t>For the New National Museum, political decisions were slighted</w:t>
      </w:r>
      <w:r w:rsidR="004F4FF5" w:rsidRPr="00907907">
        <w:rPr>
          <w:rFonts w:cs="Times New Roman"/>
          <w:lang w:val="en-GB"/>
        </w:rPr>
        <w:t>, with unclear reasoning</w:t>
      </w:r>
      <w:r w:rsidR="00B96715" w:rsidRPr="00907907">
        <w:rPr>
          <w:rFonts w:cs="Times New Roman"/>
          <w:lang w:val="en-GB"/>
        </w:rPr>
        <w:t xml:space="preserve">: </w:t>
      </w:r>
    </w:p>
    <w:p w14:paraId="4F958176" w14:textId="77777777" w:rsidR="00B96715" w:rsidRPr="00907907" w:rsidRDefault="00B96715" w:rsidP="00236B6E">
      <w:pPr>
        <w:rPr>
          <w:rFonts w:cs="Times New Roman"/>
          <w:lang w:val="en-GB"/>
        </w:rPr>
      </w:pPr>
    </w:p>
    <w:p w14:paraId="5B0AED83" w14:textId="33253A13" w:rsidR="00E402C4" w:rsidRPr="00907907" w:rsidRDefault="005C4C15" w:rsidP="00236B6E">
      <w:pPr>
        <w:pStyle w:val="Quote"/>
        <w:rPr>
          <w:rFonts w:cs="Times New Roman"/>
        </w:rPr>
      </w:pPr>
      <w:r w:rsidRPr="00907907">
        <w:rPr>
          <w:rFonts w:cs="Times New Roman"/>
        </w:rPr>
        <w:t>In</w:t>
      </w:r>
      <w:r w:rsidR="00E402C4" w:rsidRPr="00907907">
        <w:rPr>
          <w:rFonts w:cs="Times New Roman"/>
        </w:rPr>
        <w:t xml:space="preserve"> the beginning of 2006, Metier completed the alternative analysis for a development project for the National Museum of Art, Architecture and Design. </w:t>
      </w:r>
      <w:r w:rsidRPr="00907907">
        <w:rPr>
          <w:rFonts w:cs="Times New Roman"/>
        </w:rPr>
        <w:t>At the time</w:t>
      </w:r>
      <w:r w:rsidR="00B32A76" w:rsidRPr="00907907">
        <w:rPr>
          <w:rFonts w:cs="Times New Roman"/>
        </w:rPr>
        <w:t>,</w:t>
      </w:r>
      <w:r w:rsidR="00E402C4" w:rsidRPr="00907907">
        <w:rPr>
          <w:rFonts w:cs="Times New Roman"/>
        </w:rPr>
        <w:t xml:space="preserve"> there were political </w:t>
      </w:r>
      <w:r w:rsidR="00AA3D2D" w:rsidRPr="00907907">
        <w:rPr>
          <w:rFonts w:cs="Times New Roman"/>
        </w:rPr>
        <w:t>provisions</w:t>
      </w:r>
      <w:r w:rsidR="00E402C4" w:rsidRPr="00907907">
        <w:rPr>
          <w:rFonts w:cs="Times New Roman"/>
        </w:rPr>
        <w:t xml:space="preserve"> for the National Museum's main base to be </w:t>
      </w:r>
      <w:r w:rsidR="00AA3D2D" w:rsidRPr="00907907">
        <w:rPr>
          <w:rFonts w:cs="Times New Roman"/>
        </w:rPr>
        <w:t>at</w:t>
      </w:r>
      <w:r w:rsidR="00E402C4" w:rsidRPr="00907907">
        <w:rPr>
          <w:rFonts w:cs="Times New Roman"/>
        </w:rPr>
        <w:t xml:space="preserve"> Tullinløkka. In 2008, however, </w:t>
      </w:r>
      <w:r w:rsidR="00AA3D2D" w:rsidRPr="00907907">
        <w:rPr>
          <w:rFonts w:cs="Times New Roman"/>
        </w:rPr>
        <w:t>the</w:t>
      </w:r>
      <w:r w:rsidR="00E402C4" w:rsidRPr="00907907">
        <w:rPr>
          <w:rFonts w:cs="Times New Roman"/>
        </w:rPr>
        <w:t xml:space="preserve"> municipality</w:t>
      </w:r>
      <w:r w:rsidR="00AA3D2D" w:rsidRPr="00907907">
        <w:rPr>
          <w:rFonts w:cs="Times New Roman"/>
        </w:rPr>
        <w:t xml:space="preserve"> of Oslo has</w:t>
      </w:r>
      <w:r w:rsidR="00E402C4" w:rsidRPr="00907907">
        <w:rPr>
          <w:rFonts w:cs="Times New Roman"/>
        </w:rPr>
        <w:t xml:space="preserve"> sold back the so-called field D on the Vestbanen</w:t>
      </w:r>
      <w:r w:rsidR="00E735F7" w:rsidRPr="00907907">
        <w:rPr>
          <w:rFonts w:cs="Times New Roman"/>
        </w:rPr>
        <w:t xml:space="preserve"> site</w:t>
      </w:r>
      <w:r w:rsidR="00E402C4" w:rsidRPr="00907907">
        <w:rPr>
          <w:rFonts w:cs="Times New Roman"/>
        </w:rPr>
        <w:t xml:space="preserve"> to the state. Th</w:t>
      </w:r>
      <w:r w:rsidR="009669FA" w:rsidRPr="00907907">
        <w:rPr>
          <w:rFonts w:cs="Times New Roman"/>
        </w:rPr>
        <w:t>is</w:t>
      </w:r>
      <w:r w:rsidR="00E402C4" w:rsidRPr="00907907">
        <w:rPr>
          <w:rFonts w:cs="Times New Roman"/>
        </w:rPr>
        <w:t xml:space="preserve"> means that there is enough </w:t>
      </w:r>
      <w:r w:rsidR="009669FA" w:rsidRPr="00907907">
        <w:rPr>
          <w:rFonts w:cs="Times New Roman"/>
        </w:rPr>
        <w:t>area</w:t>
      </w:r>
      <w:r w:rsidR="00E402C4" w:rsidRPr="00907907">
        <w:rPr>
          <w:rFonts w:cs="Times New Roman"/>
        </w:rPr>
        <w:t xml:space="preserve"> for the state to consider </w:t>
      </w:r>
      <w:r w:rsidR="009669FA" w:rsidRPr="00907907">
        <w:rPr>
          <w:rFonts w:cs="Times New Roman"/>
        </w:rPr>
        <w:t>gathering</w:t>
      </w:r>
      <w:r w:rsidR="00E402C4" w:rsidRPr="00907907">
        <w:rPr>
          <w:rFonts w:cs="Times New Roman"/>
        </w:rPr>
        <w:t xml:space="preserve"> the entire National Museum's activities </w:t>
      </w:r>
      <w:r w:rsidR="004F6EC1" w:rsidRPr="00907907">
        <w:rPr>
          <w:rFonts w:cs="Times New Roman"/>
        </w:rPr>
        <w:t>in a</w:t>
      </w:r>
      <w:r w:rsidR="00E402C4" w:rsidRPr="00907907">
        <w:rPr>
          <w:rFonts w:cs="Times New Roman"/>
        </w:rPr>
        <w:t xml:space="preserve"> new building </w:t>
      </w:r>
      <w:r w:rsidR="004F6EC1" w:rsidRPr="00907907">
        <w:rPr>
          <w:rFonts w:cs="Times New Roman"/>
        </w:rPr>
        <w:t>at</w:t>
      </w:r>
      <w:r w:rsidR="00E402C4" w:rsidRPr="00907907">
        <w:rPr>
          <w:rFonts w:cs="Times New Roman"/>
        </w:rPr>
        <w:t xml:space="preserve"> Vestbanen. Such a location is therefore investigated in this report </w:t>
      </w:r>
      <w:r w:rsidR="004F6EC1" w:rsidRPr="00907907">
        <w:rPr>
          <w:rFonts w:cs="Times New Roman"/>
        </w:rPr>
        <w:t xml:space="preserve">in </w:t>
      </w:r>
      <w:r w:rsidR="00E402C4" w:rsidRPr="00907907">
        <w:rPr>
          <w:rFonts w:cs="Times New Roman"/>
        </w:rPr>
        <w:t xml:space="preserve">the same </w:t>
      </w:r>
      <w:r w:rsidR="004F6EC1" w:rsidRPr="00907907">
        <w:rPr>
          <w:rFonts w:cs="Times New Roman"/>
        </w:rPr>
        <w:t>manner</w:t>
      </w:r>
      <w:r w:rsidR="00E402C4" w:rsidRPr="00907907">
        <w:rPr>
          <w:rFonts w:cs="Times New Roman"/>
        </w:rPr>
        <w:t xml:space="preserve"> as the other Tullinlokka options </w:t>
      </w:r>
      <w:r w:rsidR="004F6EC1" w:rsidRPr="00907907">
        <w:rPr>
          <w:rFonts w:cs="Times New Roman"/>
        </w:rPr>
        <w:t>in</w:t>
      </w:r>
      <w:r w:rsidR="00E402C4" w:rsidRPr="00907907">
        <w:rPr>
          <w:rFonts w:cs="Times New Roman"/>
        </w:rPr>
        <w:t xml:space="preserve"> the KS 1 material</w:t>
      </w:r>
      <w:r w:rsidR="004F6EC1" w:rsidRPr="00907907">
        <w:rPr>
          <w:rFonts w:cs="Times New Roman"/>
        </w:rPr>
        <w:t xml:space="preserve"> for t</w:t>
      </w:r>
      <w:r w:rsidR="00E402C4" w:rsidRPr="00907907">
        <w:rPr>
          <w:rFonts w:cs="Times New Roman"/>
        </w:rPr>
        <w:t>he National Museum's development project from 1 February 2006</w:t>
      </w:r>
      <w:r w:rsidR="004F4FF5" w:rsidRPr="00907907">
        <w:rPr>
          <w:rFonts w:cs="Times New Roman"/>
        </w:rPr>
        <w:t>.</w:t>
      </w:r>
      <w:r w:rsidR="003B04E0" w:rsidRPr="00907907">
        <w:rPr>
          <w:rStyle w:val="EndnoteReference"/>
          <w:rFonts w:cs="Times New Roman"/>
        </w:rPr>
        <w:endnoteReference w:id="48"/>
      </w:r>
    </w:p>
    <w:p w14:paraId="1E9F875D" w14:textId="77777777" w:rsidR="00783E55" w:rsidRPr="00907907" w:rsidRDefault="00783E55" w:rsidP="003776C4"/>
    <w:p w14:paraId="1C1C7F40" w14:textId="04C98CEA" w:rsidR="00B96715" w:rsidRPr="00907907" w:rsidRDefault="00783E55" w:rsidP="00236B6E">
      <w:pPr>
        <w:rPr>
          <w:rFonts w:cs="Times New Roman"/>
          <w:lang w:val="en-GB"/>
        </w:rPr>
      </w:pPr>
      <w:r w:rsidRPr="00907907">
        <w:rPr>
          <w:rFonts w:cs="Times New Roman"/>
          <w:lang w:val="en-GB"/>
        </w:rPr>
        <w:t xml:space="preserve">The reasoning above is not logic, and it must be more to this change in scope than a new plot being available in the capital. </w:t>
      </w:r>
    </w:p>
    <w:p w14:paraId="32ED26E5" w14:textId="454EC371" w:rsidR="00D9300A" w:rsidRPr="00907907" w:rsidRDefault="00004A2C" w:rsidP="00907907">
      <w:pPr>
        <w:pStyle w:val="Heading2"/>
      </w:pPr>
      <w:r w:rsidRPr="00907907">
        <w:t>Smaller concerns gain greater impact</w:t>
      </w:r>
    </w:p>
    <w:p w14:paraId="0F05E52F" w14:textId="1FBDDD2C" w:rsidR="00004A2C" w:rsidRPr="00907907" w:rsidRDefault="00D76579" w:rsidP="003436AC">
      <w:pPr>
        <w:spacing w:after="336"/>
        <w:rPr>
          <w:rFonts w:cs="Times New Roman"/>
          <w:iCs/>
          <w:lang w:val="en-GB"/>
        </w:rPr>
      </w:pPr>
      <w:r w:rsidRPr="00907907">
        <w:rPr>
          <w:rFonts w:cs="Times New Roman"/>
          <w:lang w:val="en-GB"/>
        </w:rPr>
        <w:t xml:space="preserve">Particularly for </w:t>
      </w:r>
      <w:r w:rsidR="001E00DB" w:rsidRPr="00907907">
        <w:rPr>
          <w:rFonts w:cs="Times New Roman"/>
          <w:lang w:val="en-GB"/>
        </w:rPr>
        <w:t>the institutions involved in producing the preliminary KVU-</w:t>
      </w:r>
      <w:r w:rsidR="0061444D" w:rsidRPr="00907907">
        <w:rPr>
          <w:rFonts w:cs="Times New Roman"/>
          <w:lang w:val="en-GB"/>
        </w:rPr>
        <w:t>report</w:t>
      </w:r>
      <w:r w:rsidR="001E00DB" w:rsidRPr="00907907">
        <w:rPr>
          <w:rFonts w:cs="Times New Roman"/>
          <w:lang w:val="en-GB"/>
        </w:rPr>
        <w:t xml:space="preserve">, smaller concerns can appear major. This </w:t>
      </w:r>
      <w:r w:rsidR="008054D6" w:rsidRPr="00907907">
        <w:rPr>
          <w:rFonts w:cs="Times New Roman"/>
          <w:lang w:val="en-GB"/>
        </w:rPr>
        <w:t xml:space="preserve">was the case </w:t>
      </w:r>
      <w:r w:rsidR="00491262" w:rsidRPr="00907907">
        <w:rPr>
          <w:rFonts w:cs="Times New Roman"/>
          <w:lang w:val="en-GB"/>
        </w:rPr>
        <w:t>for the</w:t>
      </w:r>
      <w:r w:rsidR="008054D6" w:rsidRPr="00907907">
        <w:rPr>
          <w:rFonts w:cs="Times New Roman"/>
          <w:lang w:val="en-GB"/>
        </w:rPr>
        <w:t xml:space="preserve"> National </w:t>
      </w:r>
      <w:r w:rsidR="005867EF" w:rsidRPr="00907907">
        <w:rPr>
          <w:rFonts w:cs="Times New Roman"/>
          <w:lang w:val="en-GB"/>
        </w:rPr>
        <w:t>theatre</w:t>
      </w:r>
      <w:r w:rsidR="00C6417D" w:rsidRPr="00907907">
        <w:rPr>
          <w:rFonts w:cs="Times New Roman"/>
          <w:lang w:val="en-GB"/>
        </w:rPr>
        <w:t>,</w:t>
      </w:r>
      <w:r w:rsidR="001E00DB" w:rsidRPr="00907907">
        <w:rPr>
          <w:rFonts w:cs="Times New Roman"/>
          <w:lang w:val="en-GB"/>
        </w:rPr>
        <w:t xml:space="preserve"> </w:t>
      </w:r>
      <w:r w:rsidR="007942B7" w:rsidRPr="00907907">
        <w:rPr>
          <w:rFonts w:cs="Times New Roman"/>
          <w:lang w:val="en-GB"/>
        </w:rPr>
        <w:t>where the external consultants performing the QA1</w:t>
      </w:r>
      <w:r w:rsidR="008C722C" w:rsidRPr="00907907">
        <w:rPr>
          <w:rFonts w:cs="Times New Roman"/>
          <w:lang w:val="en-GB"/>
        </w:rPr>
        <w:t xml:space="preserve">-report </w:t>
      </w:r>
      <w:r w:rsidR="007942B7" w:rsidRPr="00907907">
        <w:rPr>
          <w:rFonts w:cs="Times New Roman"/>
          <w:lang w:val="en-GB"/>
        </w:rPr>
        <w:t xml:space="preserve">pointed out that the </w:t>
      </w:r>
      <w:r w:rsidR="00EB1A29" w:rsidRPr="00907907">
        <w:rPr>
          <w:rFonts w:cs="Times New Roman"/>
          <w:lang w:val="en-GB"/>
        </w:rPr>
        <w:t xml:space="preserve">social </w:t>
      </w:r>
      <w:r w:rsidR="00855DF0" w:rsidRPr="00907907">
        <w:rPr>
          <w:rFonts w:cs="Times New Roman"/>
          <w:lang w:val="en-GB"/>
        </w:rPr>
        <w:t>significance</w:t>
      </w:r>
      <w:r w:rsidR="007942B7" w:rsidRPr="00907907">
        <w:rPr>
          <w:rFonts w:cs="Times New Roman"/>
          <w:lang w:val="en-GB"/>
        </w:rPr>
        <w:t xml:space="preserve"> </w:t>
      </w:r>
      <w:r w:rsidR="00EB1A29" w:rsidRPr="00907907">
        <w:rPr>
          <w:rFonts w:cs="Times New Roman"/>
          <w:lang w:val="en-GB"/>
        </w:rPr>
        <w:t>of several effects had been overrated.</w:t>
      </w:r>
      <w:r w:rsidR="0056260D" w:rsidRPr="00907907">
        <w:rPr>
          <w:rStyle w:val="EndnoteReference"/>
          <w:rFonts w:cs="Times New Roman"/>
          <w:lang w:val="en-GB"/>
        </w:rPr>
        <w:endnoteReference w:id="49"/>
      </w:r>
      <w:r w:rsidR="00125115" w:rsidRPr="00907907">
        <w:rPr>
          <w:rFonts w:cs="Times New Roman"/>
          <w:lang w:val="en-GB"/>
        </w:rPr>
        <w:t xml:space="preserve"> Unquantifiable effects </w:t>
      </w:r>
      <w:r w:rsidR="00E13B44" w:rsidRPr="00907907">
        <w:rPr>
          <w:rFonts w:cs="Times New Roman"/>
          <w:lang w:val="en-GB"/>
        </w:rPr>
        <w:t>are</w:t>
      </w:r>
      <w:r w:rsidR="000B2BB6" w:rsidRPr="00907907">
        <w:rPr>
          <w:rFonts w:cs="Times New Roman"/>
          <w:lang w:val="en-GB"/>
        </w:rPr>
        <w:t xml:space="preserve"> </w:t>
      </w:r>
      <w:r w:rsidR="00E13B44" w:rsidRPr="00907907">
        <w:rPr>
          <w:rFonts w:cs="Times New Roman"/>
          <w:lang w:val="en-GB"/>
        </w:rPr>
        <w:t xml:space="preserve">typically </w:t>
      </w:r>
      <w:r w:rsidR="00125115" w:rsidRPr="00907907">
        <w:rPr>
          <w:rFonts w:cs="Times New Roman"/>
          <w:lang w:val="en-GB"/>
        </w:rPr>
        <w:t>assessed according to significance and scope, which together constitute an effect</w:t>
      </w:r>
      <w:r w:rsidR="00514413" w:rsidRPr="00907907">
        <w:rPr>
          <w:rFonts w:cs="Times New Roman"/>
          <w:lang w:val="en-GB"/>
        </w:rPr>
        <w:t>, in economic analyses</w:t>
      </w:r>
      <w:r w:rsidR="00125115" w:rsidRPr="00907907">
        <w:rPr>
          <w:rFonts w:cs="Times New Roman"/>
          <w:lang w:val="en-GB"/>
        </w:rPr>
        <w:t>.</w:t>
      </w:r>
      <w:r w:rsidR="00DC09F8" w:rsidRPr="00907907">
        <w:rPr>
          <w:rStyle w:val="EndnoteReference"/>
          <w:rFonts w:cs="Times New Roman"/>
          <w:lang w:val="en-GB"/>
        </w:rPr>
        <w:endnoteReference w:id="50"/>
      </w:r>
      <w:r w:rsidR="00125115" w:rsidRPr="00907907">
        <w:rPr>
          <w:rFonts w:cs="Times New Roman"/>
          <w:lang w:val="en-GB"/>
        </w:rPr>
        <w:t xml:space="preserve"> </w:t>
      </w:r>
      <w:r w:rsidR="008B340E" w:rsidRPr="00907907">
        <w:rPr>
          <w:rFonts w:cs="Times New Roman"/>
          <w:lang w:val="en-GB"/>
        </w:rPr>
        <w:t>For</w:t>
      </w:r>
      <w:r w:rsidR="00125115" w:rsidRPr="00907907">
        <w:rPr>
          <w:rFonts w:cs="Times New Roman"/>
          <w:lang w:val="en-GB"/>
        </w:rPr>
        <w:t xml:space="preserve"> a</w:t>
      </w:r>
      <w:r w:rsidR="00705447" w:rsidRPr="00907907">
        <w:rPr>
          <w:rFonts w:cs="Times New Roman"/>
          <w:lang w:val="en-GB"/>
        </w:rPr>
        <w:t>n</w:t>
      </w:r>
      <w:r w:rsidR="00125115" w:rsidRPr="00907907">
        <w:rPr>
          <w:rFonts w:cs="Times New Roman"/>
          <w:lang w:val="en-GB"/>
        </w:rPr>
        <w:t xml:space="preserve"> </w:t>
      </w:r>
      <w:r w:rsidR="00705447" w:rsidRPr="00907907">
        <w:rPr>
          <w:rFonts w:cs="Times New Roman"/>
          <w:lang w:val="en-GB"/>
        </w:rPr>
        <w:t>effect</w:t>
      </w:r>
      <w:r w:rsidR="00125115" w:rsidRPr="00907907">
        <w:rPr>
          <w:rFonts w:cs="Times New Roman"/>
          <w:lang w:val="en-GB"/>
        </w:rPr>
        <w:t xml:space="preserve"> </w:t>
      </w:r>
      <w:r w:rsidR="008B340E" w:rsidRPr="00907907">
        <w:rPr>
          <w:rFonts w:cs="Times New Roman"/>
          <w:lang w:val="en-GB"/>
        </w:rPr>
        <w:t xml:space="preserve">to be rated </w:t>
      </w:r>
      <w:r w:rsidR="00125115" w:rsidRPr="00907907">
        <w:rPr>
          <w:rFonts w:cs="Times New Roman"/>
          <w:lang w:val="en-GB"/>
        </w:rPr>
        <w:t xml:space="preserve">at the </w:t>
      </w:r>
      <w:r w:rsidR="008B340E" w:rsidRPr="00907907">
        <w:rPr>
          <w:rFonts w:cs="Times New Roman"/>
          <w:lang w:val="en-GB"/>
        </w:rPr>
        <w:t>extremities</w:t>
      </w:r>
      <w:r w:rsidR="00125115" w:rsidRPr="00907907">
        <w:rPr>
          <w:rFonts w:cs="Times New Roman"/>
          <w:lang w:val="en-GB"/>
        </w:rPr>
        <w:t xml:space="preserve"> of the </w:t>
      </w:r>
      <w:r w:rsidR="008B340E" w:rsidRPr="00907907">
        <w:rPr>
          <w:rFonts w:cs="Times New Roman"/>
          <w:lang w:val="en-GB"/>
        </w:rPr>
        <w:t xml:space="preserve">total </w:t>
      </w:r>
      <w:r w:rsidR="00125115" w:rsidRPr="00907907">
        <w:rPr>
          <w:rFonts w:cs="Times New Roman"/>
          <w:lang w:val="en-GB"/>
        </w:rPr>
        <w:t>scale</w:t>
      </w:r>
      <w:r w:rsidR="00AB6472" w:rsidRPr="00907907">
        <w:rPr>
          <w:rFonts w:cs="Times New Roman"/>
          <w:lang w:val="en-GB"/>
        </w:rPr>
        <w:t xml:space="preserve">, </w:t>
      </w:r>
      <w:r w:rsidR="00705447" w:rsidRPr="00907907">
        <w:rPr>
          <w:rFonts w:cs="Times New Roman"/>
          <w:lang w:val="en-GB"/>
        </w:rPr>
        <w:t xml:space="preserve">there initially needs to be </w:t>
      </w:r>
      <w:r w:rsidR="0024394F" w:rsidRPr="00907907">
        <w:rPr>
          <w:rFonts w:cs="Times New Roman"/>
          <w:lang w:val="en-GB"/>
        </w:rPr>
        <w:t xml:space="preserve">higher </w:t>
      </w:r>
      <w:r w:rsidR="003623DE" w:rsidRPr="00907907">
        <w:rPr>
          <w:rFonts w:cs="Times New Roman"/>
          <w:lang w:val="en-GB"/>
        </w:rPr>
        <w:t xml:space="preserve">scores </w:t>
      </w:r>
      <w:r w:rsidR="00705447" w:rsidRPr="00907907">
        <w:rPr>
          <w:rFonts w:cs="Times New Roman"/>
          <w:lang w:val="en-GB"/>
        </w:rPr>
        <w:t>accord</w:t>
      </w:r>
      <w:r w:rsidR="003623DE" w:rsidRPr="00907907">
        <w:rPr>
          <w:rFonts w:cs="Times New Roman"/>
          <w:lang w:val="en-GB"/>
        </w:rPr>
        <w:t>ed</w:t>
      </w:r>
      <w:r w:rsidR="00705447" w:rsidRPr="00907907">
        <w:rPr>
          <w:rFonts w:cs="Times New Roman"/>
          <w:lang w:val="en-GB"/>
        </w:rPr>
        <w:t xml:space="preserve"> for </w:t>
      </w:r>
      <w:r w:rsidR="00AB6472" w:rsidRPr="00907907">
        <w:rPr>
          <w:rFonts w:cs="Times New Roman"/>
          <w:lang w:val="en-GB"/>
        </w:rPr>
        <w:t>both significance and scope</w:t>
      </w:r>
      <w:r w:rsidR="00705447" w:rsidRPr="00907907">
        <w:rPr>
          <w:rFonts w:cs="Times New Roman"/>
          <w:lang w:val="en-GB"/>
        </w:rPr>
        <w:t>.</w:t>
      </w:r>
      <w:r w:rsidR="00A77F26" w:rsidRPr="00907907">
        <w:rPr>
          <w:rFonts w:cs="Times New Roman"/>
          <w:lang w:val="en-GB"/>
        </w:rPr>
        <w:t xml:space="preserve"> The external consultants </w:t>
      </w:r>
      <w:r w:rsidR="003623DE" w:rsidRPr="00907907">
        <w:rPr>
          <w:rFonts w:cs="Times New Roman"/>
          <w:lang w:val="en-GB"/>
        </w:rPr>
        <w:t>mentioned,</w:t>
      </w:r>
      <w:r w:rsidR="00A77F26" w:rsidRPr="00907907">
        <w:rPr>
          <w:rFonts w:cs="Times New Roman"/>
          <w:lang w:val="en-GB"/>
        </w:rPr>
        <w:t xml:space="preserve"> </w:t>
      </w:r>
      <w:r w:rsidR="000B2BB6" w:rsidRPr="00907907">
        <w:rPr>
          <w:rFonts w:cs="Times New Roman"/>
          <w:lang w:val="en-GB"/>
        </w:rPr>
        <w:t>‘</w:t>
      </w:r>
      <w:r w:rsidR="003623DE" w:rsidRPr="00907907">
        <w:rPr>
          <w:rFonts w:cs="Times New Roman"/>
          <w:lang w:val="en-GB"/>
        </w:rPr>
        <w:t xml:space="preserve">enhanced </w:t>
      </w:r>
      <w:r w:rsidR="00853622" w:rsidRPr="00907907">
        <w:rPr>
          <w:rFonts w:cs="Times New Roman"/>
          <w:lang w:val="en-GB"/>
        </w:rPr>
        <w:t>knowledge dissemination through educational activities</w:t>
      </w:r>
      <w:r w:rsidR="000B2BB6" w:rsidRPr="00907907">
        <w:rPr>
          <w:rFonts w:cs="Times New Roman"/>
          <w:lang w:val="en-GB"/>
        </w:rPr>
        <w:t xml:space="preserve">,’ </w:t>
      </w:r>
      <w:r w:rsidR="00853622" w:rsidRPr="00907907">
        <w:rPr>
          <w:rFonts w:cs="Times New Roman"/>
          <w:lang w:val="en-GB"/>
        </w:rPr>
        <w:t xml:space="preserve">and </w:t>
      </w:r>
      <w:r w:rsidR="000B2BB6" w:rsidRPr="00907907">
        <w:rPr>
          <w:rFonts w:cs="Times New Roman"/>
          <w:lang w:val="en-GB"/>
        </w:rPr>
        <w:t>‘</w:t>
      </w:r>
      <w:r w:rsidR="003623DE" w:rsidRPr="00907907">
        <w:rPr>
          <w:rFonts w:cs="Times New Roman"/>
          <w:lang w:val="en-GB"/>
        </w:rPr>
        <w:t>the theatre</w:t>
      </w:r>
      <w:r w:rsidR="00853622" w:rsidRPr="00907907">
        <w:rPr>
          <w:rFonts w:cs="Times New Roman"/>
          <w:lang w:val="en-GB"/>
        </w:rPr>
        <w:t xml:space="preserve"> as a meeting place for open and public conversation</w:t>
      </w:r>
      <w:r w:rsidR="000B2BB6" w:rsidRPr="00907907">
        <w:rPr>
          <w:rFonts w:cs="Times New Roman"/>
          <w:lang w:val="en-GB"/>
        </w:rPr>
        <w:t>’</w:t>
      </w:r>
      <w:r w:rsidR="00C943EC" w:rsidRPr="00907907">
        <w:rPr>
          <w:rFonts w:cs="Times New Roman"/>
          <w:lang w:val="en-GB"/>
        </w:rPr>
        <w:t xml:space="preserve"> </w:t>
      </w:r>
      <w:r w:rsidR="003623DE" w:rsidRPr="00907907">
        <w:rPr>
          <w:rFonts w:cs="Times New Roman"/>
          <w:lang w:val="en-GB"/>
        </w:rPr>
        <w:t xml:space="preserve">as significant activities </w:t>
      </w:r>
      <w:r w:rsidR="00C943EC" w:rsidRPr="00907907">
        <w:rPr>
          <w:rFonts w:cs="Times New Roman"/>
          <w:lang w:val="en-GB"/>
        </w:rPr>
        <w:t xml:space="preserve">of the </w:t>
      </w:r>
      <w:r w:rsidR="00554413" w:rsidRPr="00907907">
        <w:rPr>
          <w:rFonts w:cs="Times New Roman"/>
          <w:lang w:val="en-GB"/>
        </w:rPr>
        <w:t>institution.</w:t>
      </w:r>
      <w:r w:rsidR="00070FE6" w:rsidRPr="00907907">
        <w:rPr>
          <w:rFonts w:cs="Times New Roman"/>
          <w:lang w:val="en-GB"/>
        </w:rPr>
        <w:t xml:space="preserve"> </w:t>
      </w:r>
      <w:r w:rsidR="003E7195" w:rsidRPr="00907907">
        <w:rPr>
          <w:rStyle w:val="EndnoteReference"/>
          <w:rFonts w:cs="Times New Roman"/>
          <w:lang w:val="en-GB"/>
        </w:rPr>
        <w:endnoteReference w:id="51"/>
      </w:r>
    </w:p>
    <w:p w14:paraId="03D084B6" w14:textId="717FEF3D" w:rsidR="00004A2C" w:rsidRPr="00907907" w:rsidRDefault="00004A2C" w:rsidP="0060040B">
      <w:pPr>
        <w:pStyle w:val="Heading2"/>
      </w:pPr>
      <w:r w:rsidRPr="00907907">
        <w:t>Problematic and incongruent demarcation of projects costs</w:t>
      </w:r>
    </w:p>
    <w:p w14:paraId="1EE59A88" w14:textId="0327F8AA" w:rsidR="00A8617F" w:rsidRPr="00907907" w:rsidRDefault="00A8617F" w:rsidP="00236B6E">
      <w:pPr>
        <w:rPr>
          <w:rFonts w:cs="Times New Roman"/>
          <w:lang w:val="en-GB"/>
        </w:rPr>
      </w:pPr>
      <w:r w:rsidRPr="00907907">
        <w:rPr>
          <w:rFonts w:cs="Times New Roman"/>
          <w:lang w:val="en-GB"/>
        </w:rPr>
        <w:t xml:space="preserve">If </w:t>
      </w:r>
      <w:r w:rsidR="008329D3" w:rsidRPr="00907907">
        <w:rPr>
          <w:rFonts w:cs="Times New Roman"/>
          <w:lang w:val="en-GB"/>
        </w:rPr>
        <w:t xml:space="preserve">one is vacating </w:t>
      </w:r>
      <w:r w:rsidR="00F24BF8" w:rsidRPr="00907907">
        <w:rPr>
          <w:rFonts w:cs="Times New Roman"/>
          <w:lang w:val="en-GB"/>
        </w:rPr>
        <w:t xml:space="preserve">an </w:t>
      </w:r>
      <w:r w:rsidR="008329D3" w:rsidRPr="00907907">
        <w:rPr>
          <w:rFonts w:cs="Times New Roman"/>
          <w:lang w:val="en-GB"/>
        </w:rPr>
        <w:t>existing</w:t>
      </w:r>
      <w:r w:rsidR="00E7584F" w:rsidRPr="00907907">
        <w:rPr>
          <w:rFonts w:cs="Times New Roman"/>
          <w:lang w:val="en-GB"/>
        </w:rPr>
        <w:t>, protected</w:t>
      </w:r>
      <w:r w:rsidR="008329D3" w:rsidRPr="00907907">
        <w:rPr>
          <w:rFonts w:cs="Times New Roman"/>
          <w:lang w:val="en-GB"/>
        </w:rPr>
        <w:t xml:space="preserve"> building </w:t>
      </w:r>
      <w:r w:rsidR="00E7584F" w:rsidRPr="00907907">
        <w:rPr>
          <w:rFonts w:cs="Times New Roman"/>
          <w:lang w:val="en-GB"/>
        </w:rPr>
        <w:t>and</w:t>
      </w:r>
      <w:r w:rsidR="00F24BF8" w:rsidRPr="00907907">
        <w:rPr>
          <w:rFonts w:cs="Times New Roman"/>
          <w:lang w:val="en-GB"/>
        </w:rPr>
        <w:t xml:space="preserve"> moving</w:t>
      </w:r>
      <w:r w:rsidR="00E7584F" w:rsidRPr="00907907">
        <w:rPr>
          <w:rFonts w:cs="Times New Roman"/>
          <w:lang w:val="en-GB"/>
        </w:rPr>
        <w:t xml:space="preserve"> into </w:t>
      </w:r>
      <w:r w:rsidR="00F24BF8" w:rsidRPr="00907907">
        <w:rPr>
          <w:rFonts w:cs="Times New Roman"/>
          <w:lang w:val="en-GB"/>
        </w:rPr>
        <w:t xml:space="preserve">a </w:t>
      </w:r>
      <w:r w:rsidR="00E7584F" w:rsidRPr="00907907">
        <w:rPr>
          <w:rFonts w:cs="Times New Roman"/>
          <w:lang w:val="en-GB"/>
        </w:rPr>
        <w:t xml:space="preserve">new building, society will have an </w:t>
      </w:r>
      <w:r w:rsidR="00F24BF8" w:rsidRPr="00907907">
        <w:rPr>
          <w:rFonts w:cs="Times New Roman"/>
          <w:lang w:val="en-GB"/>
        </w:rPr>
        <w:t>extra building to take care of.</w:t>
      </w:r>
      <w:r w:rsidR="00CB043B" w:rsidRPr="00907907">
        <w:rPr>
          <w:rFonts w:cs="Times New Roman"/>
          <w:lang w:val="en-GB"/>
        </w:rPr>
        <w:t xml:space="preserve"> This additional cost should be </w:t>
      </w:r>
      <w:r w:rsidR="003623DE" w:rsidRPr="00907907">
        <w:rPr>
          <w:rFonts w:cs="Times New Roman"/>
          <w:lang w:val="en-GB"/>
        </w:rPr>
        <w:t xml:space="preserve">included </w:t>
      </w:r>
      <w:r w:rsidR="00CB043B" w:rsidRPr="00907907">
        <w:rPr>
          <w:rFonts w:cs="Times New Roman"/>
          <w:lang w:val="en-GB"/>
        </w:rPr>
        <w:t>in the economic analysis. This is seldom the case, as pointed out both in QA1-documentation and in research.</w:t>
      </w:r>
      <w:r w:rsidR="00A506E9" w:rsidRPr="00907907">
        <w:rPr>
          <w:rStyle w:val="EndnoteReference"/>
          <w:rFonts w:cs="Times New Roman"/>
          <w:lang w:val="en-GB"/>
        </w:rPr>
        <w:endnoteReference w:id="52"/>
      </w:r>
      <w:r w:rsidR="006B1034" w:rsidRPr="00907907">
        <w:rPr>
          <w:rFonts w:cs="Times New Roman"/>
          <w:vertAlign w:val="superscript"/>
          <w:lang w:val="en-GB"/>
        </w:rPr>
        <w:t xml:space="preserve">, </w:t>
      </w:r>
      <w:r w:rsidR="00DE5214" w:rsidRPr="00907907">
        <w:rPr>
          <w:rStyle w:val="EndnoteReference"/>
          <w:rFonts w:cs="Times New Roman"/>
          <w:lang w:val="en-GB"/>
        </w:rPr>
        <w:endnoteReference w:id="53"/>
      </w:r>
      <w:r w:rsidR="003F1C2D" w:rsidRPr="00907907">
        <w:rPr>
          <w:rFonts w:cs="Times New Roman"/>
          <w:lang w:val="en-GB"/>
        </w:rPr>
        <w:t xml:space="preserve"> </w:t>
      </w:r>
      <w:r w:rsidR="009C2315" w:rsidRPr="00907907">
        <w:rPr>
          <w:rFonts w:cs="Times New Roman"/>
          <w:lang w:val="en-GB"/>
        </w:rPr>
        <w:t xml:space="preserve">The reason that costs for vacated buildings is not considered, is </w:t>
      </w:r>
      <w:r w:rsidR="00781F03" w:rsidRPr="00907907">
        <w:rPr>
          <w:rFonts w:cs="Times New Roman"/>
          <w:lang w:val="en-GB"/>
        </w:rPr>
        <w:t>that the scope is limited to the</w:t>
      </w:r>
      <w:r w:rsidR="009C2315" w:rsidRPr="00907907">
        <w:rPr>
          <w:rFonts w:cs="Times New Roman"/>
          <w:lang w:val="en-GB"/>
        </w:rPr>
        <w:t xml:space="preserve"> project </w:t>
      </w:r>
      <w:r w:rsidR="00781F03" w:rsidRPr="00907907">
        <w:rPr>
          <w:rFonts w:cs="Times New Roman"/>
          <w:lang w:val="en-GB"/>
        </w:rPr>
        <w:t xml:space="preserve">meeting the needs of the institution. </w:t>
      </w:r>
      <w:r w:rsidR="003544CB" w:rsidRPr="00907907">
        <w:rPr>
          <w:rFonts w:cs="Times New Roman"/>
          <w:lang w:val="en-GB"/>
        </w:rPr>
        <w:t xml:space="preserve"> This makes sense from a project management viewpoint, but not for the state who might end up </w:t>
      </w:r>
      <w:r w:rsidR="002B27F3" w:rsidRPr="00907907">
        <w:rPr>
          <w:rFonts w:cs="Times New Roman"/>
          <w:lang w:val="en-GB"/>
        </w:rPr>
        <w:t>paying fo</w:t>
      </w:r>
      <w:r w:rsidR="00F938D0" w:rsidRPr="00907907">
        <w:rPr>
          <w:rFonts w:cs="Times New Roman"/>
          <w:lang w:val="en-GB"/>
        </w:rPr>
        <w:t>r two buildings instead of one.</w:t>
      </w:r>
      <w:r w:rsidR="003544CB" w:rsidRPr="00907907">
        <w:rPr>
          <w:rFonts w:cs="Times New Roman"/>
          <w:lang w:val="en-GB"/>
        </w:rPr>
        <w:t xml:space="preserve"> </w:t>
      </w:r>
      <w:r w:rsidR="003F1C2D" w:rsidRPr="00907907">
        <w:rPr>
          <w:rFonts w:cs="Times New Roman"/>
          <w:lang w:val="en-GB"/>
        </w:rPr>
        <w:t>Coincidentally</w:t>
      </w:r>
      <w:r w:rsidR="003623DE" w:rsidRPr="00907907">
        <w:rPr>
          <w:rFonts w:cs="Times New Roman"/>
          <w:lang w:val="en-GB"/>
        </w:rPr>
        <w:t>,</w:t>
      </w:r>
      <w:r w:rsidR="00865D50" w:rsidRPr="00907907">
        <w:rPr>
          <w:rFonts w:cs="Times New Roman"/>
          <w:lang w:val="en-GB"/>
        </w:rPr>
        <w:t xml:space="preserve"> as the costs for vacated buildings are </w:t>
      </w:r>
      <w:r w:rsidR="007521DE" w:rsidRPr="00907907">
        <w:rPr>
          <w:rFonts w:cs="Times New Roman"/>
          <w:lang w:val="en-GB"/>
        </w:rPr>
        <w:t>omitted, expected income from sales of the same buildings are more often included</w:t>
      </w:r>
      <w:r w:rsidR="007F0C4D" w:rsidRPr="00907907">
        <w:rPr>
          <w:rFonts w:cs="Times New Roman"/>
          <w:lang w:val="en-GB"/>
        </w:rPr>
        <w:t xml:space="preserve">, as </w:t>
      </w:r>
      <w:r w:rsidR="003623DE" w:rsidRPr="00907907">
        <w:rPr>
          <w:rFonts w:cs="Times New Roman"/>
          <w:lang w:val="en-GB"/>
        </w:rPr>
        <w:t xml:space="preserve">was </w:t>
      </w:r>
      <w:r w:rsidR="007F0C4D" w:rsidRPr="00907907">
        <w:rPr>
          <w:rFonts w:cs="Times New Roman"/>
          <w:lang w:val="en-GB"/>
        </w:rPr>
        <w:t>the case with the Bergen D</w:t>
      </w:r>
      <w:r w:rsidR="005907BD" w:rsidRPr="00907907">
        <w:rPr>
          <w:rFonts w:cs="Times New Roman"/>
          <w:lang w:val="en-GB"/>
        </w:rPr>
        <w:t>istrict Courthouse. T</w:t>
      </w:r>
      <w:r w:rsidR="0058061B" w:rsidRPr="00907907">
        <w:rPr>
          <w:rFonts w:cs="Times New Roman"/>
          <w:lang w:val="en-GB"/>
        </w:rPr>
        <w:t xml:space="preserve">he QA1-report noted that plans for measures to be made before the </w:t>
      </w:r>
      <w:r w:rsidR="005867EF" w:rsidRPr="00907907">
        <w:rPr>
          <w:rFonts w:cs="Times New Roman"/>
          <w:lang w:val="en-GB"/>
        </w:rPr>
        <w:t>courthouse</w:t>
      </w:r>
      <w:r w:rsidR="0058061B" w:rsidRPr="00907907">
        <w:rPr>
          <w:rFonts w:cs="Times New Roman"/>
          <w:lang w:val="en-GB"/>
        </w:rPr>
        <w:t xml:space="preserve"> is vacated are missing, and also that the estimated sales </w:t>
      </w:r>
      <w:r w:rsidR="003623DE" w:rsidRPr="00907907">
        <w:rPr>
          <w:rFonts w:cs="Times New Roman"/>
          <w:lang w:val="en-GB"/>
        </w:rPr>
        <w:t xml:space="preserve">price </w:t>
      </w:r>
      <w:r w:rsidR="0058061B" w:rsidRPr="00907907">
        <w:rPr>
          <w:rFonts w:cs="Times New Roman"/>
          <w:lang w:val="en-GB"/>
        </w:rPr>
        <w:t xml:space="preserve">is </w:t>
      </w:r>
      <w:r w:rsidR="00594FAE" w:rsidRPr="00907907">
        <w:rPr>
          <w:rFonts w:cs="Times New Roman"/>
          <w:lang w:val="en-GB"/>
        </w:rPr>
        <w:t>unrealistic</w:t>
      </w:r>
      <w:r w:rsidR="00CF042F" w:rsidRPr="00907907">
        <w:rPr>
          <w:rFonts w:cs="Times New Roman"/>
          <w:lang w:val="en-GB"/>
        </w:rPr>
        <w:t xml:space="preserve">, both with regards to the estimated </w:t>
      </w:r>
      <w:r w:rsidR="003623DE" w:rsidRPr="00907907">
        <w:rPr>
          <w:rFonts w:cs="Times New Roman"/>
          <w:lang w:val="en-GB"/>
        </w:rPr>
        <w:t>price</w:t>
      </w:r>
      <w:r w:rsidR="00CF042F" w:rsidRPr="00907907">
        <w:rPr>
          <w:rFonts w:cs="Times New Roman"/>
          <w:lang w:val="en-GB"/>
        </w:rPr>
        <w:t xml:space="preserve"> and the social value the building´s cultural heritage represent.</w:t>
      </w:r>
      <w:r w:rsidR="007439FA" w:rsidRPr="00907907">
        <w:rPr>
          <w:rStyle w:val="EndnoteReference"/>
          <w:rFonts w:cs="Times New Roman"/>
          <w:lang w:val="en-GB"/>
        </w:rPr>
        <w:endnoteReference w:id="54"/>
      </w:r>
      <w:r w:rsidR="00CC308E" w:rsidRPr="00907907">
        <w:rPr>
          <w:rFonts w:cs="Times New Roman"/>
          <w:lang w:val="en-GB"/>
        </w:rPr>
        <w:t xml:space="preserve"> It </w:t>
      </w:r>
      <w:r w:rsidR="003623DE" w:rsidRPr="00907907">
        <w:rPr>
          <w:rFonts w:cs="Times New Roman"/>
          <w:lang w:val="en-GB"/>
        </w:rPr>
        <w:t xml:space="preserve">has been </w:t>
      </w:r>
      <w:r w:rsidR="00CC308E" w:rsidRPr="00907907">
        <w:rPr>
          <w:rFonts w:cs="Times New Roman"/>
          <w:lang w:val="en-GB"/>
        </w:rPr>
        <w:t xml:space="preserve">repeatedly claimed that protected buildings can be managed </w:t>
      </w:r>
      <w:r w:rsidR="003312E7" w:rsidRPr="00907907">
        <w:rPr>
          <w:rFonts w:cs="Times New Roman"/>
          <w:lang w:val="en-GB"/>
        </w:rPr>
        <w:t>without restrictions, as in the</w:t>
      </w:r>
      <w:r w:rsidR="0004705D" w:rsidRPr="00907907">
        <w:rPr>
          <w:rFonts w:cs="Times New Roman"/>
          <w:lang w:val="en-GB"/>
        </w:rPr>
        <w:t xml:space="preserve"> Museum of Cultural History project</w:t>
      </w:r>
      <w:r w:rsidR="00F849BC" w:rsidRPr="00907907">
        <w:rPr>
          <w:rFonts w:cs="Times New Roman"/>
          <w:lang w:val="en-GB"/>
        </w:rPr>
        <w:t>, regarding the art nouveau building Historic Museum:</w:t>
      </w:r>
    </w:p>
    <w:p w14:paraId="211FB454" w14:textId="77777777" w:rsidR="00F53F78" w:rsidRPr="00907907" w:rsidRDefault="00F53F78" w:rsidP="00236B6E">
      <w:pPr>
        <w:rPr>
          <w:rFonts w:cs="Times New Roman"/>
          <w:lang w:val="en-GB"/>
        </w:rPr>
      </w:pPr>
    </w:p>
    <w:p w14:paraId="1D4A6355" w14:textId="3C231242" w:rsidR="00F53F78" w:rsidRPr="00907907" w:rsidRDefault="00F53F78" w:rsidP="00236B6E">
      <w:pPr>
        <w:pStyle w:val="Quote"/>
        <w:rPr>
          <w:rFonts w:cs="Times New Roman"/>
        </w:rPr>
      </w:pPr>
      <w:r w:rsidRPr="00907907">
        <w:rPr>
          <w:rFonts w:cs="Times New Roman"/>
        </w:rPr>
        <w:t>The state is free to use the premises as they see fit if it is vacated, including sales.</w:t>
      </w:r>
      <w:r w:rsidR="00C0586B" w:rsidRPr="00907907">
        <w:rPr>
          <w:rStyle w:val="EndnoteReference"/>
          <w:rFonts w:cs="Times New Roman"/>
        </w:rPr>
        <w:endnoteReference w:id="55"/>
      </w:r>
    </w:p>
    <w:p w14:paraId="525A106C" w14:textId="77777777" w:rsidR="00CE1D45" w:rsidRPr="00907907" w:rsidRDefault="00CE1D45" w:rsidP="00236B6E">
      <w:pPr>
        <w:rPr>
          <w:rFonts w:cs="Times New Roman"/>
          <w:lang w:val="en-GB"/>
        </w:rPr>
      </w:pPr>
    </w:p>
    <w:p w14:paraId="2663D6A0" w14:textId="77777777" w:rsidR="00E72303" w:rsidRPr="00907907" w:rsidRDefault="009B1662" w:rsidP="00236B6E">
      <w:pPr>
        <w:rPr>
          <w:rFonts w:cs="Times New Roman"/>
          <w:lang w:val="en-GB"/>
        </w:rPr>
      </w:pPr>
      <w:r w:rsidRPr="00907907">
        <w:rPr>
          <w:rFonts w:cs="Times New Roman"/>
          <w:lang w:val="en-GB"/>
        </w:rPr>
        <w:t xml:space="preserve">This might be the case on paper: </w:t>
      </w:r>
      <w:r w:rsidR="008A26C1" w:rsidRPr="00907907">
        <w:rPr>
          <w:rFonts w:cs="Times New Roman"/>
          <w:lang w:val="en-GB"/>
        </w:rPr>
        <w:t xml:space="preserve">in theory, the juridical protection is intended to safeguard the cultural heritage values, also after a sale. </w:t>
      </w:r>
      <w:r w:rsidR="00703665" w:rsidRPr="00907907">
        <w:rPr>
          <w:rFonts w:cs="Times New Roman"/>
          <w:lang w:val="en-GB"/>
        </w:rPr>
        <w:t>Still, the buildings</w:t>
      </w:r>
      <w:r w:rsidR="003E33B9" w:rsidRPr="00907907">
        <w:rPr>
          <w:rFonts w:cs="Times New Roman"/>
          <w:lang w:val="en-GB"/>
        </w:rPr>
        <w:t xml:space="preserve"> affected</w:t>
      </w:r>
      <w:r w:rsidR="00703665" w:rsidRPr="00907907">
        <w:rPr>
          <w:rFonts w:cs="Times New Roman"/>
          <w:lang w:val="en-GB"/>
        </w:rPr>
        <w:t xml:space="preserve"> in this paper are well known</w:t>
      </w:r>
      <w:r w:rsidR="003E33B9" w:rsidRPr="00907907">
        <w:rPr>
          <w:rFonts w:cs="Times New Roman"/>
          <w:lang w:val="en-GB"/>
        </w:rPr>
        <w:t xml:space="preserve">, public buildings, and selling them </w:t>
      </w:r>
      <w:r w:rsidR="00326995" w:rsidRPr="00907907">
        <w:rPr>
          <w:rFonts w:cs="Times New Roman"/>
          <w:lang w:val="en-GB"/>
        </w:rPr>
        <w:t>could be both ill-advised, for a number of reasons, and politically impossible.</w:t>
      </w:r>
      <w:r w:rsidR="000874C8" w:rsidRPr="00907907">
        <w:rPr>
          <w:rFonts w:cs="Times New Roman"/>
          <w:lang w:val="en-GB"/>
        </w:rPr>
        <w:t xml:space="preserve"> It could be ill advised because the state would have less control of key cultural heritage, loose the possibility of using a building of </w:t>
      </w:r>
      <w:r w:rsidR="00867016" w:rsidRPr="00907907">
        <w:rPr>
          <w:rFonts w:cs="Times New Roman"/>
          <w:lang w:val="en-GB"/>
        </w:rPr>
        <w:t>outstanding</w:t>
      </w:r>
      <w:r w:rsidR="000874C8" w:rsidRPr="00907907">
        <w:rPr>
          <w:rFonts w:cs="Times New Roman"/>
          <w:lang w:val="en-GB"/>
        </w:rPr>
        <w:t xml:space="preserve"> quality and </w:t>
      </w:r>
      <w:r w:rsidR="00334C41" w:rsidRPr="00907907">
        <w:rPr>
          <w:rFonts w:cs="Times New Roman"/>
          <w:lang w:val="en-GB"/>
        </w:rPr>
        <w:t>take away the public´s access to important cultural heritage.</w:t>
      </w:r>
      <w:r w:rsidR="00305196" w:rsidRPr="00907907">
        <w:rPr>
          <w:rFonts w:cs="Times New Roman"/>
          <w:lang w:val="en-GB"/>
        </w:rPr>
        <w:t xml:space="preserve"> </w:t>
      </w:r>
      <w:r w:rsidR="00E72303" w:rsidRPr="00907907">
        <w:rPr>
          <w:rFonts w:cs="Times New Roman"/>
          <w:lang w:val="en-GB"/>
        </w:rPr>
        <w:t>It could be p</w:t>
      </w:r>
      <w:r w:rsidR="00305196" w:rsidRPr="00907907">
        <w:rPr>
          <w:rFonts w:cs="Times New Roman"/>
          <w:lang w:val="en-GB"/>
        </w:rPr>
        <w:t>olitically impossible due to resistance from an array of stakeholders.</w:t>
      </w:r>
      <w:r w:rsidR="00703665" w:rsidRPr="00907907">
        <w:rPr>
          <w:rFonts w:cs="Times New Roman"/>
          <w:lang w:val="en-GB"/>
        </w:rPr>
        <w:t xml:space="preserve"> </w:t>
      </w:r>
    </w:p>
    <w:p w14:paraId="37262FE3" w14:textId="68A4C832" w:rsidR="00C35E64" w:rsidRPr="00907907" w:rsidRDefault="0029686E" w:rsidP="00236B6E">
      <w:pPr>
        <w:rPr>
          <w:rFonts w:cs="Times New Roman"/>
          <w:lang w:val="en-GB"/>
        </w:rPr>
      </w:pPr>
      <w:r w:rsidRPr="00907907">
        <w:rPr>
          <w:rFonts w:cs="Times New Roman"/>
          <w:lang w:val="en-GB"/>
        </w:rPr>
        <w:t>Possible s</w:t>
      </w:r>
      <w:r w:rsidR="00E72303" w:rsidRPr="00907907">
        <w:rPr>
          <w:rFonts w:cs="Times New Roman"/>
          <w:lang w:val="en-GB"/>
        </w:rPr>
        <w:t xml:space="preserve">ales of buildings can </w:t>
      </w:r>
      <w:r w:rsidRPr="00907907">
        <w:rPr>
          <w:rFonts w:cs="Times New Roman"/>
          <w:lang w:val="en-GB"/>
        </w:rPr>
        <w:t>generate large sums in an economic analysis</w:t>
      </w:r>
      <w:r w:rsidR="00315974" w:rsidRPr="00907907">
        <w:rPr>
          <w:rFonts w:cs="Times New Roman"/>
          <w:lang w:val="en-GB"/>
        </w:rPr>
        <w:t>, affecting the analysis’ recommendations</w:t>
      </w:r>
      <w:r w:rsidRPr="00907907">
        <w:rPr>
          <w:rFonts w:cs="Times New Roman"/>
          <w:lang w:val="en-GB"/>
        </w:rPr>
        <w:t xml:space="preserve">. </w:t>
      </w:r>
      <w:r w:rsidR="00CE1D45" w:rsidRPr="00907907">
        <w:rPr>
          <w:rFonts w:cs="Times New Roman"/>
          <w:lang w:val="en-GB"/>
        </w:rPr>
        <w:t xml:space="preserve">For the New </w:t>
      </w:r>
      <w:r w:rsidR="005867EF" w:rsidRPr="00907907">
        <w:rPr>
          <w:rFonts w:cs="Times New Roman"/>
          <w:lang w:val="en-GB"/>
        </w:rPr>
        <w:t>Government</w:t>
      </w:r>
      <w:r w:rsidR="00CE1D45" w:rsidRPr="00907907">
        <w:rPr>
          <w:rFonts w:cs="Times New Roman"/>
          <w:lang w:val="en-GB"/>
        </w:rPr>
        <w:t xml:space="preserve"> Quarters,</w:t>
      </w:r>
      <w:r w:rsidR="00BA6805" w:rsidRPr="00907907">
        <w:rPr>
          <w:rFonts w:cs="Times New Roman"/>
          <w:lang w:val="en-GB"/>
        </w:rPr>
        <w:t xml:space="preserve"> the </w:t>
      </w:r>
      <w:r w:rsidR="00CE1D45" w:rsidRPr="00907907">
        <w:rPr>
          <w:rFonts w:cs="Times New Roman"/>
          <w:lang w:val="en-GB"/>
        </w:rPr>
        <w:t xml:space="preserve">proposed sale of real estate for </w:t>
      </w:r>
      <w:r w:rsidR="003623DE" w:rsidRPr="00907907">
        <w:rPr>
          <w:rFonts w:cs="Times New Roman"/>
          <w:lang w:val="en-GB"/>
        </w:rPr>
        <w:t xml:space="preserve">3 </w:t>
      </w:r>
      <w:r w:rsidR="00CE1D45" w:rsidRPr="00907907">
        <w:rPr>
          <w:rFonts w:cs="Times New Roman"/>
          <w:lang w:val="en-GB"/>
        </w:rPr>
        <w:t xml:space="preserve">billion NOK </w:t>
      </w:r>
      <w:r w:rsidR="00BA6805" w:rsidRPr="00907907">
        <w:rPr>
          <w:rFonts w:cs="Times New Roman"/>
          <w:lang w:val="en-GB"/>
        </w:rPr>
        <w:t>(</w:t>
      </w:r>
      <w:r w:rsidR="00505D39" w:rsidRPr="00907907">
        <w:rPr>
          <w:rFonts w:cs="Times New Roman"/>
          <w:lang w:val="en-GB"/>
        </w:rPr>
        <w:t xml:space="preserve">329 </w:t>
      </w:r>
      <w:r w:rsidR="00BA6805" w:rsidRPr="00907907">
        <w:rPr>
          <w:rFonts w:cs="Times New Roman"/>
          <w:lang w:val="en-GB"/>
        </w:rPr>
        <w:t xml:space="preserve">million </w:t>
      </w:r>
      <w:r w:rsidR="00505D39" w:rsidRPr="00907907">
        <w:rPr>
          <w:rFonts w:cs="Times New Roman"/>
          <w:lang w:val="en-GB"/>
        </w:rPr>
        <w:t>Euro</w:t>
      </w:r>
      <w:r w:rsidR="00BA6805" w:rsidRPr="00907907">
        <w:rPr>
          <w:rFonts w:cs="Times New Roman"/>
          <w:lang w:val="en-GB"/>
        </w:rPr>
        <w:t>)</w:t>
      </w:r>
      <w:r w:rsidR="00505D39" w:rsidRPr="00907907">
        <w:rPr>
          <w:rFonts w:cs="Times New Roman"/>
          <w:lang w:val="en-GB"/>
        </w:rPr>
        <w:t xml:space="preserve"> affected the calculations </w:t>
      </w:r>
      <w:r w:rsidR="003705D8" w:rsidRPr="00907907">
        <w:rPr>
          <w:rFonts w:cs="Times New Roman"/>
          <w:lang w:val="en-GB"/>
        </w:rPr>
        <w:t>for project costs significantly and played a large part in the alternative analysis.</w:t>
      </w:r>
      <w:r w:rsidR="00F073E3" w:rsidRPr="00907907">
        <w:rPr>
          <w:rStyle w:val="EndnoteReference"/>
          <w:rFonts w:cs="Times New Roman"/>
          <w:lang w:val="en-GB"/>
        </w:rPr>
        <w:endnoteReference w:id="56"/>
      </w:r>
      <w:r w:rsidR="00D55216" w:rsidRPr="00907907">
        <w:rPr>
          <w:rFonts w:cs="Times New Roman"/>
          <w:lang w:val="en-GB"/>
        </w:rPr>
        <w:t xml:space="preserve"> </w:t>
      </w:r>
      <w:r w:rsidR="002E0178" w:rsidRPr="00907907">
        <w:rPr>
          <w:rFonts w:cs="Times New Roman"/>
          <w:lang w:val="en-GB"/>
        </w:rPr>
        <w:t xml:space="preserve">It is problematic to </w:t>
      </w:r>
      <w:r w:rsidR="00EF784A" w:rsidRPr="00907907">
        <w:rPr>
          <w:rFonts w:cs="Times New Roman"/>
          <w:lang w:val="en-GB"/>
        </w:rPr>
        <w:t xml:space="preserve">rate sales of attractive </w:t>
      </w:r>
      <w:r w:rsidR="007E6F62" w:rsidRPr="00907907">
        <w:rPr>
          <w:rFonts w:cs="Times New Roman"/>
          <w:lang w:val="en-GB"/>
        </w:rPr>
        <w:t>real estate</w:t>
      </w:r>
      <w:r w:rsidR="0077172B" w:rsidRPr="00907907">
        <w:rPr>
          <w:rFonts w:cs="Times New Roman"/>
          <w:lang w:val="en-GB"/>
        </w:rPr>
        <w:t xml:space="preserve"> as gain, as real estate </w:t>
      </w:r>
      <w:r w:rsidR="005C5D76" w:rsidRPr="00907907">
        <w:rPr>
          <w:rFonts w:cs="Times New Roman"/>
          <w:lang w:val="en-GB"/>
        </w:rPr>
        <w:t xml:space="preserve">is popular </w:t>
      </w:r>
      <w:r w:rsidR="00315974" w:rsidRPr="00907907">
        <w:rPr>
          <w:rFonts w:cs="Times New Roman"/>
          <w:lang w:val="en-GB"/>
        </w:rPr>
        <w:t xml:space="preserve">for </w:t>
      </w:r>
      <w:r w:rsidR="00024267" w:rsidRPr="00907907">
        <w:rPr>
          <w:rFonts w:cs="Times New Roman"/>
          <w:lang w:val="en-GB"/>
        </w:rPr>
        <w:t xml:space="preserve">placing of money. </w:t>
      </w:r>
      <w:r w:rsidR="00315974" w:rsidRPr="00907907">
        <w:rPr>
          <w:rFonts w:cs="Times New Roman"/>
          <w:lang w:val="en-GB"/>
        </w:rPr>
        <w:t xml:space="preserve">Having money in attractive real estate is comparable to having money in the </w:t>
      </w:r>
      <w:r w:rsidR="000A0FCB" w:rsidRPr="00907907">
        <w:rPr>
          <w:rFonts w:cs="Times New Roman"/>
          <w:lang w:val="en-GB"/>
        </w:rPr>
        <w:t xml:space="preserve">bank, and selling real estate is more a matter of financing an investment than actually creating value. </w:t>
      </w:r>
      <w:r w:rsidR="00FF56E5" w:rsidRPr="00907907">
        <w:rPr>
          <w:rFonts w:cs="Times New Roman"/>
          <w:lang w:val="en-GB"/>
        </w:rPr>
        <w:t>For the same reasons</w:t>
      </w:r>
      <w:r w:rsidR="00BA6805" w:rsidRPr="00907907">
        <w:rPr>
          <w:rFonts w:cs="Times New Roman"/>
          <w:lang w:val="en-GB"/>
        </w:rPr>
        <w:t>, a</w:t>
      </w:r>
      <w:r w:rsidR="00D55216" w:rsidRPr="00907907">
        <w:rPr>
          <w:rFonts w:cs="Times New Roman"/>
          <w:lang w:val="en-GB"/>
        </w:rPr>
        <w:t xml:space="preserve"> </w:t>
      </w:r>
      <w:r w:rsidR="00BA6805" w:rsidRPr="00907907">
        <w:rPr>
          <w:rFonts w:cs="Times New Roman"/>
          <w:lang w:val="en-GB"/>
        </w:rPr>
        <w:t>state-</w:t>
      </w:r>
      <w:r w:rsidR="00D55216" w:rsidRPr="00907907">
        <w:rPr>
          <w:rFonts w:cs="Times New Roman"/>
          <w:lang w:val="en-GB"/>
        </w:rPr>
        <w:t xml:space="preserve">owned site that is required for </w:t>
      </w:r>
      <w:r w:rsidR="00BA6805" w:rsidRPr="00907907">
        <w:rPr>
          <w:rFonts w:cs="Times New Roman"/>
          <w:lang w:val="en-GB"/>
        </w:rPr>
        <w:t>a new build</w:t>
      </w:r>
      <w:r w:rsidR="00D55216" w:rsidRPr="00907907">
        <w:rPr>
          <w:rFonts w:cs="Times New Roman"/>
          <w:lang w:val="en-GB"/>
        </w:rPr>
        <w:t xml:space="preserve"> should not be </w:t>
      </w:r>
      <w:r w:rsidR="00BA6805" w:rsidRPr="00907907">
        <w:rPr>
          <w:rFonts w:cs="Times New Roman"/>
          <w:lang w:val="en-GB"/>
        </w:rPr>
        <w:t>considered</w:t>
      </w:r>
      <w:r w:rsidR="00AD4967" w:rsidRPr="00907907">
        <w:rPr>
          <w:rFonts w:cs="Times New Roman"/>
          <w:lang w:val="en-GB"/>
        </w:rPr>
        <w:t xml:space="preserve"> freely available</w:t>
      </w:r>
      <w:r w:rsidR="00772491" w:rsidRPr="00907907">
        <w:rPr>
          <w:rFonts w:cs="Times New Roman"/>
          <w:lang w:val="en-GB"/>
        </w:rPr>
        <w:t xml:space="preserve">, as </w:t>
      </w:r>
      <w:r w:rsidR="00BA6805" w:rsidRPr="00907907">
        <w:rPr>
          <w:rFonts w:cs="Times New Roman"/>
          <w:lang w:val="en-GB"/>
        </w:rPr>
        <w:t xml:space="preserve">was </w:t>
      </w:r>
      <w:r w:rsidR="00772491" w:rsidRPr="00907907">
        <w:rPr>
          <w:rFonts w:cs="Times New Roman"/>
          <w:lang w:val="en-GB"/>
        </w:rPr>
        <w:t>initially claimed for the New National Museum project</w:t>
      </w:r>
      <w:r w:rsidR="00C35E64" w:rsidRPr="00907907">
        <w:rPr>
          <w:rFonts w:cs="Times New Roman"/>
          <w:lang w:val="en-GB"/>
        </w:rPr>
        <w:t>:</w:t>
      </w:r>
    </w:p>
    <w:p w14:paraId="7AE9FB3C" w14:textId="77777777" w:rsidR="00C35E64" w:rsidRPr="00907907" w:rsidRDefault="00C35E64" w:rsidP="00236B6E">
      <w:pPr>
        <w:rPr>
          <w:rFonts w:cs="Times New Roman"/>
          <w:lang w:val="en-GB"/>
        </w:rPr>
      </w:pPr>
    </w:p>
    <w:p w14:paraId="2F7BF00C" w14:textId="11FACAF6" w:rsidR="00CE1D45" w:rsidRPr="00907907" w:rsidRDefault="001976C8" w:rsidP="00236B6E">
      <w:pPr>
        <w:pStyle w:val="Quote"/>
        <w:rPr>
          <w:rFonts w:cs="Times New Roman"/>
        </w:rPr>
      </w:pPr>
      <w:r w:rsidRPr="00907907">
        <w:rPr>
          <w:rFonts w:cs="Times New Roman"/>
        </w:rPr>
        <w:t>O</w:t>
      </w:r>
      <w:r w:rsidR="00225934" w:rsidRPr="00907907">
        <w:rPr>
          <w:rFonts w:cs="Times New Roman"/>
        </w:rPr>
        <w:t>verview of the total in</w:t>
      </w:r>
      <w:r w:rsidRPr="00907907">
        <w:rPr>
          <w:rFonts w:cs="Times New Roman"/>
        </w:rPr>
        <w:t>vestment costs (nominal values)</w:t>
      </w:r>
      <w:r w:rsidR="00225934" w:rsidRPr="00907907">
        <w:rPr>
          <w:rFonts w:cs="Times New Roman"/>
        </w:rPr>
        <w:t xml:space="preserve"> </w:t>
      </w:r>
      <w:r w:rsidRPr="00907907">
        <w:rPr>
          <w:rFonts w:cs="Times New Roman"/>
        </w:rPr>
        <w:t>(...)</w:t>
      </w:r>
      <w:r w:rsidR="00225934" w:rsidRPr="00907907">
        <w:rPr>
          <w:rFonts w:cs="Times New Roman"/>
        </w:rPr>
        <w:t xml:space="preserve"> </w:t>
      </w:r>
      <w:r w:rsidRPr="00907907">
        <w:rPr>
          <w:rFonts w:cs="Times New Roman"/>
        </w:rPr>
        <w:t>The state</w:t>
      </w:r>
      <w:r w:rsidR="00225934" w:rsidRPr="00907907">
        <w:rPr>
          <w:rFonts w:cs="Times New Roman"/>
        </w:rPr>
        <w:t xml:space="preserve"> already owns the </w:t>
      </w:r>
      <w:r w:rsidRPr="00907907">
        <w:rPr>
          <w:rFonts w:cs="Times New Roman"/>
        </w:rPr>
        <w:t>sites</w:t>
      </w:r>
      <w:r w:rsidR="00225934" w:rsidRPr="00907907">
        <w:rPr>
          <w:rFonts w:cs="Times New Roman"/>
        </w:rPr>
        <w:t xml:space="preserve"> on Tullinløkka and A2 on Vestbanen. The </w:t>
      </w:r>
      <w:r w:rsidRPr="00907907">
        <w:rPr>
          <w:rFonts w:cs="Times New Roman"/>
        </w:rPr>
        <w:t xml:space="preserve">market </w:t>
      </w:r>
      <w:r w:rsidR="00BA6805" w:rsidRPr="00907907">
        <w:rPr>
          <w:rFonts w:cs="Times New Roman"/>
        </w:rPr>
        <w:t>pric</w:t>
      </w:r>
      <w:r w:rsidR="00D22C3D" w:rsidRPr="00907907">
        <w:rPr>
          <w:rFonts w:cs="Times New Roman"/>
        </w:rPr>
        <w:t>e</w:t>
      </w:r>
      <w:r w:rsidR="00BA6805" w:rsidRPr="00907907">
        <w:rPr>
          <w:rFonts w:cs="Times New Roman"/>
        </w:rPr>
        <w:t xml:space="preserve"> </w:t>
      </w:r>
      <w:r w:rsidRPr="00907907">
        <w:rPr>
          <w:rFonts w:cs="Times New Roman"/>
        </w:rPr>
        <w:t xml:space="preserve">for these sites </w:t>
      </w:r>
      <w:r w:rsidR="00832B62" w:rsidRPr="00907907">
        <w:rPr>
          <w:rFonts w:cs="Times New Roman"/>
        </w:rPr>
        <w:t xml:space="preserve">is </w:t>
      </w:r>
      <w:r w:rsidR="00225934" w:rsidRPr="00907907">
        <w:rPr>
          <w:rFonts w:cs="Times New Roman"/>
        </w:rPr>
        <w:t>therefore not included</w:t>
      </w:r>
      <w:r w:rsidR="006B1034" w:rsidRPr="00907907">
        <w:rPr>
          <w:rFonts w:cs="Times New Roman"/>
        </w:rPr>
        <w:t>.</w:t>
      </w:r>
      <w:r w:rsidR="00AF65CD" w:rsidRPr="00907907">
        <w:rPr>
          <w:rStyle w:val="EndnoteReference"/>
          <w:rFonts w:cs="Times New Roman"/>
        </w:rPr>
        <w:endnoteReference w:id="57"/>
      </w:r>
    </w:p>
    <w:p w14:paraId="1D4E8757" w14:textId="77777777" w:rsidR="002365F8" w:rsidRPr="00907907" w:rsidRDefault="002365F8" w:rsidP="00236B6E">
      <w:pPr>
        <w:rPr>
          <w:rFonts w:cs="Times New Roman"/>
          <w:lang w:val="en-GB"/>
        </w:rPr>
      </w:pPr>
    </w:p>
    <w:p w14:paraId="68AAD8F0" w14:textId="30FAB048" w:rsidR="002365F8" w:rsidRPr="00907907" w:rsidRDefault="002365F8" w:rsidP="00236B6E">
      <w:pPr>
        <w:rPr>
          <w:rFonts w:cs="Times New Roman"/>
          <w:lang w:val="en-GB"/>
        </w:rPr>
      </w:pPr>
      <w:r w:rsidRPr="00907907">
        <w:rPr>
          <w:rFonts w:cs="Times New Roman"/>
          <w:lang w:val="en-GB"/>
        </w:rPr>
        <w:t>Owners of protected buildings are obliged to maintain them. Sadly, this</w:t>
      </w:r>
      <w:r w:rsidR="00BA6805" w:rsidRPr="00907907">
        <w:rPr>
          <w:rFonts w:cs="Times New Roman"/>
          <w:lang w:val="en-GB"/>
        </w:rPr>
        <w:t xml:space="preserve"> responsibility</w:t>
      </w:r>
      <w:r w:rsidRPr="00907907">
        <w:rPr>
          <w:rFonts w:cs="Times New Roman"/>
          <w:lang w:val="en-GB"/>
        </w:rPr>
        <w:t xml:space="preserve"> is often </w:t>
      </w:r>
      <w:r w:rsidR="00BA6805" w:rsidRPr="00907907">
        <w:rPr>
          <w:rFonts w:cs="Times New Roman"/>
          <w:lang w:val="en-GB"/>
        </w:rPr>
        <w:t>neglected</w:t>
      </w:r>
      <w:r w:rsidRPr="00907907">
        <w:rPr>
          <w:rFonts w:cs="Times New Roman"/>
          <w:lang w:val="en-GB"/>
        </w:rPr>
        <w:t xml:space="preserve">, </w:t>
      </w:r>
      <w:r w:rsidR="00BA6805" w:rsidRPr="00907907">
        <w:rPr>
          <w:rFonts w:cs="Times New Roman"/>
          <w:lang w:val="en-GB"/>
        </w:rPr>
        <w:t>resulting in a</w:t>
      </w:r>
      <w:r w:rsidRPr="00907907">
        <w:rPr>
          <w:rFonts w:cs="Times New Roman"/>
          <w:lang w:val="en-GB"/>
        </w:rPr>
        <w:t xml:space="preserve"> maintenance backlog </w:t>
      </w:r>
      <w:r w:rsidR="00BA6805" w:rsidRPr="00907907">
        <w:rPr>
          <w:rFonts w:cs="Times New Roman"/>
          <w:lang w:val="en-GB"/>
        </w:rPr>
        <w:t xml:space="preserve">built </w:t>
      </w:r>
      <w:r w:rsidRPr="00907907">
        <w:rPr>
          <w:rFonts w:cs="Times New Roman"/>
          <w:lang w:val="en-GB"/>
        </w:rPr>
        <w:t xml:space="preserve">up over years. This maintenance backlog </w:t>
      </w:r>
      <w:r w:rsidR="00BA6805" w:rsidRPr="00907907">
        <w:rPr>
          <w:rFonts w:cs="Times New Roman"/>
          <w:lang w:val="en-GB"/>
        </w:rPr>
        <w:t>s</w:t>
      </w:r>
      <w:r w:rsidR="0075675A" w:rsidRPr="00907907">
        <w:rPr>
          <w:rFonts w:cs="Times New Roman"/>
          <w:lang w:val="en-GB"/>
        </w:rPr>
        <w:t xml:space="preserve">hould be </w:t>
      </w:r>
      <w:r w:rsidR="005867EF" w:rsidRPr="00907907">
        <w:rPr>
          <w:rFonts w:cs="Times New Roman"/>
          <w:lang w:val="en-GB"/>
        </w:rPr>
        <w:t>addressed</w:t>
      </w:r>
      <w:r w:rsidR="0075675A" w:rsidRPr="00907907">
        <w:rPr>
          <w:rFonts w:cs="Times New Roman"/>
          <w:lang w:val="en-GB"/>
        </w:rPr>
        <w:t xml:space="preserve"> separately from the project costs, as the maintenance should be done regardless and should have been </w:t>
      </w:r>
      <w:r w:rsidR="00BA6805" w:rsidRPr="00907907">
        <w:rPr>
          <w:rFonts w:cs="Times New Roman"/>
          <w:lang w:val="en-GB"/>
        </w:rPr>
        <w:t xml:space="preserve">paid for using </w:t>
      </w:r>
      <w:r w:rsidR="0075675A" w:rsidRPr="00907907">
        <w:rPr>
          <w:rFonts w:cs="Times New Roman"/>
          <w:lang w:val="en-GB"/>
        </w:rPr>
        <w:t xml:space="preserve">earlier budgets. If these different costs are </w:t>
      </w:r>
      <w:r w:rsidR="0051771C" w:rsidRPr="00907907">
        <w:rPr>
          <w:rFonts w:cs="Times New Roman"/>
          <w:lang w:val="en-GB"/>
        </w:rPr>
        <w:t>confused</w:t>
      </w:r>
      <w:r w:rsidR="0075675A" w:rsidRPr="00907907">
        <w:rPr>
          <w:rFonts w:cs="Times New Roman"/>
          <w:lang w:val="en-GB"/>
        </w:rPr>
        <w:t xml:space="preserve">, </w:t>
      </w:r>
      <w:r w:rsidR="0051771C" w:rsidRPr="00907907">
        <w:rPr>
          <w:rFonts w:cs="Times New Roman"/>
          <w:lang w:val="en-GB"/>
        </w:rPr>
        <w:t xml:space="preserve">it will make it harder to </w:t>
      </w:r>
      <w:r w:rsidR="00E53FE5" w:rsidRPr="00907907">
        <w:rPr>
          <w:rFonts w:cs="Times New Roman"/>
          <w:lang w:val="en-GB"/>
        </w:rPr>
        <w:t>realize continued use of protected, historical buildings.</w:t>
      </w:r>
    </w:p>
    <w:p w14:paraId="3D1AAE3A" w14:textId="4C1706EA" w:rsidR="00004A2C" w:rsidRPr="00907907" w:rsidRDefault="00074550" w:rsidP="00907907">
      <w:pPr>
        <w:pStyle w:val="Heading2"/>
      </w:pPr>
      <w:r w:rsidRPr="00907907">
        <w:t>The evaluation</w:t>
      </w:r>
      <w:r w:rsidR="00004A2C" w:rsidRPr="00907907">
        <w:t xml:space="preserve"> can appear to be biased, possibly tailored for a preferred result</w:t>
      </w:r>
    </w:p>
    <w:p w14:paraId="673FA4A5" w14:textId="34C5E3B3" w:rsidR="00EB45C9" w:rsidRPr="00907907" w:rsidRDefault="00EB45C9" w:rsidP="00236B6E">
      <w:pPr>
        <w:rPr>
          <w:rFonts w:cs="Times New Roman"/>
          <w:lang w:val="en-GB"/>
        </w:rPr>
      </w:pPr>
      <w:r w:rsidRPr="00907907">
        <w:rPr>
          <w:rFonts w:cs="Times New Roman"/>
          <w:lang w:val="en-GB"/>
        </w:rPr>
        <w:t xml:space="preserve">In QA1-documentation, institutions tend to appear </w:t>
      </w:r>
      <w:r w:rsidR="005867EF" w:rsidRPr="00907907">
        <w:rPr>
          <w:rFonts w:cs="Times New Roman"/>
          <w:lang w:val="en-GB"/>
        </w:rPr>
        <w:t>in unison</w:t>
      </w:r>
      <w:r w:rsidR="009445A8" w:rsidRPr="00907907">
        <w:rPr>
          <w:rFonts w:cs="Times New Roman"/>
          <w:lang w:val="en-GB"/>
        </w:rPr>
        <w:t>. However, a closer look</w:t>
      </w:r>
      <w:r w:rsidR="00BA6805" w:rsidRPr="00907907">
        <w:rPr>
          <w:rFonts w:cs="Times New Roman"/>
          <w:lang w:val="en-GB"/>
        </w:rPr>
        <w:t xml:space="preserve"> can reveal a different situation</w:t>
      </w:r>
      <w:r w:rsidR="009445A8" w:rsidRPr="00907907">
        <w:rPr>
          <w:rFonts w:cs="Times New Roman"/>
          <w:lang w:val="en-GB"/>
        </w:rPr>
        <w:t>. Generally, it is unlikely that there</w:t>
      </w:r>
      <w:r w:rsidR="00BA6805" w:rsidRPr="00907907">
        <w:rPr>
          <w:rFonts w:cs="Times New Roman"/>
          <w:lang w:val="en-GB"/>
        </w:rPr>
        <w:t xml:space="preserve"> will be</w:t>
      </w:r>
      <w:r w:rsidR="009445A8" w:rsidRPr="00907907">
        <w:rPr>
          <w:rFonts w:cs="Times New Roman"/>
          <w:lang w:val="en-GB"/>
        </w:rPr>
        <w:t xml:space="preserve"> total agreement within </w:t>
      </w:r>
      <w:r w:rsidR="00BA6805" w:rsidRPr="00907907">
        <w:rPr>
          <w:rFonts w:cs="Times New Roman"/>
          <w:lang w:val="en-GB"/>
        </w:rPr>
        <w:t xml:space="preserve">a </w:t>
      </w:r>
      <w:r w:rsidR="009445A8" w:rsidRPr="00907907">
        <w:rPr>
          <w:rFonts w:cs="Times New Roman"/>
          <w:lang w:val="en-GB"/>
        </w:rPr>
        <w:t>democratic institution with thousands of employees.</w:t>
      </w:r>
      <w:r w:rsidR="00D71D1D" w:rsidRPr="00907907">
        <w:rPr>
          <w:rFonts w:cs="Times New Roman"/>
          <w:lang w:val="en-GB"/>
        </w:rPr>
        <w:t xml:space="preserve"> For both </w:t>
      </w:r>
      <w:r w:rsidR="00BA6805" w:rsidRPr="00907907">
        <w:rPr>
          <w:rFonts w:cs="Times New Roman"/>
          <w:lang w:val="en-GB"/>
        </w:rPr>
        <w:t xml:space="preserve">the </w:t>
      </w:r>
      <w:r w:rsidR="00B93851" w:rsidRPr="00907907">
        <w:rPr>
          <w:rFonts w:cs="Times New Roman"/>
          <w:bCs/>
          <w:lang w:val="en-GB"/>
        </w:rPr>
        <w:t>Norwegian School of Veterinary Science</w:t>
      </w:r>
      <w:r w:rsidR="00BA6805" w:rsidRPr="00907907">
        <w:rPr>
          <w:rFonts w:cs="Times New Roman"/>
          <w:lang w:val="en-GB"/>
        </w:rPr>
        <w:t xml:space="preserve"> </w:t>
      </w:r>
      <w:r w:rsidR="003D5EC0" w:rsidRPr="00907907">
        <w:rPr>
          <w:rFonts w:cs="Times New Roman"/>
          <w:lang w:val="en-GB"/>
        </w:rPr>
        <w:t xml:space="preserve">and </w:t>
      </w:r>
      <w:r w:rsidR="00BA6805" w:rsidRPr="00907907">
        <w:rPr>
          <w:rFonts w:cs="Times New Roman"/>
          <w:lang w:val="en-GB"/>
        </w:rPr>
        <w:t xml:space="preserve">the </w:t>
      </w:r>
      <w:r w:rsidR="003D5EC0" w:rsidRPr="00907907">
        <w:rPr>
          <w:rFonts w:cs="Times New Roman"/>
          <w:lang w:val="en-GB"/>
        </w:rPr>
        <w:t>Future Location of Campus NTNU</w:t>
      </w:r>
      <w:r w:rsidR="008917F4" w:rsidRPr="00907907">
        <w:rPr>
          <w:rFonts w:cs="Times New Roman"/>
          <w:lang w:val="en-GB"/>
        </w:rPr>
        <w:t xml:space="preserve">, there were differences in opinion, although this was not </w:t>
      </w:r>
      <w:r w:rsidR="00BA6805" w:rsidRPr="00907907">
        <w:rPr>
          <w:rFonts w:cs="Times New Roman"/>
          <w:lang w:val="en-GB"/>
        </w:rPr>
        <w:t xml:space="preserve">obvious </w:t>
      </w:r>
      <w:r w:rsidR="008917F4" w:rsidRPr="00907907">
        <w:rPr>
          <w:rFonts w:cs="Times New Roman"/>
          <w:lang w:val="en-GB"/>
        </w:rPr>
        <w:t>in the QA1-documentation</w:t>
      </w:r>
      <w:r w:rsidR="00610994" w:rsidRPr="00907907">
        <w:rPr>
          <w:rFonts w:cs="Times New Roman"/>
          <w:lang w:val="en-GB"/>
        </w:rPr>
        <w:t>.</w:t>
      </w:r>
      <w:r w:rsidR="008969C6" w:rsidRPr="00907907">
        <w:rPr>
          <w:rStyle w:val="EndnoteReference"/>
          <w:rFonts w:cs="Times New Roman"/>
          <w:lang w:val="en-GB"/>
        </w:rPr>
        <w:endnoteReference w:id="58"/>
      </w:r>
      <w:r w:rsidR="006B1034" w:rsidRPr="00907907">
        <w:rPr>
          <w:rFonts w:cs="Times New Roman"/>
          <w:vertAlign w:val="superscript"/>
          <w:lang w:val="en-GB"/>
        </w:rPr>
        <w:t xml:space="preserve">, </w:t>
      </w:r>
      <w:r w:rsidR="00FD0B0E" w:rsidRPr="00907907">
        <w:rPr>
          <w:rStyle w:val="EndnoteReference"/>
          <w:rFonts w:cs="Times New Roman"/>
          <w:lang w:val="en-GB"/>
        </w:rPr>
        <w:endnoteReference w:id="59"/>
      </w:r>
      <w:r w:rsidR="000147D6" w:rsidRPr="00907907">
        <w:rPr>
          <w:rFonts w:cs="Times New Roman"/>
          <w:vertAlign w:val="superscript"/>
          <w:lang w:val="en-GB"/>
        </w:rPr>
        <w:t xml:space="preserve"> </w:t>
      </w:r>
      <w:r w:rsidR="000147D6" w:rsidRPr="00907907">
        <w:rPr>
          <w:rFonts w:cs="Times New Roman"/>
          <w:lang w:val="en-GB"/>
        </w:rPr>
        <w:t>Especially when a</w:t>
      </w:r>
      <w:r w:rsidR="00406402" w:rsidRPr="00907907">
        <w:rPr>
          <w:rFonts w:cs="Times New Roman"/>
          <w:lang w:val="en-GB"/>
        </w:rPr>
        <w:t>n</w:t>
      </w:r>
      <w:r w:rsidR="000147D6" w:rsidRPr="00907907">
        <w:rPr>
          <w:rFonts w:cs="Times New Roman"/>
          <w:lang w:val="en-GB"/>
        </w:rPr>
        <w:t xml:space="preserve"> institution is considering </w:t>
      </w:r>
      <w:r w:rsidR="00406402" w:rsidRPr="00907907">
        <w:rPr>
          <w:rFonts w:cs="Times New Roman"/>
          <w:lang w:val="en-GB"/>
        </w:rPr>
        <w:t>such serous decisions as vacating its historical buildings</w:t>
      </w:r>
      <w:r w:rsidR="000147D6" w:rsidRPr="00907907">
        <w:rPr>
          <w:rFonts w:cs="Times New Roman"/>
          <w:lang w:val="en-GB"/>
        </w:rPr>
        <w:t xml:space="preserve">, one should </w:t>
      </w:r>
      <w:r w:rsidR="00484016" w:rsidRPr="00907907">
        <w:rPr>
          <w:rFonts w:cs="Times New Roman"/>
          <w:lang w:val="en-GB"/>
        </w:rPr>
        <w:t>ensure that all views are represented.</w:t>
      </w:r>
    </w:p>
    <w:p w14:paraId="3C580881" w14:textId="7336025C" w:rsidR="00D73BA1" w:rsidRPr="00907907" w:rsidRDefault="001A29D8" w:rsidP="00236B6E">
      <w:pPr>
        <w:rPr>
          <w:rFonts w:cs="Times New Roman"/>
          <w:lang w:val="en-GB"/>
        </w:rPr>
      </w:pPr>
      <w:r w:rsidRPr="00907907">
        <w:rPr>
          <w:rFonts w:cs="Times New Roman"/>
          <w:lang w:val="en-GB"/>
        </w:rPr>
        <w:t>H</w:t>
      </w:r>
      <w:r w:rsidR="00D73BA1" w:rsidRPr="00907907">
        <w:rPr>
          <w:rFonts w:cs="Times New Roman"/>
          <w:lang w:val="en-GB"/>
        </w:rPr>
        <w:t xml:space="preserve">istorical buildings with documented cultural heritage value are likely to have some flaws, </w:t>
      </w:r>
      <w:r w:rsidR="004E5A7F" w:rsidRPr="00907907">
        <w:rPr>
          <w:rFonts w:cs="Times New Roman"/>
          <w:lang w:val="en-GB"/>
        </w:rPr>
        <w:t xml:space="preserve">but when describing these, </w:t>
      </w:r>
      <w:r w:rsidR="003C629C" w:rsidRPr="00907907">
        <w:rPr>
          <w:rFonts w:cs="Times New Roman"/>
          <w:lang w:val="en-GB"/>
        </w:rPr>
        <w:t xml:space="preserve">one must </w:t>
      </w:r>
      <w:r w:rsidR="004E0D79" w:rsidRPr="00907907">
        <w:rPr>
          <w:rFonts w:cs="Times New Roman"/>
          <w:lang w:val="en-GB"/>
        </w:rPr>
        <w:t xml:space="preserve">be sure to also describe the rather obvious advantages. The National Gallery building was described very differently in the New </w:t>
      </w:r>
      <w:r w:rsidR="001D335A" w:rsidRPr="00907907">
        <w:rPr>
          <w:rFonts w:cs="Times New Roman"/>
          <w:lang w:val="en-GB"/>
        </w:rPr>
        <w:t>National Museum project and in the Tullinløkka project</w:t>
      </w:r>
      <w:r w:rsidRPr="00907907">
        <w:rPr>
          <w:rFonts w:cs="Times New Roman"/>
          <w:lang w:val="en-GB"/>
        </w:rPr>
        <w:t xml:space="preserve">, </w:t>
      </w:r>
      <w:r w:rsidR="001D335A" w:rsidRPr="00907907">
        <w:rPr>
          <w:rFonts w:cs="Times New Roman"/>
          <w:lang w:val="en-GB"/>
        </w:rPr>
        <w:t>a</w:t>
      </w:r>
      <w:r w:rsidR="00ED2BF7" w:rsidRPr="00907907">
        <w:rPr>
          <w:rFonts w:cs="Times New Roman"/>
          <w:lang w:val="en-GB"/>
        </w:rPr>
        <w:t>nd</w:t>
      </w:r>
      <w:r w:rsidRPr="00907907">
        <w:rPr>
          <w:rFonts w:cs="Times New Roman"/>
          <w:lang w:val="en-GB"/>
        </w:rPr>
        <w:t>,</w:t>
      </w:r>
      <w:r w:rsidR="00ED2BF7" w:rsidRPr="00907907">
        <w:rPr>
          <w:rFonts w:cs="Times New Roman"/>
          <w:lang w:val="en-GB"/>
        </w:rPr>
        <w:t xml:space="preserve"> in retrospect</w:t>
      </w:r>
      <w:r w:rsidRPr="00907907">
        <w:rPr>
          <w:rFonts w:cs="Times New Roman"/>
          <w:lang w:val="en-GB"/>
        </w:rPr>
        <w:t>,</w:t>
      </w:r>
      <w:r w:rsidR="00ED2BF7" w:rsidRPr="00907907">
        <w:rPr>
          <w:rFonts w:cs="Times New Roman"/>
          <w:lang w:val="en-GB"/>
        </w:rPr>
        <w:t xml:space="preserve"> it is </w:t>
      </w:r>
      <w:r w:rsidR="00BB1B9C" w:rsidRPr="00907907">
        <w:rPr>
          <w:rFonts w:cs="Times New Roman"/>
          <w:lang w:val="en-GB"/>
        </w:rPr>
        <w:t xml:space="preserve">interesting </w:t>
      </w:r>
      <w:r w:rsidR="00ED2BF7" w:rsidRPr="00907907">
        <w:rPr>
          <w:rFonts w:cs="Times New Roman"/>
          <w:lang w:val="en-GB"/>
        </w:rPr>
        <w:t>that the former</w:t>
      </w:r>
      <w:r w:rsidR="00075F63" w:rsidRPr="00907907">
        <w:rPr>
          <w:rFonts w:cs="Times New Roman"/>
          <w:lang w:val="en-GB"/>
        </w:rPr>
        <w:t xml:space="preserve"> project</w:t>
      </w:r>
      <w:r w:rsidR="00ED2BF7" w:rsidRPr="00907907">
        <w:rPr>
          <w:rFonts w:cs="Times New Roman"/>
          <w:lang w:val="en-GB"/>
        </w:rPr>
        <w:t xml:space="preserve"> </w:t>
      </w:r>
      <w:r w:rsidR="00BB1B9C" w:rsidRPr="00907907">
        <w:rPr>
          <w:rFonts w:cs="Times New Roman"/>
          <w:lang w:val="en-GB"/>
        </w:rPr>
        <w:t xml:space="preserve">chose </w:t>
      </w:r>
      <w:r w:rsidR="00ED2BF7" w:rsidRPr="00907907">
        <w:rPr>
          <w:rFonts w:cs="Times New Roman"/>
          <w:lang w:val="en-GB"/>
        </w:rPr>
        <w:t xml:space="preserve">a new build alternative, </w:t>
      </w:r>
      <w:r w:rsidR="00075F63" w:rsidRPr="00907907">
        <w:rPr>
          <w:rFonts w:cs="Times New Roman"/>
          <w:lang w:val="en-GB"/>
        </w:rPr>
        <w:t xml:space="preserve">thus vacating the National Gallery building, </w:t>
      </w:r>
      <w:r w:rsidRPr="00907907">
        <w:rPr>
          <w:rFonts w:cs="Times New Roman"/>
          <w:lang w:val="en-GB"/>
        </w:rPr>
        <w:t xml:space="preserve">while </w:t>
      </w:r>
      <w:r w:rsidR="00ED2BF7" w:rsidRPr="00907907">
        <w:rPr>
          <w:rFonts w:cs="Times New Roman"/>
          <w:lang w:val="en-GB"/>
        </w:rPr>
        <w:t xml:space="preserve">the latter </w:t>
      </w:r>
      <w:r w:rsidR="00075F63" w:rsidRPr="00907907">
        <w:rPr>
          <w:rFonts w:cs="Times New Roman"/>
          <w:lang w:val="en-GB"/>
        </w:rPr>
        <w:t xml:space="preserve">project aims </w:t>
      </w:r>
      <w:r w:rsidR="00ED2BF7" w:rsidRPr="00907907">
        <w:rPr>
          <w:rFonts w:cs="Times New Roman"/>
          <w:lang w:val="en-GB"/>
        </w:rPr>
        <w:t xml:space="preserve">to </w:t>
      </w:r>
      <w:r w:rsidR="00075F63" w:rsidRPr="00907907">
        <w:rPr>
          <w:rFonts w:cs="Times New Roman"/>
          <w:lang w:val="en-GB"/>
        </w:rPr>
        <w:t>find new use for</w:t>
      </w:r>
      <w:r w:rsidR="00BB1B9C" w:rsidRPr="00907907">
        <w:rPr>
          <w:rFonts w:cs="Times New Roman"/>
          <w:lang w:val="en-GB"/>
        </w:rPr>
        <w:t xml:space="preserve"> </w:t>
      </w:r>
      <w:r w:rsidR="00075F63" w:rsidRPr="00907907">
        <w:rPr>
          <w:rFonts w:cs="Times New Roman"/>
          <w:lang w:val="en-GB"/>
        </w:rPr>
        <w:t xml:space="preserve">the National Gallery </w:t>
      </w:r>
      <w:r w:rsidR="00ED2BF7" w:rsidRPr="00907907">
        <w:rPr>
          <w:rFonts w:cs="Times New Roman"/>
          <w:lang w:val="en-GB"/>
        </w:rPr>
        <w:t>building.</w:t>
      </w:r>
      <w:r w:rsidR="00D27701" w:rsidRPr="00907907">
        <w:rPr>
          <w:rFonts w:cs="Times New Roman"/>
          <w:lang w:val="en-GB"/>
        </w:rPr>
        <w:t xml:space="preserve"> This seems to have affected the</w:t>
      </w:r>
      <w:r w:rsidRPr="00907907">
        <w:rPr>
          <w:rFonts w:cs="Times New Roman"/>
          <w:lang w:val="en-GB"/>
        </w:rPr>
        <w:t>ir</w:t>
      </w:r>
      <w:r w:rsidR="00D27701" w:rsidRPr="00907907">
        <w:rPr>
          <w:rFonts w:cs="Times New Roman"/>
          <w:lang w:val="en-GB"/>
        </w:rPr>
        <w:t xml:space="preserve"> evaluations of the National Gallery building. </w:t>
      </w:r>
      <w:r w:rsidR="00892235" w:rsidRPr="00907907">
        <w:rPr>
          <w:rFonts w:cs="Times New Roman"/>
          <w:lang w:val="en-GB"/>
        </w:rPr>
        <w:t xml:space="preserve">According to the QA-schemes </w:t>
      </w:r>
      <w:r w:rsidR="009757D8" w:rsidRPr="00907907">
        <w:rPr>
          <w:rFonts w:cs="Times New Roman"/>
          <w:lang w:val="en-GB"/>
        </w:rPr>
        <w:t>purpose of real political control of decisions, a genuine</w:t>
      </w:r>
      <w:r w:rsidR="005D3C85" w:rsidRPr="00907907">
        <w:rPr>
          <w:rFonts w:cs="Times New Roman"/>
          <w:lang w:val="en-GB"/>
        </w:rPr>
        <w:t xml:space="preserve"> and unbiased analysis should be the objective.</w:t>
      </w:r>
    </w:p>
    <w:p w14:paraId="0BBD2D8F" w14:textId="40DD23EB" w:rsidR="001B12BE" w:rsidRPr="0060040B" w:rsidRDefault="00DD39AC" w:rsidP="0060040B">
      <w:pPr>
        <w:pStyle w:val="Heading1"/>
      </w:pPr>
      <w:r w:rsidRPr="0060040B">
        <w:t>Concluding discussion</w:t>
      </w:r>
    </w:p>
    <w:p w14:paraId="74063DBA" w14:textId="2FDD6A68" w:rsidR="008A1E16" w:rsidRPr="00907907" w:rsidRDefault="007D644C" w:rsidP="00236B6E">
      <w:pPr>
        <w:rPr>
          <w:rFonts w:cs="Times New Roman"/>
          <w:lang w:val="en-GB"/>
        </w:rPr>
      </w:pPr>
      <w:r w:rsidRPr="00907907">
        <w:rPr>
          <w:rFonts w:cs="Times New Roman"/>
          <w:lang w:val="en-GB"/>
        </w:rPr>
        <w:t xml:space="preserve">We have listed what we </w:t>
      </w:r>
      <w:r w:rsidR="003A7501" w:rsidRPr="00907907">
        <w:rPr>
          <w:rFonts w:cs="Times New Roman"/>
          <w:lang w:val="en-GB"/>
        </w:rPr>
        <w:t>perceive</w:t>
      </w:r>
      <w:r w:rsidRPr="00907907">
        <w:rPr>
          <w:rFonts w:cs="Times New Roman"/>
          <w:lang w:val="en-GB"/>
        </w:rPr>
        <w:t xml:space="preserve"> to be </w:t>
      </w:r>
      <w:r w:rsidR="003A7501" w:rsidRPr="00907907">
        <w:rPr>
          <w:rFonts w:cs="Times New Roman"/>
          <w:lang w:val="en-GB"/>
        </w:rPr>
        <w:t>t</w:t>
      </w:r>
      <w:r w:rsidRPr="00907907">
        <w:rPr>
          <w:rFonts w:cs="Times New Roman"/>
          <w:lang w:val="en-GB"/>
        </w:rPr>
        <w:t xml:space="preserve">ypical fallacies regarding </w:t>
      </w:r>
      <w:r w:rsidR="001A29D8" w:rsidRPr="00907907">
        <w:rPr>
          <w:rFonts w:cs="Times New Roman"/>
          <w:lang w:val="en-GB"/>
        </w:rPr>
        <w:t>the future of</w:t>
      </w:r>
      <w:r w:rsidRPr="00907907">
        <w:rPr>
          <w:rFonts w:cs="Times New Roman"/>
          <w:lang w:val="en-GB"/>
        </w:rPr>
        <w:t xml:space="preserve"> protected buildings.</w:t>
      </w:r>
      <w:r w:rsidR="003A7501" w:rsidRPr="00907907">
        <w:rPr>
          <w:rFonts w:cs="Times New Roman"/>
          <w:lang w:val="en-GB"/>
        </w:rPr>
        <w:t xml:space="preserve"> </w:t>
      </w:r>
      <w:r w:rsidR="008A1E16" w:rsidRPr="00907907">
        <w:rPr>
          <w:rFonts w:cs="Times New Roman"/>
          <w:lang w:val="en-GB"/>
        </w:rPr>
        <w:t xml:space="preserve">We have </w:t>
      </w:r>
      <w:r w:rsidR="003A7501" w:rsidRPr="00907907">
        <w:rPr>
          <w:rFonts w:cs="Times New Roman"/>
          <w:lang w:val="en-GB"/>
        </w:rPr>
        <w:t xml:space="preserve">argued </w:t>
      </w:r>
      <w:r w:rsidR="008A1E16" w:rsidRPr="00907907">
        <w:rPr>
          <w:rFonts w:cs="Times New Roman"/>
          <w:lang w:val="en-GB"/>
        </w:rPr>
        <w:t>that the</w:t>
      </w:r>
      <w:r w:rsidR="003A7501" w:rsidRPr="00907907">
        <w:rPr>
          <w:rFonts w:cs="Times New Roman"/>
          <w:lang w:val="en-GB"/>
        </w:rPr>
        <w:t>se</w:t>
      </w:r>
      <w:r w:rsidR="008A1E16" w:rsidRPr="00907907">
        <w:rPr>
          <w:rFonts w:cs="Times New Roman"/>
          <w:lang w:val="en-GB"/>
        </w:rPr>
        <w:t xml:space="preserve"> assertions are disputable</w:t>
      </w:r>
      <w:r w:rsidR="003A7501" w:rsidRPr="00907907">
        <w:rPr>
          <w:rFonts w:cs="Times New Roman"/>
          <w:lang w:val="en-GB"/>
        </w:rPr>
        <w:t xml:space="preserve"> and that</w:t>
      </w:r>
      <w:r w:rsidR="008A1E16" w:rsidRPr="00907907">
        <w:rPr>
          <w:rFonts w:cs="Times New Roman"/>
          <w:lang w:val="en-GB"/>
        </w:rPr>
        <w:t xml:space="preserve"> present</w:t>
      </w:r>
      <w:r w:rsidR="001A29D8" w:rsidRPr="00907907">
        <w:rPr>
          <w:rFonts w:cs="Times New Roman"/>
          <w:lang w:val="en-GB"/>
        </w:rPr>
        <w:t>ing them</w:t>
      </w:r>
      <w:r w:rsidR="008A1E16" w:rsidRPr="00907907">
        <w:rPr>
          <w:rFonts w:cs="Times New Roman"/>
          <w:lang w:val="en-GB"/>
        </w:rPr>
        <w:t xml:space="preserve"> as factual</w:t>
      </w:r>
      <w:r w:rsidR="000B2BB6" w:rsidRPr="00907907">
        <w:rPr>
          <w:rFonts w:cs="Times New Roman"/>
          <w:lang w:val="en-GB"/>
        </w:rPr>
        <w:t xml:space="preserve"> is</w:t>
      </w:r>
      <w:r w:rsidR="001A29D8" w:rsidRPr="00907907">
        <w:rPr>
          <w:rFonts w:cs="Times New Roman"/>
          <w:lang w:val="en-GB"/>
        </w:rPr>
        <w:t xml:space="preserve"> detrimental.</w:t>
      </w:r>
    </w:p>
    <w:p w14:paraId="66E76A3A" w14:textId="68767E3B" w:rsidR="00470215" w:rsidRPr="00907907" w:rsidRDefault="00CB32FA" w:rsidP="00470215">
      <w:pPr>
        <w:pStyle w:val="HTMLPreformatted"/>
        <w:shd w:val="clear" w:color="auto" w:fill="FFFFFF"/>
        <w:rPr>
          <w:rFonts w:ascii="Times New Roman" w:hAnsi="Times New Roman" w:cs="Times New Roman"/>
          <w:sz w:val="22"/>
          <w:szCs w:val="22"/>
          <w:lang w:val="en-GB"/>
        </w:rPr>
      </w:pPr>
      <w:r w:rsidRPr="00907907">
        <w:rPr>
          <w:rFonts w:ascii="Times New Roman" w:hAnsi="Times New Roman" w:cs="Times New Roman"/>
          <w:sz w:val="22"/>
          <w:szCs w:val="22"/>
          <w:lang w:val="en-GB"/>
        </w:rPr>
        <w:t>The</w:t>
      </w:r>
      <w:r w:rsidR="003A7501" w:rsidRPr="00907907">
        <w:rPr>
          <w:rFonts w:ascii="Times New Roman" w:hAnsi="Times New Roman" w:cs="Times New Roman"/>
          <w:sz w:val="22"/>
          <w:szCs w:val="22"/>
          <w:lang w:val="en-GB"/>
        </w:rPr>
        <w:t xml:space="preserve"> objective of this paper is to improve the </w:t>
      </w:r>
      <w:r w:rsidR="000D03D4" w:rsidRPr="00907907">
        <w:rPr>
          <w:rFonts w:ascii="Times New Roman" w:hAnsi="Times New Roman" w:cs="Times New Roman"/>
          <w:sz w:val="22"/>
          <w:szCs w:val="22"/>
          <w:lang w:val="en-GB"/>
        </w:rPr>
        <w:t xml:space="preserve">discussion </w:t>
      </w:r>
      <w:r w:rsidR="001A29D8" w:rsidRPr="00907907">
        <w:rPr>
          <w:rFonts w:ascii="Times New Roman" w:hAnsi="Times New Roman" w:cs="Times New Roman"/>
          <w:sz w:val="22"/>
          <w:szCs w:val="22"/>
          <w:lang w:val="en-GB"/>
        </w:rPr>
        <w:t>on the</w:t>
      </w:r>
      <w:r w:rsidR="000D03D4" w:rsidRPr="00907907">
        <w:rPr>
          <w:rFonts w:ascii="Times New Roman" w:hAnsi="Times New Roman" w:cs="Times New Roman"/>
          <w:sz w:val="22"/>
          <w:szCs w:val="22"/>
          <w:lang w:val="en-GB"/>
        </w:rPr>
        <w:t xml:space="preserve"> </w:t>
      </w:r>
      <w:r w:rsidR="001A29D8" w:rsidRPr="00907907">
        <w:rPr>
          <w:rFonts w:ascii="Times New Roman" w:hAnsi="Times New Roman" w:cs="Times New Roman"/>
          <w:sz w:val="22"/>
          <w:szCs w:val="22"/>
          <w:lang w:val="en-GB"/>
        </w:rPr>
        <w:t xml:space="preserve">value of </w:t>
      </w:r>
      <w:r w:rsidR="000D03D4" w:rsidRPr="00907907">
        <w:rPr>
          <w:rFonts w:ascii="Times New Roman" w:hAnsi="Times New Roman" w:cs="Times New Roman"/>
          <w:sz w:val="22"/>
          <w:szCs w:val="22"/>
          <w:lang w:val="en-GB"/>
        </w:rPr>
        <w:t>cultural heritage in economic analysis</w:t>
      </w:r>
      <w:r w:rsidR="009F7093" w:rsidRPr="00907907">
        <w:rPr>
          <w:rFonts w:ascii="Times New Roman" w:hAnsi="Times New Roman" w:cs="Times New Roman"/>
          <w:sz w:val="22"/>
          <w:szCs w:val="22"/>
          <w:lang w:val="en-GB"/>
        </w:rPr>
        <w:t xml:space="preserve"> an</w:t>
      </w:r>
      <w:r w:rsidR="003F7263" w:rsidRPr="00907907">
        <w:rPr>
          <w:rFonts w:ascii="Times New Roman" w:hAnsi="Times New Roman" w:cs="Times New Roman"/>
          <w:sz w:val="22"/>
          <w:szCs w:val="22"/>
          <w:lang w:val="en-GB"/>
        </w:rPr>
        <w:t>d</w:t>
      </w:r>
      <w:r w:rsidR="009F7093" w:rsidRPr="00907907">
        <w:rPr>
          <w:rFonts w:ascii="Times New Roman" w:hAnsi="Times New Roman" w:cs="Times New Roman"/>
          <w:sz w:val="22"/>
          <w:szCs w:val="22"/>
          <w:lang w:val="en-GB"/>
        </w:rPr>
        <w:t xml:space="preserve"> in general</w:t>
      </w:r>
      <w:r w:rsidR="000D03D4" w:rsidRPr="00907907">
        <w:rPr>
          <w:rFonts w:ascii="Times New Roman" w:hAnsi="Times New Roman" w:cs="Times New Roman"/>
          <w:sz w:val="22"/>
          <w:szCs w:val="22"/>
          <w:lang w:val="en-GB"/>
        </w:rPr>
        <w:t xml:space="preserve">, not to attack the QA-scheme. </w:t>
      </w:r>
      <w:r w:rsidR="00470215" w:rsidRPr="00907907">
        <w:rPr>
          <w:rFonts w:ascii="Times New Roman" w:hAnsi="Times New Roman" w:cs="Times New Roman"/>
          <w:sz w:val="22"/>
          <w:szCs w:val="22"/>
          <w:lang w:val="en-GB"/>
        </w:rPr>
        <w:t xml:space="preserve">It is important that major government investments undergo quality assurance. </w:t>
      </w:r>
      <w:r w:rsidR="000D03D4" w:rsidRPr="00907907">
        <w:rPr>
          <w:rFonts w:ascii="Times New Roman" w:hAnsi="Times New Roman" w:cs="Times New Roman"/>
          <w:sz w:val="22"/>
          <w:szCs w:val="22"/>
          <w:lang w:val="en-GB"/>
        </w:rPr>
        <w:t xml:space="preserve">It is </w:t>
      </w:r>
      <w:r w:rsidR="00470215" w:rsidRPr="00907907">
        <w:rPr>
          <w:rFonts w:ascii="Times New Roman" w:hAnsi="Times New Roman" w:cs="Times New Roman"/>
          <w:sz w:val="22"/>
          <w:szCs w:val="22"/>
          <w:lang w:val="en-GB"/>
        </w:rPr>
        <w:t xml:space="preserve">also </w:t>
      </w:r>
      <w:r w:rsidR="0084682A" w:rsidRPr="00907907">
        <w:rPr>
          <w:rFonts w:ascii="Times New Roman" w:hAnsi="Times New Roman" w:cs="Times New Roman"/>
          <w:sz w:val="22"/>
          <w:szCs w:val="22"/>
          <w:lang w:val="en-GB"/>
        </w:rPr>
        <w:t>necessary to have a system ensuring</w:t>
      </w:r>
      <w:r w:rsidRPr="00907907">
        <w:rPr>
          <w:rFonts w:ascii="Times New Roman" w:hAnsi="Times New Roman" w:cs="Times New Roman"/>
          <w:sz w:val="22"/>
          <w:szCs w:val="22"/>
          <w:lang w:val="en-GB"/>
        </w:rPr>
        <w:t xml:space="preserve"> political </w:t>
      </w:r>
      <w:r w:rsidR="0084682A" w:rsidRPr="00907907">
        <w:rPr>
          <w:rFonts w:ascii="Times New Roman" w:hAnsi="Times New Roman" w:cs="Times New Roman"/>
          <w:sz w:val="22"/>
          <w:szCs w:val="22"/>
          <w:lang w:val="en-GB"/>
        </w:rPr>
        <w:t>control</w:t>
      </w:r>
      <w:r w:rsidRPr="00907907">
        <w:rPr>
          <w:rFonts w:ascii="Times New Roman" w:hAnsi="Times New Roman" w:cs="Times New Roman"/>
          <w:sz w:val="22"/>
          <w:szCs w:val="22"/>
          <w:lang w:val="en-GB"/>
        </w:rPr>
        <w:t xml:space="preserve"> with larger public investments.</w:t>
      </w:r>
      <w:r w:rsidR="00320693" w:rsidRPr="00907907">
        <w:rPr>
          <w:rFonts w:ascii="Times New Roman" w:hAnsi="Times New Roman" w:cs="Times New Roman"/>
          <w:sz w:val="22"/>
          <w:szCs w:val="22"/>
          <w:lang w:val="en-GB"/>
        </w:rPr>
        <w:t xml:space="preserve"> </w:t>
      </w:r>
      <w:r w:rsidR="00470215" w:rsidRPr="00907907">
        <w:rPr>
          <w:rFonts w:ascii="Times New Roman" w:hAnsi="Times New Roman" w:cs="Times New Roman"/>
          <w:sz w:val="22"/>
          <w:szCs w:val="22"/>
          <w:lang w:val="en-GB"/>
        </w:rPr>
        <w:t xml:space="preserve">At the same time, the decisions that are made based on QA1-documentation affect </w:t>
      </w:r>
      <w:r w:rsidR="00286C72" w:rsidRPr="00907907">
        <w:rPr>
          <w:rFonts w:ascii="Times New Roman" w:hAnsi="Times New Roman" w:cs="Times New Roman"/>
          <w:sz w:val="22"/>
          <w:szCs w:val="22"/>
          <w:lang w:val="en-GB"/>
        </w:rPr>
        <w:t xml:space="preserve">protected buildings that are </w:t>
      </w:r>
      <w:r w:rsidR="00470215" w:rsidRPr="00907907">
        <w:rPr>
          <w:rFonts w:ascii="Times New Roman" w:hAnsi="Times New Roman" w:cs="Times New Roman"/>
          <w:sz w:val="22"/>
          <w:szCs w:val="22"/>
          <w:lang w:val="en-GB"/>
        </w:rPr>
        <w:t xml:space="preserve">significant cultural heritage with broad roots in society. </w:t>
      </w:r>
    </w:p>
    <w:p w14:paraId="723E8082" w14:textId="2F1EC26B" w:rsidR="009F7721" w:rsidRPr="00907907" w:rsidRDefault="00470215" w:rsidP="00470215">
      <w:pPr>
        <w:rPr>
          <w:rFonts w:cs="Times New Roman"/>
          <w:lang w:val="en-GB"/>
        </w:rPr>
      </w:pPr>
      <w:r w:rsidRPr="00907907">
        <w:rPr>
          <w:rFonts w:cs="Times New Roman"/>
          <w:lang w:val="en-GB"/>
        </w:rPr>
        <w:t xml:space="preserve"> </w:t>
      </w:r>
      <w:r w:rsidR="00320693" w:rsidRPr="00907907">
        <w:rPr>
          <w:rFonts w:cs="Times New Roman"/>
          <w:lang w:val="en-GB"/>
        </w:rPr>
        <w:t>This paper has shown fallacies both from the initial KVU-documentation made by/for the institutions</w:t>
      </w:r>
      <w:r w:rsidR="001A29D8" w:rsidRPr="00907907">
        <w:rPr>
          <w:rFonts w:cs="Times New Roman"/>
          <w:lang w:val="en-GB"/>
        </w:rPr>
        <w:t>,</w:t>
      </w:r>
      <w:r w:rsidR="00320693" w:rsidRPr="00907907">
        <w:rPr>
          <w:rFonts w:cs="Times New Roman"/>
          <w:lang w:val="en-GB"/>
        </w:rPr>
        <w:t xml:space="preserve"> and the QA1-report performed by external consultants.</w:t>
      </w:r>
      <w:r w:rsidR="006C69B7" w:rsidRPr="00907907">
        <w:rPr>
          <w:rFonts w:cs="Times New Roman"/>
          <w:lang w:val="en-GB"/>
        </w:rPr>
        <w:t xml:space="preserve"> </w:t>
      </w:r>
      <w:r w:rsidR="00985BF6" w:rsidRPr="00907907">
        <w:rPr>
          <w:rFonts w:cs="Times New Roman"/>
          <w:lang w:val="en-GB"/>
        </w:rPr>
        <w:t xml:space="preserve">Still, it </w:t>
      </w:r>
      <w:r w:rsidR="006C69B7" w:rsidRPr="00907907">
        <w:rPr>
          <w:rFonts w:cs="Times New Roman"/>
          <w:lang w:val="en-GB"/>
        </w:rPr>
        <w:t xml:space="preserve">is our judgement that the QA1-reports do improve the </w:t>
      </w:r>
      <w:r w:rsidR="00260EFA" w:rsidRPr="00907907">
        <w:rPr>
          <w:rFonts w:cs="Times New Roman"/>
          <w:lang w:val="en-GB"/>
        </w:rPr>
        <w:t xml:space="preserve">objectivity and </w:t>
      </w:r>
      <w:r w:rsidR="00FB5296" w:rsidRPr="00907907">
        <w:rPr>
          <w:rFonts w:cs="Times New Roman"/>
          <w:lang w:val="en-GB"/>
        </w:rPr>
        <w:t xml:space="preserve">the </w:t>
      </w:r>
      <w:r w:rsidR="00260EFA" w:rsidRPr="00907907">
        <w:rPr>
          <w:rFonts w:cs="Times New Roman"/>
          <w:lang w:val="en-GB"/>
        </w:rPr>
        <w:t>quality of the information given to politicians</w:t>
      </w:r>
      <w:r w:rsidR="006F4F4E" w:rsidRPr="00907907">
        <w:rPr>
          <w:rFonts w:cs="Times New Roman"/>
          <w:lang w:val="en-GB"/>
        </w:rPr>
        <w:t>, compared to the KVU-reports</w:t>
      </w:r>
      <w:r w:rsidR="00260EFA" w:rsidRPr="00907907">
        <w:rPr>
          <w:rFonts w:cs="Times New Roman"/>
          <w:lang w:val="en-GB"/>
        </w:rPr>
        <w:t>.</w:t>
      </w:r>
      <w:r w:rsidR="00C01EF3" w:rsidRPr="00907907">
        <w:rPr>
          <w:rFonts w:cs="Times New Roman"/>
          <w:lang w:val="en-GB"/>
        </w:rPr>
        <w:t xml:space="preserve"> </w:t>
      </w:r>
      <w:r w:rsidR="00985BF6" w:rsidRPr="00907907">
        <w:rPr>
          <w:rFonts w:cs="Times New Roman"/>
          <w:lang w:val="en-GB"/>
        </w:rPr>
        <w:t>However</w:t>
      </w:r>
      <w:r w:rsidR="00C01EF3" w:rsidRPr="00907907">
        <w:rPr>
          <w:rFonts w:cs="Times New Roman"/>
          <w:lang w:val="en-GB"/>
        </w:rPr>
        <w:t xml:space="preserve">, the totality of </w:t>
      </w:r>
      <w:r w:rsidR="001A29D8" w:rsidRPr="00907907">
        <w:rPr>
          <w:rFonts w:cs="Times New Roman"/>
          <w:lang w:val="en-GB"/>
        </w:rPr>
        <w:t>poorly-</w:t>
      </w:r>
      <w:r w:rsidR="00C01EF3" w:rsidRPr="00907907">
        <w:rPr>
          <w:rFonts w:cs="Times New Roman"/>
          <w:lang w:val="en-GB"/>
        </w:rPr>
        <w:t>founded assertions uncovered in QA1-documentations regarding protected buildings speak</w:t>
      </w:r>
      <w:r w:rsidR="000B2BB6" w:rsidRPr="00907907">
        <w:rPr>
          <w:rFonts w:cs="Times New Roman"/>
          <w:lang w:val="en-GB"/>
        </w:rPr>
        <w:t>s</w:t>
      </w:r>
      <w:r w:rsidR="00C01EF3" w:rsidRPr="00907907">
        <w:rPr>
          <w:rFonts w:cs="Times New Roman"/>
          <w:lang w:val="en-GB"/>
        </w:rPr>
        <w:t xml:space="preserve"> volumes about </w:t>
      </w:r>
      <w:r w:rsidR="001A29D8" w:rsidRPr="00907907">
        <w:rPr>
          <w:rFonts w:cs="Times New Roman"/>
          <w:lang w:val="en-GB"/>
        </w:rPr>
        <w:t xml:space="preserve">the poor </w:t>
      </w:r>
      <w:r w:rsidR="00C01EF3" w:rsidRPr="00907907">
        <w:rPr>
          <w:rFonts w:cs="Times New Roman"/>
          <w:lang w:val="en-GB"/>
        </w:rPr>
        <w:t xml:space="preserve">assessment of cultural heritage buildings and their potential. Each of the </w:t>
      </w:r>
      <w:r w:rsidR="00D46DE0" w:rsidRPr="00907907">
        <w:rPr>
          <w:rFonts w:cs="Times New Roman"/>
          <w:lang w:val="en-GB"/>
        </w:rPr>
        <w:t xml:space="preserve">fallacies </w:t>
      </w:r>
      <w:r w:rsidR="00C01EF3" w:rsidRPr="00907907">
        <w:rPr>
          <w:rFonts w:cs="Times New Roman"/>
          <w:lang w:val="en-GB"/>
        </w:rPr>
        <w:t xml:space="preserve">above </w:t>
      </w:r>
      <w:r w:rsidR="0050136F" w:rsidRPr="00907907">
        <w:rPr>
          <w:rFonts w:cs="Times New Roman"/>
          <w:lang w:val="en-GB"/>
        </w:rPr>
        <w:t>has</w:t>
      </w:r>
      <w:r w:rsidR="00C01EF3" w:rsidRPr="00907907">
        <w:rPr>
          <w:rFonts w:cs="Times New Roman"/>
          <w:lang w:val="en-GB"/>
        </w:rPr>
        <w:t xml:space="preserve"> </w:t>
      </w:r>
      <w:r w:rsidR="00E7467E" w:rsidRPr="00907907">
        <w:rPr>
          <w:rFonts w:cs="Times New Roman"/>
          <w:lang w:val="en-GB"/>
        </w:rPr>
        <w:t xml:space="preserve">the </w:t>
      </w:r>
      <w:r w:rsidR="00C01EF3" w:rsidRPr="00907907">
        <w:rPr>
          <w:rFonts w:cs="Times New Roman"/>
          <w:lang w:val="en-GB"/>
        </w:rPr>
        <w:t>potential to affect the management of important historical buildings</w:t>
      </w:r>
      <w:r w:rsidR="00E7467E" w:rsidRPr="00907907">
        <w:rPr>
          <w:rFonts w:cs="Times New Roman"/>
          <w:lang w:val="en-GB"/>
        </w:rPr>
        <w:t xml:space="preserve"> based</w:t>
      </w:r>
      <w:r w:rsidR="00C01EF3" w:rsidRPr="00907907">
        <w:rPr>
          <w:rFonts w:cs="Times New Roman"/>
          <w:lang w:val="en-GB"/>
        </w:rPr>
        <w:t xml:space="preserve"> on insufficient grounds.</w:t>
      </w:r>
      <w:r w:rsidR="00E8449A" w:rsidRPr="00907907">
        <w:rPr>
          <w:rFonts w:cs="Times New Roman"/>
          <w:lang w:val="en-GB"/>
        </w:rPr>
        <w:t xml:space="preserve"> </w:t>
      </w:r>
      <w:r w:rsidR="00D110E1" w:rsidRPr="00907907">
        <w:rPr>
          <w:rFonts w:cs="Times New Roman"/>
          <w:lang w:val="en-GB"/>
        </w:rPr>
        <w:t>A clear communication of th</w:t>
      </w:r>
      <w:r w:rsidR="0086162D" w:rsidRPr="00907907">
        <w:rPr>
          <w:rFonts w:cs="Times New Roman"/>
          <w:lang w:val="en-GB"/>
        </w:rPr>
        <w:t>is</w:t>
      </w:r>
      <w:r w:rsidR="00D110E1" w:rsidRPr="00907907">
        <w:rPr>
          <w:rFonts w:cs="Times New Roman"/>
          <w:lang w:val="en-GB"/>
        </w:rPr>
        <w:t xml:space="preserve"> lacking </w:t>
      </w:r>
      <w:r w:rsidR="0086162D" w:rsidRPr="00907907">
        <w:rPr>
          <w:rFonts w:cs="Times New Roman"/>
          <w:lang w:val="en-GB"/>
        </w:rPr>
        <w:t xml:space="preserve">basis should be able to improve future management of </w:t>
      </w:r>
      <w:r w:rsidR="00660D2B" w:rsidRPr="00907907">
        <w:rPr>
          <w:rFonts w:cs="Times New Roman"/>
          <w:lang w:val="en-GB"/>
        </w:rPr>
        <w:t>protected buildings</w:t>
      </w:r>
      <w:r w:rsidR="00E8449A" w:rsidRPr="00907907">
        <w:rPr>
          <w:rFonts w:cs="Times New Roman"/>
          <w:lang w:val="en-GB"/>
        </w:rPr>
        <w:t xml:space="preserve">, and not only for the key projects that are </w:t>
      </w:r>
      <w:r w:rsidR="004A28E9" w:rsidRPr="00907907">
        <w:rPr>
          <w:rFonts w:cs="Times New Roman"/>
          <w:lang w:val="en-GB"/>
        </w:rPr>
        <w:t xml:space="preserve">included in the QA-scheme. </w:t>
      </w:r>
    </w:p>
    <w:p w14:paraId="1A8D8F42" w14:textId="62D4EE2A" w:rsidR="004B300E" w:rsidRPr="00907907" w:rsidRDefault="004A28E9" w:rsidP="00470215">
      <w:pPr>
        <w:rPr>
          <w:rFonts w:cs="Times New Roman"/>
          <w:lang w:val="en-GB"/>
        </w:rPr>
      </w:pPr>
      <w:r w:rsidRPr="00907907">
        <w:rPr>
          <w:rFonts w:cs="Times New Roman"/>
          <w:lang w:val="en-GB"/>
        </w:rPr>
        <w:t xml:space="preserve">The QA-scheme </w:t>
      </w:r>
      <w:r w:rsidR="00E7467E" w:rsidRPr="00907907">
        <w:rPr>
          <w:rFonts w:cs="Times New Roman"/>
          <w:lang w:val="en-GB"/>
        </w:rPr>
        <w:t xml:space="preserve">is being used </w:t>
      </w:r>
      <w:r w:rsidRPr="00907907">
        <w:rPr>
          <w:rFonts w:cs="Times New Roman"/>
          <w:lang w:val="en-GB"/>
        </w:rPr>
        <w:t>for larger public investments</w:t>
      </w:r>
      <w:r w:rsidR="00E7467E" w:rsidRPr="00907907">
        <w:rPr>
          <w:rFonts w:cs="Times New Roman"/>
          <w:lang w:val="en-GB"/>
        </w:rPr>
        <w:t>,</w:t>
      </w:r>
      <w:r w:rsidR="00F33B91" w:rsidRPr="00907907">
        <w:rPr>
          <w:rFonts w:cs="Times New Roman"/>
          <w:lang w:val="en-GB"/>
        </w:rPr>
        <w:t xml:space="preserve"> </w:t>
      </w:r>
      <w:r w:rsidR="00044269" w:rsidRPr="00907907">
        <w:rPr>
          <w:rFonts w:cs="Times New Roman"/>
          <w:lang w:val="en-GB"/>
        </w:rPr>
        <w:t>but the methodology</w:t>
      </w:r>
      <w:r w:rsidR="006217C8" w:rsidRPr="00907907">
        <w:rPr>
          <w:rFonts w:cs="Times New Roman"/>
          <w:lang w:val="en-GB"/>
        </w:rPr>
        <w:t xml:space="preserve"> trickles down the administrative system </w:t>
      </w:r>
      <w:r w:rsidR="00F33B91" w:rsidRPr="00907907">
        <w:rPr>
          <w:rFonts w:cs="Times New Roman"/>
          <w:lang w:val="en-GB"/>
        </w:rPr>
        <w:t xml:space="preserve">and versions of </w:t>
      </w:r>
      <w:r w:rsidR="006217C8" w:rsidRPr="00907907">
        <w:rPr>
          <w:rFonts w:cs="Times New Roman"/>
          <w:lang w:val="en-GB"/>
        </w:rPr>
        <w:t xml:space="preserve">the QA-scheme </w:t>
      </w:r>
      <w:r w:rsidR="00E7467E" w:rsidRPr="00907907">
        <w:rPr>
          <w:rFonts w:cs="Times New Roman"/>
          <w:lang w:val="en-GB"/>
        </w:rPr>
        <w:t xml:space="preserve">are </w:t>
      </w:r>
      <w:r w:rsidR="00F33B91" w:rsidRPr="00907907">
        <w:rPr>
          <w:rFonts w:cs="Times New Roman"/>
          <w:lang w:val="en-GB"/>
        </w:rPr>
        <w:t xml:space="preserve">now </w:t>
      </w:r>
      <w:r w:rsidR="00E7467E" w:rsidRPr="00907907">
        <w:rPr>
          <w:rFonts w:cs="Times New Roman"/>
          <w:lang w:val="en-GB"/>
        </w:rPr>
        <w:t>being used</w:t>
      </w:r>
      <w:r w:rsidR="00F33B91" w:rsidRPr="00907907">
        <w:rPr>
          <w:rFonts w:cs="Times New Roman"/>
          <w:lang w:val="en-GB"/>
        </w:rPr>
        <w:t xml:space="preserve"> for other public investments.</w:t>
      </w:r>
      <w:r w:rsidR="00642441" w:rsidRPr="00907907">
        <w:rPr>
          <w:rFonts w:cs="Times New Roman"/>
          <w:lang w:val="en-GB"/>
        </w:rPr>
        <w:t xml:space="preserve"> </w:t>
      </w:r>
      <w:r w:rsidR="000B2BB6" w:rsidRPr="00907907">
        <w:rPr>
          <w:rFonts w:cs="Times New Roman"/>
          <w:lang w:val="en-GB"/>
        </w:rPr>
        <w:t>Unfortunately</w:t>
      </w:r>
      <w:r w:rsidR="00E7467E" w:rsidRPr="00907907">
        <w:rPr>
          <w:rFonts w:cs="Times New Roman"/>
          <w:lang w:val="en-GB"/>
        </w:rPr>
        <w:t xml:space="preserve">, the offspring of the </w:t>
      </w:r>
      <w:r w:rsidR="00642441" w:rsidRPr="00907907">
        <w:rPr>
          <w:rFonts w:cs="Times New Roman"/>
          <w:lang w:val="en-GB"/>
        </w:rPr>
        <w:t>QA-scheme</w:t>
      </w:r>
      <w:r w:rsidR="00E7467E" w:rsidRPr="00907907">
        <w:rPr>
          <w:rFonts w:cs="Times New Roman"/>
          <w:lang w:val="en-GB"/>
        </w:rPr>
        <w:t>s</w:t>
      </w:r>
      <w:r w:rsidR="00642441" w:rsidRPr="00907907">
        <w:rPr>
          <w:rFonts w:cs="Times New Roman"/>
          <w:lang w:val="en-GB"/>
        </w:rPr>
        <w:t xml:space="preserve"> </w:t>
      </w:r>
      <w:r w:rsidR="00DC4AF9" w:rsidRPr="00907907">
        <w:rPr>
          <w:rFonts w:cs="Times New Roman"/>
          <w:lang w:val="en-GB"/>
        </w:rPr>
        <w:t>lack one of the QA-schemes key features: the external consultants</w:t>
      </w:r>
      <w:r w:rsidR="00EA537A" w:rsidRPr="00907907">
        <w:rPr>
          <w:rFonts w:cs="Times New Roman"/>
          <w:lang w:val="en-GB"/>
        </w:rPr>
        <w:t xml:space="preserve"> performing the QA1-report</w:t>
      </w:r>
      <w:r w:rsidR="00DC4AF9" w:rsidRPr="00907907">
        <w:rPr>
          <w:rFonts w:cs="Times New Roman"/>
          <w:lang w:val="en-GB"/>
        </w:rPr>
        <w:t>.</w:t>
      </w:r>
      <w:r w:rsidR="00CE6E61" w:rsidRPr="00907907">
        <w:rPr>
          <w:rFonts w:cs="Times New Roman"/>
          <w:lang w:val="en-GB"/>
        </w:rPr>
        <w:t xml:space="preserve"> </w:t>
      </w:r>
      <w:r w:rsidR="003458F8" w:rsidRPr="00907907">
        <w:rPr>
          <w:rFonts w:cs="Times New Roman"/>
          <w:lang w:val="en-GB"/>
        </w:rPr>
        <w:t xml:space="preserve">Our examination of QA-documentation </w:t>
      </w:r>
      <w:r w:rsidR="00784DE9" w:rsidRPr="00907907">
        <w:rPr>
          <w:rFonts w:cs="Times New Roman"/>
          <w:lang w:val="en-GB"/>
        </w:rPr>
        <w:t xml:space="preserve">has shown that institutions </w:t>
      </w:r>
      <w:r w:rsidR="00FF0868" w:rsidRPr="00907907">
        <w:rPr>
          <w:rFonts w:cs="Times New Roman"/>
          <w:lang w:val="en-GB"/>
        </w:rPr>
        <w:t xml:space="preserve">tend to overrate </w:t>
      </w:r>
      <w:r w:rsidR="00EA537A" w:rsidRPr="00907907">
        <w:rPr>
          <w:rFonts w:cs="Times New Roman"/>
          <w:lang w:val="en-GB"/>
        </w:rPr>
        <w:t xml:space="preserve">the </w:t>
      </w:r>
      <w:r w:rsidR="00FF0868" w:rsidRPr="00907907">
        <w:rPr>
          <w:rFonts w:cs="Times New Roman"/>
          <w:lang w:val="en-GB"/>
        </w:rPr>
        <w:t>significance of some effects and underscore the</w:t>
      </w:r>
      <w:r w:rsidR="00DC4AF9" w:rsidRPr="00907907">
        <w:rPr>
          <w:rFonts w:cs="Times New Roman"/>
          <w:lang w:val="en-GB"/>
        </w:rPr>
        <w:t xml:space="preserve"> </w:t>
      </w:r>
      <w:r w:rsidR="00CE6E61" w:rsidRPr="00907907">
        <w:rPr>
          <w:rFonts w:cs="Times New Roman"/>
          <w:lang w:val="en-GB"/>
        </w:rPr>
        <w:t xml:space="preserve">importance of others. </w:t>
      </w:r>
      <w:r w:rsidR="007266E7" w:rsidRPr="00907907">
        <w:rPr>
          <w:rFonts w:cs="Times New Roman"/>
          <w:lang w:val="en-GB"/>
        </w:rPr>
        <w:t xml:space="preserve">The QA1-reports have done an important job in addressing such bias. </w:t>
      </w:r>
      <w:r w:rsidR="0050136F" w:rsidRPr="00907907">
        <w:rPr>
          <w:rFonts w:cs="Times New Roman"/>
          <w:lang w:val="en-GB"/>
        </w:rPr>
        <w:t>Also, s</w:t>
      </w:r>
      <w:r w:rsidR="00EA537A" w:rsidRPr="00907907">
        <w:rPr>
          <w:rFonts w:cs="Times New Roman"/>
          <w:lang w:val="en-GB"/>
        </w:rPr>
        <w:t>maller projects</w:t>
      </w:r>
      <w:r w:rsidR="00E7467E" w:rsidRPr="00907907">
        <w:rPr>
          <w:rFonts w:cs="Times New Roman"/>
          <w:lang w:val="en-GB"/>
        </w:rPr>
        <w:t xml:space="preserve"> </w:t>
      </w:r>
      <w:r w:rsidR="00F1446E" w:rsidRPr="00907907">
        <w:rPr>
          <w:rFonts w:cs="Times New Roman"/>
          <w:lang w:val="en-GB"/>
        </w:rPr>
        <w:t xml:space="preserve">may not be as </w:t>
      </w:r>
      <w:r w:rsidR="00E7467E" w:rsidRPr="00907907">
        <w:rPr>
          <w:rFonts w:cs="Times New Roman"/>
          <w:lang w:val="en-GB"/>
        </w:rPr>
        <w:t>visible to the public</w:t>
      </w:r>
      <w:r w:rsidR="006217C8" w:rsidRPr="00907907">
        <w:rPr>
          <w:rFonts w:cs="Times New Roman"/>
          <w:lang w:val="en-GB"/>
        </w:rPr>
        <w:t>, and therefore to a larger degree avoid debat</w:t>
      </w:r>
      <w:r w:rsidR="007266E7" w:rsidRPr="00907907">
        <w:rPr>
          <w:rFonts w:cs="Times New Roman"/>
          <w:lang w:val="en-GB"/>
        </w:rPr>
        <w:t>e</w:t>
      </w:r>
      <w:r w:rsidR="00F1446E" w:rsidRPr="00907907">
        <w:rPr>
          <w:rFonts w:cs="Times New Roman"/>
          <w:lang w:val="en-GB"/>
        </w:rPr>
        <w:t>.</w:t>
      </w:r>
      <w:r w:rsidR="00C8353F" w:rsidRPr="00907907">
        <w:rPr>
          <w:rFonts w:cs="Times New Roman"/>
          <w:lang w:val="en-GB"/>
        </w:rPr>
        <w:t xml:space="preserve"> </w:t>
      </w:r>
    </w:p>
    <w:p w14:paraId="0DC1B005" w14:textId="5FF41FDE" w:rsidR="003436AC" w:rsidRPr="00907907" w:rsidRDefault="00D771D7" w:rsidP="003436AC">
      <w:pPr>
        <w:outlineLvl w:val="0"/>
        <w:rPr>
          <w:rFonts w:cs="Times New Roman"/>
          <w:lang w:val="en-GB"/>
        </w:rPr>
      </w:pPr>
      <w:r w:rsidRPr="00907907">
        <w:rPr>
          <w:rFonts w:cs="Times New Roman"/>
          <w:lang w:val="en-GB"/>
        </w:rPr>
        <w:t xml:space="preserve">Also, </w:t>
      </w:r>
      <w:r w:rsidR="009F7721" w:rsidRPr="00907907">
        <w:rPr>
          <w:rFonts w:cs="Times New Roman"/>
          <w:lang w:val="en-GB"/>
        </w:rPr>
        <w:t xml:space="preserve">the described </w:t>
      </w:r>
      <w:r w:rsidRPr="00907907">
        <w:rPr>
          <w:rFonts w:cs="Times New Roman"/>
          <w:lang w:val="en-GB"/>
        </w:rPr>
        <w:t xml:space="preserve">fallacies </w:t>
      </w:r>
      <w:r w:rsidR="009F7721" w:rsidRPr="00907907">
        <w:rPr>
          <w:rFonts w:cs="Times New Roman"/>
          <w:lang w:val="en-GB"/>
        </w:rPr>
        <w:t>a</w:t>
      </w:r>
      <w:r w:rsidR="00067547" w:rsidRPr="00907907">
        <w:rPr>
          <w:rFonts w:cs="Times New Roman"/>
          <w:lang w:val="en-GB"/>
        </w:rPr>
        <w:t xml:space="preserve">re not limited to larger, public building </w:t>
      </w:r>
      <w:r w:rsidR="0099420A" w:rsidRPr="00907907">
        <w:rPr>
          <w:rFonts w:cs="Times New Roman"/>
          <w:lang w:val="en-GB"/>
        </w:rPr>
        <w:t>projects</w:t>
      </w:r>
      <w:r w:rsidR="00390526" w:rsidRPr="00907907">
        <w:rPr>
          <w:rFonts w:cs="Times New Roman"/>
          <w:lang w:val="en-GB"/>
        </w:rPr>
        <w:t xml:space="preserve">, </w:t>
      </w:r>
      <w:r w:rsidR="00D16274" w:rsidRPr="00907907">
        <w:rPr>
          <w:rFonts w:cs="Times New Roman"/>
          <w:lang w:val="en-GB"/>
        </w:rPr>
        <w:t>and</w:t>
      </w:r>
      <w:r w:rsidR="00390526" w:rsidRPr="00907907">
        <w:rPr>
          <w:rFonts w:cs="Times New Roman"/>
          <w:lang w:val="en-GB"/>
        </w:rPr>
        <w:t xml:space="preserve"> can </w:t>
      </w:r>
      <w:r w:rsidR="00D16274" w:rsidRPr="00907907">
        <w:rPr>
          <w:rFonts w:cs="Times New Roman"/>
          <w:lang w:val="en-GB"/>
        </w:rPr>
        <w:t xml:space="preserve">also </w:t>
      </w:r>
      <w:r w:rsidR="00390526" w:rsidRPr="00907907">
        <w:rPr>
          <w:rFonts w:cs="Times New Roman"/>
          <w:lang w:val="en-GB"/>
        </w:rPr>
        <w:t xml:space="preserve">presented in the discussion of </w:t>
      </w:r>
      <w:r w:rsidR="00567B09" w:rsidRPr="00907907">
        <w:rPr>
          <w:rFonts w:cs="Times New Roman"/>
          <w:lang w:val="en-GB"/>
        </w:rPr>
        <w:t>other protected and historical buildings.</w:t>
      </w:r>
      <w:r w:rsidR="0099420A" w:rsidRPr="00907907">
        <w:rPr>
          <w:rFonts w:cs="Times New Roman"/>
          <w:lang w:val="en-GB"/>
        </w:rPr>
        <w:t xml:space="preserve"> T</w:t>
      </w:r>
      <w:r w:rsidR="0072693E" w:rsidRPr="00907907">
        <w:rPr>
          <w:rFonts w:cs="Times New Roman"/>
          <w:lang w:val="en-GB"/>
        </w:rPr>
        <w:t>he QA1-documentation has been a</w:t>
      </w:r>
      <w:r w:rsidR="006D6DB1" w:rsidRPr="00907907">
        <w:rPr>
          <w:rFonts w:cs="Times New Roman"/>
          <w:lang w:val="en-GB"/>
        </w:rPr>
        <w:t xml:space="preserve"> verifiable </w:t>
      </w:r>
      <w:r w:rsidR="0072693E" w:rsidRPr="00907907">
        <w:rPr>
          <w:rFonts w:cs="Times New Roman"/>
          <w:lang w:val="en-GB"/>
        </w:rPr>
        <w:t xml:space="preserve">source of information regarding </w:t>
      </w:r>
      <w:r w:rsidR="00484C81" w:rsidRPr="00907907">
        <w:rPr>
          <w:rFonts w:cs="Times New Roman"/>
          <w:lang w:val="en-GB"/>
        </w:rPr>
        <w:t>these fallacies,</w:t>
      </w:r>
      <w:r w:rsidR="003436AC" w:rsidRPr="00907907">
        <w:rPr>
          <w:rFonts w:cs="Times New Roman"/>
          <w:lang w:val="en-GB"/>
        </w:rPr>
        <w:t xml:space="preserve"> but QA1-documentation is not the only place they can be found. Regrettably, such fallacies occurs frequently throughout society. The findings in this paper should be useful to everyone working in the cultural heritage field that seeks a knowledge-based management of our most important historical buildings.</w:t>
      </w:r>
    </w:p>
    <w:p w14:paraId="5A8BB907" w14:textId="33777233" w:rsidR="009F7721" w:rsidRPr="00907907" w:rsidRDefault="00C83C3A" w:rsidP="005E01A8">
      <w:pPr>
        <w:rPr>
          <w:rFonts w:cs="Times New Roman"/>
          <w:lang w:val="en-GB"/>
        </w:rPr>
      </w:pPr>
      <w:r w:rsidRPr="00907907">
        <w:rPr>
          <w:rFonts w:cs="Times New Roman"/>
          <w:lang w:val="en-GB"/>
        </w:rPr>
        <w:t>This paper has focused on typical fallacies regarding potentially vacated protected buildings,</w:t>
      </w:r>
      <w:r w:rsidR="00A56FEB" w:rsidRPr="00907907">
        <w:rPr>
          <w:rFonts w:cs="Times New Roman"/>
          <w:lang w:val="en-GB"/>
        </w:rPr>
        <w:t xml:space="preserve"> and have illustrated these fallacies with examples from </w:t>
      </w:r>
      <w:r w:rsidR="002463E7" w:rsidRPr="00907907">
        <w:rPr>
          <w:rFonts w:cs="Times New Roman"/>
          <w:lang w:val="en-GB"/>
        </w:rPr>
        <w:t>the examined QA1-documentation.</w:t>
      </w:r>
      <w:r w:rsidR="002345C4" w:rsidRPr="00907907">
        <w:rPr>
          <w:rFonts w:cs="Times New Roman"/>
          <w:lang w:val="en-GB"/>
        </w:rPr>
        <w:t xml:space="preserve"> Consequently, </w:t>
      </w:r>
      <w:r w:rsidR="00567CFC" w:rsidRPr="00907907">
        <w:rPr>
          <w:rFonts w:cs="Times New Roman"/>
          <w:lang w:val="en-GB"/>
        </w:rPr>
        <w:t xml:space="preserve">all </w:t>
      </w:r>
      <w:r w:rsidR="00AD7CA2" w:rsidRPr="00907907">
        <w:rPr>
          <w:rFonts w:cs="Times New Roman"/>
          <w:lang w:val="en-GB"/>
        </w:rPr>
        <w:t xml:space="preserve">the selected </w:t>
      </w:r>
      <w:r w:rsidR="00567CFC" w:rsidRPr="00907907">
        <w:rPr>
          <w:rFonts w:cs="Times New Roman"/>
          <w:lang w:val="en-GB"/>
        </w:rPr>
        <w:t>QA1-documentation have been treated alike</w:t>
      </w:r>
      <w:r w:rsidR="00C9094F" w:rsidRPr="00907907">
        <w:rPr>
          <w:rFonts w:cs="Times New Roman"/>
          <w:lang w:val="en-GB"/>
        </w:rPr>
        <w:t xml:space="preserve">, which might seem unfair to those which have been more aware of the </w:t>
      </w:r>
      <w:r w:rsidR="00D7466A" w:rsidRPr="00907907">
        <w:rPr>
          <w:rFonts w:cs="Times New Roman"/>
          <w:lang w:val="en-GB"/>
        </w:rPr>
        <w:t>real</w:t>
      </w:r>
      <w:r w:rsidR="00B766B2" w:rsidRPr="00907907">
        <w:rPr>
          <w:rFonts w:cs="Times New Roman"/>
          <w:lang w:val="en-GB"/>
        </w:rPr>
        <w:t xml:space="preserve"> </w:t>
      </w:r>
      <w:r w:rsidR="00C9094F" w:rsidRPr="00907907">
        <w:rPr>
          <w:rFonts w:cs="Times New Roman"/>
          <w:lang w:val="en-GB"/>
        </w:rPr>
        <w:t xml:space="preserve">challenges </w:t>
      </w:r>
      <w:r w:rsidR="00B766B2" w:rsidRPr="00907907">
        <w:rPr>
          <w:rFonts w:cs="Times New Roman"/>
          <w:lang w:val="en-GB"/>
        </w:rPr>
        <w:t>vacated, protected buildings face</w:t>
      </w:r>
      <w:r w:rsidR="00817161" w:rsidRPr="00907907">
        <w:rPr>
          <w:rFonts w:cs="Times New Roman"/>
          <w:lang w:val="en-GB"/>
        </w:rPr>
        <w:t>, such as the Tullinløkka project</w:t>
      </w:r>
      <w:r w:rsidR="00C9094F" w:rsidRPr="00907907">
        <w:rPr>
          <w:rFonts w:cs="Times New Roman"/>
          <w:lang w:val="en-GB"/>
        </w:rPr>
        <w:t xml:space="preserve">. </w:t>
      </w:r>
      <w:r w:rsidR="003557B3" w:rsidRPr="00907907">
        <w:rPr>
          <w:rFonts w:cs="Times New Roman"/>
          <w:lang w:val="en-GB"/>
        </w:rPr>
        <w:t>W</w:t>
      </w:r>
      <w:r w:rsidR="00567CFC" w:rsidRPr="00907907">
        <w:rPr>
          <w:rFonts w:cs="Times New Roman"/>
          <w:lang w:val="en-GB"/>
        </w:rPr>
        <w:t xml:space="preserve">e have refrained from </w:t>
      </w:r>
      <w:r w:rsidR="00AD7CA2" w:rsidRPr="00907907">
        <w:rPr>
          <w:rFonts w:cs="Times New Roman"/>
          <w:lang w:val="en-GB"/>
        </w:rPr>
        <w:t xml:space="preserve">sharing </w:t>
      </w:r>
      <w:r w:rsidR="00C9094F" w:rsidRPr="00907907">
        <w:rPr>
          <w:rFonts w:cs="Times New Roman"/>
          <w:lang w:val="en-GB"/>
        </w:rPr>
        <w:t xml:space="preserve">out gold stars </w:t>
      </w:r>
      <w:r w:rsidR="009F7721" w:rsidRPr="00907907">
        <w:rPr>
          <w:rFonts w:cs="Times New Roman"/>
          <w:lang w:val="en-GB"/>
        </w:rPr>
        <w:t xml:space="preserve">and </w:t>
      </w:r>
      <w:r w:rsidR="00C9094F" w:rsidRPr="00907907">
        <w:rPr>
          <w:rFonts w:cs="Times New Roman"/>
          <w:lang w:val="en-GB"/>
        </w:rPr>
        <w:t>lumps of coal</w:t>
      </w:r>
      <w:r w:rsidR="008567C3" w:rsidRPr="00907907">
        <w:rPr>
          <w:rFonts w:cs="Times New Roman"/>
          <w:lang w:val="en-GB"/>
        </w:rPr>
        <w:t xml:space="preserve"> here</w:t>
      </w:r>
      <w:r w:rsidR="00C9094F" w:rsidRPr="00907907">
        <w:rPr>
          <w:rFonts w:cs="Times New Roman"/>
          <w:lang w:val="en-GB"/>
        </w:rPr>
        <w:t xml:space="preserve">, as </w:t>
      </w:r>
      <w:r w:rsidR="003557B3" w:rsidRPr="00907907">
        <w:rPr>
          <w:rFonts w:cs="Times New Roman"/>
          <w:lang w:val="en-GB"/>
        </w:rPr>
        <w:t>our object is</w:t>
      </w:r>
      <w:r w:rsidR="00957B44" w:rsidRPr="00907907">
        <w:rPr>
          <w:rFonts w:cs="Times New Roman"/>
          <w:lang w:val="en-GB"/>
        </w:rPr>
        <w:t xml:space="preserve"> an improved practice for future projects.</w:t>
      </w:r>
      <w:r w:rsidR="00065D35" w:rsidRPr="00907907">
        <w:rPr>
          <w:rFonts w:cs="Times New Roman"/>
          <w:lang w:val="en-GB"/>
        </w:rPr>
        <w:t xml:space="preserve"> </w:t>
      </w:r>
      <w:r w:rsidR="00C67F90" w:rsidRPr="00907907">
        <w:rPr>
          <w:rFonts w:cs="Times New Roman"/>
          <w:lang w:val="en-GB"/>
        </w:rPr>
        <w:t xml:space="preserve">Still, we would like to point of that there are </w:t>
      </w:r>
      <w:r w:rsidR="00397CBB" w:rsidRPr="00907907">
        <w:rPr>
          <w:rFonts w:cs="Times New Roman"/>
          <w:lang w:val="en-GB"/>
        </w:rPr>
        <w:t xml:space="preserve">some </w:t>
      </w:r>
      <w:r w:rsidR="00C67F90" w:rsidRPr="00907907">
        <w:rPr>
          <w:rFonts w:cs="Times New Roman"/>
          <w:lang w:val="en-GB"/>
        </w:rPr>
        <w:t xml:space="preserve">signs of a heightened awareness </w:t>
      </w:r>
      <w:r w:rsidR="00604140" w:rsidRPr="00907907">
        <w:rPr>
          <w:rFonts w:cs="Times New Roman"/>
          <w:lang w:val="en-GB"/>
        </w:rPr>
        <w:t xml:space="preserve">of protected buildings potential and value </w:t>
      </w:r>
      <w:r w:rsidR="00C67F90" w:rsidRPr="00907907">
        <w:rPr>
          <w:rFonts w:cs="Times New Roman"/>
          <w:lang w:val="en-GB"/>
        </w:rPr>
        <w:t xml:space="preserve">in </w:t>
      </w:r>
      <w:r w:rsidR="009F7721" w:rsidRPr="00907907">
        <w:rPr>
          <w:rFonts w:cs="Times New Roman"/>
          <w:lang w:val="en-GB"/>
        </w:rPr>
        <w:t xml:space="preserve">some, </w:t>
      </w:r>
      <w:r w:rsidR="00C67F90" w:rsidRPr="00907907">
        <w:rPr>
          <w:rFonts w:cs="Times New Roman"/>
          <w:lang w:val="en-GB"/>
        </w:rPr>
        <w:t>more recent reports</w:t>
      </w:r>
      <w:r w:rsidR="00604140" w:rsidRPr="00907907">
        <w:rPr>
          <w:rFonts w:cs="Times New Roman"/>
          <w:lang w:val="en-GB"/>
        </w:rPr>
        <w:t>.</w:t>
      </w:r>
      <w:r w:rsidR="005E01A8" w:rsidRPr="00907907">
        <w:rPr>
          <w:rFonts w:cs="Times New Roman"/>
          <w:lang w:val="en-GB"/>
        </w:rPr>
        <w:t xml:space="preserve"> </w:t>
      </w:r>
    </w:p>
    <w:p w14:paraId="08B8D0DD" w14:textId="3D4621AD" w:rsidR="008567C3" w:rsidRPr="00907907" w:rsidRDefault="005E01A8" w:rsidP="005E01A8">
      <w:pPr>
        <w:rPr>
          <w:rFonts w:cs="Times New Roman"/>
          <w:lang w:val="en-GB"/>
        </w:rPr>
      </w:pPr>
      <w:r w:rsidRPr="00907907">
        <w:rPr>
          <w:rFonts w:cs="Times New Roman"/>
          <w:lang w:val="en-GB"/>
        </w:rPr>
        <w:t xml:space="preserve">Other </w:t>
      </w:r>
      <w:r w:rsidR="002638BE" w:rsidRPr="00907907">
        <w:rPr>
          <w:rFonts w:cs="Times New Roman"/>
          <w:lang w:val="en-GB"/>
        </w:rPr>
        <w:t>measures</w:t>
      </w:r>
      <w:r w:rsidRPr="00907907">
        <w:rPr>
          <w:rFonts w:cs="Times New Roman"/>
          <w:lang w:val="en-GB"/>
        </w:rPr>
        <w:t xml:space="preserve"> are also made, such as </w:t>
      </w:r>
      <w:r w:rsidR="002638BE" w:rsidRPr="00907907">
        <w:rPr>
          <w:rFonts w:cs="Times New Roman"/>
          <w:lang w:val="en-GB"/>
        </w:rPr>
        <w:t>instructions that</w:t>
      </w:r>
      <w:r w:rsidRPr="00907907">
        <w:rPr>
          <w:rFonts w:cs="Times New Roman"/>
          <w:lang w:val="en-GB"/>
        </w:rPr>
        <w:t xml:space="preserve"> the protected building</w:t>
      </w:r>
      <w:r w:rsidR="009F7721" w:rsidRPr="00907907">
        <w:rPr>
          <w:rFonts w:cs="Times New Roman"/>
          <w:lang w:val="en-GB"/>
        </w:rPr>
        <w:t>s</w:t>
      </w:r>
      <w:r w:rsidR="002638BE" w:rsidRPr="00907907">
        <w:rPr>
          <w:rFonts w:cs="Times New Roman"/>
          <w:lang w:val="en-GB"/>
        </w:rPr>
        <w:t xml:space="preserve"> should be kept in use</w:t>
      </w:r>
      <w:r w:rsidRPr="00907907">
        <w:rPr>
          <w:rFonts w:cs="Times New Roman"/>
          <w:lang w:val="en-GB"/>
        </w:rPr>
        <w:t>. This was done both for The National Theat</w:t>
      </w:r>
      <w:r w:rsidR="002638BE" w:rsidRPr="00907907">
        <w:rPr>
          <w:rFonts w:cs="Times New Roman"/>
          <w:lang w:val="en-GB"/>
        </w:rPr>
        <w:t>re</w:t>
      </w:r>
      <w:r w:rsidRPr="00907907">
        <w:rPr>
          <w:rFonts w:cs="Times New Roman"/>
          <w:lang w:val="en-GB"/>
        </w:rPr>
        <w:t xml:space="preserve"> and The National </w:t>
      </w:r>
      <w:r w:rsidR="002638BE" w:rsidRPr="00907907">
        <w:rPr>
          <w:rFonts w:cs="Times New Roman"/>
          <w:lang w:val="en-GB"/>
        </w:rPr>
        <w:t>Stage</w:t>
      </w:r>
      <w:r w:rsidRPr="00907907">
        <w:rPr>
          <w:rFonts w:cs="Times New Roman"/>
          <w:lang w:val="en-GB"/>
        </w:rPr>
        <w:t xml:space="preserve"> in Bergen.</w:t>
      </w:r>
      <w:r w:rsidR="00592E8B" w:rsidRPr="00907907">
        <w:rPr>
          <w:rFonts w:cs="Times New Roman"/>
          <w:lang w:val="en-GB"/>
        </w:rPr>
        <w:t xml:space="preserve"> However, assuming continued use does not remove the need for a thorough </w:t>
      </w:r>
      <w:r w:rsidR="00EA6491" w:rsidRPr="00907907">
        <w:rPr>
          <w:rFonts w:cs="Times New Roman"/>
          <w:lang w:val="en-GB"/>
        </w:rPr>
        <w:t>understanding</w:t>
      </w:r>
      <w:r w:rsidR="00BD61E2" w:rsidRPr="00907907">
        <w:rPr>
          <w:rFonts w:cs="Times New Roman"/>
          <w:lang w:val="en-GB"/>
        </w:rPr>
        <w:t xml:space="preserve"> of protected</w:t>
      </w:r>
      <w:r w:rsidR="00592E8B" w:rsidRPr="00907907">
        <w:rPr>
          <w:rFonts w:cs="Times New Roman"/>
          <w:lang w:val="en-GB"/>
        </w:rPr>
        <w:t xml:space="preserve"> buildings</w:t>
      </w:r>
      <w:r w:rsidR="00BD61E2" w:rsidRPr="00907907">
        <w:rPr>
          <w:rFonts w:cs="Times New Roman"/>
          <w:lang w:val="en-GB"/>
        </w:rPr>
        <w:t xml:space="preserve">: </w:t>
      </w:r>
      <w:r w:rsidR="00F748C0" w:rsidRPr="00907907">
        <w:rPr>
          <w:rFonts w:cs="Times New Roman"/>
          <w:lang w:val="en-GB"/>
        </w:rPr>
        <w:t xml:space="preserve">it is quite the reverse. </w:t>
      </w:r>
      <w:r w:rsidR="00EA6491" w:rsidRPr="00907907">
        <w:rPr>
          <w:rFonts w:cs="Times New Roman"/>
          <w:lang w:val="en-GB"/>
        </w:rPr>
        <w:t>Genuine</w:t>
      </w:r>
      <w:r w:rsidR="00F748C0" w:rsidRPr="00907907">
        <w:rPr>
          <w:rFonts w:cs="Times New Roman"/>
          <w:lang w:val="en-GB"/>
        </w:rPr>
        <w:t xml:space="preserve"> understanding of protected buildings´ usability, vulnerability and value </w:t>
      </w:r>
      <w:r w:rsidR="005F30DE" w:rsidRPr="00907907">
        <w:rPr>
          <w:rFonts w:cs="Times New Roman"/>
          <w:lang w:val="en-GB"/>
        </w:rPr>
        <w:t>is</w:t>
      </w:r>
      <w:r w:rsidR="00F748C0" w:rsidRPr="00907907">
        <w:rPr>
          <w:rFonts w:cs="Times New Roman"/>
          <w:lang w:val="en-GB"/>
        </w:rPr>
        <w:t xml:space="preserve"> instrumental </w:t>
      </w:r>
      <w:r w:rsidR="00154ED8" w:rsidRPr="00907907">
        <w:rPr>
          <w:rFonts w:cs="Times New Roman"/>
          <w:lang w:val="en-GB"/>
        </w:rPr>
        <w:t>for</w:t>
      </w:r>
      <w:r w:rsidR="00F748C0" w:rsidRPr="00907907">
        <w:rPr>
          <w:rFonts w:cs="Times New Roman"/>
          <w:lang w:val="en-GB"/>
        </w:rPr>
        <w:t xml:space="preserve"> continued use</w:t>
      </w:r>
      <w:r w:rsidR="005F30DE" w:rsidRPr="00907907">
        <w:rPr>
          <w:rFonts w:cs="Times New Roman"/>
          <w:lang w:val="en-GB"/>
        </w:rPr>
        <w:t xml:space="preserve"> in compliance with the buildings’ inherent cultural heritage values</w:t>
      </w:r>
      <w:r w:rsidR="00F748C0" w:rsidRPr="00907907">
        <w:rPr>
          <w:rFonts w:cs="Times New Roman"/>
          <w:lang w:val="en-GB"/>
        </w:rPr>
        <w:t>.</w:t>
      </w:r>
    </w:p>
    <w:p w14:paraId="5EBB9AEC" w14:textId="3758D9F9" w:rsidR="00C01EF3" w:rsidRPr="00907907" w:rsidRDefault="00C8353F" w:rsidP="00236B6E">
      <w:pPr>
        <w:rPr>
          <w:rFonts w:cs="Times New Roman"/>
          <w:lang w:val="en-GB"/>
        </w:rPr>
      </w:pPr>
      <w:r w:rsidRPr="00907907">
        <w:rPr>
          <w:rFonts w:cs="Times New Roman"/>
          <w:lang w:val="en-GB"/>
        </w:rPr>
        <w:t xml:space="preserve">This paper demonstrates how easily </w:t>
      </w:r>
      <w:r w:rsidR="0039045C" w:rsidRPr="00907907">
        <w:rPr>
          <w:rFonts w:cs="Times New Roman"/>
          <w:lang w:val="en-GB"/>
        </w:rPr>
        <w:t xml:space="preserve">the </w:t>
      </w:r>
      <w:r w:rsidR="001C5EFA" w:rsidRPr="00907907">
        <w:rPr>
          <w:rFonts w:cs="Times New Roman"/>
          <w:lang w:val="en-GB"/>
        </w:rPr>
        <w:t>QA1-</w:t>
      </w:r>
      <w:r w:rsidR="0039045C" w:rsidRPr="00907907">
        <w:rPr>
          <w:rFonts w:cs="Times New Roman"/>
          <w:lang w:val="en-GB"/>
        </w:rPr>
        <w:t xml:space="preserve">documentation </w:t>
      </w:r>
      <w:r w:rsidR="001C5EFA" w:rsidRPr="00907907">
        <w:rPr>
          <w:rFonts w:cs="Times New Roman"/>
          <w:lang w:val="en-GB"/>
        </w:rPr>
        <w:t xml:space="preserve">can </w:t>
      </w:r>
      <w:r w:rsidR="00E7467E" w:rsidRPr="00907907">
        <w:rPr>
          <w:rFonts w:cs="Times New Roman"/>
          <w:lang w:val="en-GB"/>
        </w:rPr>
        <w:t>be used against</w:t>
      </w:r>
      <w:r w:rsidR="001C5EFA" w:rsidRPr="00907907">
        <w:rPr>
          <w:rFonts w:cs="Times New Roman"/>
          <w:lang w:val="en-GB"/>
        </w:rPr>
        <w:t xml:space="preserve"> an existing protected building, and</w:t>
      </w:r>
      <w:r w:rsidR="00E7467E" w:rsidRPr="00907907">
        <w:rPr>
          <w:rFonts w:cs="Times New Roman"/>
          <w:lang w:val="en-GB"/>
        </w:rPr>
        <w:t>,</w:t>
      </w:r>
      <w:r w:rsidR="001C5EFA" w:rsidRPr="00907907">
        <w:rPr>
          <w:rFonts w:cs="Times New Roman"/>
          <w:lang w:val="en-GB"/>
        </w:rPr>
        <w:t xml:space="preserve"> </w:t>
      </w:r>
      <w:r w:rsidR="004969C6" w:rsidRPr="00907907">
        <w:rPr>
          <w:rFonts w:cs="Times New Roman"/>
          <w:lang w:val="en-GB"/>
        </w:rPr>
        <w:t>through unfounded assertions</w:t>
      </w:r>
      <w:r w:rsidR="00E7467E" w:rsidRPr="00907907">
        <w:rPr>
          <w:rFonts w:cs="Times New Roman"/>
          <w:lang w:val="en-GB"/>
        </w:rPr>
        <w:t>,</w:t>
      </w:r>
      <w:r w:rsidR="004969C6" w:rsidRPr="00907907">
        <w:rPr>
          <w:rFonts w:cs="Times New Roman"/>
          <w:lang w:val="en-GB"/>
        </w:rPr>
        <w:t xml:space="preserve"> make continued use almost impossible to defend. </w:t>
      </w:r>
      <w:r w:rsidR="00F7018B" w:rsidRPr="00907907">
        <w:rPr>
          <w:rFonts w:cs="Times New Roman"/>
          <w:lang w:val="en-GB"/>
        </w:rPr>
        <w:t>This vulnerability in the QA-schemes evaluations must be addresse</w:t>
      </w:r>
      <w:r w:rsidR="00B24B11" w:rsidRPr="00907907">
        <w:rPr>
          <w:rFonts w:cs="Times New Roman"/>
          <w:lang w:val="en-GB"/>
        </w:rPr>
        <w:t xml:space="preserve">d </w:t>
      </w:r>
      <w:r w:rsidR="00E7467E" w:rsidRPr="00907907">
        <w:rPr>
          <w:rFonts w:cs="Times New Roman"/>
          <w:lang w:val="en-GB"/>
        </w:rPr>
        <w:t>for the sake of</w:t>
      </w:r>
      <w:r w:rsidR="00B24B11" w:rsidRPr="00907907">
        <w:rPr>
          <w:rFonts w:cs="Times New Roman"/>
          <w:lang w:val="en-GB"/>
        </w:rPr>
        <w:t xml:space="preserve"> </w:t>
      </w:r>
      <w:r w:rsidR="00E7467E" w:rsidRPr="00907907">
        <w:rPr>
          <w:rFonts w:cs="Times New Roman"/>
          <w:lang w:val="en-GB"/>
        </w:rPr>
        <w:t xml:space="preserve">treasured </w:t>
      </w:r>
      <w:r w:rsidR="00B24B11" w:rsidRPr="00907907">
        <w:rPr>
          <w:rFonts w:cs="Times New Roman"/>
          <w:lang w:val="en-GB"/>
        </w:rPr>
        <w:t>pieces</w:t>
      </w:r>
      <w:r w:rsidR="00E7467E" w:rsidRPr="00907907">
        <w:rPr>
          <w:rFonts w:cs="Times New Roman"/>
          <w:lang w:val="en-GB"/>
        </w:rPr>
        <w:t xml:space="preserve"> of</w:t>
      </w:r>
      <w:r w:rsidR="00B24B11" w:rsidRPr="00907907">
        <w:rPr>
          <w:rFonts w:cs="Times New Roman"/>
          <w:lang w:val="en-GB"/>
        </w:rPr>
        <w:t xml:space="preserve"> the country´s architectural heritage</w:t>
      </w:r>
      <w:r w:rsidR="00667F57" w:rsidRPr="00907907">
        <w:rPr>
          <w:rFonts w:cs="Times New Roman"/>
          <w:lang w:val="en-GB"/>
        </w:rPr>
        <w:t>, and hidden costs connected to ill-advised decisions</w:t>
      </w:r>
      <w:r w:rsidR="00B24B11" w:rsidRPr="00907907">
        <w:rPr>
          <w:rFonts w:cs="Times New Roman"/>
          <w:lang w:val="en-GB"/>
        </w:rPr>
        <w:t>.</w:t>
      </w:r>
    </w:p>
    <w:p w14:paraId="163E23A6" w14:textId="1623EB5E" w:rsidR="00BE2AF2" w:rsidRPr="00907907" w:rsidRDefault="00A450AC" w:rsidP="00BE2AF2">
      <w:pPr>
        <w:rPr>
          <w:rFonts w:cs="Times New Roman"/>
          <w:lang w:val="en-GB"/>
        </w:rPr>
      </w:pPr>
      <w:r w:rsidRPr="00907907">
        <w:rPr>
          <w:rFonts w:cs="Times New Roman"/>
        </w:rPr>
        <w:t xml:space="preserve">We acknowledge that </w:t>
      </w:r>
      <w:r w:rsidRPr="00907907">
        <w:rPr>
          <w:rFonts w:cs="Times New Roman"/>
          <w:lang w:val="en-GB"/>
        </w:rPr>
        <w:t xml:space="preserve">problematic results can emerge from the best motives. The goal of this paper is to strengthen the understanding of protected buildings, a hitherto overlooked and important subject in </w:t>
      </w:r>
      <w:r w:rsidR="00F3795D" w:rsidRPr="00907907">
        <w:rPr>
          <w:rFonts w:cs="Times New Roman"/>
          <w:lang w:val="en-GB"/>
        </w:rPr>
        <w:t>QA1-</w:t>
      </w:r>
      <w:r w:rsidRPr="00907907">
        <w:rPr>
          <w:rFonts w:cs="Times New Roman"/>
          <w:lang w:val="en-GB"/>
        </w:rPr>
        <w:t>documentation, thus strengthening the decisions governed by these documents.</w:t>
      </w:r>
      <w:r w:rsidR="00553972" w:rsidRPr="00907907">
        <w:rPr>
          <w:rFonts w:cs="Times New Roman"/>
          <w:lang w:val="en-GB"/>
        </w:rPr>
        <w:t xml:space="preserve"> </w:t>
      </w:r>
      <w:r w:rsidR="00E8210C" w:rsidRPr="00907907">
        <w:rPr>
          <w:rFonts w:cs="Times New Roman"/>
          <w:lang w:val="en-GB"/>
        </w:rPr>
        <w:t>It is understandable that the government wishes an economic analysis of larger public investments, but it is rather surprising that it is not coincidentally demanded a</w:t>
      </w:r>
      <w:r w:rsidR="007C5C4C" w:rsidRPr="00907907">
        <w:rPr>
          <w:rFonts w:cs="Times New Roman"/>
          <w:lang w:val="en-GB"/>
        </w:rPr>
        <w:t xml:space="preserve">n architectural assessment of </w:t>
      </w:r>
      <w:r w:rsidR="00DE7AB4" w:rsidRPr="00907907">
        <w:rPr>
          <w:rFonts w:cs="Times New Roman"/>
          <w:lang w:val="en-GB"/>
        </w:rPr>
        <w:t xml:space="preserve">larger public investments that are </w:t>
      </w:r>
      <w:r w:rsidR="00F3795D" w:rsidRPr="00907907">
        <w:rPr>
          <w:rFonts w:cs="Times New Roman"/>
          <w:lang w:val="en-GB"/>
        </w:rPr>
        <w:t xml:space="preserve">de facto </w:t>
      </w:r>
      <w:r w:rsidR="00DE7AB4" w:rsidRPr="00907907">
        <w:rPr>
          <w:rFonts w:cs="Times New Roman"/>
          <w:lang w:val="en-GB"/>
        </w:rPr>
        <w:t>building projects.</w:t>
      </w:r>
      <w:r w:rsidR="00BE2AF2" w:rsidRPr="00907907">
        <w:rPr>
          <w:rFonts w:cs="Times New Roman"/>
          <w:lang w:val="en-GB"/>
        </w:rPr>
        <w:t xml:space="preserve"> </w:t>
      </w:r>
      <w:r w:rsidR="00986152" w:rsidRPr="00907907">
        <w:rPr>
          <w:rFonts w:cs="Times New Roman"/>
          <w:lang w:val="en"/>
        </w:rPr>
        <w:t xml:space="preserve">Safeguarding the cultural heritage is part of the normative needs in QA1-documentation regarding protected buildings: </w:t>
      </w:r>
      <w:r w:rsidR="001F11D9" w:rsidRPr="00907907">
        <w:rPr>
          <w:rFonts w:cs="Times New Roman"/>
          <w:lang w:val="en"/>
        </w:rPr>
        <w:t>Society´s most valuable cultural heritage is</w:t>
      </w:r>
      <w:r w:rsidR="00BE2AF2" w:rsidRPr="00907907">
        <w:rPr>
          <w:rFonts w:cs="Times New Roman"/>
          <w:lang w:val="en"/>
        </w:rPr>
        <w:t xml:space="preserve"> protected by law</w:t>
      </w:r>
      <w:r w:rsidR="00986152" w:rsidRPr="00907907">
        <w:rPr>
          <w:rFonts w:cs="Times New Roman"/>
          <w:lang w:val="en"/>
        </w:rPr>
        <w:t>, because the architectural and historic heritage</w:t>
      </w:r>
      <w:r w:rsidR="001F11D9" w:rsidRPr="00907907">
        <w:rPr>
          <w:rFonts w:cs="Times New Roman"/>
          <w:lang w:val="en"/>
        </w:rPr>
        <w:t xml:space="preserve"> </w:t>
      </w:r>
      <w:r w:rsidR="00986152" w:rsidRPr="00907907">
        <w:rPr>
          <w:rFonts w:cs="Times New Roman"/>
          <w:lang w:val="en"/>
        </w:rPr>
        <w:t xml:space="preserve">is </w:t>
      </w:r>
      <w:r w:rsidR="00D9196F" w:rsidRPr="00907907">
        <w:rPr>
          <w:rFonts w:cs="Times New Roman"/>
          <w:lang w:val="en"/>
        </w:rPr>
        <w:t xml:space="preserve">an </w:t>
      </w:r>
      <w:r w:rsidR="00BE2AF2" w:rsidRPr="00907907">
        <w:rPr>
          <w:rFonts w:cs="Times New Roman"/>
          <w:lang w:val="en"/>
        </w:rPr>
        <w:t xml:space="preserve">important </w:t>
      </w:r>
      <w:r w:rsidR="00D9196F" w:rsidRPr="00907907">
        <w:rPr>
          <w:rFonts w:cs="Times New Roman"/>
          <w:lang w:val="en"/>
        </w:rPr>
        <w:t xml:space="preserve">basis </w:t>
      </w:r>
      <w:r w:rsidR="00BE2AF2" w:rsidRPr="00907907">
        <w:rPr>
          <w:rFonts w:cs="Times New Roman"/>
          <w:lang w:val="en"/>
        </w:rPr>
        <w:t xml:space="preserve">for </w:t>
      </w:r>
      <w:r w:rsidR="0047036B" w:rsidRPr="00907907">
        <w:rPr>
          <w:rFonts w:cs="Times New Roman"/>
          <w:lang w:val="en"/>
        </w:rPr>
        <w:t>our</w:t>
      </w:r>
      <w:r w:rsidR="00BE2AF2" w:rsidRPr="00907907">
        <w:rPr>
          <w:rFonts w:cs="Times New Roman"/>
          <w:lang w:val="en"/>
        </w:rPr>
        <w:t xml:space="preserve"> culture and thus </w:t>
      </w:r>
      <w:r w:rsidR="0047036B" w:rsidRPr="00907907">
        <w:rPr>
          <w:rFonts w:cs="Times New Roman"/>
          <w:lang w:val="en"/>
        </w:rPr>
        <w:t>our</w:t>
      </w:r>
      <w:r w:rsidR="00BE2AF2" w:rsidRPr="00907907">
        <w:rPr>
          <w:rFonts w:cs="Times New Roman"/>
          <w:lang w:val="en"/>
        </w:rPr>
        <w:t xml:space="preserve"> </w:t>
      </w:r>
      <w:r w:rsidR="00F87270" w:rsidRPr="00907907">
        <w:rPr>
          <w:rFonts w:cs="Times New Roman"/>
          <w:lang w:val="en"/>
        </w:rPr>
        <w:t>society</w:t>
      </w:r>
      <w:r w:rsidR="00BE2AF2" w:rsidRPr="00907907">
        <w:rPr>
          <w:rFonts w:cs="Times New Roman"/>
          <w:lang w:val="en"/>
        </w:rPr>
        <w:t xml:space="preserve">. </w:t>
      </w:r>
      <w:r w:rsidR="00986152" w:rsidRPr="00907907">
        <w:rPr>
          <w:rFonts w:cs="Times New Roman"/>
          <w:lang w:val="en"/>
        </w:rPr>
        <w:t>I</w:t>
      </w:r>
      <w:r w:rsidR="00CA20BC" w:rsidRPr="00907907">
        <w:rPr>
          <w:rFonts w:cs="Times New Roman"/>
          <w:lang w:val="en"/>
        </w:rPr>
        <w:t>nformation given</w:t>
      </w:r>
      <w:r w:rsidR="00BE2AF2" w:rsidRPr="00907907">
        <w:rPr>
          <w:rFonts w:cs="Times New Roman"/>
          <w:lang w:val="en"/>
        </w:rPr>
        <w:t xml:space="preserve"> </w:t>
      </w:r>
      <w:r w:rsidR="00986152" w:rsidRPr="00907907">
        <w:rPr>
          <w:rFonts w:cs="Times New Roman"/>
          <w:lang w:val="en"/>
        </w:rPr>
        <w:t xml:space="preserve">regarding protected buildings </w:t>
      </w:r>
      <w:r w:rsidR="00BE2AF2" w:rsidRPr="00907907">
        <w:rPr>
          <w:rFonts w:cs="Times New Roman"/>
          <w:lang w:val="en"/>
        </w:rPr>
        <w:t xml:space="preserve">should </w:t>
      </w:r>
      <w:r w:rsidR="00986152" w:rsidRPr="00907907">
        <w:rPr>
          <w:rFonts w:cs="Times New Roman"/>
          <w:lang w:val="en"/>
        </w:rPr>
        <w:t xml:space="preserve">thus </w:t>
      </w:r>
      <w:r w:rsidR="00BE2AF2" w:rsidRPr="00907907">
        <w:rPr>
          <w:rFonts w:cs="Times New Roman"/>
          <w:lang w:val="en"/>
        </w:rPr>
        <w:t xml:space="preserve">be </w:t>
      </w:r>
      <w:r w:rsidR="00A13E15" w:rsidRPr="00907907">
        <w:rPr>
          <w:rFonts w:cs="Times New Roman"/>
          <w:lang w:val="en"/>
        </w:rPr>
        <w:t xml:space="preserve">correct and </w:t>
      </w:r>
      <w:r w:rsidR="00BE2AF2" w:rsidRPr="00907907">
        <w:rPr>
          <w:rFonts w:cs="Times New Roman"/>
          <w:lang w:val="en"/>
        </w:rPr>
        <w:t xml:space="preserve">of high quality so that it gives decision makers </w:t>
      </w:r>
      <w:r w:rsidR="00A13E15" w:rsidRPr="00907907">
        <w:rPr>
          <w:rFonts w:cs="Times New Roman"/>
          <w:lang w:val="en"/>
        </w:rPr>
        <w:t xml:space="preserve">a </w:t>
      </w:r>
      <w:r w:rsidR="00986152" w:rsidRPr="00907907">
        <w:rPr>
          <w:rFonts w:cs="Times New Roman"/>
          <w:lang w:val="en"/>
        </w:rPr>
        <w:t xml:space="preserve">genuine </w:t>
      </w:r>
      <w:r w:rsidR="00A13E15" w:rsidRPr="00907907">
        <w:rPr>
          <w:rFonts w:cs="Times New Roman"/>
          <w:lang w:val="en"/>
        </w:rPr>
        <w:t>basis for decisions</w:t>
      </w:r>
      <w:r w:rsidR="00986152" w:rsidRPr="00907907">
        <w:rPr>
          <w:rFonts w:cs="Times New Roman"/>
          <w:lang w:val="en"/>
        </w:rPr>
        <w:t>.</w:t>
      </w:r>
      <w:r w:rsidR="00D110E1" w:rsidRPr="00907907">
        <w:rPr>
          <w:rFonts w:cs="Times New Roman"/>
          <w:lang w:val="en"/>
        </w:rPr>
        <w:t xml:space="preserve"> </w:t>
      </w:r>
    </w:p>
    <w:p w14:paraId="5B6DAD7E" w14:textId="02AA4109" w:rsidR="00676045" w:rsidRPr="00907907" w:rsidRDefault="00676045" w:rsidP="00236B6E">
      <w:pPr>
        <w:rPr>
          <w:rFonts w:cs="Times New Roman"/>
          <w:lang w:val="en-GB"/>
        </w:rPr>
      </w:pPr>
    </w:p>
    <w:sectPr w:rsidR="00676045" w:rsidRPr="00907907" w:rsidSect="00E612C0">
      <w:headerReference w:type="default" r:id="rId9"/>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A0F19" w14:textId="77777777" w:rsidR="00C22AF4" w:rsidRDefault="00C22AF4" w:rsidP="002A63F6">
      <w:r>
        <w:separator/>
      </w:r>
    </w:p>
  </w:endnote>
  <w:endnote w:type="continuationSeparator" w:id="0">
    <w:p w14:paraId="505FEE17" w14:textId="77777777" w:rsidR="00C22AF4" w:rsidRDefault="00C22AF4" w:rsidP="002A63F6">
      <w:r>
        <w:continuationSeparator/>
      </w:r>
    </w:p>
  </w:endnote>
  <w:endnote w:id="1">
    <w:p w14:paraId="122E47E9" w14:textId="77777777" w:rsidR="00C22AF4" w:rsidRPr="00C92C75" w:rsidRDefault="00C22AF4" w:rsidP="00C92C75"/>
    <w:p w14:paraId="14896647" w14:textId="09D94C66" w:rsidR="00C22AF4" w:rsidRDefault="00C22AF4" w:rsidP="00C22AF4">
      <w:pPr>
        <w:pStyle w:val="Heading1"/>
      </w:pPr>
      <w:r>
        <w:t>Endnotes</w:t>
      </w:r>
    </w:p>
    <w:p w14:paraId="676A27FD" w14:textId="27882167" w:rsidR="00C22AF4" w:rsidRPr="00907907" w:rsidRDefault="00C22AF4" w:rsidP="00364096">
      <w:pPr>
        <w:rPr>
          <w:rFonts w:eastAsia="Times New Roman" w:cs="Times New Roman"/>
          <w:sz w:val="20"/>
          <w:szCs w:val="20"/>
        </w:rPr>
      </w:pPr>
      <w:r w:rsidRPr="003436AC">
        <w:rPr>
          <w:rStyle w:val="EndnoteReference"/>
          <w:rFonts w:cs="Times New Roman"/>
          <w:sz w:val="24"/>
          <w:szCs w:val="24"/>
        </w:rPr>
        <w:endnoteRef/>
      </w:r>
      <w:r w:rsidRPr="003436AC">
        <w:rPr>
          <w:rFonts w:cs="Times New Roman"/>
          <w:sz w:val="24"/>
          <w:szCs w:val="24"/>
        </w:rPr>
        <w:t xml:space="preserve"> </w:t>
      </w:r>
      <w:r w:rsidRPr="00907907">
        <w:rPr>
          <w:rFonts w:eastAsia="Times New Roman" w:cs="Times New Roman"/>
          <w:color w:val="000000"/>
          <w:sz w:val="20"/>
          <w:szCs w:val="20"/>
          <w:shd w:val="clear" w:color="auto" w:fill="FFFFFF"/>
        </w:rPr>
        <w:t>Concept, ‘QA Scheme - Concept - NTNU’, </w:t>
      </w:r>
      <w:r w:rsidRPr="00907907">
        <w:rPr>
          <w:rFonts w:eastAsia="Times New Roman" w:cs="Times New Roman"/>
          <w:i/>
          <w:iCs/>
          <w:color w:val="000000"/>
          <w:sz w:val="20"/>
          <w:szCs w:val="20"/>
          <w:shd w:val="clear" w:color="auto" w:fill="FFFFFF"/>
        </w:rPr>
        <w:t>Ntnu. Edu</w:t>
      </w:r>
      <w:r w:rsidRPr="00907907">
        <w:rPr>
          <w:rFonts w:eastAsia="Times New Roman" w:cs="Times New Roman"/>
          <w:color w:val="000000"/>
          <w:sz w:val="20"/>
          <w:szCs w:val="20"/>
          <w:shd w:val="clear" w:color="auto" w:fill="FFFFFF"/>
        </w:rPr>
        <w:t>. (2019), &lt;https://www.ntnu.edu/concept/qa-scheme&gt; [accessed 13 April 2019].</w:t>
      </w:r>
    </w:p>
    <w:p w14:paraId="59951602" w14:textId="32DF8B9A" w:rsidR="00C22AF4" w:rsidRPr="00907907" w:rsidRDefault="00C22AF4">
      <w:pPr>
        <w:pStyle w:val="EndnoteText"/>
        <w:rPr>
          <w:rFonts w:cs="Times New Roman"/>
          <w:sz w:val="20"/>
          <w:szCs w:val="20"/>
        </w:rPr>
      </w:pPr>
    </w:p>
  </w:endnote>
  <w:endnote w:id="2">
    <w:p w14:paraId="6F952540" w14:textId="77777777" w:rsidR="00C22AF4" w:rsidRPr="00907907" w:rsidRDefault="00C22AF4" w:rsidP="00166617">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Mari Oline Giske Stendebakken, </w:t>
      </w:r>
      <w:r w:rsidRPr="00907907">
        <w:rPr>
          <w:rFonts w:eastAsia="Times New Roman" w:cs="Times New Roman"/>
          <w:i/>
          <w:iCs/>
          <w:color w:val="000000"/>
          <w:sz w:val="20"/>
          <w:szCs w:val="20"/>
          <w:shd w:val="clear" w:color="auto" w:fill="FFFFFF"/>
        </w:rPr>
        <w:t>Den Glemte Kostnaden Når Staten Bygger Nytt Concept Arbeidsrapport 2018-2</w:t>
      </w:r>
      <w:r w:rsidRPr="00907907">
        <w:rPr>
          <w:rFonts w:eastAsia="Times New Roman" w:cs="Times New Roman"/>
          <w:color w:val="000000"/>
          <w:sz w:val="20"/>
          <w:szCs w:val="20"/>
          <w:shd w:val="clear" w:color="auto" w:fill="FFFFFF"/>
        </w:rPr>
        <w:t>, Concept Arbeidsrapporter (Trondheim, 2018).</w:t>
      </w:r>
    </w:p>
    <w:p w14:paraId="7403A66A" w14:textId="5D4AAE25" w:rsidR="00C22AF4" w:rsidRPr="00907907" w:rsidRDefault="00C22AF4">
      <w:pPr>
        <w:pStyle w:val="EndnoteText"/>
        <w:rPr>
          <w:rFonts w:cs="Times New Roman"/>
          <w:sz w:val="20"/>
          <w:szCs w:val="20"/>
        </w:rPr>
      </w:pPr>
    </w:p>
  </w:endnote>
  <w:endnote w:id="3">
    <w:p w14:paraId="4800BBAF" w14:textId="409638EE" w:rsidR="00C22AF4" w:rsidRPr="00907907" w:rsidRDefault="00C22AF4" w:rsidP="00B43F86">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Mari Oline Giske Stendebakken, ‘Er Eldre Bygninger Uten Vern Uten Verdi?’ (Oslo, 2017), pp. 50-57.</w:t>
      </w:r>
    </w:p>
    <w:p w14:paraId="1DBF765E" w14:textId="2D471560" w:rsidR="00C22AF4" w:rsidRPr="00907907" w:rsidRDefault="00C22AF4">
      <w:pPr>
        <w:pStyle w:val="EndnoteText"/>
        <w:rPr>
          <w:rFonts w:cs="Times New Roman"/>
          <w:sz w:val="20"/>
          <w:szCs w:val="20"/>
        </w:rPr>
      </w:pPr>
    </w:p>
  </w:endnote>
  <w:endnote w:id="4">
    <w:p w14:paraId="614EDC4E" w14:textId="524F4A89" w:rsidR="00C22AF4" w:rsidRPr="00907907" w:rsidRDefault="00C22AF4" w:rsidP="007B71BE">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‘Concept's Role - NTNU’, </w:t>
      </w:r>
      <w:r w:rsidRPr="00907907">
        <w:rPr>
          <w:rFonts w:eastAsia="Times New Roman" w:cs="Times New Roman"/>
          <w:i/>
          <w:iCs/>
          <w:color w:val="000000"/>
          <w:sz w:val="20"/>
          <w:szCs w:val="20"/>
          <w:shd w:val="clear" w:color="auto" w:fill="FFFFFF"/>
        </w:rPr>
        <w:t>Ntnu.Edu</w:t>
      </w:r>
      <w:r w:rsidRPr="00907907">
        <w:rPr>
          <w:rFonts w:eastAsia="Times New Roman" w:cs="Times New Roman"/>
          <w:color w:val="000000"/>
          <w:sz w:val="20"/>
          <w:szCs w:val="20"/>
          <w:shd w:val="clear" w:color="auto" w:fill="FFFFFF"/>
        </w:rPr>
        <w:t>. (2019), &lt;https://www.ntnu.edu/web/concept/concept-s-role&gt; [accessed 13 April 2019].</w:t>
      </w:r>
    </w:p>
    <w:p w14:paraId="4E0A2AB4" w14:textId="0234E392" w:rsidR="00C22AF4" w:rsidRPr="00907907" w:rsidRDefault="00C22AF4">
      <w:pPr>
        <w:pStyle w:val="EndnoteText"/>
        <w:rPr>
          <w:rFonts w:cs="Times New Roman"/>
          <w:sz w:val="20"/>
          <w:szCs w:val="20"/>
        </w:rPr>
      </w:pPr>
    </w:p>
  </w:endnote>
  <w:endnote w:id="5">
    <w:p w14:paraId="792A4AA7" w14:textId="151C4E56" w:rsidR="00C22AF4" w:rsidRPr="00907907" w:rsidRDefault="00C22AF4" w:rsidP="00BD4830">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Lovdata, ‘Lov Om Kulturminner [Kulturminneloven] - Lovdata’, </w:t>
      </w:r>
      <w:r w:rsidRPr="00907907">
        <w:rPr>
          <w:rFonts w:eastAsia="Times New Roman" w:cs="Times New Roman"/>
          <w:i/>
          <w:iCs/>
          <w:color w:val="000000"/>
          <w:sz w:val="20"/>
          <w:szCs w:val="20"/>
          <w:shd w:val="clear" w:color="auto" w:fill="FFFFFF"/>
        </w:rPr>
        <w:t>Lovdata. No</w:t>
      </w:r>
      <w:r w:rsidRPr="00907907">
        <w:rPr>
          <w:rFonts w:eastAsia="Times New Roman" w:cs="Times New Roman"/>
          <w:color w:val="000000"/>
          <w:sz w:val="20"/>
          <w:szCs w:val="20"/>
          <w:shd w:val="clear" w:color="auto" w:fill="FFFFFF"/>
        </w:rPr>
        <w:t xml:space="preserve"> (2018), &lt;https://lovdata.no/dokument/NL/lov/1978-06-09-50?q=kulturminnelov&gt; [accessed 21 November 2018].</w:t>
      </w:r>
    </w:p>
    <w:p w14:paraId="6B3A6F38" w14:textId="42E6FAF3" w:rsidR="00C22AF4" w:rsidRPr="00907907" w:rsidRDefault="00C22AF4">
      <w:pPr>
        <w:pStyle w:val="EndnoteText"/>
        <w:rPr>
          <w:rFonts w:cs="Times New Roman"/>
          <w:sz w:val="20"/>
          <w:szCs w:val="20"/>
        </w:rPr>
      </w:pPr>
    </w:p>
  </w:endnote>
  <w:endnote w:id="6">
    <w:p w14:paraId="1A51BC7B" w14:textId="6936CFA5" w:rsidR="00C22AF4" w:rsidRPr="00907907" w:rsidRDefault="00C22AF4" w:rsidP="00364096">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Gunilla Öberg, ‘Facilitating Interdisciplinary Work: Using Quality Assessment To Create Common Ground’, </w:t>
      </w:r>
      <w:r w:rsidRPr="00907907">
        <w:rPr>
          <w:rFonts w:eastAsia="Times New Roman" w:cs="Times New Roman"/>
          <w:i/>
          <w:iCs/>
          <w:color w:val="000000"/>
          <w:sz w:val="20"/>
          <w:szCs w:val="20"/>
          <w:shd w:val="clear" w:color="auto" w:fill="FFFFFF"/>
        </w:rPr>
        <w:t>Higher Education</w:t>
      </w:r>
      <w:r w:rsidRPr="00907907">
        <w:rPr>
          <w:rFonts w:eastAsia="Times New Roman" w:cs="Times New Roman"/>
          <w:color w:val="000000"/>
          <w:sz w:val="20"/>
          <w:szCs w:val="20"/>
          <w:shd w:val="clear" w:color="auto" w:fill="FFFFFF"/>
        </w:rPr>
        <w:t>, 57/4 (2008), pp. 405-415.</w:t>
      </w:r>
    </w:p>
    <w:p w14:paraId="64CB69BB" w14:textId="3440701B" w:rsidR="00C22AF4" w:rsidRPr="00907907" w:rsidRDefault="00C22AF4">
      <w:pPr>
        <w:pStyle w:val="EndnoteText"/>
        <w:rPr>
          <w:rFonts w:cs="Times New Roman"/>
          <w:sz w:val="20"/>
          <w:szCs w:val="20"/>
        </w:rPr>
      </w:pPr>
    </w:p>
  </w:endnote>
  <w:endnote w:id="7">
    <w:p w14:paraId="01022D65" w14:textId="12B4D358" w:rsidR="00C22AF4" w:rsidRPr="00907907" w:rsidRDefault="00C22AF4" w:rsidP="0020720C">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 xml:space="preserve">Finansdepartementet, "Utarbeidelse Av KVU/KL Dokumenter" (2010), p. 4, &lt;https://www.ntnu.no/documents/1261860271/1263838555/Veileder%20nr%209%20Utarbeidelse%20av%20KVU%20dokumenter.pdf&gt; [accessed 27 November 2018]. </w:t>
      </w:r>
    </w:p>
    <w:p w14:paraId="426E1C5E" w14:textId="4A1CD003" w:rsidR="00C22AF4" w:rsidRPr="00907907" w:rsidRDefault="00C22AF4">
      <w:pPr>
        <w:pStyle w:val="EndnoteText"/>
        <w:rPr>
          <w:rFonts w:cs="Times New Roman"/>
          <w:sz w:val="20"/>
          <w:szCs w:val="20"/>
        </w:rPr>
      </w:pPr>
    </w:p>
  </w:endnote>
  <w:endnote w:id="8">
    <w:p w14:paraId="53ED1C6F" w14:textId="697EF77F" w:rsidR="00C22AF4" w:rsidRPr="00907907" w:rsidRDefault="00C22AF4" w:rsidP="008E3B7C">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Kunnskapsdepartementet utført av Rambøll, </w:t>
      </w:r>
      <w:r w:rsidRPr="00907907">
        <w:rPr>
          <w:rFonts w:eastAsia="Times New Roman" w:cs="Times New Roman"/>
          <w:i/>
          <w:iCs/>
          <w:color w:val="000000"/>
          <w:sz w:val="20"/>
          <w:szCs w:val="20"/>
          <w:shd w:val="clear" w:color="auto" w:fill="FFFFFF"/>
        </w:rPr>
        <w:t>KVU Framtidig Lokalisering Av Campus NTNU Konseptvalgutredning</w:t>
      </w:r>
      <w:r w:rsidRPr="00907907">
        <w:rPr>
          <w:rFonts w:eastAsia="Times New Roman" w:cs="Times New Roman"/>
          <w:color w:val="000000"/>
          <w:sz w:val="20"/>
          <w:szCs w:val="20"/>
          <w:shd w:val="clear" w:color="auto" w:fill="FFFFFF"/>
        </w:rPr>
        <w:t> (Trondheim, 2014), pp. 38-43.</w:t>
      </w:r>
    </w:p>
    <w:p w14:paraId="0C1496A8" w14:textId="335A6CC0" w:rsidR="00C22AF4" w:rsidRPr="00907907" w:rsidRDefault="00C22AF4">
      <w:pPr>
        <w:pStyle w:val="EndnoteText"/>
        <w:rPr>
          <w:rFonts w:cs="Times New Roman"/>
          <w:sz w:val="20"/>
          <w:szCs w:val="20"/>
        </w:rPr>
      </w:pPr>
    </w:p>
  </w:endnote>
  <w:endnote w:id="9">
    <w:p w14:paraId="78D7A9B9" w14:textId="0E079DF4" w:rsidR="00C22AF4" w:rsidRPr="00907907" w:rsidRDefault="00C22AF4" w:rsidP="00BB7DAC">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Kunnskapsdepartementet og Finansdepartementet, utført av Metier og Møreforsking Molde, </w:t>
      </w:r>
      <w:r w:rsidRPr="00907907">
        <w:rPr>
          <w:rFonts w:eastAsia="Times New Roman" w:cs="Times New Roman"/>
          <w:i/>
          <w:iCs/>
          <w:color w:val="000000"/>
          <w:sz w:val="20"/>
          <w:szCs w:val="20"/>
          <w:shd w:val="clear" w:color="auto" w:fill="FFFFFF"/>
        </w:rPr>
        <w:t>Kvalitetssikring Av Konseptvalg, Framtidig Lokalisering Av Campus NTNU</w:t>
      </w:r>
      <w:r w:rsidRPr="00907907">
        <w:rPr>
          <w:rFonts w:eastAsia="Times New Roman" w:cs="Times New Roman"/>
          <w:color w:val="000000"/>
          <w:sz w:val="20"/>
          <w:szCs w:val="20"/>
          <w:shd w:val="clear" w:color="auto" w:fill="FFFFFF"/>
        </w:rPr>
        <w:t xml:space="preserve"> (2015), pp. 12-14.</w:t>
      </w:r>
    </w:p>
    <w:p w14:paraId="5574CC84" w14:textId="56BFF4F5" w:rsidR="00C22AF4" w:rsidRPr="00907907" w:rsidRDefault="00C22AF4">
      <w:pPr>
        <w:pStyle w:val="EndnoteText"/>
        <w:rPr>
          <w:rFonts w:cs="Times New Roman"/>
          <w:sz w:val="20"/>
          <w:szCs w:val="20"/>
        </w:rPr>
      </w:pPr>
    </w:p>
  </w:endnote>
  <w:endnote w:id="10">
    <w:p w14:paraId="019D4939" w14:textId="7FADF6D1" w:rsidR="00C22AF4" w:rsidRPr="00907907" w:rsidRDefault="00C22AF4" w:rsidP="009F7721">
      <w:pPr>
        <w:rPr>
          <w:rFonts w:eastAsia="Times New Roman" w:cs="Times New Roman"/>
          <w:color w:val="000000"/>
          <w:sz w:val="20"/>
          <w:szCs w:val="20"/>
          <w:shd w:val="clear" w:color="auto" w:fill="FFFFFF"/>
        </w:rPr>
      </w:pPr>
      <w:r w:rsidRPr="00907907">
        <w:rPr>
          <w:rStyle w:val="EndnoteReference"/>
          <w:sz w:val="20"/>
          <w:szCs w:val="20"/>
        </w:rPr>
        <w:endnoteRef/>
      </w:r>
      <w:r w:rsidRPr="00907907">
        <w:rPr>
          <w:sz w:val="20"/>
          <w:szCs w:val="20"/>
        </w:rPr>
        <w:t xml:space="preserve"> </w:t>
      </w:r>
      <w:r w:rsidRPr="00907907">
        <w:rPr>
          <w:rFonts w:eastAsia="Times New Roman" w:cs="Times New Roman"/>
          <w:color w:val="000000"/>
          <w:sz w:val="20"/>
          <w:szCs w:val="20"/>
          <w:shd w:val="clear" w:color="auto" w:fill="FFFFFF"/>
        </w:rPr>
        <w:t xml:space="preserve">Lovdata, ‘Lov Om Kulturminner [Kulturminneloven] - Lovdata’, Lovdata.No, 2018 </w:t>
      </w:r>
    </w:p>
    <w:p w14:paraId="67FA2C95" w14:textId="5CB4BC8E" w:rsidR="00C22AF4" w:rsidRPr="00907907" w:rsidRDefault="00C22AF4" w:rsidP="009F7721">
      <w:pPr>
        <w:rPr>
          <w:rFonts w:eastAsia="Times New Roman" w:cs="Times New Roman"/>
          <w:color w:val="000000"/>
          <w:sz w:val="20"/>
          <w:szCs w:val="20"/>
          <w:shd w:val="clear" w:color="auto" w:fill="FFFFFF"/>
        </w:rPr>
      </w:pPr>
    </w:p>
  </w:endnote>
  <w:endnote w:id="11">
    <w:p w14:paraId="79BFB693" w14:textId="554363D2" w:rsidR="00C22AF4" w:rsidRPr="00907907" w:rsidRDefault="00C22AF4" w:rsidP="004D1610">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Oslo Economics, Snøhetta og Atkins, </w:t>
      </w:r>
      <w:r w:rsidRPr="00907907">
        <w:rPr>
          <w:rFonts w:eastAsia="Times New Roman" w:cs="Times New Roman"/>
          <w:i/>
          <w:iCs/>
          <w:color w:val="000000"/>
          <w:sz w:val="20"/>
          <w:szCs w:val="20"/>
          <w:shd w:val="clear" w:color="auto" w:fill="FFFFFF"/>
        </w:rPr>
        <w:t>Alternativanalyse For Konseptvalgutredning Tullinløkka Utarbeidet For Statsbygg</w:t>
      </w:r>
      <w:r w:rsidRPr="00907907">
        <w:rPr>
          <w:rFonts w:eastAsia="Times New Roman" w:cs="Times New Roman"/>
          <w:color w:val="000000"/>
          <w:sz w:val="20"/>
          <w:szCs w:val="20"/>
          <w:shd w:val="clear" w:color="auto" w:fill="FFFFFF"/>
        </w:rPr>
        <w:t xml:space="preserve"> (2016), p. 64.</w:t>
      </w:r>
    </w:p>
    <w:p w14:paraId="7528532B" w14:textId="00A842C9" w:rsidR="00C22AF4" w:rsidRPr="00907907" w:rsidRDefault="00C22AF4">
      <w:pPr>
        <w:pStyle w:val="EndnoteText"/>
        <w:rPr>
          <w:rFonts w:cs="Times New Roman"/>
          <w:sz w:val="20"/>
          <w:szCs w:val="20"/>
        </w:rPr>
      </w:pPr>
    </w:p>
  </w:endnote>
  <w:endnote w:id="12">
    <w:p w14:paraId="616EC3B0" w14:textId="1C54944D" w:rsidR="00C22AF4" w:rsidRPr="00907907" w:rsidRDefault="00C22AF4" w:rsidP="00270631">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Kari Hovin Kjølle and Siri Hunnes Blakstad, ‘Architects And End Users: Boundary Objects In Participatory Briefing And Design’, </w:t>
      </w:r>
      <w:r w:rsidRPr="00907907">
        <w:rPr>
          <w:rFonts w:eastAsia="Times New Roman" w:cs="Times New Roman"/>
          <w:i/>
          <w:iCs/>
          <w:color w:val="000000"/>
          <w:sz w:val="20"/>
          <w:szCs w:val="20"/>
          <w:shd w:val="clear" w:color="auto" w:fill="FFFFFF"/>
        </w:rPr>
        <w:t>Nordic Journal Of Architectural Research</w:t>
      </w:r>
      <w:r w:rsidRPr="00907907">
        <w:rPr>
          <w:rFonts w:eastAsia="Times New Roman" w:cs="Times New Roman"/>
          <w:color w:val="000000"/>
          <w:sz w:val="20"/>
          <w:szCs w:val="20"/>
          <w:shd w:val="clear" w:color="auto" w:fill="FFFFFF"/>
        </w:rPr>
        <w:t>, 1 (2014), pp. 35-64.</w:t>
      </w:r>
    </w:p>
    <w:p w14:paraId="1952874E" w14:textId="1D614E82" w:rsidR="00C22AF4" w:rsidRPr="00907907" w:rsidRDefault="00C22AF4">
      <w:pPr>
        <w:pStyle w:val="EndnoteText"/>
        <w:rPr>
          <w:rFonts w:cs="Times New Roman"/>
          <w:sz w:val="20"/>
          <w:szCs w:val="20"/>
        </w:rPr>
      </w:pPr>
    </w:p>
  </w:endnote>
  <w:endnote w:id="13">
    <w:p w14:paraId="70732BEF" w14:textId="72B99294" w:rsidR="00C22AF4" w:rsidRPr="00907907" w:rsidRDefault="00C22AF4" w:rsidP="00203AE7">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Mari Oline Giske Stendebakken, ‘Kulturarvens Samfunnsøkonomiske Verdi’, </w:t>
      </w:r>
      <w:r w:rsidRPr="00907907">
        <w:rPr>
          <w:rFonts w:eastAsia="Times New Roman" w:cs="Times New Roman"/>
          <w:i/>
          <w:iCs/>
          <w:color w:val="000000"/>
          <w:sz w:val="20"/>
          <w:szCs w:val="20"/>
          <w:shd w:val="clear" w:color="auto" w:fill="FFFFFF"/>
        </w:rPr>
        <w:t>Arkitektur N</w:t>
      </w:r>
      <w:r w:rsidRPr="00907907">
        <w:rPr>
          <w:rFonts w:eastAsia="Times New Roman" w:cs="Times New Roman"/>
          <w:color w:val="000000"/>
          <w:sz w:val="20"/>
          <w:szCs w:val="20"/>
          <w:shd w:val="clear" w:color="auto" w:fill="FFFFFF"/>
        </w:rPr>
        <w:t>o. 3 (2018), pp. 48-55.</w:t>
      </w:r>
    </w:p>
    <w:p w14:paraId="12A83C19" w14:textId="02C91ED4" w:rsidR="00C22AF4" w:rsidRPr="00907907" w:rsidRDefault="00C22AF4">
      <w:pPr>
        <w:pStyle w:val="EndnoteText"/>
        <w:rPr>
          <w:rFonts w:cs="Times New Roman"/>
          <w:sz w:val="20"/>
          <w:szCs w:val="20"/>
        </w:rPr>
      </w:pPr>
    </w:p>
  </w:endnote>
  <w:endnote w:id="14">
    <w:p w14:paraId="4C10B59C" w14:textId="54391EB7" w:rsidR="00C22AF4" w:rsidRPr="00907907" w:rsidRDefault="00C22AF4" w:rsidP="00361CD3">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AS og Møreforsking Molde AS, </w:t>
      </w:r>
      <w:r w:rsidRPr="00907907">
        <w:rPr>
          <w:rFonts w:eastAsia="Times New Roman" w:cs="Times New Roman"/>
          <w:i/>
          <w:iCs/>
          <w:color w:val="000000"/>
          <w:sz w:val="20"/>
          <w:szCs w:val="20"/>
          <w:shd w:val="clear" w:color="auto" w:fill="FFFFFF"/>
        </w:rPr>
        <w:t>Kvalitetssikring Fase 1 (KS1 – Konseptvalg) Av Kulturhistorisk Museum Rapport Til Finansdepartementet Og Kunnskapsdepartementet</w:t>
      </w:r>
      <w:r w:rsidRPr="00907907">
        <w:rPr>
          <w:rFonts w:eastAsia="Times New Roman" w:cs="Times New Roman"/>
          <w:color w:val="000000"/>
          <w:sz w:val="20"/>
          <w:szCs w:val="20"/>
          <w:shd w:val="clear" w:color="auto" w:fill="FFFFFF"/>
        </w:rPr>
        <w:t xml:space="preserve"> (2009), pp. 70, 90.</w:t>
      </w:r>
    </w:p>
    <w:p w14:paraId="6EF3C06A" w14:textId="0E264AF5" w:rsidR="00C22AF4" w:rsidRPr="00907907" w:rsidRDefault="00C22AF4">
      <w:pPr>
        <w:pStyle w:val="EndnoteText"/>
        <w:rPr>
          <w:rFonts w:cs="Times New Roman"/>
          <w:sz w:val="20"/>
          <w:szCs w:val="20"/>
        </w:rPr>
      </w:pPr>
    </w:p>
  </w:endnote>
  <w:endnote w:id="15">
    <w:p w14:paraId="7BD5B309" w14:textId="2E5C4280" w:rsidR="00C22AF4" w:rsidRPr="00907907" w:rsidRDefault="00C22AF4" w:rsidP="00C312B9">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pp. 7, 92, 96.</w:t>
      </w:r>
    </w:p>
    <w:p w14:paraId="3BDF0544" w14:textId="3FC88C30" w:rsidR="00C22AF4" w:rsidRPr="00907907" w:rsidRDefault="00C22AF4">
      <w:pPr>
        <w:pStyle w:val="EndnoteText"/>
        <w:rPr>
          <w:rFonts w:cs="Times New Roman"/>
          <w:sz w:val="20"/>
          <w:szCs w:val="20"/>
        </w:rPr>
      </w:pPr>
    </w:p>
  </w:endnote>
  <w:endnote w:id="16">
    <w:p w14:paraId="4F2C4D95" w14:textId="758452E4" w:rsidR="00C22AF4" w:rsidRPr="00907907" w:rsidRDefault="00C22AF4" w:rsidP="00231352">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‘Historikk - Statsbygg.No’, </w:t>
      </w:r>
      <w:r w:rsidRPr="00907907">
        <w:rPr>
          <w:rFonts w:eastAsia="Times New Roman" w:cs="Times New Roman"/>
          <w:i/>
          <w:iCs/>
          <w:color w:val="000000"/>
          <w:sz w:val="20"/>
          <w:szCs w:val="20"/>
          <w:shd w:val="clear" w:color="auto" w:fill="FFFFFF"/>
        </w:rPr>
        <w:t>Statsbygg.No</w:t>
      </w:r>
      <w:r w:rsidRPr="00907907">
        <w:rPr>
          <w:rFonts w:eastAsia="Times New Roman" w:cs="Times New Roman"/>
          <w:color w:val="000000"/>
          <w:sz w:val="20"/>
          <w:szCs w:val="20"/>
          <w:shd w:val="clear" w:color="auto" w:fill="FFFFFF"/>
        </w:rPr>
        <w:t>, (2019), &lt;https://www.statsbygg.no/Prosjekter-og-eiendommer/Byggeprosjekter/Bergen-tinghus/Historikk/&gt; [accessed 13 April 2019].</w:t>
      </w:r>
    </w:p>
    <w:p w14:paraId="5343A4D7" w14:textId="56435239" w:rsidR="00C22AF4" w:rsidRPr="00907907" w:rsidRDefault="00C22AF4">
      <w:pPr>
        <w:pStyle w:val="EndnoteText"/>
        <w:rPr>
          <w:rFonts w:cs="Times New Roman"/>
          <w:sz w:val="20"/>
          <w:szCs w:val="20"/>
        </w:rPr>
      </w:pPr>
    </w:p>
  </w:endnote>
  <w:endnote w:id="17">
    <w:p w14:paraId="5F9BF47C" w14:textId="2136914D" w:rsidR="00C22AF4" w:rsidRPr="00907907" w:rsidRDefault="00C22AF4" w:rsidP="00A6215B">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Arne Gunnarsjaa, ‘Funksjonalisme’, </w:t>
      </w:r>
      <w:r w:rsidRPr="00907907">
        <w:rPr>
          <w:rFonts w:eastAsia="Times New Roman" w:cs="Times New Roman"/>
          <w:i/>
          <w:iCs/>
          <w:color w:val="000000"/>
          <w:sz w:val="20"/>
          <w:szCs w:val="20"/>
          <w:shd w:val="clear" w:color="auto" w:fill="FFFFFF"/>
        </w:rPr>
        <w:t>Arkitekturleksikon</w:t>
      </w:r>
      <w:r w:rsidRPr="00907907">
        <w:rPr>
          <w:rFonts w:eastAsia="Times New Roman" w:cs="Times New Roman"/>
          <w:color w:val="000000"/>
          <w:sz w:val="20"/>
          <w:szCs w:val="20"/>
          <w:shd w:val="clear" w:color="auto" w:fill="FFFFFF"/>
        </w:rPr>
        <w:t> (1999), pp. 268-270.</w:t>
      </w:r>
    </w:p>
    <w:p w14:paraId="2F555AAF" w14:textId="18234A5B" w:rsidR="00C22AF4" w:rsidRPr="00907907" w:rsidRDefault="00C22AF4">
      <w:pPr>
        <w:pStyle w:val="EndnoteText"/>
        <w:rPr>
          <w:rFonts w:cs="Times New Roman"/>
          <w:sz w:val="20"/>
          <w:szCs w:val="20"/>
        </w:rPr>
      </w:pPr>
    </w:p>
  </w:endnote>
  <w:endnote w:id="18">
    <w:p w14:paraId="2B507A72" w14:textId="457109D8" w:rsidR="00C22AF4" w:rsidRPr="00907907" w:rsidRDefault="00C22AF4" w:rsidP="00771AC8">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Riksantikvaren, </w:t>
      </w:r>
      <w:r w:rsidRPr="00907907">
        <w:rPr>
          <w:rFonts w:eastAsia="Times New Roman" w:cs="Times New Roman"/>
          <w:i/>
          <w:iCs/>
          <w:color w:val="000000"/>
          <w:sz w:val="20"/>
          <w:szCs w:val="20"/>
          <w:shd w:val="clear" w:color="auto" w:fill="FFFFFF"/>
        </w:rPr>
        <w:t>Forskrift Om Fredning Av Statens Kulturhistoriske Eiendommer Kapittel 10 Fredete Eiendommer I Landsverneplanen For Justissektoren Vedlegg 13 Bergen Tinghus</w:t>
      </w:r>
      <w:r w:rsidRPr="00907907">
        <w:rPr>
          <w:rFonts w:eastAsia="Times New Roman" w:cs="Times New Roman"/>
          <w:color w:val="000000"/>
          <w:sz w:val="20"/>
          <w:szCs w:val="20"/>
          <w:shd w:val="clear" w:color="auto" w:fill="FFFFFF"/>
        </w:rPr>
        <w:t xml:space="preserve"> (2014).</w:t>
      </w:r>
    </w:p>
    <w:p w14:paraId="7EAF5A99" w14:textId="5EBF5CC3" w:rsidR="00C22AF4" w:rsidRPr="00907907" w:rsidRDefault="00C22AF4">
      <w:pPr>
        <w:pStyle w:val="EndnoteText"/>
        <w:rPr>
          <w:rFonts w:cs="Times New Roman"/>
          <w:sz w:val="20"/>
          <w:szCs w:val="20"/>
        </w:rPr>
      </w:pPr>
    </w:p>
  </w:endnote>
  <w:endnote w:id="19">
    <w:p w14:paraId="29B71A7D" w14:textId="1C937944" w:rsidR="00C22AF4" w:rsidRPr="00907907" w:rsidRDefault="00C22AF4" w:rsidP="0012575C">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Kultur og kirkedepartementet i samarbeid med Nasjonalmuseet for kunst, arkitektur og design, Statsbygg og Entra Eiendom AS med utgangspunkt i en mal, laget av Metier AS, </w:t>
      </w:r>
      <w:r w:rsidRPr="00907907">
        <w:rPr>
          <w:rFonts w:eastAsia="Times New Roman" w:cs="Times New Roman"/>
          <w:i/>
          <w:iCs/>
          <w:color w:val="000000"/>
          <w:sz w:val="20"/>
          <w:szCs w:val="20"/>
          <w:shd w:val="clear" w:color="auto" w:fill="FFFFFF"/>
        </w:rPr>
        <w:t>Nasjonalmuseet For Kunst, Arkitektur Og Design Utbyggingsprosjekt Plan For Investering Og Drift Konseptvalgfasen Revidert Utgave 2</w:t>
      </w:r>
      <w:r w:rsidRPr="00907907">
        <w:rPr>
          <w:rFonts w:eastAsia="Times New Roman" w:cs="Times New Roman"/>
          <w:color w:val="000000"/>
          <w:sz w:val="20"/>
          <w:szCs w:val="20"/>
          <w:shd w:val="clear" w:color="auto" w:fill="FFFFFF"/>
        </w:rPr>
        <w:t xml:space="preserve"> (2006), p. 47.</w:t>
      </w:r>
    </w:p>
    <w:p w14:paraId="420C00A8" w14:textId="567EF177" w:rsidR="00C22AF4" w:rsidRPr="00907907" w:rsidRDefault="00C22AF4">
      <w:pPr>
        <w:pStyle w:val="EndnoteText"/>
        <w:rPr>
          <w:rFonts w:cs="Times New Roman"/>
          <w:sz w:val="20"/>
          <w:szCs w:val="20"/>
        </w:rPr>
      </w:pPr>
    </w:p>
  </w:endnote>
  <w:endnote w:id="20">
    <w:p w14:paraId="7DC3C9B4" w14:textId="68F87B31" w:rsidR="00C22AF4" w:rsidRPr="00907907" w:rsidRDefault="00C22AF4" w:rsidP="003235BF">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Riksantikvaren, ‘Freder 13 Historiske Kulturbygg - Riksantikvaren’, </w:t>
      </w:r>
      <w:r w:rsidRPr="00907907">
        <w:rPr>
          <w:rFonts w:eastAsia="Times New Roman" w:cs="Times New Roman"/>
          <w:i/>
          <w:iCs/>
          <w:color w:val="000000"/>
          <w:sz w:val="20"/>
          <w:szCs w:val="20"/>
          <w:shd w:val="clear" w:color="auto" w:fill="FFFFFF"/>
        </w:rPr>
        <w:t>Riksantikvaren.No</w:t>
      </w:r>
      <w:r w:rsidRPr="00907907">
        <w:rPr>
          <w:rFonts w:eastAsia="Times New Roman" w:cs="Times New Roman"/>
          <w:color w:val="000000"/>
          <w:sz w:val="20"/>
          <w:szCs w:val="20"/>
          <w:shd w:val="clear" w:color="auto" w:fill="FFFFFF"/>
        </w:rPr>
        <w:t xml:space="preserve"> (2018), &lt;https://www.riksantikvaren.no/Aktuelt/Nyheter/Freder-13-historiske-kulturbygg&gt; [accessed 28 January 2019].</w:t>
      </w:r>
    </w:p>
    <w:p w14:paraId="1EDE515A" w14:textId="23D23581" w:rsidR="00C22AF4" w:rsidRPr="00907907" w:rsidRDefault="00C22AF4">
      <w:pPr>
        <w:pStyle w:val="EndnoteText"/>
        <w:rPr>
          <w:rFonts w:cs="Times New Roman"/>
          <w:sz w:val="20"/>
          <w:szCs w:val="20"/>
        </w:rPr>
      </w:pPr>
    </w:p>
  </w:endnote>
  <w:endnote w:id="21">
    <w:p w14:paraId="73717666" w14:textId="31322245"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 6.</w:t>
      </w:r>
    </w:p>
    <w:p w14:paraId="5EB1077A" w14:textId="77777777" w:rsidR="00C22AF4" w:rsidRPr="00907907" w:rsidRDefault="00C22AF4">
      <w:pPr>
        <w:pStyle w:val="EndnoteText"/>
        <w:rPr>
          <w:rFonts w:cs="Times New Roman"/>
          <w:sz w:val="20"/>
          <w:szCs w:val="20"/>
        </w:rPr>
      </w:pPr>
    </w:p>
  </w:endnote>
  <w:endnote w:id="22">
    <w:p w14:paraId="08515D6F" w14:textId="1F9AF76C" w:rsidR="00C22AF4" w:rsidRPr="00907907" w:rsidRDefault="00C22AF4" w:rsidP="00C87966">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Holte Consulting, SNF, A-2 og Proba har på oppdrag fra Justis- og beredskapsdepartementet og Finansdepartementet, </w:t>
      </w:r>
      <w:r w:rsidRPr="00907907">
        <w:rPr>
          <w:rFonts w:eastAsia="Times New Roman" w:cs="Times New Roman"/>
          <w:i/>
          <w:iCs/>
          <w:color w:val="000000"/>
          <w:sz w:val="20"/>
          <w:szCs w:val="20"/>
          <w:shd w:val="clear" w:color="auto" w:fill="FFFFFF"/>
        </w:rPr>
        <w:t>Kvalitetssikringsrapport Ks1 Av Fremtidig Rettsbygning I Bergen Utarbeidet For Finansdepartementet Og Justis- Og Beredskapsdepartementet</w:t>
      </w:r>
      <w:r w:rsidRPr="00907907">
        <w:rPr>
          <w:rFonts w:eastAsia="Times New Roman" w:cs="Times New Roman"/>
          <w:color w:val="000000"/>
          <w:sz w:val="20"/>
          <w:szCs w:val="20"/>
          <w:shd w:val="clear" w:color="auto" w:fill="FFFFFF"/>
        </w:rPr>
        <w:t xml:space="preserve"> (2017), p. 5.</w:t>
      </w:r>
    </w:p>
    <w:p w14:paraId="130ED484" w14:textId="5E4E8561" w:rsidR="00C22AF4" w:rsidRPr="00907907" w:rsidRDefault="00C22AF4">
      <w:pPr>
        <w:pStyle w:val="EndnoteText"/>
        <w:rPr>
          <w:rFonts w:cs="Times New Roman"/>
          <w:sz w:val="20"/>
          <w:szCs w:val="20"/>
        </w:rPr>
      </w:pPr>
    </w:p>
  </w:endnote>
  <w:endnote w:id="23">
    <w:p w14:paraId="7F0AB2BC" w14:textId="4041C067" w:rsidR="00C22AF4" w:rsidRPr="00907907" w:rsidRDefault="00C22AF4" w:rsidP="008D0FA9">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Riksantikvaren, ‘Bergen Tinghus - Ny Revisjon Av Fredningsomfang - Bergen Kommune - Varsel Om Ytterligere Endring Av Forskrift Om Fredning - Høringsbrev’, </w:t>
      </w:r>
      <w:r w:rsidRPr="00907907">
        <w:rPr>
          <w:rFonts w:eastAsia="Times New Roman" w:cs="Times New Roman"/>
          <w:i/>
          <w:iCs/>
          <w:color w:val="000000"/>
          <w:sz w:val="20"/>
          <w:szCs w:val="20"/>
          <w:shd w:val="clear" w:color="auto" w:fill="FFFFFF"/>
        </w:rPr>
        <w:t>Bergen.Kommune.No</w:t>
      </w:r>
      <w:r w:rsidRPr="00907907">
        <w:rPr>
          <w:rFonts w:eastAsia="Times New Roman" w:cs="Times New Roman"/>
          <w:color w:val="000000"/>
          <w:sz w:val="20"/>
          <w:szCs w:val="20"/>
          <w:shd w:val="clear" w:color="auto" w:fill="FFFFFF"/>
        </w:rPr>
        <w:t>, (2019), &lt;https://www.bergen.kommune.no/politikere-utvalg/api/fil/1374753/Horing-Bergen-tinghus-Ny-revisjon-av-fredningsomfang-Endring-av-forskrift-om-fredning&gt; [accessed 13 April 2019].</w:t>
      </w:r>
    </w:p>
    <w:p w14:paraId="26950C31" w14:textId="351772A1" w:rsidR="00C22AF4" w:rsidRPr="00907907" w:rsidRDefault="00C22AF4">
      <w:pPr>
        <w:pStyle w:val="EndnoteText"/>
        <w:rPr>
          <w:rFonts w:cs="Times New Roman"/>
          <w:sz w:val="20"/>
          <w:szCs w:val="20"/>
        </w:rPr>
      </w:pPr>
    </w:p>
  </w:endnote>
  <w:endnote w:id="24">
    <w:p w14:paraId="1BBF118A" w14:textId="357EFC72" w:rsidR="00C22AF4" w:rsidRPr="00907907" w:rsidRDefault="00C22AF4" w:rsidP="006675E4">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i/>
          <w:iCs/>
          <w:color w:val="000000"/>
          <w:sz w:val="20"/>
          <w:szCs w:val="20"/>
          <w:shd w:val="clear" w:color="auto" w:fill="FFFFFF"/>
        </w:rPr>
        <w:t>Konseptvalgutredning For Utvikling Av Nationaltheatret</w:t>
      </w:r>
      <w:r w:rsidRPr="00907907">
        <w:rPr>
          <w:rFonts w:eastAsia="Times New Roman" w:cs="Times New Roman"/>
          <w:color w:val="000000"/>
          <w:sz w:val="20"/>
          <w:szCs w:val="20"/>
          <w:shd w:val="clear" w:color="auto" w:fill="FFFFFF"/>
        </w:rPr>
        <w:t xml:space="preserve"> (2014), p. 87.</w:t>
      </w:r>
    </w:p>
    <w:p w14:paraId="14A7DD36" w14:textId="13E609AA" w:rsidR="00C22AF4" w:rsidRPr="00907907" w:rsidRDefault="00C22AF4">
      <w:pPr>
        <w:pStyle w:val="EndnoteText"/>
        <w:rPr>
          <w:rFonts w:cs="Times New Roman"/>
          <w:sz w:val="20"/>
          <w:szCs w:val="20"/>
        </w:rPr>
      </w:pPr>
    </w:p>
  </w:endnote>
  <w:endnote w:id="25">
    <w:p w14:paraId="0FD83123" w14:textId="63A770C3" w:rsidR="00C22AF4" w:rsidRPr="00907907" w:rsidRDefault="00C22AF4" w:rsidP="008F7B0D">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og Møreforsking Molde, </w:t>
      </w:r>
      <w:r w:rsidRPr="00907907">
        <w:rPr>
          <w:rFonts w:eastAsia="Times New Roman" w:cs="Times New Roman"/>
          <w:i/>
          <w:iCs/>
          <w:color w:val="000000"/>
          <w:sz w:val="20"/>
          <w:szCs w:val="20"/>
          <w:shd w:val="clear" w:color="auto" w:fill="FFFFFF"/>
        </w:rPr>
        <w:t>Kvalitetssikring Fase 1 (KS1 – Konseptvalg) Av Utvikling Av Nationaltheatret Rapport Til Kulturdepartementet Og Finansdepartementet</w:t>
      </w:r>
      <w:r w:rsidRPr="00907907">
        <w:rPr>
          <w:rFonts w:eastAsia="Times New Roman" w:cs="Times New Roman"/>
          <w:color w:val="000000"/>
          <w:sz w:val="20"/>
          <w:szCs w:val="20"/>
          <w:shd w:val="clear" w:color="auto" w:fill="FFFFFF"/>
        </w:rPr>
        <w:t xml:space="preserve"> (2015), p. 59.</w:t>
      </w:r>
    </w:p>
    <w:p w14:paraId="23CB45FC" w14:textId="22DED11C" w:rsidR="00C22AF4" w:rsidRPr="00907907" w:rsidRDefault="00C22AF4">
      <w:pPr>
        <w:pStyle w:val="EndnoteText"/>
        <w:rPr>
          <w:rFonts w:cs="Times New Roman"/>
          <w:sz w:val="20"/>
          <w:szCs w:val="20"/>
        </w:rPr>
      </w:pPr>
    </w:p>
  </w:endnote>
  <w:endnote w:id="26">
    <w:p w14:paraId="3F9F377E" w14:textId="37853B7F"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pp. 5-6, 67, 77-78, 95-96.</w:t>
      </w:r>
    </w:p>
    <w:p w14:paraId="628A8C78" w14:textId="77777777" w:rsidR="00C22AF4" w:rsidRPr="00907907" w:rsidRDefault="00C22AF4">
      <w:pPr>
        <w:pStyle w:val="EndnoteText"/>
        <w:rPr>
          <w:rFonts w:cs="Times New Roman"/>
          <w:sz w:val="20"/>
          <w:szCs w:val="20"/>
        </w:rPr>
      </w:pPr>
    </w:p>
  </w:endnote>
  <w:endnote w:id="27">
    <w:p w14:paraId="43FB8285" w14:textId="299DD064"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Kultur og kirkedepartementet i samarbeid med Nasjonalmuseet for kunst, arkitektur og design, Statsbygg og Entra Eiendom AS Med utgangspunkt i en mal laget av Metier AS, </w:t>
      </w:r>
      <w:r w:rsidRPr="00907907">
        <w:rPr>
          <w:rFonts w:eastAsia="Times New Roman" w:cs="Times New Roman"/>
          <w:i/>
          <w:iCs/>
          <w:color w:val="000000"/>
          <w:sz w:val="20"/>
          <w:szCs w:val="20"/>
          <w:shd w:val="clear" w:color="auto" w:fill="FFFFFF"/>
        </w:rPr>
        <w:t>Nasjonalmuseet For Kunst, Arkitektur Og Design Utbyggingsprosjekt Plan For Investering Og Drift Konseptvalgfasen Revidert Utgave 2</w:t>
      </w:r>
      <w:r w:rsidRPr="00907907">
        <w:rPr>
          <w:rFonts w:eastAsia="Times New Roman" w:cs="Times New Roman"/>
          <w:color w:val="000000"/>
          <w:sz w:val="20"/>
          <w:szCs w:val="20"/>
          <w:shd w:val="clear" w:color="auto" w:fill="FFFFFF"/>
        </w:rPr>
        <w:t xml:space="preserve"> (2006), pp. 34-36.</w:t>
      </w:r>
    </w:p>
    <w:p w14:paraId="783BB567" w14:textId="77777777" w:rsidR="00C22AF4" w:rsidRPr="00907907" w:rsidRDefault="00C22AF4">
      <w:pPr>
        <w:pStyle w:val="EndnoteText"/>
        <w:rPr>
          <w:rFonts w:cs="Times New Roman"/>
          <w:sz w:val="20"/>
          <w:szCs w:val="20"/>
        </w:rPr>
      </w:pPr>
    </w:p>
  </w:endnote>
  <w:endnote w:id="28">
    <w:p w14:paraId="50AC3748" w14:textId="25C9335D"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 2.</w:t>
      </w:r>
    </w:p>
    <w:p w14:paraId="53EE672C" w14:textId="77777777" w:rsidR="00C22AF4" w:rsidRPr="00907907" w:rsidRDefault="00C22AF4">
      <w:pPr>
        <w:pStyle w:val="EndnoteText"/>
        <w:rPr>
          <w:rFonts w:cs="Times New Roman"/>
          <w:sz w:val="20"/>
          <w:szCs w:val="20"/>
        </w:rPr>
      </w:pPr>
    </w:p>
  </w:endnote>
  <w:endnote w:id="29">
    <w:p w14:paraId="21CF9603" w14:textId="50378093"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 23.</w:t>
      </w:r>
    </w:p>
    <w:p w14:paraId="0838757C" w14:textId="77777777" w:rsidR="00C22AF4" w:rsidRPr="00907907" w:rsidRDefault="00C22AF4">
      <w:pPr>
        <w:pStyle w:val="EndnoteText"/>
        <w:rPr>
          <w:rFonts w:cs="Times New Roman"/>
          <w:sz w:val="20"/>
          <w:szCs w:val="20"/>
        </w:rPr>
      </w:pPr>
    </w:p>
  </w:endnote>
  <w:endnote w:id="30">
    <w:p w14:paraId="32760B39" w14:textId="7C6A5331"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 81.</w:t>
      </w:r>
    </w:p>
    <w:p w14:paraId="2A509B3C" w14:textId="77777777" w:rsidR="00C22AF4" w:rsidRPr="00907907" w:rsidRDefault="00C22AF4">
      <w:pPr>
        <w:pStyle w:val="EndnoteText"/>
        <w:rPr>
          <w:rFonts w:cs="Times New Roman"/>
          <w:sz w:val="20"/>
          <w:szCs w:val="20"/>
        </w:rPr>
      </w:pPr>
    </w:p>
  </w:endnote>
  <w:endnote w:id="31">
    <w:p w14:paraId="2C8FE5D0" w14:textId="26506738" w:rsidR="00C22AF4" w:rsidRPr="00907907" w:rsidRDefault="00C22AF4" w:rsidP="00802352">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AS, OPAK AS og LPO arkitekter AS for Fornyings-, administrasjons- og kirkedepartementet, </w:t>
      </w:r>
      <w:r w:rsidRPr="00907907">
        <w:rPr>
          <w:rFonts w:eastAsia="Times New Roman" w:cs="Times New Roman"/>
          <w:i/>
          <w:iCs/>
          <w:color w:val="000000"/>
          <w:sz w:val="20"/>
          <w:szCs w:val="20"/>
          <w:shd w:val="clear" w:color="auto" w:fill="FFFFFF"/>
        </w:rPr>
        <w:t>Konseptvalgutredning For Fremtidig Regjeringskvartal</w:t>
      </w:r>
      <w:r w:rsidRPr="00907907">
        <w:rPr>
          <w:rFonts w:eastAsia="Times New Roman" w:cs="Times New Roman"/>
          <w:color w:val="000000"/>
          <w:sz w:val="20"/>
          <w:szCs w:val="20"/>
          <w:shd w:val="clear" w:color="auto" w:fill="FFFFFF"/>
        </w:rPr>
        <w:t xml:space="preserve"> (2019), p. 116.</w:t>
      </w:r>
    </w:p>
    <w:p w14:paraId="741F5E72" w14:textId="63DDA6A4" w:rsidR="00C22AF4" w:rsidRPr="00907907" w:rsidRDefault="00C22AF4">
      <w:pPr>
        <w:pStyle w:val="EndnoteText"/>
        <w:rPr>
          <w:rFonts w:cs="Times New Roman"/>
          <w:sz w:val="20"/>
          <w:szCs w:val="20"/>
        </w:rPr>
      </w:pPr>
    </w:p>
  </w:endnote>
  <w:endnote w:id="32">
    <w:p w14:paraId="70C1F920" w14:textId="75948F7B"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Mari Oline Giske Stendebakken, </w:t>
      </w:r>
      <w:r w:rsidRPr="00907907">
        <w:rPr>
          <w:rFonts w:eastAsia="Times New Roman" w:cs="Times New Roman"/>
          <w:i/>
          <w:iCs/>
          <w:color w:val="000000"/>
          <w:sz w:val="20"/>
          <w:szCs w:val="20"/>
          <w:shd w:val="clear" w:color="auto" w:fill="FFFFFF"/>
        </w:rPr>
        <w:t>Den Glemte Kostnaden Når Staten Bygger Nytt Concept Arbeidsrapport 2018-2</w:t>
      </w:r>
      <w:r w:rsidRPr="00907907">
        <w:rPr>
          <w:rFonts w:eastAsia="Times New Roman" w:cs="Times New Roman"/>
          <w:color w:val="000000"/>
          <w:sz w:val="20"/>
          <w:szCs w:val="20"/>
          <w:shd w:val="clear" w:color="auto" w:fill="FFFFFF"/>
        </w:rPr>
        <w:t>, Concept Arbeidsrapporter (Trondheim, 2018), p. 46.</w:t>
      </w:r>
    </w:p>
    <w:p w14:paraId="4588BD4E" w14:textId="77777777" w:rsidR="00C22AF4" w:rsidRPr="00907907" w:rsidRDefault="00C22AF4">
      <w:pPr>
        <w:pStyle w:val="EndnoteText"/>
        <w:rPr>
          <w:rFonts w:cs="Times New Roman"/>
          <w:sz w:val="20"/>
          <w:szCs w:val="20"/>
        </w:rPr>
      </w:pPr>
    </w:p>
  </w:endnote>
  <w:endnote w:id="33">
    <w:p w14:paraId="5C64188C" w14:textId="5F514E1A"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AS og Møreforsking Molde AS, </w:t>
      </w:r>
      <w:r w:rsidRPr="00907907">
        <w:rPr>
          <w:rFonts w:eastAsia="Times New Roman" w:cs="Times New Roman"/>
          <w:i/>
          <w:iCs/>
          <w:color w:val="000000"/>
          <w:sz w:val="20"/>
          <w:szCs w:val="20"/>
          <w:shd w:val="clear" w:color="auto" w:fill="FFFFFF"/>
        </w:rPr>
        <w:t>Kvalitetssikring Fase 1 (KS1 – Konseptvalg) Av Kulturhistorisk Museum Rapport Til Finansdepartementet Og Kunnskapsdepartementet</w:t>
      </w:r>
      <w:r w:rsidRPr="00907907">
        <w:rPr>
          <w:rFonts w:eastAsia="Times New Roman" w:cs="Times New Roman"/>
          <w:color w:val="000000"/>
          <w:sz w:val="20"/>
          <w:szCs w:val="20"/>
          <w:shd w:val="clear" w:color="auto" w:fill="FFFFFF"/>
        </w:rPr>
        <w:t xml:space="preserve"> (2009), p. 85.</w:t>
      </w:r>
    </w:p>
    <w:p w14:paraId="00492ECB" w14:textId="77777777" w:rsidR="00C22AF4" w:rsidRPr="00907907" w:rsidRDefault="00C22AF4">
      <w:pPr>
        <w:pStyle w:val="EndnoteText"/>
        <w:rPr>
          <w:rFonts w:cs="Times New Roman"/>
          <w:sz w:val="20"/>
          <w:szCs w:val="20"/>
        </w:rPr>
      </w:pPr>
    </w:p>
  </w:endnote>
  <w:endnote w:id="34">
    <w:p w14:paraId="12C1BC90" w14:textId="3E7EE12F" w:rsidR="00C22AF4" w:rsidRPr="00907907" w:rsidRDefault="00C22AF4">
      <w:pPr>
        <w:pStyle w:val="EndnoteText"/>
        <w:rPr>
          <w:rFonts w:eastAsia="Times New Roman" w:cs="Arial"/>
          <w:color w:val="000000"/>
          <w:sz w:val="20"/>
          <w:szCs w:val="20"/>
          <w:shd w:val="clear" w:color="auto" w:fill="FFFFFF"/>
        </w:rPr>
      </w:pPr>
      <w:r w:rsidRPr="00907907">
        <w:rPr>
          <w:rStyle w:val="EndnoteReference"/>
          <w:sz w:val="20"/>
          <w:szCs w:val="20"/>
        </w:rPr>
        <w:endnoteRef/>
      </w:r>
      <w:r w:rsidRPr="00907907">
        <w:rPr>
          <w:sz w:val="20"/>
          <w:szCs w:val="20"/>
        </w:rPr>
        <w:t xml:space="preserve"> </w:t>
      </w:r>
      <w:r w:rsidRPr="00907907">
        <w:rPr>
          <w:rFonts w:eastAsia="Times New Roman" w:cs="Arial"/>
          <w:color w:val="000000"/>
          <w:sz w:val="20"/>
          <w:szCs w:val="20"/>
          <w:shd w:val="clear" w:color="auto" w:fill="FFFFFF"/>
        </w:rPr>
        <w:t>Metier AS og Møreforsking Molde AS, ‘</w:t>
      </w:r>
      <w:r w:rsidRPr="00907907">
        <w:rPr>
          <w:rFonts w:eastAsia="Times New Roman" w:cs="Arial"/>
          <w:iCs/>
          <w:color w:val="000000"/>
          <w:sz w:val="20"/>
          <w:szCs w:val="20"/>
          <w:shd w:val="clear" w:color="auto" w:fill="FFFFFF"/>
        </w:rPr>
        <w:t>Kvalitetssikring Fase 1 (KS1 – Konseptvalg) Av Kulturhistorisk Museum Rapport Til Finansdepartementet Og Kunnskapsdepartementet</w:t>
      </w:r>
      <w:r w:rsidRPr="00907907">
        <w:rPr>
          <w:rFonts w:eastAsia="Times New Roman" w:cs="Times New Roman"/>
          <w:color w:val="58595B"/>
          <w:sz w:val="20"/>
          <w:szCs w:val="20"/>
          <w:shd w:val="clear" w:color="auto" w:fill="FFFFFF"/>
        </w:rPr>
        <w:t>’</w:t>
      </w:r>
      <w:r w:rsidRPr="00907907">
        <w:rPr>
          <w:rFonts w:eastAsia="Times New Roman" w:cs="Arial"/>
          <w:color w:val="000000"/>
          <w:sz w:val="20"/>
          <w:szCs w:val="20"/>
          <w:shd w:val="clear" w:color="auto" w:fill="FFFFFF"/>
        </w:rPr>
        <w:t>, 2009, p. 85.</w:t>
      </w:r>
    </w:p>
    <w:p w14:paraId="24918FC8" w14:textId="77777777" w:rsidR="00C22AF4" w:rsidRPr="00907907" w:rsidRDefault="00C22AF4">
      <w:pPr>
        <w:pStyle w:val="EndnoteText"/>
        <w:rPr>
          <w:sz w:val="20"/>
          <w:szCs w:val="20"/>
        </w:rPr>
      </w:pPr>
    </w:p>
  </w:endnote>
  <w:endnote w:id="35">
    <w:p w14:paraId="5738FE50" w14:textId="2E304E85"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i/>
          <w:iCs/>
          <w:color w:val="000000"/>
          <w:sz w:val="20"/>
          <w:szCs w:val="20"/>
          <w:shd w:val="clear" w:color="auto" w:fill="FFFFFF"/>
        </w:rPr>
        <w:t>Konseptvalgutredning For Utvikling Av Nationaltheatret</w:t>
      </w:r>
      <w:r w:rsidRPr="00907907">
        <w:rPr>
          <w:rFonts w:eastAsia="Times New Roman" w:cs="Times New Roman"/>
          <w:color w:val="000000"/>
          <w:sz w:val="20"/>
          <w:szCs w:val="20"/>
          <w:shd w:val="clear" w:color="auto" w:fill="FFFFFF"/>
        </w:rPr>
        <w:t xml:space="preserve"> (2014), p. 64.</w:t>
      </w:r>
    </w:p>
    <w:p w14:paraId="4081193B" w14:textId="77777777" w:rsidR="00C22AF4" w:rsidRPr="00907907" w:rsidRDefault="00C22AF4">
      <w:pPr>
        <w:pStyle w:val="EndnoteText"/>
        <w:rPr>
          <w:rFonts w:cs="Times New Roman"/>
          <w:sz w:val="20"/>
          <w:szCs w:val="20"/>
        </w:rPr>
      </w:pPr>
    </w:p>
  </w:endnote>
  <w:endnote w:id="36">
    <w:p w14:paraId="3A305FAC" w14:textId="00C1ABD8" w:rsidR="00C22AF4" w:rsidRPr="00907907" w:rsidRDefault="00C22AF4">
      <w:pPr>
        <w:pStyle w:val="EndnoteText"/>
        <w:rPr>
          <w:rFonts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i/>
          <w:iCs/>
          <w:color w:val="000000"/>
          <w:sz w:val="20"/>
          <w:szCs w:val="20"/>
          <w:shd w:val="clear" w:color="auto" w:fill="FFFFFF"/>
        </w:rPr>
        <w:t>Konseptvalgutredning For Utvikling Av Nationaltheatret</w:t>
      </w:r>
      <w:r w:rsidRPr="00907907">
        <w:rPr>
          <w:rFonts w:eastAsia="Times New Roman" w:cs="Times New Roman"/>
          <w:color w:val="000000"/>
          <w:sz w:val="20"/>
          <w:szCs w:val="20"/>
          <w:shd w:val="clear" w:color="auto" w:fill="FFFFFF"/>
        </w:rPr>
        <w:t xml:space="preserve"> (2014), p. 9.</w:t>
      </w:r>
    </w:p>
  </w:endnote>
  <w:endnote w:id="37">
    <w:p w14:paraId="5E8F8E50" w14:textId="20EA3165" w:rsidR="00C22AF4" w:rsidRPr="00907907" w:rsidRDefault="00C22AF4" w:rsidP="00A53D17">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Oslo Economics, Snøhetta og Atkins, </w:t>
      </w:r>
      <w:r w:rsidRPr="00907907">
        <w:rPr>
          <w:rFonts w:eastAsia="Times New Roman" w:cs="Times New Roman"/>
          <w:i/>
          <w:iCs/>
          <w:color w:val="000000"/>
          <w:sz w:val="20"/>
          <w:szCs w:val="20"/>
          <w:shd w:val="clear" w:color="auto" w:fill="FFFFFF"/>
        </w:rPr>
        <w:t>Alternativanalyse For Konseptvalgutredning Tullinløkka Utarbeidet For Statsbygg</w:t>
      </w:r>
      <w:r w:rsidRPr="00907907">
        <w:rPr>
          <w:rFonts w:eastAsia="Times New Roman" w:cs="Times New Roman"/>
          <w:color w:val="000000"/>
          <w:sz w:val="20"/>
          <w:szCs w:val="20"/>
          <w:shd w:val="clear" w:color="auto" w:fill="FFFFFF"/>
        </w:rPr>
        <w:t xml:space="preserve"> (2016), p. 60.</w:t>
      </w:r>
    </w:p>
    <w:p w14:paraId="6756C1A3" w14:textId="3189FE8F" w:rsidR="00C22AF4" w:rsidRPr="00907907" w:rsidRDefault="00C22AF4">
      <w:pPr>
        <w:pStyle w:val="EndnoteText"/>
        <w:rPr>
          <w:rFonts w:cs="Times New Roman"/>
          <w:sz w:val="20"/>
          <w:szCs w:val="20"/>
        </w:rPr>
      </w:pPr>
    </w:p>
  </w:endnote>
  <w:endnote w:id="38">
    <w:p w14:paraId="3D3701D7" w14:textId="443D9164" w:rsidR="00C22AF4" w:rsidRPr="00907907" w:rsidRDefault="00C22AF4" w:rsidP="00EB615B">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Finansdepartementet, </w:t>
      </w:r>
      <w:r w:rsidRPr="00907907">
        <w:rPr>
          <w:rFonts w:eastAsia="Times New Roman" w:cs="Times New Roman"/>
          <w:i/>
          <w:iCs/>
          <w:color w:val="000000"/>
          <w:sz w:val="20"/>
          <w:szCs w:val="20"/>
          <w:shd w:val="clear" w:color="auto" w:fill="FFFFFF"/>
        </w:rPr>
        <w:t>NOU Norges Offentlige Utredninger 2012:16 Samfunnsøkonomiske Analyser</w:t>
      </w:r>
      <w:r w:rsidRPr="00907907">
        <w:rPr>
          <w:rFonts w:eastAsia="Times New Roman" w:cs="Times New Roman"/>
          <w:color w:val="000000"/>
          <w:sz w:val="20"/>
          <w:szCs w:val="20"/>
          <w:shd w:val="clear" w:color="auto" w:fill="FFFFFF"/>
        </w:rPr>
        <w:t> (Oslo, 2012), p. 13.</w:t>
      </w:r>
    </w:p>
    <w:p w14:paraId="1282AEBD" w14:textId="641925F4" w:rsidR="00C22AF4" w:rsidRPr="00907907" w:rsidRDefault="00C22AF4">
      <w:pPr>
        <w:pStyle w:val="EndnoteText"/>
        <w:rPr>
          <w:rFonts w:cs="Times New Roman"/>
          <w:sz w:val="20"/>
          <w:szCs w:val="20"/>
        </w:rPr>
      </w:pPr>
    </w:p>
  </w:endnote>
  <w:endnote w:id="39">
    <w:p w14:paraId="2F671410" w14:textId="680C2BBA"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Holte Consulting, SNF, A-2 og Proba har på oppdrag fra Justis- og beredskapsdepartementet og Finansdepartementet, </w:t>
      </w:r>
      <w:r w:rsidRPr="00907907">
        <w:rPr>
          <w:rFonts w:eastAsia="Times New Roman" w:cs="Times New Roman"/>
          <w:i/>
          <w:iCs/>
          <w:color w:val="000000"/>
          <w:sz w:val="20"/>
          <w:szCs w:val="20"/>
          <w:shd w:val="clear" w:color="auto" w:fill="FFFFFF"/>
        </w:rPr>
        <w:t>Kvalitetssikringsrapport Ks1 Av Fremtidig Rettsbygning I Bergen Utarbeidet for Finansdepartementet Og Justis- Og Beredskapsdepartementet</w:t>
      </w:r>
      <w:r w:rsidRPr="00907907">
        <w:rPr>
          <w:rFonts w:eastAsia="Times New Roman" w:cs="Times New Roman"/>
          <w:color w:val="000000"/>
          <w:sz w:val="20"/>
          <w:szCs w:val="20"/>
          <w:shd w:val="clear" w:color="auto" w:fill="FFFFFF"/>
        </w:rPr>
        <w:t xml:space="preserve"> (2017), p. 62.</w:t>
      </w:r>
    </w:p>
    <w:p w14:paraId="4A4C8AF8" w14:textId="77777777" w:rsidR="00C22AF4" w:rsidRPr="00907907" w:rsidRDefault="00C22AF4">
      <w:pPr>
        <w:pStyle w:val="EndnoteText"/>
        <w:rPr>
          <w:rFonts w:cs="Times New Roman"/>
          <w:sz w:val="20"/>
          <w:szCs w:val="20"/>
        </w:rPr>
      </w:pPr>
    </w:p>
  </w:endnote>
  <w:endnote w:id="40">
    <w:p w14:paraId="67D15E38" w14:textId="47769CA2" w:rsidR="00C22AF4" w:rsidRPr="00907907" w:rsidRDefault="00C22AF4" w:rsidP="00500AE1">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Dovre International AS Transportøkonomisk institutt for Kunnskapsdepartementet Finansdepartementet, </w:t>
      </w:r>
      <w:r w:rsidRPr="00907907">
        <w:rPr>
          <w:rFonts w:eastAsia="Times New Roman" w:cs="Times New Roman"/>
          <w:i/>
          <w:iCs/>
          <w:color w:val="000000"/>
          <w:sz w:val="20"/>
          <w:szCs w:val="20"/>
          <w:shd w:val="clear" w:color="auto" w:fill="FFFFFF"/>
        </w:rPr>
        <w:t>Norges Veterinærhøgskole Kvalitetssikring Av Konseptvalg (KS 1)</w:t>
      </w:r>
      <w:r w:rsidRPr="00907907">
        <w:rPr>
          <w:rFonts w:eastAsia="Times New Roman" w:cs="Times New Roman"/>
          <w:color w:val="000000"/>
          <w:sz w:val="20"/>
          <w:szCs w:val="20"/>
          <w:shd w:val="clear" w:color="auto" w:fill="FFFFFF"/>
        </w:rPr>
        <w:t xml:space="preserve"> (2012), p. 1.</w:t>
      </w:r>
    </w:p>
    <w:p w14:paraId="7668EC86" w14:textId="5F051FA9" w:rsidR="00C22AF4" w:rsidRPr="00907907" w:rsidRDefault="00C22AF4">
      <w:pPr>
        <w:pStyle w:val="EndnoteText"/>
        <w:rPr>
          <w:rFonts w:cs="Times New Roman"/>
          <w:sz w:val="20"/>
          <w:szCs w:val="20"/>
        </w:rPr>
      </w:pPr>
    </w:p>
  </w:endnote>
  <w:endnote w:id="41">
    <w:p w14:paraId="226C6E53" w14:textId="3C40769F" w:rsidR="00C22AF4" w:rsidRPr="00907907" w:rsidRDefault="00C22AF4" w:rsidP="00644629">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Mari Oline Giske Stendebakken, ‘Er Eldre Bygninger Uten Vern Uten Verdi?’ (Oslo, 2017), pp. 50-57.</w:t>
      </w:r>
    </w:p>
    <w:p w14:paraId="43D26710" w14:textId="23670D69" w:rsidR="00C22AF4" w:rsidRPr="00907907" w:rsidRDefault="00C22AF4">
      <w:pPr>
        <w:pStyle w:val="EndnoteText"/>
        <w:rPr>
          <w:rFonts w:cs="Times New Roman"/>
          <w:sz w:val="20"/>
          <w:szCs w:val="20"/>
        </w:rPr>
      </w:pPr>
    </w:p>
  </w:endnote>
  <w:endnote w:id="42">
    <w:p w14:paraId="118E48FB" w14:textId="307A379E"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Statsbygg, Metier AS, OPAK AS og Dark arkitekter 2, </w:t>
      </w:r>
      <w:r w:rsidRPr="00907907">
        <w:rPr>
          <w:rFonts w:eastAsia="Times New Roman" w:cs="Times New Roman"/>
          <w:i/>
          <w:iCs/>
          <w:color w:val="000000"/>
          <w:sz w:val="20"/>
          <w:szCs w:val="20"/>
          <w:shd w:val="clear" w:color="auto" w:fill="FFFFFF"/>
        </w:rPr>
        <w:t>Konseptvalgutredning For Fremtidig Rettsbygning I Bergen</w:t>
      </w:r>
      <w:r w:rsidRPr="00907907">
        <w:rPr>
          <w:rFonts w:eastAsia="Times New Roman" w:cs="Times New Roman"/>
          <w:color w:val="000000"/>
          <w:sz w:val="20"/>
          <w:szCs w:val="20"/>
          <w:shd w:val="clear" w:color="auto" w:fill="FFFFFF"/>
        </w:rPr>
        <w:t> (Oslo, 2016), p. 3.</w:t>
      </w:r>
    </w:p>
    <w:p w14:paraId="54D3F820" w14:textId="77777777" w:rsidR="00C22AF4" w:rsidRPr="00907907" w:rsidRDefault="00C22AF4">
      <w:pPr>
        <w:pStyle w:val="EndnoteText"/>
        <w:rPr>
          <w:rFonts w:cs="Times New Roman"/>
          <w:sz w:val="20"/>
          <w:szCs w:val="20"/>
        </w:rPr>
      </w:pPr>
    </w:p>
  </w:endnote>
  <w:endnote w:id="43">
    <w:p w14:paraId="24F28E3F" w14:textId="10137892" w:rsidR="00C22AF4" w:rsidRPr="00907907" w:rsidRDefault="00C22AF4" w:rsidP="00626E3B">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Opak for Statsbygg, </w:t>
      </w:r>
      <w:r w:rsidRPr="00907907">
        <w:rPr>
          <w:rFonts w:eastAsia="Times New Roman" w:cs="Times New Roman"/>
          <w:i/>
          <w:iCs/>
          <w:color w:val="000000"/>
          <w:sz w:val="20"/>
          <w:szCs w:val="20"/>
          <w:shd w:val="clear" w:color="auto" w:fill="FFFFFF"/>
        </w:rPr>
        <w:t>Tilstandsregistrering Bergen Tinghus</w:t>
      </w:r>
      <w:r w:rsidRPr="00907907">
        <w:rPr>
          <w:rFonts w:eastAsia="Times New Roman" w:cs="Times New Roman"/>
          <w:color w:val="000000"/>
          <w:sz w:val="20"/>
          <w:szCs w:val="20"/>
          <w:shd w:val="clear" w:color="auto" w:fill="FFFFFF"/>
        </w:rPr>
        <w:t xml:space="preserve"> (2015), p. 3.</w:t>
      </w:r>
    </w:p>
    <w:p w14:paraId="4D1DFEC0" w14:textId="5D7AFAA9" w:rsidR="00C22AF4" w:rsidRPr="00907907" w:rsidRDefault="00C22AF4">
      <w:pPr>
        <w:pStyle w:val="EndnoteText"/>
        <w:rPr>
          <w:rFonts w:cs="Times New Roman"/>
          <w:sz w:val="20"/>
          <w:szCs w:val="20"/>
        </w:rPr>
      </w:pPr>
    </w:p>
  </w:endnote>
  <w:endnote w:id="44">
    <w:p w14:paraId="13F56A37" w14:textId="2346CA90" w:rsidR="00C22AF4" w:rsidRPr="00907907" w:rsidRDefault="00C22AF4" w:rsidP="005E296D">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Holte Consulting, SNF og A-2 på oppdrag fra Kulturdepartementet og Finansdepartementet, </w:t>
      </w:r>
      <w:r w:rsidRPr="00907907">
        <w:rPr>
          <w:rFonts w:eastAsia="Times New Roman" w:cs="Times New Roman"/>
          <w:i/>
          <w:iCs/>
          <w:color w:val="000000"/>
          <w:sz w:val="20"/>
          <w:szCs w:val="20"/>
          <w:shd w:val="clear" w:color="auto" w:fill="FFFFFF"/>
        </w:rPr>
        <w:t>Kvalitetssikringsrapport Ks1 Den Nationale Scene Utarbeidet for Kulturdepartementet Og Finansdepartementet</w:t>
      </w:r>
      <w:r w:rsidRPr="00907907">
        <w:rPr>
          <w:rFonts w:eastAsia="Times New Roman" w:cs="Times New Roman"/>
          <w:color w:val="000000"/>
          <w:sz w:val="20"/>
          <w:szCs w:val="20"/>
          <w:shd w:val="clear" w:color="auto" w:fill="FFFFFF"/>
        </w:rPr>
        <w:t xml:space="preserve"> (2017), p. 71.</w:t>
      </w:r>
    </w:p>
    <w:p w14:paraId="77A41758" w14:textId="109421CC" w:rsidR="00C22AF4" w:rsidRPr="00907907" w:rsidRDefault="00C22AF4">
      <w:pPr>
        <w:pStyle w:val="EndnoteText"/>
        <w:rPr>
          <w:rFonts w:cs="Times New Roman"/>
          <w:sz w:val="20"/>
          <w:szCs w:val="20"/>
        </w:rPr>
      </w:pPr>
    </w:p>
  </w:endnote>
  <w:endnote w:id="45">
    <w:p w14:paraId="132D6686" w14:textId="412EE86A" w:rsidR="00C22AF4" w:rsidRPr="00907907" w:rsidRDefault="00C22AF4" w:rsidP="00BB2F25">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Andreas Slettholm, ‘Oslo Blir De Fraflyttedes Praktbyggs By’, </w:t>
      </w:r>
      <w:r w:rsidRPr="00907907">
        <w:rPr>
          <w:rFonts w:eastAsia="Times New Roman" w:cs="Times New Roman"/>
          <w:i/>
          <w:iCs/>
          <w:color w:val="000000"/>
          <w:sz w:val="20"/>
          <w:szCs w:val="20"/>
          <w:shd w:val="clear" w:color="auto" w:fill="FFFFFF"/>
        </w:rPr>
        <w:t>Aftenposten</w:t>
      </w:r>
      <w:r w:rsidRPr="00907907">
        <w:rPr>
          <w:rFonts w:eastAsia="Times New Roman" w:cs="Times New Roman"/>
          <w:color w:val="000000"/>
          <w:sz w:val="20"/>
          <w:szCs w:val="20"/>
          <w:shd w:val="clear" w:color="auto" w:fill="FFFFFF"/>
        </w:rPr>
        <w:t xml:space="preserve"> (2017), &lt;https://www.aftenposten.no/meninger/kommentar/i/5XOqm/Oslo-blir-de-fraflyttede-praktbyggs-by--Andreas-Slettholm&gt; [accessed 3 February 2019].</w:t>
      </w:r>
    </w:p>
    <w:p w14:paraId="11C132D9" w14:textId="153EB688" w:rsidR="00C22AF4" w:rsidRPr="00907907" w:rsidRDefault="00C22AF4">
      <w:pPr>
        <w:pStyle w:val="EndnoteText"/>
        <w:rPr>
          <w:rFonts w:cs="Times New Roman"/>
          <w:sz w:val="20"/>
          <w:szCs w:val="20"/>
        </w:rPr>
      </w:pPr>
    </w:p>
  </w:endnote>
  <w:endnote w:id="46">
    <w:p w14:paraId="2A3B96F8" w14:textId="0DC9CFD5" w:rsidR="00C22AF4" w:rsidRPr="00907907" w:rsidRDefault="00C22AF4" w:rsidP="00185E26">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Adresseavisen, ‘Riksantikvaren Vil Kjempe For Høyblokka’ (2013).</w:t>
      </w:r>
    </w:p>
    <w:p w14:paraId="792874CB" w14:textId="7531FB2E" w:rsidR="00C22AF4" w:rsidRPr="00907907" w:rsidRDefault="00C22AF4">
      <w:pPr>
        <w:pStyle w:val="EndnoteText"/>
        <w:rPr>
          <w:rFonts w:cs="Times New Roman"/>
          <w:sz w:val="20"/>
          <w:szCs w:val="20"/>
        </w:rPr>
      </w:pPr>
    </w:p>
  </w:endnote>
  <w:endnote w:id="47">
    <w:p w14:paraId="55AF7493" w14:textId="1236E57D"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Oslo Economics, Snøhetta og Atkins, </w:t>
      </w:r>
      <w:r w:rsidRPr="00907907">
        <w:rPr>
          <w:rFonts w:eastAsia="Times New Roman" w:cs="Times New Roman"/>
          <w:i/>
          <w:iCs/>
          <w:color w:val="000000"/>
          <w:sz w:val="20"/>
          <w:szCs w:val="20"/>
          <w:shd w:val="clear" w:color="auto" w:fill="FFFFFF"/>
        </w:rPr>
        <w:t>Alternativanalyse For Konseptvalgutredning Tullinløkka Utarbeidet For Statsbygg</w:t>
      </w:r>
      <w:r w:rsidRPr="00907907">
        <w:rPr>
          <w:rFonts w:eastAsia="Times New Roman" w:cs="Times New Roman"/>
          <w:color w:val="000000"/>
          <w:sz w:val="20"/>
          <w:szCs w:val="20"/>
          <w:shd w:val="clear" w:color="auto" w:fill="FFFFFF"/>
        </w:rPr>
        <w:t xml:space="preserve"> (2016), p. 60.</w:t>
      </w:r>
    </w:p>
    <w:p w14:paraId="6F8EDA09" w14:textId="77777777" w:rsidR="00C22AF4" w:rsidRPr="00907907" w:rsidRDefault="00C22AF4">
      <w:pPr>
        <w:pStyle w:val="EndnoteText"/>
        <w:rPr>
          <w:rFonts w:cs="Times New Roman"/>
          <w:sz w:val="20"/>
          <w:szCs w:val="20"/>
        </w:rPr>
      </w:pPr>
    </w:p>
  </w:endnote>
  <w:endnote w:id="48">
    <w:p w14:paraId="530B5A51" w14:textId="5F0EAE58" w:rsidR="00C22AF4" w:rsidRPr="00907907" w:rsidRDefault="00C22AF4" w:rsidP="003B04E0">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for Kulturdepartementet, </w:t>
      </w:r>
      <w:r w:rsidRPr="00907907">
        <w:rPr>
          <w:rFonts w:eastAsia="Times New Roman" w:cs="Times New Roman"/>
          <w:i/>
          <w:iCs/>
          <w:color w:val="000000"/>
          <w:sz w:val="20"/>
          <w:szCs w:val="20"/>
          <w:shd w:val="clear" w:color="auto" w:fill="FFFFFF"/>
        </w:rPr>
        <w:t>Utbyggingsprosjektet Til Nasjonalmuseet For Kunst, Arkitektur Og Design - Alternativanalyse Oppdatering 2008 Rapport Til Kulturdepartementet</w:t>
      </w:r>
      <w:r w:rsidRPr="00907907">
        <w:rPr>
          <w:rFonts w:eastAsia="Times New Roman" w:cs="Times New Roman"/>
          <w:color w:val="000000"/>
          <w:sz w:val="20"/>
          <w:szCs w:val="20"/>
          <w:shd w:val="clear" w:color="auto" w:fill="FFFFFF"/>
        </w:rPr>
        <w:t xml:space="preserve"> (2008), p. 7.</w:t>
      </w:r>
    </w:p>
    <w:p w14:paraId="33A61C18" w14:textId="757E815A" w:rsidR="00C22AF4" w:rsidRPr="00907907" w:rsidRDefault="00C22AF4">
      <w:pPr>
        <w:pStyle w:val="EndnoteText"/>
        <w:rPr>
          <w:rFonts w:cs="Times New Roman"/>
          <w:sz w:val="20"/>
          <w:szCs w:val="20"/>
        </w:rPr>
      </w:pPr>
    </w:p>
  </w:endnote>
  <w:endnote w:id="49">
    <w:p w14:paraId="318F0ABF" w14:textId="20CD8201"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og Møreforsking Molde, </w:t>
      </w:r>
      <w:r w:rsidRPr="00907907">
        <w:rPr>
          <w:rFonts w:eastAsia="Times New Roman" w:cs="Times New Roman"/>
          <w:i/>
          <w:iCs/>
          <w:color w:val="000000"/>
          <w:sz w:val="20"/>
          <w:szCs w:val="20"/>
          <w:shd w:val="clear" w:color="auto" w:fill="FFFFFF"/>
        </w:rPr>
        <w:t>Kvalitetssikring Fase 1 (KS1 – Konseptvalg) Av Utvikling Av Nationaltheatret Rapport Til Kulturdepartementet Og Finansdepartementet</w:t>
      </w:r>
      <w:r w:rsidRPr="00907907">
        <w:rPr>
          <w:rFonts w:eastAsia="Times New Roman" w:cs="Times New Roman"/>
          <w:color w:val="000000"/>
          <w:sz w:val="20"/>
          <w:szCs w:val="20"/>
          <w:shd w:val="clear" w:color="auto" w:fill="FFFFFF"/>
        </w:rPr>
        <w:t xml:space="preserve"> (2015), p. 59.</w:t>
      </w:r>
    </w:p>
    <w:p w14:paraId="36F122AB" w14:textId="77777777" w:rsidR="00C22AF4" w:rsidRPr="00907907" w:rsidRDefault="00C22AF4">
      <w:pPr>
        <w:pStyle w:val="EndnoteText"/>
        <w:rPr>
          <w:rFonts w:cs="Times New Roman"/>
          <w:sz w:val="20"/>
          <w:szCs w:val="20"/>
        </w:rPr>
      </w:pPr>
    </w:p>
  </w:endnote>
  <w:endnote w:id="50">
    <w:p w14:paraId="3209E6ED" w14:textId="0CCBB657" w:rsidR="00C22AF4" w:rsidRPr="00907907" w:rsidRDefault="00C22AF4" w:rsidP="00DC09F8">
      <w:pPr>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Det kongelige forsvarsdepartement, ‘Veileder Til Konseptfasen - Samfunnsøkonomisk Analyse For Investeringsprosjekter I Forsvarssektoren’, </w:t>
      </w:r>
      <w:r w:rsidRPr="00907907">
        <w:rPr>
          <w:rFonts w:eastAsia="Times New Roman" w:cs="Times New Roman"/>
          <w:i/>
          <w:iCs/>
          <w:color w:val="000000"/>
          <w:sz w:val="20"/>
          <w:szCs w:val="20"/>
          <w:shd w:val="clear" w:color="auto" w:fill="FFFFFF"/>
        </w:rPr>
        <w:t>Forsvaret. No.</w:t>
      </w:r>
      <w:r w:rsidRPr="00907907">
        <w:rPr>
          <w:rFonts w:eastAsia="Times New Roman" w:cs="Times New Roman"/>
          <w:color w:val="000000"/>
          <w:sz w:val="20"/>
          <w:szCs w:val="20"/>
          <w:shd w:val="clear" w:color="auto" w:fill="FFFFFF"/>
        </w:rPr>
        <w:t xml:space="preserve"> (2015), p. 27, &lt;https://forsvaret.no/prinsix/ForsvaretDocuments/Veiledere/Veileder%20KL%20og%20S%C3%98A.pdf&gt; [accessed 28 November 2018]</w:t>
      </w:r>
    </w:p>
    <w:p w14:paraId="1F1656CF" w14:textId="0B932C28" w:rsidR="00C22AF4" w:rsidRPr="00907907" w:rsidRDefault="00C22AF4">
      <w:pPr>
        <w:pStyle w:val="EndnoteText"/>
        <w:rPr>
          <w:rFonts w:cs="Times New Roman"/>
          <w:sz w:val="20"/>
          <w:szCs w:val="20"/>
        </w:rPr>
      </w:pPr>
    </w:p>
  </w:endnote>
  <w:endnote w:id="51">
    <w:p w14:paraId="51DAA2FF" w14:textId="6570C218"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sz w:val="20"/>
          <w:szCs w:val="20"/>
        </w:rPr>
        <w:endnoteRef/>
      </w:r>
      <w:r w:rsidRPr="00907907">
        <w:rPr>
          <w:sz w:val="20"/>
          <w:szCs w:val="20"/>
        </w:rPr>
        <w:t xml:space="preserve"> </w:t>
      </w:r>
      <w:r w:rsidRPr="00907907">
        <w:rPr>
          <w:rFonts w:eastAsia="Times New Roman" w:cs="Times New Roman"/>
          <w:color w:val="000000"/>
          <w:sz w:val="20"/>
          <w:szCs w:val="20"/>
          <w:shd w:val="clear" w:color="auto" w:fill="FFFFFF"/>
        </w:rPr>
        <w:t>Metier og Møreforsking Molde, </w:t>
      </w:r>
      <w:r w:rsidRPr="00907907">
        <w:rPr>
          <w:rFonts w:eastAsia="Times New Roman" w:cs="Times New Roman"/>
          <w:i/>
          <w:iCs/>
          <w:color w:val="000000"/>
          <w:sz w:val="20"/>
          <w:szCs w:val="20"/>
          <w:shd w:val="clear" w:color="auto" w:fill="FFFFFF"/>
        </w:rPr>
        <w:t>Kvalitetssikring Fase 1 (KS1 – Konseptvalg) Av Utvikling Av Nationaltheatret Rapport Til Kulturdepartementet Og Finansdepartementet</w:t>
      </w:r>
      <w:r w:rsidRPr="00907907">
        <w:rPr>
          <w:rFonts w:eastAsia="Times New Roman" w:cs="Times New Roman"/>
          <w:color w:val="000000"/>
          <w:sz w:val="20"/>
          <w:szCs w:val="20"/>
          <w:shd w:val="clear" w:color="auto" w:fill="FFFFFF"/>
        </w:rPr>
        <w:t xml:space="preserve"> (2015), p. 59</w:t>
      </w:r>
    </w:p>
    <w:p w14:paraId="31D305BC" w14:textId="77777777" w:rsidR="00C22AF4" w:rsidRPr="00907907" w:rsidRDefault="00C22AF4">
      <w:pPr>
        <w:pStyle w:val="EndnoteText"/>
        <w:rPr>
          <w:sz w:val="20"/>
          <w:szCs w:val="20"/>
        </w:rPr>
      </w:pPr>
    </w:p>
  </w:endnote>
  <w:endnote w:id="52">
    <w:p w14:paraId="6A85E23A" w14:textId="00742A0E"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Holte Consulting, SNF, A-2 og Proba har på oppdrag fra Justis- og beredskapsdepartementet og Finansdepartementet, </w:t>
      </w:r>
      <w:r w:rsidRPr="00907907">
        <w:rPr>
          <w:rFonts w:eastAsia="Times New Roman" w:cs="Times New Roman"/>
          <w:i/>
          <w:iCs/>
          <w:color w:val="000000"/>
          <w:sz w:val="20"/>
          <w:szCs w:val="20"/>
          <w:shd w:val="clear" w:color="auto" w:fill="FFFFFF"/>
        </w:rPr>
        <w:t xml:space="preserve">Kvalitetssikringsrapport Ks1 Av Fremtidig Rettsbygning I Bergen Utarbeidet for Finansdepartementet Og Justis- Og Beredskapsdepartementet </w:t>
      </w:r>
      <w:r w:rsidRPr="00907907">
        <w:rPr>
          <w:rFonts w:eastAsia="Times New Roman" w:cs="Times New Roman"/>
          <w:color w:val="000000"/>
          <w:sz w:val="20"/>
          <w:szCs w:val="20"/>
          <w:shd w:val="clear" w:color="auto" w:fill="FFFFFF"/>
        </w:rPr>
        <w:t>(2017), p. 42.</w:t>
      </w:r>
    </w:p>
    <w:p w14:paraId="18174358" w14:textId="77777777" w:rsidR="00C22AF4" w:rsidRPr="00907907" w:rsidRDefault="00C22AF4">
      <w:pPr>
        <w:pStyle w:val="EndnoteText"/>
        <w:rPr>
          <w:rFonts w:cs="Times New Roman"/>
          <w:sz w:val="20"/>
          <w:szCs w:val="20"/>
        </w:rPr>
      </w:pPr>
    </w:p>
  </w:endnote>
  <w:endnote w:id="53">
    <w:p w14:paraId="33829D2B" w14:textId="77777777" w:rsidR="00C22AF4" w:rsidRPr="00907907" w:rsidRDefault="00C22AF4" w:rsidP="00845C25">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Mari Oline Giske Stendebakken, </w:t>
      </w:r>
      <w:r w:rsidRPr="00907907">
        <w:rPr>
          <w:rFonts w:eastAsia="Times New Roman" w:cs="Times New Roman"/>
          <w:i/>
          <w:iCs/>
          <w:color w:val="000000"/>
          <w:sz w:val="20"/>
          <w:szCs w:val="20"/>
          <w:shd w:val="clear" w:color="auto" w:fill="FFFFFF"/>
        </w:rPr>
        <w:t>Den Glemte Kostnaden Når Staten Bygger Nytt - Concept Arbeidsrapport 2018-2</w:t>
      </w:r>
      <w:r w:rsidRPr="00907907">
        <w:rPr>
          <w:rFonts w:eastAsia="Times New Roman" w:cs="Times New Roman"/>
          <w:color w:val="000000"/>
          <w:sz w:val="20"/>
          <w:szCs w:val="20"/>
          <w:shd w:val="clear" w:color="auto" w:fill="FFFFFF"/>
        </w:rPr>
        <w:t>, Concept Arbeidsrapporter (Trondheim, 2018).</w:t>
      </w:r>
    </w:p>
    <w:p w14:paraId="0494A277" w14:textId="307A42E4" w:rsidR="00C22AF4" w:rsidRPr="00907907" w:rsidRDefault="00C22AF4">
      <w:pPr>
        <w:pStyle w:val="EndnoteText"/>
        <w:rPr>
          <w:rFonts w:cs="Times New Roman"/>
          <w:sz w:val="20"/>
          <w:szCs w:val="20"/>
        </w:rPr>
      </w:pPr>
    </w:p>
  </w:endnote>
  <w:endnote w:id="54">
    <w:p w14:paraId="47EBFABA" w14:textId="14D8AD88" w:rsidR="00C22AF4" w:rsidRPr="00907907" w:rsidRDefault="00C22AF4">
      <w:pPr>
        <w:pStyle w:val="EndnoteText"/>
        <w:rPr>
          <w:rFonts w:eastAsia="Times New Roman" w:cs="Times New Roman"/>
          <w:color w:val="000000"/>
          <w:sz w:val="20"/>
          <w:szCs w:val="20"/>
          <w:shd w:val="clear" w:color="auto" w:fill="FFFFFF"/>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Holte Consulting, SNF, A-2 og Proba har på oppdrag fra Justis- og beredskapsdepartementet og Finansdepartementet, </w:t>
      </w:r>
      <w:r w:rsidRPr="00907907">
        <w:rPr>
          <w:rFonts w:eastAsia="Times New Roman" w:cs="Times New Roman"/>
          <w:i/>
          <w:iCs/>
          <w:color w:val="000000"/>
          <w:sz w:val="20"/>
          <w:szCs w:val="20"/>
          <w:shd w:val="clear" w:color="auto" w:fill="FFFFFF"/>
        </w:rPr>
        <w:t>Kvalitetssikringsrapport Ks1 Av Fremtidig Rettsbygning I Bergen Utarbeidet for Finansdepartementet Og Justis- Og Beredskapsdepartementet</w:t>
      </w:r>
      <w:r w:rsidRPr="00907907">
        <w:rPr>
          <w:rFonts w:eastAsia="Times New Roman" w:cs="Times New Roman"/>
          <w:color w:val="000000"/>
          <w:sz w:val="20"/>
          <w:szCs w:val="20"/>
          <w:shd w:val="clear" w:color="auto" w:fill="FFFFFF"/>
        </w:rPr>
        <w:t xml:space="preserve"> (2017), p. 44.</w:t>
      </w:r>
    </w:p>
    <w:p w14:paraId="1C861C46" w14:textId="77777777" w:rsidR="00C22AF4" w:rsidRPr="00907907" w:rsidRDefault="00C22AF4">
      <w:pPr>
        <w:pStyle w:val="EndnoteText"/>
        <w:rPr>
          <w:rFonts w:cs="Times New Roman"/>
          <w:sz w:val="20"/>
          <w:szCs w:val="20"/>
        </w:rPr>
      </w:pPr>
    </w:p>
  </w:endnote>
  <w:endnote w:id="55">
    <w:p w14:paraId="1DE0D27E" w14:textId="67648F4F" w:rsidR="00C22AF4" w:rsidRPr="00907907" w:rsidRDefault="00C22AF4" w:rsidP="00C0586B">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UIO – Kulturhistorisk Museum – Grunnlag For Ks1, </w:t>
      </w:r>
      <w:r w:rsidRPr="00907907">
        <w:rPr>
          <w:rFonts w:eastAsia="Times New Roman" w:cs="Times New Roman"/>
          <w:i/>
          <w:iCs/>
          <w:color w:val="000000"/>
          <w:sz w:val="20"/>
          <w:szCs w:val="20"/>
          <w:shd w:val="clear" w:color="auto" w:fill="FFFFFF"/>
        </w:rPr>
        <w:t>Alternativanalyse for Kulturhistorisk Museum Grunnlag for Kvalitetssikring Av Konseptvalg 28.05.09</w:t>
      </w:r>
      <w:r w:rsidRPr="00907907">
        <w:rPr>
          <w:rFonts w:eastAsia="Times New Roman" w:cs="Times New Roman"/>
          <w:color w:val="000000"/>
          <w:sz w:val="20"/>
          <w:szCs w:val="20"/>
          <w:shd w:val="clear" w:color="auto" w:fill="FFFFFF"/>
        </w:rPr>
        <w:t xml:space="preserve"> (2019), p. 17.</w:t>
      </w:r>
    </w:p>
    <w:p w14:paraId="288034DC" w14:textId="05EA96A3" w:rsidR="00C22AF4" w:rsidRPr="00907907" w:rsidRDefault="00C22AF4">
      <w:pPr>
        <w:pStyle w:val="EndnoteText"/>
        <w:rPr>
          <w:rFonts w:cs="Times New Roman"/>
          <w:sz w:val="20"/>
          <w:szCs w:val="20"/>
        </w:rPr>
      </w:pPr>
    </w:p>
  </w:endnote>
  <w:endnote w:id="56">
    <w:p w14:paraId="238470EA" w14:textId="4813A1E4" w:rsidR="00C22AF4" w:rsidRPr="00907907" w:rsidRDefault="00C22AF4" w:rsidP="00F073E3">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AS, ‘Referansedokument 9 Elektronisk Vedlegg. Forutsetninger For Alternativ- Og Usikkerhetsanalyse Metier AS 1 Metier Better Projects - PDF’, </w:t>
      </w:r>
      <w:r w:rsidRPr="00907907">
        <w:rPr>
          <w:rFonts w:eastAsia="Times New Roman" w:cs="Times New Roman"/>
          <w:i/>
          <w:iCs/>
          <w:color w:val="000000"/>
          <w:sz w:val="20"/>
          <w:szCs w:val="20"/>
          <w:shd w:val="clear" w:color="auto" w:fill="FFFFFF"/>
        </w:rPr>
        <w:t>Docplayer.Me</w:t>
      </w:r>
      <w:r w:rsidRPr="00907907">
        <w:rPr>
          <w:rFonts w:eastAsia="Times New Roman" w:cs="Times New Roman"/>
          <w:color w:val="000000"/>
          <w:sz w:val="20"/>
          <w:szCs w:val="20"/>
          <w:shd w:val="clear" w:color="auto" w:fill="FFFFFF"/>
        </w:rPr>
        <w:t xml:space="preserve"> (2013), </w:t>
      </w:r>
      <w:r w:rsidRPr="00907907">
        <w:rPr>
          <w:rFonts w:cs="Times New Roman"/>
          <w:sz w:val="20"/>
          <w:szCs w:val="20"/>
        </w:rPr>
        <w:t xml:space="preserve">p. 16, </w:t>
      </w:r>
      <w:r w:rsidRPr="00907907">
        <w:rPr>
          <w:rFonts w:eastAsia="Times New Roman" w:cs="Times New Roman"/>
          <w:color w:val="000000"/>
          <w:sz w:val="20"/>
          <w:szCs w:val="20"/>
          <w:shd w:val="clear" w:color="auto" w:fill="FFFFFF"/>
        </w:rPr>
        <w:t>&lt;https://docplayer.me/24385989-Referansedokument-9-elektronisk-vedlegg-forutsetninger-for-alternativ-og-usikkerhetsanalyse-metier-as-1-metier-better-projects.html&gt; [accessed 13 April 2019].</w:t>
      </w:r>
    </w:p>
    <w:p w14:paraId="40B3D8CE" w14:textId="2677415F" w:rsidR="00C22AF4" w:rsidRPr="00907907" w:rsidRDefault="00C22AF4">
      <w:pPr>
        <w:pStyle w:val="EndnoteText"/>
        <w:rPr>
          <w:rFonts w:cs="Times New Roman"/>
          <w:sz w:val="20"/>
          <w:szCs w:val="20"/>
        </w:rPr>
      </w:pPr>
      <w:r w:rsidRPr="00907907">
        <w:rPr>
          <w:rFonts w:cs="Times New Roman"/>
          <w:sz w:val="20"/>
          <w:szCs w:val="20"/>
        </w:rPr>
        <w:t xml:space="preserve"> </w:t>
      </w:r>
    </w:p>
  </w:endnote>
  <w:endnote w:id="57">
    <w:p w14:paraId="48522F89" w14:textId="2D670D1D" w:rsidR="00C22AF4" w:rsidRPr="00907907" w:rsidRDefault="00C22AF4" w:rsidP="00B73426">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Metier for Kulturdepartementet, </w:t>
      </w:r>
      <w:r w:rsidRPr="00907907">
        <w:rPr>
          <w:rFonts w:eastAsia="Times New Roman" w:cs="Times New Roman"/>
          <w:i/>
          <w:iCs/>
          <w:color w:val="000000"/>
          <w:sz w:val="20"/>
          <w:szCs w:val="20"/>
          <w:shd w:val="clear" w:color="auto" w:fill="FFFFFF"/>
        </w:rPr>
        <w:t>Utbyggingsprosjektet Til Nasjonalmuseet For Kunst, Arkitektur Og Design - Alternativanalyse Oppdatering 2008 Rapport Til Kulturdepartementet</w:t>
      </w:r>
      <w:r w:rsidRPr="00907907">
        <w:rPr>
          <w:rFonts w:eastAsia="Times New Roman" w:cs="Times New Roman"/>
          <w:color w:val="000000"/>
          <w:sz w:val="20"/>
          <w:szCs w:val="20"/>
          <w:shd w:val="clear" w:color="auto" w:fill="FFFFFF"/>
        </w:rPr>
        <w:t xml:space="preserve"> (2008), p. 36.</w:t>
      </w:r>
    </w:p>
    <w:p w14:paraId="4372FC07" w14:textId="5BC2953B" w:rsidR="00C22AF4" w:rsidRPr="00907907" w:rsidRDefault="00C22AF4">
      <w:pPr>
        <w:pStyle w:val="EndnoteText"/>
        <w:rPr>
          <w:rFonts w:cs="Times New Roman"/>
          <w:sz w:val="20"/>
          <w:szCs w:val="20"/>
        </w:rPr>
      </w:pPr>
    </w:p>
  </w:endnote>
  <w:endnote w:id="58">
    <w:p w14:paraId="000312FC" w14:textId="6B68321F" w:rsidR="00C22AF4" w:rsidRPr="00907907" w:rsidRDefault="00C22AF4" w:rsidP="008969C6">
      <w:pPr>
        <w:rPr>
          <w:rFonts w:eastAsia="Times New Roman"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Dovre International AS Transportøkonomisk institutt for Kunnskapsdepartementet Finansdepartementet, </w:t>
      </w:r>
      <w:r w:rsidRPr="00907907">
        <w:rPr>
          <w:rFonts w:eastAsia="Times New Roman" w:cs="Times New Roman"/>
          <w:i/>
          <w:iCs/>
          <w:color w:val="000000"/>
          <w:sz w:val="20"/>
          <w:szCs w:val="20"/>
          <w:shd w:val="clear" w:color="auto" w:fill="FFFFFF"/>
        </w:rPr>
        <w:t>Norges Veterinærhøgskole Kvalitetssikring Av Konseptvalg (KS 1)</w:t>
      </w:r>
      <w:r w:rsidRPr="00907907">
        <w:rPr>
          <w:rFonts w:eastAsia="Times New Roman" w:cs="Times New Roman"/>
          <w:color w:val="000000"/>
          <w:sz w:val="20"/>
          <w:szCs w:val="20"/>
          <w:shd w:val="clear" w:color="auto" w:fill="FFFFFF"/>
        </w:rPr>
        <w:t xml:space="preserve"> (2006), pp. 19-20.</w:t>
      </w:r>
    </w:p>
    <w:p w14:paraId="7165606C" w14:textId="4A9188C7" w:rsidR="00C22AF4" w:rsidRPr="00907907" w:rsidRDefault="00C22AF4">
      <w:pPr>
        <w:pStyle w:val="EndnoteText"/>
        <w:rPr>
          <w:rFonts w:cs="Times New Roman"/>
          <w:sz w:val="20"/>
          <w:szCs w:val="20"/>
        </w:rPr>
      </w:pPr>
    </w:p>
  </w:endnote>
  <w:endnote w:id="59">
    <w:p w14:paraId="15407BEB" w14:textId="1DA246B5" w:rsidR="00C22AF4" w:rsidRPr="00907907" w:rsidRDefault="00C22AF4">
      <w:pPr>
        <w:pStyle w:val="EndnoteText"/>
        <w:rPr>
          <w:rFonts w:cs="Times New Roman"/>
          <w:sz w:val="20"/>
          <w:szCs w:val="20"/>
        </w:rPr>
      </w:pPr>
      <w:r w:rsidRPr="00907907">
        <w:rPr>
          <w:rStyle w:val="EndnoteReference"/>
          <w:rFonts w:cs="Times New Roman"/>
          <w:sz w:val="20"/>
          <w:szCs w:val="20"/>
        </w:rPr>
        <w:endnoteRef/>
      </w:r>
      <w:r w:rsidRPr="00907907">
        <w:rPr>
          <w:rFonts w:cs="Times New Roman"/>
          <w:sz w:val="20"/>
          <w:szCs w:val="20"/>
        </w:rPr>
        <w:t xml:space="preserve"> </w:t>
      </w:r>
      <w:r w:rsidRPr="00907907">
        <w:rPr>
          <w:rFonts w:eastAsia="Times New Roman" w:cs="Times New Roman"/>
          <w:color w:val="000000"/>
          <w:sz w:val="20"/>
          <w:szCs w:val="20"/>
          <w:shd w:val="clear" w:color="auto" w:fill="FFFFFF"/>
        </w:rPr>
        <w:t>Kunnskapsdepartementet utført av Rambøll, </w:t>
      </w:r>
      <w:r w:rsidRPr="00907907">
        <w:rPr>
          <w:rFonts w:eastAsia="Times New Roman" w:cs="Times New Roman"/>
          <w:i/>
          <w:iCs/>
          <w:color w:val="000000"/>
          <w:sz w:val="20"/>
          <w:szCs w:val="20"/>
          <w:shd w:val="clear" w:color="auto" w:fill="FFFFFF"/>
        </w:rPr>
        <w:t>KVU Framtidig Lokalisering Av Campus NTNU Konseptvalgutredning</w:t>
      </w:r>
      <w:r w:rsidRPr="00907907">
        <w:rPr>
          <w:rFonts w:eastAsia="Times New Roman" w:cs="Times New Roman"/>
          <w:color w:val="000000"/>
          <w:sz w:val="20"/>
          <w:szCs w:val="20"/>
          <w:shd w:val="clear" w:color="auto" w:fill="FFFFFF"/>
        </w:rPr>
        <w:t> (Trondheim, 2014), 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ourier">
    <w:panose1 w:val="02000500000000000000"/>
    <w:charset w:val="00"/>
    <w:family w:val="auto"/>
    <w:pitch w:val="variable"/>
    <w:sig w:usb0="00000003" w:usb1="00000000" w:usb2="00000000" w:usb3="00000000" w:csb0="00000001" w:csb1="00000000"/>
  </w:font>
  <w:font w:name="VistaSansLigh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F7B9" w14:textId="77777777" w:rsidR="006E75E0" w:rsidRDefault="006E75E0" w:rsidP="009F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B759AB" w14:textId="77777777" w:rsidR="006E75E0" w:rsidRDefault="006E75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4E9A" w14:textId="77777777" w:rsidR="006E75E0" w:rsidRDefault="006E75E0" w:rsidP="009F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5F8E6B" w14:textId="77777777" w:rsidR="006E75E0" w:rsidRDefault="006E75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B602" w14:textId="77777777" w:rsidR="00C22AF4" w:rsidRDefault="00C22AF4" w:rsidP="002A63F6">
      <w:r>
        <w:separator/>
      </w:r>
    </w:p>
  </w:footnote>
  <w:footnote w:type="continuationSeparator" w:id="0">
    <w:p w14:paraId="15815D60" w14:textId="77777777" w:rsidR="00C22AF4" w:rsidRDefault="00C22AF4" w:rsidP="002A6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1588" w14:textId="77777777" w:rsidR="00C22AF4" w:rsidRPr="00263953" w:rsidRDefault="00C22AF4" w:rsidP="002A63F6">
    <w:pPr>
      <w:jc w:val="right"/>
      <w:outlineLvl w:val="0"/>
      <w:rPr>
        <w:rFonts w:ascii="VistaSansLight" w:hAnsi="VistaSansLight"/>
        <w:sz w:val="21"/>
        <w:szCs w:val="21"/>
        <w:lang w:val="en-GB"/>
      </w:rPr>
    </w:pPr>
    <w:r w:rsidRPr="00263953">
      <w:rPr>
        <w:rFonts w:ascii="VistaSansLight" w:hAnsi="VistaSansLight"/>
        <w:sz w:val="21"/>
        <w:szCs w:val="21"/>
        <w:lang w:val="en-GB"/>
      </w:rPr>
      <w:t xml:space="preserve">A. </w:t>
    </w:r>
    <w:r w:rsidRPr="00263953">
      <w:rPr>
        <w:rFonts w:ascii="VistaSansLight" w:hAnsi="VistaSansLight" w:hint="eastAsia"/>
        <w:sz w:val="21"/>
        <w:szCs w:val="21"/>
        <w:lang w:val="en-GB"/>
      </w:rPr>
      <w:t>Scientific article</w:t>
    </w:r>
    <w:r w:rsidRPr="00263953">
      <w:rPr>
        <w:rFonts w:ascii="VistaSansLight" w:hAnsi="VistaSansLight"/>
        <w:sz w:val="21"/>
        <w:szCs w:val="21"/>
        <w:lang w:val="en-GB"/>
      </w:rPr>
      <w:t>s</w:t>
    </w:r>
  </w:p>
  <w:p w14:paraId="402DE0F7" w14:textId="77777777" w:rsidR="00C22AF4" w:rsidRDefault="00C22A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4FE"/>
    <w:multiLevelType w:val="hybridMultilevel"/>
    <w:tmpl w:val="A9D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04A2C"/>
    <w:rsid w:val="00006132"/>
    <w:rsid w:val="00007DEE"/>
    <w:rsid w:val="000147D6"/>
    <w:rsid w:val="0002264C"/>
    <w:rsid w:val="00024267"/>
    <w:rsid w:val="000267AD"/>
    <w:rsid w:val="000340C9"/>
    <w:rsid w:val="00042268"/>
    <w:rsid w:val="00042DB1"/>
    <w:rsid w:val="000433B1"/>
    <w:rsid w:val="00044269"/>
    <w:rsid w:val="00046819"/>
    <w:rsid w:val="0004705D"/>
    <w:rsid w:val="00054C34"/>
    <w:rsid w:val="00055B80"/>
    <w:rsid w:val="00065966"/>
    <w:rsid w:val="00065D35"/>
    <w:rsid w:val="00067547"/>
    <w:rsid w:val="00070FE6"/>
    <w:rsid w:val="00071E44"/>
    <w:rsid w:val="00074550"/>
    <w:rsid w:val="0007503F"/>
    <w:rsid w:val="00075F63"/>
    <w:rsid w:val="00082811"/>
    <w:rsid w:val="00084558"/>
    <w:rsid w:val="000874C8"/>
    <w:rsid w:val="00091999"/>
    <w:rsid w:val="00092B11"/>
    <w:rsid w:val="000975E8"/>
    <w:rsid w:val="000A0FCB"/>
    <w:rsid w:val="000A3167"/>
    <w:rsid w:val="000B2BB6"/>
    <w:rsid w:val="000C6F26"/>
    <w:rsid w:val="000D03D4"/>
    <w:rsid w:val="000D697A"/>
    <w:rsid w:val="000E648C"/>
    <w:rsid w:val="000F2D03"/>
    <w:rsid w:val="000F3B85"/>
    <w:rsid w:val="000F3E79"/>
    <w:rsid w:val="000F40C7"/>
    <w:rsid w:val="001024E8"/>
    <w:rsid w:val="00104246"/>
    <w:rsid w:val="0010524B"/>
    <w:rsid w:val="0011143C"/>
    <w:rsid w:val="00112E1D"/>
    <w:rsid w:val="001158D7"/>
    <w:rsid w:val="00125115"/>
    <w:rsid w:val="0012575C"/>
    <w:rsid w:val="001307D0"/>
    <w:rsid w:val="00130FF1"/>
    <w:rsid w:val="00141604"/>
    <w:rsid w:val="00152323"/>
    <w:rsid w:val="00154431"/>
    <w:rsid w:val="00154ED8"/>
    <w:rsid w:val="001571A8"/>
    <w:rsid w:val="00162709"/>
    <w:rsid w:val="00162D49"/>
    <w:rsid w:val="001637C3"/>
    <w:rsid w:val="00165AF8"/>
    <w:rsid w:val="00166617"/>
    <w:rsid w:val="00171AD2"/>
    <w:rsid w:val="00183480"/>
    <w:rsid w:val="00185573"/>
    <w:rsid w:val="00185ABF"/>
    <w:rsid w:val="00185E26"/>
    <w:rsid w:val="001915A3"/>
    <w:rsid w:val="00193497"/>
    <w:rsid w:val="001946C6"/>
    <w:rsid w:val="001969B3"/>
    <w:rsid w:val="001972FF"/>
    <w:rsid w:val="001976C8"/>
    <w:rsid w:val="001A29D8"/>
    <w:rsid w:val="001A42F5"/>
    <w:rsid w:val="001A5D01"/>
    <w:rsid w:val="001A6CB7"/>
    <w:rsid w:val="001B12BE"/>
    <w:rsid w:val="001B2707"/>
    <w:rsid w:val="001B7E08"/>
    <w:rsid w:val="001C0C23"/>
    <w:rsid w:val="001C4FA7"/>
    <w:rsid w:val="001C5EFA"/>
    <w:rsid w:val="001D335A"/>
    <w:rsid w:val="001D7ACC"/>
    <w:rsid w:val="001E00DB"/>
    <w:rsid w:val="001E074B"/>
    <w:rsid w:val="001F11D9"/>
    <w:rsid w:val="001F59D4"/>
    <w:rsid w:val="001F7D2F"/>
    <w:rsid w:val="00203AE7"/>
    <w:rsid w:val="0020720C"/>
    <w:rsid w:val="00210863"/>
    <w:rsid w:val="00211805"/>
    <w:rsid w:val="00211EE8"/>
    <w:rsid w:val="00211F2F"/>
    <w:rsid w:val="002127ED"/>
    <w:rsid w:val="00217147"/>
    <w:rsid w:val="00217F62"/>
    <w:rsid w:val="00220AFC"/>
    <w:rsid w:val="00221FA2"/>
    <w:rsid w:val="00223ED6"/>
    <w:rsid w:val="00224E41"/>
    <w:rsid w:val="00225934"/>
    <w:rsid w:val="0022689C"/>
    <w:rsid w:val="002310C0"/>
    <w:rsid w:val="002311B2"/>
    <w:rsid w:val="00231352"/>
    <w:rsid w:val="00233096"/>
    <w:rsid w:val="002334C7"/>
    <w:rsid w:val="002345C4"/>
    <w:rsid w:val="002365F8"/>
    <w:rsid w:val="00236B6E"/>
    <w:rsid w:val="0024394F"/>
    <w:rsid w:val="00245CD0"/>
    <w:rsid w:val="002463E7"/>
    <w:rsid w:val="00252316"/>
    <w:rsid w:val="00257F50"/>
    <w:rsid w:val="00260EFA"/>
    <w:rsid w:val="002638BE"/>
    <w:rsid w:val="00265E1B"/>
    <w:rsid w:val="00266CEC"/>
    <w:rsid w:val="00270631"/>
    <w:rsid w:val="0027771D"/>
    <w:rsid w:val="0028023D"/>
    <w:rsid w:val="00280318"/>
    <w:rsid w:val="00280C32"/>
    <w:rsid w:val="00286492"/>
    <w:rsid w:val="00286C72"/>
    <w:rsid w:val="00294AFC"/>
    <w:rsid w:val="0029686E"/>
    <w:rsid w:val="00297D51"/>
    <w:rsid w:val="002A3432"/>
    <w:rsid w:val="002A63F6"/>
    <w:rsid w:val="002B27F3"/>
    <w:rsid w:val="002C20F1"/>
    <w:rsid w:val="002D1101"/>
    <w:rsid w:val="002D1C4D"/>
    <w:rsid w:val="002D39ED"/>
    <w:rsid w:val="002E0178"/>
    <w:rsid w:val="002E10E1"/>
    <w:rsid w:val="002E4D83"/>
    <w:rsid w:val="002E6066"/>
    <w:rsid w:val="002E7A0F"/>
    <w:rsid w:val="002F2530"/>
    <w:rsid w:val="002F515C"/>
    <w:rsid w:val="002F55D3"/>
    <w:rsid w:val="002F5D2B"/>
    <w:rsid w:val="00305196"/>
    <w:rsid w:val="0030594B"/>
    <w:rsid w:val="0031245B"/>
    <w:rsid w:val="00313955"/>
    <w:rsid w:val="00315974"/>
    <w:rsid w:val="00317B35"/>
    <w:rsid w:val="00320693"/>
    <w:rsid w:val="00320EA8"/>
    <w:rsid w:val="00321217"/>
    <w:rsid w:val="00323558"/>
    <w:rsid w:val="003235BF"/>
    <w:rsid w:val="00323B2E"/>
    <w:rsid w:val="00325750"/>
    <w:rsid w:val="00326995"/>
    <w:rsid w:val="00327C3F"/>
    <w:rsid w:val="003312E7"/>
    <w:rsid w:val="00333FBD"/>
    <w:rsid w:val="00334374"/>
    <w:rsid w:val="00334C41"/>
    <w:rsid w:val="00340EEA"/>
    <w:rsid w:val="00342C50"/>
    <w:rsid w:val="003436AC"/>
    <w:rsid w:val="00345831"/>
    <w:rsid w:val="003458F8"/>
    <w:rsid w:val="00345E99"/>
    <w:rsid w:val="00346F85"/>
    <w:rsid w:val="00350086"/>
    <w:rsid w:val="00353541"/>
    <w:rsid w:val="003544CB"/>
    <w:rsid w:val="00355341"/>
    <w:rsid w:val="003557B3"/>
    <w:rsid w:val="00355D55"/>
    <w:rsid w:val="00361CD3"/>
    <w:rsid w:val="003623DE"/>
    <w:rsid w:val="003629E6"/>
    <w:rsid w:val="00362FBE"/>
    <w:rsid w:val="00364096"/>
    <w:rsid w:val="00364962"/>
    <w:rsid w:val="00365972"/>
    <w:rsid w:val="00366147"/>
    <w:rsid w:val="003705D8"/>
    <w:rsid w:val="003758DE"/>
    <w:rsid w:val="003776C4"/>
    <w:rsid w:val="00381A46"/>
    <w:rsid w:val="00384225"/>
    <w:rsid w:val="00385A4E"/>
    <w:rsid w:val="00390182"/>
    <w:rsid w:val="0039045C"/>
    <w:rsid w:val="00390526"/>
    <w:rsid w:val="003925F0"/>
    <w:rsid w:val="003949CF"/>
    <w:rsid w:val="00395C36"/>
    <w:rsid w:val="00397CBB"/>
    <w:rsid w:val="003A7501"/>
    <w:rsid w:val="003B04E0"/>
    <w:rsid w:val="003B268F"/>
    <w:rsid w:val="003C4483"/>
    <w:rsid w:val="003C629C"/>
    <w:rsid w:val="003D27FC"/>
    <w:rsid w:val="003D5EC0"/>
    <w:rsid w:val="003E33B9"/>
    <w:rsid w:val="003E3E7F"/>
    <w:rsid w:val="003E6D3A"/>
    <w:rsid w:val="003E7195"/>
    <w:rsid w:val="003F1C2D"/>
    <w:rsid w:val="003F4AC8"/>
    <w:rsid w:val="003F7263"/>
    <w:rsid w:val="00402447"/>
    <w:rsid w:val="00406402"/>
    <w:rsid w:val="004158EB"/>
    <w:rsid w:val="00416451"/>
    <w:rsid w:val="00416866"/>
    <w:rsid w:val="004204E5"/>
    <w:rsid w:val="0042444A"/>
    <w:rsid w:val="00433FC6"/>
    <w:rsid w:val="00436A77"/>
    <w:rsid w:val="00451FAA"/>
    <w:rsid w:val="00453C0B"/>
    <w:rsid w:val="004552E8"/>
    <w:rsid w:val="00470215"/>
    <w:rsid w:val="0047036B"/>
    <w:rsid w:val="00471EEE"/>
    <w:rsid w:val="00472204"/>
    <w:rsid w:val="00475EC6"/>
    <w:rsid w:val="00476A1D"/>
    <w:rsid w:val="00476E1C"/>
    <w:rsid w:val="00483200"/>
    <w:rsid w:val="00483CBA"/>
    <w:rsid w:val="00484016"/>
    <w:rsid w:val="004843FF"/>
    <w:rsid w:val="00484C81"/>
    <w:rsid w:val="00485D92"/>
    <w:rsid w:val="00491262"/>
    <w:rsid w:val="0049389E"/>
    <w:rsid w:val="004969C6"/>
    <w:rsid w:val="00497A90"/>
    <w:rsid w:val="004A28E9"/>
    <w:rsid w:val="004A5340"/>
    <w:rsid w:val="004B2456"/>
    <w:rsid w:val="004B300E"/>
    <w:rsid w:val="004C45BF"/>
    <w:rsid w:val="004C6FD6"/>
    <w:rsid w:val="004D1610"/>
    <w:rsid w:val="004D1ADB"/>
    <w:rsid w:val="004D4CBB"/>
    <w:rsid w:val="004D6755"/>
    <w:rsid w:val="004D7198"/>
    <w:rsid w:val="004D773F"/>
    <w:rsid w:val="004E0D79"/>
    <w:rsid w:val="004E103E"/>
    <w:rsid w:val="004E5A7F"/>
    <w:rsid w:val="004F4B07"/>
    <w:rsid w:val="004F4FF5"/>
    <w:rsid w:val="004F6EC1"/>
    <w:rsid w:val="004F74DF"/>
    <w:rsid w:val="0050048D"/>
    <w:rsid w:val="00500AE1"/>
    <w:rsid w:val="0050136F"/>
    <w:rsid w:val="005043EE"/>
    <w:rsid w:val="005047D5"/>
    <w:rsid w:val="00505D39"/>
    <w:rsid w:val="00510BCB"/>
    <w:rsid w:val="00514413"/>
    <w:rsid w:val="005172B7"/>
    <w:rsid w:val="0051771C"/>
    <w:rsid w:val="00520812"/>
    <w:rsid w:val="005269CD"/>
    <w:rsid w:val="00527D3B"/>
    <w:rsid w:val="00532A4C"/>
    <w:rsid w:val="00533096"/>
    <w:rsid w:val="00533E5A"/>
    <w:rsid w:val="005355ED"/>
    <w:rsid w:val="00537B1A"/>
    <w:rsid w:val="00541225"/>
    <w:rsid w:val="005469DD"/>
    <w:rsid w:val="0055032B"/>
    <w:rsid w:val="005503E2"/>
    <w:rsid w:val="00553972"/>
    <w:rsid w:val="00554413"/>
    <w:rsid w:val="005558DB"/>
    <w:rsid w:val="005566E0"/>
    <w:rsid w:val="00556976"/>
    <w:rsid w:val="0056260D"/>
    <w:rsid w:val="00564A76"/>
    <w:rsid w:val="00567B09"/>
    <w:rsid w:val="00567CFC"/>
    <w:rsid w:val="00572AE6"/>
    <w:rsid w:val="005750C4"/>
    <w:rsid w:val="0057602D"/>
    <w:rsid w:val="0058061B"/>
    <w:rsid w:val="00580F5F"/>
    <w:rsid w:val="005842C0"/>
    <w:rsid w:val="0058483F"/>
    <w:rsid w:val="005867EF"/>
    <w:rsid w:val="005907BD"/>
    <w:rsid w:val="00591790"/>
    <w:rsid w:val="005927B8"/>
    <w:rsid w:val="00592E8B"/>
    <w:rsid w:val="00594FAE"/>
    <w:rsid w:val="00596144"/>
    <w:rsid w:val="0059759B"/>
    <w:rsid w:val="00597CC2"/>
    <w:rsid w:val="005B0347"/>
    <w:rsid w:val="005B188D"/>
    <w:rsid w:val="005B3DD9"/>
    <w:rsid w:val="005B5D59"/>
    <w:rsid w:val="005C0A0E"/>
    <w:rsid w:val="005C1747"/>
    <w:rsid w:val="005C4C15"/>
    <w:rsid w:val="005C53AA"/>
    <w:rsid w:val="005C5D76"/>
    <w:rsid w:val="005D3C85"/>
    <w:rsid w:val="005D3E21"/>
    <w:rsid w:val="005E01A8"/>
    <w:rsid w:val="005E0E82"/>
    <w:rsid w:val="005E296D"/>
    <w:rsid w:val="005F30DE"/>
    <w:rsid w:val="005F6943"/>
    <w:rsid w:val="0060040B"/>
    <w:rsid w:val="006024CE"/>
    <w:rsid w:val="00604140"/>
    <w:rsid w:val="00604D7E"/>
    <w:rsid w:val="00610994"/>
    <w:rsid w:val="006114CF"/>
    <w:rsid w:val="006128D7"/>
    <w:rsid w:val="00613241"/>
    <w:rsid w:val="00613F09"/>
    <w:rsid w:val="0061444D"/>
    <w:rsid w:val="00617945"/>
    <w:rsid w:val="006217C8"/>
    <w:rsid w:val="006248C2"/>
    <w:rsid w:val="00626DDA"/>
    <w:rsid w:val="00626E3B"/>
    <w:rsid w:val="0063272E"/>
    <w:rsid w:val="006366C1"/>
    <w:rsid w:val="0063712C"/>
    <w:rsid w:val="00637E4E"/>
    <w:rsid w:val="00642441"/>
    <w:rsid w:val="00644629"/>
    <w:rsid w:val="006517C3"/>
    <w:rsid w:val="00651DD3"/>
    <w:rsid w:val="00653FC3"/>
    <w:rsid w:val="00655E5B"/>
    <w:rsid w:val="00660A34"/>
    <w:rsid w:val="00660D2B"/>
    <w:rsid w:val="006629E2"/>
    <w:rsid w:val="006675E4"/>
    <w:rsid w:val="00667F57"/>
    <w:rsid w:val="006758B9"/>
    <w:rsid w:val="00676045"/>
    <w:rsid w:val="00681CE7"/>
    <w:rsid w:val="00682081"/>
    <w:rsid w:val="00682931"/>
    <w:rsid w:val="00694420"/>
    <w:rsid w:val="006971BF"/>
    <w:rsid w:val="006A66CA"/>
    <w:rsid w:val="006A6D35"/>
    <w:rsid w:val="006B0843"/>
    <w:rsid w:val="006B1034"/>
    <w:rsid w:val="006C2326"/>
    <w:rsid w:val="006C5413"/>
    <w:rsid w:val="006C69B7"/>
    <w:rsid w:val="006C72BF"/>
    <w:rsid w:val="006D396B"/>
    <w:rsid w:val="006D671E"/>
    <w:rsid w:val="006D68C2"/>
    <w:rsid w:val="006D6DB1"/>
    <w:rsid w:val="006E75E0"/>
    <w:rsid w:val="006F1410"/>
    <w:rsid w:val="006F1923"/>
    <w:rsid w:val="006F42FA"/>
    <w:rsid w:val="006F4F4E"/>
    <w:rsid w:val="006F6771"/>
    <w:rsid w:val="00703665"/>
    <w:rsid w:val="0070423C"/>
    <w:rsid w:val="00705447"/>
    <w:rsid w:val="0070555B"/>
    <w:rsid w:val="00705677"/>
    <w:rsid w:val="00707B34"/>
    <w:rsid w:val="00711F5A"/>
    <w:rsid w:val="00716777"/>
    <w:rsid w:val="007171D2"/>
    <w:rsid w:val="00722262"/>
    <w:rsid w:val="00724376"/>
    <w:rsid w:val="007266E7"/>
    <w:rsid w:val="0072693E"/>
    <w:rsid w:val="007439FA"/>
    <w:rsid w:val="00745062"/>
    <w:rsid w:val="00747356"/>
    <w:rsid w:val="00751495"/>
    <w:rsid w:val="007521DE"/>
    <w:rsid w:val="0075675A"/>
    <w:rsid w:val="00763A92"/>
    <w:rsid w:val="007709B5"/>
    <w:rsid w:val="0077172B"/>
    <w:rsid w:val="00771AC8"/>
    <w:rsid w:val="0077228E"/>
    <w:rsid w:val="00772491"/>
    <w:rsid w:val="00781815"/>
    <w:rsid w:val="00781F03"/>
    <w:rsid w:val="00782C43"/>
    <w:rsid w:val="00783040"/>
    <w:rsid w:val="007835CE"/>
    <w:rsid w:val="00783775"/>
    <w:rsid w:val="00783E55"/>
    <w:rsid w:val="00784DE9"/>
    <w:rsid w:val="00786E3B"/>
    <w:rsid w:val="007942B7"/>
    <w:rsid w:val="007A2503"/>
    <w:rsid w:val="007A4D78"/>
    <w:rsid w:val="007A5B1A"/>
    <w:rsid w:val="007B0690"/>
    <w:rsid w:val="007B71BE"/>
    <w:rsid w:val="007C0990"/>
    <w:rsid w:val="007C4325"/>
    <w:rsid w:val="007C5331"/>
    <w:rsid w:val="007C5BA2"/>
    <w:rsid w:val="007C5C4C"/>
    <w:rsid w:val="007C6FBE"/>
    <w:rsid w:val="007D1080"/>
    <w:rsid w:val="007D63DF"/>
    <w:rsid w:val="007D644C"/>
    <w:rsid w:val="007D7CD6"/>
    <w:rsid w:val="007E2C08"/>
    <w:rsid w:val="007E6F62"/>
    <w:rsid w:val="007F0C4D"/>
    <w:rsid w:val="00800B7B"/>
    <w:rsid w:val="00802352"/>
    <w:rsid w:val="00804502"/>
    <w:rsid w:val="008054D6"/>
    <w:rsid w:val="008077E5"/>
    <w:rsid w:val="008115C1"/>
    <w:rsid w:val="008139A5"/>
    <w:rsid w:val="00817161"/>
    <w:rsid w:val="008302FD"/>
    <w:rsid w:val="00831A2F"/>
    <w:rsid w:val="008329D3"/>
    <w:rsid w:val="00832B62"/>
    <w:rsid w:val="008351FA"/>
    <w:rsid w:val="00845C25"/>
    <w:rsid w:val="0084682A"/>
    <w:rsid w:val="00853622"/>
    <w:rsid w:val="00855DF0"/>
    <w:rsid w:val="008567C3"/>
    <w:rsid w:val="0086162D"/>
    <w:rsid w:val="00865D50"/>
    <w:rsid w:val="00865E03"/>
    <w:rsid w:val="008661DE"/>
    <w:rsid w:val="00867016"/>
    <w:rsid w:val="008863BB"/>
    <w:rsid w:val="00890E78"/>
    <w:rsid w:val="008917F4"/>
    <w:rsid w:val="00891BC8"/>
    <w:rsid w:val="00892235"/>
    <w:rsid w:val="00893047"/>
    <w:rsid w:val="00894051"/>
    <w:rsid w:val="008969C6"/>
    <w:rsid w:val="008A0B4B"/>
    <w:rsid w:val="008A1E16"/>
    <w:rsid w:val="008A26C1"/>
    <w:rsid w:val="008A3113"/>
    <w:rsid w:val="008A6729"/>
    <w:rsid w:val="008B0117"/>
    <w:rsid w:val="008B340E"/>
    <w:rsid w:val="008B5648"/>
    <w:rsid w:val="008B5693"/>
    <w:rsid w:val="008B579B"/>
    <w:rsid w:val="008B60AA"/>
    <w:rsid w:val="008C3B8F"/>
    <w:rsid w:val="008C4945"/>
    <w:rsid w:val="008C6090"/>
    <w:rsid w:val="008C60A6"/>
    <w:rsid w:val="008C722C"/>
    <w:rsid w:val="008D0FA9"/>
    <w:rsid w:val="008D1644"/>
    <w:rsid w:val="008D1CA3"/>
    <w:rsid w:val="008D2991"/>
    <w:rsid w:val="008D2E54"/>
    <w:rsid w:val="008E3B7C"/>
    <w:rsid w:val="008E7542"/>
    <w:rsid w:val="008E7AD5"/>
    <w:rsid w:val="008F6665"/>
    <w:rsid w:val="008F7B0D"/>
    <w:rsid w:val="00907907"/>
    <w:rsid w:val="00912AF8"/>
    <w:rsid w:val="00912F98"/>
    <w:rsid w:val="00920E85"/>
    <w:rsid w:val="00922CED"/>
    <w:rsid w:val="00924353"/>
    <w:rsid w:val="009275AD"/>
    <w:rsid w:val="00935592"/>
    <w:rsid w:val="00937980"/>
    <w:rsid w:val="00940636"/>
    <w:rsid w:val="00943C30"/>
    <w:rsid w:val="009445A8"/>
    <w:rsid w:val="00956582"/>
    <w:rsid w:val="00957B44"/>
    <w:rsid w:val="00960927"/>
    <w:rsid w:val="00963218"/>
    <w:rsid w:val="00964D89"/>
    <w:rsid w:val="00966582"/>
    <w:rsid w:val="00966954"/>
    <w:rsid w:val="009669FA"/>
    <w:rsid w:val="00966B3E"/>
    <w:rsid w:val="00974799"/>
    <w:rsid w:val="009757D8"/>
    <w:rsid w:val="00977CEB"/>
    <w:rsid w:val="009800FB"/>
    <w:rsid w:val="00981F69"/>
    <w:rsid w:val="00982355"/>
    <w:rsid w:val="00985BF6"/>
    <w:rsid w:val="009860CC"/>
    <w:rsid w:val="00986152"/>
    <w:rsid w:val="009862D9"/>
    <w:rsid w:val="00993295"/>
    <w:rsid w:val="00993DBC"/>
    <w:rsid w:val="0099420A"/>
    <w:rsid w:val="009A2F8F"/>
    <w:rsid w:val="009B1662"/>
    <w:rsid w:val="009B3902"/>
    <w:rsid w:val="009B5388"/>
    <w:rsid w:val="009C0135"/>
    <w:rsid w:val="009C1C02"/>
    <w:rsid w:val="009C2315"/>
    <w:rsid w:val="009D2787"/>
    <w:rsid w:val="009D698F"/>
    <w:rsid w:val="009E215C"/>
    <w:rsid w:val="009F3571"/>
    <w:rsid w:val="009F43CF"/>
    <w:rsid w:val="009F5B54"/>
    <w:rsid w:val="009F65F8"/>
    <w:rsid w:val="009F6727"/>
    <w:rsid w:val="009F7093"/>
    <w:rsid w:val="009F7721"/>
    <w:rsid w:val="00A03DA6"/>
    <w:rsid w:val="00A13CBB"/>
    <w:rsid w:val="00A13E15"/>
    <w:rsid w:val="00A15E3F"/>
    <w:rsid w:val="00A223F2"/>
    <w:rsid w:val="00A44830"/>
    <w:rsid w:val="00A450AC"/>
    <w:rsid w:val="00A506E9"/>
    <w:rsid w:val="00A53D17"/>
    <w:rsid w:val="00A562A7"/>
    <w:rsid w:val="00A56FEB"/>
    <w:rsid w:val="00A60956"/>
    <w:rsid w:val="00A6215B"/>
    <w:rsid w:val="00A63509"/>
    <w:rsid w:val="00A63858"/>
    <w:rsid w:val="00A6607B"/>
    <w:rsid w:val="00A707EE"/>
    <w:rsid w:val="00A73A87"/>
    <w:rsid w:val="00A7531D"/>
    <w:rsid w:val="00A76161"/>
    <w:rsid w:val="00A77F26"/>
    <w:rsid w:val="00A8171F"/>
    <w:rsid w:val="00A8617F"/>
    <w:rsid w:val="00A906D8"/>
    <w:rsid w:val="00A9544C"/>
    <w:rsid w:val="00AA247D"/>
    <w:rsid w:val="00AA3BE7"/>
    <w:rsid w:val="00AA3D2D"/>
    <w:rsid w:val="00AA7D1A"/>
    <w:rsid w:val="00AB4214"/>
    <w:rsid w:val="00AB5A74"/>
    <w:rsid w:val="00AB6472"/>
    <w:rsid w:val="00AC0ADC"/>
    <w:rsid w:val="00AC3B78"/>
    <w:rsid w:val="00AD2048"/>
    <w:rsid w:val="00AD4967"/>
    <w:rsid w:val="00AD5DB4"/>
    <w:rsid w:val="00AD7CA2"/>
    <w:rsid w:val="00AE314B"/>
    <w:rsid w:val="00AF04DA"/>
    <w:rsid w:val="00AF2F73"/>
    <w:rsid w:val="00AF3381"/>
    <w:rsid w:val="00AF343F"/>
    <w:rsid w:val="00AF65CD"/>
    <w:rsid w:val="00AF6D08"/>
    <w:rsid w:val="00AF6F7F"/>
    <w:rsid w:val="00B0006F"/>
    <w:rsid w:val="00B00E60"/>
    <w:rsid w:val="00B00F4A"/>
    <w:rsid w:val="00B02A7D"/>
    <w:rsid w:val="00B06D69"/>
    <w:rsid w:val="00B12BFF"/>
    <w:rsid w:val="00B13553"/>
    <w:rsid w:val="00B20979"/>
    <w:rsid w:val="00B21DE1"/>
    <w:rsid w:val="00B229C3"/>
    <w:rsid w:val="00B22DF2"/>
    <w:rsid w:val="00B24882"/>
    <w:rsid w:val="00B24B11"/>
    <w:rsid w:val="00B25D90"/>
    <w:rsid w:val="00B32A76"/>
    <w:rsid w:val="00B436D8"/>
    <w:rsid w:val="00B43F86"/>
    <w:rsid w:val="00B46E2C"/>
    <w:rsid w:val="00B46E50"/>
    <w:rsid w:val="00B55135"/>
    <w:rsid w:val="00B6061C"/>
    <w:rsid w:val="00B62AD8"/>
    <w:rsid w:val="00B657D0"/>
    <w:rsid w:val="00B6710C"/>
    <w:rsid w:val="00B73426"/>
    <w:rsid w:val="00B766B2"/>
    <w:rsid w:val="00B90151"/>
    <w:rsid w:val="00B93851"/>
    <w:rsid w:val="00B96715"/>
    <w:rsid w:val="00BA6805"/>
    <w:rsid w:val="00BB0AF0"/>
    <w:rsid w:val="00BB148A"/>
    <w:rsid w:val="00BB1B9C"/>
    <w:rsid w:val="00BB2F25"/>
    <w:rsid w:val="00BB7204"/>
    <w:rsid w:val="00BB72D8"/>
    <w:rsid w:val="00BB764B"/>
    <w:rsid w:val="00BB7DAC"/>
    <w:rsid w:val="00BD216A"/>
    <w:rsid w:val="00BD4830"/>
    <w:rsid w:val="00BD5EC2"/>
    <w:rsid w:val="00BD61E2"/>
    <w:rsid w:val="00BE25F1"/>
    <w:rsid w:val="00BE2AF2"/>
    <w:rsid w:val="00BE40E4"/>
    <w:rsid w:val="00C01D6D"/>
    <w:rsid w:val="00C01EF3"/>
    <w:rsid w:val="00C0586B"/>
    <w:rsid w:val="00C068B8"/>
    <w:rsid w:val="00C06E06"/>
    <w:rsid w:val="00C06F50"/>
    <w:rsid w:val="00C12CE4"/>
    <w:rsid w:val="00C22AF4"/>
    <w:rsid w:val="00C26629"/>
    <w:rsid w:val="00C30C0B"/>
    <w:rsid w:val="00C312B9"/>
    <w:rsid w:val="00C35E64"/>
    <w:rsid w:val="00C43710"/>
    <w:rsid w:val="00C452F9"/>
    <w:rsid w:val="00C509A5"/>
    <w:rsid w:val="00C55767"/>
    <w:rsid w:val="00C55F26"/>
    <w:rsid w:val="00C6417D"/>
    <w:rsid w:val="00C64A74"/>
    <w:rsid w:val="00C64B29"/>
    <w:rsid w:val="00C67F90"/>
    <w:rsid w:val="00C77AD4"/>
    <w:rsid w:val="00C8353F"/>
    <w:rsid w:val="00C83C3A"/>
    <w:rsid w:val="00C85D34"/>
    <w:rsid w:val="00C8745A"/>
    <w:rsid w:val="00C87966"/>
    <w:rsid w:val="00C9094F"/>
    <w:rsid w:val="00C919A6"/>
    <w:rsid w:val="00C92C75"/>
    <w:rsid w:val="00C943EC"/>
    <w:rsid w:val="00CA20BC"/>
    <w:rsid w:val="00CA4130"/>
    <w:rsid w:val="00CB043B"/>
    <w:rsid w:val="00CB1EE6"/>
    <w:rsid w:val="00CB32FA"/>
    <w:rsid w:val="00CC308E"/>
    <w:rsid w:val="00CD3DA0"/>
    <w:rsid w:val="00CE1D45"/>
    <w:rsid w:val="00CE6E61"/>
    <w:rsid w:val="00CE7159"/>
    <w:rsid w:val="00CF042F"/>
    <w:rsid w:val="00CF0BB3"/>
    <w:rsid w:val="00CF381D"/>
    <w:rsid w:val="00D004EB"/>
    <w:rsid w:val="00D02C49"/>
    <w:rsid w:val="00D044DF"/>
    <w:rsid w:val="00D110E1"/>
    <w:rsid w:val="00D11844"/>
    <w:rsid w:val="00D123F7"/>
    <w:rsid w:val="00D154A1"/>
    <w:rsid w:val="00D16274"/>
    <w:rsid w:val="00D1707B"/>
    <w:rsid w:val="00D17EFF"/>
    <w:rsid w:val="00D22C3D"/>
    <w:rsid w:val="00D23E9F"/>
    <w:rsid w:val="00D272F8"/>
    <w:rsid w:val="00D27701"/>
    <w:rsid w:val="00D40A8D"/>
    <w:rsid w:val="00D41437"/>
    <w:rsid w:val="00D46DE0"/>
    <w:rsid w:val="00D504E0"/>
    <w:rsid w:val="00D51956"/>
    <w:rsid w:val="00D5394D"/>
    <w:rsid w:val="00D53DE2"/>
    <w:rsid w:val="00D55216"/>
    <w:rsid w:val="00D6722A"/>
    <w:rsid w:val="00D67A79"/>
    <w:rsid w:val="00D716CF"/>
    <w:rsid w:val="00D71D1D"/>
    <w:rsid w:val="00D73BA1"/>
    <w:rsid w:val="00D7466A"/>
    <w:rsid w:val="00D76579"/>
    <w:rsid w:val="00D771D7"/>
    <w:rsid w:val="00D777B3"/>
    <w:rsid w:val="00D77BAD"/>
    <w:rsid w:val="00D81AB3"/>
    <w:rsid w:val="00D831BE"/>
    <w:rsid w:val="00D84D18"/>
    <w:rsid w:val="00D91200"/>
    <w:rsid w:val="00D9196F"/>
    <w:rsid w:val="00D91A03"/>
    <w:rsid w:val="00D9300A"/>
    <w:rsid w:val="00DA409F"/>
    <w:rsid w:val="00DA5171"/>
    <w:rsid w:val="00DA7CC4"/>
    <w:rsid w:val="00DB1537"/>
    <w:rsid w:val="00DB2C07"/>
    <w:rsid w:val="00DB5348"/>
    <w:rsid w:val="00DC09F8"/>
    <w:rsid w:val="00DC0ABC"/>
    <w:rsid w:val="00DC3EEA"/>
    <w:rsid w:val="00DC4AF9"/>
    <w:rsid w:val="00DC6736"/>
    <w:rsid w:val="00DC6BCB"/>
    <w:rsid w:val="00DD147A"/>
    <w:rsid w:val="00DD1722"/>
    <w:rsid w:val="00DD39AC"/>
    <w:rsid w:val="00DD4A29"/>
    <w:rsid w:val="00DD6865"/>
    <w:rsid w:val="00DE0849"/>
    <w:rsid w:val="00DE386E"/>
    <w:rsid w:val="00DE5214"/>
    <w:rsid w:val="00DE6628"/>
    <w:rsid w:val="00DE7AB4"/>
    <w:rsid w:val="00DF1CC8"/>
    <w:rsid w:val="00DF44A4"/>
    <w:rsid w:val="00E048B9"/>
    <w:rsid w:val="00E07310"/>
    <w:rsid w:val="00E10285"/>
    <w:rsid w:val="00E11D6E"/>
    <w:rsid w:val="00E120A7"/>
    <w:rsid w:val="00E12D18"/>
    <w:rsid w:val="00E13B44"/>
    <w:rsid w:val="00E21B89"/>
    <w:rsid w:val="00E2338A"/>
    <w:rsid w:val="00E267B0"/>
    <w:rsid w:val="00E27A9B"/>
    <w:rsid w:val="00E32555"/>
    <w:rsid w:val="00E356BF"/>
    <w:rsid w:val="00E37207"/>
    <w:rsid w:val="00E402C4"/>
    <w:rsid w:val="00E40F16"/>
    <w:rsid w:val="00E4232A"/>
    <w:rsid w:val="00E43036"/>
    <w:rsid w:val="00E434D9"/>
    <w:rsid w:val="00E45580"/>
    <w:rsid w:val="00E53FE5"/>
    <w:rsid w:val="00E540D6"/>
    <w:rsid w:val="00E603A2"/>
    <w:rsid w:val="00E612C0"/>
    <w:rsid w:val="00E67424"/>
    <w:rsid w:val="00E72303"/>
    <w:rsid w:val="00E735F7"/>
    <w:rsid w:val="00E7440B"/>
    <w:rsid w:val="00E7467E"/>
    <w:rsid w:val="00E74CCA"/>
    <w:rsid w:val="00E7584F"/>
    <w:rsid w:val="00E80D40"/>
    <w:rsid w:val="00E8210C"/>
    <w:rsid w:val="00E82E7F"/>
    <w:rsid w:val="00E832E4"/>
    <w:rsid w:val="00E8449A"/>
    <w:rsid w:val="00E848FF"/>
    <w:rsid w:val="00EA537A"/>
    <w:rsid w:val="00EA5F9D"/>
    <w:rsid w:val="00EA6491"/>
    <w:rsid w:val="00EB1A29"/>
    <w:rsid w:val="00EB2F92"/>
    <w:rsid w:val="00EB35DC"/>
    <w:rsid w:val="00EB45C9"/>
    <w:rsid w:val="00EB615B"/>
    <w:rsid w:val="00EC34C4"/>
    <w:rsid w:val="00EC38FC"/>
    <w:rsid w:val="00EC6CBC"/>
    <w:rsid w:val="00ED208E"/>
    <w:rsid w:val="00ED2BF7"/>
    <w:rsid w:val="00ED348E"/>
    <w:rsid w:val="00EE350E"/>
    <w:rsid w:val="00EE5B3C"/>
    <w:rsid w:val="00EF0341"/>
    <w:rsid w:val="00EF5757"/>
    <w:rsid w:val="00EF6BA8"/>
    <w:rsid w:val="00EF784A"/>
    <w:rsid w:val="00F0589A"/>
    <w:rsid w:val="00F071AE"/>
    <w:rsid w:val="00F073E3"/>
    <w:rsid w:val="00F12813"/>
    <w:rsid w:val="00F1374C"/>
    <w:rsid w:val="00F13E39"/>
    <w:rsid w:val="00F1446E"/>
    <w:rsid w:val="00F24BF8"/>
    <w:rsid w:val="00F317A8"/>
    <w:rsid w:val="00F33B91"/>
    <w:rsid w:val="00F34F50"/>
    <w:rsid w:val="00F3795D"/>
    <w:rsid w:val="00F379B1"/>
    <w:rsid w:val="00F53F78"/>
    <w:rsid w:val="00F56C9B"/>
    <w:rsid w:val="00F642B9"/>
    <w:rsid w:val="00F7018B"/>
    <w:rsid w:val="00F70AD2"/>
    <w:rsid w:val="00F73766"/>
    <w:rsid w:val="00F748C0"/>
    <w:rsid w:val="00F7644E"/>
    <w:rsid w:val="00F765D6"/>
    <w:rsid w:val="00F778D6"/>
    <w:rsid w:val="00F805C7"/>
    <w:rsid w:val="00F849BC"/>
    <w:rsid w:val="00F84E3B"/>
    <w:rsid w:val="00F855F3"/>
    <w:rsid w:val="00F86F7A"/>
    <w:rsid w:val="00F87270"/>
    <w:rsid w:val="00F872AB"/>
    <w:rsid w:val="00F938D0"/>
    <w:rsid w:val="00F93F9B"/>
    <w:rsid w:val="00F94EA0"/>
    <w:rsid w:val="00FB283D"/>
    <w:rsid w:val="00FB36EE"/>
    <w:rsid w:val="00FB3C6A"/>
    <w:rsid w:val="00FB3DCD"/>
    <w:rsid w:val="00FB5296"/>
    <w:rsid w:val="00FC78F5"/>
    <w:rsid w:val="00FC7D3D"/>
    <w:rsid w:val="00FD0B0E"/>
    <w:rsid w:val="00FD4B16"/>
    <w:rsid w:val="00FE2CA3"/>
    <w:rsid w:val="00FE2D3F"/>
    <w:rsid w:val="00FE4B92"/>
    <w:rsid w:val="00FF0868"/>
    <w:rsid w:val="00FF0AE5"/>
    <w:rsid w:val="00FF3BDD"/>
    <w:rsid w:val="00FF3E82"/>
    <w:rsid w:val="00FF56E5"/>
    <w:rsid w:val="00FF6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7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56"/>
    <w:rPr>
      <w:rFonts w:ascii="Times New Roman" w:hAnsi="Times New Roman"/>
    </w:rPr>
  </w:style>
  <w:style w:type="paragraph" w:styleId="Heading1">
    <w:name w:val="heading 1"/>
    <w:basedOn w:val="Normal"/>
    <w:next w:val="Normal"/>
    <w:link w:val="Heading1Char"/>
    <w:uiPriority w:val="9"/>
    <w:qFormat/>
    <w:rsid w:val="0060040B"/>
    <w:pPr>
      <w:keepNext/>
      <w:keepLines/>
      <w:spacing w:before="480"/>
      <w:outlineLvl w:val="0"/>
    </w:pPr>
    <w:rPr>
      <w:rFonts w:eastAsiaTheme="majorEastAsia" w:cs="Times New Roman"/>
      <w:b/>
      <w:bCs/>
      <w:sz w:val="26"/>
      <w:szCs w:val="26"/>
      <w:lang w:val="en-GB"/>
    </w:rPr>
  </w:style>
  <w:style w:type="paragraph" w:styleId="Heading2">
    <w:name w:val="heading 2"/>
    <w:basedOn w:val="Normal"/>
    <w:next w:val="Normal"/>
    <w:link w:val="Heading2Char"/>
    <w:uiPriority w:val="9"/>
    <w:unhideWhenUsed/>
    <w:qFormat/>
    <w:rsid w:val="00D5195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95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E612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12C0"/>
    <w:rPr>
      <w:rFonts w:ascii="Lucida Grande" w:hAnsi="Lucida Grande" w:cs="Lucida Grande"/>
      <w:sz w:val="24"/>
      <w:szCs w:val="24"/>
    </w:rPr>
  </w:style>
  <w:style w:type="paragraph" w:styleId="BalloonText">
    <w:name w:val="Balloon Text"/>
    <w:basedOn w:val="Normal"/>
    <w:link w:val="BalloonTextChar"/>
    <w:uiPriority w:val="99"/>
    <w:semiHidden/>
    <w:unhideWhenUsed/>
    <w:rsid w:val="00E612C0"/>
    <w:rPr>
      <w:rFonts w:ascii="Lucida Grande" w:hAnsi="Lucida Grande" w:cs="Lucida Grande"/>
      <w:sz w:val="20"/>
      <w:szCs w:val="18"/>
    </w:rPr>
  </w:style>
  <w:style w:type="character" w:customStyle="1" w:styleId="BalloonTextChar">
    <w:name w:val="Balloon Text Char"/>
    <w:basedOn w:val="DefaultParagraphFont"/>
    <w:link w:val="BalloonText"/>
    <w:uiPriority w:val="99"/>
    <w:semiHidden/>
    <w:rsid w:val="00E612C0"/>
    <w:rPr>
      <w:rFonts w:ascii="Lucida Grande" w:hAnsi="Lucida Grande" w:cs="Lucida Grande"/>
      <w:sz w:val="20"/>
      <w:szCs w:val="18"/>
    </w:rPr>
  </w:style>
  <w:style w:type="character" w:customStyle="1" w:styleId="Heading1Char">
    <w:name w:val="Heading 1 Char"/>
    <w:basedOn w:val="DefaultParagraphFont"/>
    <w:link w:val="Heading1"/>
    <w:uiPriority w:val="9"/>
    <w:rsid w:val="0060040B"/>
    <w:rPr>
      <w:rFonts w:ascii="Times New Roman" w:eastAsiaTheme="majorEastAsia" w:hAnsi="Times New Roman" w:cs="Times New Roman"/>
      <w:b/>
      <w:bCs/>
      <w:sz w:val="26"/>
      <w:szCs w:val="26"/>
      <w:lang w:val="en-GB"/>
    </w:rPr>
  </w:style>
  <w:style w:type="paragraph" w:styleId="Bibliography">
    <w:name w:val="Bibliography"/>
    <w:basedOn w:val="Normal"/>
    <w:next w:val="Normal"/>
    <w:uiPriority w:val="37"/>
    <w:unhideWhenUsed/>
    <w:rsid w:val="00676045"/>
  </w:style>
  <w:style w:type="paragraph" w:styleId="Header">
    <w:name w:val="header"/>
    <w:basedOn w:val="Normal"/>
    <w:link w:val="HeaderChar"/>
    <w:uiPriority w:val="99"/>
    <w:unhideWhenUsed/>
    <w:rsid w:val="002A63F6"/>
    <w:pPr>
      <w:tabs>
        <w:tab w:val="center" w:pos="4320"/>
        <w:tab w:val="right" w:pos="8640"/>
      </w:tabs>
    </w:pPr>
  </w:style>
  <w:style w:type="character" w:customStyle="1" w:styleId="HeaderChar">
    <w:name w:val="Header Char"/>
    <w:basedOn w:val="DefaultParagraphFont"/>
    <w:link w:val="Header"/>
    <w:uiPriority w:val="99"/>
    <w:rsid w:val="002A63F6"/>
  </w:style>
  <w:style w:type="paragraph" w:styleId="Footer">
    <w:name w:val="footer"/>
    <w:basedOn w:val="Normal"/>
    <w:link w:val="FooterChar"/>
    <w:uiPriority w:val="99"/>
    <w:unhideWhenUsed/>
    <w:rsid w:val="002A63F6"/>
    <w:pPr>
      <w:tabs>
        <w:tab w:val="center" w:pos="4320"/>
        <w:tab w:val="right" w:pos="8640"/>
      </w:tabs>
    </w:pPr>
  </w:style>
  <w:style w:type="character" w:customStyle="1" w:styleId="FooterChar">
    <w:name w:val="Footer Char"/>
    <w:basedOn w:val="DefaultParagraphFont"/>
    <w:link w:val="Footer"/>
    <w:uiPriority w:val="99"/>
    <w:rsid w:val="002A63F6"/>
  </w:style>
  <w:style w:type="paragraph" w:styleId="ListParagraph">
    <w:name w:val="List Paragraph"/>
    <w:basedOn w:val="Normal"/>
    <w:uiPriority w:val="34"/>
    <w:qFormat/>
    <w:rsid w:val="008B579B"/>
    <w:pPr>
      <w:ind w:left="720"/>
      <w:contextualSpacing/>
    </w:pPr>
  </w:style>
  <w:style w:type="table" w:styleId="TableGrid">
    <w:name w:val="Table Grid"/>
    <w:basedOn w:val="TableNormal"/>
    <w:uiPriority w:val="39"/>
    <w:rsid w:val="00AD5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2E6066"/>
    <w:pPr>
      <w:ind w:left="567"/>
    </w:pPr>
    <w:rPr>
      <w:iCs/>
      <w:color w:val="000000" w:themeColor="text1"/>
      <w:sz w:val="20"/>
      <w:szCs w:val="20"/>
      <w:lang w:val="en-GB"/>
    </w:rPr>
  </w:style>
  <w:style w:type="character" w:customStyle="1" w:styleId="QuoteChar">
    <w:name w:val="Quote Char"/>
    <w:basedOn w:val="DefaultParagraphFont"/>
    <w:link w:val="Quote"/>
    <w:uiPriority w:val="29"/>
    <w:rsid w:val="002E6066"/>
    <w:rPr>
      <w:rFonts w:ascii="Times New Roman" w:hAnsi="Times New Roman"/>
      <w:iCs/>
      <w:color w:val="000000" w:themeColor="text1"/>
      <w:sz w:val="20"/>
      <w:szCs w:val="20"/>
      <w:lang w:val="en-GB"/>
    </w:rPr>
  </w:style>
  <w:style w:type="paragraph" w:styleId="NormalWeb">
    <w:name w:val="Normal (Web)"/>
    <w:basedOn w:val="Normal"/>
    <w:uiPriority w:val="99"/>
    <w:semiHidden/>
    <w:unhideWhenUsed/>
    <w:rsid w:val="00966B3E"/>
    <w:rPr>
      <w:rFonts w:cs="Times New Roman"/>
      <w:sz w:val="24"/>
      <w:szCs w:val="24"/>
    </w:rPr>
  </w:style>
  <w:style w:type="character" w:styleId="CommentReference">
    <w:name w:val="annotation reference"/>
    <w:basedOn w:val="DefaultParagraphFont"/>
    <w:uiPriority w:val="99"/>
    <w:semiHidden/>
    <w:unhideWhenUsed/>
    <w:rsid w:val="00D123F7"/>
    <w:rPr>
      <w:sz w:val="18"/>
      <w:szCs w:val="18"/>
    </w:rPr>
  </w:style>
  <w:style w:type="paragraph" w:styleId="CommentText">
    <w:name w:val="annotation text"/>
    <w:basedOn w:val="Normal"/>
    <w:link w:val="CommentTextChar"/>
    <w:uiPriority w:val="99"/>
    <w:semiHidden/>
    <w:unhideWhenUsed/>
    <w:rsid w:val="00D123F7"/>
    <w:rPr>
      <w:sz w:val="24"/>
      <w:szCs w:val="24"/>
    </w:rPr>
  </w:style>
  <w:style w:type="character" w:customStyle="1" w:styleId="CommentTextChar">
    <w:name w:val="Comment Text Char"/>
    <w:basedOn w:val="DefaultParagraphFont"/>
    <w:link w:val="CommentText"/>
    <w:uiPriority w:val="99"/>
    <w:semiHidden/>
    <w:rsid w:val="00D123F7"/>
    <w:rPr>
      <w:sz w:val="24"/>
      <w:szCs w:val="24"/>
    </w:rPr>
  </w:style>
  <w:style w:type="paragraph" w:styleId="CommentSubject">
    <w:name w:val="annotation subject"/>
    <w:basedOn w:val="CommentText"/>
    <w:next w:val="CommentText"/>
    <w:link w:val="CommentSubjectChar"/>
    <w:uiPriority w:val="99"/>
    <w:semiHidden/>
    <w:unhideWhenUsed/>
    <w:rsid w:val="00D123F7"/>
    <w:rPr>
      <w:b/>
      <w:bCs/>
      <w:sz w:val="20"/>
      <w:szCs w:val="20"/>
    </w:rPr>
  </w:style>
  <w:style w:type="character" w:customStyle="1" w:styleId="CommentSubjectChar">
    <w:name w:val="Comment Subject Char"/>
    <w:basedOn w:val="CommentTextChar"/>
    <w:link w:val="CommentSubject"/>
    <w:uiPriority w:val="99"/>
    <w:semiHidden/>
    <w:rsid w:val="00D123F7"/>
    <w:rPr>
      <w:b/>
      <w:bCs/>
      <w:sz w:val="20"/>
      <w:szCs w:val="20"/>
    </w:rPr>
  </w:style>
  <w:style w:type="paragraph" w:customStyle="1" w:styleId="Default">
    <w:name w:val="Default"/>
    <w:rsid w:val="006A6D35"/>
    <w:pPr>
      <w:widowControl w:val="0"/>
      <w:autoSpaceDE w:val="0"/>
      <w:autoSpaceDN w:val="0"/>
      <w:adjustRightInd w:val="0"/>
    </w:pPr>
    <w:rPr>
      <w:rFonts w:ascii="Tw Cen MT" w:hAnsi="Tw Cen MT" w:cs="Tw Cen MT"/>
      <w:color w:val="000000"/>
      <w:sz w:val="24"/>
      <w:szCs w:val="24"/>
    </w:rPr>
  </w:style>
  <w:style w:type="paragraph" w:styleId="Revision">
    <w:name w:val="Revision"/>
    <w:hidden/>
    <w:uiPriority w:val="99"/>
    <w:semiHidden/>
    <w:rsid w:val="00074550"/>
  </w:style>
  <w:style w:type="paragraph" w:styleId="HTMLPreformatted">
    <w:name w:val="HTML Preformatted"/>
    <w:basedOn w:val="Normal"/>
    <w:link w:val="HTMLPreformattedChar"/>
    <w:uiPriority w:val="99"/>
    <w:semiHidden/>
    <w:unhideWhenUsed/>
    <w:rsid w:val="0012511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25115"/>
    <w:rPr>
      <w:rFonts w:ascii="Courier" w:hAnsi="Courier"/>
      <w:sz w:val="20"/>
      <w:szCs w:val="20"/>
    </w:rPr>
  </w:style>
  <w:style w:type="paragraph" w:styleId="EndnoteText">
    <w:name w:val="endnote text"/>
    <w:basedOn w:val="Normal"/>
    <w:link w:val="EndnoteTextChar"/>
    <w:uiPriority w:val="99"/>
    <w:unhideWhenUsed/>
    <w:rsid w:val="00364096"/>
    <w:rPr>
      <w:sz w:val="24"/>
      <w:szCs w:val="24"/>
    </w:rPr>
  </w:style>
  <w:style w:type="character" w:customStyle="1" w:styleId="EndnoteTextChar">
    <w:name w:val="Endnote Text Char"/>
    <w:basedOn w:val="DefaultParagraphFont"/>
    <w:link w:val="EndnoteText"/>
    <w:uiPriority w:val="99"/>
    <w:rsid w:val="00364096"/>
    <w:rPr>
      <w:sz w:val="24"/>
      <w:szCs w:val="24"/>
    </w:rPr>
  </w:style>
  <w:style w:type="character" w:styleId="EndnoteReference">
    <w:name w:val="endnote reference"/>
    <w:basedOn w:val="DefaultParagraphFont"/>
    <w:uiPriority w:val="99"/>
    <w:unhideWhenUsed/>
    <w:rsid w:val="00364096"/>
    <w:rPr>
      <w:vertAlign w:val="superscript"/>
    </w:rPr>
  </w:style>
  <w:style w:type="character" w:styleId="FootnoteReference">
    <w:name w:val="footnote reference"/>
    <w:basedOn w:val="DefaultParagraphFont"/>
    <w:uiPriority w:val="99"/>
    <w:unhideWhenUsed/>
    <w:rsid w:val="00B436D8"/>
    <w:rPr>
      <w:vertAlign w:val="superscript"/>
    </w:rPr>
  </w:style>
  <w:style w:type="paragraph" w:customStyle="1" w:styleId="tabledense">
    <w:name w:val="table dense"/>
    <w:basedOn w:val="Normal"/>
    <w:qFormat/>
    <w:rsid w:val="00B436D8"/>
    <w:rPr>
      <w:rFonts w:eastAsia="Times New Roman" w:cs="Times New Roman"/>
      <w:color w:val="000000"/>
      <w:sz w:val="16"/>
      <w:szCs w:val="16"/>
      <w:lang w:val="nb-NO" w:eastAsia="nb-NO"/>
    </w:rPr>
  </w:style>
  <w:style w:type="paragraph" w:styleId="Caption">
    <w:name w:val="caption"/>
    <w:basedOn w:val="Normal"/>
    <w:next w:val="Normal"/>
    <w:uiPriority w:val="35"/>
    <w:unhideWhenUsed/>
    <w:qFormat/>
    <w:rsid w:val="00D51956"/>
    <w:pPr>
      <w:spacing w:after="200"/>
    </w:pPr>
    <w:rPr>
      <w:b/>
      <w:bCs/>
      <w:color w:val="4F81BD" w:themeColor="accent1"/>
      <w:sz w:val="18"/>
      <w:szCs w:val="18"/>
    </w:rPr>
  </w:style>
  <w:style w:type="character" w:styleId="PageNumber">
    <w:name w:val="page number"/>
    <w:basedOn w:val="DefaultParagraphFont"/>
    <w:uiPriority w:val="99"/>
    <w:semiHidden/>
    <w:unhideWhenUsed/>
    <w:rsid w:val="006E7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56"/>
    <w:rPr>
      <w:rFonts w:ascii="Times New Roman" w:hAnsi="Times New Roman"/>
    </w:rPr>
  </w:style>
  <w:style w:type="paragraph" w:styleId="Heading1">
    <w:name w:val="heading 1"/>
    <w:basedOn w:val="Normal"/>
    <w:next w:val="Normal"/>
    <w:link w:val="Heading1Char"/>
    <w:uiPriority w:val="9"/>
    <w:qFormat/>
    <w:rsid w:val="0060040B"/>
    <w:pPr>
      <w:keepNext/>
      <w:keepLines/>
      <w:spacing w:before="480"/>
      <w:outlineLvl w:val="0"/>
    </w:pPr>
    <w:rPr>
      <w:rFonts w:eastAsiaTheme="majorEastAsia" w:cs="Times New Roman"/>
      <w:b/>
      <w:bCs/>
      <w:sz w:val="26"/>
      <w:szCs w:val="26"/>
      <w:lang w:val="en-GB"/>
    </w:rPr>
  </w:style>
  <w:style w:type="paragraph" w:styleId="Heading2">
    <w:name w:val="heading 2"/>
    <w:basedOn w:val="Normal"/>
    <w:next w:val="Normal"/>
    <w:link w:val="Heading2Char"/>
    <w:uiPriority w:val="9"/>
    <w:unhideWhenUsed/>
    <w:qFormat/>
    <w:rsid w:val="00D5195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95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E612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12C0"/>
    <w:rPr>
      <w:rFonts w:ascii="Lucida Grande" w:hAnsi="Lucida Grande" w:cs="Lucida Grande"/>
      <w:sz w:val="24"/>
      <w:szCs w:val="24"/>
    </w:rPr>
  </w:style>
  <w:style w:type="paragraph" w:styleId="BalloonText">
    <w:name w:val="Balloon Text"/>
    <w:basedOn w:val="Normal"/>
    <w:link w:val="BalloonTextChar"/>
    <w:uiPriority w:val="99"/>
    <w:semiHidden/>
    <w:unhideWhenUsed/>
    <w:rsid w:val="00E612C0"/>
    <w:rPr>
      <w:rFonts w:ascii="Lucida Grande" w:hAnsi="Lucida Grande" w:cs="Lucida Grande"/>
      <w:sz w:val="20"/>
      <w:szCs w:val="18"/>
    </w:rPr>
  </w:style>
  <w:style w:type="character" w:customStyle="1" w:styleId="BalloonTextChar">
    <w:name w:val="Balloon Text Char"/>
    <w:basedOn w:val="DefaultParagraphFont"/>
    <w:link w:val="BalloonText"/>
    <w:uiPriority w:val="99"/>
    <w:semiHidden/>
    <w:rsid w:val="00E612C0"/>
    <w:rPr>
      <w:rFonts w:ascii="Lucida Grande" w:hAnsi="Lucida Grande" w:cs="Lucida Grande"/>
      <w:sz w:val="20"/>
      <w:szCs w:val="18"/>
    </w:rPr>
  </w:style>
  <w:style w:type="character" w:customStyle="1" w:styleId="Heading1Char">
    <w:name w:val="Heading 1 Char"/>
    <w:basedOn w:val="DefaultParagraphFont"/>
    <w:link w:val="Heading1"/>
    <w:uiPriority w:val="9"/>
    <w:rsid w:val="0060040B"/>
    <w:rPr>
      <w:rFonts w:ascii="Times New Roman" w:eastAsiaTheme="majorEastAsia" w:hAnsi="Times New Roman" w:cs="Times New Roman"/>
      <w:b/>
      <w:bCs/>
      <w:sz w:val="26"/>
      <w:szCs w:val="26"/>
      <w:lang w:val="en-GB"/>
    </w:rPr>
  </w:style>
  <w:style w:type="paragraph" w:styleId="Bibliography">
    <w:name w:val="Bibliography"/>
    <w:basedOn w:val="Normal"/>
    <w:next w:val="Normal"/>
    <w:uiPriority w:val="37"/>
    <w:unhideWhenUsed/>
    <w:rsid w:val="00676045"/>
  </w:style>
  <w:style w:type="paragraph" w:styleId="Header">
    <w:name w:val="header"/>
    <w:basedOn w:val="Normal"/>
    <w:link w:val="HeaderChar"/>
    <w:uiPriority w:val="99"/>
    <w:unhideWhenUsed/>
    <w:rsid w:val="002A63F6"/>
    <w:pPr>
      <w:tabs>
        <w:tab w:val="center" w:pos="4320"/>
        <w:tab w:val="right" w:pos="8640"/>
      </w:tabs>
    </w:pPr>
  </w:style>
  <w:style w:type="character" w:customStyle="1" w:styleId="HeaderChar">
    <w:name w:val="Header Char"/>
    <w:basedOn w:val="DefaultParagraphFont"/>
    <w:link w:val="Header"/>
    <w:uiPriority w:val="99"/>
    <w:rsid w:val="002A63F6"/>
  </w:style>
  <w:style w:type="paragraph" w:styleId="Footer">
    <w:name w:val="footer"/>
    <w:basedOn w:val="Normal"/>
    <w:link w:val="FooterChar"/>
    <w:uiPriority w:val="99"/>
    <w:unhideWhenUsed/>
    <w:rsid w:val="002A63F6"/>
    <w:pPr>
      <w:tabs>
        <w:tab w:val="center" w:pos="4320"/>
        <w:tab w:val="right" w:pos="8640"/>
      </w:tabs>
    </w:pPr>
  </w:style>
  <w:style w:type="character" w:customStyle="1" w:styleId="FooterChar">
    <w:name w:val="Footer Char"/>
    <w:basedOn w:val="DefaultParagraphFont"/>
    <w:link w:val="Footer"/>
    <w:uiPriority w:val="99"/>
    <w:rsid w:val="002A63F6"/>
  </w:style>
  <w:style w:type="paragraph" w:styleId="ListParagraph">
    <w:name w:val="List Paragraph"/>
    <w:basedOn w:val="Normal"/>
    <w:uiPriority w:val="34"/>
    <w:qFormat/>
    <w:rsid w:val="008B579B"/>
    <w:pPr>
      <w:ind w:left="720"/>
      <w:contextualSpacing/>
    </w:pPr>
  </w:style>
  <w:style w:type="table" w:styleId="TableGrid">
    <w:name w:val="Table Grid"/>
    <w:basedOn w:val="TableNormal"/>
    <w:uiPriority w:val="39"/>
    <w:rsid w:val="00AD5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2E6066"/>
    <w:pPr>
      <w:ind w:left="567"/>
    </w:pPr>
    <w:rPr>
      <w:iCs/>
      <w:color w:val="000000" w:themeColor="text1"/>
      <w:sz w:val="20"/>
      <w:szCs w:val="20"/>
      <w:lang w:val="en-GB"/>
    </w:rPr>
  </w:style>
  <w:style w:type="character" w:customStyle="1" w:styleId="QuoteChar">
    <w:name w:val="Quote Char"/>
    <w:basedOn w:val="DefaultParagraphFont"/>
    <w:link w:val="Quote"/>
    <w:uiPriority w:val="29"/>
    <w:rsid w:val="002E6066"/>
    <w:rPr>
      <w:rFonts w:ascii="Times New Roman" w:hAnsi="Times New Roman"/>
      <w:iCs/>
      <w:color w:val="000000" w:themeColor="text1"/>
      <w:sz w:val="20"/>
      <w:szCs w:val="20"/>
      <w:lang w:val="en-GB"/>
    </w:rPr>
  </w:style>
  <w:style w:type="paragraph" w:styleId="NormalWeb">
    <w:name w:val="Normal (Web)"/>
    <w:basedOn w:val="Normal"/>
    <w:uiPriority w:val="99"/>
    <w:semiHidden/>
    <w:unhideWhenUsed/>
    <w:rsid w:val="00966B3E"/>
    <w:rPr>
      <w:rFonts w:cs="Times New Roman"/>
      <w:sz w:val="24"/>
      <w:szCs w:val="24"/>
    </w:rPr>
  </w:style>
  <w:style w:type="character" w:styleId="CommentReference">
    <w:name w:val="annotation reference"/>
    <w:basedOn w:val="DefaultParagraphFont"/>
    <w:uiPriority w:val="99"/>
    <w:semiHidden/>
    <w:unhideWhenUsed/>
    <w:rsid w:val="00D123F7"/>
    <w:rPr>
      <w:sz w:val="18"/>
      <w:szCs w:val="18"/>
    </w:rPr>
  </w:style>
  <w:style w:type="paragraph" w:styleId="CommentText">
    <w:name w:val="annotation text"/>
    <w:basedOn w:val="Normal"/>
    <w:link w:val="CommentTextChar"/>
    <w:uiPriority w:val="99"/>
    <w:semiHidden/>
    <w:unhideWhenUsed/>
    <w:rsid w:val="00D123F7"/>
    <w:rPr>
      <w:sz w:val="24"/>
      <w:szCs w:val="24"/>
    </w:rPr>
  </w:style>
  <w:style w:type="character" w:customStyle="1" w:styleId="CommentTextChar">
    <w:name w:val="Comment Text Char"/>
    <w:basedOn w:val="DefaultParagraphFont"/>
    <w:link w:val="CommentText"/>
    <w:uiPriority w:val="99"/>
    <w:semiHidden/>
    <w:rsid w:val="00D123F7"/>
    <w:rPr>
      <w:sz w:val="24"/>
      <w:szCs w:val="24"/>
    </w:rPr>
  </w:style>
  <w:style w:type="paragraph" w:styleId="CommentSubject">
    <w:name w:val="annotation subject"/>
    <w:basedOn w:val="CommentText"/>
    <w:next w:val="CommentText"/>
    <w:link w:val="CommentSubjectChar"/>
    <w:uiPriority w:val="99"/>
    <w:semiHidden/>
    <w:unhideWhenUsed/>
    <w:rsid w:val="00D123F7"/>
    <w:rPr>
      <w:b/>
      <w:bCs/>
      <w:sz w:val="20"/>
      <w:szCs w:val="20"/>
    </w:rPr>
  </w:style>
  <w:style w:type="character" w:customStyle="1" w:styleId="CommentSubjectChar">
    <w:name w:val="Comment Subject Char"/>
    <w:basedOn w:val="CommentTextChar"/>
    <w:link w:val="CommentSubject"/>
    <w:uiPriority w:val="99"/>
    <w:semiHidden/>
    <w:rsid w:val="00D123F7"/>
    <w:rPr>
      <w:b/>
      <w:bCs/>
      <w:sz w:val="20"/>
      <w:szCs w:val="20"/>
    </w:rPr>
  </w:style>
  <w:style w:type="paragraph" w:customStyle="1" w:styleId="Default">
    <w:name w:val="Default"/>
    <w:rsid w:val="006A6D35"/>
    <w:pPr>
      <w:widowControl w:val="0"/>
      <w:autoSpaceDE w:val="0"/>
      <w:autoSpaceDN w:val="0"/>
      <w:adjustRightInd w:val="0"/>
    </w:pPr>
    <w:rPr>
      <w:rFonts w:ascii="Tw Cen MT" w:hAnsi="Tw Cen MT" w:cs="Tw Cen MT"/>
      <w:color w:val="000000"/>
      <w:sz w:val="24"/>
      <w:szCs w:val="24"/>
    </w:rPr>
  </w:style>
  <w:style w:type="paragraph" w:styleId="Revision">
    <w:name w:val="Revision"/>
    <w:hidden/>
    <w:uiPriority w:val="99"/>
    <w:semiHidden/>
    <w:rsid w:val="00074550"/>
  </w:style>
  <w:style w:type="paragraph" w:styleId="HTMLPreformatted">
    <w:name w:val="HTML Preformatted"/>
    <w:basedOn w:val="Normal"/>
    <w:link w:val="HTMLPreformattedChar"/>
    <w:uiPriority w:val="99"/>
    <w:semiHidden/>
    <w:unhideWhenUsed/>
    <w:rsid w:val="00125115"/>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25115"/>
    <w:rPr>
      <w:rFonts w:ascii="Courier" w:hAnsi="Courier"/>
      <w:sz w:val="20"/>
      <w:szCs w:val="20"/>
    </w:rPr>
  </w:style>
  <w:style w:type="paragraph" w:styleId="EndnoteText">
    <w:name w:val="endnote text"/>
    <w:basedOn w:val="Normal"/>
    <w:link w:val="EndnoteTextChar"/>
    <w:uiPriority w:val="99"/>
    <w:unhideWhenUsed/>
    <w:rsid w:val="00364096"/>
    <w:rPr>
      <w:sz w:val="24"/>
      <w:szCs w:val="24"/>
    </w:rPr>
  </w:style>
  <w:style w:type="character" w:customStyle="1" w:styleId="EndnoteTextChar">
    <w:name w:val="Endnote Text Char"/>
    <w:basedOn w:val="DefaultParagraphFont"/>
    <w:link w:val="EndnoteText"/>
    <w:uiPriority w:val="99"/>
    <w:rsid w:val="00364096"/>
    <w:rPr>
      <w:sz w:val="24"/>
      <w:szCs w:val="24"/>
    </w:rPr>
  </w:style>
  <w:style w:type="character" w:styleId="EndnoteReference">
    <w:name w:val="endnote reference"/>
    <w:basedOn w:val="DefaultParagraphFont"/>
    <w:uiPriority w:val="99"/>
    <w:unhideWhenUsed/>
    <w:rsid w:val="00364096"/>
    <w:rPr>
      <w:vertAlign w:val="superscript"/>
    </w:rPr>
  </w:style>
  <w:style w:type="character" w:styleId="FootnoteReference">
    <w:name w:val="footnote reference"/>
    <w:basedOn w:val="DefaultParagraphFont"/>
    <w:uiPriority w:val="99"/>
    <w:unhideWhenUsed/>
    <w:rsid w:val="00B436D8"/>
    <w:rPr>
      <w:vertAlign w:val="superscript"/>
    </w:rPr>
  </w:style>
  <w:style w:type="paragraph" w:customStyle="1" w:styleId="tabledense">
    <w:name w:val="table dense"/>
    <w:basedOn w:val="Normal"/>
    <w:qFormat/>
    <w:rsid w:val="00B436D8"/>
    <w:rPr>
      <w:rFonts w:eastAsia="Times New Roman" w:cs="Times New Roman"/>
      <w:color w:val="000000"/>
      <w:sz w:val="16"/>
      <w:szCs w:val="16"/>
      <w:lang w:val="nb-NO" w:eastAsia="nb-NO"/>
    </w:rPr>
  </w:style>
  <w:style w:type="paragraph" w:styleId="Caption">
    <w:name w:val="caption"/>
    <w:basedOn w:val="Normal"/>
    <w:next w:val="Normal"/>
    <w:uiPriority w:val="35"/>
    <w:unhideWhenUsed/>
    <w:qFormat/>
    <w:rsid w:val="00D51956"/>
    <w:pPr>
      <w:spacing w:after="200"/>
    </w:pPr>
    <w:rPr>
      <w:b/>
      <w:bCs/>
      <w:color w:val="4F81BD" w:themeColor="accent1"/>
      <w:sz w:val="18"/>
      <w:szCs w:val="18"/>
    </w:rPr>
  </w:style>
  <w:style w:type="character" w:styleId="PageNumber">
    <w:name w:val="page number"/>
    <w:basedOn w:val="DefaultParagraphFont"/>
    <w:uiPriority w:val="99"/>
    <w:semiHidden/>
    <w:unhideWhenUsed/>
    <w:rsid w:val="006E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32">
      <w:bodyDiv w:val="1"/>
      <w:marLeft w:val="0"/>
      <w:marRight w:val="0"/>
      <w:marTop w:val="0"/>
      <w:marBottom w:val="0"/>
      <w:divBdr>
        <w:top w:val="none" w:sz="0" w:space="0" w:color="auto"/>
        <w:left w:val="none" w:sz="0" w:space="0" w:color="auto"/>
        <w:bottom w:val="none" w:sz="0" w:space="0" w:color="auto"/>
        <w:right w:val="none" w:sz="0" w:space="0" w:color="auto"/>
      </w:divBdr>
    </w:div>
    <w:div w:id="43792673">
      <w:bodyDiv w:val="1"/>
      <w:marLeft w:val="0"/>
      <w:marRight w:val="0"/>
      <w:marTop w:val="0"/>
      <w:marBottom w:val="0"/>
      <w:divBdr>
        <w:top w:val="none" w:sz="0" w:space="0" w:color="auto"/>
        <w:left w:val="none" w:sz="0" w:space="0" w:color="auto"/>
        <w:bottom w:val="none" w:sz="0" w:space="0" w:color="auto"/>
        <w:right w:val="none" w:sz="0" w:space="0" w:color="auto"/>
      </w:divBdr>
    </w:div>
    <w:div w:id="83037981">
      <w:bodyDiv w:val="1"/>
      <w:marLeft w:val="0"/>
      <w:marRight w:val="0"/>
      <w:marTop w:val="0"/>
      <w:marBottom w:val="0"/>
      <w:divBdr>
        <w:top w:val="none" w:sz="0" w:space="0" w:color="auto"/>
        <w:left w:val="none" w:sz="0" w:space="0" w:color="auto"/>
        <w:bottom w:val="none" w:sz="0" w:space="0" w:color="auto"/>
        <w:right w:val="none" w:sz="0" w:space="0" w:color="auto"/>
      </w:divBdr>
    </w:div>
    <w:div w:id="141964715">
      <w:bodyDiv w:val="1"/>
      <w:marLeft w:val="0"/>
      <w:marRight w:val="0"/>
      <w:marTop w:val="0"/>
      <w:marBottom w:val="0"/>
      <w:divBdr>
        <w:top w:val="none" w:sz="0" w:space="0" w:color="auto"/>
        <w:left w:val="none" w:sz="0" w:space="0" w:color="auto"/>
        <w:bottom w:val="none" w:sz="0" w:space="0" w:color="auto"/>
        <w:right w:val="none" w:sz="0" w:space="0" w:color="auto"/>
      </w:divBdr>
    </w:div>
    <w:div w:id="156305057">
      <w:bodyDiv w:val="1"/>
      <w:marLeft w:val="0"/>
      <w:marRight w:val="0"/>
      <w:marTop w:val="0"/>
      <w:marBottom w:val="0"/>
      <w:divBdr>
        <w:top w:val="none" w:sz="0" w:space="0" w:color="auto"/>
        <w:left w:val="none" w:sz="0" w:space="0" w:color="auto"/>
        <w:bottom w:val="none" w:sz="0" w:space="0" w:color="auto"/>
        <w:right w:val="none" w:sz="0" w:space="0" w:color="auto"/>
      </w:divBdr>
    </w:div>
    <w:div w:id="191917134">
      <w:bodyDiv w:val="1"/>
      <w:marLeft w:val="0"/>
      <w:marRight w:val="0"/>
      <w:marTop w:val="0"/>
      <w:marBottom w:val="0"/>
      <w:divBdr>
        <w:top w:val="none" w:sz="0" w:space="0" w:color="auto"/>
        <w:left w:val="none" w:sz="0" w:space="0" w:color="auto"/>
        <w:bottom w:val="none" w:sz="0" w:space="0" w:color="auto"/>
        <w:right w:val="none" w:sz="0" w:space="0" w:color="auto"/>
      </w:divBdr>
    </w:div>
    <w:div w:id="211314743">
      <w:bodyDiv w:val="1"/>
      <w:marLeft w:val="0"/>
      <w:marRight w:val="0"/>
      <w:marTop w:val="0"/>
      <w:marBottom w:val="0"/>
      <w:divBdr>
        <w:top w:val="none" w:sz="0" w:space="0" w:color="auto"/>
        <w:left w:val="none" w:sz="0" w:space="0" w:color="auto"/>
        <w:bottom w:val="none" w:sz="0" w:space="0" w:color="auto"/>
        <w:right w:val="none" w:sz="0" w:space="0" w:color="auto"/>
      </w:divBdr>
    </w:div>
    <w:div w:id="224460872">
      <w:bodyDiv w:val="1"/>
      <w:marLeft w:val="0"/>
      <w:marRight w:val="0"/>
      <w:marTop w:val="0"/>
      <w:marBottom w:val="0"/>
      <w:divBdr>
        <w:top w:val="none" w:sz="0" w:space="0" w:color="auto"/>
        <w:left w:val="none" w:sz="0" w:space="0" w:color="auto"/>
        <w:bottom w:val="none" w:sz="0" w:space="0" w:color="auto"/>
        <w:right w:val="none" w:sz="0" w:space="0" w:color="auto"/>
      </w:divBdr>
    </w:div>
    <w:div w:id="271128880">
      <w:bodyDiv w:val="1"/>
      <w:marLeft w:val="0"/>
      <w:marRight w:val="0"/>
      <w:marTop w:val="0"/>
      <w:marBottom w:val="0"/>
      <w:divBdr>
        <w:top w:val="none" w:sz="0" w:space="0" w:color="auto"/>
        <w:left w:val="none" w:sz="0" w:space="0" w:color="auto"/>
        <w:bottom w:val="none" w:sz="0" w:space="0" w:color="auto"/>
        <w:right w:val="none" w:sz="0" w:space="0" w:color="auto"/>
      </w:divBdr>
    </w:div>
    <w:div w:id="288904682">
      <w:bodyDiv w:val="1"/>
      <w:marLeft w:val="0"/>
      <w:marRight w:val="0"/>
      <w:marTop w:val="0"/>
      <w:marBottom w:val="0"/>
      <w:divBdr>
        <w:top w:val="none" w:sz="0" w:space="0" w:color="auto"/>
        <w:left w:val="none" w:sz="0" w:space="0" w:color="auto"/>
        <w:bottom w:val="none" w:sz="0" w:space="0" w:color="auto"/>
        <w:right w:val="none" w:sz="0" w:space="0" w:color="auto"/>
      </w:divBdr>
    </w:div>
    <w:div w:id="306396291">
      <w:bodyDiv w:val="1"/>
      <w:marLeft w:val="0"/>
      <w:marRight w:val="0"/>
      <w:marTop w:val="0"/>
      <w:marBottom w:val="0"/>
      <w:divBdr>
        <w:top w:val="none" w:sz="0" w:space="0" w:color="auto"/>
        <w:left w:val="none" w:sz="0" w:space="0" w:color="auto"/>
        <w:bottom w:val="none" w:sz="0" w:space="0" w:color="auto"/>
        <w:right w:val="none" w:sz="0" w:space="0" w:color="auto"/>
      </w:divBdr>
    </w:div>
    <w:div w:id="342824983">
      <w:bodyDiv w:val="1"/>
      <w:marLeft w:val="0"/>
      <w:marRight w:val="0"/>
      <w:marTop w:val="0"/>
      <w:marBottom w:val="0"/>
      <w:divBdr>
        <w:top w:val="none" w:sz="0" w:space="0" w:color="auto"/>
        <w:left w:val="none" w:sz="0" w:space="0" w:color="auto"/>
        <w:bottom w:val="none" w:sz="0" w:space="0" w:color="auto"/>
        <w:right w:val="none" w:sz="0" w:space="0" w:color="auto"/>
      </w:divBdr>
    </w:div>
    <w:div w:id="347828042">
      <w:bodyDiv w:val="1"/>
      <w:marLeft w:val="0"/>
      <w:marRight w:val="0"/>
      <w:marTop w:val="0"/>
      <w:marBottom w:val="0"/>
      <w:divBdr>
        <w:top w:val="none" w:sz="0" w:space="0" w:color="auto"/>
        <w:left w:val="none" w:sz="0" w:space="0" w:color="auto"/>
        <w:bottom w:val="none" w:sz="0" w:space="0" w:color="auto"/>
        <w:right w:val="none" w:sz="0" w:space="0" w:color="auto"/>
      </w:divBdr>
    </w:div>
    <w:div w:id="382102727">
      <w:bodyDiv w:val="1"/>
      <w:marLeft w:val="0"/>
      <w:marRight w:val="0"/>
      <w:marTop w:val="0"/>
      <w:marBottom w:val="0"/>
      <w:divBdr>
        <w:top w:val="none" w:sz="0" w:space="0" w:color="auto"/>
        <w:left w:val="none" w:sz="0" w:space="0" w:color="auto"/>
        <w:bottom w:val="none" w:sz="0" w:space="0" w:color="auto"/>
        <w:right w:val="none" w:sz="0" w:space="0" w:color="auto"/>
      </w:divBdr>
    </w:div>
    <w:div w:id="388502791">
      <w:bodyDiv w:val="1"/>
      <w:marLeft w:val="0"/>
      <w:marRight w:val="0"/>
      <w:marTop w:val="0"/>
      <w:marBottom w:val="0"/>
      <w:divBdr>
        <w:top w:val="none" w:sz="0" w:space="0" w:color="auto"/>
        <w:left w:val="none" w:sz="0" w:space="0" w:color="auto"/>
        <w:bottom w:val="none" w:sz="0" w:space="0" w:color="auto"/>
        <w:right w:val="none" w:sz="0" w:space="0" w:color="auto"/>
      </w:divBdr>
    </w:div>
    <w:div w:id="409693328">
      <w:bodyDiv w:val="1"/>
      <w:marLeft w:val="0"/>
      <w:marRight w:val="0"/>
      <w:marTop w:val="0"/>
      <w:marBottom w:val="0"/>
      <w:divBdr>
        <w:top w:val="none" w:sz="0" w:space="0" w:color="auto"/>
        <w:left w:val="none" w:sz="0" w:space="0" w:color="auto"/>
        <w:bottom w:val="none" w:sz="0" w:space="0" w:color="auto"/>
        <w:right w:val="none" w:sz="0" w:space="0" w:color="auto"/>
      </w:divBdr>
    </w:div>
    <w:div w:id="458690763">
      <w:bodyDiv w:val="1"/>
      <w:marLeft w:val="0"/>
      <w:marRight w:val="0"/>
      <w:marTop w:val="0"/>
      <w:marBottom w:val="0"/>
      <w:divBdr>
        <w:top w:val="none" w:sz="0" w:space="0" w:color="auto"/>
        <w:left w:val="none" w:sz="0" w:space="0" w:color="auto"/>
        <w:bottom w:val="none" w:sz="0" w:space="0" w:color="auto"/>
        <w:right w:val="none" w:sz="0" w:space="0" w:color="auto"/>
      </w:divBdr>
    </w:div>
    <w:div w:id="471676730">
      <w:bodyDiv w:val="1"/>
      <w:marLeft w:val="0"/>
      <w:marRight w:val="0"/>
      <w:marTop w:val="0"/>
      <w:marBottom w:val="0"/>
      <w:divBdr>
        <w:top w:val="none" w:sz="0" w:space="0" w:color="auto"/>
        <w:left w:val="none" w:sz="0" w:space="0" w:color="auto"/>
        <w:bottom w:val="none" w:sz="0" w:space="0" w:color="auto"/>
        <w:right w:val="none" w:sz="0" w:space="0" w:color="auto"/>
      </w:divBdr>
    </w:div>
    <w:div w:id="517426099">
      <w:bodyDiv w:val="1"/>
      <w:marLeft w:val="0"/>
      <w:marRight w:val="0"/>
      <w:marTop w:val="0"/>
      <w:marBottom w:val="0"/>
      <w:divBdr>
        <w:top w:val="none" w:sz="0" w:space="0" w:color="auto"/>
        <w:left w:val="none" w:sz="0" w:space="0" w:color="auto"/>
        <w:bottom w:val="none" w:sz="0" w:space="0" w:color="auto"/>
        <w:right w:val="none" w:sz="0" w:space="0" w:color="auto"/>
      </w:divBdr>
    </w:div>
    <w:div w:id="575210977">
      <w:bodyDiv w:val="1"/>
      <w:marLeft w:val="0"/>
      <w:marRight w:val="0"/>
      <w:marTop w:val="0"/>
      <w:marBottom w:val="0"/>
      <w:divBdr>
        <w:top w:val="none" w:sz="0" w:space="0" w:color="auto"/>
        <w:left w:val="none" w:sz="0" w:space="0" w:color="auto"/>
        <w:bottom w:val="none" w:sz="0" w:space="0" w:color="auto"/>
        <w:right w:val="none" w:sz="0" w:space="0" w:color="auto"/>
      </w:divBdr>
    </w:div>
    <w:div w:id="578058949">
      <w:bodyDiv w:val="1"/>
      <w:marLeft w:val="0"/>
      <w:marRight w:val="0"/>
      <w:marTop w:val="0"/>
      <w:marBottom w:val="0"/>
      <w:divBdr>
        <w:top w:val="none" w:sz="0" w:space="0" w:color="auto"/>
        <w:left w:val="none" w:sz="0" w:space="0" w:color="auto"/>
        <w:bottom w:val="none" w:sz="0" w:space="0" w:color="auto"/>
        <w:right w:val="none" w:sz="0" w:space="0" w:color="auto"/>
      </w:divBdr>
    </w:div>
    <w:div w:id="605888632">
      <w:bodyDiv w:val="1"/>
      <w:marLeft w:val="0"/>
      <w:marRight w:val="0"/>
      <w:marTop w:val="0"/>
      <w:marBottom w:val="0"/>
      <w:divBdr>
        <w:top w:val="none" w:sz="0" w:space="0" w:color="auto"/>
        <w:left w:val="none" w:sz="0" w:space="0" w:color="auto"/>
        <w:bottom w:val="none" w:sz="0" w:space="0" w:color="auto"/>
        <w:right w:val="none" w:sz="0" w:space="0" w:color="auto"/>
      </w:divBdr>
    </w:div>
    <w:div w:id="607658123">
      <w:bodyDiv w:val="1"/>
      <w:marLeft w:val="0"/>
      <w:marRight w:val="0"/>
      <w:marTop w:val="0"/>
      <w:marBottom w:val="0"/>
      <w:divBdr>
        <w:top w:val="none" w:sz="0" w:space="0" w:color="auto"/>
        <w:left w:val="none" w:sz="0" w:space="0" w:color="auto"/>
        <w:bottom w:val="none" w:sz="0" w:space="0" w:color="auto"/>
        <w:right w:val="none" w:sz="0" w:space="0" w:color="auto"/>
      </w:divBdr>
    </w:div>
    <w:div w:id="611594887">
      <w:bodyDiv w:val="1"/>
      <w:marLeft w:val="0"/>
      <w:marRight w:val="0"/>
      <w:marTop w:val="0"/>
      <w:marBottom w:val="0"/>
      <w:divBdr>
        <w:top w:val="none" w:sz="0" w:space="0" w:color="auto"/>
        <w:left w:val="none" w:sz="0" w:space="0" w:color="auto"/>
        <w:bottom w:val="none" w:sz="0" w:space="0" w:color="auto"/>
        <w:right w:val="none" w:sz="0" w:space="0" w:color="auto"/>
      </w:divBdr>
    </w:div>
    <w:div w:id="688331862">
      <w:bodyDiv w:val="1"/>
      <w:marLeft w:val="0"/>
      <w:marRight w:val="0"/>
      <w:marTop w:val="0"/>
      <w:marBottom w:val="0"/>
      <w:divBdr>
        <w:top w:val="none" w:sz="0" w:space="0" w:color="auto"/>
        <w:left w:val="none" w:sz="0" w:space="0" w:color="auto"/>
        <w:bottom w:val="none" w:sz="0" w:space="0" w:color="auto"/>
        <w:right w:val="none" w:sz="0" w:space="0" w:color="auto"/>
      </w:divBdr>
    </w:div>
    <w:div w:id="718632811">
      <w:bodyDiv w:val="1"/>
      <w:marLeft w:val="0"/>
      <w:marRight w:val="0"/>
      <w:marTop w:val="0"/>
      <w:marBottom w:val="0"/>
      <w:divBdr>
        <w:top w:val="none" w:sz="0" w:space="0" w:color="auto"/>
        <w:left w:val="none" w:sz="0" w:space="0" w:color="auto"/>
        <w:bottom w:val="none" w:sz="0" w:space="0" w:color="auto"/>
        <w:right w:val="none" w:sz="0" w:space="0" w:color="auto"/>
      </w:divBdr>
    </w:div>
    <w:div w:id="774057458">
      <w:bodyDiv w:val="1"/>
      <w:marLeft w:val="0"/>
      <w:marRight w:val="0"/>
      <w:marTop w:val="0"/>
      <w:marBottom w:val="0"/>
      <w:divBdr>
        <w:top w:val="none" w:sz="0" w:space="0" w:color="auto"/>
        <w:left w:val="none" w:sz="0" w:space="0" w:color="auto"/>
        <w:bottom w:val="none" w:sz="0" w:space="0" w:color="auto"/>
        <w:right w:val="none" w:sz="0" w:space="0" w:color="auto"/>
      </w:divBdr>
    </w:div>
    <w:div w:id="778109278">
      <w:bodyDiv w:val="1"/>
      <w:marLeft w:val="0"/>
      <w:marRight w:val="0"/>
      <w:marTop w:val="0"/>
      <w:marBottom w:val="0"/>
      <w:divBdr>
        <w:top w:val="none" w:sz="0" w:space="0" w:color="auto"/>
        <w:left w:val="none" w:sz="0" w:space="0" w:color="auto"/>
        <w:bottom w:val="none" w:sz="0" w:space="0" w:color="auto"/>
        <w:right w:val="none" w:sz="0" w:space="0" w:color="auto"/>
      </w:divBdr>
    </w:div>
    <w:div w:id="812913077">
      <w:bodyDiv w:val="1"/>
      <w:marLeft w:val="0"/>
      <w:marRight w:val="0"/>
      <w:marTop w:val="0"/>
      <w:marBottom w:val="0"/>
      <w:divBdr>
        <w:top w:val="none" w:sz="0" w:space="0" w:color="auto"/>
        <w:left w:val="none" w:sz="0" w:space="0" w:color="auto"/>
        <w:bottom w:val="none" w:sz="0" w:space="0" w:color="auto"/>
        <w:right w:val="none" w:sz="0" w:space="0" w:color="auto"/>
      </w:divBdr>
    </w:div>
    <w:div w:id="843665561">
      <w:bodyDiv w:val="1"/>
      <w:marLeft w:val="0"/>
      <w:marRight w:val="0"/>
      <w:marTop w:val="0"/>
      <w:marBottom w:val="0"/>
      <w:divBdr>
        <w:top w:val="none" w:sz="0" w:space="0" w:color="auto"/>
        <w:left w:val="none" w:sz="0" w:space="0" w:color="auto"/>
        <w:bottom w:val="none" w:sz="0" w:space="0" w:color="auto"/>
        <w:right w:val="none" w:sz="0" w:space="0" w:color="auto"/>
      </w:divBdr>
    </w:div>
    <w:div w:id="845512393">
      <w:bodyDiv w:val="1"/>
      <w:marLeft w:val="0"/>
      <w:marRight w:val="0"/>
      <w:marTop w:val="0"/>
      <w:marBottom w:val="0"/>
      <w:divBdr>
        <w:top w:val="none" w:sz="0" w:space="0" w:color="auto"/>
        <w:left w:val="none" w:sz="0" w:space="0" w:color="auto"/>
        <w:bottom w:val="none" w:sz="0" w:space="0" w:color="auto"/>
        <w:right w:val="none" w:sz="0" w:space="0" w:color="auto"/>
      </w:divBdr>
    </w:div>
    <w:div w:id="850950691">
      <w:bodyDiv w:val="1"/>
      <w:marLeft w:val="0"/>
      <w:marRight w:val="0"/>
      <w:marTop w:val="0"/>
      <w:marBottom w:val="0"/>
      <w:divBdr>
        <w:top w:val="none" w:sz="0" w:space="0" w:color="auto"/>
        <w:left w:val="none" w:sz="0" w:space="0" w:color="auto"/>
        <w:bottom w:val="none" w:sz="0" w:space="0" w:color="auto"/>
        <w:right w:val="none" w:sz="0" w:space="0" w:color="auto"/>
      </w:divBdr>
    </w:div>
    <w:div w:id="874272828">
      <w:bodyDiv w:val="1"/>
      <w:marLeft w:val="0"/>
      <w:marRight w:val="0"/>
      <w:marTop w:val="0"/>
      <w:marBottom w:val="0"/>
      <w:divBdr>
        <w:top w:val="none" w:sz="0" w:space="0" w:color="auto"/>
        <w:left w:val="none" w:sz="0" w:space="0" w:color="auto"/>
        <w:bottom w:val="none" w:sz="0" w:space="0" w:color="auto"/>
        <w:right w:val="none" w:sz="0" w:space="0" w:color="auto"/>
      </w:divBdr>
    </w:div>
    <w:div w:id="907348671">
      <w:bodyDiv w:val="1"/>
      <w:marLeft w:val="0"/>
      <w:marRight w:val="0"/>
      <w:marTop w:val="0"/>
      <w:marBottom w:val="0"/>
      <w:divBdr>
        <w:top w:val="none" w:sz="0" w:space="0" w:color="auto"/>
        <w:left w:val="none" w:sz="0" w:space="0" w:color="auto"/>
        <w:bottom w:val="none" w:sz="0" w:space="0" w:color="auto"/>
        <w:right w:val="none" w:sz="0" w:space="0" w:color="auto"/>
      </w:divBdr>
    </w:div>
    <w:div w:id="941377642">
      <w:bodyDiv w:val="1"/>
      <w:marLeft w:val="0"/>
      <w:marRight w:val="0"/>
      <w:marTop w:val="0"/>
      <w:marBottom w:val="0"/>
      <w:divBdr>
        <w:top w:val="none" w:sz="0" w:space="0" w:color="auto"/>
        <w:left w:val="none" w:sz="0" w:space="0" w:color="auto"/>
        <w:bottom w:val="none" w:sz="0" w:space="0" w:color="auto"/>
        <w:right w:val="none" w:sz="0" w:space="0" w:color="auto"/>
      </w:divBdr>
    </w:div>
    <w:div w:id="958805462">
      <w:bodyDiv w:val="1"/>
      <w:marLeft w:val="0"/>
      <w:marRight w:val="0"/>
      <w:marTop w:val="0"/>
      <w:marBottom w:val="0"/>
      <w:divBdr>
        <w:top w:val="none" w:sz="0" w:space="0" w:color="auto"/>
        <w:left w:val="none" w:sz="0" w:space="0" w:color="auto"/>
        <w:bottom w:val="none" w:sz="0" w:space="0" w:color="auto"/>
        <w:right w:val="none" w:sz="0" w:space="0" w:color="auto"/>
      </w:divBdr>
    </w:div>
    <w:div w:id="1027369514">
      <w:bodyDiv w:val="1"/>
      <w:marLeft w:val="0"/>
      <w:marRight w:val="0"/>
      <w:marTop w:val="0"/>
      <w:marBottom w:val="0"/>
      <w:divBdr>
        <w:top w:val="none" w:sz="0" w:space="0" w:color="auto"/>
        <w:left w:val="none" w:sz="0" w:space="0" w:color="auto"/>
        <w:bottom w:val="none" w:sz="0" w:space="0" w:color="auto"/>
        <w:right w:val="none" w:sz="0" w:space="0" w:color="auto"/>
      </w:divBdr>
    </w:div>
    <w:div w:id="1029723154">
      <w:bodyDiv w:val="1"/>
      <w:marLeft w:val="0"/>
      <w:marRight w:val="0"/>
      <w:marTop w:val="0"/>
      <w:marBottom w:val="0"/>
      <w:divBdr>
        <w:top w:val="none" w:sz="0" w:space="0" w:color="auto"/>
        <w:left w:val="none" w:sz="0" w:space="0" w:color="auto"/>
        <w:bottom w:val="none" w:sz="0" w:space="0" w:color="auto"/>
        <w:right w:val="none" w:sz="0" w:space="0" w:color="auto"/>
      </w:divBdr>
    </w:div>
    <w:div w:id="1033069174">
      <w:bodyDiv w:val="1"/>
      <w:marLeft w:val="0"/>
      <w:marRight w:val="0"/>
      <w:marTop w:val="0"/>
      <w:marBottom w:val="0"/>
      <w:divBdr>
        <w:top w:val="none" w:sz="0" w:space="0" w:color="auto"/>
        <w:left w:val="none" w:sz="0" w:space="0" w:color="auto"/>
        <w:bottom w:val="none" w:sz="0" w:space="0" w:color="auto"/>
        <w:right w:val="none" w:sz="0" w:space="0" w:color="auto"/>
      </w:divBdr>
    </w:div>
    <w:div w:id="1058675373">
      <w:bodyDiv w:val="1"/>
      <w:marLeft w:val="0"/>
      <w:marRight w:val="0"/>
      <w:marTop w:val="0"/>
      <w:marBottom w:val="0"/>
      <w:divBdr>
        <w:top w:val="none" w:sz="0" w:space="0" w:color="auto"/>
        <w:left w:val="none" w:sz="0" w:space="0" w:color="auto"/>
        <w:bottom w:val="none" w:sz="0" w:space="0" w:color="auto"/>
        <w:right w:val="none" w:sz="0" w:space="0" w:color="auto"/>
      </w:divBdr>
    </w:div>
    <w:div w:id="1059479928">
      <w:bodyDiv w:val="1"/>
      <w:marLeft w:val="0"/>
      <w:marRight w:val="0"/>
      <w:marTop w:val="0"/>
      <w:marBottom w:val="0"/>
      <w:divBdr>
        <w:top w:val="none" w:sz="0" w:space="0" w:color="auto"/>
        <w:left w:val="none" w:sz="0" w:space="0" w:color="auto"/>
        <w:bottom w:val="none" w:sz="0" w:space="0" w:color="auto"/>
        <w:right w:val="none" w:sz="0" w:space="0" w:color="auto"/>
      </w:divBdr>
    </w:div>
    <w:div w:id="1072311110">
      <w:bodyDiv w:val="1"/>
      <w:marLeft w:val="0"/>
      <w:marRight w:val="0"/>
      <w:marTop w:val="0"/>
      <w:marBottom w:val="0"/>
      <w:divBdr>
        <w:top w:val="none" w:sz="0" w:space="0" w:color="auto"/>
        <w:left w:val="none" w:sz="0" w:space="0" w:color="auto"/>
        <w:bottom w:val="none" w:sz="0" w:space="0" w:color="auto"/>
        <w:right w:val="none" w:sz="0" w:space="0" w:color="auto"/>
      </w:divBdr>
    </w:div>
    <w:div w:id="1072584538">
      <w:bodyDiv w:val="1"/>
      <w:marLeft w:val="0"/>
      <w:marRight w:val="0"/>
      <w:marTop w:val="0"/>
      <w:marBottom w:val="0"/>
      <w:divBdr>
        <w:top w:val="none" w:sz="0" w:space="0" w:color="auto"/>
        <w:left w:val="none" w:sz="0" w:space="0" w:color="auto"/>
        <w:bottom w:val="none" w:sz="0" w:space="0" w:color="auto"/>
        <w:right w:val="none" w:sz="0" w:space="0" w:color="auto"/>
      </w:divBdr>
    </w:div>
    <w:div w:id="1109668414">
      <w:bodyDiv w:val="1"/>
      <w:marLeft w:val="0"/>
      <w:marRight w:val="0"/>
      <w:marTop w:val="0"/>
      <w:marBottom w:val="0"/>
      <w:divBdr>
        <w:top w:val="none" w:sz="0" w:space="0" w:color="auto"/>
        <w:left w:val="none" w:sz="0" w:space="0" w:color="auto"/>
        <w:bottom w:val="none" w:sz="0" w:space="0" w:color="auto"/>
        <w:right w:val="none" w:sz="0" w:space="0" w:color="auto"/>
      </w:divBdr>
    </w:div>
    <w:div w:id="1176772237">
      <w:bodyDiv w:val="1"/>
      <w:marLeft w:val="0"/>
      <w:marRight w:val="0"/>
      <w:marTop w:val="0"/>
      <w:marBottom w:val="0"/>
      <w:divBdr>
        <w:top w:val="none" w:sz="0" w:space="0" w:color="auto"/>
        <w:left w:val="none" w:sz="0" w:space="0" w:color="auto"/>
        <w:bottom w:val="none" w:sz="0" w:space="0" w:color="auto"/>
        <w:right w:val="none" w:sz="0" w:space="0" w:color="auto"/>
      </w:divBdr>
    </w:div>
    <w:div w:id="1182931520">
      <w:bodyDiv w:val="1"/>
      <w:marLeft w:val="0"/>
      <w:marRight w:val="0"/>
      <w:marTop w:val="0"/>
      <w:marBottom w:val="0"/>
      <w:divBdr>
        <w:top w:val="none" w:sz="0" w:space="0" w:color="auto"/>
        <w:left w:val="none" w:sz="0" w:space="0" w:color="auto"/>
        <w:bottom w:val="none" w:sz="0" w:space="0" w:color="auto"/>
        <w:right w:val="none" w:sz="0" w:space="0" w:color="auto"/>
      </w:divBdr>
    </w:div>
    <w:div w:id="1222251834">
      <w:bodyDiv w:val="1"/>
      <w:marLeft w:val="0"/>
      <w:marRight w:val="0"/>
      <w:marTop w:val="0"/>
      <w:marBottom w:val="0"/>
      <w:divBdr>
        <w:top w:val="none" w:sz="0" w:space="0" w:color="auto"/>
        <w:left w:val="none" w:sz="0" w:space="0" w:color="auto"/>
        <w:bottom w:val="none" w:sz="0" w:space="0" w:color="auto"/>
        <w:right w:val="none" w:sz="0" w:space="0" w:color="auto"/>
      </w:divBdr>
    </w:div>
    <w:div w:id="1277366335">
      <w:bodyDiv w:val="1"/>
      <w:marLeft w:val="0"/>
      <w:marRight w:val="0"/>
      <w:marTop w:val="0"/>
      <w:marBottom w:val="0"/>
      <w:divBdr>
        <w:top w:val="none" w:sz="0" w:space="0" w:color="auto"/>
        <w:left w:val="none" w:sz="0" w:space="0" w:color="auto"/>
        <w:bottom w:val="none" w:sz="0" w:space="0" w:color="auto"/>
        <w:right w:val="none" w:sz="0" w:space="0" w:color="auto"/>
      </w:divBdr>
    </w:div>
    <w:div w:id="1321083541">
      <w:bodyDiv w:val="1"/>
      <w:marLeft w:val="0"/>
      <w:marRight w:val="0"/>
      <w:marTop w:val="0"/>
      <w:marBottom w:val="0"/>
      <w:divBdr>
        <w:top w:val="none" w:sz="0" w:space="0" w:color="auto"/>
        <w:left w:val="none" w:sz="0" w:space="0" w:color="auto"/>
        <w:bottom w:val="none" w:sz="0" w:space="0" w:color="auto"/>
        <w:right w:val="none" w:sz="0" w:space="0" w:color="auto"/>
      </w:divBdr>
    </w:div>
    <w:div w:id="1358042127">
      <w:bodyDiv w:val="1"/>
      <w:marLeft w:val="0"/>
      <w:marRight w:val="0"/>
      <w:marTop w:val="0"/>
      <w:marBottom w:val="0"/>
      <w:divBdr>
        <w:top w:val="none" w:sz="0" w:space="0" w:color="auto"/>
        <w:left w:val="none" w:sz="0" w:space="0" w:color="auto"/>
        <w:bottom w:val="none" w:sz="0" w:space="0" w:color="auto"/>
        <w:right w:val="none" w:sz="0" w:space="0" w:color="auto"/>
      </w:divBdr>
    </w:div>
    <w:div w:id="1371032855">
      <w:bodyDiv w:val="1"/>
      <w:marLeft w:val="0"/>
      <w:marRight w:val="0"/>
      <w:marTop w:val="0"/>
      <w:marBottom w:val="0"/>
      <w:divBdr>
        <w:top w:val="none" w:sz="0" w:space="0" w:color="auto"/>
        <w:left w:val="none" w:sz="0" w:space="0" w:color="auto"/>
        <w:bottom w:val="none" w:sz="0" w:space="0" w:color="auto"/>
        <w:right w:val="none" w:sz="0" w:space="0" w:color="auto"/>
      </w:divBdr>
    </w:div>
    <w:div w:id="1371609329">
      <w:bodyDiv w:val="1"/>
      <w:marLeft w:val="0"/>
      <w:marRight w:val="0"/>
      <w:marTop w:val="0"/>
      <w:marBottom w:val="0"/>
      <w:divBdr>
        <w:top w:val="none" w:sz="0" w:space="0" w:color="auto"/>
        <w:left w:val="none" w:sz="0" w:space="0" w:color="auto"/>
        <w:bottom w:val="none" w:sz="0" w:space="0" w:color="auto"/>
        <w:right w:val="none" w:sz="0" w:space="0" w:color="auto"/>
      </w:divBdr>
    </w:div>
    <w:div w:id="1372145714">
      <w:bodyDiv w:val="1"/>
      <w:marLeft w:val="0"/>
      <w:marRight w:val="0"/>
      <w:marTop w:val="0"/>
      <w:marBottom w:val="0"/>
      <w:divBdr>
        <w:top w:val="none" w:sz="0" w:space="0" w:color="auto"/>
        <w:left w:val="none" w:sz="0" w:space="0" w:color="auto"/>
        <w:bottom w:val="none" w:sz="0" w:space="0" w:color="auto"/>
        <w:right w:val="none" w:sz="0" w:space="0" w:color="auto"/>
      </w:divBdr>
    </w:div>
    <w:div w:id="1375276640">
      <w:bodyDiv w:val="1"/>
      <w:marLeft w:val="0"/>
      <w:marRight w:val="0"/>
      <w:marTop w:val="0"/>
      <w:marBottom w:val="0"/>
      <w:divBdr>
        <w:top w:val="none" w:sz="0" w:space="0" w:color="auto"/>
        <w:left w:val="none" w:sz="0" w:space="0" w:color="auto"/>
        <w:bottom w:val="none" w:sz="0" w:space="0" w:color="auto"/>
        <w:right w:val="none" w:sz="0" w:space="0" w:color="auto"/>
      </w:divBdr>
    </w:div>
    <w:div w:id="1382090566">
      <w:bodyDiv w:val="1"/>
      <w:marLeft w:val="0"/>
      <w:marRight w:val="0"/>
      <w:marTop w:val="0"/>
      <w:marBottom w:val="0"/>
      <w:divBdr>
        <w:top w:val="none" w:sz="0" w:space="0" w:color="auto"/>
        <w:left w:val="none" w:sz="0" w:space="0" w:color="auto"/>
        <w:bottom w:val="none" w:sz="0" w:space="0" w:color="auto"/>
        <w:right w:val="none" w:sz="0" w:space="0" w:color="auto"/>
      </w:divBdr>
    </w:div>
    <w:div w:id="1417096321">
      <w:bodyDiv w:val="1"/>
      <w:marLeft w:val="0"/>
      <w:marRight w:val="0"/>
      <w:marTop w:val="0"/>
      <w:marBottom w:val="0"/>
      <w:divBdr>
        <w:top w:val="none" w:sz="0" w:space="0" w:color="auto"/>
        <w:left w:val="none" w:sz="0" w:space="0" w:color="auto"/>
        <w:bottom w:val="none" w:sz="0" w:space="0" w:color="auto"/>
        <w:right w:val="none" w:sz="0" w:space="0" w:color="auto"/>
      </w:divBdr>
    </w:div>
    <w:div w:id="1427454918">
      <w:bodyDiv w:val="1"/>
      <w:marLeft w:val="0"/>
      <w:marRight w:val="0"/>
      <w:marTop w:val="0"/>
      <w:marBottom w:val="0"/>
      <w:divBdr>
        <w:top w:val="none" w:sz="0" w:space="0" w:color="auto"/>
        <w:left w:val="none" w:sz="0" w:space="0" w:color="auto"/>
        <w:bottom w:val="none" w:sz="0" w:space="0" w:color="auto"/>
        <w:right w:val="none" w:sz="0" w:space="0" w:color="auto"/>
      </w:divBdr>
    </w:div>
    <w:div w:id="1479494414">
      <w:bodyDiv w:val="1"/>
      <w:marLeft w:val="0"/>
      <w:marRight w:val="0"/>
      <w:marTop w:val="0"/>
      <w:marBottom w:val="0"/>
      <w:divBdr>
        <w:top w:val="none" w:sz="0" w:space="0" w:color="auto"/>
        <w:left w:val="none" w:sz="0" w:space="0" w:color="auto"/>
        <w:bottom w:val="none" w:sz="0" w:space="0" w:color="auto"/>
        <w:right w:val="none" w:sz="0" w:space="0" w:color="auto"/>
      </w:divBdr>
    </w:div>
    <w:div w:id="1481775000">
      <w:bodyDiv w:val="1"/>
      <w:marLeft w:val="0"/>
      <w:marRight w:val="0"/>
      <w:marTop w:val="0"/>
      <w:marBottom w:val="0"/>
      <w:divBdr>
        <w:top w:val="none" w:sz="0" w:space="0" w:color="auto"/>
        <w:left w:val="none" w:sz="0" w:space="0" w:color="auto"/>
        <w:bottom w:val="none" w:sz="0" w:space="0" w:color="auto"/>
        <w:right w:val="none" w:sz="0" w:space="0" w:color="auto"/>
      </w:divBdr>
    </w:div>
    <w:div w:id="1489008627">
      <w:bodyDiv w:val="1"/>
      <w:marLeft w:val="0"/>
      <w:marRight w:val="0"/>
      <w:marTop w:val="0"/>
      <w:marBottom w:val="0"/>
      <w:divBdr>
        <w:top w:val="none" w:sz="0" w:space="0" w:color="auto"/>
        <w:left w:val="none" w:sz="0" w:space="0" w:color="auto"/>
        <w:bottom w:val="none" w:sz="0" w:space="0" w:color="auto"/>
        <w:right w:val="none" w:sz="0" w:space="0" w:color="auto"/>
      </w:divBdr>
    </w:div>
    <w:div w:id="1494293407">
      <w:bodyDiv w:val="1"/>
      <w:marLeft w:val="0"/>
      <w:marRight w:val="0"/>
      <w:marTop w:val="0"/>
      <w:marBottom w:val="0"/>
      <w:divBdr>
        <w:top w:val="none" w:sz="0" w:space="0" w:color="auto"/>
        <w:left w:val="none" w:sz="0" w:space="0" w:color="auto"/>
        <w:bottom w:val="none" w:sz="0" w:space="0" w:color="auto"/>
        <w:right w:val="none" w:sz="0" w:space="0" w:color="auto"/>
      </w:divBdr>
    </w:div>
    <w:div w:id="1503937540">
      <w:bodyDiv w:val="1"/>
      <w:marLeft w:val="0"/>
      <w:marRight w:val="0"/>
      <w:marTop w:val="0"/>
      <w:marBottom w:val="0"/>
      <w:divBdr>
        <w:top w:val="none" w:sz="0" w:space="0" w:color="auto"/>
        <w:left w:val="none" w:sz="0" w:space="0" w:color="auto"/>
        <w:bottom w:val="none" w:sz="0" w:space="0" w:color="auto"/>
        <w:right w:val="none" w:sz="0" w:space="0" w:color="auto"/>
      </w:divBdr>
    </w:div>
    <w:div w:id="1508984382">
      <w:bodyDiv w:val="1"/>
      <w:marLeft w:val="0"/>
      <w:marRight w:val="0"/>
      <w:marTop w:val="0"/>
      <w:marBottom w:val="0"/>
      <w:divBdr>
        <w:top w:val="none" w:sz="0" w:space="0" w:color="auto"/>
        <w:left w:val="none" w:sz="0" w:space="0" w:color="auto"/>
        <w:bottom w:val="none" w:sz="0" w:space="0" w:color="auto"/>
        <w:right w:val="none" w:sz="0" w:space="0" w:color="auto"/>
      </w:divBdr>
    </w:div>
    <w:div w:id="1519084069">
      <w:bodyDiv w:val="1"/>
      <w:marLeft w:val="0"/>
      <w:marRight w:val="0"/>
      <w:marTop w:val="0"/>
      <w:marBottom w:val="0"/>
      <w:divBdr>
        <w:top w:val="none" w:sz="0" w:space="0" w:color="auto"/>
        <w:left w:val="none" w:sz="0" w:space="0" w:color="auto"/>
        <w:bottom w:val="none" w:sz="0" w:space="0" w:color="auto"/>
        <w:right w:val="none" w:sz="0" w:space="0" w:color="auto"/>
      </w:divBdr>
    </w:div>
    <w:div w:id="1591966592">
      <w:bodyDiv w:val="1"/>
      <w:marLeft w:val="0"/>
      <w:marRight w:val="0"/>
      <w:marTop w:val="0"/>
      <w:marBottom w:val="0"/>
      <w:divBdr>
        <w:top w:val="none" w:sz="0" w:space="0" w:color="auto"/>
        <w:left w:val="none" w:sz="0" w:space="0" w:color="auto"/>
        <w:bottom w:val="none" w:sz="0" w:space="0" w:color="auto"/>
        <w:right w:val="none" w:sz="0" w:space="0" w:color="auto"/>
      </w:divBdr>
    </w:div>
    <w:div w:id="1601177605">
      <w:bodyDiv w:val="1"/>
      <w:marLeft w:val="0"/>
      <w:marRight w:val="0"/>
      <w:marTop w:val="0"/>
      <w:marBottom w:val="0"/>
      <w:divBdr>
        <w:top w:val="none" w:sz="0" w:space="0" w:color="auto"/>
        <w:left w:val="none" w:sz="0" w:space="0" w:color="auto"/>
        <w:bottom w:val="none" w:sz="0" w:space="0" w:color="auto"/>
        <w:right w:val="none" w:sz="0" w:space="0" w:color="auto"/>
      </w:divBdr>
    </w:div>
    <w:div w:id="1627926794">
      <w:bodyDiv w:val="1"/>
      <w:marLeft w:val="0"/>
      <w:marRight w:val="0"/>
      <w:marTop w:val="0"/>
      <w:marBottom w:val="0"/>
      <w:divBdr>
        <w:top w:val="none" w:sz="0" w:space="0" w:color="auto"/>
        <w:left w:val="none" w:sz="0" w:space="0" w:color="auto"/>
        <w:bottom w:val="none" w:sz="0" w:space="0" w:color="auto"/>
        <w:right w:val="none" w:sz="0" w:space="0" w:color="auto"/>
      </w:divBdr>
    </w:div>
    <w:div w:id="1719358698">
      <w:bodyDiv w:val="1"/>
      <w:marLeft w:val="0"/>
      <w:marRight w:val="0"/>
      <w:marTop w:val="0"/>
      <w:marBottom w:val="0"/>
      <w:divBdr>
        <w:top w:val="none" w:sz="0" w:space="0" w:color="auto"/>
        <w:left w:val="none" w:sz="0" w:space="0" w:color="auto"/>
        <w:bottom w:val="none" w:sz="0" w:space="0" w:color="auto"/>
        <w:right w:val="none" w:sz="0" w:space="0" w:color="auto"/>
      </w:divBdr>
    </w:div>
    <w:div w:id="1723555271">
      <w:bodyDiv w:val="1"/>
      <w:marLeft w:val="0"/>
      <w:marRight w:val="0"/>
      <w:marTop w:val="0"/>
      <w:marBottom w:val="0"/>
      <w:divBdr>
        <w:top w:val="none" w:sz="0" w:space="0" w:color="auto"/>
        <w:left w:val="none" w:sz="0" w:space="0" w:color="auto"/>
        <w:bottom w:val="none" w:sz="0" w:space="0" w:color="auto"/>
        <w:right w:val="none" w:sz="0" w:space="0" w:color="auto"/>
      </w:divBdr>
    </w:div>
    <w:div w:id="1751540991">
      <w:bodyDiv w:val="1"/>
      <w:marLeft w:val="0"/>
      <w:marRight w:val="0"/>
      <w:marTop w:val="0"/>
      <w:marBottom w:val="0"/>
      <w:divBdr>
        <w:top w:val="none" w:sz="0" w:space="0" w:color="auto"/>
        <w:left w:val="none" w:sz="0" w:space="0" w:color="auto"/>
        <w:bottom w:val="none" w:sz="0" w:space="0" w:color="auto"/>
        <w:right w:val="none" w:sz="0" w:space="0" w:color="auto"/>
      </w:divBdr>
    </w:div>
    <w:div w:id="1815953166">
      <w:bodyDiv w:val="1"/>
      <w:marLeft w:val="0"/>
      <w:marRight w:val="0"/>
      <w:marTop w:val="0"/>
      <w:marBottom w:val="0"/>
      <w:divBdr>
        <w:top w:val="none" w:sz="0" w:space="0" w:color="auto"/>
        <w:left w:val="none" w:sz="0" w:space="0" w:color="auto"/>
        <w:bottom w:val="none" w:sz="0" w:space="0" w:color="auto"/>
        <w:right w:val="none" w:sz="0" w:space="0" w:color="auto"/>
      </w:divBdr>
    </w:div>
    <w:div w:id="1830368349">
      <w:bodyDiv w:val="1"/>
      <w:marLeft w:val="0"/>
      <w:marRight w:val="0"/>
      <w:marTop w:val="0"/>
      <w:marBottom w:val="0"/>
      <w:divBdr>
        <w:top w:val="none" w:sz="0" w:space="0" w:color="auto"/>
        <w:left w:val="none" w:sz="0" w:space="0" w:color="auto"/>
        <w:bottom w:val="none" w:sz="0" w:space="0" w:color="auto"/>
        <w:right w:val="none" w:sz="0" w:space="0" w:color="auto"/>
      </w:divBdr>
    </w:div>
    <w:div w:id="1842160291">
      <w:bodyDiv w:val="1"/>
      <w:marLeft w:val="0"/>
      <w:marRight w:val="0"/>
      <w:marTop w:val="0"/>
      <w:marBottom w:val="0"/>
      <w:divBdr>
        <w:top w:val="none" w:sz="0" w:space="0" w:color="auto"/>
        <w:left w:val="none" w:sz="0" w:space="0" w:color="auto"/>
        <w:bottom w:val="none" w:sz="0" w:space="0" w:color="auto"/>
        <w:right w:val="none" w:sz="0" w:space="0" w:color="auto"/>
      </w:divBdr>
    </w:div>
    <w:div w:id="1844083661">
      <w:bodyDiv w:val="1"/>
      <w:marLeft w:val="0"/>
      <w:marRight w:val="0"/>
      <w:marTop w:val="0"/>
      <w:marBottom w:val="0"/>
      <w:divBdr>
        <w:top w:val="none" w:sz="0" w:space="0" w:color="auto"/>
        <w:left w:val="none" w:sz="0" w:space="0" w:color="auto"/>
        <w:bottom w:val="none" w:sz="0" w:space="0" w:color="auto"/>
        <w:right w:val="none" w:sz="0" w:space="0" w:color="auto"/>
      </w:divBdr>
    </w:div>
    <w:div w:id="1846746418">
      <w:bodyDiv w:val="1"/>
      <w:marLeft w:val="0"/>
      <w:marRight w:val="0"/>
      <w:marTop w:val="0"/>
      <w:marBottom w:val="0"/>
      <w:divBdr>
        <w:top w:val="none" w:sz="0" w:space="0" w:color="auto"/>
        <w:left w:val="none" w:sz="0" w:space="0" w:color="auto"/>
        <w:bottom w:val="none" w:sz="0" w:space="0" w:color="auto"/>
        <w:right w:val="none" w:sz="0" w:space="0" w:color="auto"/>
      </w:divBdr>
    </w:div>
    <w:div w:id="1848789806">
      <w:bodyDiv w:val="1"/>
      <w:marLeft w:val="0"/>
      <w:marRight w:val="0"/>
      <w:marTop w:val="0"/>
      <w:marBottom w:val="0"/>
      <w:divBdr>
        <w:top w:val="none" w:sz="0" w:space="0" w:color="auto"/>
        <w:left w:val="none" w:sz="0" w:space="0" w:color="auto"/>
        <w:bottom w:val="none" w:sz="0" w:space="0" w:color="auto"/>
        <w:right w:val="none" w:sz="0" w:space="0" w:color="auto"/>
      </w:divBdr>
    </w:div>
    <w:div w:id="1857570526">
      <w:bodyDiv w:val="1"/>
      <w:marLeft w:val="0"/>
      <w:marRight w:val="0"/>
      <w:marTop w:val="0"/>
      <w:marBottom w:val="0"/>
      <w:divBdr>
        <w:top w:val="none" w:sz="0" w:space="0" w:color="auto"/>
        <w:left w:val="none" w:sz="0" w:space="0" w:color="auto"/>
        <w:bottom w:val="none" w:sz="0" w:space="0" w:color="auto"/>
        <w:right w:val="none" w:sz="0" w:space="0" w:color="auto"/>
      </w:divBdr>
    </w:div>
    <w:div w:id="1917205582">
      <w:bodyDiv w:val="1"/>
      <w:marLeft w:val="0"/>
      <w:marRight w:val="0"/>
      <w:marTop w:val="0"/>
      <w:marBottom w:val="0"/>
      <w:divBdr>
        <w:top w:val="none" w:sz="0" w:space="0" w:color="auto"/>
        <w:left w:val="none" w:sz="0" w:space="0" w:color="auto"/>
        <w:bottom w:val="none" w:sz="0" w:space="0" w:color="auto"/>
        <w:right w:val="none" w:sz="0" w:space="0" w:color="auto"/>
      </w:divBdr>
    </w:div>
    <w:div w:id="1926108709">
      <w:bodyDiv w:val="1"/>
      <w:marLeft w:val="0"/>
      <w:marRight w:val="0"/>
      <w:marTop w:val="0"/>
      <w:marBottom w:val="0"/>
      <w:divBdr>
        <w:top w:val="none" w:sz="0" w:space="0" w:color="auto"/>
        <w:left w:val="none" w:sz="0" w:space="0" w:color="auto"/>
        <w:bottom w:val="none" w:sz="0" w:space="0" w:color="auto"/>
        <w:right w:val="none" w:sz="0" w:space="0" w:color="auto"/>
      </w:divBdr>
    </w:div>
    <w:div w:id="1950968491">
      <w:bodyDiv w:val="1"/>
      <w:marLeft w:val="0"/>
      <w:marRight w:val="0"/>
      <w:marTop w:val="0"/>
      <w:marBottom w:val="0"/>
      <w:divBdr>
        <w:top w:val="none" w:sz="0" w:space="0" w:color="auto"/>
        <w:left w:val="none" w:sz="0" w:space="0" w:color="auto"/>
        <w:bottom w:val="none" w:sz="0" w:space="0" w:color="auto"/>
        <w:right w:val="none" w:sz="0" w:space="0" w:color="auto"/>
      </w:divBdr>
    </w:div>
    <w:div w:id="2068412695">
      <w:bodyDiv w:val="1"/>
      <w:marLeft w:val="0"/>
      <w:marRight w:val="0"/>
      <w:marTop w:val="0"/>
      <w:marBottom w:val="0"/>
      <w:divBdr>
        <w:top w:val="none" w:sz="0" w:space="0" w:color="auto"/>
        <w:left w:val="none" w:sz="0" w:space="0" w:color="auto"/>
        <w:bottom w:val="none" w:sz="0" w:space="0" w:color="auto"/>
        <w:right w:val="none" w:sz="0" w:space="0" w:color="auto"/>
      </w:divBdr>
    </w:div>
    <w:div w:id="2086224005">
      <w:bodyDiv w:val="1"/>
      <w:marLeft w:val="0"/>
      <w:marRight w:val="0"/>
      <w:marTop w:val="0"/>
      <w:marBottom w:val="0"/>
      <w:divBdr>
        <w:top w:val="none" w:sz="0" w:space="0" w:color="auto"/>
        <w:left w:val="none" w:sz="0" w:space="0" w:color="auto"/>
        <w:bottom w:val="none" w:sz="0" w:space="0" w:color="auto"/>
        <w:right w:val="none" w:sz="0" w:space="0" w:color="auto"/>
      </w:divBdr>
    </w:div>
    <w:div w:id="2102139247">
      <w:bodyDiv w:val="1"/>
      <w:marLeft w:val="0"/>
      <w:marRight w:val="0"/>
      <w:marTop w:val="0"/>
      <w:marBottom w:val="0"/>
      <w:divBdr>
        <w:top w:val="none" w:sz="0" w:space="0" w:color="auto"/>
        <w:left w:val="none" w:sz="0" w:space="0" w:color="auto"/>
        <w:bottom w:val="none" w:sz="0" w:space="0" w:color="auto"/>
        <w:right w:val="none" w:sz="0" w:space="0" w:color="auto"/>
      </w:divBdr>
    </w:div>
    <w:div w:id="212738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b:Tag>
    <b:SourceType>Report</b:SourceType>
    <b:Guid>{A42013B4-2004-A64C-99D4-176B2DF69CB8}</b:Guid>
    <b:Title>Den glemte kostnaden når staten bygger nytt - Concept arbeidsrapport 2018-2. </b:Title>
    <b:Publisher>Concept programmet</b:Publisher>
    <b:City>Trondheim</b:City>
    <b:Author>
      <b:Author>
        <b:NameList>
          <b:Person>
            <b:Last>Stendebakken</b:Last>
            <b:First>Mari</b:First>
            <b:Middle>Oline Giske</b:Middle>
          </b:Person>
        </b:NameList>
      </b:Author>
    </b:Author>
    <b:Institution>NTNU</b:Institution>
    <b:ThesisType>Arbeidsrapport</b:ThesisType>
    <b:RefOrder>1</b:RefOrder>
  </b:Source>
</b:Sources>
</file>

<file path=customXml/itemProps1.xml><?xml version="1.0" encoding="utf-8"?>
<ds:datastoreItem xmlns:ds="http://schemas.openxmlformats.org/officeDocument/2006/customXml" ds:itemID="{F9FC7241-0D65-464C-9E75-1FA2B956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6460</Words>
  <Characters>36823</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Oline</dc:creator>
  <cp:keywords/>
  <dc:description/>
  <cp:lastModifiedBy>Oline</cp:lastModifiedBy>
  <cp:revision>7</cp:revision>
  <dcterms:created xsi:type="dcterms:W3CDTF">2019-04-15T12:19:00Z</dcterms:created>
  <dcterms:modified xsi:type="dcterms:W3CDTF">2019-04-15T13:36:00Z</dcterms:modified>
</cp:coreProperties>
</file>